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07630" w14:textId="77777777" w:rsidR="00754C9A" w:rsidRDefault="00754C9A" w:rsidP="00441B6F">
      <w:pPr>
        <w:pStyle w:val="Title"/>
        <w:spacing w:after="0"/>
        <w:jc w:val="both"/>
        <w:rPr>
          <w:rFonts w:ascii="Arial" w:hAnsi="Arial" w:cs="Arial"/>
        </w:rPr>
      </w:pPr>
    </w:p>
    <w:p w14:paraId="5BD0B687" w14:textId="77777777" w:rsidR="00662A76" w:rsidRDefault="00662A76" w:rsidP="00B16C49">
      <w:pPr>
        <w:spacing w:line="360" w:lineRule="auto"/>
        <w:jc w:val="right"/>
        <w:rPr>
          <w:rFonts w:ascii="Arial" w:hAnsi="Arial" w:cs="Arial"/>
          <w:b/>
          <w:bCs/>
          <w:sz w:val="28"/>
          <w:szCs w:val="24"/>
        </w:rPr>
      </w:pPr>
      <w:r w:rsidRPr="00662A76">
        <w:rPr>
          <w:rFonts w:ascii="Arial" w:hAnsi="Arial" w:cs="Arial"/>
          <w:b/>
          <w:bCs/>
          <w:sz w:val="28"/>
          <w:szCs w:val="24"/>
        </w:rPr>
        <w:t>Original Research Article</w:t>
      </w:r>
    </w:p>
    <w:p w14:paraId="4D660E6C" w14:textId="77777777" w:rsidR="00662A76" w:rsidRDefault="00662A76" w:rsidP="00B16C49">
      <w:pPr>
        <w:spacing w:line="360" w:lineRule="auto"/>
        <w:jc w:val="right"/>
        <w:rPr>
          <w:rFonts w:ascii="Arial" w:hAnsi="Arial" w:cs="Arial"/>
          <w:b/>
          <w:bCs/>
          <w:sz w:val="28"/>
          <w:szCs w:val="24"/>
        </w:rPr>
      </w:pPr>
    </w:p>
    <w:p w14:paraId="6B34226F" w14:textId="50D9C4F7" w:rsidR="00B16C49" w:rsidRPr="00182627" w:rsidRDefault="00B16C49" w:rsidP="00B16C49">
      <w:pPr>
        <w:spacing w:line="360" w:lineRule="auto"/>
        <w:jc w:val="right"/>
        <w:rPr>
          <w:rFonts w:ascii="Arial" w:hAnsi="Arial" w:cs="Arial"/>
          <w:b/>
          <w:bCs/>
          <w:sz w:val="28"/>
          <w:szCs w:val="24"/>
        </w:rPr>
      </w:pPr>
      <w:r w:rsidRPr="00182627">
        <w:rPr>
          <w:rFonts w:ascii="Arial" w:hAnsi="Arial" w:cs="Arial"/>
          <w:b/>
          <w:bCs/>
          <w:sz w:val="28"/>
          <w:szCs w:val="24"/>
        </w:rPr>
        <w:t>Patterns of antibiotic prescription and sales in the Buea Health District, Cameroon: Implications for rational use and antimicrobial Resistance Control</w:t>
      </w:r>
    </w:p>
    <w:p w14:paraId="7AE8F420" w14:textId="77777777" w:rsidR="00A258C3" w:rsidRPr="00182627" w:rsidRDefault="00A258C3" w:rsidP="00441B6F">
      <w:pPr>
        <w:pStyle w:val="Author"/>
        <w:spacing w:line="240" w:lineRule="auto"/>
        <w:jc w:val="both"/>
        <w:rPr>
          <w:rFonts w:ascii="Arial" w:hAnsi="Arial" w:cs="Arial"/>
          <w:sz w:val="36"/>
        </w:rPr>
      </w:pPr>
    </w:p>
    <w:p w14:paraId="56516CBD" w14:textId="77777777" w:rsidR="00790ADA" w:rsidRDefault="00790ADA" w:rsidP="00441B6F">
      <w:pPr>
        <w:pStyle w:val="Affiliation"/>
        <w:spacing w:after="0" w:line="240" w:lineRule="auto"/>
        <w:jc w:val="both"/>
        <w:rPr>
          <w:rFonts w:ascii="Arial" w:hAnsi="Arial" w:cs="Arial"/>
        </w:rPr>
      </w:pPr>
    </w:p>
    <w:p w14:paraId="0CC5613C" w14:textId="77777777" w:rsidR="002C57D2" w:rsidRPr="00FB3A86" w:rsidRDefault="002C57D2" w:rsidP="00441B6F">
      <w:pPr>
        <w:pStyle w:val="Affiliation"/>
        <w:spacing w:after="0" w:line="240" w:lineRule="auto"/>
        <w:jc w:val="both"/>
        <w:rPr>
          <w:rFonts w:ascii="Arial" w:hAnsi="Arial" w:cs="Arial"/>
        </w:rPr>
      </w:pPr>
    </w:p>
    <w:p w14:paraId="0B2FF4B8" w14:textId="6E44B5B1" w:rsidR="00B01FCD" w:rsidRPr="00FB3A86" w:rsidRDefault="00A070A3" w:rsidP="00441B6F">
      <w:pPr>
        <w:pStyle w:val="Copyright"/>
        <w:spacing w:after="0" w:line="240" w:lineRule="auto"/>
        <w:jc w:val="both"/>
        <w:rPr>
          <w:rFonts w:ascii="Arial" w:hAnsi="Arial" w:cs="Arial"/>
        </w:rPr>
        <w:sectPr w:rsidR="00B01FCD" w:rsidRPr="00FB3A86" w:rsidSect="00CB770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197744" wp14:editId="3A30694E">
                <wp:extent cx="5303520" cy="635"/>
                <wp:effectExtent l="9525" t="10160" r="11430"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C9D7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9CBF9FB" w14:textId="5BFD46C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41E26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53DBF8C" w14:textId="77777777" w:rsidTr="001E44FE">
        <w:tc>
          <w:tcPr>
            <w:tcW w:w="9576" w:type="dxa"/>
            <w:shd w:val="clear" w:color="auto" w:fill="F2F2F2"/>
          </w:tcPr>
          <w:p w14:paraId="1FAA6A9D" w14:textId="77777777" w:rsidR="00E3114E" w:rsidRDefault="00E3114E" w:rsidP="00441B6F">
            <w:pPr>
              <w:pStyle w:val="Body"/>
              <w:spacing w:after="0"/>
              <w:rPr>
                <w:rFonts w:ascii="Arial" w:eastAsia="Calibri" w:hAnsi="Arial" w:cs="Arial"/>
                <w:b/>
                <w:szCs w:val="22"/>
              </w:rPr>
            </w:pPr>
          </w:p>
          <w:p w14:paraId="538273F1" w14:textId="77777777" w:rsidR="00B16C49" w:rsidRPr="00C93ECD" w:rsidRDefault="00BA1B01" w:rsidP="00C93ECD">
            <w:pPr>
              <w:spacing w:line="276" w:lineRule="auto"/>
              <w:jc w:val="both"/>
              <w:rPr>
                <w:rFonts w:ascii="Arial" w:hAnsi="Arial" w:cs="Arial"/>
              </w:rPr>
            </w:pPr>
            <w:r w:rsidRPr="00C93ECD">
              <w:rPr>
                <w:rFonts w:ascii="Arial" w:eastAsia="Calibri" w:hAnsi="Arial" w:cs="Arial"/>
                <w:b/>
              </w:rPr>
              <w:t xml:space="preserve">Aims: </w:t>
            </w:r>
            <w:r w:rsidR="00B16C49" w:rsidRPr="00C93ECD">
              <w:rPr>
                <w:rFonts w:ascii="Arial" w:hAnsi="Arial" w:cs="Arial"/>
                <w:bCs/>
              </w:rPr>
              <w:t xml:space="preserve">Antibiotic resistance is an escalating global health threat, exacerbated by the irrational use of antibiotics. </w:t>
            </w:r>
            <w:r w:rsidR="00B16C49" w:rsidRPr="00C93ECD">
              <w:rPr>
                <w:rFonts w:ascii="Arial" w:hAnsi="Arial" w:cs="Arial"/>
                <w:color w:val="000000" w:themeColor="text1"/>
              </w:rPr>
              <w:t>Identifying the most prescribed and sold antibiotics in the Buea Health District offers a comprehensive yet focused approach to understanding local antibiotic use</w:t>
            </w:r>
            <w:r w:rsidR="00B16C49" w:rsidRPr="00C93ECD">
              <w:rPr>
                <w:rFonts w:ascii="Arial" w:hAnsi="Arial" w:cs="Arial"/>
                <w:bCs/>
              </w:rPr>
              <w:t xml:space="preserve"> and consumption. </w:t>
            </w:r>
          </w:p>
          <w:p w14:paraId="1B9E57A2" w14:textId="171F098D" w:rsidR="00BA1B01" w:rsidRPr="00C93ECD" w:rsidRDefault="00BA1B01" w:rsidP="00C93ECD">
            <w:pPr>
              <w:pStyle w:val="Body"/>
              <w:spacing w:after="0" w:line="276" w:lineRule="auto"/>
              <w:rPr>
                <w:rFonts w:ascii="Arial" w:eastAsia="Calibri" w:hAnsi="Arial" w:cs="Arial"/>
              </w:rPr>
            </w:pPr>
            <w:r w:rsidRPr="00C93ECD">
              <w:rPr>
                <w:rFonts w:ascii="Arial" w:eastAsia="Calibri" w:hAnsi="Arial" w:cs="Arial"/>
                <w:b/>
              </w:rPr>
              <w:t>Study design:</w:t>
            </w:r>
            <w:r w:rsidRPr="00C93ECD">
              <w:rPr>
                <w:rFonts w:ascii="Arial" w:eastAsia="Calibri" w:hAnsi="Arial" w:cs="Arial"/>
              </w:rPr>
              <w:t xml:space="preserve">  </w:t>
            </w:r>
            <w:r w:rsidR="00B16C49" w:rsidRPr="00C93ECD">
              <w:rPr>
                <w:rFonts w:ascii="Arial" w:eastAsia="Calibri" w:hAnsi="Arial" w:cs="Arial"/>
              </w:rPr>
              <w:t>C</w:t>
            </w:r>
            <w:r w:rsidR="00B16C49" w:rsidRPr="00C93ECD">
              <w:rPr>
                <w:rFonts w:ascii="Arial" w:hAnsi="Arial" w:cs="Arial"/>
              </w:rPr>
              <w:t>ross-sectional study</w:t>
            </w:r>
          </w:p>
          <w:p w14:paraId="2494AE48" w14:textId="6D731F05" w:rsidR="00BA1B01" w:rsidRPr="00C93ECD" w:rsidRDefault="00BA1B01" w:rsidP="00C93ECD">
            <w:pPr>
              <w:pStyle w:val="Body"/>
              <w:spacing w:after="0" w:line="276" w:lineRule="auto"/>
              <w:rPr>
                <w:rFonts w:ascii="Arial" w:eastAsia="Calibri" w:hAnsi="Arial" w:cs="Arial"/>
              </w:rPr>
            </w:pPr>
            <w:r w:rsidRPr="00C93ECD">
              <w:rPr>
                <w:rFonts w:ascii="Arial" w:eastAsia="Calibri" w:hAnsi="Arial" w:cs="Arial"/>
                <w:b/>
              </w:rPr>
              <w:t>Place and Duration of Study:</w:t>
            </w:r>
            <w:r w:rsidRPr="00C93ECD">
              <w:rPr>
                <w:rFonts w:ascii="Arial" w:eastAsia="Calibri" w:hAnsi="Arial" w:cs="Arial"/>
              </w:rPr>
              <w:t xml:space="preserve"> </w:t>
            </w:r>
            <w:r w:rsidR="00B16C49" w:rsidRPr="00C93ECD">
              <w:rPr>
                <w:rFonts w:ascii="Arial" w:hAnsi="Arial" w:cs="Arial"/>
              </w:rPr>
              <w:t>Buea Health District of South West Region</w:t>
            </w:r>
            <w:r w:rsidR="00CC637F">
              <w:rPr>
                <w:rFonts w:ascii="Arial" w:hAnsi="Arial" w:cs="Arial"/>
              </w:rPr>
              <w:t xml:space="preserve">, </w:t>
            </w:r>
            <w:r w:rsidR="00B16C49" w:rsidRPr="00C93ECD">
              <w:rPr>
                <w:rFonts w:ascii="Arial" w:hAnsi="Arial" w:cs="Arial"/>
              </w:rPr>
              <w:t xml:space="preserve">Cameroon, </w:t>
            </w:r>
            <w:r w:rsidRPr="00C93ECD">
              <w:rPr>
                <w:rFonts w:ascii="Arial" w:eastAsia="Calibri" w:hAnsi="Arial" w:cs="Arial"/>
              </w:rPr>
              <w:t xml:space="preserve">between </w:t>
            </w:r>
            <w:r w:rsidR="00B16C49" w:rsidRPr="00C93ECD">
              <w:rPr>
                <w:rFonts w:ascii="Arial" w:eastAsia="Calibri" w:hAnsi="Arial" w:cs="Arial"/>
              </w:rPr>
              <w:t>Dec</w:t>
            </w:r>
            <w:r w:rsidR="00CC637F">
              <w:rPr>
                <w:rFonts w:ascii="Arial" w:eastAsia="Calibri" w:hAnsi="Arial" w:cs="Arial"/>
              </w:rPr>
              <w:t>ember</w:t>
            </w:r>
            <w:r w:rsidR="00B16C49" w:rsidRPr="00C93ECD">
              <w:rPr>
                <w:rFonts w:ascii="Arial" w:eastAsia="Calibri" w:hAnsi="Arial" w:cs="Arial"/>
              </w:rPr>
              <w:t xml:space="preserve"> </w:t>
            </w:r>
            <w:r w:rsidR="00C93ECD" w:rsidRPr="00C93ECD">
              <w:rPr>
                <w:rFonts w:ascii="Arial" w:eastAsia="Calibri" w:hAnsi="Arial" w:cs="Arial"/>
              </w:rPr>
              <w:t>2024 and</w:t>
            </w:r>
            <w:r w:rsidRPr="00C93ECD">
              <w:rPr>
                <w:rFonts w:ascii="Arial" w:eastAsia="Calibri" w:hAnsi="Arial" w:cs="Arial"/>
              </w:rPr>
              <w:t xml:space="preserve"> July 20</w:t>
            </w:r>
            <w:r w:rsidR="00B16C49" w:rsidRPr="00C93ECD">
              <w:rPr>
                <w:rFonts w:ascii="Arial" w:eastAsia="Calibri" w:hAnsi="Arial" w:cs="Arial"/>
              </w:rPr>
              <w:t>05</w:t>
            </w:r>
            <w:r w:rsidRPr="00C93ECD">
              <w:rPr>
                <w:rFonts w:ascii="Arial" w:eastAsia="Calibri" w:hAnsi="Arial" w:cs="Arial"/>
              </w:rPr>
              <w:t>.</w:t>
            </w:r>
          </w:p>
          <w:p w14:paraId="51DE0501" w14:textId="35B2BE02" w:rsidR="00B16C49" w:rsidRPr="00C93ECD" w:rsidRDefault="00BA1B01" w:rsidP="00C93ECD">
            <w:pPr>
              <w:pStyle w:val="NormalWeb"/>
              <w:spacing w:before="0" w:beforeAutospacing="0" w:line="276" w:lineRule="auto"/>
              <w:jc w:val="both"/>
              <w:rPr>
                <w:rFonts w:ascii="Arial" w:hAnsi="Arial" w:cs="Arial"/>
                <w:sz w:val="20"/>
                <w:szCs w:val="20"/>
              </w:rPr>
            </w:pPr>
            <w:r w:rsidRPr="00C93ECD">
              <w:rPr>
                <w:rFonts w:ascii="Arial" w:eastAsia="Calibri" w:hAnsi="Arial" w:cs="Arial"/>
                <w:b/>
                <w:bCs/>
                <w:sz w:val="20"/>
                <w:szCs w:val="20"/>
              </w:rPr>
              <w:t>Methodology:</w:t>
            </w:r>
            <w:r w:rsidRPr="00C93ECD">
              <w:rPr>
                <w:rFonts w:ascii="Arial" w:eastAsia="Calibri" w:hAnsi="Arial" w:cs="Arial"/>
                <w:sz w:val="20"/>
                <w:szCs w:val="20"/>
              </w:rPr>
              <w:t xml:space="preserve"> </w:t>
            </w:r>
            <w:r w:rsidR="00C93ECD">
              <w:rPr>
                <w:rFonts w:ascii="Arial" w:eastAsia="Calibri" w:hAnsi="Arial" w:cs="Arial"/>
                <w:sz w:val="20"/>
                <w:szCs w:val="20"/>
              </w:rPr>
              <w:t>I</w:t>
            </w:r>
            <w:r w:rsidR="00B16C49" w:rsidRPr="00C93ECD">
              <w:rPr>
                <w:rFonts w:ascii="Arial" w:hAnsi="Arial" w:cs="Arial"/>
                <w:sz w:val="20"/>
                <w:szCs w:val="20"/>
              </w:rPr>
              <w:t>nformation on most prescribed and most sold antibiotics were gotten from prescribing medical doctors and drug vendors respectively in the Buea Health district by use of a questionnaire. Numeric variables</w:t>
            </w:r>
            <w:r w:rsidR="00C93ECD">
              <w:rPr>
                <w:rFonts w:ascii="Arial" w:hAnsi="Arial" w:cs="Arial"/>
                <w:sz w:val="20"/>
                <w:szCs w:val="20"/>
              </w:rPr>
              <w:t xml:space="preserve"> </w:t>
            </w:r>
            <w:r w:rsidR="00B16C49" w:rsidRPr="00C93ECD">
              <w:rPr>
                <w:rFonts w:ascii="Arial" w:hAnsi="Arial" w:cs="Arial"/>
                <w:sz w:val="20"/>
                <w:szCs w:val="20"/>
              </w:rPr>
              <w:t xml:space="preserve">were summarized using means and standard deviations. Categorical variables were described using frequencies and percentages. A </w:t>
            </w:r>
            <w:r w:rsidR="00B16C49" w:rsidRPr="00365FBA">
              <w:rPr>
                <w:rFonts w:ascii="Arial" w:hAnsi="Arial" w:cs="Arial"/>
                <w:i/>
                <w:iCs/>
                <w:sz w:val="20"/>
                <w:szCs w:val="20"/>
              </w:rPr>
              <w:t>P</w:t>
            </w:r>
            <w:r w:rsidR="00B16C49" w:rsidRPr="00C93ECD">
              <w:rPr>
                <w:rFonts w:ascii="Arial" w:hAnsi="Arial" w:cs="Arial"/>
                <w:sz w:val="20"/>
                <w:szCs w:val="20"/>
              </w:rPr>
              <w:t>-value of &lt;0.05 was considered statistically significant</w:t>
            </w:r>
            <w:r w:rsidR="00C93ECD">
              <w:rPr>
                <w:rFonts w:ascii="Arial" w:hAnsi="Arial" w:cs="Arial"/>
                <w:sz w:val="20"/>
                <w:szCs w:val="20"/>
              </w:rPr>
              <w:t xml:space="preserve"> for </w:t>
            </w:r>
            <w:proofErr w:type="spellStart"/>
            <w:r w:rsidR="00C93ECD">
              <w:rPr>
                <w:rFonts w:ascii="Arial" w:hAnsi="Arial" w:cs="Arial"/>
                <w:sz w:val="20"/>
                <w:szCs w:val="20"/>
              </w:rPr>
              <w:t>p</w:t>
            </w:r>
            <w:r w:rsidR="00C93ECD" w:rsidRPr="00C93ECD">
              <w:rPr>
                <w:rFonts w:ascii="Arial" w:hAnsi="Arial" w:cs="Arial"/>
                <w:sz w:val="20"/>
                <w:szCs w:val="20"/>
              </w:rPr>
              <w:t>earson</w:t>
            </w:r>
            <w:proofErr w:type="spellEnd"/>
            <w:r w:rsidR="00C93ECD" w:rsidRPr="00C93ECD">
              <w:rPr>
                <w:rFonts w:ascii="Arial" w:hAnsi="Arial" w:cs="Arial"/>
                <w:sz w:val="20"/>
                <w:szCs w:val="20"/>
              </w:rPr>
              <w:t xml:space="preserve"> chi square test</w:t>
            </w:r>
          </w:p>
          <w:p w14:paraId="76EEBE1E" w14:textId="4D72C690" w:rsidR="00BA1B01" w:rsidRPr="00C93ECD" w:rsidRDefault="00BA1B01" w:rsidP="00C93ECD">
            <w:pPr>
              <w:pStyle w:val="Body"/>
              <w:spacing w:after="0" w:line="276" w:lineRule="auto"/>
              <w:rPr>
                <w:rFonts w:ascii="Arial" w:eastAsia="Calibri" w:hAnsi="Arial" w:cs="Arial"/>
              </w:rPr>
            </w:pPr>
            <w:r w:rsidRPr="00C93ECD">
              <w:rPr>
                <w:rFonts w:ascii="Arial" w:eastAsia="Calibri" w:hAnsi="Arial" w:cs="Arial"/>
              </w:rPr>
              <w:t>.</w:t>
            </w:r>
          </w:p>
          <w:p w14:paraId="325C9CF5" w14:textId="703D3738" w:rsidR="00B16C49" w:rsidRPr="00C93ECD" w:rsidRDefault="00BA1B01" w:rsidP="00C93ECD">
            <w:pPr>
              <w:spacing w:line="276" w:lineRule="auto"/>
              <w:jc w:val="both"/>
              <w:rPr>
                <w:rFonts w:ascii="Arial" w:hAnsi="Arial" w:cs="Arial"/>
                <w:b/>
              </w:rPr>
            </w:pPr>
            <w:r w:rsidRPr="00C93ECD">
              <w:rPr>
                <w:rFonts w:ascii="Arial" w:eastAsia="Calibri" w:hAnsi="Arial" w:cs="Arial"/>
                <w:b/>
                <w:bCs/>
              </w:rPr>
              <w:t>Results:</w:t>
            </w:r>
            <w:r w:rsidRPr="00C93ECD">
              <w:rPr>
                <w:rFonts w:ascii="Arial" w:eastAsia="Calibri" w:hAnsi="Arial" w:cs="Arial"/>
              </w:rPr>
              <w:t xml:space="preserve"> </w:t>
            </w:r>
            <w:r w:rsidR="00B16C49" w:rsidRPr="00C93ECD">
              <w:rPr>
                <w:rFonts w:ascii="Arial" w:hAnsi="Arial" w:cs="Arial"/>
                <w:bCs/>
              </w:rPr>
              <w:t xml:space="preserve">Among the 66 medical doctors (mean age: </w:t>
            </w:r>
            <w:r w:rsidR="00B16C49" w:rsidRPr="00C93ECD">
              <w:rPr>
                <w:rFonts w:ascii="Arial" w:hAnsi="Arial" w:cs="Arial"/>
              </w:rPr>
              <w:t>33.59±7.7 years)</w:t>
            </w:r>
            <w:r w:rsidR="00B16C49" w:rsidRPr="00C93ECD">
              <w:rPr>
                <w:rFonts w:ascii="Arial" w:hAnsi="Arial" w:cs="Arial"/>
                <w:bCs/>
              </w:rPr>
              <w:t xml:space="preserve"> enrolled, 56.1%, </w:t>
            </w:r>
            <w:r w:rsidR="00B16C49" w:rsidRPr="00C93ECD">
              <w:rPr>
                <w:rFonts w:ascii="Arial" w:hAnsi="Arial" w:cs="Arial"/>
              </w:rPr>
              <w:t xml:space="preserve">25.8%, 24.2% admitted that ceftriaxone, amoxicillin-clavulanic acid and </w:t>
            </w:r>
            <w:r w:rsidR="00B16C49" w:rsidRPr="00C93ECD">
              <w:rPr>
                <w:rFonts w:ascii="Arial" w:hAnsi="Arial" w:cs="Arial"/>
                <w:bCs/>
              </w:rPr>
              <w:t>metronidazole</w:t>
            </w:r>
            <w:r w:rsidR="00B16C49" w:rsidRPr="00C93ECD">
              <w:rPr>
                <w:rFonts w:ascii="Arial" w:hAnsi="Arial" w:cs="Arial"/>
              </w:rPr>
              <w:t xml:space="preserve"> were their first, second and third most prescribed antibiotics respectively. Clinicians with </w:t>
            </w:r>
            <w:r w:rsidR="00B16C49" w:rsidRPr="00C93ECD">
              <w:rPr>
                <w:rStyle w:val="Strong"/>
                <w:rFonts w:ascii="Arial" w:hAnsi="Arial" w:cs="Arial"/>
                <w:b w:val="0"/>
                <w:bCs w:val="0"/>
              </w:rPr>
              <w:t>&gt; 5 years</w:t>
            </w:r>
            <w:r w:rsidR="00B16C49" w:rsidRPr="00C93ECD">
              <w:rPr>
                <w:rStyle w:val="Strong"/>
                <w:rFonts w:ascii="Arial" w:hAnsi="Arial" w:cs="Arial"/>
              </w:rPr>
              <w:t xml:space="preserve"> </w:t>
            </w:r>
            <w:r w:rsidR="00B16C49" w:rsidRPr="00C93ECD">
              <w:rPr>
                <w:rStyle w:val="Strong"/>
                <w:rFonts w:ascii="Arial" w:hAnsi="Arial" w:cs="Arial"/>
                <w:b w:val="0"/>
                <w:bCs w:val="0"/>
              </w:rPr>
              <w:t>of experience</w:t>
            </w:r>
            <w:r w:rsidR="00B16C49" w:rsidRPr="00C93ECD">
              <w:rPr>
                <w:rFonts w:ascii="Arial" w:hAnsi="Arial" w:cs="Arial"/>
                <w:b/>
                <w:bCs/>
              </w:rPr>
              <w:t xml:space="preserve"> </w:t>
            </w:r>
            <w:r w:rsidR="00B16C49" w:rsidRPr="00C93ECD">
              <w:rPr>
                <w:rFonts w:ascii="Arial" w:hAnsi="Arial" w:cs="Arial"/>
              </w:rPr>
              <w:t xml:space="preserve">were </w:t>
            </w:r>
            <w:r w:rsidR="00B16C49" w:rsidRPr="00C93ECD">
              <w:rPr>
                <w:rStyle w:val="Strong"/>
                <w:rFonts w:ascii="Arial" w:hAnsi="Arial" w:cs="Arial"/>
                <w:b w:val="0"/>
                <w:bCs w:val="0"/>
              </w:rPr>
              <w:t>significantly more likely</w:t>
            </w:r>
            <w:r w:rsidR="00B16C49" w:rsidRPr="00C93ECD">
              <w:rPr>
                <w:rStyle w:val="Strong"/>
                <w:rFonts w:ascii="Arial" w:hAnsi="Arial" w:cs="Arial"/>
              </w:rPr>
              <w:t xml:space="preserve"> (</w:t>
            </w:r>
            <w:r w:rsidR="00B16C49" w:rsidRPr="00C93ECD">
              <w:rPr>
                <w:rFonts w:ascii="Arial" w:hAnsi="Arial" w:cs="Arial"/>
              </w:rPr>
              <w:t xml:space="preserve">χ² [P-value]: 4.15 [0.042]) to choose ceftriaxone as their first-choice antibiotic (72 %) as compared to those with </w:t>
            </w:r>
            <w:r w:rsidR="00B16C49" w:rsidRPr="00C93ECD">
              <w:rPr>
                <w:rFonts w:ascii="Arial" w:hAnsi="Arial" w:cs="Arial"/>
                <w:b/>
                <w:bCs/>
              </w:rPr>
              <w:t xml:space="preserve">≤ </w:t>
            </w:r>
            <w:r w:rsidR="00B16C49" w:rsidRPr="00C93ECD">
              <w:rPr>
                <w:rStyle w:val="Strong"/>
                <w:rFonts w:ascii="Arial" w:hAnsi="Arial" w:cs="Arial"/>
                <w:b w:val="0"/>
                <w:bCs w:val="0"/>
              </w:rPr>
              <w:t>5 years</w:t>
            </w:r>
            <w:r w:rsidR="00B16C49" w:rsidRPr="00C93ECD">
              <w:rPr>
                <w:rStyle w:val="Strong"/>
                <w:rFonts w:ascii="Arial" w:hAnsi="Arial" w:cs="Arial"/>
              </w:rPr>
              <w:t xml:space="preserve"> </w:t>
            </w:r>
            <w:r w:rsidR="00B16C49" w:rsidRPr="00C93ECD">
              <w:rPr>
                <w:rFonts w:ascii="Arial" w:hAnsi="Arial" w:cs="Arial"/>
              </w:rPr>
              <w:t xml:space="preserve">(46.3 %). Out of the 132 drug vendors enrolled, 54 (40.9%), 40 (30.3%) and 41 (31.1%) reported that ceftriaxone, doxycycline and azithromycin, as their first, second and third most sold antibiotic respectively. </w:t>
            </w:r>
            <w:r w:rsidR="00B16C49" w:rsidRPr="00C93ECD">
              <w:rPr>
                <w:rFonts w:ascii="Arial" w:hAnsi="Arial" w:cs="Arial"/>
                <w:bCs/>
              </w:rPr>
              <w:t>Ceftriaxone was identified as both the most prescribed (56.1%) and most sold (40.9%) antibiotic.</w:t>
            </w:r>
            <w:r w:rsidR="00B16C49" w:rsidRPr="00C93ECD">
              <w:rPr>
                <w:rFonts w:ascii="Arial" w:hAnsi="Arial" w:cs="Arial"/>
              </w:rPr>
              <w:t xml:space="preserve"> </w:t>
            </w:r>
          </w:p>
          <w:p w14:paraId="2FD23669" w14:textId="7F028B81" w:rsidR="00B16C49" w:rsidRPr="00C93ECD" w:rsidRDefault="00BA1B01" w:rsidP="00C93ECD">
            <w:pPr>
              <w:pStyle w:val="ListParagraph"/>
              <w:spacing w:after="0" w:line="276" w:lineRule="auto"/>
              <w:ind w:left="0"/>
              <w:jc w:val="both"/>
              <w:rPr>
                <w:rStyle w:val="Strong"/>
                <w:rFonts w:ascii="Arial" w:hAnsi="Arial" w:cs="Arial"/>
                <w:sz w:val="20"/>
                <w:szCs w:val="20"/>
              </w:rPr>
            </w:pPr>
            <w:r w:rsidRPr="00C93ECD">
              <w:rPr>
                <w:rFonts w:ascii="Arial" w:hAnsi="Arial" w:cs="Arial"/>
                <w:b/>
                <w:bCs/>
                <w:sz w:val="20"/>
                <w:szCs w:val="20"/>
              </w:rPr>
              <w:t>Conclusion:</w:t>
            </w:r>
            <w:r w:rsidRPr="00C93ECD">
              <w:rPr>
                <w:rFonts w:ascii="Arial" w:hAnsi="Arial" w:cs="Arial"/>
                <w:sz w:val="20"/>
                <w:szCs w:val="20"/>
              </w:rPr>
              <w:t xml:space="preserve"> </w:t>
            </w:r>
            <w:r w:rsidR="00B16C49" w:rsidRPr="00C93ECD">
              <w:rPr>
                <w:rFonts w:ascii="Arial" w:hAnsi="Arial" w:cs="Arial"/>
                <w:bCs/>
                <w:sz w:val="20"/>
                <w:szCs w:val="20"/>
              </w:rPr>
              <w:t>Ceftriaxone was identified as both the most prescribed (56.1%) and most sold (40.9%) antibiotic.</w:t>
            </w:r>
            <w:r w:rsidR="00B16C49" w:rsidRPr="00C93ECD">
              <w:rPr>
                <w:rFonts w:ascii="Arial" w:hAnsi="Arial" w:cs="Arial"/>
                <w:sz w:val="20"/>
                <w:szCs w:val="20"/>
              </w:rPr>
              <w:t xml:space="preserve"> The Public health sector should ensure that WATCH antibiotics like </w:t>
            </w:r>
            <w:r w:rsidR="00B16C49" w:rsidRPr="00C93ECD">
              <w:rPr>
                <w:rStyle w:val="Strong"/>
                <w:rFonts w:ascii="Arial" w:hAnsi="Arial" w:cs="Arial"/>
                <w:b w:val="0"/>
                <w:bCs w:val="0"/>
                <w:sz w:val="20"/>
                <w:szCs w:val="20"/>
              </w:rPr>
              <w:t>ceftriaxone</w:t>
            </w:r>
            <w:r w:rsidR="00B16C49" w:rsidRPr="00C93ECD">
              <w:rPr>
                <w:rFonts w:ascii="Arial" w:hAnsi="Arial" w:cs="Arial"/>
                <w:sz w:val="20"/>
                <w:szCs w:val="20"/>
              </w:rPr>
              <w:t xml:space="preserve"> are prescribed appropriatel</w:t>
            </w:r>
            <w:r w:rsidR="00CC637F">
              <w:rPr>
                <w:rFonts w:ascii="Arial" w:hAnsi="Arial" w:cs="Arial"/>
                <w:sz w:val="20"/>
                <w:szCs w:val="20"/>
              </w:rPr>
              <w:t>y</w:t>
            </w:r>
            <w:r w:rsidR="00B16C49" w:rsidRPr="00C93ECD">
              <w:rPr>
                <w:rFonts w:ascii="Arial" w:hAnsi="Arial" w:cs="Arial"/>
                <w:b/>
                <w:bCs/>
                <w:sz w:val="20"/>
                <w:szCs w:val="20"/>
              </w:rPr>
              <w:t xml:space="preserve">. </w:t>
            </w:r>
            <w:r w:rsidR="00B16C49" w:rsidRPr="00C93ECD">
              <w:rPr>
                <w:rStyle w:val="Strong"/>
                <w:rFonts w:ascii="Arial" w:hAnsi="Arial" w:cs="Arial"/>
                <w:b w:val="0"/>
                <w:bCs w:val="0"/>
                <w:sz w:val="20"/>
                <w:szCs w:val="20"/>
              </w:rPr>
              <w:t>In order to maximize the chances of having the three most prescribed antibiotics being the same as the three most sold</w:t>
            </w:r>
            <w:r w:rsidR="00B16C49" w:rsidRPr="00C93ECD">
              <w:rPr>
                <w:rStyle w:val="Strong"/>
                <w:rFonts w:ascii="Arial" w:hAnsi="Arial" w:cs="Arial"/>
                <w:sz w:val="20"/>
                <w:szCs w:val="20"/>
              </w:rPr>
              <w:t xml:space="preserve">, </w:t>
            </w:r>
            <w:r w:rsidR="00B16C49" w:rsidRPr="00C93ECD">
              <w:rPr>
                <w:rFonts w:ascii="Arial" w:hAnsi="Arial" w:cs="Arial"/>
                <w:sz w:val="20"/>
                <w:szCs w:val="20"/>
              </w:rPr>
              <w:t xml:space="preserve">it is crucial to </w:t>
            </w:r>
            <w:r w:rsidR="00B16C49" w:rsidRPr="00C93ECD">
              <w:rPr>
                <w:rStyle w:val="Strong"/>
                <w:rFonts w:ascii="Arial" w:hAnsi="Arial" w:cs="Arial"/>
                <w:b w:val="0"/>
                <w:bCs w:val="0"/>
                <w:sz w:val="20"/>
                <w:szCs w:val="20"/>
              </w:rPr>
              <w:t>regulate over-the-counter sales</w:t>
            </w:r>
            <w:r w:rsidR="00B16C49" w:rsidRPr="00C93ECD">
              <w:rPr>
                <w:rFonts w:ascii="Arial" w:hAnsi="Arial" w:cs="Arial"/>
                <w:sz w:val="20"/>
                <w:szCs w:val="20"/>
              </w:rPr>
              <w:t xml:space="preserve"> and address </w:t>
            </w:r>
            <w:r w:rsidR="00B16C49" w:rsidRPr="00C93ECD">
              <w:rPr>
                <w:rStyle w:val="Strong"/>
                <w:rFonts w:ascii="Arial" w:hAnsi="Arial" w:cs="Arial"/>
                <w:b w:val="0"/>
                <w:bCs w:val="0"/>
                <w:sz w:val="20"/>
                <w:szCs w:val="20"/>
              </w:rPr>
              <w:t>self-medication</w:t>
            </w:r>
            <w:r w:rsidR="00B16C49" w:rsidRPr="00C93ECD">
              <w:rPr>
                <w:rFonts w:ascii="Arial" w:hAnsi="Arial" w:cs="Arial"/>
                <w:sz w:val="20"/>
                <w:szCs w:val="20"/>
              </w:rPr>
              <w:t xml:space="preserve"> by </w:t>
            </w:r>
            <w:r w:rsidR="00B16C49" w:rsidRPr="00C93ECD">
              <w:rPr>
                <w:rStyle w:val="Strong"/>
                <w:rFonts w:ascii="Arial" w:hAnsi="Arial" w:cs="Arial"/>
                <w:b w:val="0"/>
                <w:bCs w:val="0"/>
                <w:sz w:val="20"/>
                <w:szCs w:val="20"/>
              </w:rPr>
              <w:t>improving public health education</w:t>
            </w:r>
            <w:r w:rsidR="00B16C49" w:rsidRPr="00C93ECD">
              <w:rPr>
                <w:rStyle w:val="Strong"/>
                <w:rFonts w:ascii="Arial" w:hAnsi="Arial" w:cs="Arial"/>
                <w:sz w:val="20"/>
                <w:szCs w:val="20"/>
              </w:rPr>
              <w:t>.</w:t>
            </w:r>
          </w:p>
          <w:p w14:paraId="1974E9E5" w14:textId="2E7E2EED" w:rsidR="00505F06" w:rsidRPr="00BA1B01" w:rsidRDefault="00505F06" w:rsidP="00441B6F">
            <w:pPr>
              <w:pStyle w:val="Body"/>
              <w:spacing w:after="0"/>
              <w:rPr>
                <w:rFonts w:ascii="Arial" w:eastAsia="Calibri" w:hAnsi="Arial" w:cs="Arial"/>
                <w:szCs w:val="22"/>
              </w:rPr>
            </w:pPr>
          </w:p>
        </w:tc>
      </w:tr>
    </w:tbl>
    <w:p w14:paraId="1CEA3108" w14:textId="77777777" w:rsidR="00636EB2" w:rsidRDefault="00636EB2" w:rsidP="00441B6F">
      <w:pPr>
        <w:pStyle w:val="Body"/>
        <w:spacing w:after="0"/>
        <w:rPr>
          <w:rFonts w:ascii="Arial" w:hAnsi="Arial" w:cs="Arial"/>
          <w:i/>
        </w:rPr>
      </w:pPr>
    </w:p>
    <w:p w14:paraId="5F67CB35" w14:textId="5FFA1D4F" w:rsidR="00A24E7E" w:rsidRDefault="00A24E7E" w:rsidP="00441B6F">
      <w:pPr>
        <w:pStyle w:val="Body"/>
        <w:spacing w:after="0"/>
        <w:rPr>
          <w:rFonts w:ascii="Arial" w:hAnsi="Arial" w:cs="Arial"/>
          <w:i/>
        </w:rPr>
      </w:pPr>
      <w:r>
        <w:rPr>
          <w:rFonts w:ascii="Arial" w:hAnsi="Arial" w:cs="Arial"/>
          <w:i/>
        </w:rPr>
        <w:t>Keywords</w:t>
      </w:r>
      <w:r w:rsidRPr="00C93ECD">
        <w:rPr>
          <w:rFonts w:ascii="Arial" w:hAnsi="Arial" w:cs="Arial"/>
          <w:i/>
        </w:rPr>
        <w:t xml:space="preserve">: </w:t>
      </w:r>
      <w:r w:rsidR="00C93ECD" w:rsidRPr="00C93ECD">
        <w:rPr>
          <w:rFonts w:ascii="Arial" w:hAnsi="Arial" w:cs="Arial"/>
          <w:i/>
          <w:szCs w:val="24"/>
        </w:rPr>
        <w:t xml:space="preserve">Antimicrobial resistance, </w:t>
      </w:r>
      <w:r w:rsidR="00365FBA">
        <w:rPr>
          <w:rFonts w:ascii="Arial" w:hAnsi="Arial" w:cs="Arial"/>
          <w:i/>
          <w:szCs w:val="24"/>
        </w:rPr>
        <w:t>antibiotics</w:t>
      </w:r>
      <w:r w:rsidR="00365FBA">
        <w:rPr>
          <w:rFonts w:ascii="Arial" w:hAnsi="Arial" w:cs="Arial"/>
          <w:i/>
        </w:rPr>
        <w:t xml:space="preserve">, </w:t>
      </w:r>
      <w:r w:rsidR="00C93ECD" w:rsidRPr="00C93ECD">
        <w:rPr>
          <w:rFonts w:ascii="Arial" w:hAnsi="Arial" w:cs="Arial"/>
          <w:i/>
          <w:szCs w:val="24"/>
        </w:rPr>
        <w:t>ceftriaxone, prescription, Buea Health District</w:t>
      </w:r>
    </w:p>
    <w:p w14:paraId="2BEB9F26" w14:textId="77777777" w:rsidR="00790ADA" w:rsidRDefault="00790ADA" w:rsidP="00441B6F">
      <w:pPr>
        <w:pStyle w:val="Body"/>
        <w:spacing w:after="0"/>
        <w:rPr>
          <w:rFonts w:ascii="Arial" w:hAnsi="Arial" w:cs="Arial"/>
          <w:i/>
        </w:rPr>
      </w:pPr>
    </w:p>
    <w:p w14:paraId="15BC1AFB" w14:textId="77777777" w:rsidR="0024282C" w:rsidRDefault="0024282C" w:rsidP="00441B6F">
      <w:pPr>
        <w:pStyle w:val="Body"/>
        <w:spacing w:after="0"/>
        <w:rPr>
          <w:rFonts w:ascii="Arial" w:hAnsi="Arial" w:cs="Arial"/>
          <w:i/>
          <w:sz w:val="18"/>
        </w:rPr>
      </w:pPr>
    </w:p>
    <w:p w14:paraId="6C63DDEE" w14:textId="77777777" w:rsidR="00505F06" w:rsidRPr="00A24E7E" w:rsidRDefault="00505F06" w:rsidP="00441B6F">
      <w:pPr>
        <w:pStyle w:val="Body"/>
        <w:spacing w:after="0"/>
        <w:rPr>
          <w:rFonts w:ascii="Arial" w:hAnsi="Arial" w:cs="Arial"/>
          <w:i/>
        </w:rPr>
      </w:pPr>
    </w:p>
    <w:p w14:paraId="4E45EFFE" w14:textId="011F186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14B8EA" w14:textId="77777777" w:rsidR="00790ADA" w:rsidRPr="00FB3A86" w:rsidRDefault="00790ADA" w:rsidP="00441B6F">
      <w:pPr>
        <w:pStyle w:val="AbstHead"/>
        <w:spacing w:after="0"/>
        <w:jc w:val="both"/>
        <w:rPr>
          <w:rFonts w:ascii="Arial" w:hAnsi="Arial" w:cs="Arial"/>
        </w:rPr>
      </w:pPr>
    </w:p>
    <w:p w14:paraId="6DD99D4F" w14:textId="63A1B156" w:rsidR="00CC637F" w:rsidRPr="00CC637F" w:rsidRDefault="00CC637F" w:rsidP="00CC637F">
      <w:pPr>
        <w:spacing w:line="480" w:lineRule="auto"/>
        <w:jc w:val="both"/>
        <w:rPr>
          <w:rFonts w:ascii="Arial" w:hAnsi="Arial" w:cs="Arial"/>
          <w:b/>
        </w:rPr>
      </w:pPr>
      <w:r w:rsidRPr="00CC637F">
        <w:rPr>
          <w:rFonts w:ascii="Arial" w:hAnsi="Arial" w:cs="Arial"/>
        </w:rPr>
        <w:t xml:space="preserve">Antibiotics are important tools in modern medicine, playing a vital role in treating bacterial infections. Since their discovery, antibiotics have significantly reduced morbidity and mortality from bacterial diseases </w:t>
      </w:r>
      <w:r w:rsidRPr="00CC637F">
        <w:rPr>
          <w:rFonts w:ascii="Arial" w:hAnsi="Arial" w:cs="Arial"/>
        </w:rPr>
        <w:fldChar w:fldCharType="begin"/>
      </w:r>
      <w:r w:rsidR="00182627">
        <w:rPr>
          <w:rFonts w:ascii="Arial" w:hAnsi="Arial" w:cs="Arial"/>
        </w:rPr>
        <w:instrText xml:space="preserve"> ADDIN ZOTERO_ITEM CSL_CITATION {"citationID":"BYMdR2pX","properties":{"formattedCitation":"(Cook &amp; Wright, 2022)","plainCitation":"(Cook &amp; Wright, 2022)","noteIndex":0},"citationItems":[{"id":340,"uris":["http://zotero.org/users/13099140/items/AX3FB55L"],"itemData":{"id":340,"type":"article-journal","abstract":"Antibiotics have transformed modern medicine. They are essential for treating infectious diseases and enable vital therapies and procedures. However, despite this success, their continued use in the 21st century is imperiled by two orthogonal challenges. The first is that the microbes targeted by these drugs evolve resistance to them over time. The second is that antibiotic discovery and development are no longer cost-effective using traditional reimbursement models. Consequently, there are a dwindling number of companies and laboratories dedicated to delivering new antibiotics, resulting in an anemic pipeline that threatens our control of infections. The future of antibiotics requires innovation in a field that has relied on highly traditional methods of discovery and development. This will require substantial changes in policy, quantitative understanding of the societal value of these drugs, and investment in alternatives to traditional antibiotics. These include narrow-spectrum drugs, bacteriophage, monoclonal antibodies, and vaccines, coupled with highly effective diagnostics. Addressing the antibiotic crisis to meet our future needs requires considerable investment in both research and development, along with ensuring a viable marketplace that encourages innovation. This review explores the past, present, and future of antimicrobial therapy.","container-title":"Science Translational Medicine","DOI":"10.1126/scitranslmed.abo7793","ISSN":"1946-6242","issue":"657","journalAbbreviation":"Sci Transl Med","language":"eng","note":"PMID: 35947678","page":"eabo7793","source":"PubMed","title":"The past, present, and future of antibiotics","volume":"14","author":[{"family":"Cook","given":"Michael A."},{"family":"Wright","given":"Gerard D."}],"issued":{"date-parts":[["2022",8,10]]}}}],"schema":"https://github.com/citation-style-language/schema/raw/master/csl-citation.json"} </w:instrText>
      </w:r>
      <w:r w:rsidRPr="00CC637F">
        <w:rPr>
          <w:rFonts w:ascii="Arial" w:hAnsi="Arial" w:cs="Arial"/>
        </w:rPr>
        <w:fldChar w:fldCharType="separate"/>
      </w:r>
      <w:r w:rsidR="00182627" w:rsidRPr="00182627">
        <w:rPr>
          <w:rFonts w:ascii="Arial" w:hAnsi="Arial" w:cs="Arial"/>
        </w:rPr>
        <w:t>(Cook &amp; Wright, 2022)</w:t>
      </w:r>
      <w:r w:rsidRPr="00CC637F">
        <w:rPr>
          <w:rFonts w:ascii="Arial" w:hAnsi="Arial" w:cs="Arial"/>
        </w:rPr>
        <w:fldChar w:fldCharType="end"/>
      </w:r>
      <w:r w:rsidRPr="00CC637F">
        <w:rPr>
          <w:rFonts w:ascii="Arial" w:hAnsi="Arial" w:cs="Arial"/>
        </w:rPr>
        <w:t xml:space="preserve">. However, the efficacy of antibiotics is increasingly being jeopardized by the rapid emergence of antibiotic resistant bacteria </w:t>
      </w:r>
      <w:r w:rsidRPr="00CC637F">
        <w:rPr>
          <w:rFonts w:ascii="Arial" w:hAnsi="Arial" w:cs="Arial"/>
        </w:rPr>
        <w:fldChar w:fldCharType="begin"/>
      </w:r>
      <w:r w:rsidR="006A2BA1">
        <w:rPr>
          <w:rFonts w:ascii="Arial" w:hAnsi="Arial" w:cs="Arial"/>
        </w:rPr>
        <w:instrText xml:space="preserve"> ADDIN ZOTERO_ITEM CSL_CITATION {"citationID":"B475CvLC","properties":{"formattedCitation":"(Ahmed et al., 2024)","plainCitation":"(Ahmed et al., 2024)","noteIndex":0},"citationItems":[{"id":345,"uris":["http://zotero.org/users/13099140/items/Z5UELAEL"],"itemData":{"id":345,"type":"article-journal","container-title":"Journal of Medicine, Surgery, and Public Health","DOI":"10.1016/j.glmedi.2024.100081","ISSN":"2949916X","journalAbbreviation":"Journal of Medicine, Surgery, and Public Health","language":"en","page":"100081","source":"DOI.org (Crossref)","title":"Antimicrobial resistance: Impacts, challenges, and future prospects","title-short":"Antimicrobial resistance","volume":"2","author":[{"family":"Ahmed","given":"Sirwan Khalid"},{"family":"Hussein","given":"Safin"},{"family":"Qurbani","given":"Karzan"},{"family":"Ibrahim","given":"Radhwan Hussein"},{"family":"Fareeq","given":"Abdulmalik"},{"family":"Mahmood","given":"Kochr Ali"},{"family":"Mohamed","given":"Mona Gamal"}],"issued":{"date-parts":[["2024",4]]}}}],"schema":"https://github.com/citation-style-language/schema/raw/master/csl-citation.json"} </w:instrText>
      </w:r>
      <w:r w:rsidRPr="00CC637F">
        <w:rPr>
          <w:rFonts w:ascii="Arial" w:hAnsi="Arial" w:cs="Arial"/>
        </w:rPr>
        <w:fldChar w:fldCharType="separate"/>
      </w:r>
      <w:r w:rsidR="00182627" w:rsidRPr="00182627">
        <w:rPr>
          <w:rFonts w:ascii="Arial" w:hAnsi="Arial" w:cs="Arial"/>
        </w:rPr>
        <w:t>(Ahmed et al., 2024)</w:t>
      </w:r>
      <w:r w:rsidRPr="00CC637F">
        <w:rPr>
          <w:rFonts w:ascii="Arial" w:hAnsi="Arial" w:cs="Arial"/>
        </w:rPr>
        <w:fldChar w:fldCharType="end"/>
      </w:r>
      <w:r w:rsidRPr="00CC637F">
        <w:rPr>
          <w:rFonts w:ascii="Arial" w:hAnsi="Arial" w:cs="Arial"/>
        </w:rPr>
        <w:t xml:space="preserve">. The misuse and overuse of antibiotics, especially in hospital settings, have accelerated the development of antimicrobial resistance, making it more challenging to treat common infections </w:t>
      </w:r>
      <w:r w:rsidRPr="00CC637F">
        <w:rPr>
          <w:rFonts w:ascii="Arial" w:hAnsi="Arial" w:cs="Arial"/>
        </w:rPr>
        <w:fldChar w:fldCharType="begin"/>
      </w:r>
      <w:r w:rsidR="006A2BA1">
        <w:rPr>
          <w:rFonts w:ascii="Arial" w:hAnsi="Arial" w:cs="Arial"/>
        </w:rPr>
        <w:instrText xml:space="preserve"> ADDIN ZOTERO_ITEM CSL_CITATION {"citationID":"feHiw6Df","properties":{"formattedCitation":"(Nammi et al., 2025)","plainCitation":"(Nammi et al., 2025)","noteIndex":0},"citationItems":[{"id":346,"uris":["http://zotero.org/users/13099140/items/PIYS77EZ"],"itemData":{"id":346,"type":"article-journal","container-title":"Cureus","DOI":"10.7759/cureus.85941","ISSN":"2168-8184","language":"en","source":"DOI.org (Crossref)","title":"Antibiotic Misuse: An In-Depth Examination of Its Global Consequences and Public Health Challenges","title-short":"Antibiotic Misuse","URL":"https://www.cureus.com/articles/369520-antibiotic-misuse-an-in-depth-examination-of-its-global-consequences-and-public-health-challenges","author":[{"family":"Nammi","given":"Jeevan"},{"family":"Pasala","given":"Roshini"},{"family":"Andhe","given":"Nikhil"},{"family":"Vasam","given":"Ramakanth"},{"family":"Poruri","given":"Ausrit Datta"},{"family":"Sherikar","given":"Ravishankar Raj"}],"accessed":{"date-parts":[["2025",10,27]]},"issued":{"date-parts":[["2025",6,13]]}}}],"schema":"https://github.com/citation-style-language/schema/raw/master/csl-citation.json"} </w:instrText>
      </w:r>
      <w:r w:rsidRPr="00CC637F">
        <w:rPr>
          <w:rFonts w:ascii="Arial" w:hAnsi="Arial" w:cs="Arial"/>
        </w:rPr>
        <w:fldChar w:fldCharType="separate"/>
      </w:r>
      <w:r w:rsidR="00182627" w:rsidRPr="00182627">
        <w:rPr>
          <w:rFonts w:ascii="Arial" w:hAnsi="Arial" w:cs="Arial"/>
        </w:rPr>
        <w:t>(Nammi et al., 2025)</w:t>
      </w:r>
      <w:r w:rsidRPr="00CC637F">
        <w:rPr>
          <w:rFonts w:ascii="Arial" w:hAnsi="Arial" w:cs="Arial"/>
        </w:rPr>
        <w:fldChar w:fldCharType="end"/>
      </w:r>
      <w:r w:rsidRPr="00CC637F">
        <w:rPr>
          <w:rFonts w:ascii="Arial" w:hAnsi="Arial" w:cs="Arial"/>
          <w:b/>
        </w:rPr>
        <w:t>.</w:t>
      </w:r>
    </w:p>
    <w:p w14:paraId="5074D004" w14:textId="1A3FB88A" w:rsidR="00CC637F" w:rsidRPr="00CC637F" w:rsidRDefault="00CC637F" w:rsidP="00CC637F">
      <w:pPr>
        <w:spacing w:before="100" w:beforeAutospacing="1" w:after="100" w:afterAutospacing="1" w:line="480" w:lineRule="auto"/>
        <w:jc w:val="both"/>
        <w:rPr>
          <w:rFonts w:ascii="Arial" w:hAnsi="Arial" w:cs="Arial"/>
          <w:b/>
        </w:rPr>
      </w:pPr>
      <w:r w:rsidRPr="00CC637F">
        <w:rPr>
          <w:rFonts w:ascii="Arial" w:hAnsi="Arial" w:cs="Arial"/>
        </w:rPr>
        <w:t xml:space="preserve">Antimicrobial resistance (AMR) is a growing global health threat, predicted to cause up to </w:t>
      </w:r>
      <w:r w:rsidRPr="00CC637F">
        <w:rPr>
          <w:rStyle w:val="Strong"/>
          <w:rFonts w:ascii="Arial" w:hAnsi="Arial" w:cs="Arial"/>
          <w:b w:val="0"/>
          <w:bCs w:val="0"/>
        </w:rPr>
        <w:t>10 million deaths annually by 2050</w:t>
      </w:r>
      <w:r w:rsidRPr="00CC637F">
        <w:rPr>
          <w:rFonts w:ascii="Arial" w:hAnsi="Arial" w:cs="Arial"/>
        </w:rPr>
        <w:t xml:space="preserve"> if not addressed </w:t>
      </w:r>
      <w:r w:rsidRPr="00CC637F">
        <w:rPr>
          <w:rFonts w:ascii="Arial" w:hAnsi="Arial" w:cs="Arial"/>
        </w:rPr>
        <w:fldChar w:fldCharType="begin"/>
      </w:r>
      <w:r w:rsidR="006A2BA1">
        <w:rPr>
          <w:rFonts w:ascii="Arial" w:hAnsi="Arial" w:cs="Arial"/>
        </w:rPr>
        <w:instrText xml:space="preserve"> ADDIN ZOTERO_ITEM CSL_CITATION {"citationID":"91Gtz1Yz","properties":{"formattedCitation":"(Naghavi et al., 2024; Salam et al., 2023)","plainCitation":"(Naghavi et al., 2024; Salam et al., 2023)","noteIndex":0},"citationItems":[{"id":347,"uris":["http://zotero.org/users/13099140/items/RS7DND62"],"itemData":{"id":347,"type":"article-journal","abstract":"Antibiotics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resistance.","container-title":"Healthcare","DOI":"10.3390/healthcare11131946","ISSN":"2227-9032","issue":"13","journalAbbreviation":"Healthcare","language":"en","page":"1946","source":"DOI.org (Crossref)","title":"Antimicrobial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A."}],"issued":{"date-parts":[["2023",7,5]]}}},{"id":349,"uris":["http://zotero.org/users/13099140/items/GRDV3MV9"],"itemData":{"id":349,"type":"article-journal","container-title":"The Lancet","DOI":"10.1016/S0140-6736(24)01867-1","ISSN":"01406736","issue":"10459","journalAbbreviation":"The Lancet","language":"en","page":"1199-1226","source":"DOI.org (Crossref)","title":"Global burden of bacterial antimicrobial resistance 1990–2021: a systematic analysis with forecasts to 2050","title-short":"Global burden of bacterial antimicrobial resistance 1990–2021","volume":"404","author":[{"family":"Naghavi","given":"Mohsen"},{"family":"Vollset","given":"Stein Emil"},{"family":"Ikuta","given":"Kevin S"},{"family":"Swetschinski","given":"Lucien R"},{"family":"Gray","given":"Authia P"},{"family":"Wool","given":"Eve E"},{"family":"Robles Aguilar","given":"Gisela"},{"family":"Mestrovic","given":"Tomislav"},{"family":"Smith","given":"Georgia"},{"family":"Han","given":"Chieh"},{"family":"Hsu","given":"Rebecca L"},{"family":"Chalek","given":"Julian"},{"family":"Araki","given":"Daniel T"},{"family":"Chung","given":"Erin"},{"family":"Raggi","given":"Catalina"},{"family":"Gershberg Hayoon","given":"Anna"},{"family":"Davis Weaver","given":"Nicole"},{"family":"Lindstedt","given":"Paulina A"},{"family":"Smith","given":"Amanda E"},{"family":"Altay","given":"Umut"},{"family":"Bhattacharjee","given":"Natalia V"},{"family":"Giannakis","given":"Konstantinos"},{"family":"Fell","given":"Frederick"},{"family":"McManigal","given":"Barney"},{"family":"Ekapirat","given":"Nattwut"},{"family":"Mendes","given":"Jessica Andretta"},{"family":"Runghien","given":"Tilleye"},{"family":"Srimokla","given":"Oraya"},{"family":"Abdelkader","given":"Atef"},{"family":"Abd-Elsalam","given":"Sherief"},{"family":"Aboagye","given":"Richard Gyan"},{"family":"Abolhassani","given":"Hassan"},{"family":"Abualruz","given":"Hasan"},{"family":"Abubakar","given":"Usman"},{"family":"Abukhadijah","given":"Hana J"},{"family":"Aburuz","given":"Salahdein"},{"family":"Abu-Zaid","given":"Ahmed"},{"family":"Achalapong","given":"Sureerak"},{"family":"Addo","given":"Isaac Yeboah"},{"family":"Adekanmbi","given":"Victor"},{"family":"Adeyeoluwa","given":"Temitayo Esther"},{"family":"Adnani","given":"Qorinah Estiningtyas Sakilah"},{"family":"Adzigbli","given":"Leticia Akua"},{"family":"Afzal","given":"Muhammad Sohail"},{"family":"Afzal","given":"Saira"},{"family":"Agodi","given":"Antonella"},{"family":"Ahlstrom","given":"Austin J"},{"family":"Ahmad","given":"Aqeel"},{"family":"Ahmad","given":"Sajjad"},{"family":"Ahmad","given":"Tauseef"},{"family":"Ahmadi","given":"Ali"},{"family":"Ahmed","given":"Ayman"},{"family":"Ahmed","given":"Haroon"},{"family":"Ahmed","given":"Ibrar"},{"family":"Ahmed","given":"Mohammed"},{"family":"Ahmed","given":"Saeed"},{"family":"Ahmed","given":"Syed Anees"},{"family":"Akkaif","given":"Mohammed Ahmed"},{"family":"Al Awaidy","given":"Salah"},{"family":"Al Thaher","given":"Yazan"},{"family":"Alalalmeh","given":"Samer O"},{"family":"AlBataineh","given":"Mohammad T"},{"family":"Aldhaleei","given":"Wafa A"},{"family":"Al-Gheethi","given":"Adel Ali Saeed"},{"family":"Alhaji","given":"Nma Bida"},{"family":"Ali","given":"Abid"},{"family":"Ali","given":"Liaqat"},{"family":"Ali","given":"Syed Shujait"},{"family":"Ali","given":"Waad"},{"family":"Allel","given":"Kasim"},{"family":"Al-Marwani","given":"Sabah"},{"family":"Alrawashdeh","given":"Ahmad"},{"family":"Altaf","given":"Awais"},{"family":"Al-Tammemi","given":"Alaa B."},{"family":"Al-Tawfiq","given":"Jaffar A"},{"family":"Alzoubi","given":"Karem H"},{"family":"Al-Zyoud","given":"Walid Adnan"},{"family":"Amos","given":"Ben"},{"family":"Amuasi","given":"John H"},{"family":"Ancuceanu","given":"Robert"},{"family":"Andrews","given":"Jason R"},{"family":"Anil","given":"Abhishek"},{"family":"Anuoluwa","given":"Iyadunni Adesola"},{"family":"Anvari","given":"Saeid"},{"family":"Anyasodor","given":"Anayochukwu Edward"},{"family":"Apostol","given":"Geminn Louis Carace"},{"family":"Arabloo","given":"Jalal"},{"family":"Arafat","given":"Mosab"},{"family":"Aravkin","given":"Aleksandr Y"},{"family":"Areda","given":"Demelash"},{"family":"Aremu","given":"Abdulfatai"},{"family":"Artamonov","given":"Anton A"},{"family":"Ashley","given":"Elizabeth A"},{"family":"Asika","given":"Marvellous O"},{"family":"Athari","given":"Seyyed Shamsadin"},{"family":"Atout","given":"Maha Moh'd Wahbi"},{"family":"Awoke","given":"Tewachew"},{"family":"Azadnajafabad","given":"Sina"},{"family":"Azam","given":"James Mba"},{"family":"Aziz","given":"Shahkaar"},{"family":"Azzam","given":"Ahmed Y."},{"family":"Babaei","given":"Mahsa"},{"family":"Babin","given":"Francois-Xavier"},{"family":"Badar","given":"Muhammad"},{"family":"Baig","given":"Atif Amin"},{"family":"Bajcetic","given":"Milica"},{"family":"Baker","given":"Stephen"},{"family":"Bardhan","given":"Mainak"},{"family":"Barqawi","given":"Hiba Jawdat"},{"family":"Basharat","given":"Zarrin"},{"family":"Basiru","given":"Afisu"},{"family":"Bastard","given":"Mathieu"},{"family":"Basu","given":"Saurav"},{"family":"Bayleyegn","given":"Nebiyou Simegnew"},{"family":"Belete","given":"Melaku Ashagrie"},{"family":"Bello","given":"Olorunjuwon Omolaja"},{"family":"Beloukas","given":"Apostolos"},{"family":"Berkley","given":"James A"},{"family":"Bhagavathula","given":"Akshaya Srikanth"},{"family":"Bhaskar","given":"Sonu"},{"family":"Bhuyan","given":"Soumitra S"},{"family":"Bielicki","given":"Julia A"},{"family":"Briko","given":"Nikolay Ivanovich"},{"family":"Brown","given":"Colin Stewart"},{"family":"Browne","given":"Annie J"},{"family":"Buonsenso","given":"Danilo"},{"family":"Bustanji","given":"Yasser"},{"family":"Carvalheiro","given":"Cristina G"},{"family":"Castañeda-Orjuela","given":"Carlos A"},{"family":"Cenderadewi","given":"Muthia"},{"family":"Chadwick","given":"Joshua"},{"family":"Chakraborty","given":"Sandip"},{"family":"Chandika","given":"Rama Mohan"},{"family":"Chandy","given":"Sara"},{"family":"Chansamouth","given":"Vilada"},{"family":"Chattu","given":"Vijay Kumar"},{"family":"Chaudhary","given":"Anis Ahmad"},{"family":"Ching","given":"Patrick R"},{"family":"Chopra","given":"Hitesh"},{"family":"Chowdhury","given":"Fazle Rabbi"},{"family":"Chu","given":"Dinh-Toi"},{"family":"Chutiyami","given":"Muhammad"},{"family":"Cruz-Martins","given":"Natalia"},{"family":"Da Silva","given":"Alanna Gomes"},{"family":"Dadras","given":"Omid"},{"family":"Dai","given":"Xiaochen"},{"family":"Darcho","given":"Samuel D"},{"family":"Das","given":"Saswati"},{"family":"De La Hoz","given":"Fernando Pio"},{"family":"Dekker","given":"Denise Myriam"},{"family":"Dhama","given":"Kuldeep"},{"family":"Diaz","given":"Daniel"},{"family":"Dickson","given":"Benjamin Felix Rothschild"},{"family":"Djorie","given":"Serge Ghislain"},{"family":"Dodangeh","given":"Milad"},{"family":"Dohare","given":"Sushil"},{"family":"Dokova","given":"Klara Georgieva"},{"family":"Doshi","given":"Ojas Prakashbhai"},{"family":"Dowou","given":"Robert Kokou"},{"family":"Dsouza","given":"Haneil Larson"},{"family":"Dunachie","given":"Susanna J"},{"family":"Dziedzic","given":"Arkadiusz Marian"},{"family":"Eckmanns","given":"Tim"},{"family":"Ed-Dra","given":"Abdelaziz"},{"family":"Eftekharimehrabad","given":"Aziz"},{"family":"Ekundayo","given":"Temitope Cyrus"},{"family":"El Sayed","given":"Iman"},{"family":"Elhadi","given":"Muhammed"},{"family":"El-Huneidi","given":"Waseem"},{"family":"Elias","given":"Christelle"},{"family":"Ellis","given":"Sally J"},{"family":"Elsheikh","given":"Randa"},{"family":"Elsohaby","given":"Ibrahim"},{"family":"Eltaha","given":"Chadi"},{"family":"Eshrati","given":"Babak"},{"family":"Eslami","given":"Majid"},{"family":"Eyre","given":"David William"},{"family":"Fadaka","given":"Adewale Oluwaseun"},{"family":"Fagbamigbe","given":"Adeniyi Francis"},{"family":"Fahim","given":"Ayesha"},{"family":"Fakhri-Demeshghieh","given":"Aliasghar"},{"family":"Fasina","given":"Folorunso Oludayo"},{"family":"Fasina","given":"Modupe Margaret"},{"family":"Fatehizadeh","given":"Ali"},{"family":"Feasey","given":"Nicholas A"},{"family":"Feizkhah","given":"Alireza"},{"family":"Fekadu","given":"Ginenus"},{"family":"Fischer","given":"Florian"},{"family":"Fitriana","given":"Ida"},{"family":"Forrest","given":"Karen M"},{"family":"Fortuna Rodrigues","given":"Celia"},{"family":"Fuller","given":"John E"},{"family":"Gadanya","given":"Muktar A"},{"family":"Gajdács","given":"Márió"},{"family":"Gandhi","given":"Aravind P"},{"family":"Garcia-Gallo","given":"Esteban E"},{"family":"Garrett","given":"Denise O"},{"family":"Gautam","given":"Rupesh K"},{"family":"Gebregergis","given":"Miglas Welay"},{"family":"Gebrehiwot","given":"Mesfin"},{"family":"Gebremeskel","given":"Teferi Gebru"},{"family":"Geffers","given":"Christine"},{"family":"Georgalis","given":"Leonidas"},{"family":"Ghazy","given":"Ramy Mohamed"},{"family":"Golechha","given":"Mahaveer"},{"family":"Golinelli","given":"Davide"},{"family":"Gordon","given":"Melita"},{"family":"Gulati","given":"Snigdha"},{"family":"Gupta","given":"Rajat Das"},{"family":"Gupta","given":"Sapna"},{"family":"Gupta","given":"Vijai Kumar"},{"family":"Habteyohannes","given":"Awoke Derbie"},{"family":"Haller","given":"Sebastian"},{"family":"Harapan","given":"Harapan"},{"family":"Harrison","given":"Michelle L"},{"family":"Hasaballah","given":"Ahmed I"},{"family":"Hasan","given":"Ikramul"},{"family":"Hasan","given":"Rumina Syeda"},{"family":"Hasani","given":"Hamidreza"},{"family":"Haselbeck","given":"Andrea Haekyung"},{"family":"Hasnain","given":"Md Saquib"},{"family":"Hassan","given":"Ikrama Ibrahim"},{"family":"Hassan","given":"Shoaib"},{"family":"Hassan Zadeh Tabatabaei","given":"Mahgol Sadat"},{"family":"Hayat","given":"Khezar"},{"family":"He","given":"Jiawei"},{"family":"Hegazi","given":"Omar E"},{"family":"Heidari","given":"Mohammad"},{"family":"Hezam","given":"Kamal"},{"family":"Holla","given":"Ramesh"},{"family":"Holm","given":"Marianne"},{"family":"Hopkins","given":"Heidi"},{"family":"Hossain","given":"Md Mahbub"},{"family":"Hosseinzadeh","given":"Mehdi"},{"family":"Hostiuc","given":"Sorin"},{"family":"Hussein","given":"Nawfal R"},{"family":"Huy","given":"Le Duc"},{"family":"Ibáñez-Prada","given":"Elsa D"},{"family":"Ikiroma","given":"Adalia"},{"family":"Ilic","given":"Irena M"},{"family":"Islam","given":"Sheikh Mohammed Shariful"},{"family":"Ismail","given":"Faisal"},{"family":"Ismail","given":"Nahlah Elkudssiah"},{"family":"Iwu","given":"Chidozie Declan"},{"family":"Iwu-Jaja","given":"Chinwe Juliana"},{"family":"Jafarzadeh","given":"Abdollah"},{"family":"Jaiteh","given":"Fatoumatta"},{"family":"Jalilzadeh Yengejeh","given":"Reza"},{"family":"Jamora","given":"Roland Dominic G"},{"family":"Javidnia","given":"Javad"},{"family":"Jawaid","given":"Talha"},{"family":"Jenney","given":"Adam W J"},{"family":"Jeon","given":"Hyon Jin"},{"family":"Jokar","given":"Mohammad"},{"family":"Jomehzadeh","given":"Nabi"},{"family":"Joo","given":"Tamas"},{"family":"Joseph","given":"Nitin"},{"family":"Kamal","given":"Zul"},{"family":"Kanmodi","given":"Kehinde Kazeem"},{"family":"Kantar","given":"Rami S"},{"family":"Kapisi","given":"James Apollo"},{"family":"Karaye","given":"Ibraheem M"},{"family":"Khader","given":"Yousef Saleh"},{"family":"Khajuria","given":"Himanshu"},{"family":"Khalid","given":"Nauman"},{"family":"Khamesipour","given":"Faham"},{"family":"Khan","given":"Ajmal"},{"family":"Khan","given":"Mohammad Jobair"},{"family":"Khan","given":"Muhammad Tariq"},{"family":"Khanal","given":"Vishnu"},{"family":"Khidri","given":"Feriha Fatima"},{"family":"Khubchandani","given":"Jagdish"},{"family":"Khusuwan","given":"Suwimon"},{"family":"Kim","given":"Min Seo"},{"family":"Kisa","given":"Adnan"},{"family":"Korshunov","given":"Vladimir Andreevich"},{"family":"Krapp","given":"Fiorella"},{"family":"Krumkamp","given":"Ralf"},{"family":"Kuddus","given":"Mohammed"},{"family":"Kulimbet","given":"Mukhtar"},{"family":"Kumar","given":"Dewesh"},{"family":"Kumaran","given":"Emmanuelle A P"},{"family":"Kuttikkattu","given":"Ambily"},{"family":"Kyu","given":"Hmwe Hmwe"},{"family":"Landires","given":"Iván"},{"family":"Lawal","given":"Basira Kankia"},{"family":"Le","given":"Thao Thi Thu"},{"family":"Lederer","given":"Ingeborg Maria"},{"family":"Lee","given":"Munjae"},{"family":"Lee","given":"Seung Won"},{"family":"Lepape","given":"Alain"},{"family":"Lerango","given":"Temesgen Leka"},{"family":"Ligade","given":"Virendra S"},{"family":"Lim","given":"Cherry"},{"family":"Lim","given":"Stephen S"},{"family":"Limenh","given":"Liknaw Workie"},{"family":"Liu","given":"Chaojie"},{"family":"Liu","given":"Xiaofeng"},{"family":"Liu","given":"Xuefeng"},{"family":"Loftus","given":"Michael J"},{"family":"M Amin","given":"Hawraz Ibrahim"},{"family":"Maass","given":"Kelsey Lynn"},{"family":"Maharaj","given":"Sandeep B"},{"family":"Mahmoud","given":"Mansour Adam"},{"family":"Maikanti-Charalampous","given":"Panagiota"},{"family":"Makram","given":"Omar M"},{"family":"Malhotra","given":"Kashish"},{"family":"Malik","given":"Ahmad Azam"},{"family":"Mandilara","given":"Georgia D"},{"family":"Marks","given":"Florian"},{"family":"Martinez-Guerra","given":"Bernardo Alfonso"},{"family":"Martorell","given":"Miquel"},{"family":"Masoumi-Asl","given":"Hossein"},{"family":"Mathioudakis","given":"Alexander G"},{"family":"May","given":"Juergen"},{"family":"McHugh","given":"Theresa A"},{"family":"Meiring","given":"James"},{"family":"Meles","given":"Hadush Negash"},{"family":"Melese","given":"Addisu"},{"family":"Melese","given":"Endalkachew Belayneh"},{"family":"Minervini","given":"Giuseppe"},{"family":"Mohamed","given":"Nouh Saad"},{"family":"Mohammed","given":"Shafiu"},{"family":"Mohan","given":"Syam"},{"family":"Mokdad","given":"Ali H"},{"family":"Monasta","given":"Lorenzo"},{"family":"Moodi Ghalibaf","given":"AmirAli"},{"family":"Moore","given":"Catrin E"},{"family":"Moradi","given":"Yousef"},{"family":"Mossialos","given":"Elias"},{"family":"Mougin","given":"Vincent"},{"family":"Mukoro","given":"George Duke"},{"family":"Mulita","given":"Francesk"},{"family":"Muller-Pebody","given":"Berit"},{"family":"Murillo-Zamora","given":"Efren"},{"family":"Musa","given":"Sani"},{"family":"Musicha","given":"Patrick"},{"family":"Musila","given":"Lillian A"},{"family":"Muthupandian","given":"Saravanan"},{"family":"Nagarajan","given":"Ahamarshan Jayaraman"},{"family":"Naghavi","given":"Pirouz"},{"family":"Nainu","given":"Firzan"},{"family":"Nair","given":"Tapas Sadasivan"},{"family":"Najmuldeen","given":"Hastyar Hama Rashid"},{"family":"Natto","given":"Zuhair S"},{"family":"Nauman","given":"Javaid"},{"family":"Nayak","given":"Biswa Prakash"},{"family":"Nchanji","given":"G Takop"},{"family":"Ndishimye","given":"Pacifique"},{"family":"Negoi","given":"Ionut"},{"family":"Negoi","given":"Ruxandra Irina"},{"family":"Nejadghaderi","given":"Seyed Aria"},{"family":"Nguyen","given":"QuynhAnh P"},{"family":"Noman","given":"Efaq Ali"},{"family":"Nwakanma","given":"Davis C"},{"family":"O'Brien","given":"Seamus"},{"family":"Ochoa","given":"Theresa J"},{"family":"Odetokun","given":"Ismail A"},{"family":"Ogundijo","given":"Oluwaseun Adeolu"},{"family":"Ojo-Akosile","given":"Tolulope R"},{"family":"Okeke","given":"Sylvester Reuben"},{"family":"Okonji","given":"Osaretin Christabel"},{"family":"Olagunju","given":"Andrew T"},{"family":"Olivas-Martinez","given":"Antonio"},{"family":"Olorukooba","given":"Abdulhakeem Abayomi"},{"family":"Olwoch","given":"Peter"},{"family":"Onyedibe","given":"Kenneth Ikenna"},{"family":"Ortiz-Brizuela","given":"Edgar"},{"family":"Osuolale","given":"Olayinka"},{"family":"Ounchanum","given":"Pradthana"},{"family":"Oyeyemi","given":"Oyetunde T"},{"family":"P A","given":"Mahesh Padukudru"},{"family":"Paredes","given":"Jose L"},{"family":"Parikh","given":"Romil R"},{"family":"Patel","given":"Jay"},{"family":"Patil","given":"Shankargouda"},{"family":"Pawar","given":"Shrikant"},{"family":"Peleg","given":"Anton Y"},{"family":"Peprah","given":"Prince"},{"family":"Perdigão","given":"João"},{"family":"Perrone","given":"Carlo"},{"family":"Petcu","given":"Ionela-Roxana"},{"family":"Phommasone","given":"Koukeo"},{"family":"Piracha","given":"Zahra Zahid"},{"family":"Poddighe","given":"Dimitri"},{"family":"Pollard","given":"Andrew J"},{"family":"Poluru","given":"Ramesh"},{"family":"Ponce-De-Leon","given":"Alfredo"},{"family":"Puvvula","given":"Jagadeesh"},{"family":"Qamar","given":"Farah Naz"},{"family":"Qasim","given":"Nameer Hashim"},{"family":"Rafai","given":"Clotaire Donatien"},{"family":"Raghav","given":"Pankaja"},{"family":"Rahbarnia","given":"Leila"},{"family":"Rahim","given":"Fakher"},{"family":"Rahimi-Movaghar","given":"Vafa"},{"family":"Rahman","given":"Mosiur"},{"family":"Rahman","given":"Muhammad Aziz"},{"family":"Ramadan","given":"Hazem"},{"family":"Ramasamy","given":"Shakthi Kumaran"},{"family":"Ramesh","given":"Pushkal Sinduvadi"},{"family":"Ramteke","given":"Pramod W"},{"family":"Rana","given":"Rishabh Kumar"},{"family":"Rani","given":"Usha"},{"family":"Rashidi","given":"Mohammad-Mahdi"},{"family":"Rathish","given":"Devarajan"},{"family":"Rattanavong","given":"Sayaphet"},{"family":"Rawaf","given":"Salman"},{"family":"Redwan","given":"Elrashdy Moustafa Mohamed"},{"family":"Reyes","given":"Luis Felipe"},{"family":"Roberts","given":"Tamalee"},{"family":"Robotham","given":"Julie V"},{"family":"Rosenthal","given":"Victor Daniel"},{"family":"Ross","given":"Allen Guy"},{"family":"Roy","given":"Nitai"},{"family":"Rudd","given":"Kristina E"},{"family":"Sabet","given":"Cameron John"},{"family":"Saddik","given":"Basema Ahmad"},{"family":"Saeb","given":"Mohammad Reza"},{"family":"Saeed","given":"Umar"},{"family":"Saeedi Moghaddam","given":"Sahar"},{"family":"Saengchan","given":"Weeravoot"},{"family":"Safaei","given":"Mohsen"},{"family":"Saghazadeh","given":"Amene"},{"family":"Saheb Sharif-Askari","given":"Narjes"},{"family":"Sahebkar","given":"Amirhossein"},{"family":"Sahoo","given":"Soumya Swaroop"},{"family":"Sahu","given":"Maitreyi"},{"family":"Saki","given":"Morteza"},{"family":"Salam","given":"Nasir"},{"family":"Saleem","given":"Zikria"},{"family":"Saleh","given":"Mohamed A"},{"family":"Samodra","given":"Yoseph Leonardo"},{"family":"Samy","given":"Abdallah M"},{"family":"Saravanan","given":"Aswini"},{"family":"Satpathy","given":"Maheswar"},{"family":"Schumacher","given":"Austin E"},{"family":"Sedighi","given":"Mansour"},{"family":"Seekaew","given":"Samroeng"},{"family":"Shafie","given":"Mahan"},{"family":"Shah","given":"Pritik A"},{"family":"Shahid","given":"Samiah"},{"family":"Shahwan","given":"Moyad Jamal"},{"family":"Shakoor","given":"Sadia"},{"family":"Shalev","given":"Noga"},{"family":"Shamim","given":"Muhammad Aaqib"},{"family":"Shamshirgaran","given":"Mohammad Ali"},{"family":"Shamsi","given":"Anas"},{"family":"Sharifan","given":"Amin"},{"family":"Shastry","given":"Rajesh P"},{"family":"Shetty","given":"Mahabalesh"},{"family":"Shittu","given":"Aminu"},{"family":"Shrestha","given":"Sunil"},{"family":"Siddig","given":"Emmanuel Edwar"},{"family":"Sideroglou","given":"Theologia"},{"family":"Sifuentes-Osornio","given":"Jose"},{"family":"Silva","given":"Luís Manuel Lopes Rodrigues"},{"family":"Simões","given":"Eric A F"},{"family":"Simpson","given":"Andrew J H"},{"family":"Singh","given":"Amit"},{"family":"Singh","given":"Surjit"},{"family":"Sinto","given":"Robert"},{"family":"Soliman","given":"Sameh S M"},{"family":"Soraneh","given":"Soroush"},{"family":"Stoesser","given":"Nicole"},{"family":"Stoeva","given":"Temenuga Zhekova"},{"family":"Swain","given":"Chandan Kumar"},{"family":"Szarpak","given":"Lukasz"},{"family":"T Y","given":"Sree Sudha"},{"family":"Tabatabai","given":"Shima"},{"family":"Tabche","given":"Celine"},{"family":"Taha","given":"Zanan Mohammed-Ameen"},{"family":"Tan","given":"Ker-Kan"},{"family":"Tasak","given":"Nidanuch"},{"family":"Tat","given":"Nathan Y"},{"family":"Thaiprakong","given":"Areerat"},{"family":"Thangaraju","given":"Pugazhenthan"},{"family":"Tigoi","given":"Caroline Chepngeno"},{"family":"Tiwari","given":"Krishna"},{"family":"Tovani-Palone","given":"Marcos Roberto"},{"family":"Tran","given":"Thang Huu"},{"family":"Tumurkhuu","given":"Munkhtuya"},{"family":"Turner","given":"Paul"},{"family":"Udoakang","given":"Aniefiok John"},{"family":"Udoh","given":"Arit"},{"family":"Ullah","given":"Noor"},{"family":"Ullah","given":"Saeed"},{"family":"Vaithinathan","given":"Asokan Govindaraj"},{"family":"Valenti","given":"Mario"},{"family":"Vos","given":"Theo"},{"family":"Vu","given":"Huong T L"},{"family":"Waheed","given":"Yasir"},{"family":"Walker","given":"Ann Sarah"},{"family":"Walson","given":"Judd L"},{"family":"Wangrangsimakul","given":"Tri"},{"family":"Weerakoon","given":"Kosala Gayan"},{"family":"Wertheim","given":"Heiman F L"},{"family":"Williams","given":"Phoebe C M"},{"family":"Wolde","given":"Asrat Arja"},{"family":"Wozniak","given":"Teresa M"},{"family":"Wu","given":"Felicia"},{"family":"Wu","given":"Zenghong"},{"family":"Yadav","given":"Mukesh Kumar Kumar"},{"family":"Yaghoubi","given":"Sajad"},{"family":"Yahaya","given":"Zwanden Sule"},{"family":"Yarahmadi","given":"Amir"},{"family":"Yezli","given":"Saber"},{"family":"Yismaw","given":"Yazachew Engida"},{"family":"Yon","given":"Dong Keon"},{"family":"Yuan","given":"Chun-Wei"},{"family":"Yusuf","given":"Hadiza"},{"family":"Zakham","given":"Fathiah"},{"family":"Zamagni","given":"Giulia"},{"family":"Zhang","given":"Haijun"},{"family":"Zhang","given":"Zhi-Jiang"},{"family":"Zielińska","given":"Magdalena"},{"family":"Zumla","given":"Alimuddin"},{"family":"Zyoud","given":"Sa'ed H. H"},{"family":"Zyoud","given":"Samer H"},{"family":"Hay","given":"Simon I"},{"family":"Stergachis","given":"Andy"},{"family":"Sartorius","given":"Benn"},{"family":"Cooper","given":"Ben S"},{"family":"Dolecek","given":"Christiane"},{"family":"Murray","given":"Christopher J L"}],"issued":{"date-parts":[["2024",9]]}}}],"schema":"https://github.com/citation-style-language/schema/raw/master/csl-citation.json"} </w:instrText>
      </w:r>
      <w:r w:rsidRPr="00CC637F">
        <w:rPr>
          <w:rFonts w:ascii="Arial" w:hAnsi="Arial" w:cs="Arial"/>
        </w:rPr>
        <w:fldChar w:fldCharType="separate"/>
      </w:r>
      <w:r w:rsidR="00182627" w:rsidRPr="00182627">
        <w:rPr>
          <w:rFonts w:ascii="Arial" w:hAnsi="Arial" w:cs="Arial"/>
        </w:rPr>
        <w:t>(Naghavi et al., 2024; Salam et al., 2023)</w:t>
      </w:r>
      <w:r w:rsidRPr="00CC637F">
        <w:rPr>
          <w:rFonts w:ascii="Arial" w:hAnsi="Arial" w:cs="Arial"/>
        </w:rPr>
        <w:fldChar w:fldCharType="end"/>
      </w:r>
      <w:r w:rsidRPr="00CC637F">
        <w:rPr>
          <w:rFonts w:ascii="Arial" w:hAnsi="Arial" w:cs="Arial"/>
        </w:rPr>
        <w:t xml:space="preserve">. The burden is heaviest in </w:t>
      </w:r>
      <w:r w:rsidRPr="00CC637F">
        <w:rPr>
          <w:rStyle w:val="Strong"/>
          <w:rFonts w:ascii="Arial" w:hAnsi="Arial" w:cs="Arial"/>
          <w:b w:val="0"/>
          <w:bCs w:val="0"/>
        </w:rPr>
        <w:t>low- and middle-income countries</w:t>
      </w:r>
      <w:r w:rsidRPr="00CC637F">
        <w:rPr>
          <w:rFonts w:ascii="Arial" w:hAnsi="Arial" w:cs="Arial"/>
          <w:b/>
          <w:bCs/>
        </w:rPr>
        <w:t>,</w:t>
      </w:r>
      <w:r w:rsidRPr="00CC637F">
        <w:rPr>
          <w:rFonts w:ascii="Arial" w:hAnsi="Arial" w:cs="Arial"/>
        </w:rPr>
        <w:t xml:space="preserve"> especially in </w:t>
      </w:r>
      <w:r w:rsidRPr="00CC637F">
        <w:rPr>
          <w:rStyle w:val="Strong"/>
          <w:rFonts w:ascii="Arial" w:hAnsi="Arial" w:cs="Arial"/>
          <w:b w:val="0"/>
          <w:bCs w:val="0"/>
        </w:rPr>
        <w:t>Africa</w:t>
      </w:r>
      <w:r w:rsidRPr="00CC637F">
        <w:rPr>
          <w:rStyle w:val="Strong"/>
          <w:rFonts w:ascii="Arial" w:hAnsi="Arial" w:cs="Arial"/>
        </w:rPr>
        <w:t xml:space="preserve"> </w:t>
      </w:r>
      <w:r w:rsidRPr="00CC637F">
        <w:rPr>
          <w:rStyle w:val="Strong"/>
          <w:rFonts w:ascii="Arial" w:hAnsi="Arial" w:cs="Arial"/>
          <w:b w:val="0"/>
        </w:rPr>
        <w:fldChar w:fldCharType="begin"/>
      </w:r>
      <w:r w:rsidR="006A2BA1">
        <w:rPr>
          <w:rStyle w:val="Strong"/>
          <w:rFonts w:ascii="Arial" w:hAnsi="Arial" w:cs="Arial"/>
        </w:rPr>
        <w:instrText xml:space="preserve"> ADDIN ZOTERO_ITEM CSL_CITATION {"citationID":"2QrILGPG","properties":{"formattedCitation":"(Naghavi et al., 2024)","plainCitation":"(Naghavi et al., 2024)","noteIndex":0},"citationItems":[{"id":349,"uris":["http://zotero.org/users/13099140/items/GRDV3MV9"],"itemData":{"id":349,"type":"article-journal","container-title":"The Lancet","DOI":"10.1016/S0140-6736(24)01867-1","ISSN":"01406736","issue":"10459","journalAbbreviation":"The Lancet","language":"en","page":"1199-1226","source":"DOI.org (Crossref)","title":"Global burden of bacterial antimicrobial resistance 1990–2021: a systematic analysis with forecasts to 2050","title-short":"Global burden of bacterial antimicrobial resistance 1990–2021","volume":"404","author":[{"family":"Naghavi","given":"Mohsen"},{"family":"Vollset","given":"Stein Emil"},{"family":"Ikuta","given":"Kevin S"},{"family":"Swetschinski","given":"Lucien R"},{"family":"Gray","given":"Authia P"},{"family":"Wool","given":"Eve E"},{"family":"Robles Aguilar","given":"Gisela"},{"family":"Mestrovic","given":"Tomislav"},{"family":"Smith","given":"Georgia"},{"family":"Han","given":"Chieh"},{"family":"Hsu","given":"Rebecca L"},{"family":"Chalek","given":"Julian"},{"family":"Araki","given":"Daniel T"},{"family":"Chung","given":"Erin"},{"family":"Raggi","given":"Catalina"},{"family":"Gershberg Hayoon","given":"Anna"},{"family":"Davis Weaver","given":"Nicole"},{"family":"Lindstedt","given":"Paulina A"},{"family":"Smith","given":"Amanda E"},{"family":"Altay","given":"Umut"},{"family":"Bhattacharjee","given":"Natalia V"},{"family":"Giannakis","given":"Konstantinos"},{"family":"Fell","given":"Frederick"},{"family":"McManigal","given":"Barney"},{"family":"Ekapirat","given":"Nattwut"},{"family":"Mendes","given":"Jessica Andretta"},{"family":"Runghien","given":"Tilleye"},{"family":"Srimokla","given":"Oraya"},{"family":"Abdelkader","given":"Atef"},{"family":"Abd-Elsalam","given":"Sherief"},{"family":"Aboagye","given":"Richard Gyan"},{"family":"Abolhassani","given":"Hassan"},{"family":"Abualruz","given":"Hasan"},{"family":"Abubakar","given":"Usman"},{"family":"Abukhadijah","given":"Hana J"},{"family":"Aburuz","given":"Salahdein"},{"family":"Abu-Zaid","given":"Ahmed"},{"family":"Achalapong","given":"Sureerak"},{"family":"Addo","given":"Isaac Yeboah"},{"family":"Adekanmbi","given":"Victor"},{"family":"Adeyeoluwa","given":"Temitayo Esther"},{"family":"Adnani","given":"Qorinah Estiningtyas Sakilah"},{"family":"Adzigbli","given":"Leticia Akua"},{"family":"Afzal","given":"Muhammad Sohail"},{"family":"Afzal","given":"Saira"},{"family":"Agodi","given":"Antonella"},{"family":"Ahlstrom","given":"Austin J"},{"family":"Ahmad","given":"Aqeel"},{"family":"Ahmad","given":"Sajjad"},{"family":"Ahmad","given":"Tauseef"},{"family":"Ahmadi","given":"Ali"},{"family":"Ahmed","given":"Ayman"},{"family":"Ahmed","given":"Haroon"},{"family":"Ahmed","given":"Ibrar"},{"family":"Ahmed","given":"Mohammed"},{"family":"Ahmed","given":"Saeed"},{"family":"Ahmed","given":"Syed Anees"},{"family":"Akkaif","given":"Mohammed Ahmed"},{"family":"Al Awaidy","given":"Salah"},{"family":"Al Thaher","given":"Yazan"},{"family":"Alalalmeh","given":"Samer O"},{"family":"AlBataineh","given":"Mohammad T"},{"family":"Aldhaleei","given":"Wafa A"},{"family":"Al-Gheethi","given":"Adel Ali Saeed"},{"family":"Alhaji","given":"Nma Bida"},{"family":"Ali","given":"Abid"},{"family":"Ali","given":"Liaqat"},{"family":"Ali","given":"Syed Shujait"},{"family":"Ali","given":"Waad"},{"family":"Allel","given":"Kasim"},{"family":"Al-Marwani","given":"Sabah"},{"family":"Alrawashdeh","given":"Ahmad"},{"family":"Altaf","given":"Awais"},{"family":"Al-Tammemi","given":"Alaa B."},{"family":"Al-Tawfiq","given":"Jaffar A"},{"family":"Alzoubi","given":"Karem H"},{"family":"Al-Zyoud","given":"Walid Adnan"},{"family":"Amos","given":"Ben"},{"family":"Amuasi","given":"John H"},{"family":"Ancuceanu","given":"Robert"},{"family":"Andrews","given":"Jason R"},{"family":"Anil","given":"Abhishek"},{"family":"Anuoluwa","given":"Iyadunni Adesola"},{"family":"Anvari","given":"Saeid"},{"family":"Anyasodor","given":"Anayochukwu Edward"},{"family":"Apostol","given":"Geminn Louis Carace"},{"family":"Arabloo","given":"Jalal"},{"family":"Arafat","given":"Mosab"},{"family":"Aravkin","given":"Aleksandr Y"},{"family":"Areda","given":"Demelash"},{"family":"Aremu","given":"Abdulfatai"},{"family":"Artamonov","given":"Anton A"},{"family":"Ashley","given":"Elizabeth A"},{"family":"Asika","given":"Marvellous O"},{"family":"Athari","given":"Seyyed Shamsadin"},{"family":"Atout","given":"Maha Moh'd Wahbi"},{"family":"Awoke","given":"Tewachew"},{"family":"Azadnajafabad","given":"Sina"},{"family":"Azam","given":"James Mba"},{"family":"Aziz","given":"Shahkaar"},{"family":"Azzam","given":"Ahmed Y."},{"family":"Babaei","given":"Mahsa"},{"family":"Babin","given":"Francois-Xavier"},{"family":"Badar","given":"Muhammad"},{"family":"Baig","given":"Atif Amin"},{"family":"Bajcetic","given":"Milica"},{"family":"Baker","given":"Stephen"},{"family":"Bardhan","given":"Mainak"},{"family":"Barqawi","given":"Hiba Jawdat"},{"family":"Basharat","given":"Zarrin"},{"family":"Basiru","given":"Afisu"},{"family":"Bastard","given":"Mathieu"},{"family":"Basu","given":"Saurav"},{"family":"Bayleyegn","given":"Nebiyou Simegnew"},{"family":"Belete","given":"Melaku Ashagrie"},{"family":"Bello","given":"Olorunjuwon Omolaja"},{"family":"Beloukas","given":"Apostolos"},{"family":"Berkley","given":"James A"},{"family":"Bhagavathula","given":"Akshaya Srikanth"},{"family":"Bhaskar","given":"Sonu"},{"family":"Bhuyan","given":"Soumitra S"},{"family":"Bielicki","given":"Julia A"},{"family":"Briko","given":"Nikolay Ivanovich"},{"family":"Brown","given":"Colin Stewart"},{"family":"Browne","given":"Annie J"},{"family":"Buonsenso","given":"Danilo"},{"family":"Bustanji","given":"Yasser"},{"family":"Carvalheiro","given":"Cristina G"},{"family":"Castañeda-Orjuela","given":"Carlos A"},{"family":"Cenderadewi","given":"Muthia"},{"family":"Chadwick","given":"Joshua"},{"family":"Chakraborty","given":"Sandip"},{"family":"Chandika","given":"Rama Mohan"},{"family":"Chandy","given":"Sara"},{"family":"Chansamouth","given":"Vilada"},{"family":"Chattu","given":"Vijay Kumar"},{"family":"Chaudhary","given":"Anis Ahmad"},{"family":"Ching","given":"Patrick R"},{"family":"Chopra","given":"Hitesh"},{"family":"Chowdhury","given":"Fazle Rabbi"},{"family":"Chu","given":"Dinh-Toi"},{"family":"Chutiyami","given":"Muhammad"},{"family":"Cruz-Martins","given":"Natalia"},{"family":"Da Silva","given":"Alanna Gomes"},{"family":"Dadras","given":"Omid"},{"family":"Dai","given":"Xiaochen"},{"family":"Darcho","given":"Samuel D"},{"family":"Das","given":"Saswati"},{"family":"De La Hoz","given":"Fernando Pio"},{"family":"Dekker","given":"Denise Myriam"},{"family":"Dhama","given":"Kuldeep"},{"family":"Diaz","given":"Daniel"},{"family":"Dickson","given":"Benjamin Felix Rothschild"},{"family":"Djorie","given":"Serge Ghislain"},{"family":"Dodangeh","given":"Milad"},{"family":"Dohare","given":"Sushil"},{"family":"Dokova","given":"Klara Georgieva"},{"family":"Doshi","given":"Ojas Prakashbhai"},{"family":"Dowou","given":"Robert Kokou"},{"family":"Dsouza","given":"Haneil Larson"},{"family":"Dunachie","given":"Susanna J"},{"family":"Dziedzic","given":"Arkadiusz Marian"},{"family":"Eckmanns","given":"Tim"},{"family":"Ed-Dra","given":"Abdelaziz"},{"family":"Eftekharimehrabad","given":"Aziz"},{"family":"Ekundayo","given":"Temitope Cyrus"},{"family":"El Sayed","given":"Iman"},{"family":"Elhadi","given":"Muhammed"},{"family":"El-Huneidi","given":"Waseem"},{"family":"Elias","given":"Christelle"},{"family":"Ellis","given":"Sally J"},{"family":"Elsheikh","given":"Randa"},{"family":"Elsohaby","given":"Ibrahim"},{"family":"Eltaha","given":"Chadi"},{"family":"Eshrati","given":"Babak"},{"family":"Eslami","given":"Majid"},{"family":"Eyre","given":"David William"},{"family":"Fadaka","given":"Adewale Oluwaseun"},{"family":"Fagbamigbe","given":"Adeniyi Francis"},{"family":"Fahim","given":"Ayesha"},{"family":"Fakhri-Demeshghieh","given":"Aliasghar"},{"family":"Fasina","given":"Folorunso Oludayo"},{"family":"Fasina","given":"Modupe Margaret"},{"family":"Fatehizadeh","given":"Ali"},{"family":"Feasey","given":"Nicholas A"},{"family":"Feizkhah","given":"Alireza"},{"family":"Fekadu","given":"Ginenus"},{"family":"Fischer","given":"Florian"},{"family":"Fitriana","given":"Ida"},{"family":"Forrest","given":"Karen M"},{"family":"Fortuna Rodrigues","given":"Celia"},{"family":"Fuller","given":"John E"},{"family":"Gadanya","given":"Muktar A"},{"family":"Gajdács","given":"Márió"},{"family":"Gandhi","given":"Aravind P"},{"family":"Garcia-Gallo","given":"Esteban E"},{"family":"Garrett","given":"Denise O"},{"family":"Gautam","given":"Rupesh K"},{"family":"Gebregergis","given":"Miglas Welay"},{"family":"Gebrehiwot","given":"Mesfin"},{"family":"Gebremeskel","given":"Teferi Gebru"},{"family":"Geffers","given":"Christine"},{"family":"Georgalis","given":"Leonidas"},{"family":"Ghazy","given":"Ramy Mohamed"},{"family":"Golechha","given":"Mahaveer"},{"family":"Golinelli","given":"Davide"},{"family":"Gordon","given":"Melita"},{"family":"Gulati","given":"Snigdha"},{"family":"Gupta","given":"Rajat Das"},{"family":"Gupta","given":"Sapna"},{"family":"Gupta","given":"Vijai Kumar"},{"family":"Habteyohannes","given":"Awoke Derbie"},{"family":"Haller","given":"Sebastian"},{"family":"Harapan","given":"Harapan"},{"family":"Harrison","given":"Michelle L"},{"family":"Hasaballah","given":"Ahmed I"},{"family":"Hasan","given":"Ikramul"},{"family":"Hasan","given":"Rumina Syeda"},{"family":"Hasani","given":"Hamidreza"},{"family":"Haselbeck","given":"Andrea Haekyung"},{"family":"Hasnain","given":"Md Saquib"},{"family":"Hassan","given":"Ikrama Ibrahim"},{"family":"Hassan","given":"Shoaib"},{"family":"Hassan Zadeh Tabatabaei","given":"Mahgol Sadat"},{"family":"Hayat","given":"Khezar"},{"family":"He","given":"Jiawei"},{"family":"Hegazi","given":"Omar E"},{"family":"Heidari","given":"Mohammad"},{"family":"Hezam","given":"Kamal"},{"family":"Holla","given":"Ramesh"},{"family":"Holm","given":"Marianne"},{"family":"Hopkins","given":"Heidi"},{"family":"Hossain","given":"Md Mahbub"},{"family":"Hosseinzadeh","given":"Mehdi"},{"family":"Hostiuc","given":"Sorin"},{"family":"Hussein","given":"Nawfal R"},{"family":"Huy","given":"Le Duc"},{"family":"Ibáñez-Prada","given":"Elsa D"},{"family":"Ikiroma","given":"Adalia"},{"family":"Ilic","given":"Irena M"},{"family":"Islam","given":"Sheikh Mohammed Shariful"},{"family":"Ismail","given":"Faisal"},{"family":"Ismail","given":"Nahlah Elkudssiah"},{"family":"Iwu","given":"Chidozie Declan"},{"family":"Iwu-Jaja","given":"Chinwe Juliana"},{"family":"Jafarzadeh","given":"Abdollah"},{"family":"Jaiteh","given":"Fatoumatta"},{"family":"Jalilzadeh Yengejeh","given":"Reza"},{"family":"Jamora","given":"Roland Dominic G"},{"family":"Javidnia","given":"Javad"},{"family":"Jawaid","given":"Talha"},{"family":"Jenney","given":"Adam W J"},{"family":"Jeon","given":"Hyon Jin"},{"family":"Jokar","given":"Mohammad"},{"family":"Jomehzadeh","given":"Nabi"},{"family":"Joo","given":"Tamas"},{"family":"Joseph","given":"Nitin"},{"family":"Kamal","given":"Zul"},{"family":"Kanmodi","given":"Kehinde Kazeem"},{"family":"Kantar","given":"Rami S"},{"family":"Kapisi","given":"James Apollo"},{"family":"Karaye","given":"Ibraheem M"},{"family":"Khader","given":"Yousef Saleh"},{"family":"Khajuria","given":"Himanshu"},{"family":"Khalid","given":"Nauman"},{"family":"Khamesipour","given":"Faham"},{"family":"Khan","given":"Ajmal"},{"family":"Khan","given":"Mohammad Jobair"},{"family":"Khan","given":"Muhammad Tariq"},{"family":"Khanal","given":"Vishnu"},{"family":"Khidri","given":"Feriha Fatima"},{"family":"Khubchandani","given":"Jagdish"},{"family":"Khusuwan","given":"Suwimon"},{"family":"Kim","given":"Min Seo"},{"family":"Kisa","given":"Adnan"},{"family":"Korshunov","given":"Vladimir Andreevich"},{"family":"Krapp","given":"Fiorella"},{"family":"Krumkamp","given":"Ralf"},{"family":"Kuddus","given":"Mohammed"},{"family":"Kulimbet","given":"Mukhtar"},{"family":"Kumar","given":"Dewesh"},{"family":"Kumaran","given":"Emmanuelle A P"},{"family":"Kuttikkattu","given":"Ambily"},{"family":"Kyu","given":"Hmwe Hmwe"},{"family":"Landires","given":"Iván"},{"family":"Lawal","given":"Basira Kankia"},{"family":"Le","given":"Thao Thi Thu"},{"family":"Lederer","given":"Ingeborg Maria"},{"family":"Lee","given":"Munjae"},{"family":"Lee","given":"Seung Won"},{"family":"Lepape","given":"Alain"},{"family":"Lerango","given":"Temesgen Leka"},{"family":"Ligade","given":"Virendra S"},{"family":"Lim","given":"Cherry"},{"family":"Lim","given":"Stephen S"},{"family":"Limenh","given":"Liknaw Workie"},{"family":"Liu","given":"Chaojie"},{"family":"Liu","given":"Xiaofeng"},{"family":"Liu","given":"Xuefeng"},{"family":"Loftus","given":"Michael J"},{"family":"M Amin","given":"Hawraz Ibrahim"},{"family":"Maass","given":"Kelsey Lynn"},{"family":"Maharaj","given":"Sandeep B"},{"family":"Mahmoud","given":"Mansour Adam"},{"family":"Maikanti-Charalampous","given":"Panagiota"},{"family":"Makram","given":"Omar M"},{"family":"Malhotra","given":"Kashish"},{"family":"Malik","given":"Ahmad Azam"},{"family":"Mandilara","given":"Georgia D"},{"family":"Marks","given":"Florian"},{"family":"Martinez-Guerra","given":"Bernardo Alfonso"},{"family":"Martorell","given":"Miquel"},{"family":"Masoumi-Asl","given":"Hossein"},{"family":"Mathioudakis","given":"Alexander G"},{"family":"May","given":"Juergen"},{"family":"McHugh","given":"Theresa A"},{"family":"Meiring","given":"James"},{"family":"Meles","given":"Hadush Negash"},{"family":"Melese","given":"Addisu"},{"family":"Melese","given":"Endalkachew Belayneh"},{"family":"Minervini","given":"Giuseppe"},{"family":"Mohamed","given":"Nouh Saad"},{"family":"Mohammed","given":"Shafiu"},{"family":"Mohan","given":"Syam"},{"family":"Mokdad","given":"Ali H"},{"family":"Monasta","given":"Lorenzo"},{"family":"Moodi Ghalibaf","given":"AmirAli"},{"family":"Moore","given":"Catrin E"},{"family":"Moradi","given":"Yousef"},{"family":"Mossialos","given":"Elias"},{"family":"Mougin","given":"Vincent"},{"family":"Mukoro","given":"George Duke"},{"family":"Mulita","given":"Francesk"},{"family":"Muller-Pebody","given":"Berit"},{"family":"Murillo-Zamora","given":"Efren"},{"family":"Musa","given":"Sani"},{"family":"Musicha","given":"Patrick"},{"family":"Musila","given":"Lillian A"},{"family":"Muthupandian","given":"Saravanan"},{"family":"Nagarajan","given":"Ahamarshan Jayaraman"},{"family":"Naghavi","given":"Pirouz"},{"family":"Nainu","given":"Firzan"},{"family":"Nair","given":"Tapas Sadasivan"},{"family":"Najmuldeen","given":"Hastyar Hama Rashid"},{"family":"Natto","given":"Zuhair S"},{"family":"Nauman","given":"Javaid"},{"family":"Nayak","given":"Biswa Prakash"},{"family":"Nchanji","given":"G Takop"},{"family":"Ndishimye","given":"Pacifique"},{"family":"Negoi","given":"Ionut"},{"family":"Negoi","given":"Ruxandra Irina"},{"family":"Nejadghaderi","given":"Seyed Aria"},{"family":"Nguyen","given":"QuynhAnh P"},{"family":"Noman","given":"Efaq Ali"},{"family":"Nwakanma","given":"Davis C"},{"family":"O'Brien","given":"Seamus"},{"family":"Ochoa","given":"Theresa J"},{"family":"Odetokun","given":"Ismail A"},{"family":"Ogundijo","given":"Oluwaseun Adeolu"},{"family":"Ojo-Akosile","given":"Tolulope R"},{"family":"Okeke","given":"Sylvester Reuben"},{"family":"Okonji","given":"Osaretin Christabel"},{"family":"Olagunju","given":"Andrew T"},{"family":"Olivas-Martinez","given":"Antonio"},{"family":"Olorukooba","given":"Abdulhakeem Abayomi"},{"family":"Olwoch","given":"Peter"},{"family":"Onyedibe","given":"Kenneth Ikenna"},{"family":"Ortiz-Brizuela","given":"Edgar"},{"family":"Osuolale","given":"Olayinka"},{"family":"Ounchanum","given":"Pradthana"},{"family":"Oyeyemi","given":"Oyetunde T"},{"family":"P A","given":"Mahesh Padukudru"},{"family":"Paredes","given":"Jose L"},{"family":"Parikh","given":"Romil R"},{"family":"Patel","given":"Jay"},{"family":"Patil","given":"Shankargouda"},{"family":"Pawar","given":"Shrikant"},{"family":"Peleg","given":"Anton Y"},{"family":"Peprah","given":"Prince"},{"family":"Perdigão","given":"João"},{"family":"Perrone","given":"Carlo"},{"family":"Petcu","given":"Ionela-Roxana"},{"family":"Phommasone","given":"Koukeo"},{"family":"Piracha","given":"Zahra Zahid"},{"family":"Poddighe","given":"Dimitri"},{"family":"Pollard","given":"Andrew J"},{"family":"Poluru","given":"Ramesh"},{"family":"Ponce-De-Leon","given":"Alfredo"},{"family":"Puvvula","given":"Jagadeesh"},{"family":"Qamar","given":"Farah Naz"},{"family":"Qasim","given":"Nameer Hashim"},{"family":"Rafai","given":"Clotaire Donatien"},{"family":"Raghav","given":"Pankaja"},{"family":"Rahbarnia","given":"Leila"},{"family":"Rahim","given":"Fakher"},{"family":"Rahimi-Movaghar","given":"Vafa"},{"family":"Rahman","given":"Mosiur"},{"family":"Rahman","given":"Muhammad Aziz"},{"family":"Ramadan","given":"Hazem"},{"family":"Ramasamy","given":"Shakthi Kumaran"},{"family":"Ramesh","given":"Pushkal Sinduvadi"},{"family":"Ramteke","given":"Pramod W"},{"family":"Rana","given":"Rishabh Kumar"},{"family":"Rani","given":"Usha"},{"family":"Rashidi","given":"Mohammad-Mahdi"},{"family":"Rathish","given":"Devarajan"},{"family":"Rattanavong","given":"Sayaphet"},{"family":"Rawaf","given":"Salman"},{"family":"Redwan","given":"Elrashdy Moustafa Mohamed"},{"family":"Reyes","given":"Luis Felipe"},{"family":"Roberts","given":"Tamalee"},{"family":"Robotham","given":"Julie V"},{"family":"Rosenthal","given":"Victor Daniel"},{"family":"Ross","given":"Allen Guy"},{"family":"Roy","given":"Nitai"},{"family":"Rudd","given":"Kristina E"},{"family":"Sabet","given":"Cameron John"},{"family":"Saddik","given":"Basema Ahmad"},{"family":"Saeb","given":"Mohammad Reza"},{"family":"Saeed","given":"Umar"},{"family":"Saeedi Moghaddam","given":"Sahar"},{"family":"Saengchan","given":"Weeravoot"},{"family":"Safaei","given":"Mohsen"},{"family":"Saghazadeh","given":"Amene"},{"family":"Saheb Sharif-Askari","given":"Narjes"},{"family":"Sahebkar","given":"Amirhossein"},{"family":"Sahoo","given":"Soumya Swaroop"},{"family":"Sahu","given":"Maitreyi"},{"family":"Saki","given":"Morteza"},{"family":"Salam","given":"Nasir"},{"family":"Saleem","given":"Zikria"},{"family":"Saleh","given":"Mohamed A"},{"family":"Samodra","given":"Yoseph Leonardo"},{"family":"Samy","given":"Abdallah M"},{"family":"Saravanan","given":"Aswini"},{"family":"Satpathy","given":"Maheswar"},{"family":"Schumacher","given":"Austin E"},{"family":"Sedighi","given":"Mansour"},{"family":"Seekaew","given":"Samroeng"},{"family":"Shafie","given":"Mahan"},{"family":"Shah","given":"Pritik A"},{"family":"Shahid","given":"Samiah"},{"family":"Shahwan","given":"Moyad Jamal"},{"family":"Shakoor","given":"Sadia"},{"family":"Shalev","given":"Noga"},{"family":"Shamim","given":"Muhammad Aaqib"},{"family":"Shamshirgaran","given":"Mohammad Ali"},{"family":"Shamsi","given":"Anas"},{"family":"Sharifan","given":"Amin"},{"family":"Shastry","given":"Rajesh P"},{"family":"Shetty","given":"Mahabalesh"},{"family":"Shittu","given":"Aminu"},{"family":"Shrestha","given":"Sunil"},{"family":"Siddig","given":"Emmanuel Edwar"},{"family":"Sideroglou","given":"Theologia"},{"family":"Sifuentes-Osornio","given":"Jose"},{"family":"Silva","given":"Luís Manuel Lopes Rodrigues"},{"family":"Simões","given":"Eric A F"},{"family":"Simpson","given":"Andrew J H"},{"family":"Singh","given":"Amit"},{"family":"Singh","given":"Surjit"},{"family":"Sinto","given":"Robert"},{"family":"Soliman","given":"Sameh S M"},{"family":"Soraneh","given":"Soroush"},{"family":"Stoesser","given":"Nicole"},{"family":"Stoeva","given":"Temenuga Zhekova"},{"family":"Swain","given":"Chandan Kumar"},{"family":"Szarpak","given":"Lukasz"},{"family":"T Y","given":"Sree Sudha"},{"family":"Tabatabai","given":"Shima"},{"family":"Tabche","given":"Celine"},{"family":"Taha","given":"Zanan Mohammed-Ameen"},{"family":"Tan","given":"Ker-Kan"},{"family":"Tasak","given":"Nidanuch"},{"family":"Tat","given":"Nathan Y"},{"family":"Thaiprakong","given":"Areerat"},{"family":"Thangaraju","given":"Pugazhenthan"},{"family":"Tigoi","given":"Caroline Chepngeno"},{"family":"Tiwari","given":"Krishna"},{"family":"Tovani-Palone","given":"Marcos Roberto"},{"family":"Tran","given":"Thang Huu"},{"family":"Tumurkhuu","given":"Munkhtuya"},{"family":"Turner","given":"Paul"},{"family":"Udoakang","given":"Aniefiok John"},{"family":"Udoh","given":"Arit"},{"family":"Ullah","given":"Noor"},{"family":"Ullah","given":"Saeed"},{"family":"Vaithinathan","given":"Asokan Govindaraj"},{"family":"Valenti","given":"Mario"},{"family":"Vos","given":"Theo"},{"family":"Vu","given":"Huong T L"},{"family":"Waheed","given":"Yasir"},{"family":"Walker","given":"Ann Sarah"},{"family":"Walson","given":"Judd L"},{"family":"Wangrangsimakul","given":"Tri"},{"family":"Weerakoon","given":"Kosala Gayan"},{"family":"Wertheim","given":"Heiman F L"},{"family":"Williams","given":"Phoebe C M"},{"family":"Wolde","given":"Asrat Arja"},{"family":"Wozniak","given":"Teresa M"},{"family":"Wu","given":"Felicia"},{"family":"Wu","given":"Zenghong"},{"family":"Yadav","given":"Mukesh Kumar Kumar"},{"family":"Yaghoubi","given":"Sajad"},{"family":"Yahaya","given":"Zwanden Sule"},{"family":"Yarahmadi","given":"Amir"},{"family":"Yezli","given":"Saber"},{"family":"Yismaw","given":"Yazachew Engida"},{"family":"Yon","given":"Dong Keon"},{"family":"Yuan","given":"Chun-Wei"},{"family":"Yusuf","given":"Hadiza"},{"family":"Zakham","given":"Fathiah"},{"family":"Zamagni","given":"Giulia"},{"family":"Zhang","given":"Haijun"},{"family":"Zhang","given":"Zhi-Jiang"},{"family":"Zielińska","given":"Magdalena"},{"family":"Zumla","given":"Alimuddin"},{"family":"Zyoud","given":"Sa'ed H. H"},{"family":"Zyoud","given":"Samer H"},{"family":"Hay","given":"Simon I"},{"family":"Stergachis","given":"Andy"},{"family":"Sartorius","given":"Benn"},{"family":"Cooper","given":"Ben S"},{"family":"Dolecek","given":"Christiane"},{"family":"Murray","given":"Christopher J L"}],"issued":{"date-parts":[["2024",9]]}}}],"schema":"https://github.com/citation-style-language/schema/raw/master/csl-citation.json"} </w:instrText>
      </w:r>
      <w:r w:rsidRPr="00CC637F">
        <w:rPr>
          <w:rStyle w:val="Strong"/>
          <w:rFonts w:ascii="Arial" w:hAnsi="Arial" w:cs="Arial"/>
          <w:b w:val="0"/>
        </w:rPr>
        <w:fldChar w:fldCharType="separate"/>
      </w:r>
      <w:r w:rsidR="00182627" w:rsidRPr="00182627">
        <w:rPr>
          <w:rFonts w:ascii="Arial" w:hAnsi="Arial" w:cs="Arial"/>
        </w:rPr>
        <w:t>(Naghavi et al., 2024)</w:t>
      </w:r>
      <w:r w:rsidRPr="00CC637F">
        <w:rPr>
          <w:rStyle w:val="Strong"/>
          <w:rFonts w:ascii="Arial" w:hAnsi="Arial" w:cs="Arial"/>
          <w:b w:val="0"/>
        </w:rPr>
        <w:fldChar w:fldCharType="end"/>
      </w:r>
      <w:r w:rsidRPr="00CC637F">
        <w:rPr>
          <w:rFonts w:ascii="Arial" w:hAnsi="Arial" w:cs="Arial"/>
        </w:rPr>
        <w:t xml:space="preserve">. Antimicrobial resistance to commonly used antibiotics have been documented to have been driven by empirical prescribing, self-medication and over the counter antibiotic sales </w:t>
      </w:r>
      <w:r w:rsidRPr="00CC637F">
        <w:rPr>
          <w:rFonts w:ascii="Arial" w:hAnsi="Arial" w:cs="Arial"/>
        </w:rPr>
        <w:fldChar w:fldCharType="begin"/>
      </w:r>
      <w:r w:rsidR="006A2BA1">
        <w:rPr>
          <w:rFonts w:ascii="Arial" w:hAnsi="Arial" w:cs="Arial"/>
        </w:rPr>
        <w:instrText xml:space="preserve"> ADDIN ZOTERO_ITEM CSL_CITATION {"citationID":"nEuWxrtG","properties":{"formattedCitation":"(Ho et al., 2025)","plainCitation":"(Ho et al., 2025)","noteIndex":0},"citationItems":[{"id":351,"uris":["http://zotero.org/users/13099140/items/52LAE8YV"],"itemData":{"id":351,"type":"article-journal","container-title":"The Lancet Microbe","DOI":"10.1016/j.lanmic.2024.07.010","ISSN":"26665247","issue":"1","journalAbbreviation":"The Lancet Microbe","language":"en","page":"100947","source":"DOI.org (Crossref)","title":"Antimicrobial resistance: a concise update","title-short":"Antimicrobial resistance","volume":"6","author":[{"family":"Ho","given":"Charlotte S"},{"family":"Wong","given":"Carlos T H"},{"family":"Aung","given":"Thet Tun"},{"family":"Lakshminarayanan","given":"Rajamani"},{"family":"Mehta","given":"Jodhbir S"},{"family":"Rauz","given":"Saaeha"},{"family":"McNally","given":"Alan"},{"family":"Kintses","given":"Balint"},{"family":"Peacock","given":"Sharon J"},{"family":"De La Fuente-Nunez","given":"Cesar"},{"family":"Hancock","given":"Robert E W"},{"family":"Ting","given":"Darren S J"}],"issued":{"date-parts":[["2025",1]]}}}],"schema":"https://github.com/citation-style-language/schema/raw/master/csl-citation.json"} </w:instrText>
      </w:r>
      <w:r w:rsidRPr="00CC637F">
        <w:rPr>
          <w:rFonts w:ascii="Arial" w:hAnsi="Arial" w:cs="Arial"/>
        </w:rPr>
        <w:fldChar w:fldCharType="separate"/>
      </w:r>
      <w:r w:rsidR="00182627" w:rsidRPr="00182627">
        <w:rPr>
          <w:rFonts w:ascii="Arial" w:hAnsi="Arial" w:cs="Arial"/>
        </w:rPr>
        <w:t>(Ho et al., 2025)</w:t>
      </w:r>
      <w:r w:rsidRPr="00CC637F">
        <w:rPr>
          <w:rFonts w:ascii="Arial" w:hAnsi="Arial" w:cs="Arial"/>
        </w:rPr>
        <w:fldChar w:fldCharType="end"/>
      </w:r>
      <w:r w:rsidRPr="00CC637F">
        <w:rPr>
          <w:rFonts w:ascii="Arial" w:hAnsi="Arial" w:cs="Arial"/>
        </w:rPr>
        <w:t xml:space="preserve">. </w:t>
      </w:r>
    </w:p>
    <w:p w14:paraId="2C5D0E15" w14:textId="29594652" w:rsidR="00CC637F" w:rsidRPr="00CC637F" w:rsidRDefault="00CC637F" w:rsidP="00CC637F">
      <w:pPr>
        <w:pStyle w:val="NormalWeb"/>
        <w:spacing w:line="480" w:lineRule="auto"/>
        <w:jc w:val="both"/>
        <w:rPr>
          <w:rFonts w:ascii="Arial" w:hAnsi="Arial" w:cs="Arial"/>
          <w:sz w:val="20"/>
          <w:szCs w:val="20"/>
        </w:rPr>
      </w:pPr>
      <w:r w:rsidRPr="00CC637F">
        <w:rPr>
          <w:rFonts w:ascii="Arial" w:hAnsi="Arial" w:cs="Arial"/>
          <w:sz w:val="20"/>
          <w:szCs w:val="20"/>
        </w:rPr>
        <w:t xml:space="preserve">To promote appropriate use of antibiotics, the World Health Organization (WHO) introduced the </w:t>
      </w:r>
      <w:proofErr w:type="spellStart"/>
      <w:r w:rsidRPr="00CC637F">
        <w:rPr>
          <w:rFonts w:ascii="Arial" w:hAnsi="Arial" w:cs="Arial"/>
          <w:sz w:val="20"/>
          <w:szCs w:val="20"/>
        </w:rPr>
        <w:t>AWaRe</w:t>
      </w:r>
      <w:proofErr w:type="spellEnd"/>
      <w:r w:rsidRPr="00CC637F">
        <w:rPr>
          <w:rFonts w:ascii="Arial" w:hAnsi="Arial" w:cs="Arial"/>
          <w:sz w:val="20"/>
          <w:szCs w:val="20"/>
        </w:rPr>
        <w:t xml:space="preserve"> classification, grouping antibiotics into </w:t>
      </w:r>
      <w:r w:rsidRPr="00CC637F">
        <w:rPr>
          <w:rStyle w:val="Strong"/>
          <w:rFonts w:ascii="Arial" w:hAnsi="Arial" w:cs="Arial"/>
          <w:b w:val="0"/>
          <w:bCs w:val="0"/>
          <w:sz w:val="20"/>
          <w:szCs w:val="20"/>
        </w:rPr>
        <w:t>Access</w:t>
      </w:r>
      <w:r w:rsidRPr="00CC637F">
        <w:rPr>
          <w:rFonts w:ascii="Arial" w:hAnsi="Arial" w:cs="Arial"/>
          <w:b/>
          <w:bCs/>
          <w:sz w:val="20"/>
          <w:szCs w:val="20"/>
        </w:rPr>
        <w:t xml:space="preserve">, </w:t>
      </w:r>
      <w:r w:rsidRPr="00CC637F">
        <w:rPr>
          <w:rStyle w:val="Strong"/>
          <w:rFonts w:ascii="Arial" w:hAnsi="Arial" w:cs="Arial"/>
          <w:b w:val="0"/>
          <w:bCs w:val="0"/>
          <w:sz w:val="20"/>
          <w:szCs w:val="20"/>
        </w:rPr>
        <w:t>Watch</w:t>
      </w:r>
      <w:r w:rsidRPr="00CC637F">
        <w:rPr>
          <w:rFonts w:ascii="Arial" w:hAnsi="Arial" w:cs="Arial"/>
          <w:b/>
          <w:sz w:val="20"/>
          <w:szCs w:val="20"/>
        </w:rPr>
        <w:t xml:space="preserve">, </w:t>
      </w:r>
      <w:r w:rsidRPr="00CC637F">
        <w:rPr>
          <w:rFonts w:ascii="Arial" w:hAnsi="Arial" w:cs="Arial"/>
          <w:sz w:val="20"/>
          <w:szCs w:val="20"/>
        </w:rPr>
        <w:t>and</w:t>
      </w:r>
      <w:r w:rsidRPr="00CC637F">
        <w:rPr>
          <w:rFonts w:ascii="Arial" w:hAnsi="Arial" w:cs="Arial"/>
          <w:b/>
          <w:sz w:val="20"/>
          <w:szCs w:val="20"/>
        </w:rPr>
        <w:t xml:space="preserve"> </w:t>
      </w:r>
      <w:r w:rsidRPr="00CC637F">
        <w:rPr>
          <w:rStyle w:val="Strong"/>
          <w:rFonts w:ascii="Arial" w:hAnsi="Arial" w:cs="Arial"/>
          <w:b w:val="0"/>
          <w:bCs w:val="0"/>
          <w:sz w:val="20"/>
          <w:szCs w:val="20"/>
        </w:rPr>
        <w:t>Reserve</w:t>
      </w:r>
      <w:r w:rsidRPr="00CC637F">
        <w:rPr>
          <w:rFonts w:ascii="Arial" w:hAnsi="Arial" w:cs="Arial"/>
          <w:sz w:val="20"/>
          <w:szCs w:val="20"/>
        </w:rPr>
        <w:t xml:space="preserve"> categories to guide prescribing medical doctors </w:t>
      </w:r>
      <w:r w:rsidRPr="00CC637F">
        <w:rPr>
          <w:rFonts w:ascii="Arial" w:hAnsi="Arial" w:cs="Arial"/>
          <w:sz w:val="20"/>
          <w:szCs w:val="20"/>
        </w:rPr>
        <w:fldChar w:fldCharType="begin"/>
      </w:r>
      <w:r w:rsidR="006A2BA1">
        <w:rPr>
          <w:rFonts w:ascii="Arial" w:hAnsi="Arial" w:cs="Arial"/>
          <w:sz w:val="20"/>
          <w:szCs w:val="20"/>
        </w:rPr>
        <w:instrText xml:space="preserve"> ADDIN ZOTERO_ITEM CSL_CITATION {"citationID":"r5JKwxKV","properties":{"formattedCitation":"(Zanichelli et al., 2023)","plainCitation":"(Zanichelli et al., 2023)","noteIndex":0},"citationItems":[{"id":353,"uris":["http://zotero.org/users/13099140/items/WC7QX4XN"],"itemData":{"id":353,"type":"article-journal","container-title":"Bulletin of the World Health Organization","DOI":"10.2471/BLT.22.288614","ISSN":"00429686","issue":"04","journalAbbreviation":"Bull World Health Org","page":"290-296","source":"DOI.org (Crossref)","title":"The &lt;i&gt;WHO AWaRe (Access, Watch, Reserve) antibiotic book&lt;/i&gt; and prevention of antimicrobial resistance","volume":"101","author":[{"family":"Zanichelli","given":"Veronica"},{"family":"Sharland","given":"Michael"},{"family":"Cappello","given":"Bernadette"},{"family":"Moja","given":"Lorenzo"},{"family":"Getahun","given":"Haileyesus"},{"family":"Pessoa-Silva","given":"Carmem"},{"family":"Sati","given":"Hatim"},{"family":"Van Weezenbeek","given":"Catharina"},{"family":"Balkhy","given":"Hanan"},{"family":"Simão","given":"Mariângela"},{"family":"Gandra","given":"Sumanth"},{"family":"Huttner","given":"Benedikt"}],"issued":{"date-parts":[["2023",4,1]]}}}],"schema":"https://github.com/citation-style-language/schema/raw/master/csl-citation.json"} </w:instrText>
      </w:r>
      <w:r w:rsidRPr="00CC637F">
        <w:rPr>
          <w:rFonts w:ascii="Arial" w:hAnsi="Arial" w:cs="Arial"/>
          <w:sz w:val="20"/>
          <w:szCs w:val="20"/>
        </w:rPr>
        <w:fldChar w:fldCharType="separate"/>
      </w:r>
      <w:r w:rsidR="00182627" w:rsidRPr="00182627">
        <w:rPr>
          <w:rFonts w:ascii="Arial" w:hAnsi="Arial" w:cs="Arial"/>
          <w:sz w:val="20"/>
        </w:rPr>
        <w:t>(Zanichelli et al., 2023)</w:t>
      </w:r>
      <w:r w:rsidRPr="00CC637F">
        <w:rPr>
          <w:rFonts w:ascii="Arial" w:hAnsi="Arial" w:cs="Arial"/>
          <w:sz w:val="20"/>
          <w:szCs w:val="20"/>
        </w:rPr>
        <w:fldChar w:fldCharType="end"/>
      </w:r>
      <w:r w:rsidRPr="00CC637F">
        <w:rPr>
          <w:rFonts w:ascii="Arial" w:hAnsi="Arial" w:cs="Arial"/>
          <w:sz w:val="20"/>
          <w:szCs w:val="20"/>
        </w:rPr>
        <w:t xml:space="preserve">. However, awareness and application of this classification among healthcare providers in settings like the Buea Health District remain limited. As a result, the frequent and inappropriate use of </w:t>
      </w:r>
      <w:r w:rsidRPr="00CC637F">
        <w:rPr>
          <w:rStyle w:val="Strong"/>
          <w:rFonts w:ascii="Arial" w:hAnsi="Arial" w:cs="Arial"/>
          <w:b w:val="0"/>
          <w:bCs w:val="0"/>
          <w:sz w:val="20"/>
          <w:szCs w:val="20"/>
        </w:rPr>
        <w:t>broad spectrum antibiotics</w:t>
      </w:r>
      <w:r w:rsidRPr="00CC637F">
        <w:rPr>
          <w:rFonts w:ascii="Arial" w:hAnsi="Arial" w:cs="Arial"/>
          <w:sz w:val="20"/>
          <w:szCs w:val="20"/>
        </w:rPr>
        <w:t xml:space="preserve"> seems inevitable, increasing the risk of developing resistance and poor treatment outcomes </w:t>
      </w:r>
      <w:r w:rsidRPr="00CC637F">
        <w:rPr>
          <w:rFonts w:ascii="Arial" w:hAnsi="Arial" w:cs="Arial"/>
          <w:sz w:val="20"/>
          <w:szCs w:val="20"/>
        </w:rPr>
        <w:fldChar w:fldCharType="begin"/>
      </w:r>
      <w:r w:rsidR="006A2BA1">
        <w:rPr>
          <w:rFonts w:ascii="Arial" w:hAnsi="Arial" w:cs="Arial"/>
          <w:sz w:val="20"/>
          <w:szCs w:val="20"/>
        </w:rPr>
        <w:instrText xml:space="preserve"> ADDIN ZOTERO_ITEM CSL_CITATION {"citationID":"0jeXpiGJ","properties":{"formattedCitation":"(Tarrant et al., 2021)","plainCitation":"(Tarrant et al., 2021)","noteIndex":0},"citationItems":[{"id":354,"uris":["http://zotero.org/users/13099140/items/7U7Y23PQ"],"itemData":{"id":354,"type":"article-journal","abstract":"Antimicrobial stewardship programs focus on reducing overuse of broad-spectrum antibiotics (BSAs), primarily through interventions to change prescribing behavior. This study aims to identify multi-level influences on BSA overuse across diverse high and low income, and public and private, healthcare contexts. Semi-structured interviews were conducted with 46 prescribers from hospitals in the UK, Sri Lanka, and South Africa, including public and private providers. Interviews explored decision making about prescribing BSAs, drivers of the use of BSAs, and benefits of BSAs to various stakeholders, and were analyzed using a constant comparative approach. Analysis identified drivers of BSA overuse at the individual, social and structural levels. Structural drivers of overuse varied significantly across contexts and included: system-level factors generating tensions with stewardship goals; limited material resources within hospitals; and patient poverty, lack of infrastructure and resources in local communities. Antimicrobial stewardship needs to encompass efforts to reduce the reliance on BSAs as a solution to context-specific structural conditions.","container-title":"Antibiotics","DOI":"10.3390/antibiotics10010094","ISSN":"2079-6382","issue":"1","journalAbbreviation":"Antibiotics","language":"en","page":"94","source":"DOI.org (Crossref)","title":"Drivers of Broad-Spectrum Antibiotic Overuse across Diverse Hospital Contexts—A Qualitative Study of Prescribers in the UK, Sri Lanka and South Africa","volume":"10","author":[{"family":"Tarrant","given":"Carolyn"},{"family":"Colman","given":"Andrew M."},{"family":"Jenkins","given":"David R."},{"family":"Chattoe-Brown","given":"Edmund"},{"family":"Perera","given":"Nelun"},{"family":"Mehtar","given":"Shaheen"},{"family":"Nakkawita","given":"W.M.I. Dilini"},{"family":"Bolscher","given":"Michele"},{"family":"Krockow","given":"Eva M."}],"issued":{"date-parts":[["2021",1,19]]}}}],"schema":"https://github.com/citation-style-language/schema/raw/master/csl-citation.json"} </w:instrText>
      </w:r>
      <w:r w:rsidRPr="00CC637F">
        <w:rPr>
          <w:rFonts w:ascii="Arial" w:hAnsi="Arial" w:cs="Arial"/>
          <w:sz w:val="20"/>
          <w:szCs w:val="20"/>
        </w:rPr>
        <w:fldChar w:fldCharType="separate"/>
      </w:r>
      <w:r w:rsidR="00182627" w:rsidRPr="00182627">
        <w:rPr>
          <w:rFonts w:ascii="Arial" w:hAnsi="Arial" w:cs="Arial"/>
          <w:sz w:val="20"/>
        </w:rPr>
        <w:t>(Tarrant et al., 2021)</w:t>
      </w:r>
      <w:r w:rsidRPr="00CC637F">
        <w:rPr>
          <w:rFonts w:ascii="Arial" w:hAnsi="Arial" w:cs="Arial"/>
          <w:sz w:val="20"/>
          <w:szCs w:val="20"/>
        </w:rPr>
        <w:fldChar w:fldCharType="end"/>
      </w:r>
      <w:r w:rsidRPr="00CC637F">
        <w:rPr>
          <w:rFonts w:ascii="Arial" w:hAnsi="Arial" w:cs="Arial"/>
          <w:sz w:val="20"/>
          <w:szCs w:val="20"/>
        </w:rPr>
        <w:t>.</w:t>
      </w:r>
    </w:p>
    <w:p w14:paraId="08F2134C" w14:textId="77777777" w:rsidR="00CC637F" w:rsidRPr="00CC637F" w:rsidRDefault="00CC637F" w:rsidP="00CC637F">
      <w:pPr>
        <w:pStyle w:val="NormalWeb"/>
        <w:spacing w:before="0" w:beforeAutospacing="0" w:after="0" w:line="480" w:lineRule="auto"/>
        <w:jc w:val="both"/>
        <w:rPr>
          <w:rFonts w:ascii="Arial" w:hAnsi="Arial" w:cs="Arial"/>
          <w:color w:val="000000" w:themeColor="text1"/>
          <w:sz w:val="20"/>
          <w:szCs w:val="20"/>
        </w:rPr>
      </w:pPr>
      <w:r w:rsidRPr="00CC637F">
        <w:rPr>
          <w:rFonts w:ascii="Arial" w:hAnsi="Arial" w:cs="Arial"/>
          <w:color w:val="000000" w:themeColor="text1"/>
          <w:sz w:val="20"/>
          <w:szCs w:val="20"/>
        </w:rPr>
        <w:lastRenderedPageBreak/>
        <w:t xml:space="preserve">Identifying the most prescribed and sold antibiotics in the Buea Health District offers a comprehensive yet focused approach to understanding local antibiotic use. This choice strikes a balance between ensuring </w:t>
      </w:r>
      <w:r w:rsidRPr="00CC637F">
        <w:rPr>
          <w:rStyle w:val="Strong"/>
          <w:rFonts w:ascii="Arial" w:hAnsi="Arial" w:cs="Arial"/>
          <w:b w:val="0"/>
          <w:bCs w:val="0"/>
          <w:color w:val="000000" w:themeColor="text1"/>
          <w:sz w:val="20"/>
          <w:szCs w:val="20"/>
        </w:rPr>
        <w:t>adequate representation</w:t>
      </w:r>
      <w:r w:rsidRPr="00CC637F">
        <w:rPr>
          <w:rFonts w:ascii="Arial" w:hAnsi="Arial" w:cs="Arial"/>
          <w:color w:val="000000" w:themeColor="text1"/>
          <w:sz w:val="20"/>
          <w:szCs w:val="20"/>
        </w:rPr>
        <w:t xml:space="preserve"> of commonly used antibiotics and maintaining </w:t>
      </w:r>
      <w:r w:rsidRPr="00CC637F">
        <w:rPr>
          <w:rStyle w:val="Strong"/>
          <w:rFonts w:ascii="Arial" w:hAnsi="Arial" w:cs="Arial"/>
          <w:b w:val="0"/>
          <w:bCs w:val="0"/>
          <w:color w:val="000000" w:themeColor="text1"/>
          <w:sz w:val="20"/>
          <w:szCs w:val="20"/>
        </w:rPr>
        <w:t>practicality</w:t>
      </w:r>
      <w:r w:rsidRPr="00CC637F">
        <w:rPr>
          <w:rFonts w:ascii="Arial" w:hAnsi="Arial" w:cs="Arial"/>
          <w:color w:val="000000" w:themeColor="text1"/>
          <w:sz w:val="20"/>
          <w:szCs w:val="20"/>
        </w:rPr>
        <w:t xml:space="preserve"> in data collection and analysis.</w:t>
      </w:r>
    </w:p>
    <w:p w14:paraId="08D9F55E" w14:textId="49DB1204" w:rsidR="00790ADA" w:rsidRPr="00FB3A86" w:rsidRDefault="00790ADA" w:rsidP="00CC637F">
      <w:pPr>
        <w:pStyle w:val="Body"/>
        <w:spacing w:after="0"/>
        <w:rPr>
          <w:rFonts w:ascii="Arial" w:hAnsi="Arial" w:cs="Arial"/>
        </w:rPr>
      </w:pPr>
    </w:p>
    <w:p w14:paraId="2CA6BC64" w14:textId="4DB268A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96065F" w14:textId="77777777" w:rsidR="00790ADA" w:rsidRPr="00FB3A86" w:rsidRDefault="00790ADA" w:rsidP="00441B6F">
      <w:pPr>
        <w:pStyle w:val="AbstHead"/>
        <w:spacing w:after="0"/>
        <w:jc w:val="both"/>
        <w:rPr>
          <w:rFonts w:ascii="Arial" w:hAnsi="Arial" w:cs="Arial"/>
        </w:rPr>
      </w:pPr>
    </w:p>
    <w:p w14:paraId="39CFB694" w14:textId="77777777" w:rsidR="00CC637F" w:rsidRPr="006C5355" w:rsidRDefault="00CC637F" w:rsidP="006C5355">
      <w:pPr>
        <w:pStyle w:val="Heading2"/>
        <w:spacing w:after="240"/>
        <w:rPr>
          <w:rFonts w:ascii="Arial" w:hAnsi="Arial" w:cs="Arial"/>
          <w:b/>
          <w:bCs/>
          <w:color w:val="000000" w:themeColor="text1"/>
          <w:sz w:val="22"/>
          <w:szCs w:val="22"/>
        </w:rPr>
      </w:pPr>
      <w:bookmarkStart w:id="1" w:name="_Toc93919588"/>
      <w:bookmarkStart w:id="2" w:name="_Toc182929760"/>
      <w:bookmarkStart w:id="3" w:name="_Toc202950819"/>
      <w:r w:rsidRPr="006C5355">
        <w:rPr>
          <w:rFonts w:ascii="Arial" w:hAnsi="Arial" w:cs="Arial"/>
          <w:b/>
          <w:bCs/>
          <w:color w:val="000000" w:themeColor="text1"/>
          <w:sz w:val="22"/>
          <w:szCs w:val="22"/>
        </w:rPr>
        <w:t>Study area</w:t>
      </w:r>
      <w:bookmarkEnd w:id="1"/>
      <w:bookmarkEnd w:id="2"/>
      <w:bookmarkEnd w:id="3"/>
      <w:r w:rsidRPr="006C5355">
        <w:rPr>
          <w:rFonts w:ascii="Arial" w:hAnsi="Arial" w:cs="Arial"/>
          <w:b/>
          <w:bCs/>
          <w:color w:val="000000" w:themeColor="text1"/>
          <w:sz w:val="22"/>
          <w:szCs w:val="22"/>
        </w:rPr>
        <w:t>/design</w:t>
      </w:r>
    </w:p>
    <w:p w14:paraId="709C26CD" w14:textId="00894884" w:rsidR="00CC637F" w:rsidRPr="00CC637F" w:rsidRDefault="00CC637F" w:rsidP="00CC637F">
      <w:pPr>
        <w:pStyle w:val="NormalWeb"/>
        <w:spacing w:before="0" w:beforeAutospacing="0" w:line="480" w:lineRule="auto"/>
        <w:jc w:val="both"/>
        <w:rPr>
          <w:rFonts w:ascii="Arial" w:hAnsi="Arial" w:cs="Arial"/>
          <w:sz w:val="20"/>
          <w:szCs w:val="20"/>
        </w:rPr>
      </w:pPr>
      <w:r w:rsidRPr="00CC637F">
        <w:rPr>
          <w:rFonts w:ascii="Arial" w:hAnsi="Arial" w:cs="Arial"/>
          <w:sz w:val="20"/>
          <w:szCs w:val="20"/>
        </w:rPr>
        <w:t>This was a cross-sectional study conducted within the Buea Health District of Fako Division, South West Region of Cameroon. Buea is located at the Slope of Mount Cameroon with an estimated population of more than 587,000 and a surface area of 870 km</w:t>
      </w:r>
      <w:r w:rsidRPr="00CC637F">
        <w:rPr>
          <w:rFonts w:ascii="Arial" w:hAnsi="Arial" w:cs="Arial"/>
          <w:sz w:val="20"/>
          <w:szCs w:val="20"/>
          <w:vertAlign w:val="superscript"/>
        </w:rPr>
        <w:t>2</w:t>
      </w:r>
      <w:r w:rsidRPr="00CC637F">
        <w:rPr>
          <w:rFonts w:ascii="Arial" w:hAnsi="Arial" w:cs="Arial"/>
          <w:sz w:val="20"/>
          <w:szCs w:val="20"/>
        </w:rPr>
        <w:t xml:space="preserve"> </w:t>
      </w:r>
      <w:r w:rsidRPr="00CC637F">
        <w:rPr>
          <w:rFonts w:ascii="Arial" w:hAnsi="Arial" w:cs="Arial"/>
          <w:sz w:val="20"/>
          <w:szCs w:val="20"/>
        </w:rPr>
        <w:fldChar w:fldCharType="begin"/>
      </w:r>
      <w:r w:rsidR="00182627">
        <w:rPr>
          <w:rFonts w:ascii="Arial" w:hAnsi="Arial" w:cs="Arial"/>
          <w:sz w:val="20"/>
          <w:szCs w:val="20"/>
        </w:rPr>
        <w:instrText xml:space="preserve"> ADDIN ZOTERO_ITEM CSL_CITATION {"citationID":"dLCaTVWp","properties":{"formattedCitation":"({\\i{}History - Welcome to Buea Council}, 2020)","plainCitation":"(History - Welcome to Buea Council, 2020)","noteIndex":0},"citationItems":[{"id":356,"uris":["http://zotero.org/users/13099140/items/YPJU62DW"],"itemData":{"id":356,"type":"post-weblog","abstract":"A Brief History of our City HISTORY OF BUEA COUNCIL When the British took over the administration of British Cameroon, Victoria Division was divided into eight (8) Districts. Between 1918 and 1922 the British applied the policy of indirect rule and District was under the District Head who was a chief (traditional Ruler). Buea Hausa","language":"en-US","title":"History - Welcome to Buea Council","URL":"https://bueacouncil.com/?page_id=1265","accessed":{"date-parts":[["2025",10,27]]},"issued":{"date-parts":[["2020",8,19]]}}}],"schema":"https://github.com/citation-style-language/schema/raw/master/csl-citation.json"} </w:instrText>
      </w:r>
      <w:r w:rsidRPr="00CC637F">
        <w:rPr>
          <w:rFonts w:ascii="Arial" w:hAnsi="Arial" w:cs="Arial"/>
          <w:sz w:val="20"/>
          <w:szCs w:val="20"/>
        </w:rPr>
        <w:fldChar w:fldCharType="separate"/>
      </w:r>
      <w:r w:rsidR="00182627" w:rsidRPr="00182627">
        <w:rPr>
          <w:rFonts w:ascii="Arial" w:hAnsi="Arial" w:cs="Arial"/>
          <w:sz w:val="20"/>
        </w:rPr>
        <w:t>(</w:t>
      </w:r>
      <w:r w:rsidR="00182627" w:rsidRPr="00182627">
        <w:rPr>
          <w:rFonts w:ascii="Arial" w:hAnsi="Arial" w:cs="Arial"/>
          <w:i/>
          <w:iCs/>
          <w:sz w:val="20"/>
        </w:rPr>
        <w:t>History - Welcome to Buea Council</w:t>
      </w:r>
      <w:r w:rsidR="00182627" w:rsidRPr="00182627">
        <w:rPr>
          <w:rFonts w:ascii="Arial" w:hAnsi="Arial" w:cs="Arial"/>
          <w:sz w:val="20"/>
        </w:rPr>
        <w:t>, 2020)</w:t>
      </w:r>
      <w:r w:rsidRPr="00CC637F">
        <w:rPr>
          <w:rFonts w:ascii="Arial" w:hAnsi="Arial" w:cs="Arial"/>
          <w:sz w:val="20"/>
          <w:szCs w:val="20"/>
        </w:rPr>
        <w:fldChar w:fldCharType="end"/>
      </w:r>
      <w:r w:rsidRPr="00CC637F">
        <w:rPr>
          <w:rFonts w:ascii="Arial" w:hAnsi="Arial" w:cs="Arial"/>
          <w:sz w:val="20"/>
          <w:szCs w:val="20"/>
        </w:rPr>
        <w:t>. The Buea Health District encompasses a network of health facilities, including hospitals, health centers, and clinics. Information on most prescribed and most sold antibiotics were gotten from prescribing medical doctors and drug vendors respectively in the Buea Health district by use of a questionnaire.</w:t>
      </w:r>
    </w:p>
    <w:p w14:paraId="31897AEA" w14:textId="77777777" w:rsidR="00CC637F" w:rsidRPr="006C5355" w:rsidRDefault="00CC637F" w:rsidP="00CC637F">
      <w:pPr>
        <w:spacing w:line="480" w:lineRule="auto"/>
        <w:jc w:val="both"/>
        <w:rPr>
          <w:rFonts w:ascii="Arial" w:hAnsi="Arial" w:cs="Arial"/>
          <w:b/>
          <w:sz w:val="22"/>
          <w:szCs w:val="22"/>
        </w:rPr>
      </w:pPr>
      <w:bookmarkStart w:id="4" w:name="_Toc93919597"/>
      <w:r w:rsidRPr="006C5355">
        <w:rPr>
          <w:rFonts w:ascii="Arial" w:hAnsi="Arial" w:cs="Arial"/>
          <w:b/>
          <w:sz w:val="22"/>
          <w:szCs w:val="22"/>
        </w:rPr>
        <w:t>Ethical Considerations</w:t>
      </w:r>
    </w:p>
    <w:p w14:paraId="023D20FA" w14:textId="77777777" w:rsidR="00CC637F" w:rsidRPr="00CC637F" w:rsidRDefault="00CC637F" w:rsidP="00CC637F">
      <w:pPr>
        <w:spacing w:line="480" w:lineRule="auto"/>
        <w:jc w:val="both"/>
        <w:rPr>
          <w:rFonts w:ascii="Arial" w:hAnsi="Arial" w:cs="Arial"/>
        </w:rPr>
      </w:pPr>
      <w:r w:rsidRPr="00CC637F">
        <w:rPr>
          <w:rFonts w:ascii="Arial" w:hAnsi="Arial" w:cs="Arial"/>
        </w:rPr>
        <w:t>Ethical clearance for this study (number 2025/1779-01/UB/SG/IRB/FHS) was obtained from the Institutional Review Board of the Faculty of Health Sciences, University of Buea. Administrative authorization (P42/MINSANTE/SWR/RDPH/RCB.PT/698/726) was also granted by the Regional Delegation of Public Health. Prior to participation, all respondents were provided with detailed information regarding the purpose, procedures, potential benefits, and voluntary nature of the study. Written informed consent was obtained from each participant. They were assured of their right to withdraw from the study at any time without consequence. To uphold confidentiality, unique codes were assigned in place of names or identifiable information related to participants, facilities, and pharmacies involved.</w:t>
      </w:r>
    </w:p>
    <w:p w14:paraId="7E26D29C" w14:textId="77777777" w:rsidR="00CC637F" w:rsidRPr="00CC637F" w:rsidRDefault="00CC637F" w:rsidP="00CC637F">
      <w:pPr>
        <w:rPr>
          <w:rFonts w:ascii="Arial" w:hAnsi="Arial" w:cs="Arial"/>
        </w:rPr>
      </w:pPr>
    </w:p>
    <w:p w14:paraId="326AA8EE" w14:textId="77777777" w:rsidR="00CC637F" w:rsidRPr="006C5355" w:rsidRDefault="00CC637F" w:rsidP="006C5355">
      <w:pPr>
        <w:pStyle w:val="Heading2"/>
        <w:spacing w:after="240"/>
        <w:rPr>
          <w:rFonts w:ascii="Arial" w:hAnsi="Arial" w:cs="Arial"/>
          <w:b/>
          <w:bCs/>
          <w:color w:val="000000" w:themeColor="text1"/>
          <w:sz w:val="22"/>
          <w:szCs w:val="22"/>
        </w:rPr>
      </w:pPr>
      <w:bookmarkStart w:id="5" w:name="_Toc202950820"/>
      <w:bookmarkStart w:id="6" w:name="_Toc182929764"/>
      <w:r w:rsidRPr="006C5355">
        <w:rPr>
          <w:rFonts w:ascii="Arial" w:hAnsi="Arial" w:cs="Arial"/>
          <w:b/>
          <w:bCs/>
          <w:color w:val="000000" w:themeColor="text1"/>
          <w:sz w:val="22"/>
          <w:szCs w:val="22"/>
        </w:rPr>
        <w:lastRenderedPageBreak/>
        <w:t>Study population</w:t>
      </w:r>
      <w:bookmarkEnd w:id="5"/>
      <w:r w:rsidRPr="006C5355">
        <w:rPr>
          <w:rFonts w:ascii="Arial" w:hAnsi="Arial" w:cs="Arial"/>
          <w:b/>
          <w:bCs/>
          <w:color w:val="000000" w:themeColor="text1"/>
          <w:sz w:val="22"/>
          <w:szCs w:val="22"/>
        </w:rPr>
        <w:t xml:space="preserve"> and Sampling Technique</w:t>
      </w:r>
    </w:p>
    <w:p w14:paraId="40DF7F6A" w14:textId="77777777" w:rsidR="00CC637F" w:rsidRPr="00CC637F" w:rsidRDefault="00CC637F" w:rsidP="00CC637F">
      <w:pPr>
        <w:spacing w:line="480" w:lineRule="auto"/>
        <w:jc w:val="both"/>
        <w:rPr>
          <w:rFonts w:ascii="Arial" w:hAnsi="Arial" w:cs="Arial"/>
        </w:rPr>
      </w:pPr>
      <w:r w:rsidRPr="00CC637F">
        <w:rPr>
          <w:rFonts w:ascii="Arial" w:hAnsi="Arial" w:cs="Arial"/>
        </w:rPr>
        <w:t>The study population was made up of medical doctors who prescribe antibiotics, pharmacist and drug store owners in the Buea health district who signed the informed consent form. Any participant with incomplete data in his/her questionnaire</w:t>
      </w:r>
      <w:bookmarkStart w:id="7" w:name="_Toc182929772"/>
      <w:bookmarkEnd w:id="4"/>
      <w:bookmarkEnd w:id="6"/>
      <w:r w:rsidRPr="00CC637F">
        <w:rPr>
          <w:rFonts w:ascii="Arial" w:hAnsi="Arial" w:cs="Arial"/>
        </w:rPr>
        <w:t xml:space="preserve"> was excluded from the study.</w:t>
      </w:r>
    </w:p>
    <w:p w14:paraId="5927CDE3" w14:textId="77777777" w:rsidR="00CC637F" w:rsidRPr="00CC637F" w:rsidRDefault="00CC637F" w:rsidP="00CC637F">
      <w:pPr>
        <w:spacing w:line="480" w:lineRule="auto"/>
        <w:jc w:val="both"/>
        <w:rPr>
          <w:rFonts w:ascii="Arial" w:hAnsi="Arial" w:cs="Arial"/>
        </w:rPr>
      </w:pPr>
      <w:r w:rsidRPr="00CC637F">
        <w:rPr>
          <w:rFonts w:ascii="Arial" w:hAnsi="Arial" w:cs="Arial"/>
        </w:rPr>
        <w:t>A mixed sampling technique was used to capture the varying availability and accessibility of participants across the Buea Health District. For medical doctors, a purposive sampling approach was adopted. Doctors actively prescribing antibiotics were recruited from a range of public and private healthcare facilities across the Buea Health District. Efforts were made to ensure representation from different health areas. However, due to the absence of a centralized database of all practicing doctors, it was not possible to determine the total number within the district.</w:t>
      </w:r>
    </w:p>
    <w:p w14:paraId="67126922" w14:textId="77777777" w:rsidR="00CC637F" w:rsidRPr="00CC637F" w:rsidRDefault="00CC637F" w:rsidP="00CC637F">
      <w:pPr>
        <w:spacing w:line="480" w:lineRule="auto"/>
        <w:jc w:val="both"/>
        <w:rPr>
          <w:rFonts w:ascii="Arial" w:hAnsi="Arial" w:cs="Arial"/>
        </w:rPr>
      </w:pPr>
      <w:r w:rsidRPr="00CC637F">
        <w:rPr>
          <w:rFonts w:ascii="Arial" w:hAnsi="Arial" w:cs="Arial"/>
        </w:rPr>
        <w:t xml:space="preserve">All registered pharmacies within the district were included in the study. To identify drug stores, a snowball sampling technique was used. Given the lack of a comprehensive registry of drug store, we visited various quarters within each health area, relying on local guidance and community referrals to locate active drug stores. Only drug stores that were both identified through this referral process and willing to participate were included. </w:t>
      </w:r>
    </w:p>
    <w:p w14:paraId="48583E3A" w14:textId="77777777" w:rsidR="00CC637F" w:rsidRPr="006C5355" w:rsidRDefault="00CC637F" w:rsidP="00CC637F">
      <w:pPr>
        <w:spacing w:line="480" w:lineRule="auto"/>
        <w:jc w:val="both"/>
        <w:rPr>
          <w:rFonts w:ascii="Arial" w:hAnsi="Arial" w:cs="Arial"/>
          <w:b/>
          <w:sz w:val="22"/>
          <w:szCs w:val="22"/>
        </w:rPr>
      </w:pPr>
      <w:r w:rsidRPr="006C5355">
        <w:rPr>
          <w:rFonts w:ascii="Arial" w:hAnsi="Arial" w:cs="Arial"/>
          <w:b/>
          <w:sz w:val="22"/>
          <w:szCs w:val="22"/>
        </w:rPr>
        <w:t>Data Collection and management</w:t>
      </w:r>
    </w:p>
    <w:p w14:paraId="5BFA7061" w14:textId="05866C3F" w:rsidR="00CC637F" w:rsidRPr="00CC637F" w:rsidRDefault="00CC637F" w:rsidP="006C5355">
      <w:pPr>
        <w:spacing w:line="480" w:lineRule="auto"/>
        <w:jc w:val="both"/>
        <w:rPr>
          <w:rFonts w:ascii="Arial" w:hAnsi="Arial" w:cs="Arial"/>
        </w:rPr>
      </w:pPr>
      <w:r w:rsidRPr="00CC637F">
        <w:rPr>
          <w:rFonts w:ascii="Arial" w:hAnsi="Arial" w:cs="Arial"/>
        </w:rPr>
        <w:t xml:space="preserve">Data were collected using structured a questionnaire administered to medical doctors, pharmacy attendants and drug stores within the Buea Health District. This questionnaire was designed to obtain demographic information from participants and also to obtain information on the three most prescribed antibiotics (per medical doctors) and the three sold antibiotics (per pharmacy and drug store personnel). </w:t>
      </w:r>
    </w:p>
    <w:p w14:paraId="31B63159" w14:textId="77777777" w:rsidR="00CC637F" w:rsidRPr="00CC637F" w:rsidRDefault="00CC637F" w:rsidP="00CC637F">
      <w:pPr>
        <w:spacing w:line="480" w:lineRule="auto"/>
        <w:jc w:val="both"/>
        <w:rPr>
          <w:rFonts w:ascii="Arial" w:hAnsi="Arial" w:cs="Arial"/>
        </w:rPr>
      </w:pPr>
      <w:r w:rsidRPr="00CC637F">
        <w:rPr>
          <w:rFonts w:ascii="Arial" w:hAnsi="Arial" w:cs="Arial"/>
        </w:rPr>
        <w:t>All questionnaires were checked for completeness, and the data was keyed into SPSS version 25.0 (IBM, USA) and later checked for data quality problems by another person.  This data was then saved in a computer with a password accessible only by the researcher. The filled questionnaires were put together and locked in a save cupboard with unauthorized access.</w:t>
      </w:r>
    </w:p>
    <w:p w14:paraId="359003B1" w14:textId="77777777" w:rsidR="00CC637F" w:rsidRPr="00CC637F" w:rsidRDefault="00CC637F" w:rsidP="00CC637F">
      <w:pPr>
        <w:pStyle w:val="Heading1"/>
        <w:spacing w:line="480" w:lineRule="auto"/>
        <w:rPr>
          <w:rFonts w:cs="Arial"/>
          <w:b w:val="0"/>
          <w:sz w:val="20"/>
        </w:rPr>
      </w:pPr>
      <w:r w:rsidRPr="00CC637F">
        <w:rPr>
          <w:rFonts w:cs="Arial"/>
          <w:sz w:val="20"/>
        </w:rPr>
        <w:lastRenderedPageBreak/>
        <w:t xml:space="preserve"> </w:t>
      </w:r>
      <w:bookmarkStart w:id="8" w:name="_Toc202950829"/>
      <w:r w:rsidRPr="006C5355">
        <w:rPr>
          <w:rFonts w:cs="Arial"/>
          <w:sz w:val="22"/>
          <w:szCs w:val="22"/>
        </w:rPr>
        <w:t>Statistical analysis</w:t>
      </w:r>
      <w:bookmarkEnd w:id="8"/>
    </w:p>
    <w:bookmarkEnd w:id="7"/>
    <w:p w14:paraId="70EA6767" w14:textId="77777777" w:rsidR="00CC637F" w:rsidRPr="00CC637F" w:rsidRDefault="00CC637F" w:rsidP="00CC637F">
      <w:pPr>
        <w:spacing w:line="480" w:lineRule="auto"/>
        <w:jc w:val="both"/>
        <w:rPr>
          <w:rFonts w:ascii="Arial" w:hAnsi="Arial" w:cs="Arial"/>
        </w:rPr>
      </w:pPr>
      <w:r w:rsidRPr="00CC637F">
        <w:rPr>
          <w:rFonts w:ascii="Arial" w:hAnsi="Arial" w:cs="Arial"/>
        </w:rPr>
        <w:t>Descriptive and inferential statistical analysis were performed using the Statistical Package for the Social Sciences (SPSS) version 25.0 (IBM Corp., USA). Numeric variables such as age were summarized using means and standard deviations. Categorical variables including gender, health area, most prescribed/sold antibiotics were described using frequencies and percentages. The Pearson chi square test was used to assess associations between categorical variables. A P-value of &lt;0.05 was considered statistically significant.</w:t>
      </w:r>
    </w:p>
    <w:p w14:paraId="545624FC" w14:textId="77777777" w:rsidR="00790ADA" w:rsidRPr="00FB3A86" w:rsidRDefault="00790ADA" w:rsidP="00441B6F">
      <w:pPr>
        <w:pStyle w:val="Body"/>
        <w:spacing w:after="0"/>
        <w:rPr>
          <w:rFonts w:ascii="Arial" w:hAnsi="Arial" w:cs="Arial"/>
        </w:rPr>
      </w:pPr>
    </w:p>
    <w:p w14:paraId="07D5A780" w14:textId="0B0D7C6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2A8785B6" w14:textId="77777777" w:rsidR="00790ADA" w:rsidRPr="00FB3A86" w:rsidRDefault="00790ADA" w:rsidP="00441B6F">
      <w:pPr>
        <w:pStyle w:val="Head1"/>
        <w:spacing w:after="0"/>
        <w:jc w:val="both"/>
        <w:rPr>
          <w:rFonts w:ascii="Arial" w:hAnsi="Arial" w:cs="Arial"/>
        </w:rPr>
      </w:pPr>
    </w:p>
    <w:p w14:paraId="2AC21268" w14:textId="77777777" w:rsidR="006C5355" w:rsidRPr="006C5355" w:rsidRDefault="006C5355" w:rsidP="006C5355">
      <w:pPr>
        <w:pStyle w:val="Heading2"/>
        <w:spacing w:after="240"/>
        <w:rPr>
          <w:rFonts w:ascii="Arial" w:hAnsi="Arial" w:cs="Arial"/>
          <w:b/>
          <w:bCs/>
          <w:color w:val="000000" w:themeColor="text1"/>
          <w:sz w:val="22"/>
          <w:szCs w:val="22"/>
        </w:rPr>
      </w:pPr>
      <w:bookmarkStart w:id="9" w:name="_Toc202950832"/>
      <w:r w:rsidRPr="006C5355">
        <w:rPr>
          <w:rFonts w:ascii="Arial" w:hAnsi="Arial" w:cs="Arial"/>
          <w:b/>
          <w:bCs/>
          <w:color w:val="000000" w:themeColor="text1"/>
          <w:sz w:val="22"/>
          <w:szCs w:val="22"/>
        </w:rPr>
        <w:t>Identification of the three most prescribed antibiotics in Buea health district</w:t>
      </w:r>
      <w:bookmarkEnd w:id="9"/>
    </w:p>
    <w:p w14:paraId="7248F113" w14:textId="77777777" w:rsidR="006C5355" w:rsidRPr="006C5355" w:rsidRDefault="006C5355" w:rsidP="006C5355">
      <w:pPr>
        <w:spacing w:line="480" w:lineRule="auto"/>
        <w:jc w:val="both"/>
        <w:rPr>
          <w:rFonts w:ascii="Arial" w:hAnsi="Arial" w:cs="Arial"/>
        </w:rPr>
      </w:pPr>
      <w:r w:rsidRPr="006C5355">
        <w:rPr>
          <w:rFonts w:ascii="Arial" w:hAnsi="Arial" w:cs="Arial"/>
        </w:rPr>
        <w:t>This study enrolled 66 medical doctors who are actively prescribing antibiotic. Fifty (75.8%) were male while 16(24.2%) were female. The mean age of the participants was 33.59±7.7 years and the age range with majority of the participants (42.4%) was 31-40 years. Fifty (75.8%) were General practitioner while 16(24.2%) were specialist as shown in table 1.</w:t>
      </w:r>
    </w:p>
    <w:p w14:paraId="7355692D" w14:textId="77777777" w:rsidR="006C5355" w:rsidRPr="006C5355" w:rsidRDefault="006C5355" w:rsidP="006C5355">
      <w:pPr>
        <w:pStyle w:val="Caption"/>
        <w:keepNext/>
        <w:spacing w:after="0"/>
        <w:rPr>
          <w:rFonts w:ascii="Arial" w:hAnsi="Arial" w:cs="Arial"/>
          <w:i w:val="0"/>
          <w:color w:val="auto"/>
          <w:sz w:val="20"/>
          <w:szCs w:val="20"/>
        </w:rPr>
      </w:pPr>
      <w:bookmarkStart w:id="10" w:name="_Toc201805419"/>
      <w:r w:rsidRPr="006C5355">
        <w:rPr>
          <w:rFonts w:ascii="Arial" w:hAnsi="Arial" w:cs="Arial"/>
          <w:i w:val="0"/>
          <w:color w:val="auto"/>
          <w:sz w:val="20"/>
          <w:szCs w:val="20"/>
        </w:rPr>
        <w:t>Table 1: Socio-demographic characteristics of prescribers in the Buea Health District</w:t>
      </w:r>
      <w:bookmarkEnd w:id="10"/>
      <w:r w:rsidRPr="006C5355">
        <w:rPr>
          <w:rFonts w:ascii="Arial" w:hAnsi="Arial" w:cs="Arial"/>
          <w:i w:val="0"/>
          <w:color w:val="auto"/>
          <w:sz w:val="20"/>
          <w:szCs w:val="20"/>
        </w:rPr>
        <w:t>, 2025</w:t>
      </w:r>
    </w:p>
    <w:tbl>
      <w:tblPr>
        <w:tblStyle w:val="LightShading"/>
        <w:tblW w:w="0" w:type="auto"/>
        <w:tblLook w:val="04A0" w:firstRow="1" w:lastRow="0" w:firstColumn="1" w:lastColumn="0" w:noHBand="0" w:noVBand="1"/>
      </w:tblPr>
      <w:tblGrid>
        <w:gridCol w:w="2304"/>
        <w:gridCol w:w="2019"/>
        <w:gridCol w:w="1871"/>
        <w:gridCol w:w="2014"/>
      </w:tblGrid>
      <w:tr w:rsidR="006C5355" w:rsidRPr="006C5355" w14:paraId="376E575E" w14:textId="77777777" w:rsidTr="0038225E">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395" w:type="dxa"/>
            <w:shd w:val="clear" w:color="auto" w:fill="auto"/>
          </w:tcPr>
          <w:p w14:paraId="2EB0C62E"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Variable</w:t>
            </w:r>
          </w:p>
        </w:tc>
        <w:tc>
          <w:tcPr>
            <w:tcW w:w="2168" w:type="dxa"/>
            <w:shd w:val="clear" w:color="auto" w:fill="auto"/>
          </w:tcPr>
          <w:p w14:paraId="4EAF9CAA" w14:textId="77777777" w:rsidR="006C5355" w:rsidRPr="006C5355" w:rsidRDefault="006C5355" w:rsidP="0038225E">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C5355">
              <w:rPr>
                <w:rFonts w:ascii="Arial" w:hAnsi="Arial" w:cs="Arial"/>
                <w:b w:val="0"/>
                <w:bCs w:val="0"/>
                <w:sz w:val="20"/>
                <w:szCs w:val="20"/>
              </w:rPr>
              <w:t>Modalities</w:t>
            </w:r>
          </w:p>
        </w:tc>
        <w:tc>
          <w:tcPr>
            <w:tcW w:w="2043" w:type="dxa"/>
            <w:shd w:val="clear" w:color="auto" w:fill="auto"/>
          </w:tcPr>
          <w:p w14:paraId="421A0A50" w14:textId="77777777" w:rsidR="006C5355" w:rsidRPr="006C5355" w:rsidRDefault="006C5355" w:rsidP="00382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C5355">
              <w:rPr>
                <w:rFonts w:ascii="Arial" w:hAnsi="Arial" w:cs="Arial"/>
                <w:b w:val="0"/>
                <w:bCs w:val="0"/>
                <w:sz w:val="20"/>
                <w:szCs w:val="20"/>
              </w:rPr>
              <w:t>Number (n)</w:t>
            </w:r>
          </w:p>
        </w:tc>
        <w:tc>
          <w:tcPr>
            <w:tcW w:w="2156" w:type="dxa"/>
            <w:shd w:val="clear" w:color="auto" w:fill="auto"/>
          </w:tcPr>
          <w:p w14:paraId="7C0A6FC2" w14:textId="77777777" w:rsidR="006C5355" w:rsidRPr="006C5355" w:rsidRDefault="006C5355" w:rsidP="0038225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6C5355">
              <w:rPr>
                <w:rFonts w:ascii="Arial" w:hAnsi="Arial" w:cs="Arial"/>
                <w:b w:val="0"/>
                <w:bCs w:val="0"/>
                <w:sz w:val="20"/>
                <w:szCs w:val="20"/>
              </w:rPr>
              <w:t>Percentage (%)</w:t>
            </w:r>
          </w:p>
        </w:tc>
      </w:tr>
      <w:tr w:rsidR="006C5355" w:rsidRPr="006C5355" w14:paraId="0733F3F7" w14:textId="77777777" w:rsidTr="0038225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1F1A8E96"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Sex</w:t>
            </w:r>
          </w:p>
        </w:tc>
        <w:tc>
          <w:tcPr>
            <w:tcW w:w="2168" w:type="dxa"/>
            <w:shd w:val="clear" w:color="auto" w:fill="auto"/>
          </w:tcPr>
          <w:p w14:paraId="58DCD760"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 xml:space="preserve">Male </w:t>
            </w:r>
          </w:p>
        </w:tc>
        <w:tc>
          <w:tcPr>
            <w:tcW w:w="2043" w:type="dxa"/>
            <w:shd w:val="clear" w:color="auto" w:fill="auto"/>
          </w:tcPr>
          <w:p w14:paraId="2B3F514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50</w:t>
            </w:r>
          </w:p>
        </w:tc>
        <w:tc>
          <w:tcPr>
            <w:tcW w:w="2156" w:type="dxa"/>
            <w:shd w:val="clear" w:color="auto" w:fill="auto"/>
          </w:tcPr>
          <w:p w14:paraId="371DA44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75.8</w:t>
            </w:r>
          </w:p>
        </w:tc>
      </w:tr>
      <w:tr w:rsidR="006C5355" w:rsidRPr="006C5355" w14:paraId="53B62AEC" w14:textId="77777777" w:rsidTr="0038225E">
        <w:trPr>
          <w:trHeight w:val="109"/>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6F22F8BC"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BAD325E"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 xml:space="preserve">Female </w:t>
            </w:r>
          </w:p>
        </w:tc>
        <w:tc>
          <w:tcPr>
            <w:tcW w:w="2043" w:type="dxa"/>
            <w:shd w:val="clear" w:color="auto" w:fill="auto"/>
          </w:tcPr>
          <w:p w14:paraId="2E72138C"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16</w:t>
            </w:r>
          </w:p>
        </w:tc>
        <w:tc>
          <w:tcPr>
            <w:tcW w:w="2156" w:type="dxa"/>
            <w:shd w:val="clear" w:color="auto" w:fill="auto"/>
          </w:tcPr>
          <w:p w14:paraId="69649BB4"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24.2</w:t>
            </w:r>
          </w:p>
        </w:tc>
      </w:tr>
      <w:tr w:rsidR="006C5355" w:rsidRPr="006C5355" w14:paraId="39C1BAA2" w14:textId="77777777" w:rsidTr="0038225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0E99741B" w14:textId="77777777" w:rsidR="006C5355" w:rsidRPr="006C5355" w:rsidRDefault="006C5355" w:rsidP="0038225E">
            <w:pPr>
              <w:rPr>
                <w:rFonts w:ascii="Arial" w:hAnsi="Arial" w:cs="Arial"/>
                <w:b w:val="0"/>
                <w:bCs w:val="0"/>
                <w:sz w:val="20"/>
                <w:szCs w:val="20"/>
              </w:rPr>
            </w:pPr>
          </w:p>
          <w:p w14:paraId="3007F784"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Age group (Years)</w:t>
            </w:r>
          </w:p>
        </w:tc>
        <w:tc>
          <w:tcPr>
            <w:tcW w:w="2168" w:type="dxa"/>
            <w:shd w:val="clear" w:color="auto" w:fill="auto"/>
          </w:tcPr>
          <w:p w14:paraId="3CAF5646"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8D94AC"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21-30</w:t>
            </w:r>
          </w:p>
        </w:tc>
        <w:tc>
          <w:tcPr>
            <w:tcW w:w="2043" w:type="dxa"/>
            <w:shd w:val="clear" w:color="auto" w:fill="auto"/>
          </w:tcPr>
          <w:p w14:paraId="2B8D4AC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667A61EC"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24</w:t>
            </w:r>
          </w:p>
        </w:tc>
        <w:tc>
          <w:tcPr>
            <w:tcW w:w="2156" w:type="dxa"/>
            <w:shd w:val="clear" w:color="auto" w:fill="auto"/>
          </w:tcPr>
          <w:p w14:paraId="000B8C54"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56133414"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36.4</w:t>
            </w:r>
          </w:p>
        </w:tc>
      </w:tr>
      <w:tr w:rsidR="006C5355" w:rsidRPr="006C5355" w14:paraId="611C583E" w14:textId="77777777" w:rsidTr="0038225E">
        <w:trPr>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5821B862"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0AB7825"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31-40</w:t>
            </w:r>
          </w:p>
        </w:tc>
        <w:tc>
          <w:tcPr>
            <w:tcW w:w="2043" w:type="dxa"/>
            <w:shd w:val="clear" w:color="auto" w:fill="auto"/>
          </w:tcPr>
          <w:p w14:paraId="6D2CF68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28</w:t>
            </w:r>
          </w:p>
        </w:tc>
        <w:tc>
          <w:tcPr>
            <w:tcW w:w="2156" w:type="dxa"/>
            <w:shd w:val="clear" w:color="auto" w:fill="auto"/>
          </w:tcPr>
          <w:p w14:paraId="70FAD077"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42.4</w:t>
            </w:r>
          </w:p>
        </w:tc>
      </w:tr>
      <w:tr w:rsidR="006C5355" w:rsidRPr="006C5355" w14:paraId="7FE83899" w14:textId="77777777" w:rsidTr="0038225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17723BD6"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146E3725"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41-50</w:t>
            </w:r>
          </w:p>
        </w:tc>
        <w:tc>
          <w:tcPr>
            <w:tcW w:w="2043" w:type="dxa"/>
            <w:shd w:val="clear" w:color="auto" w:fill="auto"/>
          </w:tcPr>
          <w:p w14:paraId="634634F8"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13</w:t>
            </w:r>
          </w:p>
        </w:tc>
        <w:tc>
          <w:tcPr>
            <w:tcW w:w="2156" w:type="dxa"/>
            <w:shd w:val="clear" w:color="auto" w:fill="auto"/>
          </w:tcPr>
          <w:p w14:paraId="176B0695"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19.7</w:t>
            </w:r>
          </w:p>
        </w:tc>
      </w:tr>
      <w:tr w:rsidR="006C5355" w:rsidRPr="006C5355" w14:paraId="6FA63DE7" w14:textId="77777777" w:rsidTr="0038225E">
        <w:trPr>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0AD047D0"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735F9E59"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≥51</w:t>
            </w:r>
          </w:p>
        </w:tc>
        <w:tc>
          <w:tcPr>
            <w:tcW w:w="2043" w:type="dxa"/>
            <w:shd w:val="clear" w:color="auto" w:fill="auto"/>
          </w:tcPr>
          <w:p w14:paraId="364AA77B"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w:t>
            </w:r>
          </w:p>
        </w:tc>
        <w:tc>
          <w:tcPr>
            <w:tcW w:w="2156" w:type="dxa"/>
            <w:shd w:val="clear" w:color="auto" w:fill="auto"/>
          </w:tcPr>
          <w:p w14:paraId="6907E9EE"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1.5</w:t>
            </w:r>
          </w:p>
        </w:tc>
      </w:tr>
      <w:tr w:rsidR="006C5355" w:rsidRPr="006C5355" w14:paraId="10018AF0" w14:textId="77777777" w:rsidTr="0038225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57A1BD14" w14:textId="77777777" w:rsidR="006C5355" w:rsidRPr="006C5355" w:rsidRDefault="006C5355" w:rsidP="0038225E">
            <w:pPr>
              <w:rPr>
                <w:rFonts w:ascii="Arial" w:hAnsi="Arial" w:cs="Arial"/>
                <w:b w:val="0"/>
                <w:bCs w:val="0"/>
                <w:sz w:val="20"/>
                <w:szCs w:val="20"/>
              </w:rPr>
            </w:pPr>
          </w:p>
          <w:p w14:paraId="72DF9356"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General/specialist</w:t>
            </w:r>
          </w:p>
        </w:tc>
        <w:tc>
          <w:tcPr>
            <w:tcW w:w="2168" w:type="dxa"/>
            <w:shd w:val="clear" w:color="auto" w:fill="auto"/>
          </w:tcPr>
          <w:p w14:paraId="062439BD"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6C7C5ED"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General practitioner</w:t>
            </w:r>
          </w:p>
        </w:tc>
        <w:tc>
          <w:tcPr>
            <w:tcW w:w="2043" w:type="dxa"/>
            <w:shd w:val="clear" w:color="auto" w:fill="auto"/>
          </w:tcPr>
          <w:p w14:paraId="2900ECC4"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2387E29D"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50</w:t>
            </w:r>
          </w:p>
        </w:tc>
        <w:tc>
          <w:tcPr>
            <w:tcW w:w="2156" w:type="dxa"/>
            <w:shd w:val="clear" w:color="auto" w:fill="auto"/>
          </w:tcPr>
          <w:p w14:paraId="2F0D587C"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2E085069"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75.8</w:t>
            </w:r>
          </w:p>
        </w:tc>
      </w:tr>
      <w:tr w:rsidR="006C5355" w:rsidRPr="006C5355" w14:paraId="19DB5614" w14:textId="77777777" w:rsidTr="0038225E">
        <w:trPr>
          <w:trHeight w:val="109"/>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263BD4E8"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60639934"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Specialist</w:t>
            </w:r>
          </w:p>
        </w:tc>
        <w:tc>
          <w:tcPr>
            <w:tcW w:w="2043" w:type="dxa"/>
            <w:shd w:val="clear" w:color="auto" w:fill="auto"/>
          </w:tcPr>
          <w:p w14:paraId="67F94052"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16</w:t>
            </w:r>
          </w:p>
        </w:tc>
        <w:tc>
          <w:tcPr>
            <w:tcW w:w="2156" w:type="dxa"/>
            <w:shd w:val="clear" w:color="auto" w:fill="auto"/>
          </w:tcPr>
          <w:p w14:paraId="6025813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24.2</w:t>
            </w:r>
          </w:p>
        </w:tc>
      </w:tr>
      <w:tr w:rsidR="006C5355" w:rsidRPr="006C5355" w14:paraId="045D504D" w14:textId="77777777" w:rsidTr="0038225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0E820619" w14:textId="77777777" w:rsidR="006C5355" w:rsidRPr="006C5355" w:rsidRDefault="006C5355" w:rsidP="0038225E">
            <w:pPr>
              <w:rPr>
                <w:rFonts w:ascii="Arial" w:hAnsi="Arial" w:cs="Arial"/>
                <w:b w:val="0"/>
                <w:bCs w:val="0"/>
                <w:sz w:val="20"/>
                <w:szCs w:val="20"/>
              </w:rPr>
            </w:pPr>
          </w:p>
          <w:p w14:paraId="2D30B5D7"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Years of experience</w:t>
            </w:r>
          </w:p>
        </w:tc>
        <w:tc>
          <w:tcPr>
            <w:tcW w:w="2168" w:type="dxa"/>
            <w:shd w:val="clear" w:color="auto" w:fill="auto"/>
          </w:tcPr>
          <w:p w14:paraId="40BCBAE5"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35AA91A"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&lt;1 year</w:t>
            </w:r>
          </w:p>
        </w:tc>
        <w:tc>
          <w:tcPr>
            <w:tcW w:w="2043" w:type="dxa"/>
            <w:shd w:val="clear" w:color="auto" w:fill="auto"/>
          </w:tcPr>
          <w:p w14:paraId="68160FFA"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316FD93D"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w:t>
            </w:r>
          </w:p>
        </w:tc>
        <w:tc>
          <w:tcPr>
            <w:tcW w:w="2156" w:type="dxa"/>
            <w:shd w:val="clear" w:color="auto" w:fill="auto"/>
          </w:tcPr>
          <w:p w14:paraId="2AEDD6D2"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01571215"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7.6</w:t>
            </w:r>
          </w:p>
        </w:tc>
      </w:tr>
      <w:tr w:rsidR="006C5355" w:rsidRPr="006C5355" w14:paraId="10A0A838" w14:textId="77777777" w:rsidTr="0038225E">
        <w:trPr>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0ADE54F2"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0E6D8504"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1-5 years</w:t>
            </w:r>
          </w:p>
        </w:tc>
        <w:tc>
          <w:tcPr>
            <w:tcW w:w="2043" w:type="dxa"/>
            <w:shd w:val="clear" w:color="auto" w:fill="auto"/>
          </w:tcPr>
          <w:p w14:paraId="1A94AE66"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36</w:t>
            </w:r>
          </w:p>
        </w:tc>
        <w:tc>
          <w:tcPr>
            <w:tcW w:w="2156" w:type="dxa"/>
            <w:shd w:val="clear" w:color="auto" w:fill="auto"/>
          </w:tcPr>
          <w:p w14:paraId="54F330B6"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54.5</w:t>
            </w:r>
          </w:p>
        </w:tc>
      </w:tr>
      <w:tr w:rsidR="006C5355" w:rsidRPr="006C5355" w14:paraId="26C74D68" w14:textId="77777777" w:rsidTr="0038225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7E6219D2"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1485974F"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6-10 years</w:t>
            </w:r>
          </w:p>
        </w:tc>
        <w:tc>
          <w:tcPr>
            <w:tcW w:w="2043" w:type="dxa"/>
            <w:shd w:val="clear" w:color="auto" w:fill="auto"/>
          </w:tcPr>
          <w:p w14:paraId="640A7BA7"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13</w:t>
            </w:r>
          </w:p>
        </w:tc>
        <w:tc>
          <w:tcPr>
            <w:tcW w:w="2156" w:type="dxa"/>
            <w:shd w:val="clear" w:color="auto" w:fill="auto"/>
          </w:tcPr>
          <w:p w14:paraId="01369A3A"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19.7</w:t>
            </w:r>
          </w:p>
        </w:tc>
      </w:tr>
      <w:tr w:rsidR="006C5355" w:rsidRPr="006C5355" w14:paraId="77474E18" w14:textId="77777777" w:rsidTr="0038225E">
        <w:trPr>
          <w:trHeight w:val="54"/>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46F15A4F"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342271A3"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&gt;10 years</w:t>
            </w:r>
          </w:p>
        </w:tc>
        <w:tc>
          <w:tcPr>
            <w:tcW w:w="2043" w:type="dxa"/>
            <w:shd w:val="clear" w:color="auto" w:fill="auto"/>
          </w:tcPr>
          <w:p w14:paraId="286E4FC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12</w:t>
            </w:r>
          </w:p>
        </w:tc>
        <w:tc>
          <w:tcPr>
            <w:tcW w:w="2156" w:type="dxa"/>
            <w:shd w:val="clear" w:color="auto" w:fill="auto"/>
          </w:tcPr>
          <w:p w14:paraId="2AF79622"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18.2</w:t>
            </w:r>
          </w:p>
        </w:tc>
      </w:tr>
      <w:tr w:rsidR="006C5355" w:rsidRPr="006C5355" w14:paraId="45E53507" w14:textId="77777777" w:rsidTr="0038225E">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2395" w:type="dxa"/>
            <w:vMerge w:val="restart"/>
            <w:shd w:val="clear" w:color="auto" w:fill="auto"/>
          </w:tcPr>
          <w:p w14:paraId="058BF452" w14:textId="77777777" w:rsidR="006C5355" w:rsidRPr="006C5355" w:rsidRDefault="006C5355" w:rsidP="0038225E">
            <w:pPr>
              <w:rPr>
                <w:rFonts w:ascii="Arial" w:hAnsi="Arial" w:cs="Arial"/>
                <w:b w:val="0"/>
                <w:bCs w:val="0"/>
                <w:sz w:val="20"/>
                <w:szCs w:val="20"/>
              </w:rPr>
            </w:pPr>
          </w:p>
          <w:p w14:paraId="65289C2B" w14:textId="77777777" w:rsidR="006C5355" w:rsidRPr="006C5355" w:rsidRDefault="006C5355" w:rsidP="0038225E">
            <w:pPr>
              <w:rPr>
                <w:rFonts w:ascii="Arial" w:hAnsi="Arial" w:cs="Arial"/>
                <w:b w:val="0"/>
                <w:bCs w:val="0"/>
                <w:sz w:val="20"/>
                <w:szCs w:val="20"/>
              </w:rPr>
            </w:pPr>
            <w:r w:rsidRPr="006C5355">
              <w:rPr>
                <w:rFonts w:ascii="Arial" w:hAnsi="Arial" w:cs="Arial"/>
                <w:b w:val="0"/>
                <w:bCs w:val="0"/>
                <w:sz w:val="20"/>
                <w:szCs w:val="20"/>
              </w:rPr>
              <w:t>Health area</w:t>
            </w:r>
          </w:p>
        </w:tc>
        <w:tc>
          <w:tcPr>
            <w:tcW w:w="2168" w:type="dxa"/>
            <w:shd w:val="clear" w:color="auto" w:fill="auto"/>
          </w:tcPr>
          <w:p w14:paraId="61FC082B"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CD23EB4"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6C5355">
              <w:rPr>
                <w:rFonts w:ascii="Arial" w:hAnsi="Arial" w:cs="Arial"/>
                <w:color w:val="auto"/>
                <w:sz w:val="20"/>
                <w:szCs w:val="20"/>
              </w:rPr>
              <w:t>Muea</w:t>
            </w:r>
            <w:proofErr w:type="spellEnd"/>
          </w:p>
        </w:tc>
        <w:tc>
          <w:tcPr>
            <w:tcW w:w="2043" w:type="dxa"/>
            <w:shd w:val="clear" w:color="auto" w:fill="auto"/>
          </w:tcPr>
          <w:p w14:paraId="48BC3424"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77291E1E"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7</w:t>
            </w:r>
          </w:p>
        </w:tc>
        <w:tc>
          <w:tcPr>
            <w:tcW w:w="2156" w:type="dxa"/>
            <w:shd w:val="clear" w:color="auto" w:fill="auto"/>
          </w:tcPr>
          <w:p w14:paraId="7F756B51"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205"/>
                <w:sz w:val="20"/>
                <w:szCs w:val="20"/>
              </w:rPr>
            </w:pPr>
          </w:p>
          <w:p w14:paraId="56A2FD88"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10.6</w:t>
            </w:r>
          </w:p>
        </w:tc>
      </w:tr>
      <w:tr w:rsidR="006C5355" w:rsidRPr="006C5355" w14:paraId="54695272" w14:textId="77777777" w:rsidTr="0038225E">
        <w:trPr>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05303998"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61E2CD9"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Molyko</w:t>
            </w:r>
          </w:p>
        </w:tc>
        <w:tc>
          <w:tcPr>
            <w:tcW w:w="2043" w:type="dxa"/>
            <w:shd w:val="clear" w:color="auto" w:fill="auto"/>
          </w:tcPr>
          <w:p w14:paraId="6EAB563F"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11</w:t>
            </w:r>
          </w:p>
        </w:tc>
        <w:tc>
          <w:tcPr>
            <w:tcW w:w="2156" w:type="dxa"/>
            <w:shd w:val="clear" w:color="auto" w:fill="auto"/>
          </w:tcPr>
          <w:p w14:paraId="3E18B1C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16.7</w:t>
            </w:r>
          </w:p>
        </w:tc>
      </w:tr>
      <w:tr w:rsidR="006C5355" w:rsidRPr="006C5355" w14:paraId="2CC319F6" w14:textId="77777777" w:rsidTr="0038225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678CC4DD"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1E69503E"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Buea Road</w:t>
            </w:r>
          </w:p>
        </w:tc>
        <w:tc>
          <w:tcPr>
            <w:tcW w:w="2043" w:type="dxa"/>
            <w:shd w:val="clear" w:color="auto" w:fill="auto"/>
          </w:tcPr>
          <w:p w14:paraId="49381AF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39</w:t>
            </w:r>
          </w:p>
        </w:tc>
        <w:tc>
          <w:tcPr>
            <w:tcW w:w="2156" w:type="dxa"/>
            <w:shd w:val="clear" w:color="auto" w:fill="auto"/>
          </w:tcPr>
          <w:p w14:paraId="086F314D"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59.1</w:t>
            </w:r>
          </w:p>
        </w:tc>
      </w:tr>
      <w:tr w:rsidR="006C5355" w:rsidRPr="006C5355" w14:paraId="61732F1A" w14:textId="77777777" w:rsidTr="0038225E">
        <w:trPr>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53C7B4AE"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F6B4789"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C5355">
              <w:rPr>
                <w:rFonts w:ascii="Arial" w:hAnsi="Arial" w:cs="Arial"/>
                <w:color w:val="auto"/>
                <w:sz w:val="20"/>
                <w:szCs w:val="20"/>
              </w:rPr>
              <w:t>Buea Town</w:t>
            </w:r>
          </w:p>
        </w:tc>
        <w:tc>
          <w:tcPr>
            <w:tcW w:w="2043" w:type="dxa"/>
            <w:shd w:val="clear" w:color="auto" w:fill="auto"/>
          </w:tcPr>
          <w:p w14:paraId="41A421D2"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4</w:t>
            </w:r>
          </w:p>
        </w:tc>
        <w:tc>
          <w:tcPr>
            <w:tcW w:w="2156" w:type="dxa"/>
            <w:shd w:val="clear" w:color="auto" w:fill="auto"/>
          </w:tcPr>
          <w:p w14:paraId="50B240F7"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6.1</w:t>
            </w:r>
          </w:p>
        </w:tc>
      </w:tr>
      <w:tr w:rsidR="006C5355" w:rsidRPr="006C5355" w14:paraId="775AB546" w14:textId="77777777" w:rsidTr="0038225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1AE2DD74"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0C5658ED"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roofErr w:type="spellStart"/>
            <w:r w:rsidRPr="006C5355">
              <w:rPr>
                <w:rFonts w:ascii="Arial" w:hAnsi="Arial" w:cs="Arial"/>
                <w:color w:val="auto"/>
                <w:sz w:val="20"/>
                <w:szCs w:val="20"/>
              </w:rPr>
              <w:t>Bokwango</w:t>
            </w:r>
            <w:proofErr w:type="spellEnd"/>
          </w:p>
        </w:tc>
        <w:tc>
          <w:tcPr>
            <w:tcW w:w="2043" w:type="dxa"/>
            <w:shd w:val="clear" w:color="auto" w:fill="auto"/>
          </w:tcPr>
          <w:p w14:paraId="679E2EE6"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2</w:t>
            </w:r>
          </w:p>
        </w:tc>
        <w:tc>
          <w:tcPr>
            <w:tcW w:w="2156" w:type="dxa"/>
            <w:shd w:val="clear" w:color="auto" w:fill="auto"/>
          </w:tcPr>
          <w:p w14:paraId="3A7A0D3D"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color w:val="010205"/>
                <w:sz w:val="20"/>
                <w:szCs w:val="20"/>
              </w:rPr>
              <w:t>3.0</w:t>
            </w:r>
          </w:p>
        </w:tc>
      </w:tr>
      <w:tr w:rsidR="006C5355" w:rsidRPr="006C5355" w14:paraId="4D1E1740" w14:textId="77777777" w:rsidTr="0038225E">
        <w:trPr>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6DE92FA5"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25D5B877" w14:textId="77777777" w:rsidR="006C5355" w:rsidRPr="006C5355" w:rsidRDefault="006C5355" w:rsidP="0038225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Tole</w:t>
            </w:r>
          </w:p>
        </w:tc>
        <w:tc>
          <w:tcPr>
            <w:tcW w:w="2043" w:type="dxa"/>
            <w:shd w:val="clear" w:color="auto" w:fill="auto"/>
          </w:tcPr>
          <w:p w14:paraId="131279E3"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1</w:t>
            </w:r>
          </w:p>
        </w:tc>
        <w:tc>
          <w:tcPr>
            <w:tcW w:w="2156" w:type="dxa"/>
            <w:shd w:val="clear" w:color="auto" w:fill="auto"/>
          </w:tcPr>
          <w:p w14:paraId="46DAA5F9" w14:textId="77777777" w:rsidR="006C5355" w:rsidRPr="006C5355" w:rsidRDefault="006C5355" w:rsidP="0038225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5355">
              <w:rPr>
                <w:rFonts w:ascii="Arial" w:hAnsi="Arial" w:cs="Arial"/>
                <w:sz w:val="20"/>
                <w:szCs w:val="20"/>
              </w:rPr>
              <w:t>1.5</w:t>
            </w:r>
          </w:p>
        </w:tc>
      </w:tr>
      <w:tr w:rsidR="006C5355" w:rsidRPr="006C5355" w14:paraId="725CED6A" w14:textId="77777777" w:rsidTr="0038225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95" w:type="dxa"/>
            <w:vMerge/>
            <w:shd w:val="clear" w:color="auto" w:fill="auto"/>
          </w:tcPr>
          <w:p w14:paraId="166ECB45" w14:textId="77777777" w:rsidR="006C5355" w:rsidRPr="006C5355" w:rsidRDefault="006C5355" w:rsidP="0038225E">
            <w:pPr>
              <w:rPr>
                <w:rFonts w:ascii="Arial" w:hAnsi="Arial" w:cs="Arial"/>
                <w:b w:val="0"/>
                <w:bCs w:val="0"/>
                <w:sz w:val="20"/>
                <w:szCs w:val="20"/>
              </w:rPr>
            </w:pPr>
          </w:p>
        </w:tc>
        <w:tc>
          <w:tcPr>
            <w:tcW w:w="2168" w:type="dxa"/>
            <w:shd w:val="clear" w:color="auto" w:fill="auto"/>
          </w:tcPr>
          <w:p w14:paraId="3378C173" w14:textId="77777777" w:rsidR="006C5355" w:rsidRPr="006C5355" w:rsidRDefault="006C5355" w:rsidP="003822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Bova</w:t>
            </w:r>
          </w:p>
        </w:tc>
        <w:tc>
          <w:tcPr>
            <w:tcW w:w="2043" w:type="dxa"/>
            <w:shd w:val="clear" w:color="auto" w:fill="auto"/>
          </w:tcPr>
          <w:p w14:paraId="3AA23923"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2</w:t>
            </w:r>
          </w:p>
        </w:tc>
        <w:tc>
          <w:tcPr>
            <w:tcW w:w="2156" w:type="dxa"/>
            <w:shd w:val="clear" w:color="auto" w:fill="auto"/>
          </w:tcPr>
          <w:p w14:paraId="7C76BDD1" w14:textId="77777777" w:rsidR="006C5355" w:rsidRPr="006C5355" w:rsidRDefault="006C5355" w:rsidP="003822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5355">
              <w:rPr>
                <w:rFonts w:ascii="Arial" w:hAnsi="Arial" w:cs="Arial"/>
                <w:sz w:val="20"/>
                <w:szCs w:val="20"/>
              </w:rPr>
              <w:t>3.0</w:t>
            </w:r>
          </w:p>
        </w:tc>
      </w:tr>
    </w:tbl>
    <w:p w14:paraId="720CEA53" w14:textId="77777777" w:rsidR="006C5355" w:rsidRPr="006C5355" w:rsidRDefault="006C5355" w:rsidP="006C5355">
      <w:pPr>
        <w:rPr>
          <w:rFonts w:ascii="Arial" w:hAnsi="Arial" w:cs="Arial"/>
        </w:rPr>
      </w:pPr>
    </w:p>
    <w:p w14:paraId="748664DD" w14:textId="77777777" w:rsidR="006C5355" w:rsidRPr="006C5355" w:rsidRDefault="006C5355" w:rsidP="006C5355">
      <w:pPr>
        <w:spacing w:line="480" w:lineRule="auto"/>
        <w:jc w:val="both"/>
        <w:rPr>
          <w:rFonts w:ascii="Arial" w:hAnsi="Arial" w:cs="Arial"/>
        </w:rPr>
      </w:pPr>
      <w:r w:rsidRPr="006C5355">
        <w:rPr>
          <w:rFonts w:ascii="Arial" w:hAnsi="Arial" w:cs="Arial"/>
        </w:rPr>
        <w:t>The first-choice most prescribed antibiotic was ceftriaxone, mentioned by 37 (56.1%) doctors. The second most prescribed antibiotic was amoxicillin-clavulanic acid, cited by 17 (25.8%) doctors, while metronidazole was the third most prescribed, with 16 (24.2%) doctors choosing it (table 2).</w:t>
      </w:r>
    </w:p>
    <w:p w14:paraId="62D87615" w14:textId="77777777" w:rsidR="006C5355" w:rsidRPr="006C5355" w:rsidRDefault="006C5355" w:rsidP="006C5355">
      <w:pPr>
        <w:pStyle w:val="Caption"/>
        <w:keepNext/>
        <w:spacing w:after="0"/>
        <w:rPr>
          <w:rFonts w:ascii="Arial" w:hAnsi="Arial" w:cs="Arial"/>
          <w:i w:val="0"/>
          <w:sz w:val="20"/>
          <w:szCs w:val="20"/>
        </w:rPr>
      </w:pPr>
    </w:p>
    <w:p w14:paraId="2536F0F4" w14:textId="77777777" w:rsidR="006C5355" w:rsidRPr="006C5355" w:rsidRDefault="006C5355" w:rsidP="006C5355">
      <w:pPr>
        <w:pStyle w:val="Caption"/>
        <w:keepNext/>
        <w:rPr>
          <w:rFonts w:ascii="Arial" w:hAnsi="Arial" w:cs="Arial"/>
          <w:i w:val="0"/>
          <w:iCs w:val="0"/>
          <w:color w:val="auto"/>
          <w:sz w:val="20"/>
          <w:szCs w:val="20"/>
        </w:rPr>
      </w:pPr>
      <w:r w:rsidRPr="006C5355">
        <w:rPr>
          <w:rFonts w:ascii="Arial" w:hAnsi="Arial" w:cs="Arial"/>
          <w:i w:val="0"/>
          <w:iCs w:val="0"/>
          <w:color w:val="auto"/>
          <w:sz w:val="20"/>
          <w:szCs w:val="20"/>
        </w:rPr>
        <w:t>Table 2: The three most prescribed Antibiotics according to medical doctors in the Buea health District, 2025</w:t>
      </w:r>
    </w:p>
    <w:tbl>
      <w:tblPr>
        <w:tblStyle w:val="LightShading"/>
        <w:tblW w:w="8388" w:type="dxa"/>
        <w:tblLook w:val="04A0" w:firstRow="1" w:lastRow="0" w:firstColumn="1" w:lastColumn="0" w:noHBand="0" w:noVBand="1"/>
      </w:tblPr>
      <w:tblGrid>
        <w:gridCol w:w="1756"/>
        <w:gridCol w:w="872"/>
        <w:gridCol w:w="2496"/>
        <w:gridCol w:w="1410"/>
        <w:gridCol w:w="1854"/>
      </w:tblGrid>
      <w:tr w:rsidR="006C5355" w:rsidRPr="006C5355" w14:paraId="233710DA" w14:textId="77777777" w:rsidTr="00382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shd w:val="clear" w:color="auto" w:fill="auto"/>
          </w:tcPr>
          <w:p w14:paraId="47C674A4"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2496" w:type="dxa"/>
            <w:shd w:val="clear" w:color="auto" w:fill="auto"/>
          </w:tcPr>
          <w:p w14:paraId="237593AB" w14:textId="77777777" w:rsidR="006C5355" w:rsidRPr="006C5355" w:rsidRDefault="006C5355" w:rsidP="0038225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Antibiotic</w:t>
            </w:r>
          </w:p>
        </w:tc>
        <w:tc>
          <w:tcPr>
            <w:tcW w:w="1410" w:type="dxa"/>
            <w:shd w:val="clear" w:color="auto" w:fill="auto"/>
          </w:tcPr>
          <w:p w14:paraId="70AEC3A9" w14:textId="77777777" w:rsidR="006C5355" w:rsidRPr="006C5355" w:rsidRDefault="006C5355" w:rsidP="0038225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Number of doctors (n)</w:t>
            </w:r>
          </w:p>
        </w:tc>
        <w:tc>
          <w:tcPr>
            <w:tcW w:w="1854" w:type="dxa"/>
            <w:shd w:val="clear" w:color="auto" w:fill="auto"/>
          </w:tcPr>
          <w:p w14:paraId="7B95219A" w14:textId="77777777" w:rsidR="006C5355" w:rsidRPr="006C5355" w:rsidRDefault="006C5355" w:rsidP="0038225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Percentage of doctors (%)</w:t>
            </w:r>
          </w:p>
        </w:tc>
      </w:tr>
      <w:tr w:rsidR="006C5355" w:rsidRPr="006C5355" w14:paraId="36E1AC30" w14:textId="77777777" w:rsidTr="0038225E">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56" w:type="dxa"/>
            <w:vMerge w:val="restart"/>
            <w:shd w:val="clear" w:color="auto" w:fill="auto"/>
          </w:tcPr>
          <w:p w14:paraId="128E3112"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 xml:space="preserve">1st choice most prescribed </w:t>
            </w:r>
          </w:p>
        </w:tc>
        <w:tc>
          <w:tcPr>
            <w:tcW w:w="872" w:type="dxa"/>
            <w:shd w:val="clear" w:color="auto" w:fill="auto"/>
          </w:tcPr>
          <w:p w14:paraId="73FD4A04"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w:t>
            </w:r>
            <w:r w:rsidRPr="006C5355">
              <w:rPr>
                <w:rFonts w:ascii="Arial" w:hAnsi="Arial" w:cs="Arial"/>
                <w:color w:val="000000" w:themeColor="text1"/>
                <w:sz w:val="20"/>
                <w:szCs w:val="20"/>
                <w:vertAlign w:val="superscript"/>
              </w:rPr>
              <w:t>st</w:t>
            </w:r>
          </w:p>
          <w:p w14:paraId="570D6A6C"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496" w:type="dxa"/>
            <w:shd w:val="clear" w:color="auto" w:fill="auto"/>
          </w:tcPr>
          <w:p w14:paraId="38B88B86"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Ceftriaxone</w:t>
            </w:r>
          </w:p>
        </w:tc>
        <w:tc>
          <w:tcPr>
            <w:tcW w:w="1410" w:type="dxa"/>
            <w:shd w:val="clear" w:color="auto" w:fill="auto"/>
          </w:tcPr>
          <w:p w14:paraId="1ACD68CD"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37</w:t>
            </w:r>
          </w:p>
        </w:tc>
        <w:tc>
          <w:tcPr>
            <w:tcW w:w="1854" w:type="dxa"/>
            <w:shd w:val="clear" w:color="auto" w:fill="auto"/>
          </w:tcPr>
          <w:p w14:paraId="553A4123"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56.1</w:t>
            </w:r>
          </w:p>
        </w:tc>
      </w:tr>
      <w:tr w:rsidR="006C5355" w:rsidRPr="006C5355" w14:paraId="3B4E9991"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0A978A6D"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72A63B08"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w:t>
            </w:r>
            <w:r w:rsidRPr="006C5355">
              <w:rPr>
                <w:rFonts w:ascii="Arial" w:hAnsi="Arial" w:cs="Arial"/>
                <w:color w:val="000000" w:themeColor="text1"/>
                <w:sz w:val="20"/>
                <w:szCs w:val="20"/>
                <w:vertAlign w:val="superscript"/>
              </w:rPr>
              <w:t>nd</w:t>
            </w:r>
            <w:r w:rsidRPr="006C5355">
              <w:rPr>
                <w:rFonts w:ascii="Arial" w:hAnsi="Arial" w:cs="Arial"/>
                <w:color w:val="000000" w:themeColor="text1"/>
                <w:sz w:val="20"/>
                <w:szCs w:val="20"/>
              </w:rPr>
              <w:t xml:space="preserve"> </w:t>
            </w:r>
          </w:p>
        </w:tc>
        <w:tc>
          <w:tcPr>
            <w:tcW w:w="2496" w:type="dxa"/>
            <w:shd w:val="clear" w:color="auto" w:fill="auto"/>
          </w:tcPr>
          <w:p w14:paraId="6E338E06"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Amoxicillin/clavulanic acid</w:t>
            </w:r>
          </w:p>
        </w:tc>
        <w:tc>
          <w:tcPr>
            <w:tcW w:w="1410" w:type="dxa"/>
            <w:shd w:val="clear" w:color="auto" w:fill="auto"/>
          </w:tcPr>
          <w:p w14:paraId="4ADC8094"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15</w:t>
            </w:r>
          </w:p>
        </w:tc>
        <w:tc>
          <w:tcPr>
            <w:tcW w:w="1854" w:type="dxa"/>
            <w:shd w:val="clear" w:color="auto" w:fill="auto"/>
          </w:tcPr>
          <w:p w14:paraId="083D861C"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22.7</w:t>
            </w:r>
          </w:p>
        </w:tc>
      </w:tr>
      <w:tr w:rsidR="006C5355" w:rsidRPr="006C5355" w14:paraId="471B9FA9"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51662EC2"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581CB592"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w:t>
            </w:r>
            <w:r w:rsidRPr="006C5355">
              <w:rPr>
                <w:rFonts w:ascii="Arial" w:hAnsi="Arial" w:cs="Arial"/>
                <w:color w:val="000000" w:themeColor="text1"/>
                <w:sz w:val="20"/>
                <w:szCs w:val="20"/>
                <w:vertAlign w:val="superscript"/>
              </w:rPr>
              <w:t>rd</w:t>
            </w:r>
            <w:r w:rsidRPr="006C5355">
              <w:rPr>
                <w:rFonts w:ascii="Arial" w:hAnsi="Arial" w:cs="Arial"/>
                <w:color w:val="000000" w:themeColor="text1"/>
                <w:sz w:val="20"/>
                <w:szCs w:val="20"/>
              </w:rPr>
              <w:t xml:space="preserve"> </w:t>
            </w:r>
          </w:p>
        </w:tc>
        <w:tc>
          <w:tcPr>
            <w:tcW w:w="2496" w:type="dxa"/>
            <w:shd w:val="clear" w:color="auto" w:fill="auto"/>
          </w:tcPr>
          <w:p w14:paraId="606E8DDC"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Amoxicillin</w:t>
            </w:r>
          </w:p>
        </w:tc>
        <w:tc>
          <w:tcPr>
            <w:tcW w:w="1410" w:type="dxa"/>
            <w:shd w:val="clear" w:color="auto" w:fill="auto"/>
          </w:tcPr>
          <w:p w14:paraId="0C451960"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6</w:t>
            </w:r>
          </w:p>
        </w:tc>
        <w:tc>
          <w:tcPr>
            <w:tcW w:w="1854" w:type="dxa"/>
            <w:shd w:val="clear" w:color="auto" w:fill="auto"/>
          </w:tcPr>
          <w:p w14:paraId="51EB334B"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9.1</w:t>
            </w:r>
          </w:p>
        </w:tc>
      </w:tr>
      <w:tr w:rsidR="006C5355" w:rsidRPr="006C5355" w14:paraId="3E5F8587"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09C8E0F4"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7A6A99D9"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4</w:t>
            </w:r>
            <w:r w:rsidRPr="006C5355">
              <w:rPr>
                <w:rFonts w:ascii="Arial" w:hAnsi="Arial" w:cs="Arial"/>
                <w:color w:val="000000" w:themeColor="text1"/>
                <w:sz w:val="20"/>
                <w:szCs w:val="20"/>
                <w:vertAlign w:val="superscript"/>
              </w:rPr>
              <w:t>th</w:t>
            </w:r>
            <w:r w:rsidRPr="006C5355">
              <w:rPr>
                <w:rFonts w:ascii="Arial" w:hAnsi="Arial" w:cs="Arial"/>
                <w:color w:val="000000" w:themeColor="text1"/>
                <w:sz w:val="20"/>
                <w:szCs w:val="20"/>
              </w:rPr>
              <w:t xml:space="preserve"> </w:t>
            </w:r>
          </w:p>
        </w:tc>
        <w:tc>
          <w:tcPr>
            <w:tcW w:w="2496" w:type="dxa"/>
            <w:shd w:val="clear" w:color="auto" w:fill="auto"/>
          </w:tcPr>
          <w:p w14:paraId="669D1649"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Others</w:t>
            </w:r>
          </w:p>
        </w:tc>
        <w:tc>
          <w:tcPr>
            <w:tcW w:w="1410" w:type="dxa"/>
            <w:shd w:val="clear" w:color="auto" w:fill="auto"/>
          </w:tcPr>
          <w:p w14:paraId="336CE37C"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8</w:t>
            </w:r>
          </w:p>
        </w:tc>
        <w:tc>
          <w:tcPr>
            <w:tcW w:w="1854" w:type="dxa"/>
            <w:shd w:val="clear" w:color="auto" w:fill="auto"/>
          </w:tcPr>
          <w:p w14:paraId="735FD446"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12.1</w:t>
            </w:r>
          </w:p>
        </w:tc>
      </w:tr>
      <w:tr w:rsidR="006C5355" w:rsidRPr="006C5355" w14:paraId="19B45142"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88" w:type="dxa"/>
            <w:gridSpan w:val="5"/>
            <w:shd w:val="clear" w:color="auto" w:fill="auto"/>
          </w:tcPr>
          <w:p w14:paraId="71926EDF"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r>
      <w:tr w:rsidR="006C5355" w:rsidRPr="006C5355" w14:paraId="0C5ABFC2"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val="restart"/>
            <w:shd w:val="clear" w:color="auto" w:fill="auto"/>
          </w:tcPr>
          <w:p w14:paraId="359E0859"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2</w:t>
            </w:r>
            <w:r w:rsidRPr="006C5355">
              <w:rPr>
                <w:rFonts w:ascii="Arial" w:hAnsi="Arial" w:cs="Arial"/>
                <w:b w:val="0"/>
                <w:bCs w:val="0"/>
                <w:color w:val="000000" w:themeColor="text1"/>
                <w:sz w:val="20"/>
                <w:szCs w:val="20"/>
                <w:vertAlign w:val="superscript"/>
              </w:rPr>
              <w:t>nd</w:t>
            </w:r>
            <w:r w:rsidRPr="006C5355">
              <w:rPr>
                <w:rFonts w:ascii="Arial" w:hAnsi="Arial" w:cs="Arial"/>
                <w:b w:val="0"/>
                <w:bCs w:val="0"/>
                <w:color w:val="000000" w:themeColor="text1"/>
                <w:sz w:val="20"/>
                <w:szCs w:val="20"/>
              </w:rPr>
              <w:t xml:space="preserve"> choice most prescribed </w:t>
            </w:r>
          </w:p>
        </w:tc>
        <w:tc>
          <w:tcPr>
            <w:tcW w:w="872" w:type="dxa"/>
            <w:shd w:val="clear" w:color="auto" w:fill="auto"/>
          </w:tcPr>
          <w:p w14:paraId="0AB32117"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w:t>
            </w:r>
            <w:r w:rsidRPr="006C5355">
              <w:rPr>
                <w:rFonts w:ascii="Arial" w:hAnsi="Arial" w:cs="Arial"/>
                <w:color w:val="000000" w:themeColor="text1"/>
                <w:sz w:val="20"/>
                <w:szCs w:val="20"/>
                <w:vertAlign w:val="superscript"/>
              </w:rPr>
              <w:t>st</w:t>
            </w:r>
          </w:p>
          <w:p w14:paraId="15093245"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496" w:type="dxa"/>
            <w:shd w:val="clear" w:color="auto" w:fill="auto"/>
          </w:tcPr>
          <w:p w14:paraId="1CDA3C69"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Amoxicillin/clavulanic acid</w:t>
            </w:r>
          </w:p>
        </w:tc>
        <w:tc>
          <w:tcPr>
            <w:tcW w:w="1410" w:type="dxa"/>
            <w:shd w:val="clear" w:color="auto" w:fill="auto"/>
          </w:tcPr>
          <w:p w14:paraId="7B4C5C96"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17</w:t>
            </w:r>
          </w:p>
        </w:tc>
        <w:tc>
          <w:tcPr>
            <w:tcW w:w="1854" w:type="dxa"/>
            <w:shd w:val="clear" w:color="auto" w:fill="auto"/>
          </w:tcPr>
          <w:p w14:paraId="3B88DB88"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25.8</w:t>
            </w:r>
          </w:p>
        </w:tc>
      </w:tr>
      <w:tr w:rsidR="006C5355" w:rsidRPr="006C5355" w14:paraId="1C65E2ED"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107B36AB"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61ECF2A5"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w:t>
            </w:r>
            <w:r w:rsidRPr="006C5355">
              <w:rPr>
                <w:rFonts w:ascii="Arial" w:hAnsi="Arial" w:cs="Arial"/>
                <w:color w:val="000000" w:themeColor="text1"/>
                <w:sz w:val="20"/>
                <w:szCs w:val="20"/>
                <w:vertAlign w:val="superscript"/>
              </w:rPr>
              <w:t>nd</w:t>
            </w:r>
            <w:r w:rsidRPr="006C5355">
              <w:rPr>
                <w:rFonts w:ascii="Arial" w:hAnsi="Arial" w:cs="Arial"/>
                <w:color w:val="000000" w:themeColor="text1"/>
                <w:sz w:val="20"/>
                <w:szCs w:val="20"/>
              </w:rPr>
              <w:t xml:space="preserve"> </w:t>
            </w:r>
          </w:p>
        </w:tc>
        <w:tc>
          <w:tcPr>
            <w:tcW w:w="2496" w:type="dxa"/>
            <w:shd w:val="clear" w:color="auto" w:fill="auto"/>
          </w:tcPr>
          <w:p w14:paraId="5A258A71"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Metronidazole</w:t>
            </w:r>
          </w:p>
        </w:tc>
        <w:tc>
          <w:tcPr>
            <w:tcW w:w="1410" w:type="dxa"/>
            <w:shd w:val="clear" w:color="auto" w:fill="auto"/>
          </w:tcPr>
          <w:p w14:paraId="6D3CFD78"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11</w:t>
            </w:r>
          </w:p>
        </w:tc>
        <w:tc>
          <w:tcPr>
            <w:tcW w:w="1854" w:type="dxa"/>
            <w:shd w:val="clear" w:color="auto" w:fill="auto"/>
          </w:tcPr>
          <w:p w14:paraId="57D4DE6D"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16.7</w:t>
            </w:r>
          </w:p>
        </w:tc>
      </w:tr>
      <w:tr w:rsidR="006C5355" w:rsidRPr="006C5355" w14:paraId="5CF9DBDB"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0BBF6416"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486F4621"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w:t>
            </w:r>
            <w:r w:rsidRPr="006C5355">
              <w:rPr>
                <w:rFonts w:ascii="Arial" w:hAnsi="Arial" w:cs="Arial"/>
                <w:color w:val="000000" w:themeColor="text1"/>
                <w:sz w:val="20"/>
                <w:szCs w:val="20"/>
                <w:vertAlign w:val="superscript"/>
              </w:rPr>
              <w:t>rd</w:t>
            </w:r>
            <w:r w:rsidRPr="006C5355">
              <w:rPr>
                <w:rFonts w:ascii="Arial" w:hAnsi="Arial" w:cs="Arial"/>
                <w:color w:val="000000" w:themeColor="text1"/>
                <w:sz w:val="20"/>
                <w:szCs w:val="20"/>
              </w:rPr>
              <w:t xml:space="preserve"> </w:t>
            </w:r>
          </w:p>
        </w:tc>
        <w:tc>
          <w:tcPr>
            <w:tcW w:w="2496" w:type="dxa"/>
            <w:shd w:val="clear" w:color="auto" w:fill="auto"/>
          </w:tcPr>
          <w:p w14:paraId="6FE24B48"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Cefixime</w:t>
            </w:r>
          </w:p>
        </w:tc>
        <w:tc>
          <w:tcPr>
            <w:tcW w:w="1410" w:type="dxa"/>
            <w:shd w:val="clear" w:color="auto" w:fill="auto"/>
          </w:tcPr>
          <w:p w14:paraId="576F0D8E"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9</w:t>
            </w:r>
          </w:p>
        </w:tc>
        <w:tc>
          <w:tcPr>
            <w:tcW w:w="1854" w:type="dxa"/>
            <w:shd w:val="clear" w:color="auto" w:fill="auto"/>
          </w:tcPr>
          <w:p w14:paraId="5A67D8ED"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13.6</w:t>
            </w:r>
          </w:p>
        </w:tc>
      </w:tr>
      <w:tr w:rsidR="006C5355" w:rsidRPr="006C5355" w14:paraId="1F28F8A1"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78743FA4"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1EBA63AD"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4</w:t>
            </w:r>
            <w:r w:rsidRPr="006C5355">
              <w:rPr>
                <w:rFonts w:ascii="Arial" w:hAnsi="Arial" w:cs="Arial"/>
                <w:color w:val="000000" w:themeColor="text1"/>
                <w:sz w:val="20"/>
                <w:szCs w:val="20"/>
                <w:vertAlign w:val="superscript"/>
              </w:rPr>
              <w:t>th</w:t>
            </w:r>
            <w:r w:rsidRPr="006C5355">
              <w:rPr>
                <w:rFonts w:ascii="Arial" w:hAnsi="Arial" w:cs="Arial"/>
                <w:color w:val="000000" w:themeColor="text1"/>
                <w:sz w:val="20"/>
                <w:szCs w:val="20"/>
              </w:rPr>
              <w:t xml:space="preserve"> </w:t>
            </w:r>
          </w:p>
        </w:tc>
        <w:tc>
          <w:tcPr>
            <w:tcW w:w="2496" w:type="dxa"/>
            <w:shd w:val="clear" w:color="auto" w:fill="auto"/>
          </w:tcPr>
          <w:p w14:paraId="6F8EA94E"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Others</w:t>
            </w:r>
          </w:p>
        </w:tc>
        <w:tc>
          <w:tcPr>
            <w:tcW w:w="1410" w:type="dxa"/>
            <w:shd w:val="clear" w:color="auto" w:fill="auto"/>
          </w:tcPr>
          <w:p w14:paraId="4F01FDC9"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29</w:t>
            </w:r>
          </w:p>
        </w:tc>
        <w:tc>
          <w:tcPr>
            <w:tcW w:w="1854" w:type="dxa"/>
            <w:shd w:val="clear" w:color="auto" w:fill="auto"/>
          </w:tcPr>
          <w:p w14:paraId="1A71E9F4"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43.9</w:t>
            </w:r>
          </w:p>
        </w:tc>
      </w:tr>
      <w:tr w:rsidR="006C5355" w:rsidRPr="006C5355" w14:paraId="2F605ACC" w14:textId="77777777" w:rsidTr="0038225E">
        <w:tc>
          <w:tcPr>
            <w:cnfStyle w:val="001000000000" w:firstRow="0" w:lastRow="0" w:firstColumn="1" w:lastColumn="0" w:oddVBand="0" w:evenVBand="0" w:oddHBand="0" w:evenHBand="0" w:firstRowFirstColumn="0" w:firstRowLastColumn="0" w:lastRowFirstColumn="0" w:lastRowLastColumn="0"/>
            <w:tcW w:w="8388" w:type="dxa"/>
            <w:gridSpan w:val="5"/>
            <w:shd w:val="clear" w:color="auto" w:fill="auto"/>
          </w:tcPr>
          <w:p w14:paraId="01D6FACE"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r>
      <w:tr w:rsidR="006C5355" w:rsidRPr="006C5355" w14:paraId="09A88B04"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val="restart"/>
            <w:shd w:val="clear" w:color="auto" w:fill="auto"/>
          </w:tcPr>
          <w:p w14:paraId="1E88132A"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r w:rsidRPr="006C5355">
              <w:rPr>
                <w:rFonts w:ascii="Arial" w:hAnsi="Arial" w:cs="Arial"/>
                <w:b w:val="0"/>
                <w:bCs w:val="0"/>
                <w:color w:val="000000" w:themeColor="text1"/>
                <w:sz w:val="20"/>
                <w:szCs w:val="20"/>
              </w:rPr>
              <w:t>3</w:t>
            </w:r>
            <w:r w:rsidRPr="006C5355">
              <w:rPr>
                <w:rFonts w:ascii="Arial" w:hAnsi="Arial" w:cs="Arial"/>
                <w:b w:val="0"/>
                <w:bCs w:val="0"/>
                <w:color w:val="000000" w:themeColor="text1"/>
                <w:sz w:val="20"/>
                <w:szCs w:val="20"/>
                <w:vertAlign w:val="superscript"/>
              </w:rPr>
              <w:t>rd</w:t>
            </w:r>
            <w:r w:rsidRPr="006C5355">
              <w:rPr>
                <w:rFonts w:ascii="Arial" w:hAnsi="Arial" w:cs="Arial"/>
                <w:b w:val="0"/>
                <w:bCs w:val="0"/>
                <w:color w:val="000000" w:themeColor="text1"/>
                <w:sz w:val="20"/>
                <w:szCs w:val="20"/>
              </w:rPr>
              <w:t xml:space="preserve"> choice most prescribed </w:t>
            </w:r>
          </w:p>
        </w:tc>
        <w:tc>
          <w:tcPr>
            <w:tcW w:w="872" w:type="dxa"/>
            <w:shd w:val="clear" w:color="auto" w:fill="auto"/>
          </w:tcPr>
          <w:p w14:paraId="6553EE93"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w:t>
            </w:r>
            <w:r w:rsidRPr="006C5355">
              <w:rPr>
                <w:rFonts w:ascii="Arial" w:hAnsi="Arial" w:cs="Arial"/>
                <w:color w:val="000000" w:themeColor="text1"/>
                <w:sz w:val="20"/>
                <w:szCs w:val="20"/>
                <w:vertAlign w:val="superscript"/>
              </w:rPr>
              <w:t>st</w:t>
            </w:r>
          </w:p>
          <w:p w14:paraId="5FF45FB5"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496" w:type="dxa"/>
            <w:shd w:val="clear" w:color="auto" w:fill="auto"/>
          </w:tcPr>
          <w:p w14:paraId="3D088895"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Metronidazole</w:t>
            </w:r>
          </w:p>
        </w:tc>
        <w:tc>
          <w:tcPr>
            <w:tcW w:w="1410" w:type="dxa"/>
            <w:shd w:val="clear" w:color="auto" w:fill="auto"/>
          </w:tcPr>
          <w:p w14:paraId="0B6C9034"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16</w:t>
            </w:r>
          </w:p>
        </w:tc>
        <w:tc>
          <w:tcPr>
            <w:tcW w:w="1854" w:type="dxa"/>
            <w:shd w:val="clear" w:color="auto" w:fill="auto"/>
          </w:tcPr>
          <w:p w14:paraId="5EE4C6B9"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24.2</w:t>
            </w:r>
          </w:p>
        </w:tc>
      </w:tr>
      <w:tr w:rsidR="006C5355" w:rsidRPr="006C5355" w14:paraId="132536F7"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21E9C9D5"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20F0BEC2"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w:t>
            </w:r>
            <w:r w:rsidRPr="006C5355">
              <w:rPr>
                <w:rFonts w:ascii="Arial" w:hAnsi="Arial" w:cs="Arial"/>
                <w:color w:val="000000" w:themeColor="text1"/>
                <w:sz w:val="20"/>
                <w:szCs w:val="20"/>
                <w:vertAlign w:val="superscript"/>
              </w:rPr>
              <w:t>nd</w:t>
            </w:r>
            <w:r w:rsidRPr="006C5355">
              <w:rPr>
                <w:rFonts w:ascii="Arial" w:hAnsi="Arial" w:cs="Arial"/>
                <w:color w:val="000000" w:themeColor="text1"/>
                <w:sz w:val="20"/>
                <w:szCs w:val="20"/>
              </w:rPr>
              <w:t xml:space="preserve"> </w:t>
            </w:r>
          </w:p>
        </w:tc>
        <w:tc>
          <w:tcPr>
            <w:tcW w:w="2496" w:type="dxa"/>
            <w:shd w:val="clear" w:color="auto" w:fill="auto"/>
          </w:tcPr>
          <w:p w14:paraId="4ED2CBCD"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Cefixime</w:t>
            </w:r>
          </w:p>
        </w:tc>
        <w:tc>
          <w:tcPr>
            <w:tcW w:w="1410" w:type="dxa"/>
            <w:shd w:val="clear" w:color="auto" w:fill="auto"/>
          </w:tcPr>
          <w:p w14:paraId="07E16193"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15</w:t>
            </w:r>
          </w:p>
        </w:tc>
        <w:tc>
          <w:tcPr>
            <w:tcW w:w="1854" w:type="dxa"/>
            <w:shd w:val="clear" w:color="auto" w:fill="auto"/>
          </w:tcPr>
          <w:p w14:paraId="6C68FFAB"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22.7</w:t>
            </w:r>
          </w:p>
        </w:tc>
      </w:tr>
      <w:tr w:rsidR="006C5355" w:rsidRPr="006C5355" w14:paraId="2BB5B7AE" w14:textId="77777777" w:rsidTr="00382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15BA4E51"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275B2FD3"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w:t>
            </w:r>
            <w:r w:rsidRPr="006C5355">
              <w:rPr>
                <w:rFonts w:ascii="Arial" w:hAnsi="Arial" w:cs="Arial"/>
                <w:color w:val="000000" w:themeColor="text1"/>
                <w:sz w:val="20"/>
                <w:szCs w:val="20"/>
                <w:vertAlign w:val="superscript"/>
              </w:rPr>
              <w:t>rd</w:t>
            </w:r>
            <w:r w:rsidRPr="006C5355">
              <w:rPr>
                <w:rFonts w:ascii="Arial" w:hAnsi="Arial" w:cs="Arial"/>
                <w:color w:val="000000" w:themeColor="text1"/>
                <w:sz w:val="20"/>
                <w:szCs w:val="20"/>
              </w:rPr>
              <w:t xml:space="preserve"> </w:t>
            </w:r>
          </w:p>
        </w:tc>
        <w:tc>
          <w:tcPr>
            <w:tcW w:w="2496" w:type="dxa"/>
            <w:shd w:val="clear" w:color="auto" w:fill="auto"/>
          </w:tcPr>
          <w:p w14:paraId="7046868B" w14:textId="77777777" w:rsidR="006C5355" w:rsidRPr="006C5355" w:rsidRDefault="006C5355" w:rsidP="0038225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Amoxicillin/clavulanic acid</w:t>
            </w:r>
          </w:p>
        </w:tc>
        <w:tc>
          <w:tcPr>
            <w:tcW w:w="1410" w:type="dxa"/>
            <w:shd w:val="clear" w:color="auto" w:fill="auto"/>
          </w:tcPr>
          <w:p w14:paraId="5CA47AFB"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10</w:t>
            </w:r>
          </w:p>
        </w:tc>
        <w:tc>
          <w:tcPr>
            <w:tcW w:w="1854" w:type="dxa"/>
            <w:shd w:val="clear" w:color="auto" w:fill="auto"/>
          </w:tcPr>
          <w:p w14:paraId="2D0ECC05" w14:textId="77777777" w:rsidR="006C5355" w:rsidRPr="006C5355" w:rsidRDefault="006C5355" w:rsidP="003822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15.2</w:t>
            </w:r>
          </w:p>
        </w:tc>
      </w:tr>
      <w:tr w:rsidR="006C5355" w:rsidRPr="006C5355" w14:paraId="4FA289D2" w14:textId="77777777" w:rsidTr="0038225E">
        <w:tc>
          <w:tcPr>
            <w:cnfStyle w:val="001000000000" w:firstRow="0" w:lastRow="0" w:firstColumn="1" w:lastColumn="0" w:oddVBand="0" w:evenVBand="0" w:oddHBand="0" w:evenHBand="0" w:firstRowFirstColumn="0" w:firstRowLastColumn="0" w:lastRowFirstColumn="0" w:lastRowLastColumn="0"/>
            <w:tcW w:w="1756" w:type="dxa"/>
            <w:vMerge/>
            <w:shd w:val="clear" w:color="auto" w:fill="auto"/>
          </w:tcPr>
          <w:p w14:paraId="75545C35" w14:textId="77777777" w:rsidR="006C5355" w:rsidRPr="006C5355" w:rsidRDefault="006C5355" w:rsidP="0038225E">
            <w:pPr>
              <w:autoSpaceDE w:val="0"/>
              <w:autoSpaceDN w:val="0"/>
              <w:adjustRightInd w:val="0"/>
              <w:rPr>
                <w:rFonts w:ascii="Arial" w:hAnsi="Arial" w:cs="Arial"/>
                <w:b w:val="0"/>
                <w:bCs w:val="0"/>
                <w:color w:val="000000" w:themeColor="text1"/>
                <w:sz w:val="20"/>
                <w:szCs w:val="20"/>
              </w:rPr>
            </w:pPr>
          </w:p>
        </w:tc>
        <w:tc>
          <w:tcPr>
            <w:tcW w:w="872" w:type="dxa"/>
            <w:shd w:val="clear" w:color="auto" w:fill="auto"/>
          </w:tcPr>
          <w:p w14:paraId="406260D4"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4</w:t>
            </w:r>
            <w:r w:rsidRPr="006C5355">
              <w:rPr>
                <w:rFonts w:ascii="Arial" w:hAnsi="Arial" w:cs="Arial"/>
                <w:color w:val="000000" w:themeColor="text1"/>
                <w:sz w:val="20"/>
                <w:szCs w:val="20"/>
                <w:vertAlign w:val="superscript"/>
              </w:rPr>
              <w:t>th</w:t>
            </w:r>
            <w:r w:rsidRPr="006C5355">
              <w:rPr>
                <w:rFonts w:ascii="Arial" w:hAnsi="Arial" w:cs="Arial"/>
                <w:color w:val="000000" w:themeColor="text1"/>
                <w:sz w:val="20"/>
                <w:szCs w:val="20"/>
              </w:rPr>
              <w:t xml:space="preserve"> </w:t>
            </w:r>
          </w:p>
        </w:tc>
        <w:tc>
          <w:tcPr>
            <w:tcW w:w="2496" w:type="dxa"/>
            <w:shd w:val="clear" w:color="auto" w:fill="auto"/>
          </w:tcPr>
          <w:p w14:paraId="19297D5C" w14:textId="77777777" w:rsidR="006C5355" w:rsidRPr="006C5355" w:rsidRDefault="006C5355" w:rsidP="003822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Others</w:t>
            </w:r>
          </w:p>
        </w:tc>
        <w:tc>
          <w:tcPr>
            <w:tcW w:w="1410" w:type="dxa"/>
            <w:shd w:val="clear" w:color="auto" w:fill="auto"/>
          </w:tcPr>
          <w:p w14:paraId="67BAEBD1"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25</w:t>
            </w:r>
          </w:p>
        </w:tc>
        <w:tc>
          <w:tcPr>
            <w:tcW w:w="1854" w:type="dxa"/>
            <w:shd w:val="clear" w:color="auto" w:fill="auto"/>
          </w:tcPr>
          <w:p w14:paraId="08F59003" w14:textId="77777777" w:rsidR="006C5355" w:rsidRPr="006C5355" w:rsidRDefault="006C5355" w:rsidP="003822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C5355">
              <w:rPr>
                <w:rFonts w:ascii="Arial" w:hAnsi="Arial" w:cs="Arial"/>
                <w:color w:val="000000" w:themeColor="text1"/>
                <w:sz w:val="20"/>
                <w:szCs w:val="20"/>
              </w:rPr>
              <w:t>37.9</w:t>
            </w:r>
          </w:p>
        </w:tc>
      </w:tr>
    </w:tbl>
    <w:p w14:paraId="298E291D" w14:textId="77777777" w:rsidR="006C5355" w:rsidRPr="006C5355" w:rsidRDefault="006C5355" w:rsidP="006C5355">
      <w:pPr>
        <w:rPr>
          <w:rFonts w:ascii="Arial" w:hAnsi="Arial" w:cs="Arial"/>
        </w:rPr>
      </w:pPr>
    </w:p>
    <w:p w14:paraId="4DCBFF9F" w14:textId="77777777" w:rsidR="006C5355" w:rsidRPr="006C5355" w:rsidRDefault="006C5355" w:rsidP="006C5355">
      <w:pPr>
        <w:rPr>
          <w:rFonts w:ascii="Arial" w:hAnsi="Arial" w:cs="Arial"/>
        </w:rPr>
      </w:pPr>
    </w:p>
    <w:p w14:paraId="261A588C" w14:textId="197ECCB0" w:rsidR="006C5355" w:rsidRDefault="006C5355" w:rsidP="006C5355">
      <w:pPr>
        <w:spacing w:line="480" w:lineRule="auto"/>
        <w:jc w:val="both"/>
        <w:rPr>
          <w:rFonts w:ascii="Arial" w:hAnsi="Arial" w:cs="Arial"/>
        </w:rPr>
      </w:pPr>
      <w:r w:rsidRPr="006C5355">
        <w:rPr>
          <w:rFonts w:ascii="Arial" w:hAnsi="Arial" w:cs="Arial"/>
        </w:rPr>
        <w:t>In this study the years of working experience (grouped as ≤5 years and &gt; 5 years) by medical doctors was significantly associated (p=0.042) with prescribing ceftriaxone as first choice as shown on table 3.</w:t>
      </w:r>
    </w:p>
    <w:p w14:paraId="307F32B6" w14:textId="29B27FB8" w:rsidR="006C5355" w:rsidRDefault="006C5355" w:rsidP="006C5355">
      <w:pPr>
        <w:spacing w:line="480" w:lineRule="auto"/>
        <w:jc w:val="both"/>
        <w:rPr>
          <w:rFonts w:ascii="Arial" w:hAnsi="Arial" w:cs="Arial"/>
        </w:rPr>
      </w:pPr>
    </w:p>
    <w:p w14:paraId="3FDA8532" w14:textId="77777777" w:rsidR="006C5355" w:rsidRPr="006C5355" w:rsidRDefault="006C5355" w:rsidP="006C5355">
      <w:pPr>
        <w:spacing w:line="480" w:lineRule="auto"/>
        <w:jc w:val="both"/>
        <w:rPr>
          <w:rFonts w:ascii="Arial" w:hAnsi="Arial" w:cs="Arial"/>
        </w:rPr>
      </w:pPr>
    </w:p>
    <w:p w14:paraId="5BC3A7E8" w14:textId="77777777" w:rsidR="006C5355" w:rsidRPr="006C5355" w:rsidRDefault="006C5355" w:rsidP="006C5355">
      <w:pPr>
        <w:spacing w:line="480" w:lineRule="auto"/>
        <w:jc w:val="both"/>
        <w:rPr>
          <w:rFonts w:ascii="Arial" w:hAnsi="Arial" w:cs="Arial"/>
        </w:rPr>
      </w:pPr>
    </w:p>
    <w:p w14:paraId="7C0D6032" w14:textId="77777777" w:rsidR="006C5355" w:rsidRPr="006C5355" w:rsidRDefault="006C5355" w:rsidP="006C5355">
      <w:pPr>
        <w:pStyle w:val="Caption"/>
        <w:keepNext/>
        <w:rPr>
          <w:rFonts w:ascii="Arial" w:hAnsi="Arial" w:cs="Arial"/>
          <w:i w:val="0"/>
          <w:iCs w:val="0"/>
          <w:color w:val="auto"/>
          <w:sz w:val="20"/>
          <w:szCs w:val="20"/>
        </w:rPr>
      </w:pPr>
      <w:r w:rsidRPr="006C5355">
        <w:rPr>
          <w:rFonts w:ascii="Arial" w:hAnsi="Arial" w:cs="Arial"/>
          <w:i w:val="0"/>
          <w:iCs w:val="0"/>
          <w:color w:val="auto"/>
          <w:sz w:val="20"/>
          <w:szCs w:val="20"/>
        </w:rPr>
        <w:lastRenderedPageBreak/>
        <w:t>Table 3: Factors associated with prescribing ceftriaxone as first choice (by medical doctors) in the Buea Health District, 2025</w:t>
      </w:r>
    </w:p>
    <w:tbl>
      <w:tblPr>
        <w:tblStyle w:val="TableWeb3"/>
        <w:tblW w:w="9498" w:type="dxa"/>
        <w:tblLook w:val="04A0" w:firstRow="1" w:lastRow="0" w:firstColumn="1" w:lastColumn="0" w:noHBand="0" w:noVBand="1"/>
      </w:tblPr>
      <w:tblGrid>
        <w:gridCol w:w="1639"/>
        <w:gridCol w:w="2460"/>
        <w:gridCol w:w="1849"/>
        <w:gridCol w:w="2105"/>
        <w:gridCol w:w="1445"/>
      </w:tblGrid>
      <w:tr w:rsidR="006C5355" w:rsidRPr="006C5355" w14:paraId="67DC3A95" w14:textId="77777777" w:rsidTr="00B61F9E">
        <w:trPr>
          <w:cnfStyle w:val="100000000000" w:firstRow="1" w:lastRow="0" w:firstColumn="0" w:lastColumn="0" w:oddVBand="0" w:evenVBand="0" w:oddHBand="0" w:evenHBand="0" w:firstRowFirstColumn="0" w:firstRowLastColumn="0" w:lastRowFirstColumn="0" w:lastRowLastColumn="0"/>
          <w:trHeight w:val="764"/>
        </w:trPr>
        <w:tc>
          <w:tcPr>
            <w:tcW w:w="1602" w:type="dxa"/>
          </w:tcPr>
          <w:p w14:paraId="2830541A" w14:textId="77777777" w:rsidR="006C5355" w:rsidRPr="00AA517C" w:rsidRDefault="006C5355" w:rsidP="0038225E">
            <w:pPr>
              <w:autoSpaceDE w:val="0"/>
              <w:autoSpaceDN w:val="0"/>
              <w:adjustRightInd w:val="0"/>
              <w:spacing w:line="400" w:lineRule="atLeast"/>
              <w:rPr>
                <w:rFonts w:ascii="Arial" w:hAnsi="Arial" w:cs="Arial"/>
                <w:b/>
                <w:bCs/>
              </w:rPr>
            </w:pPr>
            <w:r w:rsidRPr="00AA517C">
              <w:rPr>
                <w:rFonts w:ascii="Arial" w:hAnsi="Arial" w:cs="Arial"/>
                <w:b/>
                <w:bCs/>
              </w:rPr>
              <w:t>Variable</w:t>
            </w:r>
          </w:p>
        </w:tc>
        <w:tc>
          <w:tcPr>
            <w:tcW w:w="2509" w:type="dxa"/>
          </w:tcPr>
          <w:p w14:paraId="61173FB0" w14:textId="77777777" w:rsidR="006C5355" w:rsidRPr="00AA517C" w:rsidRDefault="006C5355" w:rsidP="0038225E">
            <w:pPr>
              <w:autoSpaceDE w:val="0"/>
              <w:autoSpaceDN w:val="0"/>
              <w:adjustRightInd w:val="0"/>
              <w:spacing w:line="400" w:lineRule="atLeast"/>
              <w:rPr>
                <w:rFonts w:ascii="Arial" w:hAnsi="Arial" w:cs="Arial"/>
                <w:b/>
                <w:bCs/>
              </w:rPr>
            </w:pPr>
            <w:r w:rsidRPr="00AA517C">
              <w:rPr>
                <w:rFonts w:ascii="Arial" w:hAnsi="Arial" w:cs="Arial"/>
                <w:b/>
                <w:bCs/>
              </w:rPr>
              <w:t>Modality</w:t>
            </w:r>
          </w:p>
        </w:tc>
        <w:tc>
          <w:tcPr>
            <w:tcW w:w="1843" w:type="dxa"/>
          </w:tcPr>
          <w:p w14:paraId="53F31F66" w14:textId="77777777" w:rsidR="006C5355" w:rsidRPr="00AA517C" w:rsidRDefault="006C5355" w:rsidP="0038225E">
            <w:pPr>
              <w:autoSpaceDE w:val="0"/>
              <w:autoSpaceDN w:val="0"/>
              <w:adjustRightInd w:val="0"/>
              <w:spacing w:line="400" w:lineRule="atLeast"/>
              <w:jc w:val="center"/>
              <w:rPr>
                <w:rFonts w:ascii="Arial" w:hAnsi="Arial" w:cs="Arial"/>
                <w:b/>
                <w:bCs/>
              </w:rPr>
            </w:pPr>
            <w:r w:rsidRPr="00AA517C">
              <w:rPr>
                <w:rFonts w:ascii="Arial" w:hAnsi="Arial" w:cs="Arial"/>
                <w:b/>
                <w:bCs/>
              </w:rPr>
              <w:t>Ceftriaxone as 1</w:t>
            </w:r>
            <w:r w:rsidRPr="00AA517C">
              <w:rPr>
                <w:rFonts w:ascii="Arial" w:hAnsi="Arial" w:cs="Arial"/>
                <w:b/>
                <w:bCs/>
                <w:vertAlign w:val="superscript"/>
              </w:rPr>
              <w:t>st</w:t>
            </w:r>
            <w:r w:rsidRPr="00AA517C">
              <w:rPr>
                <w:rFonts w:ascii="Arial" w:hAnsi="Arial" w:cs="Arial"/>
                <w:b/>
                <w:bCs/>
              </w:rPr>
              <w:t xml:space="preserve"> choice </w:t>
            </w:r>
            <w:proofErr w:type="gramStart"/>
            <w:r w:rsidRPr="00AA517C">
              <w:rPr>
                <w:rFonts w:ascii="Arial" w:hAnsi="Arial" w:cs="Arial"/>
                <w:b/>
                <w:bCs/>
              </w:rPr>
              <w:t>n(</w:t>
            </w:r>
            <w:proofErr w:type="gramEnd"/>
            <w:r w:rsidRPr="00AA517C">
              <w:rPr>
                <w:rFonts w:ascii="Arial" w:hAnsi="Arial" w:cs="Arial"/>
                <w:b/>
                <w:bCs/>
              </w:rPr>
              <w:t>%)</w:t>
            </w:r>
          </w:p>
        </w:tc>
        <w:tc>
          <w:tcPr>
            <w:tcW w:w="2126" w:type="dxa"/>
          </w:tcPr>
          <w:p w14:paraId="31086B71" w14:textId="77777777" w:rsidR="006C5355" w:rsidRPr="00AA517C" w:rsidRDefault="006C5355" w:rsidP="0038225E">
            <w:pPr>
              <w:autoSpaceDE w:val="0"/>
              <w:autoSpaceDN w:val="0"/>
              <w:adjustRightInd w:val="0"/>
              <w:spacing w:line="400" w:lineRule="atLeast"/>
              <w:jc w:val="center"/>
              <w:rPr>
                <w:rFonts w:ascii="Arial" w:hAnsi="Arial" w:cs="Arial"/>
                <w:b/>
                <w:bCs/>
              </w:rPr>
            </w:pPr>
            <w:r w:rsidRPr="00AA517C">
              <w:rPr>
                <w:rFonts w:ascii="Arial" w:hAnsi="Arial" w:cs="Arial"/>
                <w:b/>
                <w:bCs/>
              </w:rPr>
              <w:t>Other antibiotics as 1</w:t>
            </w:r>
            <w:r w:rsidRPr="00AA517C">
              <w:rPr>
                <w:rFonts w:ascii="Arial" w:hAnsi="Arial" w:cs="Arial"/>
                <w:b/>
                <w:bCs/>
                <w:vertAlign w:val="superscript"/>
              </w:rPr>
              <w:t>st</w:t>
            </w:r>
            <w:r w:rsidRPr="00AA517C">
              <w:rPr>
                <w:rFonts w:ascii="Arial" w:hAnsi="Arial" w:cs="Arial"/>
                <w:b/>
                <w:bCs/>
              </w:rPr>
              <w:t xml:space="preserve"> choice </w:t>
            </w:r>
            <w:proofErr w:type="gramStart"/>
            <w:r w:rsidRPr="00AA517C">
              <w:rPr>
                <w:rFonts w:ascii="Arial" w:hAnsi="Arial" w:cs="Arial"/>
                <w:b/>
                <w:bCs/>
              </w:rPr>
              <w:t>n(</w:t>
            </w:r>
            <w:proofErr w:type="gramEnd"/>
            <w:r w:rsidRPr="00AA517C">
              <w:rPr>
                <w:rFonts w:ascii="Arial" w:hAnsi="Arial" w:cs="Arial"/>
                <w:b/>
                <w:bCs/>
              </w:rPr>
              <w:t>%)</w:t>
            </w:r>
          </w:p>
        </w:tc>
        <w:tc>
          <w:tcPr>
            <w:tcW w:w="1418" w:type="dxa"/>
          </w:tcPr>
          <w:p w14:paraId="2B0E8A4B" w14:textId="77777777" w:rsidR="006C5355" w:rsidRPr="00AA517C" w:rsidRDefault="006C5355" w:rsidP="0038225E">
            <w:pPr>
              <w:autoSpaceDE w:val="0"/>
              <w:autoSpaceDN w:val="0"/>
              <w:adjustRightInd w:val="0"/>
              <w:spacing w:line="400" w:lineRule="atLeast"/>
              <w:jc w:val="center"/>
              <w:rPr>
                <w:rFonts w:ascii="Arial" w:hAnsi="Arial" w:cs="Arial"/>
                <w:b/>
                <w:bCs/>
              </w:rPr>
            </w:pPr>
            <w:r w:rsidRPr="00AA517C">
              <w:rPr>
                <w:rFonts w:ascii="Arial" w:hAnsi="Arial" w:cs="Arial"/>
                <w:b/>
                <w:bCs/>
              </w:rPr>
              <w:t>Chi square (p-value)</w:t>
            </w:r>
          </w:p>
        </w:tc>
      </w:tr>
      <w:tr w:rsidR="006C5355" w:rsidRPr="006C5355" w14:paraId="0CC37E7D" w14:textId="77777777" w:rsidTr="00B61F9E">
        <w:trPr>
          <w:trHeight w:val="300"/>
        </w:trPr>
        <w:tc>
          <w:tcPr>
            <w:tcW w:w="1602" w:type="dxa"/>
            <w:vMerge w:val="restart"/>
          </w:tcPr>
          <w:p w14:paraId="06C05015"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Sex </w:t>
            </w:r>
          </w:p>
        </w:tc>
        <w:tc>
          <w:tcPr>
            <w:tcW w:w="2509" w:type="dxa"/>
          </w:tcPr>
          <w:p w14:paraId="1ACCE2F7"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Male </w:t>
            </w:r>
          </w:p>
        </w:tc>
        <w:tc>
          <w:tcPr>
            <w:tcW w:w="1843" w:type="dxa"/>
          </w:tcPr>
          <w:p w14:paraId="412BCD16"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31 (62.0)</w:t>
            </w:r>
          </w:p>
        </w:tc>
        <w:tc>
          <w:tcPr>
            <w:tcW w:w="2126" w:type="dxa"/>
          </w:tcPr>
          <w:p w14:paraId="4867970A"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19 (38.0)</w:t>
            </w:r>
          </w:p>
        </w:tc>
        <w:tc>
          <w:tcPr>
            <w:tcW w:w="1418" w:type="dxa"/>
            <w:vMerge w:val="restart"/>
          </w:tcPr>
          <w:p w14:paraId="491A3080" w14:textId="2F3C0C07"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2.95 (0.0</w:t>
            </w:r>
            <w:r w:rsidR="00B61F9E">
              <w:rPr>
                <w:rFonts w:ascii="Arial" w:hAnsi="Arial" w:cs="Arial"/>
              </w:rPr>
              <w:t>9</w:t>
            </w:r>
            <w:r w:rsidRPr="006C5355">
              <w:rPr>
                <w:rFonts w:ascii="Arial" w:hAnsi="Arial" w:cs="Arial"/>
              </w:rPr>
              <w:t>)</w:t>
            </w:r>
          </w:p>
        </w:tc>
      </w:tr>
      <w:tr w:rsidR="006C5355" w:rsidRPr="006C5355" w14:paraId="5F15D930" w14:textId="77777777" w:rsidTr="00B61F9E">
        <w:trPr>
          <w:trHeight w:val="137"/>
        </w:trPr>
        <w:tc>
          <w:tcPr>
            <w:tcW w:w="1602" w:type="dxa"/>
            <w:vMerge/>
          </w:tcPr>
          <w:p w14:paraId="42D828AC"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799D2F37"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Female </w:t>
            </w:r>
          </w:p>
        </w:tc>
        <w:tc>
          <w:tcPr>
            <w:tcW w:w="1843" w:type="dxa"/>
          </w:tcPr>
          <w:p w14:paraId="1E293DEE"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6 (37.5)</w:t>
            </w:r>
          </w:p>
        </w:tc>
        <w:tc>
          <w:tcPr>
            <w:tcW w:w="2126" w:type="dxa"/>
          </w:tcPr>
          <w:p w14:paraId="2F398B22"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10 (62.5)</w:t>
            </w:r>
          </w:p>
        </w:tc>
        <w:tc>
          <w:tcPr>
            <w:tcW w:w="1418" w:type="dxa"/>
            <w:vMerge/>
          </w:tcPr>
          <w:p w14:paraId="4D9B6F9E" w14:textId="77777777" w:rsidR="006C5355" w:rsidRPr="006C5355" w:rsidRDefault="006C5355" w:rsidP="0038225E">
            <w:pPr>
              <w:autoSpaceDE w:val="0"/>
              <w:autoSpaceDN w:val="0"/>
              <w:adjustRightInd w:val="0"/>
              <w:spacing w:line="400" w:lineRule="atLeast"/>
              <w:rPr>
                <w:rFonts w:ascii="Arial" w:hAnsi="Arial" w:cs="Arial"/>
              </w:rPr>
            </w:pPr>
          </w:p>
        </w:tc>
      </w:tr>
      <w:tr w:rsidR="006C5355" w:rsidRPr="006C5355" w14:paraId="7E16C321" w14:textId="77777777" w:rsidTr="00B61F9E">
        <w:trPr>
          <w:trHeight w:val="240"/>
        </w:trPr>
        <w:tc>
          <w:tcPr>
            <w:tcW w:w="1602" w:type="dxa"/>
            <w:vMerge w:val="restart"/>
          </w:tcPr>
          <w:p w14:paraId="6439E9A4" w14:textId="77777777" w:rsidR="006C5355" w:rsidRPr="006C5355" w:rsidRDefault="006C5355" w:rsidP="0038225E">
            <w:pPr>
              <w:autoSpaceDE w:val="0"/>
              <w:autoSpaceDN w:val="0"/>
              <w:adjustRightInd w:val="0"/>
              <w:rPr>
                <w:rFonts w:ascii="Arial" w:hAnsi="Arial" w:cs="Arial"/>
              </w:rPr>
            </w:pPr>
          </w:p>
          <w:p w14:paraId="1CC5254D"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Age group</w:t>
            </w:r>
          </w:p>
        </w:tc>
        <w:tc>
          <w:tcPr>
            <w:tcW w:w="2509" w:type="dxa"/>
          </w:tcPr>
          <w:p w14:paraId="4D4E3E55"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&lt;35 years </w:t>
            </w:r>
          </w:p>
        </w:tc>
        <w:tc>
          <w:tcPr>
            <w:tcW w:w="1843" w:type="dxa"/>
          </w:tcPr>
          <w:p w14:paraId="78D56609"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24 (57.1)</w:t>
            </w:r>
          </w:p>
        </w:tc>
        <w:tc>
          <w:tcPr>
            <w:tcW w:w="2126" w:type="dxa"/>
          </w:tcPr>
          <w:p w14:paraId="180CEBC5"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18 (42.9)</w:t>
            </w:r>
          </w:p>
        </w:tc>
        <w:tc>
          <w:tcPr>
            <w:tcW w:w="1418" w:type="dxa"/>
            <w:vMerge w:val="restart"/>
          </w:tcPr>
          <w:p w14:paraId="01B7AA8E" w14:textId="5A01C1D6"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0.05 (0.81)</w:t>
            </w:r>
          </w:p>
        </w:tc>
      </w:tr>
      <w:tr w:rsidR="006C5355" w:rsidRPr="006C5355" w14:paraId="536B919A" w14:textId="77777777" w:rsidTr="00B61F9E">
        <w:trPr>
          <w:trHeight w:val="137"/>
        </w:trPr>
        <w:tc>
          <w:tcPr>
            <w:tcW w:w="1602" w:type="dxa"/>
            <w:vMerge/>
          </w:tcPr>
          <w:p w14:paraId="4A48B603"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627B6695"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≥35 years </w:t>
            </w:r>
          </w:p>
        </w:tc>
        <w:tc>
          <w:tcPr>
            <w:tcW w:w="1843" w:type="dxa"/>
          </w:tcPr>
          <w:p w14:paraId="331B45A3"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13 (54.2)</w:t>
            </w:r>
          </w:p>
        </w:tc>
        <w:tc>
          <w:tcPr>
            <w:tcW w:w="2126" w:type="dxa"/>
          </w:tcPr>
          <w:p w14:paraId="384B3A15"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11 (45.8)</w:t>
            </w:r>
          </w:p>
        </w:tc>
        <w:tc>
          <w:tcPr>
            <w:tcW w:w="1418" w:type="dxa"/>
            <w:vMerge/>
          </w:tcPr>
          <w:p w14:paraId="3900167D" w14:textId="77777777" w:rsidR="006C5355" w:rsidRPr="006C5355" w:rsidRDefault="006C5355" w:rsidP="0038225E">
            <w:pPr>
              <w:autoSpaceDE w:val="0"/>
              <w:autoSpaceDN w:val="0"/>
              <w:adjustRightInd w:val="0"/>
              <w:spacing w:line="400" w:lineRule="atLeast"/>
              <w:rPr>
                <w:rFonts w:ascii="Arial" w:hAnsi="Arial" w:cs="Arial"/>
              </w:rPr>
            </w:pPr>
          </w:p>
        </w:tc>
      </w:tr>
      <w:tr w:rsidR="006C5355" w:rsidRPr="006C5355" w14:paraId="383675A0" w14:textId="77777777" w:rsidTr="00B61F9E">
        <w:trPr>
          <w:trHeight w:val="290"/>
        </w:trPr>
        <w:tc>
          <w:tcPr>
            <w:tcW w:w="1602" w:type="dxa"/>
            <w:vMerge w:val="restart"/>
          </w:tcPr>
          <w:p w14:paraId="60BD92C4" w14:textId="77777777" w:rsidR="006C5355" w:rsidRPr="006C5355" w:rsidRDefault="006C5355" w:rsidP="0038225E">
            <w:pPr>
              <w:autoSpaceDE w:val="0"/>
              <w:autoSpaceDN w:val="0"/>
              <w:adjustRightInd w:val="0"/>
              <w:rPr>
                <w:rFonts w:ascii="Arial" w:hAnsi="Arial" w:cs="Arial"/>
              </w:rPr>
            </w:pPr>
          </w:p>
          <w:p w14:paraId="63B45087"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Years of experience</w:t>
            </w:r>
          </w:p>
        </w:tc>
        <w:tc>
          <w:tcPr>
            <w:tcW w:w="2509" w:type="dxa"/>
          </w:tcPr>
          <w:p w14:paraId="7993C3D4"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≤5 years </w:t>
            </w:r>
          </w:p>
        </w:tc>
        <w:tc>
          <w:tcPr>
            <w:tcW w:w="1843" w:type="dxa"/>
          </w:tcPr>
          <w:p w14:paraId="256FE619"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19 (46.3)</w:t>
            </w:r>
          </w:p>
        </w:tc>
        <w:tc>
          <w:tcPr>
            <w:tcW w:w="2126" w:type="dxa"/>
          </w:tcPr>
          <w:p w14:paraId="0234A020"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22 (53.7)</w:t>
            </w:r>
          </w:p>
        </w:tc>
        <w:tc>
          <w:tcPr>
            <w:tcW w:w="1418" w:type="dxa"/>
            <w:vMerge w:val="restart"/>
          </w:tcPr>
          <w:p w14:paraId="001EC9F5" w14:textId="107624C2"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4.15 (0.04)</w:t>
            </w:r>
          </w:p>
        </w:tc>
      </w:tr>
      <w:tr w:rsidR="006C5355" w:rsidRPr="006C5355" w14:paraId="37E5EEC5" w14:textId="77777777" w:rsidTr="00B61F9E">
        <w:trPr>
          <w:trHeight w:val="137"/>
        </w:trPr>
        <w:tc>
          <w:tcPr>
            <w:tcW w:w="1602" w:type="dxa"/>
            <w:vMerge/>
          </w:tcPr>
          <w:p w14:paraId="1C4B48C1"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0F32DCDF"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&gt;5 years </w:t>
            </w:r>
          </w:p>
        </w:tc>
        <w:tc>
          <w:tcPr>
            <w:tcW w:w="1843" w:type="dxa"/>
          </w:tcPr>
          <w:p w14:paraId="2D5018CD"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18 (72.0)</w:t>
            </w:r>
          </w:p>
        </w:tc>
        <w:tc>
          <w:tcPr>
            <w:tcW w:w="2126" w:type="dxa"/>
          </w:tcPr>
          <w:p w14:paraId="74D43661"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7 (28.0)</w:t>
            </w:r>
          </w:p>
        </w:tc>
        <w:tc>
          <w:tcPr>
            <w:tcW w:w="1418" w:type="dxa"/>
            <w:vMerge/>
          </w:tcPr>
          <w:p w14:paraId="0C371323" w14:textId="77777777" w:rsidR="006C5355" w:rsidRPr="006C5355" w:rsidRDefault="006C5355" w:rsidP="0038225E">
            <w:pPr>
              <w:autoSpaceDE w:val="0"/>
              <w:autoSpaceDN w:val="0"/>
              <w:adjustRightInd w:val="0"/>
              <w:spacing w:line="400" w:lineRule="atLeast"/>
              <w:rPr>
                <w:rFonts w:ascii="Arial" w:hAnsi="Arial" w:cs="Arial"/>
              </w:rPr>
            </w:pPr>
          </w:p>
        </w:tc>
      </w:tr>
      <w:tr w:rsidR="006C5355" w:rsidRPr="006C5355" w14:paraId="4F351D2D" w14:textId="77777777" w:rsidTr="00B61F9E">
        <w:trPr>
          <w:trHeight w:val="382"/>
        </w:trPr>
        <w:tc>
          <w:tcPr>
            <w:tcW w:w="1602" w:type="dxa"/>
            <w:vMerge w:val="restart"/>
          </w:tcPr>
          <w:p w14:paraId="0B05D93B" w14:textId="77777777" w:rsidR="006C5355" w:rsidRPr="006C5355" w:rsidRDefault="006C5355" w:rsidP="0038225E">
            <w:pPr>
              <w:autoSpaceDE w:val="0"/>
              <w:autoSpaceDN w:val="0"/>
              <w:adjustRightInd w:val="0"/>
              <w:rPr>
                <w:rFonts w:ascii="Arial" w:hAnsi="Arial" w:cs="Arial"/>
              </w:rPr>
            </w:pPr>
          </w:p>
          <w:p w14:paraId="7A6B61DB"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Medical doctor grade</w:t>
            </w:r>
          </w:p>
        </w:tc>
        <w:tc>
          <w:tcPr>
            <w:tcW w:w="2509" w:type="dxa"/>
          </w:tcPr>
          <w:p w14:paraId="08EFA0FA"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General practitioner </w:t>
            </w:r>
          </w:p>
        </w:tc>
        <w:tc>
          <w:tcPr>
            <w:tcW w:w="1843" w:type="dxa"/>
          </w:tcPr>
          <w:p w14:paraId="3B8A3A84"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27 (54.0)</w:t>
            </w:r>
          </w:p>
        </w:tc>
        <w:tc>
          <w:tcPr>
            <w:tcW w:w="2126" w:type="dxa"/>
          </w:tcPr>
          <w:p w14:paraId="5E6819E2"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23 (46.0)</w:t>
            </w:r>
          </w:p>
        </w:tc>
        <w:tc>
          <w:tcPr>
            <w:tcW w:w="1418" w:type="dxa"/>
            <w:vMerge w:val="restart"/>
          </w:tcPr>
          <w:p w14:paraId="103B54E9" w14:textId="1F6CDD2D"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0.36 (0.55)</w:t>
            </w:r>
          </w:p>
        </w:tc>
      </w:tr>
      <w:tr w:rsidR="006C5355" w:rsidRPr="006C5355" w14:paraId="467E0314" w14:textId="77777777" w:rsidTr="00B61F9E">
        <w:trPr>
          <w:trHeight w:val="137"/>
        </w:trPr>
        <w:tc>
          <w:tcPr>
            <w:tcW w:w="1602" w:type="dxa"/>
            <w:vMerge/>
          </w:tcPr>
          <w:p w14:paraId="43AD1978"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62B6ED6E"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Specialist </w:t>
            </w:r>
          </w:p>
        </w:tc>
        <w:tc>
          <w:tcPr>
            <w:tcW w:w="1843" w:type="dxa"/>
          </w:tcPr>
          <w:p w14:paraId="1EBF70D3"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10 (62.5)</w:t>
            </w:r>
          </w:p>
        </w:tc>
        <w:tc>
          <w:tcPr>
            <w:tcW w:w="2126" w:type="dxa"/>
          </w:tcPr>
          <w:p w14:paraId="31581CA7"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6 (37.5)</w:t>
            </w:r>
          </w:p>
        </w:tc>
        <w:tc>
          <w:tcPr>
            <w:tcW w:w="1418" w:type="dxa"/>
            <w:vMerge/>
          </w:tcPr>
          <w:p w14:paraId="1C500FE2" w14:textId="77777777" w:rsidR="006C5355" w:rsidRPr="006C5355" w:rsidRDefault="006C5355" w:rsidP="0038225E">
            <w:pPr>
              <w:autoSpaceDE w:val="0"/>
              <w:autoSpaceDN w:val="0"/>
              <w:adjustRightInd w:val="0"/>
              <w:spacing w:line="400" w:lineRule="atLeast"/>
              <w:rPr>
                <w:rFonts w:ascii="Arial" w:hAnsi="Arial" w:cs="Arial"/>
              </w:rPr>
            </w:pPr>
          </w:p>
        </w:tc>
      </w:tr>
      <w:tr w:rsidR="006C5355" w:rsidRPr="006C5355" w14:paraId="27B7A411" w14:textId="77777777" w:rsidTr="00B61F9E">
        <w:trPr>
          <w:trHeight w:val="326"/>
        </w:trPr>
        <w:tc>
          <w:tcPr>
            <w:tcW w:w="1602" w:type="dxa"/>
            <w:vMerge w:val="restart"/>
          </w:tcPr>
          <w:p w14:paraId="6B48F606" w14:textId="77777777" w:rsidR="006C5355" w:rsidRPr="006C5355" w:rsidRDefault="006C5355" w:rsidP="0038225E">
            <w:pPr>
              <w:autoSpaceDE w:val="0"/>
              <w:autoSpaceDN w:val="0"/>
              <w:adjustRightInd w:val="0"/>
              <w:rPr>
                <w:rFonts w:ascii="Arial" w:hAnsi="Arial" w:cs="Arial"/>
              </w:rPr>
            </w:pPr>
          </w:p>
          <w:p w14:paraId="69132343"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Guide for prescribing antibiotics</w:t>
            </w:r>
          </w:p>
        </w:tc>
        <w:tc>
          <w:tcPr>
            <w:tcW w:w="2509" w:type="dxa"/>
          </w:tcPr>
          <w:p w14:paraId="18FFA405"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Uses empirical treatment guide only </w:t>
            </w:r>
          </w:p>
        </w:tc>
        <w:tc>
          <w:tcPr>
            <w:tcW w:w="1843" w:type="dxa"/>
          </w:tcPr>
          <w:p w14:paraId="286B07D0"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15 (53.6)</w:t>
            </w:r>
          </w:p>
        </w:tc>
        <w:tc>
          <w:tcPr>
            <w:tcW w:w="2126" w:type="dxa"/>
          </w:tcPr>
          <w:p w14:paraId="7BC0D473"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13 (46.4)</w:t>
            </w:r>
          </w:p>
        </w:tc>
        <w:tc>
          <w:tcPr>
            <w:tcW w:w="1418" w:type="dxa"/>
            <w:vMerge w:val="restart"/>
          </w:tcPr>
          <w:p w14:paraId="2398606B" w14:textId="1F819616" w:rsidR="006C5355" w:rsidRPr="006C5355" w:rsidRDefault="006C5355" w:rsidP="0038225E">
            <w:pPr>
              <w:autoSpaceDE w:val="0"/>
              <w:autoSpaceDN w:val="0"/>
              <w:adjustRightInd w:val="0"/>
              <w:spacing w:line="400" w:lineRule="atLeast"/>
              <w:rPr>
                <w:rFonts w:ascii="Arial" w:hAnsi="Arial" w:cs="Arial"/>
              </w:rPr>
            </w:pPr>
            <w:r w:rsidRPr="006C5355">
              <w:rPr>
                <w:rFonts w:ascii="Arial" w:hAnsi="Arial" w:cs="Arial"/>
              </w:rPr>
              <w:t>0.12 (0.7</w:t>
            </w:r>
            <w:r w:rsidR="00B61F9E">
              <w:rPr>
                <w:rFonts w:ascii="Arial" w:hAnsi="Arial" w:cs="Arial"/>
              </w:rPr>
              <w:t>3</w:t>
            </w:r>
            <w:r w:rsidRPr="006C5355">
              <w:rPr>
                <w:rFonts w:ascii="Arial" w:hAnsi="Arial" w:cs="Arial"/>
              </w:rPr>
              <w:t>)</w:t>
            </w:r>
          </w:p>
        </w:tc>
      </w:tr>
      <w:tr w:rsidR="006C5355" w:rsidRPr="006C5355" w14:paraId="6765AC96" w14:textId="77777777" w:rsidTr="00B61F9E">
        <w:trPr>
          <w:trHeight w:val="137"/>
        </w:trPr>
        <w:tc>
          <w:tcPr>
            <w:tcW w:w="1602" w:type="dxa"/>
            <w:vMerge/>
          </w:tcPr>
          <w:p w14:paraId="4B1DE6AF" w14:textId="77777777" w:rsidR="006C5355" w:rsidRPr="006C5355" w:rsidRDefault="006C5355" w:rsidP="0038225E">
            <w:pPr>
              <w:autoSpaceDE w:val="0"/>
              <w:autoSpaceDN w:val="0"/>
              <w:adjustRightInd w:val="0"/>
              <w:spacing w:line="400" w:lineRule="atLeast"/>
              <w:rPr>
                <w:rFonts w:ascii="Arial" w:hAnsi="Arial" w:cs="Arial"/>
              </w:rPr>
            </w:pPr>
          </w:p>
        </w:tc>
        <w:tc>
          <w:tcPr>
            <w:tcW w:w="2509" w:type="dxa"/>
          </w:tcPr>
          <w:p w14:paraId="55279E7D" w14:textId="77777777" w:rsidR="006C5355" w:rsidRPr="006C5355" w:rsidRDefault="006C5355" w:rsidP="0038225E">
            <w:pPr>
              <w:autoSpaceDE w:val="0"/>
              <w:autoSpaceDN w:val="0"/>
              <w:adjustRightInd w:val="0"/>
              <w:rPr>
                <w:rFonts w:ascii="Arial" w:hAnsi="Arial" w:cs="Arial"/>
              </w:rPr>
            </w:pPr>
            <w:r w:rsidRPr="006C5355">
              <w:rPr>
                <w:rFonts w:ascii="Arial" w:hAnsi="Arial" w:cs="Arial"/>
              </w:rPr>
              <w:t xml:space="preserve">Uses Both empirical and culture guide </w:t>
            </w:r>
          </w:p>
        </w:tc>
        <w:tc>
          <w:tcPr>
            <w:tcW w:w="1843" w:type="dxa"/>
          </w:tcPr>
          <w:p w14:paraId="6BF81639"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22 (57.9)</w:t>
            </w:r>
          </w:p>
        </w:tc>
        <w:tc>
          <w:tcPr>
            <w:tcW w:w="2126" w:type="dxa"/>
          </w:tcPr>
          <w:p w14:paraId="2779695E" w14:textId="77777777" w:rsidR="006C5355" w:rsidRPr="006C5355" w:rsidRDefault="006C5355" w:rsidP="0038225E">
            <w:pPr>
              <w:autoSpaceDE w:val="0"/>
              <w:autoSpaceDN w:val="0"/>
              <w:adjustRightInd w:val="0"/>
              <w:jc w:val="center"/>
              <w:rPr>
                <w:rFonts w:ascii="Arial" w:hAnsi="Arial" w:cs="Arial"/>
              </w:rPr>
            </w:pPr>
            <w:r w:rsidRPr="006C5355">
              <w:rPr>
                <w:rFonts w:ascii="Arial" w:hAnsi="Arial" w:cs="Arial"/>
              </w:rPr>
              <w:t>16 (42.1)</w:t>
            </w:r>
          </w:p>
        </w:tc>
        <w:tc>
          <w:tcPr>
            <w:tcW w:w="1418" w:type="dxa"/>
            <w:vMerge/>
          </w:tcPr>
          <w:p w14:paraId="77CBFAE9" w14:textId="77777777" w:rsidR="006C5355" w:rsidRPr="006C5355" w:rsidRDefault="006C5355" w:rsidP="0038225E">
            <w:pPr>
              <w:autoSpaceDE w:val="0"/>
              <w:autoSpaceDN w:val="0"/>
              <w:adjustRightInd w:val="0"/>
              <w:spacing w:line="400" w:lineRule="atLeast"/>
              <w:rPr>
                <w:rFonts w:ascii="Arial" w:hAnsi="Arial" w:cs="Arial"/>
              </w:rPr>
            </w:pPr>
          </w:p>
        </w:tc>
      </w:tr>
    </w:tbl>
    <w:p w14:paraId="429ADEB8" w14:textId="77777777" w:rsidR="006C5355" w:rsidRPr="006C5355" w:rsidRDefault="006C5355" w:rsidP="006C5355">
      <w:pPr>
        <w:rPr>
          <w:rFonts w:ascii="Arial" w:hAnsi="Arial" w:cs="Arial"/>
        </w:rPr>
      </w:pPr>
    </w:p>
    <w:p w14:paraId="4A5F05B8" w14:textId="77777777" w:rsidR="006C5355" w:rsidRPr="006C5355" w:rsidRDefault="006C5355" w:rsidP="006C5355">
      <w:pPr>
        <w:pStyle w:val="Heading2"/>
        <w:spacing w:after="240"/>
        <w:rPr>
          <w:rFonts w:ascii="Arial" w:hAnsi="Arial" w:cs="Arial"/>
          <w:b/>
          <w:bCs/>
          <w:color w:val="000000" w:themeColor="text1"/>
          <w:sz w:val="22"/>
          <w:szCs w:val="22"/>
        </w:rPr>
      </w:pPr>
      <w:bookmarkStart w:id="11" w:name="_Toc202950836"/>
      <w:r w:rsidRPr="006C5355">
        <w:rPr>
          <w:rFonts w:ascii="Arial" w:hAnsi="Arial" w:cs="Arial"/>
          <w:b/>
          <w:bCs/>
          <w:color w:val="000000" w:themeColor="text1"/>
          <w:sz w:val="22"/>
          <w:szCs w:val="22"/>
        </w:rPr>
        <w:t>Identification of the three most sold antibiotics in Buea health district</w:t>
      </w:r>
      <w:bookmarkEnd w:id="11"/>
    </w:p>
    <w:p w14:paraId="3A6B4B9F" w14:textId="77777777" w:rsidR="006C5355" w:rsidRPr="006C5355" w:rsidRDefault="006C5355" w:rsidP="006C5355">
      <w:pPr>
        <w:spacing w:line="480" w:lineRule="auto"/>
        <w:jc w:val="both"/>
        <w:rPr>
          <w:rFonts w:ascii="Arial" w:hAnsi="Arial" w:cs="Arial"/>
        </w:rPr>
      </w:pPr>
      <w:r w:rsidRPr="006C5355">
        <w:rPr>
          <w:rFonts w:ascii="Arial" w:hAnsi="Arial" w:cs="Arial"/>
        </w:rPr>
        <w:t>This study enrolled 132 participants who sell medication at pharmacies, drug stores and hospital pharmacy within the Buea health District. Among these participants, 18(13.6%) were males and 114 (86.4%) were females.  The mean age of the participants was 29.77±4.70 years. Ninety-one (68.9%) were within the age range of 21-30 years. Also, 111(84.1%) of the participants were from local drug stores as shown in table 4.</w:t>
      </w:r>
    </w:p>
    <w:p w14:paraId="4140DC31" w14:textId="77777777" w:rsidR="006C5355" w:rsidRPr="006C5355" w:rsidRDefault="006C5355" w:rsidP="006C5355">
      <w:pPr>
        <w:spacing w:line="480" w:lineRule="auto"/>
        <w:jc w:val="both"/>
        <w:rPr>
          <w:rFonts w:ascii="Arial" w:hAnsi="Arial" w:cs="Arial"/>
        </w:rPr>
      </w:pPr>
    </w:p>
    <w:p w14:paraId="704C1DF0" w14:textId="77777777" w:rsidR="006C5355" w:rsidRPr="006C5355" w:rsidRDefault="006C5355" w:rsidP="006C5355">
      <w:pPr>
        <w:spacing w:line="480" w:lineRule="auto"/>
        <w:jc w:val="both"/>
        <w:rPr>
          <w:rFonts w:ascii="Arial" w:hAnsi="Arial" w:cs="Arial"/>
        </w:rPr>
      </w:pPr>
    </w:p>
    <w:p w14:paraId="33256DBC" w14:textId="34C708A9" w:rsidR="006C5355" w:rsidRDefault="006C5355" w:rsidP="006C5355">
      <w:pPr>
        <w:spacing w:line="480" w:lineRule="auto"/>
        <w:jc w:val="both"/>
        <w:rPr>
          <w:rFonts w:ascii="Arial" w:hAnsi="Arial" w:cs="Arial"/>
        </w:rPr>
      </w:pPr>
    </w:p>
    <w:p w14:paraId="52A40AD1" w14:textId="4CFE89F5" w:rsidR="006C5355" w:rsidRDefault="006C5355" w:rsidP="006C5355">
      <w:pPr>
        <w:spacing w:line="480" w:lineRule="auto"/>
        <w:jc w:val="both"/>
        <w:rPr>
          <w:rFonts w:ascii="Arial" w:hAnsi="Arial" w:cs="Arial"/>
        </w:rPr>
      </w:pPr>
    </w:p>
    <w:p w14:paraId="5BFF5671" w14:textId="558B76E2" w:rsidR="006C5355" w:rsidRDefault="006C5355" w:rsidP="006C5355">
      <w:pPr>
        <w:spacing w:line="480" w:lineRule="auto"/>
        <w:jc w:val="both"/>
        <w:rPr>
          <w:rFonts w:ascii="Arial" w:hAnsi="Arial" w:cs="Arial"/>
        </w:rPr>
      </w:pPr>
    </w:p>
    <w:p w14:paraId="625C9DCE" w14:textId="729F6123" w:rsidR="006C5355" w:rsidRDefault="006C5355" w:rsidP="006C5355">
      <w:pPr>
        <w:spacing w:line="480" w:lineRule="auto"/>
        <w:jc w:val="both"/>
        <w:rPr>
          <w:rFonts w:ascii="Arial" w:hAnsi="Arial" w:cs="Arial"/>
        </w:rPr>
      </w:pPr>
    </w:p>
    <w:p w14:paraId="675E7938" w14:textId="77777777" w:rsidR="006C5355" w:rsidRPr="006C5355" w:rsidRDefault="006C5355" w:rsidP="006C5355">
      <w:pPr>
        <w:spacing w:line="480" w:lineRule="auto"/>
        <w:jc w:val="both"/>
        <w:rPr>
          <w:rFonts w:ascii="Arial" w:hAnsi="Arial" w:cs="Arial"/>
        </w:rPr>
      </w:pPr>
    </w:p>
    <w:p w14:paraId="3DEF8E5A" w14:textId="77777777" w:rsidR="006C5355" w:rsidRPr="006C5355" w:rsidRDefault="006C5355" w:rsidP="006C5355">
      <w:pPr>
        <w:pStyle w:val="Caption"/>
        <w:keepNext/>
        <w:spacing w:after="0"/>
        <w:rPr>
          <w:rFonts w:ascii="Arial" w:hAnsi="Arial" w:cs="Arial"/>
          <w:i w:val="0"/>
          <w:color w:val="auto"/>
          <w:sz w:val="20"/>
          <w:szCs w:val="20"/>
        </w:rPr>
      </w:pPr>
      <w:bookmarkStart w:id="12" w:name="_Toc201805420"/>
      <w:r w:rsidRPr="006C5355">
        <w:rPr>
          <w:rFonts w:ascii="Arial" w:hAnsi="Arial" w:cs="Arial"/>
          <w:i w:val="0"/>
          <w:color w:val="auto"/>
          <w:sz w:val="20"/>
          <w:szCs w:val="20"/>
        </w:rPr>
        <w:lastRenderedPageBreak/>
        <w:t>Table 4: Socio-demographic characteristics of antibiotic sellers in the Buea Health District</w:t>
      </w:r>
      <w:bookmarkEnd w:id="12"/>
      <w:r w:rsidRPr="006C5355">
        <w:rPr>
          <w:rFonts w:ascii="Arial" w:hAnsi="Arial" w:cs="Arial"/>
          <w:i w:val="0"/>
          <w:color w:val="auto"/>
          <w:sz w:val="20"/>
          <w:szCs w:val="20"/>
        </w:rPr>
        <w:t>, 2025</w:t>
      </w:r>
    </w:p>
    <w:tbl>
      <w:tblPr>
        <w:tblStyle w:val="TableWeb3"/>
        <w:tblW w:w="0" w:type="auto"/>
        <w:tblLook w:val="04A0" w:firstRow="1" w:lastRow="0" w:firstColumn="1" w:lastColumn="0" w:noHBand="0" w:noVBand="1"/>
      </w:tblPr>
      <w:tblGrid>
        <w:gridCol w:w="2071"/>
        <w:gridCol w:w="2028"/>
        <w:gridCol w:w="1951"/>
        <w:gridCol w:w="2098"/>
      </w:tblGrid>
      <w:tr w:rsidR="006C5355" w:rsidRPr="006C5355" w14:paraId="605F715D" w14:textId="77777777" w:rsidTr="00AA517C">
        <w:trPr>
          <w:cnfStyle w:val="100000000000" w:firstRow="1" w:lastRow="0" w:firstColumn="0" w:lastColumn="0" w:oddVBand="0" w:evenVBand="0" w:oddHBand="0" w:evenHBand="0" w:firstRowFirstColumn="0" w:firstRowLastColumn="0" w:lastRowFirstColumn="0" w:lastRowLastColumn="0"/>
        </w:trPr>
        <w:tc>
          <w:tcPr>
            <w:tcW w:w="2394" w:type="dxa"/>
          </w:tcPr>
          <w:p w14:paraId="2A34F05B" w14:textId="77777777" w:rsidR="006C5355" w:rsidRPr="00AA517C" w:rsidRDefault="006C5355" w:rsidP="0038225E">
            <w:pPr>
              <w:rPr>
                <w:rFonts w:ascii="Arial" w:hAnsi="Arial" w:cs="Arial"/>
                <w:b/>
                <w:bCs/>
              </w:rPr>
            </w:pPr>
            <w:r w:rsidRPr="00AA517C">
              <w:rPr>
                <w:rFonts w:ascii="Arial" w:hAnsi="Arial" w:cs="Arial"/>
                <w:b/>
                <w:bCs/>
              </w:rPr>
              <w:t xml:space="preserve">Variable </w:t>
            </w:r>
          </w:p>
        </w:tc>
        <w:tc>
          <w:tcPr>
            <w:tcW w:w="2394" w:type="dxa"/>
          </w:tcPr>
          <w:p w14:paraId="4BF5AED8" w14:textId="77777777" w:rsidR="006C5355" w:rsidRPr="00AA517C" w:rsidRDefault="006C5355" w:rsidP="0038225E">
            <w:pPr>
              <w:rPr>
                <w:rFonts w:ascii="Arial" w:hAnsi="Arial" w:cs="Arial"/>
                <w:b/>
                <w:bCs/>
              </w:rPr>
            </w:pPr>
            <w:r w:rsidRPr="00AA517C">
              <w:rPr>
                <w:rFonts w:ascii="Arial" w:hAnsi="Arial" w:cs="Arial"/>
                <w:b/>
                <w:bCs/>
              </w:rPr>
              <w:t xml:space="preserve">Modalities </w:t>
            </w:r>
          </w:p>
        </w:tc>
        <w:tc>
          <w:tcPr>
            <w:tcW w:w="2394" w:type="dxa"/>
          </w:tcPr>
          <w:p w14:paraId="2B4181DE" w14:textId="77777777" w:rsidR="006C5355" w:rsidRPr="00AA517C" w:rsidRDefault="006C5355" w:rsidP="0038225E">
            <w:pPr>
              <w:jc w:val="center"/>
              <w:rPr>
                <w:rFonts w:ascii="Arial" w:hAnsi="Arial" w:cs="Arial"/>
                <w:b/>
                <w:bCs/>
              </w:rPr>
            </w:pPr>
            <w:r w:rsidRPr="00AA517C">
              <w:rPr>
                <w:rFonts w:ascii="Arial" w:hAnsi="Arial" w:cs="Arial"/>
                <w:b/>
                <w:bCs/>
              </w:rPr>
              <w:t>Number (n)</w:t>
            </w:r>
          </w:p>
        </w:tc>
        <w:tc>
          <w:tcPr>
            <w:tcW w:w="2394" w:type="dxa"/>
          </w:tcPr>
          <w:p w14:paraId="0B1FDC9F" w14:textId="77777777" w:rsidR="006C5355" w:rsidRPr="00AA517C" w:rsidRDefault="006C5355" w:rsidP="0038225E">
            <w:pPr>
              <w:jc w:val="center"/>
              <w:rPr>
                <w:rFonts w:ascii="Arial" w:hAnsi="Arial" w:cs="Arial"/>
                <w:b/>
                <w:bCs/>
              </w:rPr>
            </w:pPr>
            <w:r w:rsidRPr="00AA517C">
              <w:rPr>
                <w:rFonts w:ascii="Arial" w:hAnsi="Arial" w:cs="Arial"/>
                <w:b/>
                <w:bCs/>
              </w:rPr>
              <w:t>Percentage (%)</w:t>
            </w:r>
          </w:p>
        </w:tc>
      </w:tr>
      <w:tr w:rsidR="006C5355" w:rsidRPr="006C5355" w14:paraId="6CD3E7D0" w14:textId="77777777" w:rsidTr="00AA517C">
        <w:tc>
          <w:tcPr>
            <w:tcW w:w="2394" w:type="dxa"/>
            <w:vMerge w:val="restart"/>
          </w:tcPr>
          <w:p w14:paraId="488CE011" w14:textId="77777777" w:rsidR="006C5355" w:rsidRPr="006C5355" w:rsidRDefault="006C5355" w:rsidP="0038225E">
            <w:pPr>
              <w:rPr>
                <w:rFonts w:ascii="Arial" w:hAnsi="Arial" w:cs="Arial"/>
              </w:rPr>
            </w:pPr>
            <w:r w:rsidRPr="006C5355">
              <w:rPr>
                <w:rFonts w:ascii="Arial" w:hAnsi="Arial" w:cs="Arial"/>
              </w:rPr>
              <w:t xml:space="preserve">Gender </w:t>
            </w:r>
          </w:p>
        </w:tc>
        <w:tc>
          <w:tcPr>
            <w:tcW w:w="2394" w:type="dxa"/>
          </w:tcPr>
          <w:p w14:paraId="5F7CB980" w14:textId="77777777" w:rsidR="006C5355" w:rsidRPr="006C5355" w:rsidRDefault="006C5355" w:rsidP="0038225E">
            <w:pPr>
              <w:rPr>
                <w:rFonts w:ascii="Arial" w:hAnsi="Arial" w:cs="Arial"/>
              </w:rPr>
            </w:pPr>
            <w:r w:rsidRPr="006C5355">
              <w:rPr>
                <w:rFonts w:ascii="Arial" w:hAnsi="Arial" w:cs="Arial"/>
              </w:rPr>
              <w:t xml:space="preserve">Male </w:t>
            </w:r>
          </w:p>
        </w:tc>
        <w:tc>
          <w:tcPr>
            <w:tcW w:w="2394" w:type="dxa"/>
          </w:tcPr>
          <w:p w14:paraId="4EE54EB9" w14:textId="77777777" w:rsidR="006C5355" w:rsidRPr="006C5355" w:rsidRDefault="006C5355" w:rsidP="0038225E">
            <w:pPr>
              <w:jc w:val="center"/>
              <w:rPr>
                <w:rFonts w:ascii="Arial" w:hAnsi="Arial" w:cs="Arial"/>
              </w:rPr>
            </w:pPr>
            <w:r w:rsidRPr="006C5355">
              <w:rPr>
                <w:rFonts w:ascii="Arial" w:hAnsi="Arial" w:cs="Arial"/>
                <w:color w:val="010205"/>
              </w:rPr>
              <w:t>18</w:t>
            </w:r>
          </w:p>
        </w:tc>
        <w:tc>
          <w:tcPr>
            <w:tcW w:w="2394" w:type="dxa"/>
          </w:tcPr>
          <w:p w14:paraId="4E09E646" w14:textId="77777777" w:rsidR="006C5355" w:rsidRPr="006C5355" w:rsidRDefault="006C5355" w:rsidP="0038225E">
            <w:pPr>
              <w:jc w:val="center"/>
              <w:rPr>
                <w:rFonts w:ascii="Arial" w:hAnsi="Arial" w:cs="Arial"/>
              </w:rPr>
            </w:pPr>
            <w:r w:rsidRPr="006C5355">
              <w:rPr>
                <w:rFonts w:ascii="Arial" w:hAnsi="Arial" w:cs="Arial"/>
                <w:color w:val="010205"/>
              </w:rPr>
              <w:t>13.6</w:t>
            </w:r>
          </w:p>
        </w:tc>
      </w:tr>
      <w:tr w:rsidR="006C5355" w:rsidRPr="006C5355" w14:paraId="3160C4B4" w14:textId="77777777" w:rsidTr="00AA517C">
        <w:tc>
          <w:tcPr>
            <w:tcW w:w="2394" w:type="dxa"/>
            <w:vMerge/>
          </w:tcPr>
          <w:p w14:paraId="18711558" w14:textId="77777777" w:rsidR="006C5355" w:rsidRPr="006C5355" w:rsidRDefault="006C5355" w:rsidP="0038225E">
            <w:pPr>
              <w:rPr>
                <w:rFonts w:ascii="Arial" w:hAnsi="Arial" w:cs="Arial"/>
              </w:rPr>
            </w:pPr>
          </w:p>
        </w:tc>
        <w:tc>
          <w:tcPr>
            <w:tcW w:w="2394" w:type="dxa"/>
          </w:tcPr>
          <w:p w14:paraId="454C9155" w14:textId="77777777" w:rsidR="006C5355" w:rsidRPr="006C5355" w:rsidRDefault="006C5355" w:rsidP="0038225E">
            <w:pPr>
              <w:rPr>
                <w:rFonts w:ascii="Arial" w:hAnsi="Arial" w:cs="Arial"/>
              </w:rPr>
            </w:pPr>
            <w:r w:rsidRPr="006C5355">
              <w:rPr>
                <w:rFonts w:ascii="Arial" w:hAnsi="Arial" w:cs="Arial"/>
              </w:rPr>
              <w:t xml:space="preserve">Female </w:t>
            </w:r>
          </w:p>
        </w:tc>
        <w:tc>
          <w:tcPr>
            <w:tcW w:w="2394" w:type="dxa"/>
          </w:tcPr>
          <w:p w14:paraId="257044D8" w14:textId="77777777" w:rsidR="006C5355" w:rsidRPr="006C5355" w:rsidRDefault="006C5355" w:rsidP="0038225E">
            <w:pPr>
              <w:jc w:val="center"/>
              <w:rPr>
                <w:rFonts w:ascii="Arial" w:hAnsi="Arial" w:cs="Arial"/>
              </w:rPr>
            </w:pPr>
            <w:r w:rsidRPr="006C5355">
              <w:rPr>
                <w:rFonts w:ascii="Arial" w:hAnsi="Arial" w:cs="Arial"/>
                <w:color w:val="010205"/>
              </w:rPr>
              <w:t>114</w:t>
            </w:r>
          </w:p>
        </w:tc>
        <w:tc>
          <w:tcPr>
            <w:tcW w:w="2394" w:type="dxa"/>
          </w:tcPr>
          <w:p w14:paraId="5F0DD993" w14:textId="77777777" w:rsidR="006C5355" w:rsidRPr="006C5355" w:rsidRDefault="006C5355" w:rsidP="0038225E">
            <w:pPr>
              <w:jc w:val="center"/>
              <w:rPr>
                <w:rFonts w:ascii="Arial" w:hAnsi="Arial" w:cs="Arial"/>
              </w:rPr>
            </w:pPr>
            <w:r w:rsidRPr="006C5355">
              <w:rPr>
                <w:rFonts w:ascii="Arial" w:hAnsi="Arial" w:cs="Arial"/>
                <w:color w:val="010205"/>
              </w:rPr>
              <w:t>86.4</w:t>
            </w:r>
          </w:p>
        </w:tc>
      </w:tr>
      <w:tr w:rsidR="006C5355" w:rsidRPr="006C5355" w14:paraId="106E2894" w14:textId="77777777" w:rsidTr="00AA517C">
        <w:tc>
          <w:tcPr>
            <w:tcW w:w="2394" w:type="dxa"/>
            <w:vMerge w:val="restart"/>
          </w:tcPr>
          <w:p w14:paraId="6867013C" w14:textId="77777777" w:rsidR="006C5355" w:rsidRPr="006C5355" w:rsidRDefault="006C5355" w:rsidP="0038225E">
            <w:pPr>
              <w:rPr>
                <w:rFonts w:ascii="Arial" w:hAnsi="Arial" w:cs="Arial"/>
              </w:rPr>
            </w:pPr>
          </w:p>
          <w:p w14:paraId="52A73E73" w14:textId="77777777" w:rsidR="006C5355" w:rsidRPr="006C5355" w:rsidRDefault="006C5355" w:rsidP="0038225E">
            <w:pPr>
              <w:rPr>
                <w:rFonts w:ascii="Arial" w:hAnsi="Arial" w:cs="Arial"/>
              </w:rPr>
            </w:pPr>
            <w:r w:rsidRPr="006C5355">
              <w:rPr>
                <w:rFonts w:ascii="Arial" w:hAnsi="Arial" w:cs="Arial"/>
              </w:rPr>
              <w:t xml:space="preserve">Age Group (Years) </w:t>
            </w:r>
          </w:p>
        </w:tc>
        <w:tc>
          <w:tcPr>
            <w:tcW w:w="2394" w:type="dxa"/>
          </w:tcPr>
          <w:p w14:paraId="0F9E6789" w14:textId="77777777" w:rsidR="006C5355" w:rsidRPr="006C5355" w:rsidRDefault="006C5355" w:rsidP="0038225E">
            <w:pPr>
              <w:rPr>
                <w:rFonts w:ascii="Arial" w:hAnsi="Arial" w:cs="Arial"/>
              </w:rPr>
            </w:pPr>
            <w:r w:rsidRPr="006C5355">
              <w:rPr>
                <w:rFonts w:ascii="Arial" w:hAnsi="Arial" w:cs="Arial"/>
              </w:rPr>
              <w:t>21-30</w:t>
            </w:r>
          </w:p>
        </w:tc>
        <w:tc>
          <w:tcPr>
            <w:tcW w:w="2394" w:type="dxa"/>
          </w:tcPr>
          <w:p w14:paraId="7332121C" w14:textId="77777777" w:rsidR="006C5355" w:rsidRPr="006C5355" w:rsidRDefault="006C5355" w:rsidP="0038225E">
            <w:pPr>
              <w:jc w:val="center"/>
              <w:rPr>
                <w:rFonts w:ascii="Arial" w:hAnsi="Arial" w:cs="Arial"/>
              </w:rPr>
            </w:pPr>
            <w:r w:rsidRPr="006C5355">
              <w:rPr>
                <w:rFonts w:ascii="Arial" w:hAnsi="Arial" w:cs="Arial"/>
                <w:color w:val="010205"/>
              </w:rPr>
              <w:t>91</w:t>
            </w:r>
          </w:p>
        </w:tc>
        <w:tc>
          <w:tcPr>
            <w:tcW w:w="2394" w:type="dxa"/>
          </w:tcPr>
          <w:p w14:paraId="5138F079" w14:textId="77777777" w:rsidR="006C5355" w:rsidRPr="006C5355" w:rsidRDefault="006C5355" w:rsidP="0038225E">
            <w:pPr>
              <w:jc w:val="center"/>
              <w:rPr>
                <w:rFonts w:ascii="Arial" w:hAnsi="Arial" w:cs="Arial"/>
              </w:rPr>
            </w:pPr>
            <w:r w:rsidRPr="006C5355">
              <w:rPr>
                <w:rFonts w:ascii="Arial" w:hAnsi="Arial" w:cs="Arial"/>
                <w:color w:val="010205"/>
              </w:rPr>
              <w:t>68.9</w:t>
            </w:r>
          </w:p>
        </w:tc>
      </w:tr>
      <w:tr w:rsidR="006C5355" w:rsidRPr="006C5355" w14:paraId="3F8BE7AB" w14:textId="77777777" w:rsidTr="00AA517C">
        <w:tc>
          <w:tcPr>
            <w:tcW w:w="2394" w:type="dxa"/>
            <w:vMerge/>
          </w:tcPr>
          <w:p w14:paraId="6D176857" w14:textId="77777777" w:rsidR="006C5355" w:rsidRPr="006C5355" w:rsidRDefault="006C5355" w:rsidP="0038225E">
            <w:pPr>
              <w:rPr>
                <w:rFonts w:ascii="Arial" w:hAnsi="Arial" w:cs="Arial"/>
              </w:rPr>
            </w:pPr>
          </w:p>
        </w:tc>
        <w:tc>
          <w:tcPr>
            <w:tcW w:w="2394" w:type="dxa"/>
          </w:tcPr>
          <w:p w14:paraId="360AC2C0" w14:textId="77777777" w:rsidR="006C5355" w:rsidRPr="006C5355" w:rsidRDefault="006C5355" w:rsidP="0038225E">
            <w:pPr>
              <w:rPr>
                <w:rFonts w:ascii="Arial" w:hAnsi="Arial" w:cs="Arial"/>
              </w:rPr>
            </w:pPr>
            <w:r w:rsidRPr="006C5355">
              <w:rPr>
                <w:rFonts w:ascii="Arial" w:hAnsi="Arial" w:cs="Arial"/>
              </w:rPr>
              <w:t>31-40</w:t>
            </w:r>
          </w:p>
        </w:tc>
        <w:tc>
          <w:tcPr>
            <w:tcW w:w="2394" w:type="dxa"/>
          </w:tcPr>
          <w:p w14:paraId="55DDFE04" w14:textId="77777777" w:rsidR="006C5355" w:rsidRPr="006C5355" w:rsidRDefault="006C5355" w:rsidP="0038225E">
            <w:pPr>
              <w:jc w:val="center"/>
              <w:rPr>
                <w:rFonts w:ascii="Arial" w:hAnsi="Arial" w:cs="Arial"/>
              </w:rPr>
            </w:pPr>
            <w:r w:rsidRPr="006C5355">
              <w:rPr>
                <w:rFonts w:ascii="Arial" w:hAnsi="Arial" w:cs="Arial"/>
                <w:color w:val="010205"/>
              </w:rPr>
              <w:t>38</w:t>
            </w:r>
          </w:p>
        </w:tc>
        <w:tc>
          <w:tcPr>
            <w:tcW w:w="2394" w:type="dxa"/>
          </w:tcPr>
          <w:p w14:paraId="4066B71F" w14:textId="77777777" w:rsidR="006C5355" w:rsidRPr="006C5355" w:rsidRDefault="006C5355" w:rsidP="0038225E">
            <w:pPr>
              <w:jc w:val="center"/>
              <w:rPr>
                <w:rFonts w:ascii="Arial" w:hAnsi="Arial" w:cs="Arial"/>
              </w:rPr>
            </w:pPr>
            <w:r w:rsidRPr="006C5355">
              <w:rPr>
                <w:rFonts w:ascii="Arial" w:hAnsi="Arial" w:cs="Arial"/>
                <w:color w:val="010205"/>
              </w:rPr>
              <w:t>28.8</w:t>
            </w:r>
          </w:p>
        </w:tc>
      </w:tr>
      <w:tr w:rsidR="006C5355" w:rsidRPr="006C5355" w14:paraId="714BB5FA" w14:textId="77777777" w:rsidTr="00AA517C">
        <w:tc>
          <w:tcPr>
            <w:tcW w:w="2394" w:type="dxa"/>
            <w:vMerge/>
          </w:tcPr>
          <w:p w14:paraId="754368EE" w14:textId="77777777" w:rsidR="006C5355" w:rsidRPr="006C5355" w:rsidRDefault="006C5355" w:rsidP="0038225E">
            <w:pPr>
              <w:rPr>
                <w:rFonts w:ascii="Arial" w:hAnsi="Arial" w:cs="Arial"/>
              </w:rPr>
            </w:pPr>
          </w:p>
        </w:tc>
        <w:tc>
          <w:tcPr>
            <w:tcW w:w="2394" w:type="dxa"/>
          </w:tcPr>
          <w:p w14:paraId="361D5C30" w14:textId="77777777" w:rsidR="006C5355" w:rsidRPr="006C5355" w:rsidRDefault="006C5355" w:rsidP="0038225E">
            <w:pPr>
              <w:rPr>
                <w:rFonts w:ascii="Arial" w:hAnsi="Arial" w:cs="Arial"/>
              </w:rPr>
            </w:pPr>
            <w:r w:rsidRPr="006C5355">
              <w:rPr>
                <w:rFonts w:ascii="Arial" w:hAnsi="Arial" w:cs="Arial"/>
              </w:rPr>
              <w:t>41-50</w:t>
            </w:r>
          </w:p>
        </w:tc>
        <w:tc>
          <w:tcPr>
            <w:tcW w:w="2394" w:type="dxa"/>
          </w:tcPr>
          <w:p w14:paraId="1F665C4E" w14:textId="77777777" w:rsidR="006C5355" w:rsidRPr="006C5355" w:rsidRDefault="006C5355" w:rsidP="0038225E">
            <w:pPr>
              <w:jc w:val="center"/>
              <w:rPr>
                <w:rFonts w:ascii="Arial" w:hAnsi="Arial" w:cs="Arial"/>
              </w:rPr>
            </w:pPr>
            <w:r w:rsidRPr="006C5355">
              <w:rPr>
                <w:rFonts w:ascii="Arial" w:hAnsi="Arial" w:cs="Arial"/>
                <w:color w:val="010205"/>
              </w:rPr>
              <w:t>3</w:t>
            </w:r>
          </w:p>
        </w:tc>
        <w:tc>
          <w:tcPr>
            <w:tcW w:w="2394" w:type="dxa"/>
          </w:tcPr>
          <w:p w14:paraId="34EFDF06" w14:textId="77777777" w:rsidR="006C5355" w:rsidRPr="006C5355" w:rsidRDefault="006C5355" w:rsidP="0038225E">
            <w:pPr>
              <w:jc w:val="center"/>
              <w:rPr>
                <w:rFonts w:ascii="Arial" w:hAnsi="Arial" w:cs="Arial"/>
              </w:rPr>
            </w:pPr>
            <w:r w:rsidRPr="006C5355">
              <w:rPr>
                <w:rFonts w:ascii="Arial" w:hAnsi="Arial" w:cs="Arial"/>
                <w:color w:val="010205"/>
              </w:rPr>
              <w:t>2.3</w:t>
            </w:r>
          </w:p>
        </w:tc>
      </w:tr>
      <w:tr w:rsidR="006C5355" w:rsidRPr="006C5355" w14:paraId="3797FF52" w14:textId="77777777" w:rsidTr="00AA517C">
        <w:trPr>
          <w:trHeight w:val="328"/>
        </w:trPr>
        <w:tc>
          <w:tcPr>
            <w:tcW w:w="2394" w:type="dxa"/>
            <w:vMerge w:val="restart"/>
          </w:tcPr>
          <w:p w14:paraId="00913EFF" w14:textId="77777777" w:rsidR="006C5355" w:rsidRPr="006C5355" w:rsidRDefault="006C5355" w:rsidP="0038225E">
            <w:pPr>
              <w:rPr>
                <w:rFonts w:ascii="Arial" w:hAnsi="Arial" w:cs="Arial"/>
              </w:rPr>
            </w:pPr>
          </w:p>
          <w:p w14:paraId="5F2A63D3" w14:textId="77777777" w:rsidR="006C5355" w:rsidRPr="006C5355" w:rsidRDefault="006C5355" w:rsidP="0038225E">
            <w:pPr>
              <w:rPr>
                <w:rFonts w:ascii="Arial" w:hAnsi="Arial" w:cs="Arial"/>
              </w:rPr>
            </w:pPr>
            <w:r w:rsidRPr="006C5355">
              <w:rPr>
                <w:rFonts w:ascii="Arial" w:hAnsi="Arial" w:cs="Arial"/>
              </w:rPr>
              <w:t xml:space="preserve">Location </w:t>
            </w:r>
          </w:p>
        </w:tc>
        <w:tc>
          <w:tcPr>
            <w:tcW w:w="2394" w:type="dxa"/>
          </w:tcPr>
          <w:p w14:paraId="74733209" w14:textId="77777777" w:rsidR="006C5355" w:rsidRPr="006C5355" w:rsidRDefault="006C5355" w:rsidP="0038225E">
            <w:pPr>
              <w:rPr>
                <w:rFonts w:ascii="Arial" w:hAnsi="Arial" w:cs="Arial"/>
              </w:rPr>
            </w:pPr>
            <w:r w:rsidRPr="006C5355">
              <w:rPr>
                <w:rFonts w:ascii="Arial" w:hAnsi="Arial" w:cs="Arial"/>
              </w:rPr>
              <w:t>Hospital</w:t>
            </w:r>
          </w:p>
        </w:tc>
        <w:tc>
          <w:tcPr>
            <w:tcW w:w="2394" w:type="dxa"/>
          </w:tcPr>
          <w:p w14:paraId="584691F2" w14:textId="77777777" w:rsidR="006C5355" w:rsidRPr="006C5355" w:rsidRDefault="006C5355" w:rsidP="0038225E">
            <w:pPr>
              <w:jc w:val="center"/>
              <w:rPr>
                <w:rFonts w:ascii="Arial" w:hAnsi="Arial" w:cs="Arial"/>
              </w:rPr>
            </w:pPr>
            <w:r w:rsidRPr="006C5355">
              <w:rPr>
                <w:rFonts w:ascii="Arial" w:hAnsi="Arial" w:cs="Arial"/>
                <w:color w:val="010205"/>
              </w:rPr>
              <w:t>12</w:t>
            </w:r>
          </w:p>
        </w:tc>
        <w:tc>
          <w:tcPr>
            <w:tcW w:w="2394" w:type="dxa"/>
          </w:tcPr>
          <w:p w14:paraId="5ED54A80" w14:textId="77777777" w:rsidR="006C5355" w:rsidRPr="006C5355" w:rsidRDefault="006C5355" w:rsidP="0038225E">
            <w:pPr>
              <w:jc w:val="center"/>
              <w:rPr>
                <w:rFonts w:ascii="Arial" w:hAnsi="Arial" w:cs="Arial"/>
              </w:rPr>
            </w:pPr>
            <w:r w:rsidRPr="006C5355">
              <w:rPr>
                <w:rFonts w:ascii="Arial" w:hAnsi="Arial" w:cs="Arial"/>
                <w:color w:val="010205"/>
              </w:rPr>
              <w:t>9.1</w:t>
            </w:r>
          </w:p>
        </w:tc>
      </w:tr>
      <w:tr w:rsidR="006C5355" w:rsidRPr="006C5355" w14:paraId="7312F96C" w14:textId="77777777" w:rsidTr="00AA517C">
        <w:tc>
          <w:tcPr>
            <w:tcW w:w="2394" w:type="dxa"/>
            <w:vMerge/>
          </w:tcPr>
          <w:p w14:paraId="5D2AB911" w14:textId="77777777" w:rsidR="006C5355" w:rsidRPr="006C5355" w:rsidRDefault="006C5355" w:rsidP="0038225E">
            <w:pPr>
              <w:rPr>
                <w:rFonts w:ascii="Arial" w:hAnsi="Arial" w:cs="Arial"/>
              </w:rPr>
            </w:pPr>
          </w:p>
        </w:tc>
        <w:tc>
          <w:tcPr>
            <w:tcW w:w="2394" w:type="dxa"/>
          </w:tcPr>
          <w:p w14:paraId="4B0A9791" w14:textId="77777777" w:rsidR="006C5355" w:rsidRPr="006C5355" w:rsidRDefault="006C5355" w:rsidP="0038225E">
            <w:pPr>
              <w:rPr>
                <w:rFonts w:ascii="Arial" w:hAnsi="Arial" w:cs="Arial"/>
              </w:rPr>
            </w:pPr>
            <w:r w:rsidRPr="006C5355">
              <w:rPr>
                <w:rFonts w:ascii="Arial" w:hAnsi="Arial" w:cs="Arial"/>
              </w:rPr>
              <w:t>Pharmacy</w:t>
            </w:r>
          </w:p>
        </w:tc>
        <w:tc>
          <w:tcPr>
            <w:tcW w:w="2394" w:type="dxa"/>
          </w:tcPr>
          <w:p w14:paraId="70658012" w14:textId="77777777" w:rsidR="006C5355" w:rsidRPr="006C5355" w:rsidRDefault="006C5355" w:rsidP="0038225E">
            <w:pPr>
              <w:jc w:val="center"/>
              <w:rPr>
                <w:rFonts w:ascii="Arial" w:hAnsi="Arial" w:cs="Arial"/>
              </w:rPr>
            </w:pPr>
            <w:r w:rsidRPr="006C5355">
              <w:rPr>
                <w:rFonts w:ascii="Arial" w:hAnsi="Arial" w:cs="Arial"/>
                <w:color w:val="010205"/>
              </w:rPr>
              <w:t>9</w:t>
            </w:r>
          </w:p>
        </w:tc>
        <w:tc>
          <w:tcPr>
            <w:tcW w:w="2394" w:type="dxa"/>
          </w:tcPr>
          <w:p w14:paraId="00EF300C" w14:textId="77777777" w:rsidR="006C5355" w:rsidRPr="006C5355" w:rsidRDefault="006C5355" w:rsidP="0038225E">
            <w:pPr>
              <w:jc w:val="center"/>
              <w:rPr>
                <w:rFonts w:ascii="Arial" w:hAnsi="Arial" w:cs="Arial"/>
              </w:rPr>
            </w:pPr>
            <w:r w:rsidRPr="006C5355">
              <w:rPr>
                <w:rFonts w:ascii="Arial" w:hAnsi="Arial" w:cs="Arial"/>
                <w:color w:val="010205"/>
              </w:rPr>
              <w:t>6.8</w:t>
            </w:r>
          </w:p>
        </w:tc>
      </w:tr>
      <w:tr w:rsidR="006C5355" w:rsidRPr="006C5355" w14:paraId="5688991D" w14:textId="77777777" w:rsidTr="00AA517C">
        <w:tc>
          <w:tcPr>
            <w:tcW w:w="2394" w:type="dxa"/>
            <w:vMerge/>
          </w:tcPr>
          <w:p w14:paraId="39F7A5DD" w14:textId="77777777" w:rsidR="006C5355" w:rsidRPr="006C5355" w:rsidRDefault="006C5355" w:rsidP="0038225E">
            <w:pPr>
              <w:rPr>
                <w:rFonts w:ascii="Arial" w:hAnsi="Arial" w:cs="Arial"/>
              </w:rPr>
            </w:pPr>
          </w:p>
        </w:tc>
        <w:tc>
          <w:tcPr>
            <w:tcW w:w="2394" w:type="dxa"/>
          </w:tcPr>
          <w:p w14:paraId="6CA2D770" w14:textId="77777777" w:rsidR="006C5355" w:rsidRPr="006C5355" w:rsidRDefault="006C5355" w:rsidP="0038225E">
            <w:pPr>
              <w:rPr>
                <w:rFonts w:ascii="Arial" w:hAnsi="Arial" w:cs="Arial"/>
              </w:rPr>
            </w:pPr>
            <w:r w:rsidRPr="006C5355">
              <w:rPr>
                <w:rFonts w:ascii="Arial" w:hAnsi="Arial" w:cs="Arial"/>
              </w:rPr>
              <w:t xml:space="preserve">Local drug store  </w:t>
            </w:r>
          </w:p>
        </w:tc>
        <w:tc>
          <w:tcPr>
            <w:tcW w:w="2394" w:type="dxa"/>
          </w:tcPr>
          <w:p w14:paraId="3E2FE0D1" w14:textId="77777777" w:rsidR="006C5355" w:rsidRPr="006C5355" w:rsidRDefault="006C5355" w:rsidP="0038225E">
            <w:pPr>
              <w:jc w:val="center"/>
              <w:rPr>
                <w:rFonts w:ascii="Arial" w:hAnsi="Arial" w:cs="Arial"/>
              </w:rPr>
            </w:pPr>
            <w:r w:rsidRPr="006C5355">
              <w:rPr>
                <w:rFonts w:ascii="Arial" w:hAnsi="Arial" w:cs="Arial"/>
                <w:color w:val="010205"/>
              </w:rPr>
              <w:t>111</w:t>
            </w:r>
          </w:p>
        </w:tc>
        <w:tc>
          <w:tcPr>
            <w:tcW w:w="2394" w:type="dxa"/>
          </w:tcPr>
          <w:p w14:paraId="4DD098F4" w14:textId="77777777" w:rsidR="006C5355" w:rsidRPr="006C5355" w:rsidRDefault="006C5355" w:rsidP="0038225E">
            <w:pPr>
              <w:jc w:val="center"/>
              <w:rPr>
                <w:rFonts w:ascii="Arial" w:hAnsi="Arial" w:cs="Arial"/>
              </w:rPr>
            </w:pPr>
            <w:r w:rsidRPr="006C5355">
              <w:rPr>
                <w:rFonts w:ascii="Arial" w:hAnsi="Arial" w:cs="Arial"/>
                <w:color w:val="010205"/>
              </w:rPr>
              <w:t>84.1</w:t>
            </w:r>
          </w:p>
        </w:tc>
      </w:tr>
      <w:tr w:rsidR="006C5355" w:rsidRPr="006C5355" w14:paraId="0FEB1E38" w14:textId="77777777" w:rsidTr="00AA517C">
        <w:tc>
          <w:tcPr>
            <w:tcW w:w="2394" w:type="dxa"/>
            <w:vMerge w:val="restart"/>
          </w:tcPr>
          <w:p w14:paraId="5166CA85" w14:textId="77777777" w:rsidR="006C5355" w:rsidRPr="006C5355" w:rsidRDefault="006C5355" w:rsidP="0038225E">
            <w:pPr>
              <w:rPr>
                <w:rFonts w:ascii="Arial" w:hAnsi="Arial" w:cs="Arial"/>
              </w:rPr>
            </w:pPr>
          </w:p>
          <w:p w14:paraId="6F743A1D" w14:textId="77777777" w:rsidR="006C5355" w:rsidRPr="006C5355" w:rsidRDefault="006C5355" w:rsidP="0038225E">
            <w:pPr>
              <w:rPr>
                <w:rFonts w:ascii="Arial" w:hAnsi="Arial" w:cs="Arial"/>
              </w:rPr>
            </w:pPr>
            <w:r w:rsidRPr="006C5355">
              <w:rPr>
                <w:rFonts w:ascii="Arial" w:hAnsi="Arial" w:cs="Arial"/>
              </w:rPr>
              <w:t xml:space="preserve">Years of Experience </w:t>
            </w:r>
          </w:p>
        </w:tc>
        <w:tc>
          <w:tcPr>
            <w:tcW w:w="2394" w:type="dxa"/>
          </w:tcPr>
          <w:p w14:paraId="58E656A8" w14:textId="77777777" w:rsidR="006C5355" w:rsidRPr="006C5355" w:rsidRDefault="006C5355" w:rsidP="0038225E">
            <w:pPr>
              <w:rPr>
                <w:rFonts w:ascii="Arial" w:hAnsi="Arial" w:cs="Arial"/>
                <w:color w:val="000000" w:themeColor="text1"/>
              </w:rPr>
            </w:pPr>
          </w:p>
          <w:p w14:paraId="17974912"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&lt;1 year</w:t>
            </w:r>
          </w:p>
        </w:tc>
        <w:tc>
          <w:tcPr>
            <w:tcW w:w="2394" w:type="dxa"/>
          </w:tcPr>
          <w:p w14:paraId="21DAE972" w14:textId="77777777" w:rsidR="006C5355" w:rsidRPr="006C5355" w:rsidRDefault="006C5355" w:rsidP="0038225E">
            <w:pPr>
              <w:jc w:val="center"/>
              <w:rPr>
                <w:rFonts w:ascii="Arial" w:hAnsi="Arial" w:cs="Arial"/>
                <w:color w:val="010205"/>
              </w:rPr>
            </w:pPr>
          </w:p>
          <w:p w14:paraId="663A6CD7" w14:textId="77777777" w:rsidR="006C5355" w:rsidRPr="006C5355" w:rsidRDefault="006C5355" w:rsidP="0038225E">
            <w:pPr>
              <w:jc w:val="center"/>
              <w:rPr>
                <w:rFonts w:ascii="Arial" w:hAnsi="Arial" w:cs="Arial"/>
              </w:rPr>
            </w:pPr>
            <w:r w:rsidRPr="006C5355">
              <w:rPr>
                <w:rFonts w:ascii="Arial" w:hAnsi="Arial" w:cs="Arial"/>
                <w:color w:val="010205"/>
              </w:rPr>
              <w:t>8</w:t>
            </w:r>
          </w:p>
        </w:tc>
        <w:tc>
          <w:tcPr>
            <w:tcW w:w="2394" w:type="dxa"/>
          </w:tcPr>
          <w:p w14:paraId="6A6E574F" w14:textId="77777777" w:rsidR="006C5355" w:rsidRPr="006C5355" w:rsidRDefault="006C5355" w:rsidP="0038225E">
            <w:pPr>
              <w:jc w:val="center"/>
              <w:rPr>
                <w:rFonts w:ascii="Arial" w:hAnsi="Arial" w:cs="Arial"/>
                <w:color w:val="010205"/>
              </w:rPr>
            </w:pPr>
          </w:p>
          <w:p w14:paraId="26185E6C" w14:textId="77777777" w:rsidR="006C5355" w:rsidRPr="006C5355" w:rsidRDefault="006C5355" w:rsidP="0038225E">
            <w:pPr>
              <w:jc w:val="center"/>
              <w:rPr>
                <w:rFonts w:ascii="Arial" w:hAnsi="Arial" w:cs="Arial"/>
              </w:rPr>
            </w:pPr>
            <w:r w:rsidRPr="006C5355">
              <w:rPr>
                <w:rFonts w:ascii="Arial" w:hAnsi="Arial" w:cs="Arial"/>
                <w:color w:val="010205"/>
              </w:rPr>
              <w:t>6.1</w:t>
            </w:r>
          </w:p>
        </w:tc>
      </w:tr>
      <w:tr w:rsidR="006C5355" w:rsidRPr="006C5355" w14:paraId="00B1AFA6" w14:textId="77777777" w:rsidTr="00AA517C">
        <w:tc>
          <w:tcPr>
            <w:tcW w:w="2394" w:type="dxa"/>
            <w:vMerge/>
          </w:tcPr>
          <w:p w14:paraId="49F2FAAC" w14:textId="77777777" w:rsidR="006C5355" w:rsidRPr="006C5355" w:rsidRDefault="006C5355" w:rsidP="0038225E">
            <w:pPr>
              <w:rPr>
                <w:rFonts w:ascii="Arial" w:hAnsi="Arial" w:cs="Arial"/>
              </w:rPr>
            </w:pPr>
          </w:p>
        </w:tc>
        <w:tc>
          <w:tcPr>
            <w:tcW w:w="2394" w:type="dxa"/>
          </w:tcPr>
          <w:p w14:paraId="09877865"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1 5 years</w:t>
            </w:r>
          </w:p>
        </w:tc>
        <w:tc>
          <w:tcPr>
            <w:tcW w:w="2394" w:type="dxa"/>
          </w:tcPr>
          <w:p w14:paraId="2D22815A" w14:textId="77777777" w:rsidR="006C5355" w:rsidRPr="006C5355" w:rsidRDefault="006C5355" w:rsidP="0038225E">
            <w:pPr>
              <w:jc w:val="center"/>
              <w:rPr>
                <w:rFonts w:ascii="Arial" w:hAnsi="Arial" w:cs="Arial"/>
              </w:rPr>
            </w:pPr>
            <w:r w:rsidRPr="006C5355">
              <w:rPr>
                <w:rFonts w:ascii="Arial" w:hAnsi="Arial" w:cs="Arial"/>
                <w:color w:val="010205"/>
              </w:rPr>
              <w:t>53</w:t>
            </w:r>
          </w:p>
        </w:tc>
        <w:tc>
          <w:tcPr>
            <w:tcW w:w="2394" w:type="dxa"/>
          </w:tcPr>
          <w:p w14:paraId="1FC91830" w14:textId="77777777" w:rsidR="006C5355" w:rsidRPr="006C5355" w:rsidRDefault="006C5355" w:rsidP="0038225E">
            <w:pPr>
              <w:jc w:val="center"/>
              <w:rPr>
                <w:rFonts w:ascii="Arial" w:hAnsi="Arial" w:cs="Arial"/>
              </w:rPr>
            </w:pPr>
            <w:r w:rsidRPr="006C5355">
              <w:rPr>
                <w:rFonts w:ascii="Arial" w:hAnsi="Arial" w:cs="Arial"/>
                <w:color w:val="010205"/>
              </w:rPr>
              <w:t>40.2</w:t>
            </w:r>
          </w:p>
        </w:tc>
      </w:tr>
      <w:tr w:rsidR="006C5355" w:rsidRPr="006C5355" w14:paraId="1E04B186" w14:textId="77777777" w:rsidTr="00AA517C">
        <w:tc>
          <w:tcPr>
            <w:tcW w:w="2394" w:type="dxa"/>
            <w:vMerge/>
          </w:tcPr>
          <w:p w14:paraId="3BAC2E59" w14:textId="77777777" w:rsidR="006C5355" w:rsidRPr="006C5355" w:rsidRDefault="006C5355" w:rsidP="0038225E">
            <w:pPr>
              <w:rPr>
                <w:rFonts w:ascii="Arial" w:hAnsi="Arial" w:cs="Arial"/>
              </w:rPr>
            </w:pPr>
          </w:p>
        </w:tc>
        <w:tc>
          <w:tcPr>
            <w:tcW w:w="2394" w:type="dxa"/>
          </w:tcPr>
          <w:p w14:paraId="577AEB44"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6 10 years</w:t>
            </w:r>
          </w:p>
        </w:tc>
        <w:tc>
          <w:tcPr>
            <w:tcW w:w="2394" w:type="dxa"/>
          </w:tcPr>
          <w:p w14:paraId="21A07A54" w14:textId="77777777" w:rsidR="006C5355" w:rsidRPr="006C5355" w:rsidRDefault="006C5355" w:rsidP="0038225E">
            <w:pPr>
              <w:jc w:val="center"/>
              <w:rPr>
                <w:rFonts w:ascii="Arial" w:hAnsi="Arial" w:cs="Arial"/>
              </w:rPr>
            </w:pPr>
            <w:r w:rsidRPr="006C5355">
              <w:rPr>
                <w:rFonts w:ascii="Arial" w:hAnsi="Arial" w:cs="Arial"/>
                <w:color w:val="010205"/>
              </w:rPr>
              <w:t>68</w:t>
            </w:r>
          </w:p>
        </w:tc>
        <w:tc>
          <w:tcPr>
            <w:tcW w:w="2394" w:type="dxa"/>
          </w:tcPr>
          <w:p w14:paraId="2481AE33" w14:textId="77777777" w:rsidR="006C5355" w:rsidRPr="006C5355" w:rsidRDefault="006C5355" w:rsidP="0038225E">
            <w:pPr>
              <w:jc w:val="center"/>
              <w:rPr>
                <w:rFonts w:ascii="Arial" w:hAnsi="Arial" w:cs="Arial"/>
              </w:rPr>
            </w:pPr>
            <w:r w:rsidRPr="006C5355">
              <w:rPr>
                <w:rFonts w:ascii="Arial" w:hAnsi="Arial" w:cs="Arial"/>
                <w:color w:val="010205"/>
              </w:rPr>
              <w:t>51.5</w:t>
            </w:r>
          </w:p>
        </w:tc>
      </w:tr>
      <w:tr w:rsidR="006C5355" w:rsidRPr="006C5355" w14:paraId="52E20995" w14:textId="77777777" w:rsidTr="00AA517C">
        <w:tc>
          <w:tcPr>
            <w:tcW w:w="2394" w:type="dxa"/>
            <w:vMerge/>
          </w:tcPr>
          <w:p w14:paraId="351B10BC" w14:textId="77777777" w:rsidR="006C5355" w:rsidRPr="006C5355" w:rsidRDefault="006C5355" w:rsidP="0038225E">
            <w:pPr>
              <w:rPr>
                <w:rFonts w:ascii="Arial" w:hAnsi="Arial" w:cs="Arial"/>
              </w:rPr>
            </w:pPr>
          </w:p>
        </w:tc>
        <w:tc>
          <w:tcPr>
            <w:tcW w:w="2394" w:type="dxa"/>
          </w:tcPr>
          <w:p w14:paraId="6A5DD8D5"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&gt;10 years</w:t>
            </w:r>
          </w:p>
        </w:tc>
        <w:tc>
          <w:tcPr>
            <w:tcW w:w="2394" w:type="dxa"/>
          </w:tcPr>
          <w:p w14:paraId="2D5449BB" w14:textId="77777777" w:rsidR="006C5355" w:rsidRPr="006C5355" w:rsidRDefault="006C5355" w:rsidP="0038225E">
            <w:pPr>
              <w:jc w:val="center"/>
              <w:rPr>
                <w:rFonts w:ascii="Arial" w:hAnsi="Arial" w:cs="Arial"/>
              </w:rPr>
            </w:pPr>
            <w:r w:rsidRPr="006C5355">
              <w:rPr>
                <w:rFonts w:ascii="Arial" w:hAnsi="Arial" w:cs="Arial"/>
                <w:color w:val="010205"/>
              </w:rPr>
              <w:t>3</w:t>
            </w:r>
          </w:p>
        </w:tc>
        <w:tc>
          <w:tcPr>
            <w:tcW w:w="2394" w:type="dxa"/>
          </w:tcPr>
          <w:p w14:paraId="159D696C" w14:textId="77777777" w:rsidR="006C5355" w:rsidRPr="006C5355" w:rsidRDefault="006C5355" w:rsidP="0038225E">
            <w:pPr>
              <w:jc w:val="center"/>
              <w:rPr>
                <w:rFonts w:ascii="Arial" w:hAnsi="Arial" w:cs="Arial"/>
              </w:rPr>
            </w:pPr>
            <w:r w:rsidRPr="006C5355">
              <w:rPr>
                <w:rFonts w:ascii="Arial" w:hAnsi="Arial" w:cs="Arial"/>
                <w:color w:val="010205"/>
              </w:rPr>
              <w:t>2.3</w:t>
            </w:r>
          </w:p>
        </w:tc>
      </w:tr>
      <w:tr w:rsidR="006C5355" w:rsidRPr="006C5355" w14:paraId="7EDC004C" w14:textId="77777777" w:rsidTr="00AA517C">
        <w:tc>
          <w:tcPr>
            <w:tcW w:w="2394" w:type="dxa"/>
            <w:vMerge w:val="restart"/>
          </w:tcPr>
          <w:p w14:paraId="44967F8E" w14:textId="77777777" w:rsidR="006C5355" w:rsidRPr="006C5355" w:rsidRDefault="006C5355" w:rsidP="0038225E">
            <w:pPr>
              <w:rPr>
                <w:rFonts w:ascii="Arial" w:hAnsi="Arial" w:cs="Arial"/>
              </w:rPr>
            </w:pPr>
          </w:p>
          <w:p w14:paraId="5CA8500A" w14:textId="77777777" w:rsidR="006C5355" w:rsidRPr="006C5355" w:rsidRDefault="006C5355" w:rsidP="0038225E">
            <w:pPr>
              <w:rPr>
                <w:rFonts w:ascii="Arial" w:hAnsi="Arial" w:cs="Arial"/>
              </w:rPr>
            </w:pPr>
            <w:r w:rsidRPr="006C5355">
              <w:rPr>
                <w:rFonts w:ascii="Arial" w:hAnsi="Arial" w:cs="Arial"/>
              </w:rPr>
              <w:t xml:space="preserve">Health Area </w:t>
            </w:r>
          </w:p>
        </w:tc>
        <w:tc>
          <w:tcPr>
            <w:tcW w:w="2394" w:type="dxa"/>
          </w:tcPr>
          <w:p w14:paraId="436BDC82" w14:textId="77777777" w:rsidR="006C5355" w:rsidRPr="006C5355" w:rsidRDefault="006C5355" w:rsidP="0038225E">
            <w:pPr>
              <w:rPr>
                <w:rFonts w:ascii="Arial" w:hAnsi="Arial" w:cs="Arial"/>
                <w:color w:val="000000" w:themeColor="text1"/>
              </w:rPr>
            </w:pPr>
            <w:proofErr w:type="spellStart"/>
            <w:r w:rsidRPr="006C5355">
              <w:rPr>
                <w:rFonts w:ascii="Arial" w:hAnsi="Arial" w:cs="Arial"/>
                <w:color w:val="000000" w:themeColor="text1"/>
              </w:rPr>
              <w:t>Muea</w:t>
            </w:r>
            <w:proofErr w:type="spellEnd"/>
          </w:p>
        </w:tc>
        <w:tc>
          <w:tcPr>
            <w:tcW w:w="2394" w:type="dxa"/>
          </w:tcPr>
          <w:p w14:paraId="78BE6CE1" w14:textId="77777777" w:rsidR="006C5355" w:rsidRPr="006C5355" w:rsidRDefault="006C5355" w:rsidP="0038225E">
            <w:pPr>
              <w:jc w:val="center"/>
              <w:rPr>
                <w:rFonts w:ascii="Arial" w:hAnsi="Arial" w:cs="Arial"/>
              </w:rPr>
            </w:pPr>
            <w:r w:rsidRPr="006C5355">
              <w:rPr>
                <w:rFonts w:ascii="Arial" w:hAnsi="Arial" w:cs="Arial"/>
                <w:color w:val="010205"/>
              </w:rPr>
              <w:t>36</w:t>
            </w:r>
          </w:p>
        </w:tc>
        <w:tc>
          <w:tcPr>
            <w:tcW w:w="2394" w:type="dxa"/>
          </w:tcPr>
          <w:p w14:paraId="5E0B9EE8" w14:textId="77777777" w:rsidR="006C5355" w:rsidRPr="006C5355" w:rsidRDefault="006C5355" w:rsidP="0038225E">
            <w:pPr>
              <w:jc w:val="center"/>
              <w:rPr>
                <w:rFonts w:ascii="Arial" w:hAnsi="Arial" w:cs="Arial"/>
              </w:rPr>
            </w:pPr>
            <w:r w:rsidRPr="006C5355">
              <w:rPr>
                <w:rFonts w:ascii="Arial" w:hAnsi="Arial" w:cs="Arial"/>
                <w:color w:val="010205"/>
              </w:rPr>
              <w:t>27.3</w:t>
            </w:r>
          </w:p>
        </w:tc>
      </w:tr>
      <w:tr w:rsidR="006C5355" w:rsidRPr="006C5355" w14:paraId="251185AE" w14:textId="77777777" w:rsidTr="00AA517C">
        <w:tc>
          <w:tcPr>
            <w:tcW w:w="2394" w:type="dxa"/>
            <w:vMerge/>
          </w:tcPr>
          <w:p w14:paraId="59045187" w14:textId="77777777" w:rsidR="006C5355" w:rsidRPr="006C5355" w:rsidRDefault="006C5355" w:rsidP="0038225E">
            <w:pPr>
              <w:rPr>
                <w:rFonts w:ascii="Arial" w:hAnsi="Arial" w:cs="Arial"/>
              </w:rPr>
            </w:pPr>
          </w:p>
        </w:tc>
        <w:tc>
          <w:tcPr>
            <w:tcW w:w="2394" w:type="dxa"/>
          </w:tcPr>
          <w:p w14:paraId="15B893DE"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Molyko</w:t>
            </w:r>
          </w:p>
        </w:tc>
        <w:tc>
          <w:tcPr>
            <w:tcW w:w="2394" w:type="dxa"/>
          </w:tcPr>
          <w:p w14:paraId="650D6DBC" w14:textId="77777777" w:rsidR="006C5355" w:rsidRPr="006C5355" w:rsidRDefault="006C5355" w:rsidP="0038225E">
            <w:pPr>
              <w:jc w:val="center"/>
              <w:rPr>
                <w:rFonts w:ascii="Arial" w:hAnsi="Arial" w:cs="Arial"/>
              </w:rPr>
            </w:pPr>
            <w:r w:rsidRPr="006C5355">
              <w:rPr>
                <w:rFonts w:ascii="Arial" w:hAnsi="Arial" w:cs="Arial"/>
                <w:color w:val="010205"/>
              </w:rPr>
              <w:t>26</w:t>
            </w:r>
          </w:p>
        </w:tc>
        <w:tc>
          <w:tcPr>
            <w:tcW w:w="2394" w:type="dxa"/>
          </w:tcPr>
          <w:p w14:paraId="4F37A714" w14:textId="77777777" w:rsidR="006C5355" w:rsidRPr="006C5355" w:rsidRDefault="006C5355" w:rsidP="0038225E">
            <w:pPr>
              <w:jc w:val="center"/>
              <w:rPr>
                <w:rFonts w:ascii="Arial" w:hAnsi="Arial" w:cs="Arial"/>
              </w:rPr>
            </w:pPr>
            <w:r w:rsidRPr="006C5355">
              <w:rPr>
                <w:rFonts w:ascii="Arial" w:hAnsi="Arial" w:cs="Arial"/>
                <w:color w:val="010205"/>
              </w:rPr>
              <w:t>19.7</w:t>
            </w:r>
          </w:p>
        </w:tc>
      </w:tr>
      <w:tr w:rsidR="006C5355" w:rsidRPr="006C5355" w14:paraId="2154AA0B" w14:textId="77777777" w:rsidTr="00AA517C">
        <w:tc>
          <w:tcPr>
            <w:tcW w:w="2394" w:type="dxa"/>
            <w:vMerge/>
          </w:tcPr>
          <w:p w14:paraId="2C422EC4" w14:textId="77777777" w:rsidR="006C5355" w:rsidRPr="006C5355" w:rsidRDefault="006C5355" w:rsidP="0038225E">
            <w:pPr>
              <w:rPr>
                <w:rFonts w:ascii="Arial" w:hAnsi="Arial" w:cs="Arial"/>
              </w:rPr>
            </w:pPr>
          </w:p>
        </w:tc>
        <w:tc>
          <w:tcPr>
            <w:tcW w:w="2394" w:type="dxa"/>
          </w:tcPr>
          <w:p w14:paraId="0208E4C8"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Buea Road</w:t>
            </w:r>
          </w:p>
        </w:tc>
        <w:tc>
          <w:tcPr>
            <w:tcW w:w="2394" w:type="dxa"/>
          </w:tcPr>
          <w:p w14:paraId="2A3D7C63" w14:textId="77777777" w:rsidR="006C5355" w:rsidRPr="006C5355" w:rsidRDefault="006C5355" w:rsidP="0038225E">
            <w:pPr>
              <w:jc w:val="center"/>
              <w:rPr>
                <w:rFonts w:ascii="Arial" w:hAnsi="Arial" w:cs="Arial"/>
              </w:rPr>
            </w:pPr>
            <w:r w:rsidRPr="006C5355">
              <w:rPr>
                <w:rFonts w:ascii="Arial" w:hAnsi="Arial" w:cs="Arial"/>
                <w:color w:val="010205"/>
              </w:rPr>
              <w:t>40</w:t>
            </w:r>
          </w:p>
        </w:tc>
        <w:tc>
          <w:tcPr>
            <w:tcW w:w="2394" w:type="dxa"/>
          </w:tcPr>
          <w:p w14:paraId="13D9B07F" w14:textId="77777777" w:rsidR="006C5355" w:rsidRPr="006C5355" w:rsidRDefault="006C5355" w:rsidP="0038225E">
            <w:pPr>
              <w:jc w:val="center"/>
              <w:rPr>
                <w:rFonts w:ascii="Arial" w:hAnsi="Arial" w:cs="Arial"/>
              </w:rPr>
            </w:pPr>
            <w:r w:rsidRPr="006C5355">
              <w:rPr>
                <w:rFonts w:ascii="Arial" w:hAnsi="Arial" w:cs="Arial"/>
                <w:color w:val="010205"/>
              </w:rPr>
              <w:t>30.3</w:t>
            </w:r>
          </w:p>
        </w:tc>
      </w:tr>
      <w:tr w:rsidR="006C5355" w:rsidRPr="006C5355" w14:paraId="7818A450" w14:textId="77777777" w:rsidTr="00AA517C">
        <w:tc>
          <w:tcPr>
            <w:tcW w:w="2394" w:type="dxa"/>
            <w:vMerge/>
          </w:tcPr>
          <w:p w14:paraId="480C1A6C" w14:textId="77777777" w:rsidR="006C5355" w:rsidRPr="006C5355" w:rsidRDefault="006C5355" w:rsidP="0038225E">
            <w:pPr>
              <w:rPr>
                <w:rFonts w:ascii="Arial" w:hAnsi="Arial" w:cs="Arial"/>
              </w:rPr>
            </w:pPr>
          </w:p>
        </w:tc>
        <w:tc>
          <w:tcPr>
            <w:tcW w:w="2394" w:type="dxa"/>
          </w:tcPr>
          <w:p w14:paraId="135E8471"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Buea Town</w:t>
            </w:r>
          </w:p>
        </w:tc>
        <w:tc>
          <w:tcPr>
            <w:tcW w:w="2394" w:type="dxa"/>
          </w:tcPr>
          <w:p w14:paraId="2C0BA969" w14:textId="77777777" w:rsidR="006C5355" w:rsidRPr="006C5355" w:rsidRDefault="006C5355" w:rsidP="0038225E">
            <w:pPr>
              <w:jc w:val="center"/>
              <w:rPr>
                <w:rFonts w:ascii="Arial" w:hAnsi="Arial" w:cs="Arial"/>
              </w:rPr>
            </w:pPr>
            <w:r w:rsidRPr="006C5355">
              <w:rPr>
                <w:rFonts w:ascii="Arial" w:hAnsi="Arial" w:cs="Arial"/>
                <w:color w:val="010205"/>
              </w:rPr>
              <w:t>14</w:t>
            </w:r>
          </w:p>
        </w:tc>
        <w:tc>
          <w:tcPr>
            <w:tcW w:w="2394" w:type="dxa"/>
          </w:tcPr>
          <w:p w14:paraId="566EEA20" w14:textId="77777777" w:rsidR="006C5355" w:rsidRPr="006C5355" w:rsidRDefault="006C5355" w:rsidP="0038225E">
            <w:pPr>
              <w:jc w:val="center"/>
              <w:rPr>
                <w:rFonts w:ascii="Arial" w:hAnsi="Arial" w:cs="Arial"/>
              </w:rPr>
            </w:pPr>
            <w:r w:rsidRPr="006C5355">
              <w:rPr>
                <w:rFonts w:ascii="Arial" w:hAnsi="Arial" w:cs="Arial"/>
                <w:color w:val="010205"/>
              </w:rPr>
              <w:t>10.6</w:t>
            </w:r>
          </w:p>
        </w:tc>
      </w:tr>
      <w:tr w:rsidR="006C5355" w:rsidRPr="006C5355" w14:paraId="50457F1A" w14:textId="77777777" w:rsidTr="00AA517C">
        <w:tc>
          <w:tcPr>
            <w:tcW w:w="2394" w:type="dxa"/>
            <w:vMerge/>
          </w:tcPr>
          <w:p w14:paraId="64649755" w14:textId="77777777" w:rsidR="006C5355" w:rsidRPr="006C5355" w:rsidRDefault="006C5355" w:rsidP="0038225E">
            <w:pPr>
              <w:rPr>
                <w:rFonts w:ascii="Arial" w:hAnsi="Arial" w:cs="Arial"/>
              </w:rPr>
            </w:pPr>
          </w:p>
        </w:tc>
        <w:tc>
          <w:tcPr>
            <w:tcW w:w="2394" w:type="dxa"/>
          </w:tcPr>
          <w:p w14:paraId="020E84E7" w14:textId="77777777" w:rsidR="006C5355" w:rsidRPr="006C5355" w:rsidRDefault="006C5355" w:rsidP="0038225E">
            <w:pPr>
              <w:rPr>
                <w:rFonts w:ascii="Arial" w:hAnsi="Arial" w:cs="Arial"/>
                <w:color w:val="000000" w:themeColor="text1"/>
              </w:rPr>
            </w:pPr>
            <w:proofErr w:type="spellStart"/>
            <w:r w:rsidRPr="006C5355">
              <w:rPr>
                <w:rFonts w:ascii="Arial" w:hAnsi="Arial" w:cs="Arial"/>
                <w:color w:val="000000" w:themeColor="text1"/>
              </w:rPr>
              <w:t>Bokwango</w:t>
            </w:r>
            <w:proofErr w:type="spellEnd"/>
          </w:p>
        </w:tc>
        <w:tc>
          <w:tcPr>
            <w:tcW w:w="2394" w:type="dxa"/>
          </w:tcPr>
          <w:p w14:paraId="020D506A" w14:textId="77777777" w:rsidR="006C5355" w:rsidRPr="006C5355" w:rsidRDefault="006C5355" w:rsidP="0038225E">
            <w:pPr>
              <w:jc w:val="center"/>
              <w:rPr>
                <w:rFonts w:ascii="Arial" w:hAnsi="Arial" w:cs="Arial"/>
              </w:rPr>
            </w:pPr>
            <w:r w:rsidRPr="006C5355">
              <w:rPr>
                <w:rFonts w:ascii="Arial" w:hAnsi="Arial" w:cs="Arial"/>
                <w:color w:val="010205"/>
              </w:rPr>
              <w:t>13</w:t>
            </w:r>
          </w:p>
        </w:tc>
        <w:tc>
          <w:tcPr>
            <w:tcW w:w="2394" w:type="dxa"/>
          </w:tcPr>
          <w:p w14:paraId="53D2925B" w14:textId="77777777" w:rsidR="006C5355" w:rsidRPr="006C5355" w:rsidRDefault="006C5355" w:rsidP="0038225E">
            <w:pPr>
              <w:jc w:val="center"/>
              <w:rPr>
                <w:rFonts w:ascii="Arial" w:hAnsi="Arial" w:cs="Arial"/>
              </w:rPr>
            </w:pPr>
            <w:r w:rsidRPr="006C5355">
              <w:rPr>
                <w:rFonts w:ascii="Arial" w:hAnsi="Arial" w:cs="Arial"/>
                <w:color w:val="010205"/>
              </w:rPr>
              <w:t>9.8</w:t>
            </w:r>
          </w:p>
        </w:tc>
      </w:tr>
      <w:tr w:rsidR="006C5355" w:rsidRPr="006C5355" w14:paraId="03CF1092" w14:textId="77777777" w:rsidTr="00AA517C">
        <w:trPr>
          <w:trHeight w:val="58"/>
        </w:trPr>
        <w:tc>
          <w:tcPr>
            <w:tcW w:w="2394" w:type="dxa"/>
            <w:vMerge/>
          </w:tcPr>
          <w:p w14:paraId="1529D6AC" w14:textId="77777777" w:rsidR="006C5355" w:rsidRPr="006C5355" w:rsidRDefault="006C5355" w:rsidP="0038225E">
            <w:pPr>
              <w:rPr>
                <w:rFonts w:ascii="Arial" w:hAnsi="Arial" w:cs="Arial"/>
              </w:rPr>
            </w:pPr>
          </w:p>
        </w:tc>
        <w:tc>
          <w:tcPr>
            <w:tcW w:w="2394" w:type="dxa"/>
          </w:tcPr>
          <w:p w14:paraId="011D503E"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Tole</w:t>
            </w:r>
          </w:p>
        </w:tc>
        <w:tc>
          <w:tcPr>
            <w:tcW w:w="2394" w:type="dxa"/>
          </w:tcPr>
          <w:p w14:paraId="5C9C0023" w14:textId="77777777" w:rsidR="006C5355" w:rsidRPr="006C5355" w:rsidRDefault="006C5355" w:rsidP="0038225E">
            <w:pPr>
              <w:jc w:val="center"/>
              <w:rPr>
                <w:rFonts w:ascii="Arial" w:hAnsi="Arial" w:cs="Arial"/>
              </w:rPr>
            </w:pPr>
            <w:r w:rsidRPr="006C5355">
              <w:rPr>
                <w:rFonts w:ascii="Arial" w:hAnsi="Arial" w:cs="Arial"/>
              </w:rPr>
              <w:t>1</w:t>
            </w:r>
          </w:p>
        </w:tc>
        <w:tc>
          <w:tcPr>
            <w:tcW w:w="2394" w:type="dxa"/>
          </w:tcPr>
          <w:p w14:paraId="67BE1F99" w14:textId="77777777" w:rsidR="006C5355" w:rsidRPr="006C5355" w:rsidRDefault="006C5355" w:rsidP="0038225E">
            <w:pPr>
              <w:jc w:val="center"/>
              <w:rPr>
                <w:rFonts w:ascii="Arial" w:hAnsi="Arial" w:cs="Arial"/>
              </w:rPr>
            </w:pPr>
            <w:r w:rsidRPr="006C5355">
              <w:rPr>
                <w:rFonts w:ascii="Arial" w:hAnsi="Arial" w:cs="Arial"/>
              </w:rPr>
              <w:t>0.8</w:t>
            </w:r>
          </w:p>
        </w:tc>
      </w:tr>
      <w:tr w:rsidR="006C5355" w:rsidRPr="006C5355" w14:paraId="21D95952" w14:textId="77777777" w:rsidTr="00AA517C">
        <w:tc>
          <w:tcPr>
            <w:tcW w:w="2394" w:type="dxa"/>
            <w:vMerge/>
          </w:tcPr>
          <w:p w14:paraId="39BB584D" w14:textId="77777777" w:rsidR="006C5355" w:rsidRPr="006C5355" w:rsidRDefault="006C5355" w:rsidP="0038225E">
            <w:pPr>
              <w:rPr>
                <w:rFonts w:ascii="Arial" w:hAnsi="Arial" w:cs="Arial"/>
              </w:rPr>
            </w:pPr>
          </w:p>
        </w:tc>
        <w:tc>
          <w:tcPr>
            <w:tcW w:w="2394" w:type="dxa"/>
          </w:tcPr>
          <w:p w14:paraId="633762B4" w14:textId="77777777" w:rsidR="006C5355" w:rsidRPr="006C5355" w:rsidRDefault="006C5355" w:rsidP="0038225E">
            <w:pPr>
              <w:rPr>
                <w:rFonts w:ascii="Arial" w:hAnsi="Arial" w:cs="Arial"/>
                <w:color w:val="000000" w:themeColor="text1"/>
              </w:rPr>
            </w:pPr>
            <w:r w:rsidRPr="006C5355">
              <w:rPr>
                <w:rFonts w:ascii="Arial" w:hAnsi="Arial" w:cs="Arial"/>
                <w:color w:val="000000" w:themeColor="text1"/>
              </w:rPr>
              <w:t>Bova</w:t>
            </w:r>
          </w:p>
        </w:tc>
        <w:tc>
          <w:tcPr>
            <w:tcW w:w="2394" w:type="dxa"/>
          </w:tcPr>
          <w:p w14:paraId="5ED28056" w14:textId="77777777" w:rsidR="006C5355" w:rsidRPr="006C5355" w:rsidRDefault="006C5355" w:rsidP="0038225E">
            <w:pPr>
              <w:jc w:val="center"/>
              <w:rPr>
                <w:rFonts w:ascii="Arial" w:hAnsi="Arial" w:cs="Arial"/>
              </w:rPr>
            </w:pPr>
            <w:r w:rsidRPr="006C5355">
              <w:rPr>
                <w:rFonts w:ascii="Arial" w:hAnsi="Arial" w:cs="Arial"/>
              </w:rPr>
              <w:t>2</w:t>
            </w:r>
          </w:p>
        </w:tc>
        <w:tc>
          <w:tcPr>
            <w:tcW w:w="2394" w:type="dxa"/>
          </w:tcPr>
          <w:p w14:paraId="4C924120" w14:textId="77777777" w:rsidR="006C5355" w:rsidRPr="006C5355" w:rsidRDefault="006C5355" w:rsidP="0038225E">
            <w:pPr>
              <w:jc w:val="center"/>
              <w:rPr>
                <w:rFonts w:ascii="Arial" w:hAnsi="Arial" w:cs="Arial"/>
              </w:rPr>
            </w:pPr>
            <w:r w:rsidRPr="006C5355">
              <w:rPr>
                <w:rFonts w:ascii="Arial" w:hAnsi="Arial" w:cs="Arial"/>
              </w:rPr>
              <w:t>1.5</w:t>
            </w:r>
          </w:p>
        </w:tc>
      </w:tr>
    </w:tbl>
    <w:p w14:paraId="2A445976" w14:textId="77777777" w:rsidR="006C5355" w:rsidRPr="006C5355" w:rsidRDefault="006C5355" w:rsidP="006C5355">
      <w:pPr>
        <w:rPr>
          <w:rFonts w:ascii="Arial" w:hAnsi="Arial" w:cs="Arial"/>
        </w:rPr>
      </w:pPr>
    </w:p>
    <w:p w14:paraId="1B28BFF6" w14:textId="77777777" w:rsidR="006C5355" w:rsidRPr="006C5355" w:rsidRDefault="006C5355" w:rsidP="006C5355">
      <w:pPr>
        <w:spacing w:line="480" w:lineRule="auto"/>
        <w:jc w:val="both"/>
        <w:rPr>
          <w:rFonts w:ascii="Arial" w:hAnsi="Arial" w:cs="Arial"/>
        </w:rPr>
      </w:pPr>
      <w:r w:rsidRPr="006C5355">
        <w:rPr>
          <w:rFonts w:ascii="Arial" w:hAnsi="Arial" w:cs="Arial"/>
        </w:rPr>
        <w:t>Fifty-four (40.9%) drug sellers in the Buea Health District reported that ceftriaxone was their most sold antibiotic, making it the highest-selling antibiotic. The second most sold antibiotic was doxycycline, reported by 40 (30.3%) drug sellers, while the third most sold antibiotic was azithromycin, reported by 41 (31.1%) drug sellers as shown on table 5.</w:t>
      </w:r>
    </w:p>
    <w:p w14:paraId="05590DC6" w14:textId="77777777" w:rsidR="006C5355" w:rsidRPr="006C5355" w:rsidRDefault="006C5355" w:rsidP="006C5355">
      <w:pPr>
        <w:spacing w:line="480" w:lineRule="auto"/>
        <w:jc w:val="both"/>
        <w:rPr>
          <w:rFonts w:ascii="Arial" w:hAnsi="Arial" w:cs="Arial"/>
        </w:rPr>
      </w:pPr>
    </w:p>
    <w:p w14:paraId="44720A65" w14:textId="783F333B" w:rsidR="006C5355" w:rsidRDefault="006C5355" w:rsidP="006C5355">
      <w:pPr>
        <w:spacing w:line="480" w:lineRule="auto"/>
        <w:jc w:val="both"/>
        <w:rPr>
          <w:rFonts w:ascii="Arial" w:hAnsi="Arial" w:cs="Arial"/>
        </w:rPr>
      </w:pPr>
    </w:p>
    <w:p w14:paraId="2B9D5293" w14:textId="7AAAEBF3" w:rsidR="006C5355" w:rsidRDefault="006C5355" w:rsidP="006C5355">
      <w:pPr>
        <w:spacing w:line="480" w:lineRule="auto"/>
        <w:jc w:val="both"/>
        <w:rPr>
          <w:rFonts w:ascii="Arial" w:hAnsi="Arial" w:cs="Arial"/>
        </w:rPr>
      </w:pPr>
    </w:p>
    <w:p w14:paraId="0A2AB447" w14:textId="5DB44A9F" w:rsidR="006C5355" w:rsidRDefault="006C5355" w:rsidP="006C5355">
      <w:pPr>
        <w:spacing w:line="480" w:lineRule="auto"/>
        <w:jc w:val="both"/>
        <w:rPr>
          <w:rFonts w:ascii="Arial" w:hAnsi="Arial" w:cs="Arial"/>
        </w:rPr>
      </w:pPr>
    </w:p>
    <w:p w14:paraId="689F9E36" w14:textId="79479A16" w:rsidR="006C5355" w:rsidRDefault="006C5355" w:rsidP="006C5355">
      <w:pPr>
        <w:spacing w:line="480" w:lineRule="auto"/>
        <w:jc w:val="both"/>
        <w:rPr>
          <w:rFonts w:ascii="Arial" w:hAnsi="Arial" w:cs="Arial"/>
        </w:rPr>
      </w:pPr>
    </w:p>
    <w:p w14:paraId="4AEF4636" w14:textId="06AB0FF5" w:rsidR="006C5355" w:rsidRDefault="006C5355" w:rsidP="006C5355">
      <w:pPr>
        <w:spacing w:line="480" w:lineRule="auto"/>
        <w:jc w:val="both"/>
        <w:rPr>
          <w:rFonts w:ascii="Arial" w:hAnsi="Arial" w:cs="Arial"/>
        </w:rPr>
      </w:pPr>
    </w:p>
    <w:p w14:paraId="6B8FD5AF" w14:textId="3F12D685" w:rsidR="006C5355" w:rsidRDefault="006C5355" w:rsidP="006C5355">
      <w:pPr>
        <w:spacing w:line="480" w:lineRule="auto"/>
        <w:jc w:val="both"/>
        <w:rPr>
          <w:rFonts w:ascii="Arial" w:hAnsi="Arial" w:cs="Arial"/>
        </w:rPr>
      </w:pPr>
    </w:p>
    <w:p w14:paraId="50BC8E52" w14:textId="77777777" w:rsidR="006C5355" w:rsidRPr="006C5355" w:rsidRDefault="006C5355" w:rsidP="006C5355">
      <w:pPr>
        <w:spacing w:line="480" w:lineRule="auto"/>
        <w:jc w:val="both"/>
        <w:rPr>
          <w:rFonts w:ascii="Arial" w:hAnsi="Arial" w:cs="Arial"/>
        </w:rPr>
      </w:pPr>
    </w:p>
    <w:p w14:paraId="660597A3" w14:textId="77777777" w:rsidR="006C5355" w:rsidRPr="006C5355" w:rsidRDefault="006C5355" w:rsidP="006C5355">
      <w:pPr>
        <w:pStyle w:val="Caption"/>
        <w:keepNext/>
        <w:rPr>
          <w:rFonts w:ascii="Arial" w:hAnsi="Arial" w:cs="Arial"/>
          <w:i w:val="0"/>
          <w:iCs w:val="0"/>
          <w:color w:val="auto"/>
          <w:sz w:val="20"/>
          <w:szCs w:val="20"/>
        </w:rPr>
      </w:pPr>
      <w:bookmarkStart w:id="13" w:name="_Toc201805422"/>
      <w:r w:rsidRPr="006C5355">
        <w:rPr>
          <w:rFonts w:ascii="Arial" w:hAnsi="Arial" w:cs="Arial"/>
          <w:i w:val="0"/>
          <w:color w:val="auto"/>
          <w:sz w:val="20"/>
          <w:szCs w:val="20"/>
        </w:rPr>
        <w:t>Table 5:</w:t>
      </w:r>
      <w:bookmarkEnd w:id="13"/>
      <w:r w:rsidRPr="006C5355">
        <w:rPr>
          <w:rFonts w:ascii="Arial" w:hAnsi="Arial" w:cs="Arial"/>
          <w:i w:val="0"/>
          <w:iCs w:val="0"/>
          <w:sz w:val="20"/>
          <w:szCs w:val="20"/>
        </w:rPr>
        <w:t xml:space="preserve"> </w:t>
      </w:r>
      <w:r w:rsidRPr="006C5355">
        <w:rPr>
          <w:rFonts w:ascii="Arial" w:hAnsi="Arial" w:cs="Arial"/>
          <w:i w:val="0"/>
          <w:iCs w:val="0"/>
          <w:color w:val="auto"/>
          <w:sz w:val="20"/>
          <w:szCs w:val="20"/>
        </w:rPr>
        <w:t>The three most sold Antibiotics according to drug sellers in the Buea health District, 2025</w:t>
      </w:r>
    </w:p>
    <w:p w14:paraId="7F9724F9" w14:textId="77777777" w:rsidR="006C5355" w:rsidRPr="006C5355" w:rsidRDefault="006C5355" w:rsidP="006C5355">
      <w:pPr>
        <w:pStyle w:val="Caption"/>
        <w:keepNext/>
        <w:spacing w:after="0"/>
        <w:jc w:val="both"/>
        <w:rPr>
          <w:rFonts w:ascii="Arial" w:hAnsi="Arial" w:cs="Arial"/>
          <w:i w:val="0"/>
          <w:color w:val="auto"/>
          <w:sz w:val="20"/>
          <w:szCs w:val="20"/>
        </w:rPr>
      </w:pPr>
    </w:p>
    <w:tbl>
      <w:tblPr>
        <w:tblStyle w:val="TableWeb3"/>
        <w:tblW w:w="0" w:type="auto"/>
        <w:tblLook w:val="04A0" w:firstRow="1" w:lastRow="0" w:firstColumn="1" w:lastColumn="0" w:noHBand="0" w:noVBand="1"/>
      </w:tblPr>
      <w:tblGrid>
        <w:gridCol w:w="1719"/>
        <w:gridCol w:w="585"/>
        <w:gridCol w:w="2653"/>
        <w:gridCol w:w="1486"/>
        <w:gridCol w:w="1705"/>
      </w:tblGrid>
      <w:tr w:rsidR="006C5355" w:rsidRPr="006C5355" w14:paraId="37AD4585" w14:textId="77777777" w:rsidTr="00AA517C">
        <w:trPr>
          <w:cnfStyle w:val="100000000000" w:firstRow="1" w:lastRow="0" w:firstColumn="0" w:lastColumn="0" w:oddVBand="0" w:evenVBand="0" w:oddHBand="0" w:evenHBand="0" w:firstRowFirstColumn="0" w:firstRowLastColumn="0" w:lastRowFirstColumn="0" w:lastRowLastColumn="0"/>
        </w:trPr>
        <w:tc>
          <w:tcPr>
            <w:tcW w:w="2689" w:type="dxa"/>
            <w:gridSpan w:val="2"/>
          </w:tcPr>
          <w:p w14:paraId="64725FB6" w14:textId="77777777" w:rsidR="006C5355" w:rsidRPr="006C5355" w:rsidRDefault="006C5355" w:rsidP="0038225E">
            <w:pPr>
              <w:autoSpaceDE w:val="0"/>
              <w:autoSpaceDN w:val="0"/>
              <w:adjustRightInd w:val="0"/>
              <w:rPr>
                <w:rFonts w:ascii="Arial" w:hAnsi="Arial" w:cs="Arial"/>
                <w:color w:val="000000" w:themeColor="text1"/>
              </w:rPr>
            </w:pPr>
          </w:p>
        </w:tc>
        <w:tc>
          <w:tcPr>
            <w:tcW w:w="3164" w:type="dxa"/>
          </w:tcPr>
          <w:p w14:paraId="12CEC1AE"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Antibiotic</w:t>
            </w:r>
          </w:p>
        </w:tc>
        <w:tc>
          <w:tcPr>
            <w:tcW w:w="1688" w:type="dxa"/>
          </w:tcPr>
          <w:p w14:paraId="20E8EDA8"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Number of drug sellers (n)</w:t>
            </w:r>
          </w:p>
        </w:tc>
        <w:tc>
          <w:tcPr>
            <w:tcW w:w="1809" w:type="dxa"/>
          </w:tcPr>
          <w:p w14:paraId="22F1F769"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Percentage of drug sellers (%)</w:t>
            </w:r>
          </w:p>
        </w:tc>
      </w:tr>
      <w:tr w:rsidR="006C5355" w:rsidRPr="006C5355" w14:paraId="2F5B22FC" w14:textId="77777777" w:rsidTr="00AA517C">
        <w:trPr>
          <w:trHeight w:val="363"/>
        </w:trPr>
        <w:tc>
          <w:tcPr>
            <w:tcW w:w="2122" w:type="dxa"/>
            <w:vMerge w:val="restart"/>
          </w:tcPr>
          <w:p w14:paraId="0D50D902"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 xml:space="preserve">1st most sold </w:t>
            </w:r>
          </w:p>
        </w:tc>
        <w:tc>
          <w:tcPr>
            <w:tcW w:w="567" w:type="dxa"/>
          </w:tcPr>
          <w:p w14:paraId="71A1E576"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1</w:t>
            </w:r>
            <w:r w:rsidRPr="006C5355">
              <w:rPr>
                <w:rFonts w:ascii="Arial" w:hAnsi="Arial" w:cs="Arial"/>
                <w:color w:val="000000" w:themeColor="text1"/>
                <w:vertAlign w:val="superscript"/>
              </w:rPr>
              <w:t>st</w:t>
            </w:r>
          </w:p>
        </w:tc>
        <w:tc>
          <w:tcPr>
            <w:tcW w:w="3164" w:type="dxa"/>
          </w:tcPr>
          <w:p w14:paraId="6AECC17F"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Ceftriaxone</w:t>
            </w:r>
          </w:p>
        </w:tc>
        <w:tc>
          <w:tcPr>
            <w:tcW w:w="1688" w:type="dxa"/>
          </w:tcPr>
          <w:p w14:paraId="17C8190E"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54</w:t>
            </w:r>
          </w:p>
        </w:tc>
        <w:tc>
          <w:tcPr>
            <w:tcW w:w="1809" w:type="dxa"/>
          </w:tcPr>
          <w:p w14:paraId="7275E18F"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40.9</w:t>
            </w:r>
          </w:p>
        </w:tc>
      </w:tr>
      <w:tr w:rsidR="006C5355" w:rsidRPr="006C5355" w14:paraId="0703A409" w14:textId="77777777" w:rsidTr="00AA517C">
        <w:tc>
          <w:tcPr>
            <w:tcW w:w="2122" w:type="dxa"/>
            <w:vMerge/>
          </w:tcPr>
          <w:p w14:paraId="5659F716"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5468E327"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2</w:t>
            </w:r>
            <w:r w:rsidRPr="006C5355">
              <w:rPr>
                <w:rFonts w:ascii="Arial" w:hAnsi="Arial" w:cs="Arial"/>
                <w:color w:val="000000" w:themeColor="text1"/>
                <w:vertAlign w:val="superscript"/>
              </w:rPr>
              <w:t>nd</w:t>
            </w:r>
            <w:r w:rsidRPr="006C5355">
              <w:rPr>
                <w:rFonts w:ascii="Arial" w:hAnsi="Arial" w:cs="Arial"/>
                <w:color w:val="000000" w:themeColor="text1"/>
              </w:rPr>
              <w:t xml:space="preserve"> </w:t>
            </w:r>
          </w:p>
        </w:tc>
        <w:tc>
          <w:tcPr>
            <w:tcW w:w="3164" w:type="dxa"/>
          </w:tcPr>
          <w:p w14:paraId="56DF390A"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Ciprofloxacin</w:t>
            </w:r>
          </w:p>
        </w:tc>
        <w:tc>
          <w:tcPr>
            <w:tcW w:w="1688" w:type="dxa"/>
          </w:tcPr>
          <w:p w14:paraId="4C9C27B9"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35</w:t>
            </w:r>
          </w:p>
        </w:tc>
        <w:tc>
          <w:tcPr>
            <w:tcW w:w="1809" w:type="dxa"/>
          </w:tcPr>
          <w:p w14:paraId="1DACBE0C"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26.5</w:t>
            </w:r>
          </w:p>
        </w:tc>
      </w:tr>
      <w:tr w:rsidR="006C5355" w:rsidRPr="006C5355" w14:paraId="09C17865" w14:textId="77777777" w:rsidTr="00AA517C">
        <w:tc>
          <w:tcPr>
            <w:tcW w:w="2122" w:type="dxa"/>
            <w:vMerge/>
          </w:tcPr>
          <w:p w14:paraId="31B8A04C"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12EA51D6"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3</w:t>
            </w:r>
            <w:r w:rsidRPr="006C5355">
              <w:rPr>
                <w:rFonts w:ascii="Arial" w:hAnsi="Arial" w:cs="Arial"/>
                <w:color w:val="000000" w:themeColor="text1"/>
                <w:vertAlign w:val="superscript"/>
              </w:rPr>
              <w:t>rd</w:t>
            </w:r>
            <w:r w:rsidRPr="006C5355">
              <w:rPr>
                <w:rFonts w:ascii="Arial" w:hAnsi="Arial" w:cs="Arial"/>
                <w:color w:val="000000" w:themeColor="text1"/>
              </w:rPr>
              <w:t xml:space="preserve"> </w:t>
            </w:r>
          </w:p>
        </w:tc>
        <w:tc>
          <w:tcPr>
            <w:tcW w:w="3164" w:type="dxa"/>
          </w:tcPr>
          <w:p w14:paraId="42524A7F"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Azithromycin</w:t>
            </w:r>
          </w:p>
        </w:tc>
        <w:tc>
          <w:tcPr>
            <w:tcW w:w="1688" w:type="dxa"/>
          </w:tcPr>
          <w:p w14:paraId="6A00B61D"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24</w:t>
            </w:r>
          </w:p>
        </w:tc>
        <w:tc>
          <w:tcPr>
            <w:tcW w:w="1809" w:type="dxa"/>
          </w:tcPr>
          <w:p w14:paraId="3857576B"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18.2</w:t>
            </w:r>
          </w:p>
        </w:tc>
      </w:tr>
      <w:tr w:rsidR="006C5355" w:rsidRPr="006C5355" w14:paraId="0AA8E40E" w14:textId="77777777" w:rsidTr="00AA517C">
        <w:tc>
          <w:tcPr>
            <w:tcW w:w="2122" w:type="dxa"/>
            <w:vMerge/>
          </w:tcPr>
          <w:p w14:paraId="5E3469F8"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1BD2408A"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4</w:t>
            </w:r>
            <w:r w:rsidRPr="006C5355">
              <w:rPr>
                <w:rFonts w:ascii="Arial" w:hAnsi="Arial" w:cs="Arial"/>
                <w:color w:val="000000" w:themeColor="text1"/>
                <w:vertAlign w:val="superscript"/>
              </w:rPr>
              <w:t>th</w:t>
            </w:r>
            <w:r w:rsidRPr="006C5355">
              <w:rPr>
                <w:rFonts w:ascii="Arial" w:hAnsi="Arial" w:cs="Arial"/>
                <w:color w:val="000000" w:themeColor="text1"/>
              </w:rPr>
              <w:t xml:space="preserve"> </w:t>
            </w:r>
          </w:p>
        </w:tc>
        <w:tc>
          <w:tcPr>
            <w:tcW w:w="3164" w:type="dxa"/>
          </w:tcPr>
          <w:p w14:paraId="6C02A1C2"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Others</w:t>
            </w:r>
          </w:p>
        </w:tc>
        <w:tc>
          <w:tcPr>
            <w:tcW w:w="1688" w:type="dxa"/>
          </w:tcPr>
          <w:p w14:paraId="3C046F16"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19</w:t>
            </w:r>
          </w:p>
        </w:tc>
        <w:tc>
          <w:tcPr>
            <w:tcW w:w="1809" w:type="dxa"/>
          </w:tcPr>
          <w:p w14:paraId="11267025"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14.4</w:t>
            </w:r>
          </w:p>
        </w:tc>
      </w:tr>
      <w:tr w:rsidR="006C5355" w:rsidRPr="006C5355" w14:paraId="4F4EA83D" w14:textId="77777777" w:rsidTr="00AA517C">
        <w:tc>
          <w:tcPr>
            <w:tcW w:w="9350" w:type="dxa"/>
            <w:gridSpan w:val="5"/>
          </w:tcPr>
          <w:p w14:paraId="0C41B1CC" w14:textId="77777777" w:rsidR="006C5355" w:rsidRPr="006C5355" w:rsidRDefault="006C5355" w:rsidP="0038225E">
            <w:pPr>
              <w:autoSpaceDE w:val="0"/>
              <w:autoSpaceDN w:val="0"/>
              <w:adjustRightInd w:val="0"/>
              <w:rPr>
                <w:rFonts w:ascii="Arial" w:hAnsi="Arial" w:cs="Arial"/>
                <w:color w:val="000000" w:themeColor="text1"/>
              </w:rPr>
            </w:pPr>
          </w:p>
        </w:tc>
      </w:tr>
      <w:tr w:rsidR="006C5355" w:rsidRPr="006C5355" w14:paraId="63F42588" w14:textId="77777777" w:rsidTr="00AA517C">
        <w:tc>
          <w:tcPr>
            <w:tcW w:w="2122" w:type="dxa"/>
            <w:vMerge w:val="restart"/>
          </w:tcPr>
          <w:p w14:paraId="179910CB"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2</w:t>
            </w:r>
            <w:r w:rsidRPr="006C5355">
              <w:rPr>
                <w:rFonts w:ascii="Arial" w:hAnsi="Arial" w:cs="Arial"/>
                <w:color w:val="000000" w:themeColor="text1"/>
                <w:vertAlign w:val="superscript"/>
              </w:rPr>
              <w:t>nd</w:t>
            </w:r>
            <w:r w:rsidRPr="006C5355">
              <w:rPr>
                <w:rFonts w:ascii="Arial" w:hAnsi="Arial" w:cs="Arial"/>
                <w:color w:val="000000" w:themeColor="text1"/>
              </w:rPr>
              <w:t xml:space="preserve"> most sold </w:t>
            </w:r>
          </w:p>
        </w:tc>
        <w:tc>
          <w:tcPr>
            <w:tcW w:w="567" w:type="dxa"/>
          </w:tcPr>
          <w:p w14:paraId="6625ED0C"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1</w:t>
            </w:r>
            <w:r w:rsidRPr="006C5355">
              <w:rPr>
                <w:rFonts w:ascii="Arial" w:hAnsi="Arial" w:cs="Arial"/>
                <w:color w:val="000000" w:themeColor="text1"/>
                <w:vertAlign w:val="superscript"/>
              </w:rPr>
              <w:t>st</w:t>
            </w:r>
          </w:p>
        </w:tc>
        <w:tc>
          <w:tcPr>
            <w:tcW w:w="3164" w:type="dxa"/>
          </w:tcPr>
          <w:p w14:paraId="5803D321"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Doxycycline</w:t>
            </w:r>
          </w:p>
        </w:tc>
        <w:tc>
          <w:tcPr>
            <w:tcW w:w="1688" w:type="dxa"/>
          </w:tcPr>
          <w:p w14:paraId="25C776CD"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40</w:t>
            </w:r>
          </w:p>
        </w:tc>
        <w:tc>
          <w:tcPr>
            <w:tcW w:w="1809" w:type="dxa"/>
          </w:tcPr>
          <w:p w14:paraId="702559D5"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30.3</w:t>
            </w:r>
          </w:p>
        </w:tc>
      </w:tr>
      <w:tr w:rsidR="006C5355" w:rsidRPr="006C5355" w14:paraId="2D18F4DA" w14:textId="77777777" w:rsidTr="00AA517C">
        <w:tc>
          <w:tcPr>
            <w:tcW w:w="2122" w:type="dxa"/>
            <w:vMerge/>
          </w:tcPr>
          <w:p w14:paraId="2850B4A4"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3B2EB013"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2</w:t>
            </w:r>
            <w:r w:rsidRPr="006C5355">
              <w:rPr>
                <w:rFonts w:ascii="Arial" w:hAnsi="Arial" w:cs="Arial"/>
                <w:color w:val="000000" w:themeColor="text1"/>
                <w:vertAlign w:val="superscript"/>
              </w:rPr>
              <w:t>nd</w:t>
            </w:r>
            <w:r w:rsidRPr="006C5355">
              <w:rPr>
                <w:rFonts w:ascii="Arial" w:hAnsi="Arial" w:cs="Arial"/>
                <w:color w:val="000000" w:themeColor="text1"/>
              </w:rPr>
              <w:t xml:space="preserve"> </w:t>
            </w:r>
          </w:p>
        </w:tc>
        <w:tc>
          <w:tcPr>
            <w:tcW w:w="3164" w:type="dxa"/>
          </w:tcPr>
          <w:p w14:paraId="0925A119"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Metronidazole</w:t>
            </w:r>
          </w:p>
        </w:tc>
        <w:tc>
          <w:tcPr>
            <w:tcW w:w="1688" w:type="dxa"/>
          </w:tcPr>
          <w:p w14:paraId="03A1E78B"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33</w:t>
            </w:r>
          </w:p>
        </w:tc>
        <w:tc>
          <w:tcPr>
            <w:tcW w:w="1809" w:type="dxa"/>
          </w:tcPr>
          <w:p w14:paraId="753C8075"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25.0</w:t>
            </w:r>
          </w:p>
        </w:tc>
      </w:tr>
      <w:tr w:rsidR="006C5355" w:rsidRPr="006C5355" w14:paraId="54B28ECD" w14:textId="77777777" w:rsidTr="00AA517C">
        <w:tc>
          <w:tcPr>
            <w:tcW w:w="2122" w:type="dxa"/>
            <w:vMerge/>
          </w:tcPr>
          <w:p w14:paraId="31761BD9"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1B1726B5"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3</w:t>
            </w:r>
            <w:r w:rsidRPr="006C5355">
              <w:rPr>
                <w:rFonts w:ascii="Arial" w:hAnsi="Arial" w:cs="Arial"/>
                <w:color w:val="000000" w:themeColor="text1"/>
                <w:vertAlign w:val="superscript"/>
              </w:rPr>
              <w:t>rd</w:t>
            </w:r>
            <w:r w:rsidRPr="006C5355">
              <w:rPr>
                <w:rFonts w:ascii="Arial" w:hAnsi="Arial" w:cs="Arial"/>
                <w:color w:val="000000" w:themeColor="text1"/>
              </w:rPr>
              <w:t xml:space="preserve"> </w:t>
            </w:r>
          </w:p>
        </w:tc>
        <w:tc>
          <w:tcPr>
            <w:tcW w:w="3164" w:type="dxa"/>
          </w:tcPr>
          <w:p w14:paraId="62349D2F"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Ofloxacin</w:t>
            </w:r>
          </w:p>
        </w:tc>
        <w:tc>
          <w:tcPr>
            <w:tcW w:w="1688" w:type="dxa"/>
          </w:tcPr>
          <w:p w14:paraId="177EED18"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30</w:t>
            </w:r>
          </w:p>
        </w:tc>
        <w:tc>
          <w:tcPr>
            <w:tcW w:w="1809" w:type="dxa"/>
          </w:tcPr>
          <w:p w14:paraId="7B5A5D19"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22.7</w:t>
            </w:r>
          </w:p>
        </w:tc>
      </w:tr>
      <w:tr w:rsidR="006C5355" w:rsidRPr="006C5355" w14:paraId="5EC47AA0" w14:textId="77777777" w:rsidTr="00AA517C">
        <w:tc>
          <w:tcPr>
            <w:tcW w:w="2122" w:type="dxa"/>
            <w:vMerge/>
          </w:tcPr>
          <w:p w14:paraId="611D3F17"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3A0A2F6C"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4</w:t>
            </w:r>
            <w:r w:rsidRPr="006C5355">
              <w:rPr>
                <w:rFonts w:ascii="Arial" w:hAnsi="Arial" w:cs="Arial"/>
                <w:color w:val="000000" w:themeColor="text1"/>
                <w:vertAlign w:val="superscript"/>
              </w:rPr>
              <w:t>th</w:t>
            </w:r>
            <w:r w:rsidRPr="006C5355">
              <w:rPr>
                <w:rFonts w:ascii="Arial" w:hAnsi="Arial" w:cs="Arial"/>
                <w:color w:val="000000" w:themeColor="text1"/>
              </w:rPr>
              <w:t xml:space="preserve"> </w:t>
            </w:r>
          </w:p>
        </w:tc>
        <w:tc>
          <w:tcPr>
            <w:tcW w:w="3164" w:type="dxa"/>
          </w:tcPr>
          <w:p w14:paraId="33CA0273"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Others</w:t>
            </w:r>
          </w:p>
        </w:tc>
        <w:tc>
          <w:tcPr>
            <w:tcW w:w="1688" w:type="dxa"/>
          </w:tcPr>
          <w:p w14:paraId="67CCC2CD"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29</w:t>
            </w:r>
          </w:p>
        </w:tc>
        <w:tc>
          <w:tcPr>
            <w:tcW w:w="1809" w:type="dxa"/>
          </w:tcPr>
          <w:p w14:paraId="355A2830"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22.0</w:t>
            </w:r>
          </w:p>
        </w:tc>
      </w:tr>
      <w:tr w:rsidR="006C5355" w:rsidRPr="006C5355" w14:paraId="6B628497" w14:textId="77777777" w:rsidTr="00AA517C">
        <w:tc>
          <w:tcPr>
            <w:tcW w:w="9350" w:type="dxa"/>
            <w:gridSpan w:val="5"/>
          </w:tcPr>
          <w:p w14:paraId="32A12704" w14:textId="77777777" w:rsidR="006C5355" w:rsidRPr="006C5355" w:rsidRDefault="006C5355" w:rsidP="0038225E">
            <w:pPr>
              <w:autoSpaceDE w:val="0"/>
              <w:autoSpaceDN w:val="0"/>
              <w:adjustRightInd w:val="0"/>
              <w:rPr>
                <w:rFonts w:ascii="Arial" w:hAnsi="Arial" w:cs="Arial"/>
                <w:color w:val="000000" w:themeColor="text1"/>
              </w:rPr>
            </w:pPr>
          </w:p>
        </w:tc>
      </w:tr>
      <w:tr w:rsidR="006C5355" w:rsidRPr="006C5355" w14:paraId="67DBCFF5" w14:textId="77777777" w:rsidTr="00AA517C">
        <w:tc>
          <w:tcPr>
            <w:tcW w:w="2122" w:type="dxa"/>
            <w:vMerge w:val="restart"/>
          </w:tcPr>
          <w:p w14:paraId="3D858147"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3</w:t>
            </w:r>
            <w:proofErr w:type="gramStart"/>
            <w:r w:rsidRPr="006C5355">
              <w:rPr>
                <w:rFonts w:ascii="Arial" w:hAnsi="Arial" w:cs="Arial"/>
                <w:color w:val="000000" w:themeColor="text1"/>
                <w:vertAlign w:val="superscript"/>
              </w:rPr>
              <w:t>rd</w:t>
            </w:r>
            <w:r w:rsidRPr="006C5355">
              <w:rPr>
                <w:rFonts w:ascii="Arial" w:hAnsi="Arial" w:cs="Arial"/>
                <w:color w:val="000000" w:themeColor="text1"/>
              </w:rPr>
              <w:t xml:space="preserve">  most</w:t>
            </w:r>
            <w:proofErr w:type="gramEnd"/>
            <w:r w:rsidRPr="006C5355">
              <w:rPr>
                <w:rFonts w:ascii="Arial" w:hAnsi="Arial" w:cs="Arial"/>
                <w:color w:val="000000" w:themeColor="text1"/>
              </w:rPr>
              <w:t xml:space="preserve"> sold </w:t>
            </w:r>
          </w:p>
        </w:tc>
        <w:tc>
          <w:tcPr>
            <w:tcW w:w="567" w:type="dxa"/>
          </w:tcPr>
          <w:p w14:paraId="45BD5457"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1</w:t>
            </w:r>
            <w:r w:rsidRPr="006C5355">
              <w:rPr>
                <w:rFonts w:ascii="Arial" w:hAnsi="Arial" w:cs="Arial"/>
                <w:color w:val="000000" w:themeColor="text1"/>
                <w:vertAlign w:val="superscript"/>
              </w:rPr>
              <w:t>st</w:t>
            </w:r>
          </w:p>
        </w:tc>
        <w:tc>
          <w:tcPr>
            <w:tcW w:w="3164" w:type="dxa"/>
          </w:tcPr>
          <w:p w14:paraId="0B595564"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Azithromycin</w:t>
            </w:r>
          </w:p>
        </w:tc>
        <w:tc>
          <w:tcPr>
            <w:tcW w:w="1688" w:type="dxa"/>
          </w:tcPr>
          <w:p w14:paraId="7D2D9140"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41</w:t>
            </w:r>
          </w:p>
        </w:tc>
        <w:tc>
          <w:tcPr>
            <w:tcW w:w="1809" w:type="dxa"/>
          </w:tcPr>
          <w:p w14:paraId="582A3FBB"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31.1</w:t>
            </w:r>
          </w:p>
        </w:tc>
      </w:tr>
      <w:tr w:rsidR="006C5355" w:rsidRPr="006C5355" w14:paraId="78F858F7" w14:textId="77777777" w:rsidTr="00AA517C">
        <w:tc>
          <w:tcPr>
            <w:tcW w:w="2122" w:type="dxa"/>
            <w:vMerge/>
          </w:tcPr>
          <w:p w14:paraId="76C5E0D6"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204F7518"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2</w:t>
            </w:r>
            <w:r w:rsidRPr="006C5355">
              <w:rPr>
                <w:rFonts w:ascii="Arial" w:hAnsi="Arial" w:cs="Arial"/>
                <w:color w:val="000000" w:themeColor="text1"/>
                <w:vertAlign w:val="superscript"/>
              </w:rPr>
              <w:t>nd</w:t>
            </w:r>
            <w:r w:rsidRPr="006C5355">
              <w:rPr>
                <w:rFonts w:ascii="Arial" w:hAnsi="Arial" w:cs="Arial"/>
                <w:color w:val="000000" w:themeColor="text1"/>
              </w:rPr>
              <w:t xml:space="preserve"> </w:t>
            </w:r>
          </w:p>
        </w:tc>
        <w:tc>
          <w:tcPr>
            <w:tcW w:w="3164" w:type="dxa"/>
          </w:tcPr>
          <w:p w14:paraId="234BDD3B"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Doxycycline</w:t>
            </w:r>
          </w:p>
        </w:tc>
        <w:tc>
          <w:tcPr>
            <w:tcW w:w="1688" w:type="dxa"/>
          </w:tcPr>
          <w:p w14:paraId="3072ED29"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34</w:t>
            </w:r>
          </w:p>
        </w:tc>
        <w:tc>
          <w:tcPr>
            <w:tcW w:w="1809" w:type="dxa"/>
          </w:tcPr>
          <w:p w14:paraId="440117BC"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25.8</w:t>
            </w:r>
          </w:p>
        </w:tc>
      </w:tr>
      <w:tr w:rsidR="006C5355" w:rsidRPr="006C5355" w14:paraId="44FAFB59" w14:textId="77777777" w:rsidTr="00AA517C">
        <w:tc>
          <w:tcPr>
            <w:tcW w:w="2122" w:type="dxa"/>
            <w:vMerge/>
          </w:tcPr>
          <w:p w14:paraId="6A79FB7B"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64B19258"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3</w:t>
            </w:r>
            <w:r w:rsidRPr="006C5355">
              <w:rPr>
                <w:rFonts w:ascii="Arial" w:hAnsi="Arial" w:cs="Arial"/>
                <w:color w:val="000000" w:themeColor="text1"/>
                <w:vertAlign w:val="superscript"/>
              </w:rPr>
              <w:t>rd</w:t>
            </w:r>
            <w:r w:rsidRPr="006C5355">
              <w:rPr>
                <w:rFonts w:ascii="Arial" w:hAnsi="Arial" w:cs="Arial"/>
                <w:color w:val="000000" w:themeColor="text1"/>
              </w:rPr>
              <w:t xml:space="preserve"> </w:t>
            </w:r>
          </w:p>
        </w:tc>
        <w:tc>
          <w:tcPr>
            <w:tcW w:w="3164" w:type="dxa"/>
          </w:tcPr>
          <w:p w14:paraId="0B48330E"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Amoxicillin</w:t>
            </w:r>
          </w:p>
        </w:tc>
        <w:tc>
          <w:tcPr>
            <w:tcW w:w="1688" w:type="dxa"/>
          </w:tcPr>
          <w:p w14:paraId="6BDB67F1"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29</w:t>
            </w:r>
          </w:p>
        </w:tc>
        <w:tc>
          <w:tcPr>
            <w:tcW w:w="1809" w:type="dxa"/>
          </w:tcPr>
          <w:p w14:paraId="5B2F69CE"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22.0</w:t>
            </w:r>
          </w:p>
        </w:tc>
      </w:tr>
      <w:tr w:rsidR="006C5355" w:rsidRPr="006C5355" w14:paraId="2AB5CB82" w14:textId="77777777" w:rsidTr="00AA517C">
        <w:tc>
          <w:tcPr>
            <w:tcW w:w="2122" w:type="dxa"/>
            <w:vMerge/>
          </w:tcPr>
          <w:p w14:paraId="6B89544E" w14:textId="77777777" w:rsidR="006C5355" w:rsidRPr="006C5355" w:rsidRDefault="006C5355" w:rsidP="0038225E">
            <w:pPr>
              <w:autoSpaceDE w:val="0"/>
              <w:autoSpaceDN w:val="0"/>
              <w:adjustRightInd w:val="0"/>
              <w:rPr>
                <w:rFonts w:ascii="Arial" w:hAnsi="Arial" w:cs="Arial"/>
                <w:color w:val="000000" w:themeColor="text1"/>
              </w:rPr>
            </w:pPr>
          </w:p>
        </w:tc>
        <w:tc>
          <w:tcPr>
            <w:tcW w:w="567" w:type="dxa"/>
          </w:tcPr>
          <w:p w14:paraId="0E741F69"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4</w:t>
            </w:r>
            <w:r w:rsidRPr="006C5355">
              <w:rPr>
                <w:rFonts w:ascii="Arial" w:hAnsi="Arial" w:cs="Arial"/>
                <w:color w:val="000000" w:themeColor="text1"/>
                <w:vertAlign w:val="superscript"/>
              </w:rPr>
              <w:t>th</w:t>
            </w:r>
            <w:r w:rsidRPr="006C5355">
              <w:rPr>
                <w:rFonts w:ascii="Arial" w:hAnsi="Arial" w:cs="Arial"/>
                <w:color w:val="000000" w:themeColor="text1"/>
              </w:rPr>
              <w:t xml:space="preserve"> </w:t>
            </w:r>
          </w:p>
        </w:tc>
        <w:tc>
          <w:tcPr>
            <w:tcW w:w="3164" w:type="dxa"/>
          </w:tcPr>
          <w:p w14:paraId="17E5C85A" w14:textId="77777777" w:rsidR="006C5355" w:rsidRPr="006C5355" w:rsidRDefault="006C5355" w:rsidP="0038225E">
            <w:pPr>
              <w:autoSpaceDE w:val="0"/>
              <w:autoSpaceDN w:val="0"/>
              <w:adjustRightInd w:val="0"/>
              <w:rPr>
                <w:rFonts w:ascii="Arial" w:hAnsi="Arial" w:cs="Arial"/>
                <w:color w:val="000000" w:themeColor="text1"/>
              </w:rPr>
            </w:pPr>
            <w:r w:rsidRPr="006C5355">
              <w:rPr>
                <w:rFonts w:ascii="Arial" w:hAnsi="Arial" w:cs="Arial"/>
                <w:color w:val="000000" w:themeColor="text1"/>
              </w:rPr>
              <w:t>Others</w:t>
            </w:r>
          </w:p>
        </w:tc>
        <w:tc>
          <w:tcPr>
            <w:tcW w:w="1688" w:type="dxa"/>
          </w:tcPr>
          <w:p w14:paraId="6543E9ED"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28</w:t>
            </w:r>
          </w:p>
        </w:tc>
        <w:tc>
          <w:tcPr>
            <w:tcW w:w="1809" w:type="dxa"/>
          </w:tcPr>
          <w:p w14:paraId="79722301" w14:textId="77777777" w:rsidR="006C5355" w:rsidRPr="006C5355" w:rsidRDefault="006C5355" w:rsidP="0038225E">
            <w:pPr>
              <w:autoSpaceDE w:val="0"/>
              <w:autoSpaceDN w:val="0"/>
              <w:adjustRightInd w:val="0"/>
              <w:jc w:val="center"/>
              <w:rPr>
                <w:rFonts w:ascii="Arial" w:hAnsi="Arial" w:cs="Arial"/>
                <w:color w:val="000000" w:themeColor="text1"/>
              </w:rPr>
            </w:pPr>
            <w:r w:rsidRPr="006C5355">
              <w:rPr>
                <w:rFonts w:ascii="Arial" w:hAnsi="Arial" w:cs="Arial"/>
                <w:color w:val="000000" w:themeColor="text1"/>
              </w:rPr>
              <w:t>21.2</w:t>
            </w:r>
          </w:p>
        </w:tc>
      </w:tr>
    </w:tbl>
    <w:p w14:paraId="1B4D14AB" w14:textId="77777777" w:rsidR="006C5355" w:rsidRPr="006C5355" w:rsidRDefault="006C5355" w:rsidP="006C5355">
      <w:pPr>
        <w:spacing w:line="480" w:lineRule="auto"/>
        <w:jc w:val="both"/>
        <w:rPr>
          <w:rFonts w:ascii="Arial" w:hAnsi="Arial" w:cs="Arial"/>
        </w:rPr>
      </w:pPr>
    </w:p>
    <w:p w14:paraId="771EA0CF" w14:textId="77777777" w:rsidR="006C5355" w:rsidRPr="006C5355" w:rsidRDefault="006C5355" w:rsidP="006C5355">
      <w:pPr>
        <w:pStyle w:val="Heading1"/>
        <w:spacing w:before="0" w:line="480" w:lineRule="auto"/>
        <w:rPr>
          <w:rFonts w:cs="Arial"/>
          <w:b w:val="0"/>
          <w:sz w:val="20"/>
        </w:rPr>
      </w:pPr>
    </w:p>
    <w:p w14:paraId="6D0C2A58" w14:textId="77777777" w:rsidR="006C5355" w:rsidRPr="006C5355" w:rsidRDefault="006C5355" w:rsidP="006C5355">
      <w:pPr>
        <w:pStyle w:val="Heading1"/>
        <w:spacing w:before="0" w:line="480" w:lineRule="auto"/>
        <w:rPr>
          <w:rFonts w:cs="Arial"/>
          <w:bCs/>
          <w:sz w:val="20"/>
        </w:rPr>
      </w:pPr>
      <w:bookmarkStart w:id="14" w:name="_Toc202950846"/>
      <w:r w:rsidRPr="006C5355">
        <w:rPr>
          <w:rFonts w:cs="Arial"/>
          <w:bCs/>
          <w:sz w:val="20"/>
        </w:rPr>
        <w:t>DISCUSSION</w:t>
      </w:r>
      <w:bookmarkEnd w:id="14"/>
      <w:r w:rsidRPr="006C5355">
        <w:rPr>
          <w:rFonts w:cs="Arial"/>
          <w:bCs/>
          <w:sz w:val="20"/>
        </w:rPr>
        <w:t xml:space="preserve"> </w:t>
      </w:r>
    </w:p>
    <w:p w14:paraId="06C169A2" w14:textId="77777777" w:rsidR="006C5355" w:rsidRPr="006C5355" w:rsidRDefault="006C5355" w:rsidP="006C5355">
      <w:pPr>
        <w:spacing w:line="480" w:lineRule="auto"/>
        <w:jc w:val="both"/>
        <w:rPr>
          <w:rFonts w:ascii="Arial" w:hAnsi="Arial" w:cs="Arial"/>
        </w:rPr>
      </w:pPr>
      <w:r w:rsidRPr="006C5355">
        <w:rPr>
          <w:rFonts w:ascii="Arial" w:hAnsi="Arial" w:cs="Arial"/>
        </w:rPr>
        <w:t xml:space="preserve">Our study revealed that </w:t>
      </w:r>
      <w:r w:rsidRPr="006C5355">
        <w:rPr>
          <w:rStyle w:val="Strong"/>
          <w:rFonts w:ascii="Arial" w:hAnsi="Arial" w:cs="Arial"/>
          <w:b w:val="0"/>
          <w:bCs w:val="0"/>
        </w:rPr>
        <w:t>ceftriaxone</w:t>
      </w:r>
      <w:r w:rsidRPr="006C5355">
        <w:rPr>
          <w:rFonts w:ascii="Arial" w:hAnsi="Arial" w:cs="Arial"/>
        </w:rPr>
        <w:t xml:space="preserve"> was the most frequently prescribed first-line antibiotic, selected by 56.1% of the medical doctors in the Buea Health District. This was followed by </w:t>
      </w:r>
      <w:r w:rsidRPr="006C5355">
        <w:rPr>
          <w:rStyle w:val="Strong"/>
          <w:rFonts w:ascii="Arial" w:hAnsi="Arial" w:cs="Arial"/>
          <w:b w:val="0"/>
          <w:bCs w:val="0"/>
        </w:rPr>
        <w:t>amoxicillin/clavulanic acid</w:t>
      </w:r>
      <w:r w:rsidRPr="006C5355">
        <w:rPr>
          <w:rFonts w:ascii="Arial" w:hAnsi="Arial" w:cs="Arial"/>
        </w:rPr>
        <w:t xml:space="preserve"> (22.7%) and </w:t>
      </w:r>
      <w:r w:rsidRPr="006C5355">
        <w:rPr>
          <w:rStyle w:val="Strong"/>
          <w:rFonts w:ascii="Arial" w:hAnsi="Arial" w:cs="Arial"/>
          <w:b w:val="0"/>
          <w:bCs w:val="0"/>
        </w:rPr>
        <w:t>amoxicillin</w:t>
      </w:r>
      <w:r w:rsidRPr="006C5355">
        <w:rPr>
          <w:rFonts w:ascii="Arial" w:hAnsi="Arial" w:cs="Arial"/>
        </w:rPr>
        <w:t xml:space="preserve"> (9.1%). For second-line preferences, doctors showed more varied choices, with </w:t>
      </w:r>
      <w:r w:rsidRPr="006C5355">
        <w:rPr>
          <w:rStyle w:val="Strong"/>
          <w:rFonts w:ascii="Arial" w:hAnsi="Arial" w:cs="Arial"/>
          <w:b w:val="0"/>
          <w:bCs w:val="0"/>
        </w:rPr>
        <w:t>amoxicillin/clavulanic acid</w:t>
      </w:r>
      <w:r w:rsidRPr="006C5355">
        <w:rPr>
          <w:rFonts w:ascii="Arial" w:hAnsi="Arial" w:cs="Arial"/>
        </w:rPr>
        <w:t xml:space="preserve"> (25.8%) and </w:t>
      </w:r>
      <w:r w:rsidRPr="006C5355">
        <w:rPr>
          <w:rStyle w:val="Strong"/>
          <w:rFonts w:ascii="Arial" w:hAnsi="Arial" w:cs="Arial"/>
          <w:b w:val="0"/>
          <w:bCs w:val="0"/>
        </w:rPr>
        <w:t>metronidazole</w:t>
      </w:r>
      <w:r w:rsidRPr="006C5355">
        <w:rPr>
          <w:rFonts w:ascii="Arial" w:hAnsi="Arial" w:cs="Arial"/>
        </w:rPr>
        <w:t xml:space="preserve"> (16.7%) being the most cited, though a significant proportion (43.9%) selected antibiotics outside the top three (“others”). Similarly, in third-line prescriptions, </w:t>
      </w:r>
      <w:r w:rsidRPr="006C5355">
        <w:rPr>
          <w:rStyle w:val="Strong"/>
          <w:rFonts w:ascii="Arial" w:hAnsi="Arial" w:cs="Arial"/>
          <w:b w:val="0"/>
          <w:bCs w:val="0"/>
        </w:rPr>
        <w:t>metronidazole</w:t>
      </w:r>
      <w:r w:rsidRPr="006C5355">
        <w:rPr>
          <w:rFonts w:ascii="Arial" w:hAnsi="Arial" w:cs="Arial"/>
        </w:rPr>
        <w:t xml:space="preserve"> (24.2%) and </w:t>
      </w:r>
      <w:r w:rsidRPr="006C5355">
        <w:rPr>
          <w:rStyle w:val="Strong"/>
          <w:rFonts w:ascii="Arial" w:hAnsi="Arial" w:cs="Arial"/>
          <w:b w:val="0"/>
          <w:bCs w:val="0"/>
        </w:rPr>
        <w:t>cefixime</w:t>
      </w:r>
      <w:r w:rsidRPr="006C5355">
        <w:rPr>
          <w:rFonts w:ascii="Arial" w:hAnsi="Arial" w:cs="Arial"/>
        </w:rPr>
        <w:t xml:space="preserve"> (22.7%) were most preferred, with “others” accounting for 37.9% of responses. Notably, </w:t>
      </w:r>
      <w:r w:rsidRPr="006C5355">
        <w:rPr>
          <w:rStyle w:val="Strong"/>
          <w:rFonts w:ascii="Arial" w:hAnsi="Arial" w:cs="Arial"/>
          <w:b w:val="0"/>
          <w:bCs w:val="0"/>
        </w:rPr>
        <w:t>amoxicillin/clavulanic acid</w:t>
      </w:r>
      <w:r w:rsidRPr="006C5355">
        <w:rPr>
          <w:rFonts w:ascii="Arial" w:hAnsi="Arial" w:cs="Arial"/>
        </w:rPr>
        <w:t xml:space="preserve"> appeared consistently across all three preference levels, highlighting its widespread use. The data indicate that while ceftriaxone </w:t>
      </w:r>
      <w:r w:rsidRPr="006C5355">
        <w:rPr>
          <w:rFonts w:ascii="Arial" w:hAnsi="Arial" w:cs="Arial"/>
        </w:rPr>
        <w:lastRenderedPageBreak/>
        <w:t xml:space="preserve">remains the dominant first-line antibiotic, prescribing patterns become increasingly diverse in second and third choices. </w:t>
      </w:r>
    </w:p>
    <w:p w14:paraId="44FE2279" w14:textId="1D3FCF98" w:rsidR="006C5355" w:rsidRPr="006C5355" w:rsidRDefault="006C5355" w:rsidP="006C5355">
      <w:pPr>
        <w:spacing w:line="480" w:lineRule="auto"/>
        <w:jc w:val="both"/>
        <w:rPr>
          <w:rStyle w:val="Strong"/>
          <w:rFonts w:ascii="Arial" w:hAnsi="Arial" w:cs="Arial"/>
          <w:b w:val="0"/>
          <w:bCs w:val="0"/>
        </w:rPr>
      </w:pPr>
      <w:r w:rsidRPr="006C5355">
        <w:rPr>
          <w:rStyle w:val="Strong"/>
          <w:rFonts w:ascii="Arial" w:hAnsi="Arial" w:cs="Arial"/>
          <w:b w:val="0"/>
          <w:bCs w:val="0"/>
        </w:rPr>
        <w:t>Other studies have identified ceftriaxone as the most prescribed antibiotic in different countries</w:t>
      </w:r>
      <w:r w:rsidRPr="006C5355">
        <w:rPr>
          <w:rFonts w:ascii="Arial" w:hAnsi="Arial" w:cs="Arial"/>
        </w:rPr>
        <w:t xml:space="preserve"> </w:t>
      </w:r>
      <w:r w:rsidRPr="006C5355">
        <w:rPr>
          <w:rFonts w:ascii="Arial" w:hAnsi="Arial" w:cs="Arial"/>
        </w:rPr>
        <w:fldChar w:fldCharType="begin"/>
      </w:r>
      <w:r w:rsidR="006A2BA1">
        <w:rPr>
          <w:rFonts w:ascii="Arial" w:hAnsi="Arial" w:cs="Arial"/>
        </w:rPr>
        <w:instrText xml:space="preserve"> ADDIN ZOTERO_ITEM CSL_CITATION {"citationID":"nVNEeL4I","properties":{"formattedCitation":"(Charles et al., 2023; Kizito et al., 2021; Nsojo et al., 2024)","plainCitation":"(Charles et al., 2023; Kizito et al., 2021; Nsojo et al., 2024)","noteIndex":0},"citationItems":[{"id":363,"uris":["http://zotero.org/users/13099140/items/2ZSA76DT"],"itemData":{"id":363,"type":"article-journal","container-title":"Infection Prevention in Practice","DOI":"10.1016/j.infpip.2024.100347","ISSN":"25900889","issue":"2","journalAbbreviation":"Infection Prevention in Practice","language":"en","page":"100347","source":"DOI.org (Crossref)","title":"Prescribing patterns of antimicrobials according to the WHO AWaRe classification at a tertiary referral hospital in the southern highlands of Tanzania","volume":"6","author":[{"family":"Nsojo","given":"Anthony"},{"family":"George","given":"Lutengano"},{"family":"Mwasomola","given":"Davance"},{"family":"Tawete","given":"Joseph"},{"family":"Mbotwa","given":"Christopher H."},{"family":"Mweya","given":"Clement N."},{"family":"Mwakyula","given":"Issakwisa"}],"issued":{"date-parts":[["2024",6]]}}},{"id":361,"uris":["http://zotero.org/users/13099140/items/TWA2BGDG"],"itemData":{"id":361,"type":"article-journal","abstract":"Inappropriate antimicrobial prescriptions are among the highest contributing factors to Antimicrobial Resistance (AMR). Most low and middle-income (LMICS) countries with high AMR burdens like Cameroon, seldom document information on prescription patterns, whereas this information is crucial in addressing inappropriate antimicrobial prescriptions. This study was therefore designed to elucidate antimicrobial prescription patterns in order to tailor interventions to mitigate AMR in Cameroon. The study adopted a multicentre cross-sectional design. Information on antimicrobial prescriptions was collected from four hospitals within the Deido Health District, between October 2019 and March 2020. Of the 1398 participants that were enrolled in the study, the most presented age group were participants aged 15-45 years 913(65.3%) and prescriptions were higher amongst females (923,53.6%). The highest number of antimicrobial prescriptions was made in the outpatient department 592(42.3%) followed by the pediatric unit, 344(24.6%). Most of the prescriptions were for patients with respiratory tract infections 436 (31.2%), followed by those with digestive tract infections 248 (17.7%). The most frequently prescribed class of drugs were the Penicillins 690 (40.3%, 37.8 – 42.6), with Amoxicillin clavulanic acid accounting for 27.8% of the overall prescriptions followed by Cephalosporins 392 (22.7, 20.6 – 24.7), with Ceftriaxone being the most prescribed in the class (13.3%). The need for prescription was mainly determined by clinical judgement (61.1%), while only 9.5% of prescriptions were based on antimicrobial sensitivity test. In the struggle to mitigate AMR, there is a great need to exploit data on prescription patterns and develop stewardship programs in order to optimise antimicrobial use in Cameroon. We emphasize in this communication the potential beneﬁts and outcomes of foresight thinking, such as improved resilience, better resource allocation, and effective response strategies.","container-title":"Archives of Community Medicine and Public Health","DOI":"10.17352/2455-5479.000200","ISSN":"24555479","issue":"2","journalAbbreviation":"Arch Community Med Public Health","language":"en","page":"038-043","source":"DOI.org (Crossref)","title":"Antimicrobial prescription pattern in the Deido health district, Douala, Cameroon","volume":"9","author":[{"family":"Charles","given":"Njumkeng"},{"family":"Elvis T","given":"Amin"},{"family":"Prudence Tatiana","given":"Nti Mvilongo"},{"family":"Denis","given":"Zofou"},{"family":"Jane Francis","given":"Kt Akoachere"},{"family":"Patrick A","given":"Njukeng"}],"issued":{"date-parts":[["2023",6,24]]}}},{"id":358,"uris":["http://zotero.org/users/13099140/items/D836AJCG"],"itemData":{"id":358,"type":"article-journal","abstract":"Background: Excessive use of ceftriaxone contributes to the emergence and spread of antimicrobial resistance (AMR). In low and middle-income countries, antibiotics are overused but data on consumption are scarcely available. We aimed to determine the prevalence and factors influencing ceftriaxone prescription in a tertiary care private not-for-profit hospital in Uganda. Methods: A cross-sectional study was carried out from October 2019 through May 2020 at Mengo Hospital in Uganda. Patients admitted to the medical ward and who had been prescribed antibiotics were enrolled. Sociodemographic and clinical data were recorded in a structured questionnaire. Bivariate and adjusted logistic regression analyses were performed to determine factors associated with ceftriaxone prescription. Results: Study participants were mostly female (54.7%). The mean age was 56.2 years (SD: 21.42). The majority (187, 73.3%) presented with fever. Out of the 255 participants included in this study, 129 (50.6%) participants were prescribed ceftriaxone. Sixty-five (25.5%) and forty-one (16.0%) participants had a prescription of levofloxacin and metronidazole, respectively. Seven participants (2.7%) had a prescription of meropenem. Out of 129 ceftriaxone prescriptions, 31 (24.0%) were in combination with other antibiotics. Overall, broad-spectrum antibiotic prescriptions accounted for 216 (84.7%) of all prescriptions. Ceftriaxone was commonly prescribed for pneumonia (40/129, 31%) and sepsis (38/129, 29.5%). Dysuria [OR = 0.233, 95% CI (0.07–0.77), p = 0.017] and prophylactic indication [OR = 7.171, 95% CI (1.36–37.83), p = 0.020] were significantly associated with ceftriaxone prescription. Conclusions: Overall, we observed a high prevalence of prescriptions of ceftriaxone at the medical ward of Mengo Hospital. We recommend an antibiotic stewardship program (ASP) to monitor antibiotic prescription and sensitivity patterns in a bid to curb AMR.","container-title":"Antibiotics","DOI":"10.3390/antibiotics10101167","ISSN":"2079-6382","issue":"10","journalAbbreviation":"Antibiotics","language":"en","page":"1167","source":"DOI.org (Crossref)","title":"Antibiotic Prevalence Study and Factors Influencing Prescription of WHO Watch Category Antibiotic Ceftriaxone in a Tertiary Care Private Not for Profit Hospital in Uganda","volume":"10","author":[{"family":"Kizito","given":"Mark"},{"family":"Lalitha","given":"Rejani"},{"family":"Kajumbula","given":"Henry"},{"family":"Ssenyonga","given":"Ronald"},{"family":"Muyanja","given":"David"},{"family":"Byakika-Kibwika","given":"Pauline"}],"issued":{"date-parts":[["2021",9,26]]}}}],"schema":"https://github.com/citation-style-language/schema/raw/master/csl-citation.json"} </w:instrText>
      </w:r>
      <w:r w:rsidRPr="006C5355">
        <w:rPr>
          <w:rFonts w:ascii="Arial" w:hAnsi="Arial" w:cs="Arial"/>
        </w:rPr>
        <w:fldChar w:fldCharType="separate"/>
      </w:r>
      <w:r w:rsidR="00182627" w:rsidRPr="00182627">
        <w:rPr>
          <w:rFonts w:ascii="Arial" w:hAnsi="Arial" w:cs="Arial"/>
        </w:rPr>
        <w:t>(Charles et al., 2023; Kizito et al., 2021; Nsojo et al., 2024)</w:t>
      </w:r>
      <w:r w:rsidRPr="006C5355">
        <w:rPr>
          <w:rFonts w:ascii="Arial" w:hAnsi="Arial" w:cs="Arial"/>
        </w:rPr>
        <w:fldChar w:fldCharType="end"/>
      </w:r>
      <w:r w:rsidRPr="006C5355">
        <w:rPr>
          <w:rFonts w:ascii="Arial" w:hAnsi="Arial" w:cs="Arial"/>
        </w:rPr>
        <w:t>. C</w:t>
      </w:r>
      <w:r w:rsidRPr="006C5355">
        <w:rPr>
          <w:rStyle w:val="Strong"/>
          <w:rFonts w:ascii="Arial" w:hAnsi="Arial" w:cs="Arial"/>
          <w:b w:val="0"/>
          <w:bCs w:val="0"/>
        </w:rPr>
        <w:t>eftriaxone</w:t>
      </w:r>
      <w:r w:rsidRPr="006C5355">
        <w:rPr>
          <w:rFonts w:ascii="Arial" w:hAnsi="Arial" w:cs="Arial"/>
        </w:rPr>
        <w:t xml:space="preserve"> is a </w:t>
      </w:r>
      <w:r w:rsidRPr="006C5355">
        <w:rPr>
          <w:rStyle w:val="Strong"/>
          <w:rFonts w:ascii="Arial" w:hAnsi="Arial" w:cs="Arial"/>
          <w:b w:val="0"/>
          <w:bCs w:val="0"/>
        </w:rPr>
        <w:t>broad-spectrum</w:t>
      </w:r>
      <w:r w:rsidRPr="006C5355">
        <w:rPr>
          <w:rFonts w:ascii="Arial" w:hAnsi="Arial" w:cs="Arial"/>
        </w:rPr>
        <w:t xml:space="preserve"> antibiotic with known efficacy against a variety of bacterial pathogens </w:t>
      </w:r>
      <w:r w:rsidRPr="006C5355">
        <w:rPr>
          <w:rFonts w:ascii="Arial" w:hAnsi="Arial" w:cs="Arial"/>
        </w:rPr>
        <w:fldChar w:fldCharType="begin"/>
      </w:r>
      <w:r w:rsidR="006A2BA1">
        <w:rPr>
          <w:rFonts w:ascii="Arial" w:hAnsi="Arial" w:cs="Arial"/>
        </w:rPr>
        <w:instrText xml:space="preserve"> ADDIN ZOTERO_ITEM CSL_CITATION {"citationID":"SAerhkJb","properties":{"formattedCitation":"(Epstein et al., 1982)","plainCitation":"(Epstein et al., 1982)","noteIndex":0},"citationItems":[{"id":377,"uris":["http://zotero.org/users/13099140/items/KWRV2CV9"],"itemData":{"id":377,"type":"article-journal","abstract":"Ceftriaxone is a new semisynthetic cephalosporin with broad-spectrum in vitro activity and an unusually long serum half-life. The clinical efficacy of ceftriaxone was evaluated in 35 infections in 34 patients; 12 of these patients had skin and soft tissue infections, 10 had infections of the urinary tract, 8 had pneumonia, 2 had biliary tract infections, 1 had sinusitis, 1 had diverticulitis, and 1 had a retroperitoneal abscess. Of the 35 infections, 9 were bacteremic. The bacteria isolated included Staphylococcus aureus, Staphylococcus epidermidis, Streptococcus pneumoniae, Streptococcus faecalis, other streptococcal species, Escherichia coli, Proteus mirabilis, Klebsiella pneumoniae, Serratia marcescens, Enterobacter cloacae, Haemophilus influenzae, Pseudomonas aeruginosa, Bacteroides fragilis, other Bacteroides species, and anaerobic cocci. Improvement or cure occurred in 32 episodes, for a response rate of 91%. There were three treatment failures in patients with soft tissue infections. No serious drug toxicities were observed. At a dosage regimen of 1 g every 12 h the peak and trough serum antibiotic concentrations were well above the minimal inhibitory concentrations of most pathogens. Our findings suggest that ceftriaxone is a safe and effective antibiotic for therapy of serious bacterial infections.","container-title":"Antimicrobial Agents and Chemotherapy","DOI":"10.1128/AAC.21.3.402","ISSN":"0066-4804, 1098-6596","issue":"3","journalAbbreviation":"Antimicrob Agents Chemother","language":"en","page":"402-406","source":"DOI.org (Crossref)","title":"Efficacy of ceftriaxone in serious bacterial infections","volume":"21","author":[{"family":"Epstein","given":"J S"},{"family":"Hasselquist","given":"S M"},{"family":"Simon","given":"G L"}],"issued":{"date-parts":[["1982",3]]}}}],"schema":"https://github.com/citation-style-language/schema/raw/master/csl-citation.json"} </w:instrText>
      </w:r>
      <w:r w:rsidRPr="006C5355">
        <w:rPr>
          <w:rFonts w:ascii="Arial" w:hAnsi="Arial" w:cs="Arial"/>
        </w:rPr>
        <w:fldChar w:fldCharType="separate"/>
      </w:r>
      <w:r w:rsidR="00182627" w:rsidRPr="00182627">
        <w:rPr>
          <w:rFonts w:ascii="Arial" w:hAnsi="Arial" w:cs="Arial"/>
        </w:rPr>
        <w:t>(Epstein et al., 1982)</w:t>
      </w:r>
      <w:r w:rsidRPr="006C5355">
        <w:rPr>
          <w:rFonts w:ascii="Arial" w:hAnsi="Arial" w:cs="Arial"/>
        </w:rPr>
        <w:fldChar w:fldCharType="end"/>
      </w:r>
      <w:r w:rsidRPr="006C5355">
        <w:rPr>
          <w:rFonts w:ascii="Arial" w:hAnsi="Arial" w:cs="Arial"/>
        </w:rPr>
        <w:t>. The “</w:t>
      </w:r>
      <w:r w:rsidRPr="006C5355">
        <w:rPr>
          <w:rStyle w:val="Strong"/>
          <w:rFonts w:ascii="Arial" w:hAnsi="Arial" w:cs="Arial"/>
          <w:b w:val="0"/>
          <w:bCs w:val="0"/>
        </w:rPr>
        <w:t>Cameroon Guide to Antibiotic Therapy for Common Bacterial Diseases”</w:t>
      </w:r>
      <w:r w:rsidRPr="006C5355">
        <w:rPr>
          <w:rFonts w:ascii="Arial" w:hAnsi="Arial" w:cs="Arial"/>
        </w:rPr>
        <w:t xml:space="preserve"> </w:t>
      </w:r>
      <w:r w:rsidRPr="006C5355">
        <w:rPr>
          <w:rFonts w:ascii="Arial" w:hAnsi="Arial" w:cs="Arial"/>
          <w:color w:val="FF0000"/>
        </w:rPr>
        <w:fldChar w:fldCharType="begin"/>
      </w:r>
      <w:r w:rsidR="00182627">
        <w:rPr>
          <w:rFonts w:ascii="Arial" w:hAnsi="Arial" w:cs="Arial"/>
          <w:color w:val="FF0000"/>
        </w:rPr>
        <w:instrText xml:space="preserve"> ADDIN ZOTERO_ITEM CSL_CITATION {"citationID":"myNWyPmL","properties":{"formattedCitation":"({\\i{}Guide To Antibiotic Therapy For Common Bacterial Diseases in Cameroon-3 | PDF | Antimicrobial Resistance | Pathogen}, n.d.)","plainCitation":"(Guide To Antibiotic Therapy For Common Bacterial Diseases in Cameroon-3 | PDF | Antimicrobial Resistance | Pathogen, n.d.)","noteIndex":0},"citationItems":[{"id":379,"uris":["http://zotero.org/users/13099140/items/7P6NMQVY"],"itemData":{"id":379,"type":"webpage","abstract":"Antibiotherapie Cameroun","container-title":"Scribd","language":"en","title":"Guide To Antibiotic Therapy For Common Bacterial Diseases in Cameroon-3 | PDF | Antimicrobial Resistance | Pathogen","URL":"https://www.scribd.com/document/787278687/Guide-to-antibiotic-therapy-for-common-bacterial-diseases-in-Cameroon-3","accessed":{"date-parts":[["2025",10,27]]}}}],"schema":"https://github.com/citation-style-language/schema/raw/master/csl-citation.json"} </w:instrText>
      </w:r>
      <w:r w:rsidRPr="006C5355">
        <w:rPr>
          <w:rFonts w:ascii="Arial" w:hAnsi="Arial" w:cs="Arial"/>
          <w:color w:val="FF0000"/>
        </w:rPr>
        <w:fldChar w:fldCharType="separate"/>
      </w:r>
      <w:r w:rsidR="00182627" w:rsidRPr="00182627">
        <w:rPr>
          <w:rFonts w:ascii="Arial" w:hAnsi="Arial" w:cs="Arial"/>
          <w:szCs w:val="24"/>
        </w:rPr>
        <w:t>(</w:t>
      </w:r>
      <w:r w:rsidR="00182627" w:rsidRPr="00182627">
        <w:rPr>
          <w:rFonts w:ascii="Arial" w:hAnsi="Arial" w:cs="Arial"/>
          <w:i/>
          <w:iCs/>
          <w:szCs w:val="24"/>
        </w:rPr>
        <w:t>Guide To Antibiotic Therapy For Common Bacterial Diseases in Cameroon-3 | PDF | Antimicrobial Resistance | Pathogen</w:t>
      </w:r>
      <w:r w:rsidR="00182627" w:rsidRPr="00182627">
        <w:rPr>
          <w:rFonts w:ascii="Arial" w:hAnsi="Arial" w:cs="Arial"/>
          <w:szCs w:val="24"/>
        </w:rPr>
        <w:t>, n.d.)</w:t>
      </w:r>
      <w:r w:rsidRPr="006C5355">
        <w:rPr>
          <w:rFonts w:ascii="Arial" w:hAnsi="Arial" w:cs="Arial"/>
          <w:color w:val="FF0000"/>
        </w:rPr>
        <w:fldChar w:fldCharType="end"/>
      </w:r>
      <w:r w:rsidRPr="006C5355">
        <w:rPr>
          <w:rFonts w:ascii="Arial" w:hAnsi="Arial" w:cs="Arial"/>
          <w:color w:val="FF0000"/>
        </w:rPr>
        <w:t xml:space="preserve"> </w:t>
      </w:r>
      <w:r w:rsidRPr="006C5355">
        <w:rPr>
          <w:rFonts w:ascii="Arial" w:hAnsi="Arial" w:cs="Arial"/>
        </w:rPr>
        <w:t xml:space="preserve">recommends </w:t>
      </w:r>
      <w:r w:rsidRPr="006C5355">
        <w:rPr>
          <w:rStyle w:val="Strong"/>
          <w:rFonts w:ascii="Arial" w:hAnsi="Arial" w:cs="Arial"/>
          <w:b w:val="0"/>
          <w:bCs w:val="0"/>
        </w:rPr>
        <w:t>ceftriaxone for 26 out of 36 bacterial infections</w:t>
      </w:r>
      <w:r w:rsidRPr="006C5355">
        <w:rPr>
          <w:rFonts w:ascii="Arial" w:hAnsi="Arial" w:cs="Arial"/>
        </w:rPr>
        <w:t xml:space="preserve"> (72.2%), including a wide array of </w:t>
      </w:r>
      <w:r w:rsidRPr="006C5355">
        <w:rPr>
          <w:rStyle w:val="Strong"/>
          <w:rFonts w:ascii="Arial" w:hAnsi="Arial" w:cs="Arial"/>
          <w:b w:val="0"/>
          <w:bCs w:val="0"/>
        </w:rPr>
        <w:t>severe and complicated infections</w:t>
      </w:r>
      <w:r w:rsidRPr="006C5355">
        <w:rPr>
          <w:rFonts w:ascii="Arial" w:hAnsi="Arial" w:cs="Arial"/>
        </w:rPr>
        <w:t xml:space="preserve">. Given that ceftriaxone is recommended for </w:t>
      </w:r>
      <w:r w:rsidRPr="006C5355">
        <w:rPr>
          <w:rStyle w:val="Strong"/>
          <w:rFonts w:ascii="Arial" w:hAnsi="Arial" w:cs="Arial"/>
          <w:b w:val="0"/>
          <w:bCs w:val="0"/>
        </w:rPr>
        <w:t>serious infections</w:t>
      </w:r>
      <w:r w:rsidRPr="006C5355">
        <w:rPr>
          <w:rFonts w:ascii="Arial" w:hAnsi="Arial" w:cs="Arial"/>
        </w:rPr>
        <w:t xml:space="preserve">, its high prescription rate in this study can be seen as justifiable to some extent, as it is commonly used for conditions that require broad-spectrum treatment. Its broad application for treating conditions such as </w:t>
      </w:r>
      <w:r w:rsidRPr="006C5355">
        <w:rPr>
          <w:rStyle w:val="Strong"/>
          <w:rFonts w:ascii="Arial" w:hAnsi="Arial" w:cs="Arial"/>
          <w:b w:val="0"/>
          <w:bCs w:val="0"/>
        </w:rPr>
        <w:t xml:space="preserve">sepsis, </w:t>
      </w:r>
      <w:r w:rsidRPr="006C5355">
        <w:rPr>
          <w:rFonts w:ascii="Arial" w:hAnsi="Arial" w:cs="Arial"/>
        </w:rPr>
        <w:t xml:space="preserve">urinary tract infections, </w:t>
      </w:r>
      <w:r w:rsidRPr="006C5355">
        <w:rPr>
          <w:rStyle w:val="Strong"/>
          <w:rFonts w:ascii="Arial" w:hAnsi="Arial" w:cs="Arial"/>
          <w:b w:val="0"/>
          <w:bCs w:val="0"/>
        </w:rPr>
        <w:t>pneumonia</w:t>
      </w:r>
      <w:r w:rsidRPr="006C5355">
        <w:rPr>
          <w:rFonts w:ascii="Arial" w:hAnsi="Arial" w:cs="Arial"/>
        </w:rPr>
        <w:t xml:space="preserve">, </w:t>
      </w:r>
      <w:r w:rsidRPr="006C5355">
        <w:rPr>
          <w:rStyle w:val="Strong"/>
          <w:rFonts w:ascii="Arial" w:hAnsi="Arial" w:cs="Arial"/>
          <w:b w:val="0"/>
          <w:bCs w:val="0"/>
        </w:rPr>
        <w:t>meningitis etc</w:t>
      </w:r>
      <w:r w:rsidRPr="006C5355">
        <w:rPr>
          <w:rFonts w:ascii="Arial" w:hAnsi="Arial" w:cs="Arial"/>
        </w:rPr>
        <w:t xml:space="preserve"> explains why it was chosen by </w:t>
      </w:r>
      <w:r w:rsidRPr="006C5355">
        <w:rPr>
          <w:rStyle w:val="Strong"/>
          <w:rFonts w:ascii="Arial" w:hAnsi="Arial" w:cs="Arial"/>
          <w:b w:val="0"/>
          <w:bCs w:val="0"/>
        </w:rPr>
        <w:t>56.1%</w:t>
      </w:r>
      <w:r w:rsidRPr="006C5355">
        <w:rPr>
          <w:rFonts w:ascii="Arial" w:hAnsi="Arial" w:cs="Arial"/>
        </w:rPr>
        <w:t xml:space="preserve"> of the medical doctors in the district as their first-choice antibiotic.</w:t>
      </w:r>
      <w:r w:rsidRPr="006C5355">
        <w:rPr>
          <w:rStyle w:val="Strong"/>
          <w:rFonts w:ascii="Arial" w:hAnsi="Arial" w:cs="Arial"/>
          <w:b w:val="0"/>
          <w:bCs w:val="0"/>
        </w:rPr>
        <w:t xml:space="preserve"> </w:t>
      </w:r>
    </w:p>
    <w:p w14:paraId="647D65C1" w14:textId="045D6D4B" w:rsidR="006C5355" w:rsidRPr="006C5355" w:rsidRDefault="006C5355" w:rsidP="006C5355">
      <w:pPr>
        <w:spacing w:line="480" w:lineRule="auto"/>
        <w:jc w:val="both"/>
        <w:rPr>
          <w:rStyle w:val="Strong"/>
          <w:rFonts w:ascii="Arial" w:hAnsi="Arial" w:cs="Arial"/>
          <w:b w:val="0"/>
          <w:bCs w:val="0"/>
        </w:rPr>
      </w:pPr>
      <w:r w:rsidRPr="006C5355">
        <w:rPr>
          <w:rFonts w:ascii="Arial" w:hAnsi="Arial" w:cs="Arial"/>
        </w:rPr>
        <w:t xml:space="preserve">Clinicians with </w:t>
      </w:r>
      <w:r w:rsidRPr="006C5355">
        <w:rPr>
          <w:rStyle w:val="Strong"/>
          <w:rFonts w:ascii="Arial" w:hAnsi="Arial" w:cs="Arial"/>
          <w:b w:val="0"/>
          <w:bCs w:val="0"/>
        </w:rPr>
        <w:t>&gt; 5 years of experience</w:t>
      </w:r>
      <w:r w:rsidRPr="006C5355">
        <w:rPr>
          <w:rFonts w:ascii="Arial" w:hAnsi="Arial" w:cs="Arial"/>
        </w:rPr>
        <w:t xml:space="preserve"> were </w:t>
      </w:r>
      <w:r w:rsidRPr="006C5355">
        <w:rPr>
          <w:rStyle w:val="Strong"/>
          <w:rFonts w:ascii="Arial" w:hAnsi="Arial" w:cs="Arial"/>
          <w:b w:val="0"/>
          <w:bCs w:val="0"/>
        </w:rPr>
        <w:t>significantly more likely (</w:t>
      </w:r>
      <w:r w:rsidRPr="006C5355">
        <w:rPr>
          <w:rFonts w:ascii="Arial" w:hAnsi="Arial" w:cs="Arial"/>
        </w:rPr>
        <w:t xml:space="preserve">χ² [p-value]: 4.15 [0.042]) to choose ceftriaxone as their first-choice antibiotic (72 %) as compared to those with ≤ </w:t>
      </w:r>
      <w:r w:rsidRPr="006C5355">
        <w:rPr>
          <w:rStyle w:val="Strong"/>
          <w:rFonts w:ascii="Arial" w:hAnsi="Arial" w:cs="Arial"/>
          <w:b w:val="0"/>
          <w:bCs w:val="0"/>
        </w:rPr>
        <w:t xml:space="preserve">5 years </w:t>
      </w:r>
      <w:r w:rsidRPr="006C5355">
        <w:rPr>
          <w:rFonts w:ascii="Arial" w:hAnsi="Arial" w:cs="Arial"/>
        </w:rPr>
        <w:t>(46.3 %).</w:t>
      </w:r>
      <w:r w:rsidRPr="006C5355">
        <w:rPr>
          <w:rStyle w:val="Strong"/>
          <w:rFonts w:ascii="Arial" w:hAnsi="Arial" w:cs="Arial"/>
          <w:b w:val="0"/>
          <w:bCs w:val="0"/>
        </w:rPr>
        <w:t xml:space="preserve"> Due to its </w:t>
      </w:r>
      <w:r w:rsidRPr="006C5355">
        <w:rPr>
          <w:rFonts w:ascii="Arial" w:hAnsi="Arial" w:cs="Arial"/>
        </w:rPr>
        <w:t xml:space="preserve">broad-spectrum nature and high clinical success rate </w:t>
      </w:r>
      <w:proofErr w:type="gramStart"/>
      <w:r w:rsidRPr="006C5355">
        <w:rPr>
          <w:rFonts w:ascii="Arial" w:hAnsi="Arial" w:cs="Arial"/>
        </w:rPr>
        <w:t>more</w:t>
      </w:r>
      <w:proofErr w:type="gramEnd"/>
      <w:r w:rsidRPr="006C5355">
        <w:rPr>
          <w:rFonts w:ascii="Arial" w:hAnsi="Arial" w:cs="Arial"/>
        </w:rPr>
        <w:t xml:space="preserve"> experienced clinicians may have developed confidence in ceftriaxone over years of practice especially where laboratory diagnostics are limited. In addition, experienced clinicians may be less exposed to newer antimicrobial-stewardship training or WHO </w:t>
      </w:r>
      <w:proofErr w:type="spellStart"/>
      <w:r w:rsidRPr="006C5355">
        <w:rPr>
          <w:rFonts w:ascii="Arial" w:hAnsi="Arial" w:cs="Arial"/>
        </w:rPr>
        <w:t>AWaRe</w:t>
      </w:r>
      <w:proofErr w:type="spellEnd"/>
      <w:r w:rsidRPr="006C5355">
        <w:rPr>
          <w:rFonts w:ascii="Arial" w:hAnsi="Arial" w:cs="Arial"/>
        </w:rPr>
        <w:t xml:space="preserve"> guidelines and adamant or stereotype with their approach to medicine by always sticking to old methods which to the best of their knowledge, is still effective even up till date </w:t>
      </w:r>
      <w:r w:rsidRPr="006C5355">
        <w:rPr>
          <w:rFonts w:ascii="Arial" w:hAnsi="Arial" w:cs="Arial"/>
        </w:rPr>
        <w:fldChar w:fldCharType="begin"/>
      </w:r>
      <w:r w:rsidR="006A2BA1">
        <w:rPr>
          <w:rFonts w:ascii="Arial" w:hAnsi="Arial" w:cs="Arial"/>
        </w:rPr>
        <w:instrText xml:space="preserve"> ADDIN ZOTERO_ITEM CSL_CITATION {"citationID":"knJ8GdfZ","properties":{"formattedCitation":"(Gu et al., 2025; Perozziello et al., 2019)","plainCitation":"(Gu et al., 2025; Perozziello et al., 2019)","noteIndex":0},"citationItems":[{"id":382,"uris":["http://zotero.org/users/13099140/items/EWV2RUAU"],"itemData":{"id":382,"type":"article-journal","abstract":"BACKGROUND: Antimicrobial resistance (AMR) is a critical global health issue, with inconsistent adherence to antimicrobial stewardship contributing to its worsening. This study aims to assess physicians' awareness and attitudes towards AMR and appropriate antimicrobial use across different medical specialties in Japan.\nMETHODS: An online cross-sectional survey was conducted from January 31 to February 5, 2024, among 280 physicians from three specialties (internal medicine, pediatrics, and otorhinolaryngology) who were working in outpatient clinics in Japan. Participants were asked about their familiarity with the National Action Plan (NAP) on AMR and the manuals of Ministry of Health and Labor Welfare (MHLW) on prudent antimicrobial use. Their opinions on AMR facts and antibiotic use were also surveyed using five-point Likert scales. Data were analyzed using descriptive statistics, multilevel mixed-effects ordered logistic regression and generalized linear models to examine factors influencing NAP/manuals adherence.\nRESULTS: Most respondents were male (85%) and predominantly aged 50 and above (73.9%), Familiarity with the AMR Action Plan varied, with 36.4% of respondents reported understanding its content, while 37.5% only knew its name. Similarly, 27.1% of respondents used the MHLW manuals, whereas 48.6% were aware of them but did not use them. Internal medicine physicians showed the highest adherence to antimicrobial stewardship and most concern about AMR facts, while pediatricians demonstrated the highest adherence to MHLW manuals (AOR = 2.4, p = 0.000 compared to internal medicine doctors). Otorhinolaryngologists reported higher awareness of NAP (AOR = 2.6, p = 0.006 compared to internal medicine doctors) but had the lowest adherence to NAP and MHLW manuals. Younger physicians (&lt; 50 years) were more proactive in addressing AMR and adhering to antimicrobial stewardship than older physicians. Messages emphasizing the prevention of drug resistance and societal impacts of AMR were most associated with positive attitudes from physicians in outpatient clinics.\nCONCLUSIONS: This study highlights significant variability in AMR awareness and adherence across specialties and age groups. Internal medicine physicians showed the highest adherence, while pediatricians were the most familiar with AMR manuals. Otorhinolaryngologists demonstrated strong awareness but lower adherence. Targeted educational interventions, particularly focusing on older physicians and specific specialties, are needed to improve antimicrobial use and combat the growing threat of resistance.","container-title":"BMC infectious diseases","DOI":"10.1186/s12879-025-11583-1","ISSN":"1471-2334","issue":"1","journalAbbreviation":"BMC Infect Dis","language":"eng","note":"PMID: 41023885\nPMCID: PMC12481877","page":"1186","source":"PubMed","title":"Specialty and age-based differences in awareness and attitudes towards antibiotic stewardship: a cross-sectional online survey on Japanese clinic physicians","title-short":"Specialty and age-based differences in awareness and attitudes towards antibiotic stewardship","volume":"25","author":[{"family":"Gu","given":"Yoshiaki"},{"family":"Do","given":"An Dang"},{"family":"Fujitomo","given":"Yumiko"},{"family":"Ohtake","given":"Fumio"}],"issued":{"date-parts":[["2025",9,29]]}}},{"id":380,"uris":["http://zotero.org/users/13099140/items/C53XEIZM"],"itemData":{"id":380,"type":"article-journal","abstract":"OBJECTIVES: To assess prescribers' experiences and opinions regarding antimicrobial stewardship programme (ASP) activities.\nMETHODS: A cross-sectional paper-based survey was conducted among prescribers in 27 out of 35 randomly selected large hospitals in France.\nRESULTS: All 27 investigated hospitals (20 non-university public, 4 university-affiliated and 3 private hospitals) had an ASP and an appointed antibiotic advisor (AA), with a median of 0.9 full-time equivalents per 1000 acute-care beds (IQR 0-1.4). Of the 1963 distributed questionnaires, 920 were completed (46.9%). Respondents were mainly attending physicians (658/918, 71.7%) and medical specialists (532/868, 61.3%). Prescribers identified two main ASP objectives: to limit the spread of resistance (710/913, 77.8%) and to improve patient care and prognosis (695/913, 76.1%). The presence of an AA constituted a core element of ASP (96.2% agreement between answers of ASP leader and respondents). Respondents acknowledged an AA's usefulness especially on therapeutic issues, i.e. choosing appropriate antibiotic (agreement 84.7%) or adapting treatment (89.6%), but less so on diagnostic issues (31.4%). Very few respondents reported unsolicited counselling and post-prescription controls. Three-quarters of prescribers identified local guidelines (692/918, 75.4%). Prescribers did not approve of measures counteracting their autonomy, i.e. automatic stop orders (agreement 23.4%) or pre-approval by AAs (28.8%). They agreed more with educational interventions (73.0%) and clinical staff meetings (70.0%).\nCONCLUSIONS: Prescribers perceived ASP mainly through its 'on-demand' counselling activities. They preferred measures that did not challenge their clinical autonomy. High levels of antibiotic consumption in French hospitals bring into question the effectiveness of such an approach. However, limited ASP staffing and resources may preclude extended activities.","container-title":"The Journal of Antimicrobial Chemotherapy","DOI":"10.1093/jac/dkz179","ISSN":"1460-2091","issue":"8","journalAbbreviation":"J Antimicrob Chemother","language":"eng","note":"PMID: 31167027","page":"2451-2458","source":"PubMed","title":"Prescribers' experience and opinions on antimicrobial stewardship programmes in hospitals: a French nationwide survey","title-short":"Prescribers' experience and opinions on antimicrobial stewardship programmes in hospitals","volume":"74","author":[{"family":"Perozziello","given":"A."},{"family":"Lescure","given":"F. X."},{"family":"Truel","given":"A."},{"family":"Routelous","given":"C."},{"family":"Vaillant","given":"L."},{"family":"Yazdanpanah","given":"Y."},{"family":"Lucet","given":"J. C."},{"literal":"CEFECA study group"}],"issued":{"date-parts":[["2019",8,1]]}}}],"schema":"https://github.com/citation-style-language/schema/raw/master/csl-citation.json"} </w:instrText>
      </w:r>
      <w:r w:rsidRPr="006C5355">
        <w:rPr>
          <w:rFonts w:ascii="Arial" w:hAnsi="Arial" w:cs="Arial"/>
        </w:rPr>
        <w:fldChar w:fldCharType="separate"/>
      </w:r>
      <w:r w:rsidR="00182627" w:rsidRPr="00182627">
        <w:rPr>
          <w:rFonts w:ascii="Arial" w:hAnsi="Arial" w:cs="Arial"/>
        </w:rPr>
        <w:t>(Gu et al., 2025; Perozziello et al., 2019)</w:t>
      </w:r>
      <w:r w:rsidRPr="006C5355">
        <w:rPr>
          <w:rFonts w:ascii="Arial" w:hAnsi="Arial" w:cs="Arial"/>
        </w:rPr>
        <w:fldChar w:fldCharType="end"/>
      </w:r>
      <w:r w:rsidRPr="006C5355">
        <w:rPr>
          <w:rFonts w:ascii="Arial" w:hAnsi="Arial" w:cs="Arial"/>
        </w:rPr>
        <w:t xml:space="preserve">. </w:t>
      </w:r>
    </w:p>
    <w:p w14:paraId="39B5893C" w14:textId="6DF4347A" w:rsidR="006C5355" w:rsidRPr="006C5355" w:rsidRDefault="006C5355" w:rsidP="006C5355">
      <w:pPr>
        <w:spacing w:line="480" w:lineRule="auto"/>
        <w:jc w:val="both"/>
        <w:rPr>
          <w:rStyle w:val="Strong"/>
          <w:rFonts w:ascii="Arial" w:hAnsi="Arial" w:cs="Arial"/>
          <w:b w:val="0"/>
          <w:bCs w:val="0"/>
        </w:rPr>
      </w:pPr>
      <w:r w:rsidRPr="006C5355">
        <w:rPr>
          <w:rFonts w:ascii="Arial" w:hAnsi="Arial" w:cs="Arial"/>
        </w:rPr>
        <w:t xml:space="preserve">The over-prescription of </w:t>
      </w:r>
      <w:r w:rsidRPr="006C5355">
        <w:rPr>
          <w:rStyle w:val="Strong"/>
          <w:rFonts w:ascii="Arial" w:hAnsi="Arial" w:cs="Arial"/>
          <w:b w:val="0"/>
          <w:bCs w:val="0"/>
        </w:rPr>
        <w:t>ceftriaxone</w:t>
      </w:r>
      <w:r w:rsidRPr="006C5355">
        <w:rPr>
          <w:rFonts w:ascii="Arial" w:hAnsi="Arial" w:cs="Arial"/>
        </w:rPr>
        <w:t xml:space="preserve"> raises significant concerns, particularly because it is classified as a </w:t>
      </w:r>
      <w:r w:rsidRPr="006C5355">
        <w:rPr>
          <w:rStyle w:val="Strong"/>
          <w:rFonts w:ascii="Arial" w:hAnsi="Arial" w:cs="Arial"/>
          <w:b w:val="0"/>
          <w:bCs w:val="0"/>
        </w:rPr>
        <w:t>Watch antibiotic</w:t>
      </w:r>
      <w:r w:rsidRPr="006C5355">
        <w:rPr>
          <w:rFonts w:ascii="Arial" w:hAnsi="Arial" w:cs="Arial"/>
        </w:rPr>
        <w:t xml:space="preserve"> by the </w:t>
      </w:r>
      <w:r w:rsidRPr="006C5355">
        <w:rPr>
          <w:rStyle w:val="Strong"/>
          <w:rFonts w:ascii="Arial" w:hAnsi="Arial" w:cs="Arial"/>
          <w:b w:val="0"/>
          <w:bCs w:val="0"/>
        </w:rPr>
        <w:t>World Health Organization (WHO)</w:t>
      </w:r>
      <w:r w:rsidRPr="006C5355">
        <w:rPr>
          <w:rFonts w:ascii="Arial" w:hAnsi="Arial" w:cs="Arial"/>
        </w:rPr>
        <w:t xml:space="preserve">. According to the WHO’s </w:t>
      </w:r>
      <w:proofErr w:type="spellStart"/>
      <w:r w:rsidRPr="006C5355">
        <w:rPr>
          <w:rStyle w:val="Strong"/>
          <w:rFonts w:ascii="Arial" w:hAnsi="Arial" w:cs="Arial"/>
          <w:b w:val="0"/>
          <w:bCs w:val="0"/>
        </w:rPr>
        <w:t>AWaRe</w:t>
      </w:r>
      <w:proofErr w:type="spellEnd"/>
      <w:r w:rsidRPr="006C5355">
        <w:rPr>
          <w:rStyle w:val="Strong"/>
          <w:rFonts w:ascii="Arial" w:hAnsi="Arial" w:cs="Arial"/>
          <w:b w:val="0"/>
          <w:bCs w:val="0"/>
        </w:rPr>
        <w:t xml:space="preserve"> classification</w:t>
      </w:r>
      <w:r w:rsidRPr="006C5355">
        <w:rPr>
          <w:rFonts w:ascii="Arial" w:hAnsi="Arial" w:cs="Arial"/>
        </w:rPr>
        <w:t xml:space="preserve">, WATCH antibiotics are intended for </w:t>
      </w:r>
      <w:r w:rsidRPr="006C5355">
        <w:rPr>
          <w:rStyle w:val="Strong"/>
          <w:rFonts w:ascii="Arial" w:hAnsi="Arial" w:cs="Arial"/>
          <w:b w:val="0"/>
          <w:bCs w:val="0"/>
        </w:rPr>
        <w:t>restricted use</w:t>
      </w:r>
      <w:r w:rsidRPr="006C5355">
        <w:rPr>
          <w:rFonts w:ascii="Arial" w:hAnsi="Arial" w:cs="Arial"/>
        </w:rPr>
        <w:t xml:space="preserve"> to </w:t>
      </w:r>
      <w:r w:rsidRPr="006C5355">
        <w:rPr>
          <w:rStyle w:val="Strong"/>
          <w:rFonts w:ascii="Arial" w:hAnsi="Arial" w:cs="Arial"/>
          <w:b w:val="0"/>
          <w:bCs w:val="0"/>
        </w:rPr>
        <w:t>combat antimicrobial resistance (AMR)</w:t>
      </w:r>
      <w:r w:rsidRPr="006C5355">
        <w:rPr>
          <w:rFonts w:ascii="Arial" w:hAnsi="Arial" w:cs="Arial"/>
        </w:rPr>
        <w:t xml:space="preserve"> and should only be prescribed in cases where other, </w:t>
      </w:r>
      <w:r w:rsidRPr="006C5355">
        <w:rPr>
          <w:rStyle w:val="Strong"/>
          <w:rFonts w:ascii="Arial" w:hAnsi="Arial" w:cs="Arial"/>
          <w:b w:val="0"/>
          <w:bCs w:val="0"/>
        </w:rPr>
        <w:t>narrower-</w:t>
      </w:r>
      <w:r w:rsidRPr="006C5355">
        <w:rPr>
          <w:rStyle w:val="Strong"/>
          <w:rFonts w:ascii="Arial" w:hAnsi="Arial" w:cs="Arial"/>
          <w:b w:val="0"/>
          <w:bCs w:val="0"/>
        </w:rPr>
        <w:lastRenderedPageBreak/>
        <w:t>spectrum</w:t>
      </w:r>
      <w:r w:rsidRPr="006C5355">
        <w:rPr>
          <w:rFonts w:ascii="Arial" w:hAnsi="Arial" w:cs="Arial"/>
        </w:rPr>
        <w:t xml:space="preserve"> antibiotics (classified as Access antibiotics) are not appropriate </w:t>
      </w:r>
      <w:r w:rsidRPr="006C5355">
        <w:rPr>
          <w:rFonts w:ascii="Arial" w:hAnsi="Arial" w:cs="Arial"/>
        </w:rPr>
        <w:fldChar w:fldCharType="begin"/>
      </w:r>
      <w:r w:rsidR="006A2BA1">
        <w:rPr>
          <w:rFonts w:ascii="Arial" w:hAnsi="Arial" w:cs="Arial"/>
        </w:rPr>
        <w:instrText xml:space="preserve"> ADDIN ZOTERO_ITEM CSL_CITATION {"citationID":"QjdPQK5l","properties":{"formattedCitation":"(Zanichelli et al., 2023)","plainCitation":"(Zanichelli et al., 2023)","noteIndex":0},"citationItems":[{"id":353,"uris":["http://zotero.org/users/13099140/items/WC7QX4XN"],"itemData":{"id":353,"type":"article-journal","container-title":"Bulletin of the World Health Organization","DOI":"10.2471/BLT.22.288614","ISSN":"00429686","issue":"04","journalAbbreviation":"Bull World Health Org","page":"290-296","source":"DOI.org (Crossref)","title":"The &lt;i&gt;WHO AWaRe (Access, Watch, Reserve) antibiotic book&lt;/i&gt; and prevention of antimicrobial resistance","volume":"101","author":[{"family":"Zanichelli","given":"Veronica"},{"family":"Sharland","given":"Michael"},{"family":"Cappello","given":"Bernadette"},{"family":"Moja","given":"Lorenzo"},{"family":"Getahun","given":"Haileyesus"},{"family":"Pessoa-Silva","given":"Carmem"},{"family":"Sati","given":"Hatim"},{"family":"Van Weezenbeek","given":"Catharina"},{"family":"Balkhy","given":"Hanan"},{"family":"Simão","given":"Mariângela"},{"family":"Gandra","given":"Sumanth"},{"family":"Huttner","given":"Benedikt"}],"issued":{"date-parts":[["2023",4,1]]}}}],"schema":"https://github.com/citation-style-language/schema/raw/master/csl-citation.json"} </w:instrText>
      </w:r>
      <w:r w:rsidRPr="006C5355">
        <w:rPr>
          <w:rFonts w:ascii="Arial" w:hAnsi="Arial" w:cs="Arial"/>
        </w:rPr>
        <w:fldChar w:fldCharType="separate"/>
      </w:r>
      <w:r w:rsidR="00182627" w:rsidRPr="00182627">
        <w:rPr>
          <w:rFonts w:ascii="Arial" w:hAnsi="Arial" w:cs="Arial"/>
        </w:rPr>
        <w:t>(Zanichelli et al., 2023)</w:t>
      </w:r>
      <w:r w:rsidRPr="006C5355">
        <w:rPr>
          <w:rFonts w:ascii="Arial" w:hAnsi="Arial" w:cs="Arial"/>
        </w:rPr>
        <w:fldChar w:fldCharType="end"/>
      </w:r>
      <w:r w:rsidRPr="006C5355">
        <w:rPr>
          <w:rFonts w:ascii="Arial" w:hAnsi="Arial" w:cs="Arial"/>
        </w:rPr>
        <w:t xml:space="preserve">. The </w:t>
      </w:r>
      <w:r w:rsidRPr="006C5355">
        <w:rPr>
          <w:rStyle w:val="Strong"/>
          <w:rFonts w:ascii="Arial" w:hAnsi="Arial" w:cs="Arial"/>
          <w:b w:val="0"/>
          <w:bCs w:val="0"/>
        </w:rPr>
        <w:t>Cameroon Guide</w:t>
      </w:r>
      <w:r w:rsidRPr="006C5355">
        <w:rPr>
          <w:rFonts w:ascii="Arial" w:hAnsi="Arial" w:cs="Arial"/>
        </w:rPr>
        <w:t xml:space="preserve">, which aligns with these global recommendations, restricts ceftriaxone's use to </w:t>
      </w:r>
      <w:r w:rsidRPr="006C5355">
        <w:rPr>
          <w:rStyle w:val="Strong"/>
          <w:rFonts w:ascii="Arial" w:hAnsi="Arial" w:cs="Arial"/>
          <w:b w:val="0"/>
          <w:bCs w:val="0"/>
        </w:rPr>
        <w:t>severe infections</w:t>
      </w:r>
      <w:r w:rsidRPr="006C5355">
        <w:rPr>
          <w:rFonts w:ascii="Arial" w:hAnsi="Arial" w:cs="Arial"/>
        </w:rPr>
        <w:t xml:space="preserve"> and </w:t>
      </w:r>
      <w:r w:rsidRPr="006C5355">
        <w:rPr>
          <w:rStyle w:val="Strong"/>
          <w:rFonts w:ascii="Arial" w:hAnsi="Arial" w:cs="Arial"/>
          <w:b w:val="0"/>
          <w:bCs w:val="0"/>
        </w:rPr>
        <w:t>second-line treatments</w:t>
      </w:r>
      <w:r w:rsidRPr="006C5355">
        <w:rPr>
          <w:rFonts w:ascii="Arial" w:hAnsi="Arial" w:cs="Arial"/>
        </w:rPr>
        <w:t xml:space="preserve"> in certain cases. Despite this, the high prescription rate of ceftriaxone in </w:t>
      </w:r>
      <w:r w:rsidRPr="006C5355">
        <w:rPr>
          <w:rStyle w:val="Strong"/>
          <w:rFonts w:ascii="Arial" w:hAnsi="Arial" w:cs="Arial"/>
          <w:b w:val="0"/>
          <w:bCs w:val="0"/>
        </w:rPr>
        <w:t>Buea</w:t>
      </w:r>
      <w:r w:rsidRPr="006C5355">
        <w:rPr>
          <w:rFonts w:ascii="Arial" w:hAnsi="Arial" w:cs="Arial"/>
        </w:rPr>
        <w:t xml:space="preserve"> may indicate a derailment from </w:t>
      </w:r>
      <w:r w:rsidRPr="006C5355">
        <w:rPr>
          <w:rStyle w:val="Strong"/>
          <w:rFonts w:ascii="Arial" w:hAnsi="Arial" w:cs="Arial"/>
          <w:b w:val="0"/>
          <w:bCs w:val="0"/>
        </w:rPr>
        <w:t>these guidelines</w:t>
      </w:r>
      <w:r w:rsidRPr="006C5355">
        <w:rPr>
          <w:rFonts w:ascii="Arial" w:hAnsi="Arial" w:cs="Arial"/>
        </w:rPr>
        <w:t xml:space="preserve">, possibly contributing to </w:t>
      </w:r>
      <w:r w:rsidRPr="006C5355">
        <w:rPr>
          <w:rStyle w:val="Strong"/>
          <w:rFonts w:ascii="Arial" w:hAnsi="Arial" w:cs="Arial"/>
          <w:b w:val="0"/>
          <w:bCs w:val="0"/>
        </w:rPr>
        <w:t>unnecessary overuse</w:t>
      </w:r>
      <w:r w:rsidRPr="006C5355">
        <w:rPr>
          <w:rFonts w:ascii="Arial" w:hAnsi="Arial" w:cs="Arial"/>
        </w:rPr>
        <w:t xml:space="preserve">. When ceftriaxone is prescribed inappropriately for conditions that do not require such a </w:t>
      </w:r>
      <w:r w:rsidRPr="006C5355">
        <w:rPr>
          <w:rStyle w:val="Strong"/>
          <w:rFonts w:ascii="Arial" w:hAnsi="Arial" w:cs="Arial"/>
          <w:b w:val="0"/>
          <w:bCs w:val="0"/>
        </w:rPr>
        <w:t>potent agent</w:t>
      </w:r>
      <w:r w:rsidRPr="006C5355">
        <w:rPr>
          <w:rFonts w:ascii="Arial" w:hAnsi="Arial" w:cs="Arial"/>
        </w:rPr>
        <w:t xml:space="preserve">, it creates significant risks for the emergence of </w:t>
      </w:r>
      <w:r w:rsidRPr="006C5355">
        <w:rPr>
          <w:rStyle w:val="Strong"/>
          <w:rFonts w:ascii="Arial" w:hAnsi="Arial" w:cs="Arial"/>
          <w:b w:val="0"/>
          <w:bCs w:val="0"/>
        </w:rPr>
        <w:t xml:space="preserve">resistant pathogens </w:t>
      </w:r>
      <w:r w:rsidRPr="006C5355">
        <w:rPr>
          <w:rStyle w:val="Strong"/>
          <w:rFonts w:ascii="Arial" w:hAnsi="Arial" w:cs="Arial"/>
          <w:b w:val="0"/>
          <w:bCs w:val="0"/>
        </w:rPr>
        <w:fldChar w:fldCharType="begin"/>
      </w:r>
      <w:r w:rsidR="006A2BA1">
        <w:rPr>
          <w:rStyle w:val="Strong"/>
          <w:rFonts w:ascii="Arial" w:hAnsi="Arial" w:cs="Arial"/>
          <w:b w:val="0"/>
          <w:bCs w:val="0"/>
        </w:rPr>
        <w:instrText xml:space="preserve"> ADDIN ZOTERO_ITEM CSL_CITATION {"citationID":"oTV1xzv4","properties":{"formattedCitation":"(King et al., 2019)","plainCitation":"(King et al., 2019)","noteIndex":0},"citationItems":[{"id":365,"uris":["http://zotero.org/users/13099140/items/EDZDWKME"],"itemData":{"id":365,"type":"article-journal","container-title":"Infection Control &amp; Hospital Epidemiology","DOI":"10.1017/ice.2019.21","ISSN":"0899-823X, 1559-6834","issue":"4","journalAbbreviation":"Infect. Control Hosp. Epidemiol.","language":"en","license":"https://www.cambridge.org/core/terms","page":"487-490","source":"DOI.org (Crossref)","title":"Inappropriate ceftriaxone use in outpatient acute respiratory infection management","volume":"40","author":[{"family":"King","given":"Laura M."},{"family":"Talley","given":"Pamela"},{"family":"Kainer","given":"Marion A."},{"family":"Evans","given":"Christopher D."},{"family":"Adre","given":"Cullen"},{"family":"Hicks","given":"Lauri A."},{"family":"Fleming-Dutra","given":"Katherine E."}],"issued":{"date-parts":[["2019",4]]}}}],"schema":"https://github.com/citation-style-language/schema/raw/master/csl-citation.json"} </w:instrText>
      </w:r>
      <w:r w:rsidRPr="006C5355">
        <w:rPr>
          <w:rStyle w:val="Strong"/>
          <w:rFonts w:ascii="Arial" w:hAnsi="Arial" w:cs="Arial"/>
          <w:b w:val="0"/>
          <w:bCs w:val="0"/>
        </w:rPr>
        <w:fldChar w:fldCharType="separate"/>
      </w:r>
      <w:r w:rsidR="00182627" w:rsidRPr="00182627">
        <w:rPr>
          <w:rFonts w:ascii="Arial" w:hAnsi="Arial" w:cs="Arial"/>
        </w:rPr>
        <w:t>(King et al., 2019)</w:t>
      </w:r>
      <w:r w:rsidRPr="006C5355">
        <w:rPr>
          <w:rStyle w:val="Strong"/>
          <w:rFonts w:ascii="Arial" w:hAnsi="Arial" w:cs="Arial"/>
          <w:b w:val="0"/>
          <w:bCs w:val="0"/>
        </w:rPr>
        <w:fldChar w:fldCharType="end"/>
      </w:r>
      <w:r w:rsidRPr="006C5355">
        <w:rPr>
          <w:rFonts w:ascii="Arial" w:hAnsi="Arial" w:cs="Arial"/>
        </w:rPr>
        <w:t>.</w:t>
      </w:r>
      <w:r w:rsidRPr="006C5355">
        <w:rPr>
          <w:rStyle w:val="Strong"/>
          <w:rFonts w:ascii="Arial" w:hAnsi="Arial" w:cs="Arial"/>
          <w:b w:val="0"/>
          <w:bCs w:val="0"/>
        </w:rPr>
        <w:t xml:space="preserve"> </w:t>
      </w:r>
    </w:p>
    <w:p w14:paraId="045EA0C3" w14:textId="3B5A6ACC" w:rsidR="006C5355" w:rsidRPr="006C5355" w:rsidRDefault="006C5355" w:rsidP="006C5355">
      <w:pPr>
        <w:spacing w:before="100" w:beforeAutospacing="1" w:after="100" w:afterAutospacing="1" w:line="480" w:lineRule="auto"/>
        <w:jc w:val="both"/>
        <w:rPr>
          <w:rFonts w:ascii="Arial" w:hAnsi="Arial" w:cs="Arial"/>
        </w:rPr>
      </w:pPr>
      <w:r w:rsidRPr="006C5355">
        <w:rPr>
          <w:rFonts w:ascii="Arial" w:hAnsi="Arial" w:cs="Arial"/>
        </w:rPr>
        <w:t xml:space="preserve">Injectables are intended primarily for in-patients or severe infections, where dosing, sterility and patient monitoring can be assured </w:t>
      </w:r>
      <w:r w:rsidRPr="006C5355">
        <w:rPr>
          <w:rFonts w:ascii="Arial" w:hAnsi="Arial" w:cs="Arial"/>
        </w:rPr>
        <w:fldChar w:fldCharType="begin"/>
      </w:r>
      <w:r w:rsidR="00182627">
        <w:rPr>
          <w:rFonts w:ascii="Arial" w:hAnsi="Arial" w:cs="Arial"/>
        </w:rPr>
        <w:instrText xml:space="preserve"> ADDIN ZOTERO_ITEM CSL_CITATION {"citationID":"5xrOStgL","properties":{"formattedCitation":"(\\uc0\\u8220{}Best Practices for Injection,\\uc0\\u8221{} 2010)","plainCitation":"(“Best Practices for Injection,” 2010)","noteIndex":0},"citationItems":[{"id":367,"uris":["http://zotero.org/users/13099140/items/RTAEVHG5"],"itemData":{"id":367,"type":"chapter","abstract":"This chapter assimilates the best practices for delivering injections in health-care and related facilities. It is based on a range of evidence and expands the scope of the WHO publication Best infection control practices for intradermal, subcutaneous, and intramuscular needle injection (7). The chapter outlines recommended practices, skin preparation, preparation and administration of injections, and related health procedures.","container-title":"WHO Best Practices for Injections and Related Procedures Toolkit","language":"en","publisher":"World Health Organization","source":"www.ncbi.nlm.nih.gov","title":"Best practices for injection","URL":"https://www.ncbi.nlm.nih.gov/books/NBK138495/","accessed":{"date-parts":[["2025",10,27]]},"issued":{"date-parts":[["2010",3]]}}}],"schema":"https://github.com/citation-style-language/schema/raw/master/csl-citation.json"} </w:instrText>
      </w:r>
      <w:r w:rsidRPr="006C5355">
        <w:rPr>
          <w:rFonts w:ascii="Arial" w:hAnsi="Arial" w:cs="Arial"/>
        </w:rPr>
        <w:fldChar w:fldCharType="separate"/>
      </w:r>
      <w:r w:rsidR="00182627" w:rsidRPr="00182627">
        <w:rPr>
          <w:rFonts w:ascii="Arial" w:hAnsi="Arial" w:cs="Arial"/>
          <w:szCs w:val="24"/>
        </w:rPr>
        <w:t>(“Best Practices for Injection,” 2010)</w:t>
      </w:r>
      <w:r w:rsidRPr="006C5355">
        <w:rPr>
          <w:rFonts w:ascii="Arial" w:hAnsi="Arial" w:cs="Arial"/>
        </w:rPr>
        <w:fldChar w:fldCharType="end"/>
      </w:r>
      <w:r w:rsidRPr="006C5355">
        <w:rPr>
          <w:rFonts w:ascii="Arial" w:hAnsi="Arial" w:cs="Arial"/>
        </w:rPr>
        <w:t xml:space="preserve">. Ceftriaxone is primarily available in an injectable form, which means it requires skilled professionals to properly administer the drug intravenously. However, the over-sale of ceftriaxone as seen in this study implies that the drug is most likely being used outside formal clinical settings, potentially by non-professional healthcare providers. Studies have shown that non-professionals are frequently involved in the sale and administration of injectable antibiotics, which poses serious risks of adverse reactions and AMR, associated with incorrect administration techniques and suboptimal dosing </w:t>
      </w:r>
      <w:r w:rsidRPr="006C5355">
        <w:rPr>
          <w:rFonts w:ascii="Arial" w:hAnsi="Arial" w:cs="Arial"/>
        </w:rPr>
        <w:fldChar w:fldCharType="begin"/>
      </w:r>
      <w:r w:rsidR="00182627">
        <w:rPr>
          <w:rFonts w:ascii="Arial" w:hAnsi="Arial" w:cs="Arial"/>
        </w:rPr>
        <w:instrText xml:space="preserve"> ADDIN ZOTERO_ITEM CSL_CITATION {"citationID":"ZOq6QQj6","properties":{"formattedCitation":"(Akande-Sholabi &amp; Oyesiji, 2023; Alabi et al., 2025; Belachew et al., 2021)","plainCitation":"(Akande-Sholabi &amp; Oyesiji, 2023; Alabi et al., 2025; Belachew et al., 2021)","noteIndex":0},"citationItems":[{"id":370,"uris":["http://zotero.org/users/13099140/items/7PB87R98"],"itemData":{"id":370,"type":"article-journal","container-title":"One Health","DOI":"10.1016/j.onehlt.2025.101053","ISSN":"23527714","journalAbbreviation":"One Health","language":"en","page":"101053","source":"DOI.org (Crossref)","title":"A review of antimicrobial resistance challenges in Nigeria: The need for a one health approach","title-short":"A review of antimicrobial resistance challenges in Nigeria","volume":"20","author":[{"family":"Alabi","given":"Emmanuel Dayo"},{"family":"Rabiu","given":"Akeem Ganiyu"},{"family":"Adesoji","given":"Ayodele Timilehin"}],"issued":{"date-parts":[["2025",6]]}}},{"id":368,"uris":["http://zotero.org/users/13099140/items/Q2FTT9XC"],"itemData":{"id":368,"type":"article-journal","container-title":"Journal of Pharmaceutical Policy and Practice","DOI":"10.1186/s40545-023-00629-x","ISSN":"2052-3211","issue":"1","journalAbbreviation":"J of Pharm Policy and Pract","language":"en","page":"120","source":"DOI.org (Crossref)","title":"Antimicrobial stewardship: knowledge, perceptions, and factors associated with antibiotics misuse among consumer’s visiting the community pharmacies in a Nigeria Southwestern State","title-short":"Antimicrobial stewardship","volume":"16","author":[{"family":"Akande-Sholabi","given":"Wuraola"},{"family":"Oyesiji","given":"Eunice"}],"issued":{"date-parts":[["2023",12,31]]}}},{"id":372,"uris":["http://zotero.org/users/13099140/items/YKXEFAQV"],"itemData":{"id":372,"type":"article-journal","abstract":"Abstract\n            \n              Background\n              Non-prescription dispensing of antibiotics, one of the main sources of antibiotic misuse or over use, is a global challenge with detrimental public health consequences including acceleration of the development of antimicrobial resistance, and is facilitated by various intrinsic and extrinsic drivers. The current review aimed to systematically summarise and synthesise the qualitative literature regarding drivers of non-prescribed sale of antibiotics among community drug retail outlets in low and middle income countries.\n            \n            \n              Methods\n              Four electronic databases (PubMed, CINAHL, Scopus and Google Scholar) and reference lists of the relevant articles were searched. The Joanna Briggs Institute’s Critical Appraisal Checklist for qualitative studies was used to assess the quality of included studies. The enhancing transparency in reporting the synthesis of qualitative research statement was used to guide reporting of results. Data were coded using NVivo 12 software and analysed using both inductive and deductive thematic analysis.\n            \n            \n              Results\n              A total of 23 articles underwent full text review and 12 of these met the inclusion criteria. Four main themes were identified in relation to facilitators of non-prescribed sale of antibiotics among community drug retail outlets: i) the business orientation of community drug retail outlets and tension between professionalism and commercialism; ii) customers’ demand pressure and expectation; iii); absence of or a lax enforcement of regulations; and iv) community drug retail outlet staff’s lack of knowledge and poor attitudes about antibiotics use and scope of practice regarding provision.\n            \n            \n              Conclusions\n              This review identified several potentially amendable reasons in relation to over the counter dispensing of antibiotics. To contain the rise of antibiotic misuse or over use by targeting the primary drivers, this review suggests the need for strict law enforcement or enacting new strong regulation to control antibiotic dispensing, continuous and overarching refresher training for community drug retail outlet staff about antibiotic stewardship, and holding public awareness campaigns regarding rational antibiotic use.","container-title":"BMC Public Health","DOI":"10.1186/s12889-021-11163-3","ISSN":"1471-2458","issue":"1","journalAbbreviation":"BMC Public Health","language":"en","page":"1056","source":"DOI.org (Crossref)","title":"No prescription? No problem: drivers of non-prescribed sale of antibiotics among community drug retail outlets in low and middle income countries: a systematic review of qualitative studies","title-short":"No prescription?","volume":"21","author":[{"family":"Belachew","given":"Sewunet Admasu"},{"family":"Hall","given":"Lisa"},{"family":"Erku","given":"Daniel Asfaw"},{"family":"Selvey","given":"Linda A."}],"issued":{"date-parts":[["2021",12]]}}}],"schema":"https://github.com/citation-style-language/schema/raw/master/csl-citation.json"} </w:instrText>
      </w:r>
      <w:r w:rsidRPr="006C5355">
        <w:rPr>
          <w:rFonts w:ascii="Arial" w:hAnsi="Arial" w:cs="Arial"/>
        </w:rPr>
        <w:fldChar w:fldCharType="separate"/>
      </w:r>
      <w:r w:rsidR="00182627" w:rsidRPr="00182627">
        <w:rPr>
          <w:rFonts w:ascii="Arial" w:hAnsi="Arial" w:cs="Arial"/>
        </w:rPr>
        <w:t>(Akande-Sholabi &amp; Oyesiji, 2023; Alabi et al., 2025; Belachew et al., 2021)</w:t>
      </w:r>
      <w:r w:rsidRPr="006C5355">
        <w:rPr>
          <w:rFonts w:ascii="Arial" w:hAnsi="Arial" w:cs="Arial"/>
        </w:rPr>
        <w:fldChar w:fldCharType="end"/>
      </w:r>
      <w:r w:rsidRPr="006C5355">
        <w:rPr>
          <w:rFonts w:ascii="Arial" w:hAnsi="Arial" w:cs="Arial"/>
        </w:rPr>
        <w:t>.</w:t>
      </w:r>
    </w:p>
    <w:p w14:paraId="3D4A03C6" w14:textId="076FCD8C" w:rsidR="006C5355" w:rsidRPr="006C5355" w:rsidRDefault="006C5355" w:rsidP="006C5355">
      <w:pPr>
        <w:spacing w:line="480" w:lineRule="auto"/>
        <w:jc w:val="both"/>
        <w:rPr>
          <w:rFonts w:ascii="Arial" w:hAnsi="Arial" w:cs="Arial"/>
        </w:rPr>
      </w:pPr>
      <w:r w:rsidRPr="006C5355">
        <w:rPr>
          <w:rFonts w:ascii="Arial" w:hAnsi="Arial" w:cs="Arial"/>
        </w:rPr>
        <w:t xml:space="preserve">The fact that doxycycline and azithromycin are among the most sold antibiotics but not among the most prescribed antibiotics in Buea Health district (three most prescribed different from three most sold) by medical professionals raises the following question: who is prescribing or administering these antibiotics? The dispensation of these drugs without prescription suggests that they may be self-medicated by patients or obtained over-the-counter from pharmacies. The over sale of Azithromycin could also be linked to its use as part of the treatment for COVID-19 even in the absence of proper diagnosis and no direct evidence of cure </w:t>
      </w:r>
      <w:r w:rsidRPr="006C5355">
        <w:rPr>
          <w:rFonts w:ascii="Arial" w:hAnsi="Arial" w:cs="Arial"/>
        </w:rPr>
        <w:fldChar w:fldCharType="begin"/>
      </w:r>
      <w:r w:rsidR="00182627">
        <w:rPr>
          <w:rFonts w:ascii="Arial" w:hAnsi="Arial" w:cs="Arial"/>
        </w:rPr>
        <w:instrText xml:space="preserve"> ADDIN ZOTERO_ITEM CSL_CITATION {"citationID":"51fuPNg8","properties":{"formattedCitation":"(Kournoutou &amp; Dinos, 2022)","plainCitation":"(Kournoutou &amp; Dinos, 2022)","noteIndex":0},"citationItems":[{"id":374,"uris":["http://zotero.org/users/13099140/items/9GXJMWZV"],"itemData":{"id":374,"type":"article-journal","abstract":"Azithromycin has become famous in the last two years, not for its main antimicrobial effect, but for its potential use as a therapeutic agent for COVID-19 infection. Initially, there were some promising results that supported its use, but it has become clear that scientific results are insufficient to support such a positive assessment. In this review we will present all the literature data concerning the activity of azithromycin as an antimicrobial, an anti-inflammatory, or an antivirus agent. Our aim is to conclude whether its selection should remain as a valuable antivirus agent or if its use simply has an indirect therapeutic contribution due to its antimicrobial and/or immunomodulatory activity, and therefore, if its further use for COVID-19 treatment should be interrupted. This halt will prevent further antibiotic resistance expansion and will keep azithromycin as a valuable anti-infective therapeutic agent.","container-title":"Antibiotics","DOI":"10.3390/antibiotics11081063","ISSN":"2079-6382","issue":"8","journalAbbreviation":"Antibiotics","language":"en","page":"1063","source":"DOI.org (Crossref)","title":"Azithromycin through the Lens of the COVID-19 Treatment","volume":"11","author":[{"family":"Kournoutou","given":"Georgia G."},{"family":"Dinos","given":"George"}],"issued":{"date-parts":[["2022",8,5]]}}}],"schema":"https://github.com/citation-style-language/schema/raw/master/csl-citation.json"} </w:instrText>
      </w:r>
      <w:r w:rsidRPr="006C5355">
        <w:rPr>
          <w:rFonts w:ascii="Arial" w:hAnsi="Arial" w:cs="Arial"/>
        </w:rPr>
        <w:fldChar w:fldCharType="separate"/>
      </w:r>
      <w:r w:rsidR="00182627" w:rsidRPr="00182627">
        <w:rPr>
          <w:rFonts w:ascii="Arial" w:hAnsi="Arial" w:cs="Arial"/>
        </w:rPr>
        <w:t>(Kournoutou &amp; Dinos, 2022)</w:t>
      </w:r>
      <w:r w:rsidRPr="006C5355">
        <w:rPr>
          <w:rFonts w:ascii="Arial" w:hAnsi="Arial" w:cs="Arial"/>
        </w:rPr>
        <w:fldChar w:fldCharType="end"/>
      </w:r>
      <w:r w:rsidRPr="006C5355">
        <w:rPr>
          <w:rFonts w:ascii="Arial" w:hAnsi="Arial" w:cs="Arial"/>
        </w:rPr>
        <w:t>. This further supports the notion of self-medication and improper use.</w:t>
      </w:r>
    </w:p>
    <w:p w14:paraId="5B7F9FD7" w14:textId="5A2B8B12" w:rsidR="006C5355" w:rsidRPr="006C5355" w:rsidRDefault="006C5355" w:rsidP="006C5355">
      <w:pPr>
        <w:spacing w:line="480" w:lineRule="auto"/>
        <w:jc w:val="both"/>
        <w:rPr>
          <w:rFonts w:ascii="Arial" w:hAnsi="Arial" w:cs="Arial"/>
        </w:rPr>
      </w:pPr>
      <w:r w:rsidRPr="006C5355">
        <w:rPr>
          <w:rFonts w:ascii="Arial" w:hAnsi="Arial" w:cs="Arial"/>
        </w:rPr>
        <w:lastRenderedPageBreak/>
        <w:t xml:space="preserve">Furthermore, veterinary use of antibiotics, especially doxycycline, could also contribute to its high sales. Doxycycline is often used in animal health to treat infections in livestock and pets </w:t>
      </w:r>
      <w:r w:rsidRPr="006C5355">
        <w:rPr>
          <w:rFonts w:ascii="Arial" w:hAnsi="Arial" w:cs="Arial"/>
        </w:rPr>
        <w:fldChar w:fldCharType="begin"/>
      </w:r>
      <w:r w:rsidR="006A2BA1">
        <w:rPr>
          <w:rFonts w:ascii="Arial" w:hAnsi="Arial" w:cs="Arial"/>
        </w:rPr>
        <w:instrText xml:space="preserve"> ADDIN ZOTERO_ITEM CSL_CITATION {"citationID":"C6xtpXaI","properties":{"formattedCitation":"(Mwangi, n.d.)","plainCitation":"(Mwangi, n.d.)","noteIndex":0},"citationItems":[{"id":376,"uris":["http://zotero.org/users/13099140/items/2ELVBSHP"],"itemData":{"id":376,"type":"webpage","abstract":"Discover how doxycycline aids in treating pet infections. Learn about its function, benefits, potential side effects, and essential usage guidelines. </w:instrText>
      </w:r>
      <w:r w:rsidR="006A2BA1">
        <w:rPr>
          <w:rFonts w:ascii="Segoe UI Emoji" w:hAnsi="Segoe UI Emoji" w:cs="Segoe UI Emoji"/>
        </w:rPr>
        <w:instrText>🐾💊</w:instrText>
      </w:r>
      <w:r w:rsidR="006A2BA1">
        <w:rPr>
          <w:rFonts w:ascii="Arial" w:hAnsi="Arial" w:cs="Arial"/>
        </w:rPr>
        <w:instrText xml:space="preserve">","language":"en","title":"Understanding Doxycycline: A Key Antibiotic for Pets","title-short":"Understanding Doxycycline","URL":"https://harvestharmonies.com/articles/understanding-doxycycline-veterinary-medicine/","author":[{"family":"Mwangi","given":"Nia"}],"accessed":{"date-parts":[["2025",10,27]]}}}],"schema":"https://github.com/citation-style-language/schema/raw/master/csl-citation.json"} </w:instrText>
      </w:r>
      <w:r w:rsidRPr="006C5355">
        <w:rPr>
          <w:rFonts w:ascii="Arial" w:hAnsi="Arial" w:cs="Arial"/>
        </w:rPr>
        <w:fldChar w:fldCharType="separate"/>
      </w:r>
      <w:r w:rsidR="00182627" w:rsidRPr="00182627">
        <w:rPr>
          <w:rFonts w:ascii="Arial" w:hAnsi="Arial" w:cs="Arial"/>
        </w:rPr>
        <w:t>(Mwangi, n.d.)</w:t>
      </w:r>
      <w:r w:rsidRPr="006C5355">
        <w:rPr>
          <w:rFonts w:ascii="Arial" w:hAnsi="Arial" w:cs="Arial"/>
        </w:rPr>
        <w:fldChar w:fldCharType="end"/>
      </w:r>
      <w:r w:rsidRPr="006C5355">
        <w:rPr>
          <w:rFonts w:ascii="Arial" w:hAnsi="Arial" w:cs="Arial"/>
        </w:rPr>
        <w:t>. The purchase and use of doxycycline for veterinary purposes in Buea Health district could explain the higher sales of doxycycline compared to its prescribed use for human infections.</w:t>
      </w:r>
    </w:p>
    <w:p w14:paraId="4A23DDF0" w14:textId="77777777" w:rsidR="006C5355" w:rsidRPr="006C5355" w:rsidRDefault="006C5355" w:rsidP="006C5355">
      <w:pPr>
        <w:spacing w:line="480" w:lineRule="auto"/>
        <w:jc w:val="both"/>
        <w:rPr>
          <w:rFonts w:ascii="Arial" w:hAnsi="Arial" w:cs="Arial"/>
        </w:rPr>
      </w:pPr>
      <w:r w:rsidRPr="006C5355">
        <w:rPr>
          <w:rFonts w:ascii="Arial" w:hAnsi="Arial" w:cs="Arial"/>
        </w:rPr>
        <w:t>The discrepancy between the most prescribed and most sold antibiotics also points to potential gaps in regulatory enforcement regarding the sale and distribution of antibiotics. If non-prescribed antibiotics are being dispensed freely in pharmacies or from unlicensed sellers, it indicates that there are unsatisfactory controls in place to prohibit the sale of antibiotics without prescriptions. This raises concerns about public health and the growing threat of AMR due to the unsupervised use of potent antibiotics.</w:t>
      </w:r>
    </w:p>
    <w:p w14:paraId="5D060A11" w14:textId="77777777" w:rsidR="006C5355" w:rsidRPr="006C5355" w:rsidRDefault="006C5355" w:rsidP="006C5355">
      <w:pPr>
        <w:spacing w:line="480" w:lineRule="auto"/>
        <w:jc w:val="both"/>
        <w:rPr>
          <w:rFonts w:ascii="Arial" w:hAnsi="Arial" w:cs="Arial"/>
        </w:rPr>
      </w:pPr>
      <w:r w:rsidRPr="006C5355">
        <w:rPr>
          <w:rFonts w:ascii="Arial" w:hAnsi="Arial" w:cs="Arial"/>
        </w:rPr>
        <w:t xml:space="preserve">This study had some limitations. Sampling of doctors and drug sellers was </w:t>
      </w:r>
      <w:r w:rsidRPr="006C5355">
        <w:rPr>
          <w:rStyle w:val="Strong"/>
          <w:rFonts w:ascii="Arial" w:hAnsi="Arial" w:cs="Arial"/>
          <w:b w:val="0"/>
          <w:bCs w:val="0"/>
        </w:rPr>
        <w:t>non-probabilistic</w:t>
      </w:r>
      <w:r w:rsidRPr="006C5355">
        <w:rPr>
          <w:rFonts w:ascii="Arial" w:hAnsi="Arial" w:cs="Arial"/>
        </w:rPr>
        <w:t xml:space="preserve"> and so this may have excluded some informal vendors operating clandestinely and unregistered prescribers, limiting how well findings represent the entire Buea Health district. In addition, Prescription and sales data were obtained </w:t>
      </w:r>
      <w:r w:rsidRPr="006C5355">
        <w:rPr>
          <w:rStyle w:val="Strong"/>
          <w:rFonts w:ascii="Arial" w:hAnsi="Arial" w:cs="Arial"/>
          <w:b w:val="0"/>
          <w:bCs w:val="0"/>
        </w:rPr>
        <w:t>through questionnaires and self-report</w:t>
      </w:r>
      <w:r w:rsidRPr="006C5355">
        <w:rPr>
          <w:rFonts w:ascii="Arial" w:hAnsi="Arial" w:cs="Arial"/>
        </w:rPr>
        <w:t xml:space="preserve">, not from prescription logs or pharmacy sales records. Self-reporting in this context may be subject to </w:t>
      </w:r>
      <w:r w:rsidRPr="006C5355">
        <w:rPr>
          <w:rStyle w:val="Strong"/>
          <w:rFonts w:ascii="Arial" w:hAnsi="Arial" w:cs="Arial"/>
          <w:b w:val="0"/>
          <w:bCs w:val="0"/>
        </w:rPr>
        <w:t>recall bias</w:t>
      </w:r>
      <w:r w:rsidRPr="006C5355">
        <w:rPr>
          <w:rFonts w:ascii="Arial" w:hAnsi="Arial" w:cs="Arial"/>
        </w:rPr>
        <w:t>. Some respondents may have over- or under-reported certain antibiotics.</w:t>
      </w:r>
    </w:p>
    <w:p w14:paraId="4BBD0BC3" w14:textId="77777777" w:rsidR="006C5355" w:rsidRDefault="006C5355" w:rsidP="006C5355">
      <w:pPr>
        <w:spacing w:line="480" w:lineRule="auto"/>
        <w:jc w:val="both"/>
      </w:pPr>
    </w:p>
    <w:p w14:paraId="2A7AC690" w14:textId="77777777" w:rsidR="00790ADA" w:rsidRPr="00FB3A86" w:rsidRDefault="00790ADA" w:rsidP="00441B6F">
      <w:pPr>
        <w:pStyle w:val="Body"/>
        <w:spacing w:after="0"/>
        <w:rPr>
          <w:rFonts w:ascii="Arial" w:hAnsi="Arial" w:cs="Arial"/>
        </w:rPr>
      </w:pPr>
    </w:p>
    <w:p w14:paraId="43203BE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A80D73" w14:textId="77777777" w:rsidR="00790ADA" w:rsidRPr="00FB3A86" w:rsidRDefault="00790ADA" w:rsidP="00441B6F">
      <w:pPr>
        <w:pStyle w:val="ConcHead"/>
        <w:spacing w:after="0"/>
        <w:jc w:val="both"/>
        <w:rPr>
          <w:rFonts w:ascii="Arial" w:hAnsi="Arial" w:cs="Arial"/>
        </w:rPr>
      </w:pPr>
    </w:p>
    <w:p w14:paraId="24CF973F" w14:textId="7E3E2224" w:rsidR="006C5355" w:rsidRPr="006C5355" w:rsidRDefault="006C5355" w:rsidP="006C5355">
      <w:pPr>
        <w:pStyle w:val="ListParagraph"/>
        <w:spacing w:after="0" w:line="480" w:lineRule="auto"/>
        <w:ind w:left="0"/>
        <w:jc w:val="both"/>
        <w:rPr>
          <w:rStyle w:val="Strong"/>
          <w:rFonts w:cs="Times New Roman"/>
          <w:b w:val="0"/>
          <w:bCs w:val="0"/>
        </w:rPr>
      </w:pPr>
      <w:r w:rsidRPr="006C5355">
        <w:rPr>
          <w:rFonts w:cs="Times New Roman"/>
        </w:rPr>
        <w:t xml:space="preserve">The three most prescribed antibiotics in the Buea Health District are ceftriaxone (56.1%), Amoxicillin/clavulanic Acid (25.8%) and Metronidazole (24.2%). The Public health sector should ensure that WATCH antibiotics like </w:t>
      </w:r>
      <w:r w:rsidRPr="006C5355">
        <w:rPr>
          <w:rStyle w:val="Strong"/>
          <w:rFonts w:cs="Times New Roman"/>
          <w:b w:val="0"/>
          <w:bCs w:val="0"/>
        </w:rPr>
        <w:t>ceftriaxone</w:t>
      </w:r>
      <w:r w:rsidRPr="006C5355">
        <w:rPr>
          <w:rFonts w:cs="Times New Roman"/>
        </w:rPr>
        <w:t xml:space="preserve"> are prescribed appropriately, promoting the use of </w:t>
      </w:r>
      <w:r w:rsidRPr="006C5355">
        <w:rPr>
          <w:rStyle w:val="Strong"/>
          <w:rFonts w:cs="Times New Roman"/>
          <w:b w:val="0"/>
          <w:bCs w:val="0"/>
        </w:rPr>
        <w:t>narrow-spectrum antibiotics</w:t>
      </w:r>
      <w:r w:rsidRPr="006C5355">
        <w:rPr>
          <w:rFonts w:cs="Times New Roman"/>
        </w:rPr>
        <w:t xml:space="preserve"> where possible to combat </w:t>
      </w:r>
      <w:r w:rsidRPr="006C5355">
        <w:rPr>
          <w:rStyle w:val="Strong"/>
          <w:rFonts w:cs="Times New Roman"/>
          <w:b w:val="0"/>
          <w:bCs w:val="0"/>
        </w:rPr>
        <w:t>antimicrobial resistance</w:t>
      </w:r>
      <w:r w:rsidRPr="006C5355">
        <w:rPr>
          <w:rFonts w:cs="Times New Roman"/>
        </w:rPr>
        <w:t xml:space="preserve">. This may require </w:t>
      </w:r>
      <w:r w:rsidRPr="006C5355">
        <w:rPr>
          <w:rStyle w:val="Strong"/>
          <w:rFonts w:cs="Times New Roman"/>
          <w:b w:val="0"/>
          <w:bCs w:val="0"/>
        </w:rPr>
        <w:t xml:space="preserve">educating of medical doctors on </w:t>
      </w:r>
      <w:proofErr w:type="spellStart"/>
      <w:r w:rsidRPr="006C5355">
        <w:rPr>
          <w:rStyle w:val="Strong"/>
          <w:rFonts w:cs="Times New Roman"/>
          <w:b w:val="0"/>
          <w:bCs w:val="0"/>
        </w:rPr>
        <w:t>AWaRE</w:t>
      </w:r>
      <w:proofErr w:type="spellEnd"/>
      <w:r w:rsidRPr="006C5355">
        <w:rPr>
          <w:rStyle w:val="Strong"/>
          <w:rFonts w:cs="Times New Roman"/>
          <w:b w:val="0"/>
          <w:bCs w:val="0"/>
        </w:rPr>
        <w:t xml:space="preserve"> classification of antibiotics.</w:t>
      </w:r>
      <w:r w:rsidRPr="006C5355">
        <w:rPr>
          <w:rStyle w:val="Strong"/>
          <w:rFonts w:cs="Times New Roman"/>
        </w:rPr>
        <w:t xml:space="preserve">  </w:t>
      </w:r>
      <w:r w:rsidRPr="006C5355">
        <w:rPr>
          <w:rFonts w:cs="Times New Roman"/>
        </w:rPr>
        <w:t xml:space="preserve">The three most sold antibiotics in the </w:t>
      </w:r>
      <w:r w:rsidRPr="006C5355">
        <w:rPr>
          <w:rFonts w:cs="Times New Roman"/>
        </w:rPr>
        <w:lastRenderedPageBreak/>
        <w:t xml:space="preserve">Buea Health District are ceftriaxone (40.9%), Doxycycline (30.3%) and Azithromycin (31.1%). </w:t>
      </w:r>
      <w:r w:rsidRPr="006C5355">
        <w:rPr>
          <w:rStyle w:val="Strong"/>
          <w:rFonts w:cs="Times New Roman"/>
          <w:b w:val="0"/>
          <w:bCs w:val="0"/>
        </w:rPr>
        <w:t>In order to maximize the chances of having the three most prescribed antibiotics being the same as the three most sold</w:t>
      </w:r>
      <w:r w:rsidRPr="006C5355">
        <w:rPr>
          <w:rStyle w:val="Strong"/>
          <w:rFonts w:cs="Times New Roman"/>
        </w:rPr>
        <w:t xml:space="preserve">, </w:t>
      </w:r>
      <w:r w:rsidRPr="006C5355">
        <w:rPr>
          <w:rFonts w:cs="Times New Roman"/>
        </w:rPr>
        <w:t xml:space="preserve">it is crucial to </w:t>
      </w:r>
      <w:r w:rsidRPr="006C5355">
        <w:rPr>
          <w:rStyle w:val="Strong"/>
          <w:rFonts w:cs="Times New Roman"/>
          <w:b w:val="0"/>
          <w:bCs w:val="0"/>
        </w:rPr>
        <w:t>regulate over-the-counter sales</w:t>
      </w:r>
      <w:r w:rsidRPr="006C5355">
        <w:rPr>
          <w:rFonts w:cs="Times New Roman"/>
        </w:rPr>
        <w:t xml:space="preserve"> and address </w:t>
      </w:r>
      <w:r w:rsidRPr="006C5355">
        <w:rPr>
          <w:rStyle w:val="Strong"/>
          <w:rFonts w:cs="Times New Roman"/>
          <w:b w:val="0"/>
          <w:bCs w:val="0"/>
        </w:rPr>
        <w:t>self-medication</w:t>
      </w:r>
      <w:r w:rsidRPr="006C5355">
        <w:rPr>
          <w:rFonts w:cs="Times New Roman"/>
        </w:rPr>
        <w:t xml:space="preserve"> by </w:t>
      </w:r>
      <w:r w:rsidRPr="006C5355">
        <w:rPr>
          <w:rStyle w:val="Strong"/>
          <w:rFonts w:cs="Times New Roman"/>
          <w:b w:val="0"/>
          <w:bCs w:val="0"/>
        </w:rPr>
        <w:t>improving public health education.</w:t>
      </w:r>
    </w:p>
    <w:p w14:paraId="2BC3C92D" w14:textId="77777777" w:rsidR="00790ADA" w:rsidRPr="00FB3A86" w:rsidRDefault="00790ADA" w:rsidP="00441B6F">
      <w:pPr>
        <w:pStyle w:val="Body"/>
        <w:spacing w:after="0"/>
        <w:rPr>
          <w:rFonts w:ascii="Arial" w:hAnsi="Arial" w:cs="Arial"/>
        </w:rPr>
      </w:pPr>
    </w:p>
    <w:p w14:paraId="308E58D0" w14:textId="77777777" w:rsidR="006A2BA1" w:rsidRDefault="006A2BA1" w:rsidP="006A2BA1">
      <w:pPr>
        <w:pStyle w:val="ReferHead"/>
        <w:spacing w:after="0"/>
        <w:jc w:val="both"/>
        <w:rPr>
          <w:rFonts w:ascii="Arial" w:hAnsi="Arial" w:cs="Arial"/>
          <w:bCs/>
        </w:rPr>
      </w:pPr>
    </w:p>
    <w:p w14:paraId="073E70E6" w14:textId="603A1D99" w:rsidR="006A2BA1" w:rsidRDefault="006A2BA1" w:rsidP="006A2BA1">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56289DFB" w14:textId="77777777" w:rsidR="006A2BA1" w:rsidRDefault="006A2BA1" w:rsidP="006A2BA1">
      <w:pPr>
        <w:pStyle w:val="ReferHead"/>
        <w:spacing w:after="0"/>
        <w:jc w:val="both"/>
        <w:rPr>
          <w:rFonts w:ascii="Arial" w:hAnsi="Arial" w:cs="Arial"/>
          <w:b w:val="0"/>
          <w:caps w:val="0"/>
          <w:sz w:val="20"/>
        </w:rPr>
      </w:pPr>
    </w:p>
    <w:p w14:paraId="6F4181E5" w14:textId="77777777" w:rsidR="006A2BA1" w:rsidRPr="006A2BA1" w:rsidRDefault="006A2BA1" w:rsidP="006A2BA1">
      <w:pPr>
        <w:pStyle w:val="ReferHead"/>
        <w:spacing w:after="0" w:line="276" w:lineRule="auto"/>
        <w:jc w:val="both"/>
        <w:rPr>
          <w:rFonts w:ascii="Arial" w:hAnsi="Arial" w:cs="Arial"/>
          <w:b w:val="0"/>
          <w:bCs/>
          <w:caps w:val="0"/>
          <w:sz w:val="18"/>
          <w:szCs w:val="18"/>
        </w:rPr>
      </w:pPr>
      <w:r w:rsidRPr="006A2BA1">
        <w:rPr>
          <w:rFonts w:ascii="Arial" w:hAnsi="Arial" w:cs="Arial"/>
          <w:b w:val="0"/>
          <w:bCs/>
          <w:caps w:val="0"/>
          <w:sz w:val="20"/>
          <w:szCs w:val="18"/>
        </w:rPr>
        <w:t>Written informed consent was obtained from each participant. They were assured of their right to withdraw from the study at any time without consequence. To uphold confidentiality, unique codes were assigned in place of names or identifiable information related to participants, facilities, and pharmacies involved.</w:t>
      </w:r>
    </w:p>
    <w:p w14:paraId="3F212015" w14:textId="77777777" w:rsidR="006A2BA1" w:rsidRDefault="006A2BA1" w:rsidP="006A2BA1">
      <w:pPr>
        <w:pStyle w:val="ReferHead"/>
        <w:spacing w:after="0"/>
        <w:jc w:val="both"/>
        <w:rPr>
          <w:rFonts w:ascii="Arial" w:hAnsi="Arial" w:cs="Arial"/>
          <w:b w:val="0"/>
          <w:caps w:val="0"/>
          <w:sz w:val="20"/>
        </w:rPr>
      </w:pPr>
    </w:p>
    <w:p w14:paraId="74D8A310" w14:textId="77777777" w:rsidR="006A2BA1" w:rsidRDefault="006A2BA1" w:rsidP="006A2BA1">
      <w:pPr>
        <w:pStyle w:val="ReferHead"/>
        <w:spacing w:after="0"/>
        <w:jc w:val="both"/>
        <w:rPr>
          <w:rFonts w:ascii="Arial" w:hAnsi="Arial" w:cs="Arial"/>
          <w:bCs/>
        </w:rPr>
      </w:pPr>
      <w:r>
        <w:rPr>
          <w:rFonts w:ascii="Arial" w:hAnsi="Arial" w:cs="Arial"/>
          <w:bCs/>
        </w:rPr>
        <w:t>Ethical approval (where ever applicable)</w:t>
      </w:r>
    </w:p>
    <w:p w14:paraId="35F48A0F" w14:textId="77777777" w:rsidR="006A2BA1" w:rsidRPr="002B685A" w:rsidRDefault="006A2BA1" w:rsidP="006A2BA1">
      <w:pPr>
        <w:pStyle w:val="ReferHead"/>
        <w:spacing w:after="0"/>
        <w:jc w:val="both"/>
        <w:rPr>
          <w:rFonts w:ascii="Arial" w:hAnsi="Arial" w:cs="Arial"/>
          <w:bCs/>
        </w:rPr>
      </w:pPr>
    </w:p>
    <w:p w14:paraId="01613500" w14:textId="77777777" w:rsidR="006A2BA1" w:rsidRDefault="006A2BA1" w:rsidP="006A2BA1">
      <w:pPr>
        <w:pStyle w:val="ReferHead"/>
        <w:spacing w:after="0"/>
        <w:jc w:val="both"/>
        <w:rPr>
          <w:rFonts w:ascii="Arial" w:hAnsi="Arial" w:cs="Arial"/>
          <w:b w:val="0"/>
          <w:bCs/>
          <w:caps w:val="0"/>
          <w:sz w:val="20"/>
          <w:szCs w:val="18"/>
        </w:rPr>
      </w:pPr>
      <w:r w:rsidRPr="006A2BA1">
        <w:rPr>
          <w:rFonts w:ascii="Arial" w:hAnsi="Arial" w:cs="Arial"/>
          <w:b w:val="0"/>
          <w:bCs/>
          <w:caps w:val="0"/>
          <w:sz w:val="20"/>
          <w:szCs w:val="18"/>
        </w:rPr>
        <w:t xml:space="preserve">Ethical clearance for this study (number 2025/1779-01/UB/SG/IRB/FHS) was obtained from the institutional review board of the faculty of health sciences, university of </w:t>
      </w:r>
      <w:r>
        <w:rPr>
          <w:rFonts w:ascii="Arial" w:hAnsi="Arial" w:cs="Arial"/>
          <w:b w:val="0"/>
          <w:bCs/>
          <w:caps w:val="0"/>
          <w:sz w:val="20"/>
          <w:szCs w:val="18"/>
        </w:rPr>
        <w:t>B</w:t>
      </w:r>
      <w:r w:rsidRPr="006A2BA1">
        <w:rPr>
          <w:rFonts w:ascii="Arial" w:hAnsi="Arial" w:cs="Arial"/>
          <w:b w:val="0"/>
          <w:bCs/>
          <w:caps w:val="0"/>
          <w:sz w:val="20"/>
          <w:szCs w:val="18"/>
        </w:rPr>
        <w:t>uea. Administrative authorization (P42/MINSANTE/SWR/RDPH/RCB.PT/698/726) was also granted by the regional delegation of public health. Prior to participation, all respondents were provided with detailed information regarding the purpose, procedures, potential benefits, and voluntary nature of the study</w:t>
      </w:r>
      <w:r>
        <w:rPr>
          <w:rFonts w:ascii="Arial" w:hAnsi="Arial" w:cs="Arial"/>
          <w:b w:val="0"/>
          <w:bCs/>
          <w:caps w:val="0"/>
          <w:sz w:val="20"/>
          <w:szCs w:val="18"/>
        </w:rPr>
        <w:t xml:space="preserve">. </w:t>
      </w:r>
    </w:p>
    <w:p w14:paraId="093AE26C" w14:textId="759ADD4B" w:rsidR="006A2BA1" w:rsidRDefault="006A2BA1" w:rsidP="006A2BA1">
      <w:pPr>
        <w:pStyle w:val="ReferHead"/>
        <w:spacing w:after="0"/>
        <w:jc w:val="both"/>
        <w:rPr>
          <w:rFonts w:ascii="Arial" w:hAnsi="Arial" w:cs="Arial"/>
          <w:b w:val="0"/>
          <w:bCs/>
          <w:caps w:val="0"/>
          <w:sz w:val="20"/>
          <w:szCs w:val="18"/>
        </w:rPr>
      </w:pPr>
    </w:p>
    <w:p w14:paraId="512872E4" w14:textId="59BE2BE3" w:rsidR="006A2BA1" w:rsidRDefault="006A2BA1" w:rsidP="006A2BA1">
      <w:pPr>
        <w:pStyle w:val="ReferHead"/>
        <w:spacing w:after="0"/>
        <w:jc w:val="both"/>
        <w:rPr>
          <w:rFonts w:ascii="Arial" w:hAnsi="Arial" w:cs="Arial"/>
          <w:b w:val="0"/>
          <w:bCs/>
          <w:caps w:val="0"/>
          <w:sz w:val="20"/>
          <w:szCs w:val="18"/>
        </w:rPr>
      </w:pPr>
    </w:p>
    <w:p w14:paraId="6FA676DC" w14:textId="0C51F602" w:rsidR="006A2BA1" w:rsidRDefault="006A2BA1" w:rsidP="006A2BA1">
      <w:pPr>
        <w:pStyle w:val="ReferHead"/>
        <w:spacing w:after="0"/>
        <w:jc w:val="both"/>
        <w:rPr>
          <w:rFonts w:ascii="Arial" w:hAnsi="Arial" w:cs="Arial"/>
          <w:b w:val="0"/>
          <w:bCs/>
          <w:caps w:val="0"/>
          <w:sz w:val="20"/>
          <w:szCs w:val="18"/>
        </w:rPr>
      </w:pPr>
    </w:p>
    <w:p w14:paraId="3F5771E9" w14:textId="2E08ED9D" w:rsidR="006A2BA1" w:rsidRDefault="006A2BA1" w:rsidP="006A2BA1">
      <w:pPr>
        <w:pStyle w:val="ReferHead"/>
        <w:spacing w:after="0"/>
        <w:jc w:val="both"/>
        <w:rPr>
          <w:rFonts w:ascii="Arial" w:hAnsi="Arial" w:cs="Arial"/>
          <w:b w:val="0"/>
          <w:bCs/>
          <w:caps w:val="0"/>
          <w:sz w:val="20"/>
          <w:szCs w:val="18"/>
        </w:rPr>
      </w:pPr>
    </w:p>
    <w:p w14:paraId="27907A1A" w14:textId="2BE38662" w:rsidR="006A2BA1" w:rsidRDefault="006A2BA1" w:rsidP="006A2BA1">
      <w:pPr>
        <w:pStyle w:val="ReferHead"/>
        <w:spacing w:after="0"/>
        <w:jc w:val="both"/>
        <w:rPr>
          <w:rFonts w:ascii="Arial" w:hAnsi="Arial" w:cs="Arial"/>
          <w:b w:val="0"/>
          <w:bCs/>
          <w:caps w:val="0"/>
          <w:sz w:val="20"/>
          <w:szCs w:val="18"/>
        </w:rPr>
      </w:pPr>
    </w:p>
    <w:p w14:paraId="52A723BC" w14:textId="4C4429E6" w:rsidR="006A2BA1" w:rsidRDefault="006A2BA1" w:rsidP="006A2BA1">
      <w:pPr>
        <w:pStyle w:val="ReferHead"/>
        <w:spacing w:after="0"/>
        <w:jc w:val="both"/>
        <w:rPr>
          <w:rFonts w:ascii="Arial" w:hAnsi="Arial" w:cs="Arial"/>
          <w:b w:val="0"/>
          <w:bCs/>
          <w:caps w:val="0"/>
          <w:sz w:val="20"/>
          <w:szCs w:val="18"/>
        </w:rPr>
      </w:pPr>
    </w:p>
    <w:p w14:paraId="6E084155" w14:textId="5CFFE3D5" w:rsidR="006A2BA1" w:rsidRDefault="006A2BA1" w:rsidP="006A2BA1">
      <w:pPr>
        <w:pStyle w:val="ReferHead"/>
        <w:spacing w:after="0"/>
        <w:jc w:val="both"/>
        <w:rPr>
          <w:rFonts w:ascii="Arial" w:hAnsi="Arial" w:cs="Arial"/>
          <w:b w:val="0"/>
          <w:bCs/>
          <w:caps w:val="0"/>
          <w:sz w:val="20"/>
          <w:szCs w:val="18"/>
        </w:rPr>
      </w:pPr>
    </w:p>
    <w:p w14:paraId="5FD44F66" w14:textId="462B03B0" w:rsidR="006A2BA1" w:rsidRDefault="006A2BA1" w:rsidP="006A2BA1">
      <w:pPr>
        <w:pStyle w:val="ReferHead"/>
        <w:spacing w:after="0"/>
        <w:jc w:val="both"/>
        <w:rPr>
          <w:rFonts w:ascii="Arial" w:hAnsi="Arial" w:cs="Arial"/>
          <w:b w:val="0"/>
          <w:bCs/>
          <w:caps w:val="0"/>
          <w:sz w:val="20"/>
          <w:szCs w:val="18"/>
        </w:rPr>
      </w:pPr>
    </w:p>
    <w:p w14:paraId="7B394409" w14:textId="483EED7F" w:rsidR="006A2BA1" w:rsidRDefault="006A2BA1" w:rsidP="006A2BA1">
      <w:pPr>
        <w:pStyle w:val="ReferHead"/>
        <w:spacing w:after="0"/>
        <w:jc w:val="both"/>
        <w:rPr>
          <w:rFonts w:ascii="Arial" w:hAnsi="Arial" w:cs="Arial"/>
          <w:b w:val="0"/>
          <w:bCs/>
          <w:caps w:val="0"/>
          <w:sz w:val="20"/>
          <w:szCs w:val="18"/>
        </w:rPr>
      </w:pPr>
    </w:p>
    <w:p w14:paraId="312A0C83" w14:textId="2AA263DC" w:rsidR="006A2BA1" w:rsidRDefault="006A2BA1" w:rsidP="006A2BA1">
      <w:pPr>
        <w:pStyle w:val="ReferHead"/>
        <w:spacing w:after="0"/>
        <w:jc w:val="both"/>
        <w:rPr>
          <w:rFonts w:ascii="Arial" w:hAnsi="Arial" w:cs="Arial"/>
          <w:b w:val="0"/>
          <w:bCs/>
          <w:caps w:val="0"/>
          <w:sz w:val="20"/>
          <w:szCs w:val="18"/>
        </w:rPr>
      </w:pPr>
    </w:p>
    <w:p w14:paraId="32DDAB8A" w14:textId="3C747D20" w:rsidR="006A2BA1" w:rsidRDefault="006A2BA1" w:rsidP="006A2BA1">
      <w:pPr>
        <w:pStyle w:val="ReferHead"/>
        <w:spacing w:after="0"/>
        <w:jc w:val="both"/>
        <w:rPr>
          <w:rFonts w:ascii="Arial" w:hAnsi="Arial" w:cs="Arial"/>
          <w:b w:val="0"/>
          <w:bCs/>
          <w:caps w:val="0"/>
          <w:sz w:val="20"/>
          <w:szCs w:val="18"/>
        </w:rPr>
      </w:pPr>
    </w:p>
    <w:p w14:paraId="5BF10146" w14:textId="77777777" w:rsidR="006A2BA1" w:rsidRDefault="006A2BA1" w:rsidP="006A2BA1">
      <w:pPr>
        <w:pStyle w:val="ReferHead"/>
        <w:spacing w:after="0"/>
        <w:jc w:val="both"/>
        <w:rPr>
          <w:rFonts w:ascii="Arial" w:hAnsi="Arial" w:cs="Arial"/>
          <w:b w:val="0"/>
          <w:bCs/>
          <w:caps w:val="0"/>
          <w:sz w:val="20"/>
          <w:szCs w:val="18"/>
        </w:rPr>
      </w:pPr>
    </w:p>
    <w:p w14:paraId="3A981E4F" w14:textId="77777777" w:rsidR="006A2BA1" w:rsidRPr="006C5355" w:rsidRDefault="006A2BA1" w:rsidP="006C5355">
      <w:pPr>
        <w:shd w:val="clear" w:color="auto" w:fill="FFFFFF"/>
        <w:spacing w:line="276" w:lineRule="auto"/>
        <w:jc w:val="both"/>
        <w:rPr>
          <w:color w:val="333333"/>
          <w:szCs w:val="24"/>
          <w:shd w:val="clear" w:color="auto" w:fill="FFFFFF"/>
        </w:rPr>
      </w:pPr>
    </w:p>
    <w:p w14:paraId="0E3D89A2" w14:textId="72FADA34" w:rsidR="006A2BA1" w:rsidRDefault="006A2BA1" w:rsidP="006A2BA1">
      <w:pPr>
        <w:pStyle w:val="ReferHead"/>
        <w:spacing w:after="0"/>
        <w:jc w:val="both"/>
        <w:rPr>
          <w:rFonts w:ascii="Arial" w:hAnsi="Arial" w:cs="Arial"/>
        </w:rPr>
      </w:pPr>
      <w:r w:rsidRPr="00FB3A86">
        <w:rPr>
          <w:rFonts w:ascii="Arial" w:hAnsi="Arial" w:cs="Arial"/>
        </w:rPr>
        <w:t>References</w:t>
      </w:r>
    </w:p>
    <w:p w14:paraId="1C91F7A0" w14:textId="6965C851" w:rsidR="006A2BA1" w:rsidRDefault="006A2BA1" w:rsidP="006A2BA1">
      <w:pPr>
        <w:pStyle w:val="ReferHead"/>
        <w:spacing w:after="0"/>
        <w:jc w:val="both"/>
        <w:rPr>
          <w:rFonts w:ascii="Arial" w:hAnsi="Arial" w:cs="Arial"/>
        </w:rPr>
      </w:pPr>
    </w:p>
    <w:p w14:paraId="184C5369" w14:textId="77777777" w:rsidR="00182627" w:rsidRPr="00182627" w:rsidRDefault="006A2BA1" w:rsidP="00182627">
      <w:pPr>
        <w:pStyle w:val="Bibliography"/>
        <w:rPr>
          <w:rFonts w:ascii="Arial" w:hAnsi="Arial" w:cs="Arial"/>
          <w:sz w:val="22"/>
        </w:rPr>
      </w:pPr>
      <w:r>
        <w:rPr>
          <w:rFonts w:ascii="Arial" w:hAnsi="Arial" w:cs="Arial"/>
        </w:rPr>
        <w:fldChar w:fldCharType="begin"/>
      </w:r>
      <w:r w:rsidR="00182627">
        <w:rPr>
          <w:rFonts w:ascii="Arial" w:hAnsi="Arial" w:cs="Arial"/>
        </w:rPr>
        <w:instrText xml:space="preserve"> ADDIN ZOTERO_BIBL {"uncited":[],"omitted":[],"custom":[]} CSL_BIBLIOGRAPHY </w:instrText>
      </w:r>
      <w:r>
        <w:rPr>
          <w:rFonts w:ascii="Arial" w:hAnsi="Arial" w:cs="Arial"/>
        </w:rPr>
        <w:fldChar w:fldCharType="separate"/>
      </w:r>
      <w:r w:rsidR="00182627" w:rsidRPr="00182627">
        <w:rPr>
          <w:rFonts w:ascii="Arial" w:hAnsi="Arial" w:cs="Arial"/>
          <w:sz w:val="22"/>
        </w:rPr>
        <w:t xml:space="preserve">Ahmed, S. K., Hussein, S., Qurbani, K., Ibrahim, R. H., Fareeq, A., Mahmood, K. A., &amp; Mohamed, M. G. (2024). Antimicrobial resistance: Impacts, challenges, and future prospects. </w:t>
      </w:r>
      <w:r w:rsidR="00182627" w:rsidRPr="00182627">
        <w:rPr>
          <w:rFonts w:ascii="Arial" w:hAnsi="Arial" w:cs="Arial"/>
          <w:i/>
          <w:iCs/>
          <w:sz w:val="22"/>
        </w:rPr>
        <w:t>Journal of Medicine, Surgery, and Public Health</w:t>
      </w:r>
      <w:r w:rsidR="00182627" w:rsidRPr="00182627">
        <w:rPr>
          <w:rFonts w:ascii="Arial" w:hAnsi="Arial" w:cs="Arial"/>
          <w:sz w:val="22"/>
        </w:rPr>
        <w:t xml:space="preserve">, </w:t>
      </w:r>
      <w:r w:rsidR="00182627" w:rsidRPr="00182627">
        <w:rPr>
          <w:rFonts w:ascii="Arial" w:hAnsi="Arial" w:cs="Arial"/>
          <w:i/>
          <w:iCs/>
          <w:sz w:val="22"/>
        </w:rPr>
        <w:t>2</w:t>
      </w:r>
      <w:r w:rsidR="00182627" w:rsidRPr="00182627">
        <w:rPr>
          <w:rFonts w:ascii="Arial" w:hAnsi="Arial" w:cs="Arial"/>
          <w:sz w:val="22"/>
        </w:rPr>
        <w:t>, 100081. https://doi.org/10.1016/j.glmedi.2024.100081</w:t>
      </w:r>
    </w:p>
    <w:p w14:paraId="43289C2A" w14:textId="77777777" w:rsidR="00182627" w:rsidRPr="00182627" w:rsidRDefault="00182627" w:rsidP="00182627">
      <w:pPr>
        <w:pStyle w:val="Bibliography"/>
        <w:rPr>
          <w:rFonts w:ascii="Arial" w:hAnsi="Arial" w:cs="Arial"/>
          <w:sz w:val="22"/>
        </w:rPr>
      </w:pPr>
      <w:r w:rsidRPr="00182627">
        <w:rPr>
          <w:rFonts w:ascii="Arial" w:hAnsi="Arial" w:cs="Arial"/>
          <w:sz w:val="22"/>
        </w:rPr>
        <w:lastRenderedPageBreak/>
        <w:t xml:space="preserve">Akande-Sholabi, W., &amp; Oyesiji, E. (2023). Antimicrobial stewardship: Knowledge, perceptions, and factors associated with antibiotics misuse among consumer’s visiting the community pharmacies in a Nigeria Southwestern State. </w:t>
      </w:r>
      <w:r w:rsidRPr="00182627">
        <w:rPr>
          <w:rFonts w:ascii="Arial" w:hAnsi="Arial" w:cs="Arial"/>
          <w:i/>
          <w:iCs/>
          <w:sz w:val="22"/>
        </w:rPr>
        <w:t>Journal of Pharmaceutical Policy and Practice</w:t>
      </w:r>
      <w:r w:rsidRPr="00182627">
        <w:rPr>
          <w:rFonts w:ascii="Arial" w:hAnsi="Arial" w:cs="Arial"/>
          <w:sz w:val="22"/>
        </w:rPr>
        <w:t xml:space="preserve">, </w:t>
      </w:r>
      <w:r w:rsidRPr="00182627">
        <w:rPr>
          <w:rFonts w:ascii="Arial" w:hAnsi="Arial" w:cs="Arial"/>
          <w:i/>
          <w:iCs/>
          <w:sz w:val="22"/>
        </w:rPr>
        <w:t>16</w:t>
      </w:r>
      <w:r w:rsidRPr="00182627">
        <w:rPr>
          <w:rFonts w:ascii="Arial" w:hAnsi="Arial" w:cs="Arial"/>
          <w:sz w:val="22"/>
        </w:rPr>
        <w:t>(1), 120. https://doi.org/10.1186/s40545-023-00629-x</w:t>
      </w:r>
    </w:p>
    <w:p w14:paraId="07FBD9DE"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Alabi, E. D., Rabiu, A. G., &amp; Adesoji, A. T. (2025). A review of antimicrobial resistance challenges in Nigeria: The need for a one health approach. </w:t>
      </w:r>
      <w:r w:rsidRPr="00182627">
        <w:rPr>
          <w:rFonts w:ascii="Arial" w:hAnsi="Arial" w:cs="Arial"/>
          <w:i/>
          <w:iCs/>
          <w:sz w:val="22"/>
        </w:rPr>
        <w:t>One Health</w:t>
      </w:r>
      <w:r w:rsidRPr="00182627">
        <w:rPr>
          <w:rFonts w:ascii="Arial" w:hAnsi="Arial" w:cs="Arial"/>
          <w:sz w:val="22"/>
        </w:rPr>
        <w:t xml:space="preserve">, </w:t>
      </w:r>
      <w:r w:rsidRPr="00182627">
        <w:rPr>
          <w:rFonts w:ascii="Arial" w:hAnsi="Arial" w:cs="Arial"/>
          <w:i/>
          <w:iCs/>
          <w:sz w:val="22"/>
        </w:rPr>
        <w:t>20</w:t>
      </w:r>
      <w:r w:rsidRPr="00182627">
        <w:rPr>
          <w:rFonts w:ascii="Arial" w:hAnsi="Arial" w:cs="Arial"/>
          <w:sz w:val="22"/>
        </w:rPr>
        <w:t>, 101053. https://doi.org/10.1016/j.onehlt.2025.101053</w:t>
      </w:r>
    </w:p>
    <w:p w14:paraId="63E1CE9F"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Belachew, S. A., Hall, L., Erku, D. A., &amp; Selvey, L. A. (2021). No prescription? No problem: drivers of non-prescribed sale of antibiotics among community drug retail outlets in low and middle income countries: a systematic review of qualitative studies. </w:t>
      </w:r>
      <w:r w:rsidRPr="00182627">
        <w:rPr>
          <w:rFonts w:ascii="Arial" w:hAnsi="Arial" w:cs="Arial"/>
          <w:i/>
          <w:iCs/>
          <w:sz w:val="22"/>
        </w:rPr>
        <w:t>BMC Public Health</w:t>
      </w:r>
      <w:r w:rsidRPr="00182627">
        <w:rPr>
          <w:rFonts w:ascii="Arial" w:hAnsi="Arial" w:cs="Arial"/>
          <w:sz w:val="22"/>
        </w:rPr>
        <w:t xml:space="preserve">, </w:t>
      </w:r>
      <w:r w:rsidRPr="00182627">
        <w:rPr>
          <w:rFonts w:ascii="Arial" w:hAnsi="Arial" w:cs="Arial"/>
          <w:i/>
          <w:iCs/>
          <w:sz w:val="22"/>
        </w:rPr>
        <w:t>21</w:t>
      </w:r>
      <w:r w:rsidRPr="00182627">
        <w:rPr>
          <w:rFonts w:ascii="Arial" w:hAnsi="Arial" w:cs="Arial"/>
          <w:sz w:val="22"/>
        </w:rPr>
        <w:t>(1), 1056. https://doi.org/10.1186/s12889-021-11163-3</w:t>
      </w:r>
    </w:p>
    <w:p w14:paraId="68C093B5"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Best practices for injection. (2010). In </w:t>
      </w:r>
      <w:r w:rsidRPr="00182627">
        <w:rPr>
          <w:rFonts w:ascii="Arial" w:hAnsi="Arial" w:cs="Arial"/>
          <w:i/>
          <w:iCs/>
          <w:sz w:val="22"/>
        </w:rPr>
        <w:t>WHO Best Practices for Injections and Related Procedures Toolkit</w:t>
      </w:r>
      <w:r w:rsidRPr="00182627">
        <w:rPr>
          <w:rFonts w:ascii="Arial" w:hAnsi="Arial" w:cs="Arial"/>
          <w:sz w:val="22"/>
        </w:rPr>
        <w:t>. World Health Organization. https://www.ncbi.nlm.nih.gov/books/NBK138495/</w:t>
      </w:r>
    </w:p>
    <w:p w14:paraId="3EEF80D0"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Charles, N., Elvis T, A., Prudence Tatiana, N. M., Denis, Z., Jane Francis, K. A., &amp; Patrick A, N. (2023). Antimicrobial prescription pattern in the Deido health district, Douala, Cameroon. </w:t>
      </w:r>
      <w:r w:rsidRPr="00182627">
        <w:rPr>
          <w:rFonts w:ascii="Arial" w:hAnsi="Arial" w:cs="Arial"/>
          <w:i/>
          <w:iCs/>
          <w:sz w:val="22"/>
        </w:rPr>
        <w:t>Archives of Community Medicine and Public Health</w:t>
      </w:r>
      <w:r w:rsidRPr="00182627">
        <w:rPr>
          <w:rFonts w:ascii="Arial" w:hAnsi="Arial" w:cs="Arial"/>
          <w:sz w:val="22"/>
        </w:rPr>
        <w:t xml:space="preserve">, </w:t>
      </w:r>
      <w:r w:rsidRPr="00182627">
        <w:rPr>
          <w:rFonts w:ascii="Arial" w:hAnsi="Arial" w:cs="Arial"/>
          <w:i/>
          <w:iCs/>
          <w:sz w:val="22"/>
        </w:rPr>
        <w:t>9</w:t>
      </w:r>
      <w:r w:rsidRPr="00182627">
        <w:rPr>
          <w:rFonts w:ascii="Arial" w:hAnsi="Arial" w:cs="Arial"/>
          <w:sz w:val="22"/>
        </w:rPr>
        <w:t>(2), 038–043. https://doi.org/10.17352/2455-5479.000200</w:t>
      </w:r>
    </w:p>
    <w:p w14:paraId="052D8149"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Cook, M. A., &amp; Wright, G. D. (2022). The past, present, and future of antibiotics. </w:t>
      </w:r>
      <w:r w:rsidRPr="00182627">
        <w:rPr>
          <w:rFonts w:ascii="Arial" w:hAnsi="Arial" w:cs="Arial"/>
          <w:i/>
          <w:iCs/>
          <w:sz w:val="22"/>
        </w:rPr>
        <w:t>Science Translational Medicine</w:t>
      </w:r>
      <w:r w:rsidRPr="00182627">
        <w:rPr>
          <w:rFonts w:ascii="Arial" w:hAnsi="Arial" w:cs="Arial"/>
          <w:sz w:val="22"/>
        </w:rPr>
        <w:t xml:space="preserve">, </w:t>
      </w:r>
      <w:r w:rsidRPr="00182627">
        <w:rPr>
          <w:rFonts w:ascii="Arial" w:hAnsi="Arial" w:cs="Arial"/>
          <w:i/>
          <w:iCs/>
          <w:sz w:val="22"/>
        </w:rPr>
        <w:t>14</w:t>
      </w:r>
      <w:r w:rsidRPr="00182627">
        <w:rPr>
          <w:rFonts w:ascii="Arial" w:hAnsi="Arial" w:cs="Arial"/>
          <w:sz w:val="22"/>
        </w:rPr>
        <w:t>(657), eabo7793. https://doi.org/10.1126/scitranslmed.abo7793</w:t>
      </w:r>
    </w:p>
    <w:p w14:paraId="3DC57934" w14:textId="77777777" w:rsidR="00182627" w:rsidRPr="00182627" w:rsidRDefault="00182627" w:rsidP="00182627">
      <w:pPr>
        <w:pStyle w:val="Bibliography"/>
        <w:rPr>
          <w:rFonts w:ascii="Arial" w:hAnsi="Arial" w:cs="Arial"/>
          <w:sz w:val="22"/>
        </w:rPr>
      </w:pPr>
      <w:r w:rsidRPr="00182627">
        <w:rPr>
          <w:rFonts w:ascii="Arial" w:hAnsi="Arial" w:cs="Arial"/>
          <w:sz w:val="22"/>
        </w:rPr>
        <w:lastRenderedPageBreak/>
        <w:t xml:space="preserve">Epstein, J. S., Hasselquist, S. M., &amp; Simon, G. L. (1982). Efficacy of ceftriaxone in serious bacterial infections. </w:t>
      </w:r>
      <w:r w:rsidRPr="00182627">
        <w:rPr>
          <w:rFonts w:ascii="Arial" w:hAnsi="Arial" w:cs="Arial"/>
          <w:i/>
          <w:iCs/>
          <w:sz w:val="22"/>
        </w:rPr>
        <w:t>Antimicrobial Agents and Chemotherapy</w:t>
      </w:r>
      <w:r w:rsidRPr="00182627">
        <w:rPr>
          <w:rFonts w:ascii="Arial" w:hAnsi="Arial" w:cs="Arial"/>
          <w:sz w:val="22"/>
        </w:rPr>
        <w:t xml:space="preserve">, </w:t>
      </w:r>
      <w:r w:rsidRPr="00182627">
        <w:rPr>
          <w:rFonts w:ascii="Arial" w:hAnsi="Arial" w:cs="Arial"/>
          <w:i/>
          <w:iCs/>
          <w:sz w:val="22"/>
        </w:rPr>
        <w:t>21</w:t>
      </w:r>
      <w:r w:rsidRPr="00182627">
        <w:rPr>
          <w:rFonts w:ascii="Arial" w:hAnsi="Arial" w:cs="Arial"/>
          <w:sz w:val="22"/>
        </w:rPr>
        <w:t>(3), 402–406. https://doi.org/10.1128/AAC.21.3.402</w:t>
      </w:r>
    </w:p>
    <w:p w14:paraId="5BC795C2"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Gu, Y., Do, A. D., Fujitomo, Y., &amp; Ohtake, F. (2025). Specialty and age-based differences in awareness and attitudes towards antibiotic stewardship: A cross-sectional online survey on Japanese clinic physicians. </w:t>
      </w:r>
      <w:r w:rsidRPr="00182627">
        <w:rPr>
          <w:rFonts w:ascii="Arial" w:hAnsi="Arial" w:cs="Arial"/>
          <w:i/>
          <w:iCs/>
          <w:sz w:val="22"/>
        </w:rPr>
        <w:t>BMC Infectious Diseases</w:t>
      </w:r>
      <w:r w:rsidRPr="00182627">
        <w:rPr>
          <w:rFonts w:ascii="Arial" w:hAnsi="Arial" w:cs="Arial"/>
          <w:sz w:val="22"/>
        </w:rPr>
        <w:t xml:space="preserve">, </w:t>
      </w:r>
      <w:r w:rsidRPr="00182627">
        <w:rPr>
          <w:rFonts w:ascii="Arial" w:hAnsi="Arial" w:cs="Arial"/>
          <w:i/>
          <w:iCs/>
          <w:sz w:val="22"/>
        </w:rPr>
        <w:t>25</w:t>
      </w:r>
      <w:r w:rsidRPr="00182627">
        <w:rPr>
          <w:rFonts w:ascii="Arial" w:hAnsi="Arial" w:cs="Arial"/>
          <w:sz w:val="22"/>
        </w:rPr>
        <w:t>(1), 1186. https://doi.org/10.1186/s12879-025-11583-1</w:t>
      </w:r>
    </w:p>
    <w:p w14:paraId="12C91376" w14:textId="77777777" w:rsidR="00182627" w:rsidRPr="00182627" w:rsidRDefault="00182627" w:rsidP="00182627">
      <w:pPr>
        <w:pStyle w:val="Bibliography"/>
        <w:rPr>
          <w:rFonts w:ascii="Arial" w:hAnsi="Arial" w:cs="Arial"/>
          <w:sz w:val="22"/>
        </w:rPr>
      </w:pPr>
      <w:r w:rsidRPr="00182627">
        <w:rPr>
          <w:rFonts w:ascii="Arial" w:hAnsi="Arial" w:cs="Arial"/>
          <w:i/>
          <w:iCs/>
          <w:sz w:val="22"/>
        </w:rPr>
        <w:t>Guide To Antibiotic Therapy For Common Bacterial Diseases in Cameroon-3 | PDF | Antimicrobial Resistance | Pathogen</w:t>
      </w:r>
      <w:r w:rsidRPr="00182627">
        <w:rPr>
          <w:rFonts w:ascii="Arial" w:hAnsi="Arial" w:cs="Arial"/>
          <w:sz w:val="22"/>
        </w:rPr>
        <w:t>. (n.d.). Scribd. Retrieved October 27, 2025, from https://www.scribd.com/document/787278687/Guide-to-antibiotic-therapy-for-common-bacterial-diseases-in-Cameroon-3</w:t>
      </w:r>
    </w:p>
    <w:p w14:paraId="46FC637E" w14:textId="77777777" w:rsidR="00182627" w:rsidRPr="00182627" w:rsidRDefault="00182627" w:rsidP="00182627">
      <w:pPr>
        <w:pStyle w:val="Bibliography"/>
        <w:rPr>
          <w:rFonts w:ascii="Arial" w:hAnsi="Arial" w:cs="Arial"/>
          <w:sz w:val="22"/>
        </w:rPr>
      </w:pPr>
      <w:r w:rsidRPr="00182627">
        <w:rPr>
          <w:rFonts w:ascii="Arial" w:hAnsi="Arial" w:cs="Arial"/>
          <w:i/>
          <w:iCs/>
          <w:sz w:val="22"/>
        </w:rPr>
        <w:t>History—Welcome to Buea Council</w:t>
      </w:r>
      <w:r w:rsidRPr="00182627">
        <w:rPr>
          <w:rFonts w:ascii="Arial" w:hAnsi="Arial" w:cs="Arial"/>
          <w:sz w:val="22"/>
        </w:rPr>
        <w:t>. (2020, August 19). https://bueacouncil.com/?page_id=1265</w:t>
      </w:r>
    </w:p>
    <w:p w14:paraId="5B81B981"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Ho, C. S., Wong, C. T. H., Aung, T. T., Lakshminarayanan, R., Mehta, J. S., Rauz, S., McNally, A., Kintses, B., Peacock, S. J., De La Fuente-Nunez, C., Hancock, R. E. W., &amp; Ting, D. S. J. (2025). Antimicrobial resistance: A concise update. </w:t>
      </w:r>
      <w:r w:rsidRPr="00182627">
        <w:rPr>
          <w:rFonts w:ascii="Arial" w:hAnsi="Arial" w:cs="Arial"/>
          <w:i/>
          <w:iCs/>
          <w:sz w:val="22"/>
        </w:rPr>
        <w:t>The Lancet Microbe</w:t>
      </w:r>
      <w:r w:rsidRPr="00182627">
        <w:rPr>
          <w:rFonts w:ascii="Arial" w:hAnsi="Arial" w:cs="Arial"/>
          <w:sz w:val="22"/>
        </w:rPr>
        <w:t xml:space="preserve">, </w:t>
      </w:r>
      <w:r w:rsidRPr="00182627">
        <w:rPr>
          <w:rFonts w:ascii="Arial" w:hAnsi="Arial" w:cs="Arial"/>
          <w:i/>
          <w:iCs/>
          <w:sz w:val="22"/>
        </w:rPr>
        <w:t>6</w:t>
      </w:r>
      <w:r w:rsidRPr="00182627">
        <w:rPr>
          <w:rFonts w:ascii="Arial" w:hAnsi="Arial" w:cs="Arial"/>
          <w:sz w:val="22"/>
        </w:rPr>
        <w:t>(1), 100947. https://doi.org/10.1016/j.lanmic.2024.07.010</w:t>
      </w:r>
    </w:p>
    <w:p w14:paraId="1AB676D0"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King, L. M., Talley, P., Kainer, M. A., Evans, C. D., Adre, C., Hicks, L. A., &amp; Fleming-Dutra, K. E. (2019). Inappropriate ceftriaxone use in outpatient acute respiratory infection management. </w:t>
      </w:r>
      <w:r w:rsidRPr="00182627">
        <w:rPr>
          <w:rFonts w:ascii="Arial" w:hAnsi="Arial" w:cs="Arial"/>
          <w:i/>
          <w:iCs/>
          <w:sz w:val="22"/>
        </w:rPr>
        <w:t>Infection Control &amp; Hospital Epidemiology</w:t>
      </w:r>
      <w:r w:rsidRPr="00182627">
        <w:rPr>
          <w:rFonts w:ascii="Arial" w:hAnsi="Arial" w:cs="Arial"/>
          <w:sz w:val="22"/>
        </w:rPr>
        <w:t xml:space="preserve">, </w:t>
      </w:r>
      <w:r w:rsidRPr="00182627">
        <w:rPr>
          <w:rFonts w:ascii="Arial" w:hAnsi="Arial" w:cs="Arial"/>
          <w:i/>
          <w:iCs/>
          <w:sz w:val="22"/>
        </w:rPr>
        <w:t>40</w:t>
      </w:r>
      <w:r w:rsidRPr="00182627">
        <w:rPr>
          <w:rFonts w:ascii="Arial" w:hAnsi="Arial" w:cs="Arial"/>
          <w:sz w:val="22"/>
        </w:rPr>
        <w:t>(4), 487–490. https://doi.org/10.1017/ice.2019.21</w:t>
      </w:r>
    </w:p>
    <w:p w14:paraId="64F8C115"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Kizito, M., Lalitha, R., Kajumbula, H., Ssenyonga, R., Muyanja, D., &amp; Byakika-Kibwika, P. (2021). Antibiotic Prevalence Study and Factors Influencing </w:t>
      </w:r>
      <w:r w:rsidRPr="00182627">
        <w:rPr>
          <w:rFonts w:ascii="Arial" w:hAnsi="Arial" w:cs="Arial"/>
          <w:sz w:val="22"/>
        </w:rPr>
        <w:lastRenderedPageBreak/>
        <w:t xml:space="preserve">Prescription of WHO Watch Category Antibiotic Ceftriaxone in a Tertiary Care Private Not for Profit Hospital in Uganda. </w:t>
      </w:r>
      <w:r w:rsidRPr="00182627">
        <w:rPr>
          <w:rFonts w:ascii="Arial" w:hAnsi="Arial" w:cs="Arial"/>
          <w:i/>
          <w:iCs/>
          <w:sz w:val="22"/>
        </w:rPr>
        <w:t>Antibiotics</w:t>
      </w:r>
      <w:r w:rsidRPr="00182627">
        <w:rPr>
          <w:rFonts w:ascii="Arial" w:hAnsi="Arial" w:cs="Arial"/>
          <w:sz w:val="22"/>
        </w:rPr>
        <w:t xml:space="preserve">, </w:t>
      </w:r>
      <w:r w:rsidRPr="00182627">
        <w:rPr>
          <w:rFonts w:ascii="Arial" w:hAnsi="Arial" w:cs="Arial"/>
          <w:i/>
          <w:iCs/>
          <w:sz w:val="22"/>
        </w:rPr>
        <w:t>10</w:t>
      </w:r>
      <w:r w:rsidRPr="00182627">
        <w:rPr>
          <w:rFonts w:ascii="Arial" w:hAnsi="Arial" w:cs="Arial"/>
          <w:sz w:val="22"/>
        </w:rPr>
        <w:t>(10), 1167. https://doi.org/10.3390/antibiotics10101167</w:t>
      </w:r>
    </w:p>
    <w:p w14:paraId="36143352"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Kournoutou, G. G., &amp; Dinos, G. (2022). Azithromycin through the Lens of the COVID-19 Treatment. </w:t>
      </w:r>
      <w:r w:rsidRPr="00182627">
        <w:rPr>
          <w:rFonts w:ascii="Arial" w:hAnsi="Arial" w:cs="Arial"/>
          <w:i/>
          <w:iCs/>
          <w:sz w:val="22"/>
        </w:rPr>
        <w:t>Antibiotics</w:t>
      </w:r>
      <w:r w:rsidRPr="00182627">
        <w:rPr>
          <w:rFonts w:ascii="Arial" w:hAnsi="Arial" w:cs="Arial"/>
          <w:sz w:val="22"/>
        </w:rPr>
        <w:t xml:space="preserve">, </w:t>
      </w:r>
      <w:r w:rsidRPr="00182627">
        <w:rPr>
          <w:rFonts w:ascii="Arial" w:hAnsi="Arial" w:cs="Arial"/>
          <w:i/>
          <w:iCs/>
          <w:sz w:val="22"/>
        </w:rPr>
        <w:t>11</w:t>
      </w:r>
      <w:r w:rsidRPr="00182627">
        <w:rPr>
          <w:rFonts w:ascii="Arial" w:hAnsi="Arial" w:cs="Arial"/>
          <w:sz w:val="22"/>
        </w:rPr>
        <w:t>(8), 1063. https://doi.org/10.3390/antibiotics11081063</w:t>
      </w:r>
    </w:p>
    <w:p w14:paraId="4001B1D2"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Mwangi, N. (n.d.). </w:t>
      </w:r>
      <w:r w:rsidRPr="00182627">
        <w:rPr>
          <w:rFonts w:ascii="Arial" w:hAnsi="Arial" w:cs="Arial"/>
          <w:i/>
          <w:iCs/>
          <w:sz w:val="22"/>
        </w:rPr>
        <w:t>Understanding Doxycycline: A Key Antibiotic for Pets</w:t>
      </w:r>
      <w:r w:rsidRPr="00182627">
        <w:rPr>
          <w:rFonts w:ascii="Arial" w:hAnsi="Arial" w:cs="Arial"/>
          <w:sz w:val="22"/>
        </w:rPr>
        <w:t>. Retrieved October 27, 2025, from https://harvestharmonies.com/articles/understanding-doxycycline-veterinary-medicine/</w:t>
      </w:r>
    </w:p>
    <w:p w14:paraId="1C0FA7BF"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Naghavi, M., Vollset, S. E., Ikuta, K. S., Swetschinski, L. R., Gray, A. P., Wool, E. E., Robles Aguilar, G., Mestrovic, T., Smith, G., Han, C., Hsu, R. L., Chalek, J., Araki, D. T., Chung, E., Raggi, C., Gershberg Hayoon, A., Davis Weaver, N., Lindstedt, P. A., Smith, A. E., … Murray, C. J. L. (2024). Global burden of bacterial antimicrobial resistance 1990–2021: A systematic analysis with forecasts to 2050. </w:t>
      </w:r>
      <w:r w:rsidRPr="00182627">
        <w:rPr>
          <w:rFonts w:ascii="Arial" w:hAnsi="Arial" w:cs="Arial"/>
          <w:i/>
          <w:iCs/>
          <w:sz w:val="22"/>
        </w:rPr>
        <w:t>The Lancet</w:t>
      </w:r>
      <w:r w:rsidRPr="00182627">
        <w:rPr>
          <w:rFonts w:ascii="Arial" w:hAnsi="Arial" w:cs="Arial"/>
          <w:sz w:val="22"/>
        </w:rPr>
        <w:t xml:space="preserve">, </w:t>
      </w:r>
      <w:r w:rsidRPr="00182627">
        <w:rPr>
          <w:rFonts w:ascii="Arial" w:hAnsi="Arial" w:cs="Arial"/>
          <w:i/>
          <w:iCs/>
          <w:sz w:val="22"/>
        </w:rPr>
        <w:t>404</w:t>
      </w:r>
      <w:r w:rsidRPr="00182627">
        <w:rPr>
          <w:rFonts w:ascii="Arial" w:hAnsi="Arial" w:cs="Arial"/>
          <w:sz w:val="22"/>
        </w:rPr>
        <w:t>(10459), 1199–1226. https://doi.org/10.1016/S0140-6736(24)01867-1</w:t>
      </w:r>
    </w:p>
    <w:p w14:paraId="1FA317CA"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Nammi, J., Pasala, R., Andhe, N., Vasam, R., Poruri, A. D., &amp; Sherikar, R. R. (2025). Antibiotic Misuse: An In-Depth Examination of Its Global Consequences and Public Health Challenges. </w:t>
      </w:r>
      <w:r w:rsidRPr="00182627">
        <w:rPr>
          <w:rFonts w:ascii="Arial" w:hAnsi="Arial" w:cs="Arial"/>
          <w:i/>
          <w:iCs/>
          <w:sz w:val="22"/>
        </w:rPr>
        <w:t>Cureus</w:t>
      </w:r>
      <w:r w:rsidRPr="00182627">
        <w:rPr>
          <w:rFonts w:ascii="Arial" w:hAnsi="Arial" w:cs="Arial"/>
          <w:sz w:val="22"/>
        </w:rPr>
        <w:t>. https://doi.org/10.7759/cureus.85941</w:t>
      </w:r>
    </w:p>
    <w:p w14:paraId="4ED46C36"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Nsojo, A., George, L., Mwasomola, D., Tawete, J., Mbotwa, C. H., Mweya, C. N., &amp; Mwakyula, I. (2024). Prescribing patterns of antimicrobials according to the WHO AWaRe classification at a tertiary referral hospital in the southern </w:t>
      </w:r>
      <w:r w:rsidRPr="00182627">
        <w:rPr>
          <w:rFonts w:ascii="Arial" w:hAnsi="Arial" w:cs="Arial"/>
          <w:sz w:val="22"/>
        </w:rPr>
        <w:lastRenderedPageBreak/>
        <w:t xml:space="preserve">highlands of Tanzania. </w:t>
      </w:r>
      <w:r w:rsidRPr="00182627">
        <w:rPr>
          <w:rFonts w:ascii="Arial" w:hAnsi="Arial" w:cs="Arial"/>
          <w:i/>
          <w:iCs/>
          <w:sz w:val="22"/>
        </w:rPr>
        <w:t>Infection Prevention in Practice</w:t>
      </w:r>
      <w:r w:rsidRPr="00182627">
        <w:rPr>
          <w:rFonts w:ascii="Arial" w:hAnsi="Arial" w:cs="Arial"/>
          <w:sz w:val="22"/>
        </w:rPr>
        <w:t xml:space="preserve">, </w:t>
      </w:r>
      <w:r w:rsidRPr="00182627">
        <w:rPr>
          <w:rFonts w:ascii="Arial" w:hAnsi="Arial" w:cs="Arial"/>
          <w:i/>
          <w:iCs/>
          <w:sz w:val="22"/>
        </w:rPr>
        <w:t>6</w:t>
      </w:r>
      <w:r w:rsidRPr="00182627">
        <w:rPr>
          <w:rFonts w:ascii="Arial" w:hAnsi="Arial" w:cs="Arial"/>
          <w:sz w:val="22"/>
        </w:rPr>
        <w:t>(2), 100347. https://doi.org/10.1016/j.infpip.2024.100347</w:t>
      </w:r>
    </w:p>
    <w:p w14:paraId="46482690"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Perozziello, A., Lescure, F. X., Truel, A., Routelous, C., Vaillant, L., Yazdanpanah, Y., Lucet, J. C., &amp; CEFECA study group. (2019). Prescribers’ experience and opinions on antimicrobial stewardship programmes in hospitals: A French nationwide survey. </w:t>
      </w:r>
      <w:r w:rsidRPr="00182627">
        <w:rPr>
          <w:rFonts w:ascii="Arial" w:hAnsi="Arial" w:cs="Arial"/>
          <w:i/>
          <w:iCs/>
          <w:sz w:val="22"/>
        </w:rPr>
        <w:t>The Journal of Antimicrobial Chemotherapy</w:t>
      </w:r>
      <w:r w:rsidRPr="00182627">
        <w:rPr>
          <w:rFonts w:ascii="Arial" w:hAnsi="Arial" w:cs="Arial"/>
          <w:sz w:val="22"/>
        </w:rPr>
        <w:t xml:space="preserve">, </w:t>
      </w:r>
      <w:r w:rsidRPr="00182627">
        <w:rPr>
          <w:rFonts w:ascii="Arial" w:hAnsi="Arial" w:cs="Arial"/>
          <w:i/>
          <w:iCs/>
          <w:sz w:val="22"/>
        </w:rPr>
        <w:t>74</w:t>
      </w:r>
      <w:r w:rsidRPr="00182627">
        <w:rPr>
          <w:rFonts w:ascii="Arial" w:hAnsi="Arial" w:cs="Arial"/>
          <w:sz w:val="22"/>
        </w:rPr>
        <w:t>(8), 2451–2458. https://doi.org/10.1093/jac/dkz179</w:t>
      </w:r>
    </w:p>
    <w:p w14:paraId="58FC3F13"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Salam, Md. A., Al-Amin, Md. Y., Salam, M. T., Pawar, J. S., Akhter, N., Rabaan, A. A., &amp; Alqumber, M. A. A. (2023). Antimicrobial Resistance: A Growing Serious Threat for Global Public Health. </w:t>
      </w:r>
      <w:r w:rsidRPr="00182627">
        <w:rPr>
          <w:rFonts w:ascii="Arial" w:hAnsi="Arial" w:cs="Arial"/>
          <w:i/>
          <w:iCs/>
          <w:sz w:val="22"/>
        </w:rPr>
        <w:t>Healthcare</w:t>
      </w:r>
      <w:r w:rsidRPr="00182627">
        <w:rPr>
          <w:rFonts w:ascii="Arial" w:hAnsi="Arial" w:cs="Arial"/>
          <w:sz w:val="22"/>
        </w:rPr>
        <w:t xml:space="preserve">, </w:t>
      </w:r>
      <w:r w:rsidRPr="00182627">
        <w:rPr>
          <w:rFonts w:ascii="Arial" w:hAnsi="Arial" w:cs="Arial"/>
          <w:i/>
          <w:iCs/>
          <w:sz w:val="22"/>
        </w:rPr>
        <w:t>11</w:t>
      </w:r>
      <w:r w:rsidRPr="00182627">
        <w:rPr>
          <w:rFonts w:ascii="Arial" w:hAnsi="Arial" w:cs="Arial"/>
          <w:sz w:val="22"/>
        </w:rPr>
        <w:t>(13), 1946. https://doi.org/10.3390/healthcare11131946</w:t>
      </w:r>
    </w:p>
    <w:p w14:paraId="600C90CB"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Tarrant, C., Colman, A. M., Jenkins, D. R., Chattoe-Brown, E., Perera, N., Mehtar, S., Nakkawita, W. M. I. D., Bolscher, M., &amp; Krockow, E. M. (2021). Drivers of Broad-Spectrum Antibiotic Overuse across Diverse Hospital Contexts—A Qualitative Study of Prescribers in the UK, Sri Lanka and South Africa. </w:t>
      </w:r>
      <w:r w:rsidRPr="00182627">
        <w:rPr>
          <w:rFonts w:ascii="Arial" w:hAnsi="Arial" w:cs="Arial"/>
          <w:i/>
          <w:iCs/>
          <w:sz w:val="22"/>
        </w:rPr>
        <w:t>Antibiotics</w:t>
      </w:r>
      <w:r w:rsidRPr="00182627">
        <w:rPr>
          <w:rFonts w:ascii="Arial" w:hAnsi="Arial" w:cs="Arial"/>
          <w:sz w:val="22"/>
        </w:rPr>
        <w:t xml:space="preserve">, </w:t>
      </w:r>
      <w:r w:rsidRPr="00182627">
        <w:rPr>
          <w:rFonts w:ascii="Arial" w:hAnsi="Arial" w:cs="Arial"/>
          <w:i/>
          <w:iCs/>
          <w:sz w:val="22"/>
        </w:rPr>
        <w:t>10</w:t>
      </w:r>
      <w:r w:rsidRPr="00182627">
        <w:rPr>
          <w:rFonts w:ascii="Arial" w:hAnsi="Arial" w:cs="Arial"/>
          <w:sz w:val="22"/>
        </w:rPr>
        <w:t>(1), 94. https://doi.org/10.3390/antibiotics10010094</w:t>
      </w:r>
    </w:p>
    <w:p w14:paraId="5D1BB43B" w14:textId="77777777" w:rsidR="00182627" w:rsidRPr="00182627" w:rsidRDefault="00182627" w:rsidP="00182627">
      <w:pPr>
        <w:pStyle w:val="Bibliography"/>
        <w:rPr>
          <w:rFonts w:ascii="Arial" w:hAnsi="Arial" w:cs="Arial"/>
          <w:sz w:val="22"/>
        </w:rPr>
      </w:pPr>
      <w:r w:rsidRPr="00182627">
        <w:rPr>
          <w:rFonts w:ascii="Arial" w:hAnsi="Arial" w:cs="Arial"/>
          <w:sz w:val="22"/>
        </w:rPr>
        <w:t xml:space="preserve">Zanichelli, V., Sharland, M., Cappello, B., Moja, L., Getahun, H., Pessoa-Silva, C., Sati, H., Van Weezenbeek, C., Balkhy, H., Simão, M., Gandra, S., &amp; Huttner, B. (2023). The </w:t>
      </w:r>
      <w:r w:rsidRPr="00182627">
        <w:rPr>
          <w:rFonts w:ascii="Arial" w:hAnsi="Arial" w:cs="Arial"/>
          <w:i/>
          <w:iCs/>
          <w:sz w:val="22"/>
        </w:rPr>
        <w:t>WHO AWaRe (Access, Watch, Reserve) antibiotic book</w:t>
      </w:r>
      <w:r w:rsidRPr="00182627">
        <w:rPr>
          <w:rFonts w:ascii="Arial" w:hAnsi="Arial" w:cs="Arial"/>
          <w:sz w:val="22"/>
        </w:rPr>
        <w:t xml:space="preserve"> and prevention of antimicrobial resistance. </w:t>
      </w:r>
      <w:r w:rsidRPr="00182627">
        <w:rPr>
          <w:rFonts w:ascii="Arial" w:hAnsi="Arial" w:cs="Arial"/>
          <w:i/>
          <w:iCs/>
          <w:sz w:val="22"/>
        </w:rPr>
        <w:t>Bulletin of the World Health Organization</w:t>
      </w:r>
      <w:r w:rsidRPr="00182627">
        <w:rPr>
          <w:rFonts w:ascii="Arial" w:hAnsi="Arial" w:cs="Arial"/>
          <w:sz w:val="22"/>
        </w:rPr>
        <w:t xml:space="preserve">, </w:t>
      </w:r>
      <w:r w:rsidRPr="00182627">
        <w:rPr>
          <w:rFonts w:ascii="Arial" w:hAnsi="Arial" w:cs="Arial"/>
          <w:i/>
          <w:iCs/>
          <w:sz w:val="22"/>
        </w:rPr>
        <w:t>101</w:t>
      </w:r>
      <w:r w:rsidRPr="00182627">
        <w:rPr>
          <w:rFonts w:ascii="Arial" w:hAnsi="Arial" w:cs="Arial"/>
          <w:sz w:val="22"/>
        </w:rPr>
        <w:t>(04), 290–296. https://doi.org/10.2471/BLT.22.288614</w:t>
      </w:r>
    </w:p>
    <w:p w14:paraId="00C2C304" w14:textId="0555EAEF" w:rsidR="006A2BA1" w:rsidRDefault="006A2BA1" w:rsidP="006A2BA1">
      <w:pPr>
        <w:pStyle w:val="ReferHead"/>
        <w:spacing w:after="0"/>
        <w:jc w:val="both"/>
        <w:rPr>
          <w:rFonts w:ascii="Arial" w:hAnsi="Arial" w:cs="Arial"/>
        </w:rPr>
      </w:pPr>
      <w:r>
        <w:rPr>
          <w:rFonts w:ascii="Arial" w:hAnsi="Arial" w:cs="Arial"/>
        </w:rPr>
        <w:fldChar w:fldCharType="end"/>
      </w:r>
    </w:p>
    <w:p w14:paraId="0257BCB4" w14:textId="60F16CA2" w:rsidR="006A2BA1" w:rsidRDefault="006A2BA1" w:rsidP="00441B6F">
      <w:pPr>
        <w:pStyle w:val="ReferHead"/>
        <w:spacing w:after="0"/>
        <w:jc w:val="both"/>
        <w:rPr>
          <w:rFonts w:ascii="Arial" w:hAnsi="Arial" w:cs="Arial"/>
        </w:rPr>
      </w:pPr>
    </w:p>
    <w:p w14:paraId="10EA5C95" w14:textId="77777777" w:rsidR="006A2BA1" w:rsidRDefault="006A2BA1" w:rsidP="006A2BA1">
      <w:pPr>
        <w:pStyle w:val="Body"/>
        <w:spacing w:after="0"/>
      </w:pPr>
    </w:p>
    <w:p w14:paraId="3DCDE3DF" w14:textId="34B109A2" w:rsidR="006A2BA1" w:rsidRDefault="006A2BA1" w:rsidP="006A2BA1">
      <w:pPr>
        <w:pStyle w:val="Body"/>
        <w:spacing w:after="0"/>
        <w:jc w:val="left"/>
        <w:rPr>
          <w:rFonts w:ascii="Arial" w:hAnsi="Arial" w:cs="Arial"/>
        </w:rPr>
      </w:pPr>
    </w:p>
    <w:p w14:paraId="06CB65FE" w14:textId="2A43241F" w:rsidR="00182627" w:rsidRDefault="00182627" w:rsidP="006A2BA1">
      <w:pPr>
        <w:pStyle w:val="Body"/>
        <w:spacing w:after="0"/>
        <w:jc w:val="left"/>
        <w:rPr>
          <w:rFonts w:ascii="Arial" w:hAnsi="Arial" w:cs="Arial"/>
        </w:rPr>
      </w:pPr>
    </w:p>
    <w:p w14:paraId="6CCD91D3" w14:textId="4AD8AD93" w:rsidR="00182627" w:rsidRDefault="00182627" w:rsidP="006A2BA1">
      <w:pPr>
        <w:pStyle w:val="Body"/>
        <w:spacing w:after="0"/>
        <w:jc w:val="left"/>
        <w:rPr>
          <w:rFonts w:ascii="Arial" w:hAnsi="Arial" w:cs="Arial"/>
        </w:rPr>
      </w:pPr>
    </w:p>
    <w:p w14:paraId="7587C4E1" w14:textId="0AE20842" w:rsidR="00182627" w:rsidRDefault="00182627" w:rsidP="006A2BA1">
      <w:pPr>
        <w:pStyle w:val="Body"/>
        <w:spacing w:after="0"/>
        <w:jc w:val="left"/>
        <w:rPr>
          <w:rFonts w:ascii="Arial" w:hAnsi="Arial" w:cs="Arial"/>
        </w:rPr>
      </w:pPr>
    </w:p>
    <w:p w14:paraId="1C638334" w14:textId="0CBD0F49" w:rsidR="00182627" w:rsidRDefault="00182627" w:rsidP="006A2BA1">
      <w:pPr>
        <w:pStyle w:val="Body"/>
        <w:spacing w:after="0"/>
        <w:jc w:val="left"/>
        <w:rPr>
          <w:rFonts w:ascii="Arial" w:hAnsi="Arial" w:cs="Arial"/>
        </w:rPr>
      </w:pPr>
    </w:p>
    <w:p w14:paraId="4C000D41" w14:textId="77777777" w:rsidR="00182627" w:rsidRDefault="00182627" w:rsidP="006A2BA1">
      <w:pPr>
        <w:pStyle w:val="Body"/>
        <w:spacing w:after="0"/>
        <w:jc w:val="left"/>
        <w:rPr>
          <w:rFonts w:ascii="Arial" w:hAnsi="Arial" w:cs="Arial"/>
        </w:rPr>
      </w:pPr>
    </w:p>
    <w:p w14:paraId="1EABB4A9" w14:textId="77777777" w:rsidR="006A2BA1" w:rsidRPr="00FB3A86" w:rsidRDefault="006A2BA1" w:rsidP="006A2BA1">
      <w:pPr>
        <w:pStyle w:val="Reference"/>
        <w:numPr>
          <w:ilvl w:val="0"/>
          <w:numId w:val="0"/>
        </w:numPr>
        <w:spacing w:line="240" w:lineRule="auto"/>
        <w:rPr>
          <w:rFonts w:ascii="Arial" w:hAnsi="Arial" w:cs="Arial"/>
        </w:rPr>
      </w:pPr>
    </w:p>
    <w:p w14:paraId="3C3E7848" w14:textId="77777777" w:rsidR="006A2BA1" w:rsidRDefault="006A2BA1" w:rsidP="006A2BA1">
      <w:pPr>
        <w:pStyle w:val="DefAcrHead"/>
        <w:spacing w:after="0"/>
        <w:jc w:val="both"/>
        <w:rPr>
          <w:rFonts w:ascii="Arial" w:hAnsi="Arial" w:cs="Arial"/>
        </w:rPr>
      </w:pPr>
      <w:r w:rsidRPr="00FB3A86">
        <w:rPr>
          <w:rFonts w:ascii="Arial" w:hAnsi="Arial" w:cs="Arial"/>
        </w:rPr>
        <w:t>Definitions, Acronyms, Abbreviations</w:t>
      </w:r>
    </w:p>
    <w:p w14:paraId="5BB371B5" w14:textId="6E915217" w:rsidR="006A2BA1" w:rsidRDefault="006A2BA1" w:rsidP="006A2BA1">
      <w:pPr>
        <w:pStyle w:val="Appendix"/>
        <w:spacing w:after="0"/>
        <w:jc w:val="both"/>
        <w:rPr>
          <w:rFonts w:ascii="Arial" w:hAnsi="Arial" w:cs="Arial"/>
          <w:b w:val="0"/>
        </w:rPr>
      </w:pPr>
    </w:p>
    <w:p w14:paraId="208C3775" w14:textId="77777777" w:rsidR="00182627" w:rsidRPr="00182627" w:rsidRDefault="00182627" w:rsidP="00182627">
      <w:pPr>
        <w:pStyle w:val="ListParagraph"/>
        <w:spacing w:after="0" w:line="480" w:lineRule="auto"/>
        <w:ind w:left="0"/>
        <w:jc w:val="both"/>
        <w:rPr>
          <w:rStyle w:val="Strong"/>
          <w:rFonts w:ascii="Arial" w:hAnsi="Arial" w:cs="Arial"/>
          <w:b w:val="0"/>
          <w:bCs w:val="0"/>
          <w:sz w:val="22"/>
          <w:szCs w:val="20"/>
        </w:rPr>
      </w:pPr>
      <w:proofErr w:type="spellStart"/>
      <w:r w:rsidRPr="00182627">
        <w:rPr>
          <w:rStyle w:val="Strong"/>
          <w:rFonts w:ascii="Arial" w:hAnsi="Arial" w:cs="Arial"/>
          <w:b w:val="0"/>
          <w:bCs w:val="0"/>
          <w:sz w:val="22"/>
          <w:szCs w:val="20"/>
        </w:rPr>
        <w:t>AWaRE</w:t>
      </w:r>
      <w:proofErr w:type="spellEnd"/>
      <w:r w:rsidRPr="00182627">
        <w:rPr>
          <w:rStyle w:val="Strong"/>
          <w:rFonts w:ascii="Arial" w:hAnsi="Arial" w:cs="Arial"/>
          <w:b w:val="0"/>
          <w:bCs w:val="0"/>
          <w:sz w:val="22"/>
          <w:szCs w:val="20"/>
        </w:rPr>
        <w:t>: Access, watch, reserve</w:t>
      </w:r>
    </w:p>
    <w:p w14:paraId="3E38467E" w14:textId="77777777" w:rsidR="00182627" w:rsidRPr="00182627" w:rsidRDefault="00182627" w:rsidP="00182627">
      <w:pPr>
        <w:pStyle w:val="ListParagraph"/>
        <w:spacing w:after="0" w:line="480" w:lineRule="auto"/>
        <w:ind w:left="0"/>
        <w:jc w:val="both"/>
        <w:rPr>
          <w:rStyle w:val="Strong"/>
          <w:rFonts w:ascii="Arial" w:hAnsi="Arial" w:cs="Arial"/>
          <w:b w:val="0"/>
          <w:bCs w:val="0"/>
          <w:sz w:val="22"/>
          <w:szCs w:val="20"/>
        </w:rPr>
      </w:pPr>
      <w:r w:rsidRPr="00182627">
        <w:rPr>
          <w:rStyle w:val="Strong"/>
          <w:rFonts w:ascii="Arial" w:hAnsi="Arial" w:cs="Arial"/>
          <w:b w:val="0"/>
          <w:bCs w:val="0"/>
          <w:sz w:val="22"/>
          <w:szCs w:val="20"/>
        </w:rPr>
        <w:t>AMR: Antimicrobial resistance</w:t>
      </w:r>
    </w:p>
    <w:p w14:paraId="0FF51217" w14:textId="77777777" w:rsidR="00182627" w:rsidRPr="00182627" w:rsidRDefault="00182627" w:rsidP="00182627">
      <w:pPr>
        <w:pStyle w:val="ListParagraph"/>
        <w:spacing w:after="0" w:line="480" w:lineRule="auto"/>
        <w:ind w:left="0"/>
        <w:jc w:val="both"/>
        <w:rPr>
          <w:rStyle w:val="Strong"/>
          <w:rFonts w:ascii="Arial" w:hAnsi="Arial" w:cs="Arial"/>
          <w:b w:val="0"/>
          <w:bCs w:val="0"/>
          <w:sz w:val="22"/>
          <w:szCs w:val="20"/>
        </w:rPr>
      </w:pPr>
      <w:r w:rsidRPr="00182627">
        <w:rPr>
          <w:rStyle w:val="Strong"/>
          <w:rFonts w:ascii="Arial" w:hAnsi="Arial" w:cs="Arial"/>
          <w:b w:val="0"/>
          <w:bCs w:val="0"/>
          <w:sz w:val="22"/>
          <w:szCs w:val="20"/>
        </w:rPr>
        <w:t>COVID-19: Corona virus disease-19</w:t>
      </w:r>
    </w:p>
    <w:p w14:paraId="47C3A651" w14:textId="77777777" w:rsidR="00182627" w:rsidRPr="00182627" w:rsidRDefault="00182627" w:rsidP="00182627">
      <w:pPr>
        <w:pStyle w:val="ListParagraph"/>
        <w:spacing w:after="0" w:line="480" w:lineRule="auto"/>
        <w:ind w:left="0"/>
        <w:jc w:val="both"/>
        <w:rPr>
          <w:rFonts w:ascii="Arial" w:eastAsia="Times New Roman" w:hAnsi="Arial" w:cs="Arial"/>
          <w:sz w:val="22"/>
        </w:rPr>
      </w:pPr>
      <w:r w:rsidRPr="00182627">
        <w:rPr>
          <w:rFonts w:ascii="Arial" w:eastAsia="Times New Roman" w:hAnsi="Arial" w:cs="Arial"/>
          <w:sz w:val="22"/>
        </w:rPr>
        <w:t xml:space="preserve">SPSS: Statistical Package for the Social Sciences </w:t>
      </w:r>
    </w:p>
    <w:p w14:paraId="37D0407A" w14:textId="77777777" w:rsidR="00182627" w:rsidRPr="00182627" w:rsidRDefault="00182627" w:rsidP="00182627">
      <w:pPr>
        <w:pStyle w:val="ListParagraph"/>
        <w:spacing w:after="0" w:line="480" w:lineRule="auto"/>
        <w:ind w:left="0"/>
        <w:jc w:val="both"/>
        <w:rPr>
          <w:rStyle w:val="Strong"/>
          <w:rFonts w:ascii="Arial" w:hAnsi="Arial" w:cs="Arial"/>
          <w:b w:val="0"/>
          <w:bCs w:val="0"/>
          <w:sz w:val="22"/>
          <w:szCs w:val="20"/>
        </w:rPr>
      </w:pPr>
      <w:r w:rsidRPr="00182627">
        <w:rPr>
          <w:rStyle w:val="Strong"/>
          <w:rFonts w:ascii="Arial" w:hAnsi="Arial" w:cs="Arial"/>
          <w:b w:val="0"/>
          <w:bCs w:val="0"/>
          <w:sz w:val="22"/>
          <w:szCs w:val="20"/>
        </w:rPr>
        <w:t xml:space="preserve">WHO: World health </w:t>
      </w:r>
      <w:proofErr w:type="spellStart"/>
      <w:r w:rsidRPr="00182627">
        <w:rPr>
          <w:rStyle w:val="Strong"/>
          <w:rFonts w:ascii="Arial" w:hAnsi="Arial" w:cs="Arial"/>
          <w:b w:val="0"/>
          <w:bCs w:val="0"/>
          <w:sz w:val="22"/>
          <w:szCs w:val="20"/>
        </w:rPr>
        <w:t>organisation</w:t>
      </w:r>
      <w:proofErr w:type="spellEnd"/>
    </w:p>
    <w:p w14:paraId="58072388" w14:textId="77777777" w:rsidR="00182627" w:rsidRPr="00FB3A86" w:rsidRDefault="00182627" w:rsidP="006A2BA1">
      <w:pPr>
        <w:pStyle w:val="Appendix"/>
        <w:spacing w:after="0"/>
        <w:jc w:val="both"/>
        <w:rPr>
          <w:rFonts w:ascii="Arial" w:hAnsi="Arial" w:cs="Arial"/>
          <w:b w:val="0"/>
        </w:rPr>
      </w:pPr>
    </w:p>
    <w:p w14:paraId="28E15D84" w14:textId="14334F50" w:rsidR="006A2BA1" w:rsidRDefault="006A2BA1" w:rsidP="00441B6F">
      <w:pPr>
        <w:pStyle w:val="ReferHead"/>
        <w:spacing w:after="0"/>
        <w:jc w:val="both"/>
        <w:rPr>
          <w:rFonts w:ascii="Arial" w:hAnsi="Arial" w:cs="Arial"/>
        </w:rPr>
      </w:pPr>
    </w:p>
    <w:p w14:paraId="0F7672D4" w14:textId="56BD09CD" w:rsidR="006A2BA1" w:rsidRDefault="006A2BA1" w:rsidP="00441B6F">
      <w:pPr>
        <w:pStyle w:val="ReferHead"/>
        <w:spacing w:after="0"/>
        <w:jc w:val="both"/>
        <w:rPr>
          <w:rFonts w:ascii="Arial" w:hAnsi="Arial" w:cs="Arial"/>
        </w:rPr>
      </w:pPr>
    </w:p>
    <w:p w14:paraId="2D2DD451" w14:textId="02C2C762" w:rsidR="006A2BA1" w:rsidRDefault="006A2BA1" w:rsidP="00441B6F">
      <w:pPr>
        <w:pStyle w:val="ReferHead"/>
        <w:spacing w:after="0"/>
        <w:jc w:val="both"/>
        <w:rPr>
          <w:rFonts w:ascii="Arial" w:hAnsi="Arial" w:cs="Arial"/>
        </w:rPr>
      </w:pPr>
    </w:p>
    <w:p w14:paraId="0567BA98" w14:textId="27524ACE" w:rsidR="006A2BA1" w:rsidRDefault="006A2BA1" w:rsidP="00441B6F">
      <w:pPr>
        <w:pStyle w:val="ReferHead"/>
        <w:spacing w:after="0"/>
        <w:jc w:val="both"/>
        <w:rPr>
          <w:rFonts w:ascii="Arial" w:hAnsi="Arial" w:cs="Arial"/>
        </w:rPr>
      </w:pPr>
    </w:p>
    <w:p w14:paraId="1B0C9296" w14:textId="4F97F890" w:rsidR="006A2BA1" w:rsidRDefault="006A2BA1" w:rsidP="00441B6F">
      <w:pPr>
        <w:pStyle w:val="ReferHead"/>
        <w:spacing w:after="0"/>
        <w:jc w:val="both"/>
        <w:rPr>
          <w:rFonts w:ascii="Arial" w:hAnsi="Arial" w:cs="Arial"/>
        </w:rPr>
      </w:pPr>
    </w:p>
    <w:p w14:paraId="14279AD6" w14:textId="6656CF90" w:rsidR="006A2BA1" w:rsidRDefault="006A2BA1" w:rsidP="00441B6F">
      <w:pPr>
        <w:pStyle w:val="ReferHead"/>
        <w:spacing w:after="0"/>
        <w:jc w:val="both"/>
        <w:rPr>
          <w:rFonts w:ascii="Arial" w:hAnsi="Arial" w:cs="Arial"/>
        </w:rPr>
      </w:pPr>
    </w:p>
    <w:p w14:paraId="499AC822" w14:textId="404A7BB4" w:rsidR="006A2BA1" w:rsidRDefault="006A2BA1" w:rsidP="00441B6F">
      <w:pPr>
        <w:pStyle w:val="ReferHead"/>
        <w:spacing w:after="0"/>
        <w:jc w:val="both"/>
        <w:rPr>
          <w:rFonts w:ascii="Arial" w:hAnsi="Arial" w:cs="Arial"/>
        </w:rPr>
      </w:pPr>
    </w:p>
    <w:p w14:paraId="6594ABF9" w14:textId="77777777" w:rsidR="00790ADA" w:rsidRPr="00FB3A86" w:rsidRDefault="00790ADA" w:rsidP="00441B6F">
      <w:pPr>
        <w:pStyle w:val="ReferHead"/>
        <w:spacing w:after="0"/>
        <w:jc w:val="both"/>
        <w:rPr>
          <w:rFonts w:ascii="Arial" w:hAnsi="Arial" w:cs="Arial"/>
        </w:rPr>
      </w:pPr>
    </w:p>
    <w:sectPr w:rsidR="00790ADA" w:rsidRPr="00FB3A86" w:rsidSect="00CB770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B26EC" w14:textId="77777777" w:rsidR="0009603D" w:rsidRDefault="0009603D" w:rsidP="00C37E61">
      <w:r>
        <w:separator/>
      </w:r>
    </w:p>
  </w:endnote>
  <w:endnote w:type="continuationSeparator" w:id="0">
    <w:p w14:paraId="55C62682" w14:textId="77777777" w:rsidR="0009603D" w:rsidRDefault="000960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2F74" w14:textId="77777777" w:rsidR="00CB7701" w:rsidRDefault="00CB7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ADEC" w14:textId="77777777" w:rsidR="00CB7701" w:rsidRDefault="00CB7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D948" w14:textId="22370E4A" w:rsidR="00754C9A" w:rsidRPr="00CB7701" w:rsidRDefault="00754C9A" w:rsidP="00CB770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03AD" w14:textId="77777777" w:rsidR="006A2BA1" w:rsidRPr="00C37E61" w:rsidRDefault="006A2BA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66DA" w14:textId="77777777" w:rsidR="0009603D" w:rsidRDefault="0009603D" w:rsidP="00C37E61">
      <w:r>
        <w:separator/>
      </w:r>
    </w:p>
  </w:footnote>
  <w:footnote w:type="continuationSeparator" w:id="0">
    <w:p w14:paraId="0E517C46" w14:textId="77777777" w:rsidR="0009603D" w:rsidRDefault="000960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9FAF" w14:textId="6C010B5C" w:rsidR="00CB7701" w:rsidRDefault="00CB7701">
    <w:pPr>
      <w:pStyle w:val="Header"/>
    </w:pPr>
    <w:r>
      <w:rPr>
        <w:noProof/>
      </w:rPr>
      <w:pict w14:anchorId="3FC7B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B897" w14:textId="59EA73E3" w:rsidR="00CB7701" w:rsidRDefault="00CB7701">
    <w:pPr>
      <w:pStyle w:val="Header"/>
    </w:pPr>
    <w:r>
      <w:rPr>
        <w:noProof/>
      </w:rPr>
      <w:pict w14:anchorId="6EB61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8BD2" w14:textId="78B5A4A0" w:rsidR="00296529" w:rsidRPr="00296529" w:rsidRDefault="00CB7701" w:rsidP="00296529">
    <w:pPr>
      <w:ind w:left="2160"/>
      <w:jc w:val="center"/>
      <w:rPr>
        <w:rFonts w:ascii="Times New Roman" w:eastAsia="Calibri" w:hAnsi="Times New Roman"/>
        <w:i/>
        <w:sz w:val="18"/>
        <w:szCs w:val="22"/>
      </w:rPr>
    </w:pPr>
    <w:r>
      <w:rPr>
        <w:noProof/>
      </w:rPr>
      <w:pict w14:anchorId="5C5D0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BCD1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B850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C5A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5709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1D7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5E95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FEF5" w14:textId="65D15CAC" w:rsidR="00CB7701" w:rsidRDefault="00CB7701">
    <w:pPr>
      <w:pStyle w:val="Header"/>
    </w:pPr>
    <w:r>
      <w:rPr>
        <w:noProof/>
      </w:rPr>
      <w:pict w14:anchorId="16160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7FD2" w14:textId="1F01C6DF" w:rsidR="00CB7701" w:rsidRDefault="00CB7701">
    <w:pPr>
      <w:pStyle w:val="Header"/>
    </w:pPr>
    <w:r>
      <w:rPr>
        <w:noProof/>
      </w:rPr>
      <w:pict w14:anchorId="73CD1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17D9" w14:textId="0ADA27F5" w:rsidR="00CB7701" w:rsidRDefault="00CB7701">
    <w:pPr>
      <w:pStyle w:val="Header"/>
    </w:pPr>
    <w:r>
      <w:rPr>
        <w:noProof/>
      </w:rPr>
      <w:pict w14:anchorId="4CD7B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9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6C06BD"/>
    <w:multiLevelType w:val="hybridMultilevel"/>
    <w:tmpl w:val="2E3E815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603D"/>
    <w:rsid w:val="000A47FA"/>
    <w:rsid w:val="000A65D3"/>
    <w:rsid w:val="000B1E33"/>
    <w:rsid w:val="000D689F"/>
    <w:rsid w:val="000E7B7B"/>
    <w:rsid w:val="000E7D62"/>
    <w:rsid w:val="00103357"/>
    <w:rsid w:val="00123C9F"/>
    <w:rsid w:val="00126190"/>
    <w:rsid w:val="00130F17"/>
    <w:rsid w:val="001320BF"/>
    <w:rsid w:val="00163BC4"/>
    <w:rsid w:val="001826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5FBA"/>
    <w:rsid w:val="00371FB6"/>
    <w:rsid w:val="003763C1"/>
    <w:rsid w:val="00376BBE"/>
    <w:rsid w:val="0039224F"/>
    <w:rsid w:val="003A43A4"/>
    <w:rsid w:val="003A7E18"/>
    <w:rsid w:val="003C30CD"/>
    <w:rsid w:val="003C4C86"/>
    <w:rsid w:val="003C6258"/>
    <w:rsid w:val="003E2904"/>
    <w:rsid w:val="00401927"/>
    <w:rsid w:val="0041027F"/>
    <w:rsid w:val="00412475"/>
    <w:rsid w:val="00423789"/>
    <w:rsid w:val="00440F43"/>
    <w:rsid w:val="00441B6F"/>
    <w:rsid w:val="00446221"/>
    <w:rsid w:val="00450E62"/>
    <w:rsid w:val="004539DB"/>
    <w:rsid w:val="00471A80"/>
    <w:rsid w:val="004A280C"/>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2A76"/>
    <w:rsid w:val="0066510A"/>
    <w:rsid w:val="00673F9F"/>
    <w:rsid w:val="00686953"/>
    <w:rsid w:val="00687DEA"/>
    <w:rsid w:val="00687E67"/>
    <w:rsid w:val="006967F7"/>
    <w:rsid w:val="006A250C"/>
    <w:rsid w:val="006A2BA1"/>
    <w:rsid w:val="006B21D3"/>
    <w:rsid w:val="006B57D0"/>
    <w:rsid w:val="006C5355"/>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482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0A3"/>
    <w:rsid w:val="00A1134E"/>
    <w:rsid w:val="00A24E7E"/>
    <w:rsid w:val="00A258C3"/>
    <w:rsid w:val="00A347C0"/>
    <w:rsid w:val="00A51431"/>
    <w:rsid w:val="00A539AD"/>
    <w:rsid w:val="00A94063"/>
    <w:rsid w:val="00AA517C"/>
    <w:rsid w:val="00AA6219"/>
    <w:rsid w:val="00AA74E0"/>
    <w:rsid w:val="00AB703F"/>
    <w:rsid w:val="00AC6BB8"/>
    <w:rsid w:val="00AE008F"/>
    <w:rsid w:val="00B01FCD"/>
    <w:rsid w:val="00B16C49"/>
    <w:rsid w:val="00B1776C"/>
    <w:rsid w:val="00B52583"/>
    <w:rsid w:val="00B52896"/>
    <w:rsid w:val="00B61F9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3ECD"/>
    <w:rsid w:val="00CB7701"/>
    <w:rsid w:val="00CC637F"/>
    <w:rsid w:val="00CD6755"/>
    <w:rsid w:val="00CD6856"/>
    <w:rsid w:val="00CE0089"/>
    <w:rsid w:val="00CE793C"/>
    <w:rsid w:val="00CF193C"/>
    <w:rsid w:val="00D07D83"/>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58D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3E99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C63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16C49"/>
    <w:pPr>
      <w:spacing w:after="160" w:line="256" w:lineRule="auto"/>
      <w:ind w:left="720"/>
      <w:contextualSpacing/>
    </w:pPr>
    <w:rPr>
      <w:rFonts w:ascii="Times New Roman" w:eastAsia="Calibri" w:hAnsi="Times New Roman" w:cs="SimSun"/>
      <w:sz w:val="24"/>
      <w:szCs w:val="22"/>
    </w:rPr>
  </w:style>
  <w:style w:type="paragraph" w:styleId="NormalWeb">
    <w:name w:val="Normal (Web)"/>
    <w:basedOn w:val="Normal"/>
    <w:uiPriority w:val="99"/>
    <w:rsid w:val="00B16C49"/>
    <w:pPr>
      <w:spacing w:before="100" w:beforeAutospacing="1" w:after="115"/>
    </w:pPr>
    <w:rPr>
      <w:rFonts w:ascii="Times New Roman" w:hAnsi="Times New Roman"/>
      <w:sz w:val="24"/>
      <w:szCs w:val="24"/>
    </w:rPr>
  </w:style>
  <w:style w:type="character" w:styleId="Strong">
    <w:name w:val="Strong"/>
    <w:basedOn w:val="DefaultParagraphFont"/>
    <w:uiPriority w:val="22"/>
    <w:qFormat/>
    <w:rsid w:val="00B16C49"/>
    <w:rPr>
      <w:b/>
      <w:bCs/>
    </w:rPr>
  </w:style>
  <w:style w:type="character" w:customStyle="1" w:styleId="Heading2Char">
    <w:name w:val="Heading 2 Char"/>
    <w:basedOn w:val="DefaultParagraphFont"/>
    <w:link w:val="Heading2"/>
    <w:uiPriority w:val="9"/>
    <w:qFormat/>
    <w:rsid w:val="00CC637F"/>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6C5355"/>
    <w:pPr>
      <w:spacing w:after="200"/>
    </w:pPr>
    <w:rPr>
      <w:rFonts w:ascii="Times New Roman" w:eastAsia="Calibri" w:hAnsi="Times New Roman" w:cs="SimSun"/>
      <w:i/>
      <w:iCs/>
      <w:color w:val="1F497D" w:themeColor="text2"/>
      <w:sz w:val="18"/>
      <w:szCs w:val="18"/>
    </w:rPr>
  </w:style>
  <w:style w:type="table" w:styleId="LightShading">
    <w:name w:val="Light Shading"/>
    <w:basedOn w:val="TableNormal"/>
    <w:uiPriority w:val="60"/>
    <w:rsid w:val="006C535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6A2BA1"/>
    <w:pPr>
      <w:spacing w:line="480" w:lineRule="auto"/>
      <w:ind w:left="720" w:hanging="720"/>
    </w:pPr>
  </w:style>
  <w:style w:type="table" w:styleId="TableWeb3">
    <w:name w:val="Table Web 3"/>
    <w:basedOn w:val="TableNormal"/>
    <w:rsid w:val="00B61F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4831-EE0B-4165-8FFD-E42A7563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18</Pages>
  <Words>17022</Words>
  <Characters>97026</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113821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2025-11-23T17:25:00Z</dcterms:created>
  <dcterms:modified xsi:type="dcterms:W3CDTF">2025-11-24T10:53:00Z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id="UZxNzqRc"/&gt;&lt;style id="http://www.zotero.org/styles/harvard-educational-review"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