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0DD8C" w14:textId="75890140" w:rsidR="00894A60" w:rsidRPr="00EE2C81" w:rsidRDefault="00894A60" w:rsidP="00C33759">
      <w:pPr>
        <w:rPr>
          <w:rFonts w:ascii="Times New Roman" w:hAnsi="Times New Roman" w:cs="Times New Roman"/>
          <w:sz w:val="18"/>
          <w:szCs w:val="18"/>
          <w:vertAlign w:val="superscript"/>
        </w:rPr>
      </w:pPr>
      <w:r w:rsidRPr="003670D3">
        <w:rPr>
          <w:rFonts w:ascii="Times New Roman" w:hAnsi="Times New Roman" w:cs="Times New Roman"/>
          <w:b/>
          <w:bCs/>
          <w:sz w:val="26"/>
          <w:szCs w:val="26"/>
          <w:u w:val="single"/>
        </w:rPr>
        <w:t xml:space="preserve">Systemic </w:t>
      </w:r>
      <w:r w:rsidR="007128A3" w:rsidRPr="003670D3">
        <w:rPr>
          <w:rFonts w:ascii="Times New Roman" w:hAnsi="Times New Roman" w:cs="Times New Roman"/>
          <w:b/>
          <w:bCs/>
          <w:sz w:val="26"/>
          <w:szCs w:val="26"/>
          <w:u w:val="single"/>
        </w:rPr>
        <w:t xml:space="preserve">Review </w:t>
      </w:r>
      <w:r w:rsidR="00CC3551" w:rsidRPr="003670D3">
        <w:rPr>
          <w:rFonts w:ascii="Times New Roman" w:hAnsi="Times New Roman" w:cs="Times New Roman"/>
          <w:b/>
          <w:bCs/>
          <w:sz w:val="26"/>
          <w:szCs w:val="26"/>
          <w:u w:val="single"/>
        </w:rPr>
        <w:t>Article</w:t>
      </w:r>
      <w:r w:rsidR="00CC3551">
        <w:rPr>
          <w:rFonts w:ascii="Times New Roman" w:hAnsi="Times New Roman" w:cs="Times New Roman"/>
          <w:b/>
          <w:bCs/>
          <w:sz w:val="26"/>
          <w:szCs w:val="26"/>
        </w:rPr>
        <w:t xml:space="preserve"> </w:t>
      </w:r>
      <w:r w:rsidR="007128A3" w:rsidRPr="007128A3">
        <w:rPr>
          <w:rFonts w:ascii="Times New Roman" w:hAnsi="Times New Roman" w:cs="Times New Roman"/>
          <w:b/>
          <w:bCs/>
          <w:sz w:val="26"/>
          <w:szCs w:val="26"/>
        </w:rPr>
        <w:t xml:space="preserve"> </w:t>
      </w:r>
      <w:r w:rsidR="007128A3" w:rsidRPr="007128A3">
        <w:rPr>
          <w:rFonts w:ascii="Times New Roman" w:hAnsi="Times New Roman" w:cs="Times New Roman"/>
          <w:b/>
          <w:bCs/>
          <w:sz w:val="26"/>
          <w:szCs w:val="26"/>
        </w:rPr>
        <w:br/>
      </w:r>
      <w:r w:rsidR="00B633CE">
        <w:rPr>
          <w:rFonts w:ascii="Times New Roman" w:hAnsi="Times New Roman" w:cs="Times New Roman"/>
          <w:b/>
          <w:bCs/>
          <w:sz w:val="26"/>
          <w:szCs w:val="26"/>
        </w:rPr>
        <w:br/>
      </w:r>
      <w:r w:rsidR="002622F2" w:rsidRPr="002622F2">
        <w:rPr>
          <w:rFonts w:ascii="Times New Roman" w:hAnsi="Times New Roman" w:cs="Times New Roman"/>
          <w:b/>
          <w:bCs/>
          <w:sz w:val="26"/>
          <w:szCs w:val="26"/>
        </w:rPr>
        <w:t>A Systematic Review of </w:t>
      </w:r>
      <w:r w:rsidR="002622F2" w:rsidRPr="002622F2">
        <w:rPr>
          <w:rFonts w:ascii="Times New Roman" w:hAnsi="Times New Roman" w:cs="Times New Roman"/>
          <w:b/>
          <w:bCs/>
          <w:i/>
          <w:iCs/>
          <w:sz w:val="26"/>
          <w:szCs w:val="26"/>
        </w:rPr>
        <w:t>Naegleria fowleri</w:t>
      </w:r>
      <w:r w:rsidR="002622F2" w:rsidRPr="002622F2">
        <w:rPr>
          <w:rFonts w:ascii="Times New Roman" w:hAnsi="Times New Roman" w:cs="Times New Roman"/>
          <w:b/>
          <w:bCs/>
          <w:sz w:val="26"/>
          <w:szCs w:val="26"/>
        </w:rPr>
        <w:t> Infections: Emerging Epidemiology, Molecular Pathogenesis, and Therapeutic Advances (2020-2025)</w:t>
      </w:r>
    </w:p>
    <w:p w14:paraId="78AF68C6" w14:textId="40AA870E" w:rsidR="00894A60" w:rsidRDefault="00894A60" w:rsidP="002622F2">
      <w:pPr>
        <w:jc w:val="both"/>
        <w:rPr>
          <w:rFonts w:ascii="Times New Roman" w:hAnsi="Times New Roman" w:cs="Times New Roman"/>
          <w:sz w:val="20"/>
          <w:szCs w:val="20"/>
        </w:rPr>
      </w:pPr>
    </w:p>
    <w:p w14:paraId="690BFEBF" w14:textId="77777777" w:rsidR="00ED3FE2" w:rsidRDefault="00ED3FE2" w:rsidP="002622F2">
      <w:pPr>
        <w:jc w:val="both"/>
        <w:rPr>
          <w:rFonts w:ascii="Times New Roman" w:hAnsi="Times New Roman" w:cs="Times New Roman"/>
          <w:sz w:val="20"/>
          <w:szCs w:val="20"/>
        </w:rPr>
      </w:pPr>
    </w:p>
    <w:p w14:paraId="0063060E" w14:textId="07803828" w:rsidR="003760B3" w:rsidRPr="00AE470E" w:rsidRDefault="003760B3" w:rsidP="00B82D45">
      <w:pPr>
        <w:rPr>
          <w:rFonts w:ascii="Times New Roman" w:hAnsi="Times New Roman" w:cs="Times New Roman"/>
          <w:sz w:val="26"/>
          <w:szCs w:val="26"/>
        </w:rPr>
      </w:pPr>
      <w:r w:rsidRPr="00945488">
        <w:rPr>
          <w:rFonts w:ascii="Times New Roman" w:hAnsi="Times New Roman" w:cs="Times New Roman"/>
          <w:b/>
          <w:bCs/>
          <w:sz w:val="26"/>
          <w:szCs w:val="26"/>
        </w:rPr>
        <w:t>Abstract</w:t>
      </w:r>
    </w:p>
    <w:p w14:paraId="4072E571" w14:textId="33868B76" w:rsidR="008D7655" w:rsidRPr="00B633CE" w:rsidRDefault="00B633CE" w:rsidP="00B633CE">
      <w:pPr>
        <w:spacing w:line="360" w:lineRule="auto"/>
        <w:jc w:val="both"/>
        <w:rPr>
          <w:rFonts w:ascii="Times New Roman" w:hAnsi="Times New Roman" w:cs="Times New Roman"/>
          <w:b/>
          <w:bCs/>
          <w:sz w:val="22"/>
          <w:szCs w:val="22"/>
        </w:rPr>
      </w:pPr>
      <w:r w:rsidRPr="00B633CE">
        <w:rPr>
          <w:rFonts w:ascii="Times New Roman" w:hAnsi="Times New Roman" w:cs="Times New Roman"/>
          <w:b/>
          <w:bCs/>
          <w:sz w:val="22"/>
          <w:szCs w:val="22"/>
        </w:rPr>
        <w:t>Aim</w:t>
      </w:r>
      <w:r>
        <w:rPr>
          <w:rFonts w:ascii="Times New Roman" w:hAnsi="Times New Roman" w:cs="Times New Roman"/>
          <w:b/>
          <w:bCs/>
          <w:sz w:val="22"/>
          <w:szCs w:val="22"/>
        </w:rPr>
        <w:t xml:space="preserve">: </w:t>
      </w:r>
      <w:r w:rsidRPr="00B633CE">
        <w:rPr>
          <w:rFonts w:ascii="Times New Roman" w:hAnsi="Times New Roman" w:cs="Times New Roman"/>
          <w:sz w:val="22"/>
          <w:szCs w:val="22"/>
        </w:rPr>
        <w:t xml:space="preserve">The thermophilic amoeba </w:t>
      </w:r>
      <w:r w:rsidRPr="00B633CE">
        <w:rPr>
          <w:rFonts w:ascii="Times New Roman" w:hAnsi="Times New Roman" w:cs="Times New Roman"/>
          <w:i/>
          <w:iCs/>
          <w:sz w:val="22"/>
          <w:szCs w:val="22"/>
        </w:rPr>
        <w:t>Naegleria fowleri</w:t>
      </w:r>
      <w:r w:rsidRPr="00B633CE">
        <w:rPr>
          <w:rFonts w:ascii="Times New Roman" w:hAnsi="Times New Roman" w:cs="Times New Roman"/>
          <w:sz w:val="22"/>
          <w:szCs w:val="22"/>
        </w:rPr>
        <w:t>, which can live independently, is normally located in hot freshwater and is responsible for a disease named Primary Amoebic Meningoencephalitis (PAM), a quick and nearly always lethal infection of the central nervous system. The present review critically updates the global distribution, molecular mechanisms, and treatment options of PAM during the period of 2020-2025.</w:t>
      </w:r>
      <w:r>
        <w:rPr>
          <w:rFonts w:ascii="Times New Roman" w:hAnsi="Times New Roman" w:cs="Times New Roman"/>
          <w:b/>
          <w:bCs/>
          <w:sz w:val="22"/>
          <w:szCs w:val="22"/>
        </w:rPr>
        <w:br/>
      </w:r>
      <w:r w:rsidRPr="00B633CE">
        <w:rPr>
          <w:rFonts w:ascii="Times New Roman" w:hAnsi="Times New Roman" w:cs="Times New Roman"/>
          <w:b/>
          <w:bCs/>
          <w:sz w:val="22"/>
          <w:szCs w:val="22"/>
        </w:rPr>
        <w:t>Methods</w:t>
      </w:r>
      <w:r>
        <w:rPr>
          <w:rFonts w:ascii="Times New Roman" w:hAnsi="Times New Roman" w:cs="Times New Roman"/>
          <w:b/>
          <w:bCs/>
          <w:sz w:val="22"/>
          <w:szCs w:val="22"/>
        </w:rPr>
        <w:t xml:space="preserve">: </w:t>
      </w:r>
      <w:r w:rsidRPr="00B633CE">
        <w:rPr>
          <w:rFonts w:ascii="Times New Roman" w:hAnsi="Times New Roman" w:cs="Times New Roman"/>
          <w:sz w:val="22"/>
          <w:szCs w:val="22"/>
        </w:rPr>
        <w:t>A thorough literature search of the databases like PubMed, Scopus, and Web of Science was carried out by giving in-depth focus to peer-reviewed articles, case reports, and clinical trials conducted within this timeframe.</w:t>
      </w:r>
      <w:r>
        <w:rPr>
          <w:rFonts w:ascii="Times New Roman" w:hAnsi="Times New Roman" w:cs="Times New Roman"/>
          <w:b/>
          <w:bCs/>
          <w:sz w:val="22"/>
          <w:szCs w:val="22"/>
        </w:rPr>
        <w:br/>
      </w:r>
      <w:r w:rsidRPr="00B633CE">
        <w:rPr>
          <w:rFonts w:ascii="Times New Roman" w:hAnsi="Times New Roman" w:cs="Times New Roman"/>
          <w:b/>
          <w:bCs/>
          <w:sz w:val="22"/>
          <w:szCs w:val="22"/>
        </w:rPr>
        <w:t>Results</w:t>
      </w:r>
      <w:r>
        <w:rPr>
          <w:rFonts w:ascii="Times New Roman" w:hAnsi="Times New Roman" w:cs="Times New Roman"/>
          <w:b/>
          <w:bCs/>
          <w:sz w:val="22"/>
          <w:szCs w:val="22"/>
        </w:rPr>
        <w:t xml:space="preserve">: </w:t>
      </w:r>
      <w:r w:rsidRPr="00B633CE">
        <w:rPr>
          <w:rFonts w:ascii="Times New Roman" w:hAnsi="Times New Roman" w:cs="Times New Roman"/>
          <w:sz w:val="22"/>
          <w:szCs w:val="22"/>
        </w:rPr>
        <w:t>The synthesis of our findings indicates a considerable geographical change in the occurrence of PAM cases, with South Asia, especially Pakistan and India, being the new hotspot, a transition that is closely linked to climate change and water management practices. In parallel, molecular studies have been yielding new knowledge of pathogenesis through multi-omics approaches and studying unique virulence factors and host-pathogen relations. The use of metagenomic next-generation sequencing (</w:t>
      </w:r>
      <w:proofErr w:type="spellStart"/>
      <w:r w:rsidRPr="00B633CE">
        <w:rPr>
          <w:rFonts w:ascii="Times New Roman" w:hAnsi="Times New Roman" w:cs="Times New Roman"/>
          <w:sz w:val="22"/>
          <w:szCs w:val="22"/>
        </w:rPr>
        <w:t>mNGS</w:t>
      </w:r>
      <w:proofErr w:type="spellEnd"/>
      <w:r w:rsidRPr="00B633CE">
        <w:rPr>
          <w:rFonts w:ascii="Times New Roman" w:hAnsi="Times New Roman" w:cs="Times New Roman"/>
          <w:sz w:val="22"/>
          <w:szCs w:val="22"/>
        </w:rPr>
        <w:t>) has been excellent in aiding the diagnosis of PAM, while rapid confirmation has been made possible through its use. On the other hand, a shift from amphotericin B monotherapy to a combination of antifungal drugs, including miltefosine, has been one of the factors contributing to the improved survival in several recent cases, while the promise of nanoparticle-based drug delivery and AI-assisted therapies is also on the cards among the experimental strategies that are being looked at.</w:t>
      </w:r>
      <w:r>
        <w:rPr>
          <w:rFonts w:ascii="Times New Roman" w:hAnsi="Times New Roman" w:cs="Times New Roman"/>
          <w:b/>
          <w:bCs/>
          <w:sz w:val="22"/>
          <w:szCs w:val="22"/>
        </w:rPr>
        <w:br/>
      </w:r>
      <w:r w:rsidRPr="00B633CE">
        <w:rPr>
          <w:rFonts w:ascii="Times New Roman" w:hAnsi="Times New Roman" w:cs="Times New Roman"/>
          <w:b/>
          <w:bCs/>
          <w:sz w:val="22"/>
          <w:szCs w:val="22"/>
        </w:rPr>
        <w:t>Conclusion</w:t>
      </w:r>
      <w:r>
        <w:rPr>
          <w:rFonts w:ascii="Times New Roman" w:hAnsi="Times New Roman" w:cs="Times New Roman"/>
          <w:b/>
          <w:bCs/>
          <w:sz w:val="22"/>
          <w:szCs w:val="22"/>
        </w:rPr>
        <w:t xml:space="preserve">: </w:t>
      </w:r>
      <w:r w:rsidRPr="00B633CE">
        <w:rPr>
          <w:rFonts w:ascii="Times New Roman" w:hAnsi="Times New Roman" w:cs="Times New Roman"/>
          <w:sz w:val="22"/>
          <w:szCs w:val="22"/>
        </w:rPr>
        <w:t>In conclusion, PAM has unveiled many secrets, but it remains a very hard disease to fight against. A persistent struggle will demand a multipronged approach and, as such, the urgent need for raising public awareness, the establishment of a robust environmental monitoring system, and the continuous search for new diagnosis and treatment methods will be among the priorities.</w:t>
      </w:r>
    </w:p>
    <w:p w14:paraId="2C1DF623" w14:textId="0DF6644F" w:rsidR="003760B3" w:rsidRPr="003760B3" w:rsidRDefault="003760B3" w:rsidP="00945488">
      <w:pPr>
        <w:jc w:val="both"/>
        <w:rPr>
          <w:rFonts w:ascii="Times New Roman" w:hAnsi="Times New Roman" w:cs="Times New Roman"/>
          <w:b/>
          <w:bCs/>
          <w:sz w:val="22"/>
          <w:szCs w:val="22"/>
        </w:rPr>
      </w:pPr>
      <w:r w:rsidRPr="003760B3">
        <w:rPr>
          <w:rFonts w:ascii="Times New Roman" w:hAnsi="Times New Roman" w:cs="Times New Roman"/>
          <w:b/>
          <w:bCs/>
          <w:sz w:val="22"/>
          <w:szCs w:val="22"/>
        </w:rPr>
        <w:t>Keywords</w:t>
      </w:r>
      <w:r>
        <w:rPr>
          <w:rFonts w:ascii="Times New Roman" w:hAnsi="Times New Roman" w:cs="Times New Roman"/>
          <w:b/>
          <w:bCs/>
          <w:sz w:val="22"/>
          <w:szCs w:val="22"/>
        </w:rPr>
        <w:t xml:space="preserve">: </w:t>
      </w:r>
      <w:r w:rsidRPr="003760B3">
        <w:rPr>
          <w:rFonts w:ascii="Times New Roman" w:hAnsi="Times New Roman" w:cs="Times New Roman"/>
          <w:i/>
          <w:iCs/>
          <w:sz w:val="22"/>
          <w:szCs w:val="22"/>
        </w:rPr>
        <w:t>Naegleria fowleri</w:t>
      </w:r>
      <w:r w:rsidRPr="003760B3">
        <w:rPr>
          <w:rFonts w:ascii="Times New Roman" w:hAnsi="Times New Roman" w:cs="Times New Roman"/>
          <w:sz w:val="22"/>
          <w:szCs w:val="22"/>
        </w:rPr>
        <w:t>; Primary Amoebic Meningoencephalitis; Brain-eating amoeba; Epidemiology; Molecular Pathogenesis; Therapeutics</w:t>
      </w:r>
    </w:p>
    <w:p w14:paraId="3EB14898" w14:textId="0529835B" w:rsidR="00D35465" w:rsidRPr="00AE470E" w:rsidRDefault="003760B3" w:rsidP="00945488">
      <w:pPr>
        <w:jc w:val="both"/>
        <w:rPr>
          <w:rFonts w:ascii="Times New Roman" w:hAnsi="Times New Roman" w:cs="Times New Roman"/>
          <w:b/>
          <w:bCs/>
          <w:sz w:val="26"/>
          <w:szCs w:val="26"/>
        </w:rPr>
      </w:pPr>
      <w:r w:rsidRPr="00AE470E">
        <w:rPr>
          <w:rFonts w:ascii="Times New Roman" w:hAnsi="Times New Roman" w:cs="Times New Roman"/>
          <w:b/>
          <w:bCs/>
          <w:sz w:val="26"/>
          <w:szCs w:val="26"/>
        </w:rPr>
        <w:t>1</w:t>
      </w:r>
      <w:r w:rsidR="00D35465" w:rsidRPr="00AE470E">
        <w:rPr>
          <w:rFonts w:ascii="Times New Roman" w:hAnsi="Times New Roman" w:cs="Times New Roman"/>
          <w:b/>
          <w:bCs/>
          <w:sz w:val="26"/>
          <w:szCs w:val="26"/>
        </w:rPr>
        <w:t>. Introduction</w:t>
      </w:r>
    </w:p>
    <w:p w14:paraId="43BEE29F" w14:textId="0D6B9323"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 xml:space="preserve">The Primary Amoebic Meningoencephalitis (PAM) is one of the most lethal and fastest infections of the central nervous system that has ever been mediated. Even the use of critical care and antibiotic therapy has </w:t>
      </w:r>
      <w:r w:rsidRPr="003B65B2">
        <w:rPr>
          <w:rFonts w:ascii="Times New Roman" w:hAnsi="Times New Roman" w:cs="Times New Roman"/>
          <w:sz w:val="22"/>
          <w:szCs w:val="22"/>
        </w:rPr>
        <w:lastRenderedPageBreak/>
        <w:t xml:space="preserve">not been able to reduce death rates, which remain around 97% or more </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{"citationID":"KJlJHl40","properties":{"formattedCitation":"(Pitman-Hunt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death of the patient with this disease happens due to </w:t>
      </w:r>
      <w:r w:rsidRPr="00E20A2B">
        <w:rPr>
          <w:rFonts w:ascii="Times New Roman" w:hAnsi="Times New Roman" w:cs="Times New Roman"/>
          <w:i/>
          <w:iCs/>
          <w:sz w:val="22"/>
          <w:szCs w:val="22"/>
        </w:rPr>
        <w:t>Naegleria fowleri</w:t>
      </w:r>
      <w:r w:rsidRPr="003B65B2">
        <w:rPr>
          <w:rFonts w:ascii="Times New Roman" w:hAnsi="Times New Roman" w:cs="Times New Roman"/>
          <w:sz w:val="22"/>
          <w:szCs w:val="22"/>
        </w:rPr>
        <w:t>, a thermophilic amoeba that normally lives in hot freshwater and is found in any place where water is warmish around the globe. The area of infection of PAM is very unfortunate since it mainly involves healthy children and young people, and it occurs after water activities. The patient's entry to the body starts with the nose when they go swimming or diving; then, the germs rapidly move inward through the olfactory nerve and get to the brain by passing through the cribriform plate, where the olfactory bulbs are located, and the destruction of brain tissue through hemorrhage necrosis</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{"citationID":"TuJmcJ8t","properties":{"formattedCitation":"(Coulibaly et al., 2022)","plainCitation":"(Coulibaly et al., 2022)","noteIndex":0},"citationItems":[{"id":562,"uris":["http://zotero.org/users/18073969/items/FTZZBIUJ"],"itemData":{"id":562,"type":"article-journal","container-title":"Parasitology Research","DOI":"10.1007/s00436-022-07648-8","ISSN":"0932-0113, 1432-1955","issue":"11","journalAbbreviation":"Parasitol Res","language":"en","page":"3243-3248","source":"DOI.org (Crossref)","title":"No evidence of lymphatic filariasis transmission in Bamako urban setting after three mass drug administration rounds","volume":"121","author":[{"family":"Coulibaly","given":"Yaya Ibrahim"},{"family":"Sangare","given":"Moussa"},{"family":"Dolo","given":"Housseini"},{"family":"Soumaoro","given":"Lamine"},{"family":"Coulibaly","given":"Siaka Yamoussa"},{"family":"Dicko","given":"Ilo"},{"family":"Diabaté","given":"Abdoul Fatao"},{"family":"Diarra","given":"Lamine"},{"family":"Coulibaly","given":"Michel Emmanuel"},{"family":"Doumbia","given":"Salif Seriba"},{"family":"Diallo","given":"Abdallah Amadou"},{"family":"Dembele","given":"Massitan"},{"family":"Koudou","given":"Benjamin G."},{"family":"Bockarie","given":"Moses John"},{"family":"Kelly-Hope","given":"Louise A."},{"family":"Klion","given":"Amy D."},{"family":"Nutman","given":"Thomas B."}],"issued":{"date-parts":[["2022",11]]}}}],"schema":"https://github.com/citation-style-language/schema/raw/master/csl-citation.json"}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(Coulibaly et al., 2022)</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The patient behaves in the first stages as if he/she had bacterial meningitis since all the symptoms are the same: the headache is very strong and comes suddenly, there are high fevers, nausea, and vomiting, and suddenly, mental status changes occur, the person becomes comatose, and consequently, the doctor is confused because a difficult diagnosis is created.</w:t>
      </w:r>
    </w:p>
    <w:p w14:paraId="112FFE20" w14:textId="657B6B5E"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The recognition and shifting epidemiological patterns of PAM disease across various regions have been systematically reviewed recently</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{"citationID":"D6NOU7Bq","properties":{"formattedCitation":"(Gharpure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xml:space="preserve">. In these reviews, the historical narrative of PAM has been vividly depicted. Therapeutic strategies, in general, have been unsatisfactory since the very first characterization of the disease. Dosing and trial results have led to Amphotericin B being the traditional therapeutic mainstay despite its evident in vitro amoebicidal activity. However, clinical results have been poor, the reason being the drug's poor penetration through the blood-brain barrier, its heavy nephrotoxicity, and the typical rapid progression of the infectious process </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{"citationID":"FXOhUrbV","properties":{"formattedCitation":"(Chatterjee et al., 2015)","plainCitation":"(Chatterjee et al., 2015)","noteIndex":0},"citationItems":[{"id":564,"uris":["http://zotero.org/users/18073969/items/BQUS3D98"],"itemData":{"id":564,"type":"article-journal","abstract":"ABSTRACT\n            \n              Enteric protozoan parasites, which are spread by the fecal-oral route, are important causes of diarrhea (\n              Giardia duodenalis\n              ) and amebic dysentery (\n              Entamoeba histolytica\n              ). Cyst walls of\n              Giardia\n              and\n              Entamoeba\n              have a single layer composed of fibrils of β-1,3-linked GalNAc and β-1,4-linked GlcNAc (chitin), respectively. The goal here was to determine whether hand sanitizers that contain ethanol or isopropanol as the active microbicide might reduce transmission of these parasites. We found that treatment with these alcohols with or without drying in a rotary evaporator (to model rapid evaporation of sanitizers on hands) kills 85 to 100% of cysts of\n              G. duodenalis\n              and 90 to 100% of cysts of\n              Entamoeba invadens\n              (a nonpathogenic model for\n              E. histolytica\n              ), as shown by nuclear labeling with propidium iodide and failure to excyst\n              in vitro\n              . Alcohols with or without drying collapsed the cyst walls of\n              Giardia\n              but did not collapse the cyst walls of\n              Entamoeba\n              . To validate the\n              in vitro\n              results, we showed that treatment with alcohols eliminated oral infection of gerbils by 1,000\n              G. duodenalis\n              cysts, while a commercial hand sanitizer (Purell) killed\n              E. invadens\n              cysts that were directly applied to the hands. These results suggest that expanded use of alcohol-based hand sanitizers might reduce the transmission of\n              Giardia\n              and\n              Entamoeba\n              .","container-title":"Antimicrobial Agents and Chemotherapy","DOI":"10.1128/AAC.01290-15","ISSN":"0066-4804, 1098-6596","issue":"11","journalAbbreviation":"Antimicrob Agents Chemother","language":"en","page":"6749-6754","source":"DOI.org (Crossref)","title":"Ethanol and Isopropanol in Concentrations Present in Hand Sanitizers Sharply Reduce Excystation of Giardia and Entamoeba and Eliminate Oral Infectivity of Giardia Cysts in Gerbils","volume":"59","author":[{"family":"Chatterjee","given":"Aparajita"},{"family":"Bandini","given":"Giulia"},{"family":"Motari","given":"Edwin"},{"family":"Samuelson","given":"John"}],"issued":{"date-parts":[["2015",11]]}}}],"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(Chatterjee et al., 2015)</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Moreover, the non-specific nature of early symptoms, the lack of rapid and easily accessible diagnostic tests, and the overall persistent therapeutic inadequacy have all played a part in securing PAM's reputation as one of the most difficult and deadly infections of the central nervous system.</w:t>
      </w:r>
    </w:p>
    <w:p w14:paraId="53C4CCAD" w14:textId="29963CFF"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The years covering 2020 to 2025 have seen major developments that have changed the way PAM is managed and, therefore, the need for a complete re-evaluation of PAM management. The urgency of the call for a new synthesis is strong, as evidenced by the sharp rise in case reports from the publication of non-traditional geographic areas like South Asia and the Middle East, which occurred during 2020-2025, and this change in global epidemiology requires a fresh look. The situation from an epidemiological standpoint illustrates the emergence of very significant geographical transitions with a striking rise in case reports from South Asia, specifically from Pakistan and India, which is leading to a reconsideration of the conventional view of PAM as a disease of the temperate region only</w:t>
      </w:r>
      <w:r w:rsidR="009A7103">
        <w:rPr>
          <w:rFonts w:ascii="Times New Roman" w:hAnsi="Times New Roman" w:cs="Times New Roman"/>
          <w:sz w:val="22"/>
          <w:szCs w:val="22"/>
        </w:rPr>
        <w:t xml:space="preserve"> </w:t>
      </w:r>
      <w:r w:rsidR="009A710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{"citationID":"zHrtfj7G","properties":{"formattedCitation":"(Gharpure et al., 2021; \\uc0\\u8220{}Rhabdomyolysis Leading to Acute Kidney Injury,\\uc0\\u8221{} 2021)","plainCitation":"(Gharpure et al., 2021; “Rhabdomyolysis Leading to Acute Kidney Injury,”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R"}],"issued":{"date-parts":[["2021",7,1]]}}},{"id":569,"uris":["http://zotero.org/users/18073969/items/PJB7DXPS"],"itemData":{"id":569,"type":"article-journal","container-title":"Journal of the College of Physicians and Surgeons Pakistan","DOI":"10.29271/jcpsp.2021.02.235","ISSN":"1022386X, 16817168","issue":"02","journalAbbreviation":"J Coll Physicians Surg Pak","page":"235-237","source":"DOI.org (Crossref)","title":"Rhabdomyolysis Leading to Acute Kidney Injury","volume":"31","issued":{"date-parts":[["2021",2,1]]}}}],"schema":"https://github.com/citation-style-language/schema/raw/master/csl-citation.json"} </w:instrText>
      </w:r>
      <w:r w:rsidR="009A7103">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(Gharpure et al., 2021; “Rhabdomyolysis Leading to Acute Kidney Injury,” 2021)</w:t>
      </w:r>
      <w:r w:rsidR="009A7103">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changing epidemiology of the disease area implies that the risk zones have expanded, and these possible environmental changes are the major cause of the altered disease pattern. Also, the progress in the research of molecular pathogenesis has made it clear that the interaction between the pathogen and the host is very complex and sophisticated, whereby the use of modern genomic and proteomic approaches has led to the discovery of new virulence factors that are not only confined to the well-characterized </w:t>
      </w:r>
      <w:proofErr w:type="spellStart"/>
      <w:r w:rsidRPr="003B65B2">
        <w:rPr>
          <w:rFonts w:ascii="Times New Roman" w:hAnsi="Times New Roman" w:cs="Times New Roman"/>
          <w:sz w:val="22"/>
          <w:szCs w:val="22"/>
        </w:rPr>
        <w:t>naegleriapores</w:t>
      </w:r>
      <w:proofErr w:type="spellEnd"/>
      <w:r w:rsidRPr="003B65B2">
        <w:rPr>
          <w:rFonts w:ascii="Times New Roman" w:hAnsi="Times New Roman" w:cs="Times New Roman"/>
          <w:sz w:val="22"/>
          <w:szCs w:val="22"/>
        </w:rPr>
        <w:t xml:space="preserve"> and different types of proteolytic enzymes </w:t>
      </w:r>
      <w:r w:rsidR="009A710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{"citationID":"Dhx7vmea","properties":{"formattedCitation":"(Chinh et al., 2022; Kaur et al., 2023)","plainCitation":"(Chinh et al., 2022; Kaur et al., 2023)","noteIndex":0},"citationItems":[{"id":571,"uris":["http://zotero.org/users/18073969/items/FCAP8VMK"],"itemData":{"id":571,"type":"article-journal","container-title":"Parasitology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9A7103">
        <w:rPr>
          <w:rFonts w:ascii="Times New Roman" w:hAnsi="Times New Roman" w:cs="Times New Roman"/>
          <w:sz w:val="22"/>
          <w:szCs w:val="22"/>
        </w:rPr>
        <w:fldChar w:fldCharType="separate"/>
      </w:r>
      <w:r w:rsidR="00652010" w:rsidRPr="00652010">
        <w:rPr>
          <w:rFonts w:ascii="Times New Roman" w:hAnsi="Times New Roman" w:cs="Times New Roman"/>
          <w:sz w:val="22"/>
        </w:rPr>
        <w:t>(Chinh et al., 2022; Kaur et al., 2023)</w:t>
      </w:r>
      <w:r w:rsidR="009A7103">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treatment approach is also experiencing large changes, and in this case, it is quite noticeable that the switch is happening from the traditional use of amphotericin B to the usage of a combination of drugs that include miltefosine, while the structural based drug designing approach being the most potent and that it can also enhance the distribution of therapeutic compounds through the blood-brain barrier </w:t>
      </w:r>
      <w:r w:rsidR="009A7103">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{"citationID":"GclUrTK8","properties":{"formattedCitation":"(Vaselek et al., 2024a; Zhang et al., 2024)","plainCitation":"(Vaselek et al., 2024a; Zhang et al., 2024)","noteIndex":0},"citationItems":[{"id":579,"uris":["http://zotero.org/users/18073969/items/GAIZKHPN"],"itemData":{"id":579,"type":"article-journal","container-title":"Parasitology Research","DOI":"10.1007/s00436-023-08087-9","ISSN":"0932-0113, 1432-1955","issue":"1","journalAbbreviation":"Parasitol Res","language":"en","page":"82","source":"DOI.org (Crossref)","title":"Identification of Ochrobactrum as a bacteria with transstadial transmission and potential for application in paratransgenic control of leishmaniasis","volume":"123","author":[{"family":"Vaselek","given":"Slavica"},{"family":"Sarac","given":"Basak Ezgi"},{"family":"Uzunkaya","given":"Ali Doruk"},{"family":"Yilmaz","given":"Ayda"},{"family":"Karaaslan","given":"Cagatay"},{"family":"Alten","given":"Bulent"}],"issued":{"date-parts":[["2024",1]]}}},{"id":580,"uris":["http://zotero.org/users/18073969/items/GQ49VNCY"],"itemData":{"id":580,"type":"article-journal","container-title":"Journal of Controlled Release","DOI":"10.1016/j.jconrel.2023.12.045","ISSN":"01683659","journalAbbreviation":"Journal of Controlled Release","language":"en","page":"221-230","source":"DOI.org (Crossref)","title":"Recent advances in oral insulin delivery technologies","volume":"366","author":[{"family":"Zhang","given":"Ershuai"},{"family":"Zhu","given":"Hui"},{"family":"Song","given":"Boyi"},{"family":"Shi","given":"Yuanjie"},{"family":"Cao","given":"Zhiqiang"}],"issued":{"date-parts":[["2024",2]]}}}],"schema":"https://github.com/citation-style-language/schema/raw/master/csl-citation.json"} </w:instrText>
      </w:r>
      <w:r w:rsidR="009A7103">
        <w:rPr>
          <w:rFonts w:ascii="Times New Roman" w:hAnsi="Times New Roman" w:cs="Times New Roman"/>
          <w:sz w:val="22"/>
          <w:szCs w:val="22"/>
        </w:rPr>
        <w:fldChar w:fldCharType="separate"/>
      </w:r>
      <w:r w:rsidR="00012B14" w:rsidRPr="00012B14">
        <w:rPr>
          <w:rFonts w:ascii="Times New Roman" w:hAnsi="Times New Roman" w:cs="Times New Roman"/>
          <w:sz w:val="22"/>
        </w:rPr>
        <w:t>(Vaselek et al., 2024a; Zhang et al., 2024)</w:t>
      </w:r>
      <w:r w:rsidR="009A7103">
        <w:rPr>
          <w:rFonts w:ascii="Times New Roman" w:hAnsi="Times New Roman" w:cs="Times New Roman"/>
          <w:sz w:val="22"/>
          <w:szCs w:val="22"/>
        </w:rPr>
        <w:fldChar w:fldCharType="end"/>
      </w:r>
      <w:r w:rsidRPr="003B65B2">
        <w:rPr>
          <w:rFonts w:ascii="Times New Roman" w:hAnsi="Times New Roman" w:cs="Times New Roman"/>
          <w:sz w:val="22"/>
          <w:szCs w:val="22"/>
        </w:rPr>
        <w:t>.</w:t>
      </w:r>
    </w:p>
    <w:p w14:paraId="0B6D05F1" w14:textId="42A85540" w:rsidR="00945488" w:rsidRDefault="003B65B2" w:rsidP="00945488">
      <w:pPr>
        <w:jc w:val="both"/>
        <w:rPr>
          <w:rFonts w:ascii="Times New Roman" w:hAnsi="Times New Roman" w:cs="Times New Roman"/>
          <w:b/>
          <w:bCs/>
          <w:sz w:val="22"/>
          <w:szCs w:val="22"/>
        </w:rPr>
      </w:pPr>
      <w:r w:rsidRPr="003B65B2">
        <w:rPr>
          <w:rFonts w:ascii="Times New Roman" w:hAnsi="Times New Roman" w:cs="Times New Roman"/>
          <w:sz w:val="22"/>
          <w:szCs w:val="22"/>
        </w:rPr>
        <w:t xml:space="preserve">This review takes a systematic approach to summarizing and critically assessing the important developments in PAM research that took place between 2020 and 2025, focusing on three key areas in </w:t>
      </w:r>
      <w:r w:rsidRPr="003B65B2">
        <w:rPr>
          <w:rFonts w:ascii="Times New Roman" w:hAnsi="Times New Roman" w:cs="Times New Roman"/>
          <w:sz w:val="22"/>
          <w:szCs w:val="22"/>
        </w:rPr>
        <w:lastRenderedPageBreak/>
        <w:t xml:space="preserve">particular: the global epidemiology that is still changing and characterized by the birth of new hotspots in South Asia; the latest developments in molecular pathogenesis that come from modern multi-omics technologies; and the evaluation of new medications that include drug combinations and technologies that are just starting to be introduced. The study aims to show the variations in the epidemiology of PAM and to scrutinize the environmental and social factors responsible for them; to provide a detailed account of the unraveling of molecular pathways influencing </w:t>
      </w:r>
      <w:proofErr w:type="spellStart"/>
      <w:r w:rsidRPr="003B65B2">
        <w:rPr>
          <w:rFonts w:ascii="Times New Roman" w:hAnsi="Times New Roman" w:cs="Times New Roman"/>
          <w:sz w:val="22"/>
          <w:szCs w:val="22"/>
        </w:rPr>
        <w:t>neuroinvasion</w:t>
      </w:r>
      <w:proofErr w:type="spellEnd"/>
      <w:r w:rsidRPr="003B65B2">
        <w:rPr>
          <w:rFonts w:ascii="Times New Roman" w:hAnsi="Times New Roman" w:cs="Times New Roman"/>
          <w:sz w:val="22"/>
          <w:szCs w:val="22"/>
        </w:rPr>
        <w:t xml:space="preserve"> and thus pathogenesis; to discuss in depth the progress made in diagnosing and treating the disease; and finally to pinpoint the remaining uncertainties and suggest future research paths that, in the long run, may lead to better management of this devastating disease.</w:t>
      </w:r>
    </w:p>
    <w:p w14:paraId="79C4EC29" w14:textId="4AE3B6D4" w:rsidR="00AD5FD4" w:rsidRPr="00AD5FD4" w:rsidRDefault="00CC3551" w:rsidP="00AD5FD4">
      <w:pPr>
        <w:jc w:val="both"/>
        <w:rPr>
          <w:rFonts w:ascii="Times New Roman" w:hAnsi="Times New Roman" w:cs="Times New Roman"/>
          <w:b/>
          <w:bCs/>
          <w:sz w:val="26"/>
          <w:szCs w:val="26"/>
        </w:rPr>
      </w:pPr>
      <w:r>
        <w:rPr>
          <w:rFonts w:ascii="Times New Roman" w:hAnsi="Times New Roman" w:cs="Times New Roman"/>
          <w:b/>
          <w:bCs/>
          <w:sz w:val="26"/>
          <w:szCs w:val="26"/>
        </w:rPr>
        <w:br/>
      </w:r>
      <w:r w:rsidR="00AD5FD4" w:rsidRPr="00AD5FD4">
        <w:rPr>
          <w:rFonts w:ascii="Times New Roman" w:hAnsi="Times New Roman" w:cs="Times New Roman"/>
          <w:b/>
          <w:bCs/>
          <w:sz w:val="26"/>
          <w:szCs w:val="26"/>
        </w:rPr>
        <w:t>2. Methodology</w:t>
      </w:r>
    </w:p>
    <w:p w14:paraId="1CF8032D" w14:textId="3CEAAC90"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This careful examination of the topic was executed by adhering to the Preferred Reporting Items for Systematic Reviews and Meta-Analyses (PRISMA) guidelines to arrive at an extensive and proper understanding of the subject of </w:t>
      </w:r>
      <w:r w:rsidRPr="007627DD">
        <w:rPr>
          <w:rFonts w:ascii="Times New Roman" w:hAnsi="Times New Roman" w:cs="Times New Roman"/>
          <w:i/>
          <w:iCs/>
          <w:sz w:val="22"/>
          <w:szCs w:val="22"/>
        </w:rPr>
        <w:t>Naegleria fowleri</w:t>
      </w:r>
      <w:r w:rsidRPr="00AD5FD4">
        <w:rPr>
          <w:rFonts w:ascii="Times New Roman" w:hAnsi="Times New Roman" w:cs="Times New Roman"/>
          <w:sz w:val="22"/>
          <w:szCs w:val="22"/>
        </w:rPr>
        <w:t xml:space="preserve"> infections for the period of January 2020 to October 2025. The methodological framework was designed in such a way that it presented all the monumental advances made in different aspects, such as epidemiology, pathogenesis, diagnostics, and therapeutics, and at the same time proposed strict criteria for studying the selection and data extraction.</w:t>
      </w:r>
    </w:p>
    <w:p w14:paraId="4BEAF6F7" w14:textId="253208C3" w:rsid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The detailed literature search strategy that we would use would include the following electronic databases as our main sources: PubMed/MEDLINE, Scopus, Web of Science, and Google Scholar, thus, having literature coverage at its maximum. The search algorithm took advantage of Medical Subject Headings (</w:t>
      </w:r>
      <w:proofErr w:type="spellStart"/>
      <w:r w:rsidRPr="00AD5FD4">
        <w:rPr>
          <w:rFonts w:ascii="Times New Roman" w:hAnsi="Times New Roman" w:cs="Times New Roman"/>
          <w:sz w:val="22"/>
          <w:szCs w:val="22"/>
        </w:rPr>
        <w:t>MeSH</w:t>
      </w:r>
      <w:proofErr w:type="spellEnd"/>
      <w:r w:rsidRPr="00AD5FD4">
        <w:rPr>
          <w:rFonts w:ascii="Times New Roman" w:hAnsi="Times New Roman" w:cs="Times New Roman"/>
          <w:sz w:val="22"/>
          <w:szCs w:val="22"/>
        </w:rPr>
        <w:t>) and the terms "</w:t>
      </w:r>
      <w:r w:rsidRPr="007627DD">
        <w:rPr>
          <w:rFonts w:ascii="Times New Roman" w:hAnsi="Times New Roman" w:cs="Times New Roman"/>
          <w:i/>
          <w:iCs/>
          <w:sz w:val="22"/>
          <w:szCs w:val="22"/>
        </w:rPr>
        <w:t>Naegleria fowleri</w:t>
      </w:r>
      <w:r w:rsidRPr="00AD5FD4">
        <w:rPr>
          <w:rFonts w:ascii="Times New Roman" w:hAnsi="Times New Roman" w:cs="Times New Roman"/>
          <w:sz w:val="22"/>
          <w:szCs w:val="22"/>
        </w:rPr>
        <w:t xml:space="preserve">," "primary amoebic meningoencephalitis," "PAM," "brain-eating amoeba," together with "epidemiology," "pathogenesis," "diagnosis," "treatment," "therapeutics," and the publication date was restricted only to the target period. Further searches were conducted by way of manually checking reference lists of pertinent systematic reviews and by the reports of public health agencies such as the Centers for Disease Control and Prevention and the World Health Organization to find studies that might have been overlooked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{"citationID":"APjTMFhp","properties":{"formattedCitation":"(Gharpure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Pr>
          <w:rFonts w:ascii="Times New Roman" w:hAnsi="Times New Roman" w:cs="Times New Roman"/>
          <w:sz w:val="22"/>
          <w:szCs w:val="22"/>
        </w:rPr>
        <w:fldChar w:fldCharType="separate"/>
      </w:r>
      <w:r w:rsidRPr="00AD5FD4">
        <w:rPr>
          <w:rFonts w:ascii="Times New Roman" w:hAnsi="Times New Roman" w:cs="Times New Roman"/>
          <w:sz w:val="22"/>
        </w:rPr>
        <w:t>(Gharpure et al., 2021)</w:t>
      </w:r>
      <w:r>
        <w:rPr>
          <w:rFonts w:ascii="Times New Roman" w:hAnsi="Times New Roman" w:cs="Times New Roman"/>
          <w:sz w:val="22"/>
          <w:szCs w:val="22"/>
        </w:rPr>
        <w:fldChar w:fldCharType="end"/>
      </w:r>
      <w:r w:rsidRPr="00AD5FD4">
        <w:rPr>
          <w:rFonts w:ascii="Times New Roman" w:hAnsi="Times New Roman" w:cs="Times New Roman"/>
          <w:sz w:val="22"/>
          <w:szCs w:val="22"/>
        </w:rPr>
        <w:t>.</w:t>
      </w:r>
    </w:p>
    <w:p w14:paraId="19CDAB9E" w14:textId="61232FB2"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The research selection method set up by the study specified eligibility criteria that allowed the inclusion of original research articles, case reports, clinical studies, and critical reviews published in the years 2020-2025 that were significant for the understanding of the </w:t>
      </w:r>
      <w:r w:rsidRPr="007627DD">
        <w:rPr>
          <w:rFonts w:ascii="Times New Roman" w:hAnsi="Times New Roman" w:cs="Times New Roman"/>
          <w:i/>
          <w:iCs/>
          <w:sz w:val="22"/>
          <w:szCs w:val="22"/>
        </w:rPr>
        <w:t xml:space="preserve">N. fowleri </w:t>
      </w:r>
      <w:r w:rsidRPr="00AD5FD4">
        <w:rPr>
          <w:rFonts w:ascii="Times New Roman" w:hAnsi="Times New Roman" w:cs="Times New Roman"/>
          <w:sz w:val="22"/>
          <w:szCs w:val="22"/>
        </w:rPr>
        <w:t xml:space="preserve">epidemiology, pathogenesis, diagnostics, or therapeutics. The exclusion criteria included studies that were exclusively focusing on the other Naegleria species that were not relevant to </w:t>
      </w:r>
      <w:r w:rsidRPr="007627DD">
        <w:rPr>
          <w:rFonts w:ascii="Times New Roman" w:hAnsi="Times New Roman" w:cs="Times New Roman"/>
          <w:i/>
          <w:iCs/>
          <w:sz w:val="22"/>
          <w:szCs w:val="22"/>
        </w:rPr>
        <w:t>N. fowleri</w:t>
      </w:r>
      <w:r w:rsidRPr="00AD5FD4">
        <w:rPr>
          <w:rFonts w:ascii="Times New Roman" w:hAnsi="Times New Roman" w:cs="Times New Roman"/>
          <w:sz w:val="22"/>
          <w:szCs w:val="22"/>
        </w:rPr>
        <w:t xml:space="preserve">, publications that were older than 2020, non-English articles if not translated, conference abstracts with no full-text documentation, and duplicate publications or secondary analyses that were without the original data. The first search brought out </w:t>
      </w:r>
      <w:r w:rsidR="007627DD">
        <w:rPr>
          <w:rFonts w:ascii="Times New Roman" w:hAnsi="Times New Roman" w:cs="Times New Roman"/>
          <w:sz w:val="22"/>
          <w:szCs w:val="22"/>
        </w:rPr>
        <w:t>200</w:t>
      </w:r>
      <w:r w:rsidRPr="00AD5FD4">
        <w:rPr>
          <w:rFonts w:ascii="Times New Roman" w:hAnsi="Times New Roman" w:cs="Times New Roman"/>
          <w:sz w:val="22"/>
          <w:szCs w:val="22"/>
        </w:rPr>
        <w:t xml:space="preserve"> records, </w:t>
      </w:r>
      <w:r w:rsidR="007627DD">
        <w:rPr>
          <w:rFonts w:ascii="Times New Roman" w:hAnsi="Times New Roman" w:cs="Times New Roman"/>
          <w:sz w:val="22"/>
          <w:szCs w:val="22"/>
        </w:rPr>
        <w:t>1</w:t>
      </w:r>
      <w:r w:rsidRPr="00AD5FD4">
        <w:rPr>
          <w:rFonts w:ascii="Times New Roman" w:hAnsi="Times New Roman" w:cs="Times New Roman"/>
          <w:sz w:val="22"/>
          <w:szCs w:val="22"/>
        </w:rPr>
        <w:t xml:space="preserve">12 of which were screened by title and abstract after duplicates were removed, thus finally obtaining </w:t>
      </w:r>
      <w:r w:rsidR="007627DD">
        <w:rPr>
          <w:rFonts w:ascii="Times New Roman" w:hAnsi="Times New Roman" w:cs="Times New Roman"/>
          <w:sz w:val="22"/>
          <w:szCs w:val="22"/>
        </w:rPr>
        <w:t>45</w:t>
      </w:r>
      <w:r w:rsidRPr="00AD5FD4">
        <w:rPr>
          <w:rFonts w:ascii="Times New Roman" w:hAnsi="Times New Roman" w:cs="Times New Roman"/>
          <w:sz w:val="22"/>
          <w:szCs w:val="22"/>
        </w:rPr>
        <w:t xml:space="preserve"> studies that had met all the inclusion criteria after their full-text assessments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{"citationID":"9a7Kojwx","properties":{"formattedCitation":"(Cope et al., 2016)","plainCitation":"(Cope et al., 2016)","noteIndex":0},"citationItems":[{"id":616,"uris":["http://zotero.org/users/18073969/items/S4K8JK3G"],"itemData":{"id":616,"type":"article-journal","container-title":"Clinical Infectious Diseases","DOI":"10.1093/cid/civ1021","ISSN":"1058-4838, 1537-6591","issue":"6","journalAbbreviation":"Clin Infect Dis.","language":"en","page":"774-776","source":"DOI.org (Crossref)","title":"Use of the Novel Therapeutic Agent Miltefosine for the Treatment of Primary Amebic Meningoencephalitis: Report of 1 Fatal and 1 Surviving Case: Table 1.","title-short":"Use of the Novel Therapeutic Agent Miltefosine for the Treatment of Primary Amebic Meningoencephalitis","volume":"62","author":[{"family":"Cope","given":"Jennifer R."},{"family":"Conrad","given":"Dennis A."},{"family":"Cohen","given":"Naiomi"},{"family":"Cotilla","given":"Manuel"},{"family":"DaSilva","given":"Alexandre"},{"family":"Jackson","given":"Jonathan"},{"family":"Visvesvara","given":"Govinda S."}],"issued":{"date-parts":[["2016",3,15]]}}}],"schema":"https://github.com/citation-style-language/schema/raw/master/csl-citation.json"} </w:instrText>
      </w:r>
      <w:r>
        <w:rPr>
          <w:rFonts w:ascii="Times New Roman" w:hAnsi="Times New Roman" w:cs="Times New Roman"/>
          <w:sz w:val="22"/>
          <w:szCs w:val="22"/>
        </w:rPr>
        <w:fldChar w:fldCharType="separate"/>
      </w:r>
      <w:r w:rsidRPr="00AD5FD4">
        <w:rPr>
          <w:rFonts w:ascii="Times New Roman" w:hAnsi="Times New Roman" w:cs="Times New Roman"/>
          <w:sz w:val="22"/>
        </w:rPr>
        <w:t>(Cope et al., 2016)</w:t>
      </w:r>
      <w:r>
        <w:rPr>
          <w:rFonts w:ascii="Times New Roman" w:hAnsi="Times New Roman" w:cs="Times New Roman"/>
          <w:sz w:val="22"/>
          <w:szCs w:val="22"/>
        </w:rPr>
        <w:fldChar w:fldCharType="end"/>
      </w:r>
      <w:r w:rsidRPr="00AD5FD4">
        <w:rPr>
          <w:rFonts w:ascii="Times New Roman" w:hAnsi="Times New Roman" w:cs="Times New Roman"/>
          <w:sz w:val="22"/>
          <w:szCs w:val="22"/>
        </w:rPr>
        <w:t>.</w:t>
      </w:r>
    </w:p>
    <w:p w14:paraId="7506AC3C" w14:textId="6D147109"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Data extraction was performed by using a standardized protocol that recorded study characteristics such as authors, publication year, design, location, methodology, and main findings. Epidemiological studies were revisited, focusing on definitions of cases, methods of surveillance, and patterns of outbreaks; on the other hand, molecular studies were assessed considering experimental designs and the understanding of pathogens' mechanisms. Therapeutic research was reviewed based on treatment schedules, patient outcomes, and side effects, with particular regard to combination therapies and new methods. Diagnostic </w:t>
      </w:r>
      <w:r w:rsidRPr="00AD5FD4">
        <w:rPr>
          <w:rFonts w:ascii="Times New Roman" w:hAnsi="Times New Roman" w:cs="Times New Roman"/>
          <w:sz w:val="22"/>
          <w:szCs w:val="22"/>
        </w:rPr>
        <w:lastRenderedPageBreak/>
        <w:t xml:space="preserve">papers were examined for methodological validation, sensitivity, specificity, and clinical usefulness </w:t>
      </w:r>
      <w:r w:rsidR="008A6D89">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{"citationID":"QVum7KwT","properties":{"formattedCitation":"(Vaselek et al., 2024b)","plainCitation":"(Vaselek et al., 2024b)","dontUpdate":true,"noteIndex":0},"citationItems":[{"id":706,"uris":["http://zotero.org/users/18073969/items/PS9DIV8W"],"itemData":{"id":706,"type":"article-journal","container-title":"Parasitology Research","DOI":"10.1007/s00436-023-08087-9","ISSN":"0932-0113, 1432-1955","issue":"1","journalAbbreviation":"Parasitol Res","language":"en","page":"82","source":"DOI.org (Crossref)","title":"Identification of Ochrobactrum as a bacteria with transstadial transmission and potential for application in paratransgenic control of leishmaniasis","volume":"123","author":[{"family":"Vaselek","given":"Slavica"},{"family":"Sarac","given":"Basak Ezgi"},{"family":"Uzunkaya","given":"Ali Doruk"},{"family":"Yilmaz","given":"Ayda"},{"family":"Karaaslan","given":"Cagatay"},{"family":"Alten","given":"Bulent"}],"issued":{"date-parts":[["2024",1]]}}}],"schema":"https://github.com/citation-style-language/schema/raw/master/csl-citation.json"} </w:instrText>
      </w:r>
      <w:r w:rsidR="008A6D89">
        <w:rPr>
          <w:rFonts w:ascii="Times New Roman" w:hAnsi="Times New Roman" w:cs="Times New Roman"/>
          <w:sz w:val="22"/>
          <w:szCs w:val="22"/>
        </w:rPr>
        <w:fldChar w:fldCharType="separate"/>
      </w:r>
      <w:r w:rsidR="008A6D89" w:rsidRPr="008A6D89">
        <w:rPr>
          <w:rFonts w:ascii="Times New Roman" w:hAnsi="Times New Roman" w:cs="Times New Roman"/>
          <w:sz w:val="22"/>
        </w:rPr>
        <w:t>(Vaselek et al., 2024)</w:t>
      </w:r>
      <w:r w:rsidR="008A6D89">
        <w:rPr>
          <w:rFonts w:ascii="Times New Roman" w:hAnsi="Times New Roman" w:cs="Times New Roman"/>
          <w:sz w:val="22"/>
          <w:szCs w:val="22"/>
        </w:rPr>
        <w:fldChar w:fldCharType="end"/>
      </w:r>
      <w:r w:rsidRPr="00AD5FD4">
        <w:rPr>
          <w:rFonts w:ascii="Times New Roman" w:hAnsi="Times New Roman" w:cs="Times New Roman"/>
          <w:sz w:val="22"/>
          <w:szCs w:val="22"/>
        </w:rPr>
        <w:t>.</w:t>
      </w:r>
      <w:r>
        <w:rPr>
          <w:rFonts w:ascii="Times New Roman" w:hAnsi="Times New Roman" w:cs="Times New Roman"/>
          <w:sz w:val="22"/>
          <w:szCs w:val="22"/>
        </w:rPr>
        <w:t xml:space="preserve"> </w:t>
      </w:r>
      <w:r w:rsidRPr="00AD5FD4">
        <w:rPr>
          <w:rFonts w:ascii="Times New Roman" w:hAnsi="Times New Roman" w:cs="Times New Roman"/>
          <w:sz w:val="22"/>
          <w:szCs w:val="22"/>
        </w:rPr>
        <w:t xml:space="preserve">Quality assessment was based on the application of methodical tools specifically fitting to the type of study, with case reports scrutinized for completeness of clinical documentation, molecular studies evaluated for technical rigor, and therapeutic experiments checked for details of intervention and reporting of outcomes. This quality assessment allowed the interpretation of findings and the strength of the evidence for different conclusions to be placed in context while not excluding those studies that scored low quality based solely on quality scores </w:t>
      </w:r>
      <w:r w:rsidR="008A6D89">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{"citationID":"tut4smQW","properties":{"formattedCitation":"(Chinh et al., 2022)","plainCitation":"(Chinh et al., 2022)","noteIndex":0},"citationItems":[{"id":571,"uris":["http://zotero.org/users/18073969/items/FCAP8VMK"],"itemData":{"id":571,"type":"article-journal","container-title":"Parasitology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M."},{"family":"Shirakashi","given":"Sho"}],"issued":{"date-parts":[["2022",9]]}}}],"schema":"https://github.com/citation-style-language/schema/raw/master/csl-citation.json"} </w:instrText>
      </w:r>
      <w:r w:rsidR="008A6D89">
        <w:rPr>
          <w:rFonts w:ascii="Times New Roman" w:hAnsi="Times New Roman" w:cs="Times New Roman"/>
          <w:sz w:val="22"/>
          <w:szCs w:val="22"/>
        </w:rPr>
        <w:fldChar w:fldCharType="separate"/>
      </w:r>
      <w:r w:rsidR="008A6D89" w:rsidRPr="008A6D89">
        <w:rPr>
          <w:rFonts w:ascii="Times New Roman" w:hAnsi="Times New Roman" w:cs="Times New Roman"/>
          <w:sz w:val="22"/>
        </w:rPr>
        <w:t>(Chinh et al., 2022)</w:t>
      </w:r>
      <w:r w:rsidR="008A6D89">
        <w:rPr>
          <w:rFonts w:ascii="Times New Roman" w:hAnsi="Times New Roman" w:cs="Times New Roman"/>
          <w:sz w:val="22"/>
          <w:szCs w:val="22"/>
        </w:rPr>
        <w:fldChar w:fldCharType="end"/>
      </w:r>
      <w:r w:rsidRPr="00AD5FD4">
        <w:rPr>
          <w:rFonts w:ascii="Times New Roman" w:hAnsi="Times New Roman" w:cs="Times New Roman"/>
          <w:sz w:val="22"/>
          <w:szCs w:val="22"/>
        </w:rPr>
        <w:t>.</w:t>
      </w:r>
    </w:p>
    <w:p w14:paraId="6D783CED" w14:textId="61B8B83A" w:rsidR="00945488" w:rsidRDefault="00AD5FD4" w:rsidP="00AD5FD4">
      <w:pPr>
        <w:jc w:val="both"/>
        <w:rPr>
          <w:rFonts w:ascii="Times New Roman" w:hAnsi="Times New Roman" w:cs="Times New Roman"/>
          <w:b/>
          <w:bCs/>
          <w:sz w:val="22"/>
          <w:szCs w:val="22"/>
        </w:rPr>
      </w:pPr>
      <w:r w:rsidRPr="00AD5FD4">
        <w:rPr>
          <w:rFonts w:ascii="Times New Roman" w:hAnsi="Times New Roman" w:cs="Times New Roman"/>
          <w:sz w:val="22"/>
          <w:szCs w:val="22"/>
        </w:rPr>
        <w:t xml:space="preserve">The data synthesis was carried out narratively due to the methodological heterogeneity between the studies, and the findings were organized according to the review objectives. Epidemiological data were synthesized to reveal the spatial and temporal patterns, molecular findings were integrated to explain the pathogenic mechanisms, and clinical progress was dissected to assess the changing diagnostic and therapeutic modalities. The synthesis process emphasized pointing out the knowledge gaps, the methodological limitations, and the emerging research priorities to offer not just a snapshot of the current </w:t>
      </w:r>
      <w:r w:rsidRPr="007627DD">
        <w:rPr>
          <w:rFonts w:ascii="Times New Roman" w:hAnsi="Times New Roman" w:cs="Times New Roman"/>
          <w:i/>
          <w:iCs/>
          <w:sz w:val="22"/>
          <w:szCs w:val="22"/>
        </w:rPr>
        <w:t>N. Fowler's</w:t>
      </w:r>
      <w:r w:rsidRPr="00AD5FD4">
        <w:rPr>
          <w:rFonts w:ascii="Times New Roman" w:hAnsi="Times New Roman" w:cs="Times New Roman"/>
          <w:sz w:val="22"/>
          <w:szCs w:val="22"/>
        </w:rPr>
        <w:t xml:space="preserve"> research status and future directions, but a comprehensive one </w:t>
      </w:r>
      <w:r w:rsidR="008A6D89">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{"citationID":"sCDUIf0y","properties":{"formattedCitation":"(Pitman-Hunt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8A6D89">
        <w:rPr>
          <w:rFonts w:ascii="Times New Roman" w:hAnsi="Times New Roman" w:cs="Times New Roman"/>
          <w:sz w:val="22"/>
          <w:szCs w:val="22"/>
        </w:rPr>
        <w:fldChar w:fldCharType="separate"/>
      </w:r>
      <w:r w:rsidR="008A6D89" w:rsidRPr="008A6D89">
        <w:rPr>
          <w:rFonts w:ascii="Times New Roman" w:hAnsi="Times New Roman" w:cs="Times New Roman"/>
          <w:sz w:val="22"/>
        </w:rPr>
        <w:t>(Pitman-Hunt et al., 2021)</w:t>
      </w:r>
      <w:r w:rsidR="008A6D89">
        <w:rPr>
          <w:rFonts w:ascii="Times New Roman" w:hAnsi="Times New Roman" w:cs="Times New Roman"/>
          <w:sz w:val="22"/>
          <w:szCs w:val="22"/>
        </w:rPr>
        <w:fldChar w:fldCharType="end"/>
      </w:r>
      <w:r w:rsidRPr="00AD5FD4">
        <w:rPr>
          <w:rFonts w:ascii="Times New Roman" w:hAnsi="Times New Roman" w:cs="Times New Roman"/>
          <w:sz w:val="22"/>
          <w:szCs w:val="22"/>
        </w:rPr>
        <w:t>.</w:t>
      </w:r>
    </w:p>
    <w:p w14:paraId="0E8F5652" w14:textId="06808023" w:rsidR="009B7739" w:rsidRPr="007627DD" w:rsidRDefault="005C6883" w:rsidP="00945488">
      <w:pPr>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2336" behindDoc="0" locked="0" layoutInCell="1" allowOverlap="1" wp14:anchorId="7069D08B" wp14:editId="4C0F5617">
                <wp:simplePos x="0" y="0"/>
                <wp:positionH relativeFrom="column">
                  <wp:posOffset>0</wp:posOffset>
                </wp:positionH>
                <wp:positionV relativeFrom="paragraph">
                  <wp:posOffset>22225</wp:posOffset>
                </wp:positionV>
                <wp:extent cx="5928360" cy="4625340"/>
                <wp:effectExtent l="0" t="0" r="0" b="3810"/>
                <wp:wrapNone/>
                <wp:docPr id="25803775" name="Rectangle 4"/>
                <wp:cNvGraphicFramePr/>
                <a:graphic xmlns:a="http://schemas.openxmlformats.org/drawingml/2006/main">
                  <a:graphicData uri="http://schemas.microsoft.com/office/word/2010/wordprocessingShape">
                    <wps:wsp>
                      <wps:cNvSpPr/>
                      <wps:spPr>
                        <a:xfrm>
                          <a:off x="0" y="0"/>
                          <a:ext cx="5928360" cy="46253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A3AD31" w14:textId="56567A43" w:rsidR="009B7739" w:rsidRDefault="00C37431" w:rsidP="009B7739">
                            <w:pPr>
                              <w:jc w:val="center"/>
                            </w:pPr>
                            <w:r>
                              <w:rPr>
                                <w:noProof/>
                              </w:rPr>
                              <w:drawing>
                                <wp:inline distT="0" distB="0" distL="0" distR="0" wp14:anchorId="0370EEF8" wp14:editId="597EF59A">
                                  <wp:extent cx="5457190" cy="3949700"/>
                                  <wp:effectExtent l="0" t="0" r="0" b="0"/>
                                  <wp:docPr id="1829863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7190" cy="394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69D08B" id="Rectangle 4" o:spid="_x0000_s1026" style="position:absolute;left:0;text-align:left;margin-left:0;margin-top:1.75pt;width:466.8pt;height:36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" filled="f" stroked="f" strokeweight="1pt">
                <v:textbox>
                  <w:txbxContent>
                    <w:p w14:paraId="46A3AD31" w14:textId="56567A43" w:rsidR="009B7739" w:rsidRDefault="00C37431" w:rsidP="009B7739">
                      <w:pPr>
                        <w:jc w:val="center"/>
                      </w:pPr>
                      <w:r>
                        <w:rPr>
                          <w:noProof/>
                        </w:rPr>
                        <w:drawing>
                          <wp:inline distT="0" distB="0" distL="0" distR="0" wp14:anchorId="0370EEF8" wp14:editId="597EF59A">
                            <wp:extent cx="5457190" cy="3949700"/>
                            <wp:effectExtent l="0" t="0" r="0" b="0"/>
                            <wp:docPr id="1829863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190" cy="3949700"/>
                                    </a:xfrm>
                                    <a:prstGeom prst="rect">
                                      <a:avLst/>
                                    </a:prstGeom>
                                    <a:noFill/>
                                    <a:ln>
                                      <a:noFill/>
                                    </a:ln>
                                  </pic:spPr>
                                </pic:pic>
                              </a:graphicData>
                            </a:graphic>
                          </wp:inline>
                        </w:drawing>
                      </w:r>
                    </w:p>
                  </w:txbxContent>
                </v:textbox>
              </v:rect>
            </w:pict>
          </mc:Fallback>
        </mc:AlternateContent>
      </w:r>
      <w:r w:rsidR="007627DD" w:rsidRPr="007627DD">
        <w:rPr>
          <w:rFonts w:ascii="Times New Roman" w:hAnsi="Times New Roman" w:cs="Times New Roman"/>
          <w:b/>
          <w:bCs/>
          <w:sz w:val="22"/>
          <w:szCs w:val="22"/>
        </w:rPr>
        <w:t xml:space="preserve">Figure </w:t>
      </w:r>
      <w:r w:rsidR="007627DD">
        <w:rPr>
          <w:rFonts w:ascii="Times New Roman" w:hAnsi="Times New Roman" w:cs="Times New Roman"/>
          <w:b/>
          <w:bCs/>
          <w:sz w:val="22"/>
          <w:szCs w:val="22"/>
        </w:rPr>
        <w:t>1</w:t>
      </w:r>
      <w:r w:rsidR="007627DD" w:rsidRPr="007627DD">
        <w:rPr>
          <w:rFonts w:ascii="Times New Roman" w:hAnsi="Times New Roman" w:cs="Times New Roman"/>
          <w:b/>
          <w:bCs/>
          <w:sz w:val="22"/>
          <w:szCs w:val="22"/>
        </w:rPr>
        <w:t>. PRISMA 2020 flow diagram of the systematic literature search and study selection process.</w:t>
      </w:r>
    </w:p>
    <w:p w14:paraId="13A4B2AC" w14:textId="625D9E8E" w:rsidR="009B7739" w:rsidRDefault="009B7739" w:rsidP="00945488">
      <w:pPr>
        <w:jc w:val="both"/>
        <w:rPr>
          <w:rFonts w:ascii="Times New Roman" w:hAnsi="Times New Roman" w:cs="Times New Roman"/>
          <w:b/>
          <w:bCs/>
          <w:sz w:val="26"/>
          <w:szCs w:val="26"/>
        </w:rPr>
      </w:pPr>
    </w:p>
    <w:p w14:paraId="003761E8" w14:textId="77777777" w:rsidR="009B7739" w:rsidRDefault="009B7739" w:rsidP="00945488">
      <w:pPr>
        <w:jc w:val="both"/>
        <w:rPr>
          <w:rFonts w:ascii="Times New Roman" w:hAnsi="Times New Roman" w:cs="Times New Roman"/>
          <w:b/>
          <w:bCs/>
          <w:sz w:val="26"/>
          <w:szCs w:val="26"/>
        </w:rPr>
      </w:pPr>
    </w:p>
    <w:p w14:paraId="719525E4" w14:textId="77777777" w:rsidR="009B7739" w:rsidRDefault="009B7739" w:rsidP="00945488">
      <w:pPr>
        <w:jc w:val="both"/>
        <w:rPr>
          <w:rFonts w:ascii="Times New Roman" w:hAnsi="Times New Roman" w:cs="Times New Roman"/>
          <w:b/>
          <w:bCs/>
          <w:sz w:val="26"/>
          <w:szCs w:val="26"/>
        </w:rPr>
      </w:pPr>
    </w:p>
    <w:p w14:paraId="61652BFF" w14:textId="77777777" w:rsidR="009B7739" w:rsidRDefault="009B7739" w:rsidP="00945488">
      <w:pPr>
        <w:jc w:val="both"/>
        <w:rPr>
          <w:rFonts w:ascii="Times New Roman" w:hAnsi="Times New Roman" w:cs="Times New Roman"/>
          <w:b/>
          <w:bCs/>
          <w:sz w:val="26"/>
          <w:szCs w:val="26"/>
        </w:rPr>
      </w:pPr>
    </w:p>
    <w:p w14:paraId="50F74FF3" w14:textId="77777777" w:rsidR="009B7739" w:rsidRDefault="009B7739" w:rsidP="00945488">
      <w:pPr>
        <w:jc w:val="both"/>
        <w:rPr>
          <w:rFonts w:ascii="Times New Roman" w:hAnsi="Times New Roman" w:cs="Times New Roman"/>
          <w:b/>
          <w:bCs/>
          <w:sz w:val="26"/>
          <w:szCs w:val="26"/>
        </w:rPr>
      </w:pPr>
    </w:p>
    <w:p w14:paraId="6524904F" w14:textId="77777777" w:rsidR="009B7739" w:rsidRDefault="009B7739" w:rsidP="00945488">
      <w:pPr>
        <w:jc w:val="both"/>
        <w:rPr>
          <w:rFonts w:ascii="Times New Roman" w:hAnsi="Times New Roman" w:cs="Times New Roman"/>
          <w:b/>
          <w:bCs/>
          <w:sz w:val="26"/>
          <w:szCs w:val="26"/>
        </w:rPr>
      </w:pPr>
    </w:p>
    <w:p w14:paraId="765B1300" w14:textId="77777777" w:rsidR="009B7739" w:rsidRDefault="009B7739" w:rsidP="00945488">
      <w:pPr>
        <w:jc w:val="both"/>
        <w:rPr>
          <w:rFonts w:ascii="Times New Roman" w:hAnsi="Times New Roman" w:cs="Times New Roman"/>
          <w:b/>
          <w:bCs/>
          <w:sz w:val="26"/>
          <w:szCs w:val="26"/>
        </w:rPr>
      </w:pPr>
    </w:p>
    <w:p w14:paraId="309F125F" w14:textId="77777777" w:rsidR="009B7739" w:rsidRDefault="009B7739" w:rsidP="00945488">
      <w:pPr>
        <w:jc w:val="both"/>
        <w:rPr>
          <w:rFonts w:ascii="Times New Roman" w:hAnsi="Times New Roman" w:cs="Times New Roman"/>
          <w:b/>
          <w:bCs/>
          <w:sz w:val="26"/>
          <w:szCs w:val="26"/>
        </w:rPr>
      </w:pPr>
    </w:p>
    <w:p w14:paraId="01C6AC81" w14:textId="77777777" w:rsidR="009B7739" w:rsidRDefault="009B7739" w:rsidP="00945488">
      <w:pPr>
        <w:jc w:val="both"/>
        <w:rPr>
          <w:rFonts w:ascii="Times New Roman" w:hAnsi="Times New Roman" w:cs="Times New Roman"/>
          <w:b/>
          <w:bCs/>
          <w:sz w:val="26"/>
          <w:szCs w:val="26"/>
        </w:rPr>
      </w:pPr>
    </w:p>
    <w:p w14:paraId="1CFFAE1E" w14:textId="77777777" w:rsidR="009B7739" w:rsidRDefault="009B7739" w:rsidP="00945488">
      <w:pPr>
        <w:jc w:val="both"/>
        <w:rPr>
          <w:rFonts w:ascii="Times New Roman" w:hAnsi="Times New Roman" w:cs="Times New Roman"/>
          <w:b/>
          <w:bCs/>
          <w:sz w:val="26"/>
          <w:szCs w:val="26"/>
        </w:rPr>
      </w:pPr>
    </w:p>
    <w:p w14:paraId="5B8E136B" w14:textId="77777777" w:rsidR="009B7739" w:rsidRDefault="009B7739" w:rsidP="00945488">
      <w:pPr>
        <w:jc w:val="both"/>
        <w:rPr>
          <w:rFonts w:ascii="Times New Roman" w:hAnsi="Times New Roman" w:cs="Times New Roman"/>
          <w:b/>
          <w:bCs/>
          <w:sz w:val="26"/>
          <w:szCs w:val="26"/>
        </w:rPr>
      </w:pPr>
    </w:p>
    <w:p w14:paraId="3688E5F5" w14:textId="77777777" w:rsidR="009B7739" w:rsidRDefault="009B7739" w:rsidP="00945488">
      <w:pPr>
        <w:jc w:val="both"/>
        <w:rPr>
          <w:rFonts w:ascii="Times New Roman" w:hAnsi="Times New Roman" w:cs="Times New Roman"/>
          <w:b/>
          <w:bCs/>
          <w:sz w:val="26"/>
          <w:szCs w:val="26"/>
        </w:rPr>
      </w:pPr>
    </w:p>
    <w:p w14:paraId="7D4DBE84" w14:textId="77777777" w:rsidR="009B7739" w:rsidRDefault="009B7739" w:rsidP="00945488">
      <w:pPr>
        <w:jc w:val="both"/>
        <w:rPr>
          <w:rFonts w:ascii="Times New Roman" w:hAnsi="Times New Roman" w:cs="Times New Roman"/>
          <w:b/>
          <w:bCs/>
          <w:sz w:val="26"/>
          <w:szCs w:val="26"/>
        </w:rPr>
      </w:pPr>
    </w:p>
    <w:p w14:paraId="02653D0C" w14:textId="40466BBA" w:rsidR="007627DD" w:rsidRDefault="007627DD" w:rsidP="00945488">
      <w:pPr>
        <w:jc w:val="both"/>
        <w:rPr>
          <w:rFonts w:ascii="Times New Roman" w:hAnsi="Times New Roman" w:cs="Times New Roman"/>
          <w:b/>
          <w:bCs/>
          <w:sz w:val="26"/>
          <w:szCs w:val="26"/>
        </w:rPr>
      </w:pPr>
      <w:r w:rsidRPr="00AD4F78">
        <w:rPr>
          <w:rFonts w:ascii="Times New Roman" w:hAnsi="Times New Roman" w:cs="Times New Roman"/>
          <w:i/>
          <w:iCs/>
          <w:sz w:val="22"/>
          <w:szCs w:val="22"/>
        </w:rPr>
        <w:t xml:space="preserve">The diagram illustrates the identification, screening, eligibility, and inclusion of studies on Naegleria fowleri and Primary Amoebic Meningoencephalitis (PAM) published between 2020 and 2025. Databases searched included PubMed/MEDLINE, Scopus, and Web of Science. A total of 200 records were identified, with 88 duplicates removed. After screening 112 titles and abstracts, 67 records were excluded for </w:t>
      </w:r>
      <w:r w:rsidRPr="00AD4F78">
        <w:rPr>
          <w:rFonts w:ascii="Times New Roman" w:hAnsi="Times New Roman" w:cs="Times New Roman"/>
          <w:i/>
          <w:iCs/>
          <w:sz w:val="22"/>
          <w:szCs w:val="22"/>
        </w:rPr>
        <w:lastRenderedPageBreak/>
        <w:t>irrelevance or falling outside the scope. Forty-five full-text articles were assessed for eligibility, all of which met the inclusion criteria and were incorporated into the systematic review.</w:t>
      </w:r>
    </w:p>
    <w:p w14:paraId="26B5B7F9" w14:textId="0C76F6B8" w:rsidR="000C0478" w:rsidRPr="00AE470E" w:rsidRDefault="00CC3551" w:rsidP="00945488">
      <w:pPr>
        <w:jc w:val="both"/>
        <w:rPr>
          <w:rFonts w:ascii="Times New Roman" w:hAnsi="Times New Roman" w:cs="Times New Roman"/>
          <w:b/>
          <w:bCs/>
          <w:sz w:val="26"/>
          <w:szCs w:val="26"/>
        </w:rPr>
      </w:pPr>
      <w:r>
        <w:rPr>
          <w:rFonts w:ascii="Times New Roman" w:hAnsi="Times New Roman" w:cs="Times New Roman"/>
          <w:b/>
          <w:bCs/>
          <w:sz w:val="26"/>
          <w:szCs w:val="26"/>
        </w:rPr>
        <w:br/>
      </w:r>
      <w:r w:rsidR="00AD5FD4">
        <w:rPr>
          <w:rFonts w:ascii="Times New Roman" w:hAnsi="Times New Roman" w:cs="Times New Roman"/>
          <w:b/>
          <w:bCs/>
          <w:sz w:val="26"/>
          <w:szCs w:val="26"/>
        </w:rPr>
        <w:t>3</w:t>
      </w:r>
      <w:r w:rsidR="000C0478" w:rsidRPr="00AE470E">
        <w:rPr>
          <w:rFonts w:ascii="Times New Roman" w:hAnsi="Times New Roman" w:cs="Times New Roman"/>
          <w:b/>
          <w:bCs/>
          <w:sz w:val="26"/>
          <w:szCs w:val="26"/>
        </w:rPr>
        <w:t>. Epidemiology (2020–2025)</w:t>
      </w:r>
    </w:p>
    <w:p w14:paraId="7B83DF1E" w14:textId="4789730D" w:rsidR="00F50870" w:rsidRPr="00F50870" w:rsidRDefault="00F50870" w:rsidP="00F50870">
      <w:pPr>
        <w:jc w:val="both"/>
        <w:rPr>
          <w:rFonts w:ascii="Times New Roman" w:hAnsi="Times New Roman" w:cs="Times New Roman"/>
          <w:sz w:val="22"/>
          <w:szCs w:val="22"/>
        </w:rPr>
      </w:pPr>
      <w:r w:rsidRPr="00F50870">
        <w:rPr>
          <w:rFonts w:ascii="Times New Roman" w:hAnsi="Times New Roman" w:cs="Times New Roman"/>
          <w:sz w:val="22"/>
          <w:szCs w:val="22"/>
        </w:rPr>
        <w:t xml:space="preserve">Epidemiological data were gathered from global health organizations (WHO and CDC) as well as peer-reviewed articles over the years 2020 to 2025. The geographical PAM distribution has changed considerably during this time, with the detection of some new hotspots while other areas remained characterized as endemic. The southern U.S. is still the site of reported cases, but the major change in epidemiology is the immense rise in the number of reported PAM cases in South Asia, which has radically changed the view of the current global distribution of this disease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{"citationID":"7OPPJlJZ","properties":{"formattedCitation":"(Gharpure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w:t>
      </w:r>
    </w:p>
    <w:p w14:paraId="6F2577A3" w14:textId="30594984" w:rsidR="00F50870" w:rsidRDefault="00F50870" w:rsidP="00F50870">
      <w:pPr>
        <w:jc w:val="both"/>
        <w:rPr>
          <w:rFonts w:ascii="Times New Roman" w:hAnsi="Times New Roman" w:cs="Times New Roman"/>
          <w:sz w:val="22"/>
          <w:szCs w:val="22"/>
        </w:rPr>
      </w:pPr>
      <w:r w:rsidRPr="00F50870">
        <w:rPr>
          <w:rFonts w:ascii="Times New Roman" w:hAnsi="Times New Roman" w:cs="Times New Roman"/>
          <w:sz w:val="22"/>
          <w:szCs w:val="22"/>
        </w:rPr>
        <w:t xml:space="preserve">According to CDC surveillance data, the situation in the U.S. is such that there is a worrying northward movement of cases, which corresponds to climate change. At the same time, the southern states, including Texas, Florida, and Arizona, which are traditionally known to be endemic areas, still report cases from the north, but infections have lately been seen in areas of the states of Minnesota, Indiana, and Maryland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{"citationID":"oLeJMC7n","properties":{"formattedCitation":"(Jaganath et al., 2022)","plainCitation":"(Jaganath et al., 2022)","noteIndex":0},"citationItems":[{"id":582,"uris":["http://zotero.org/users/18073969/items/XF8P8JSA"],"itemData":{"id":582,"type":"article-journal","abstract":"Abstract\n            \n              Background\n              C-reactive protein (CRP) has shown promise as a triage tool for pulmonary tuberculosis (TB) in adults living with the human immunodeficiency virus. We performed the first assessment of CRP for TB triage in children.\n            \n            \n              Methods\n              Symptomatic children less than 15 years old were prospectively enrolled in Kampala, Uganda. We completed a standard TB evaluation and measured CRP using a point-of-care assay. We determined the sensitivity and specificity of CRP to identify pulmonary TB in children using 10 mg/L and 5 mg/L cut-off points and generated a receiver operating characteristic (ROC) curve to determine alternative cut-offs that could approach the target accuracy for a triage test (≥90% sensitivity and ≥70% specificity).\n            \n            \n              Results\n              We included 332 children (median age 3 years old, interquartile range [IQR]: 1–6). The median CRP level was low at 3.0 mg/L (IQR: 2.5–26.6) but was higher in children with Confirmed TB than in children with Unlikely TB (9.5 mg/L vs. 2.9 mg/L, P-value = .03). At a 10 mg/L cut-off, CRP sensitivity was 50.0% (95% confidence interval [CI], 37.0–63.0) among Confirmed TB cases and specificity was 63.3% (95% CI, 54.7–71.3) among children with Unlikely TB. Sensitivity increased to 56.5% (95% CI, 43.3–69.0) at the 5 mg/L cut-off, but specificity decreased to 54.0% (95% CI, 45.3–62.4). The area under the ROC curve was 0.59 (95% CI, 0.51–0.67), and the highest sensitivity achieved was 66.1% at a specificity of 46.8%.\n            \n            \n              Conclusions\n              CRP levels were low in children with pulmonary TB, and CRP was unable to achieve the accuracy targets for a TB triage test.","container-title":"Journal of the Pediatric Infectious Diseases Society","DOI":"10.1093/jpids/piac015","ISSN":"2048-7207","issue":"7","language":"en","license":"https://academic.oup.com/journals/pages/open_access/funder_policies/chorus/standard_publication_model","page":"316-321","source":"DOI.org (Crossref)","title":"The Role of C-Reactive Protein as a Triage Tool for Pulmonary Tuberculosis in Children","volume":"11","author":[{"family":"Jaganath","given":"Devan"},{"family":"Reza","given":"Tania F"},{"family":"Wambi","given":"Peter"},{"family":"Nakafeero","given":"Jascent"},{"family":"Kiconco","given":"Emma"},{"family":"Nanyonga","given":"Gertrude"},{"family":"Oumo","given":"Ernest A"},{"family":"Nsereko","given":"Moses C"},{"family":"Sekadde","given":"Moorine P"},{"family":"Nabukenya-Mudiope","given":"Mary G"},{"family":"Kato-Maeda","given":"Midori"},{"family":"Andama","given":"Alfred"},{"family":"Yoon","given":"Christina"},{"family":"Mohanty","given":"Swomitra"},{"family":"Wobudeya","given":"Eric"},{"family":"Cattamanchi","given":"Adithya"}],"issued":{"date-parts":[["2022",7,21]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(Jaganath et al., 2022)</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This phenomenon is a product of the rise in summer water temperatures in the past cooler territories, thus making them amenable to </w:t>
      </w:r>
      <w:r w:rsidRPr="00F50870">
        <w:rPr>
          <w:rFonts w:ascii="Times New Roman" w:hAnsi="Times New Roman" w:cs="Times New Roman"/>
          <w:i/>
          <w:iCs/>
          <w:sz w:val="22"/>
          <w:szCs w:val="22"/>
        </w:rPr>
        <w:t xml:space="preserve">N. </w:t>
      </w:r>
      <w:proofErr w:type="spellStart"/>
      <w:r w:rsidRPr="00F50870">
        <w:rPr>
          <w:rFonts w:ascii="Times New Roman" w:hAnsi="Times New Roman" w:cs="Times New Roman"/>
          <w:i/>
          <w:iCs/>
          <w:sz w:val="22"/>
          <w:szCs w:val="22"/>
        </w:rPr>
        <w:t>fowleri</w:t>
      </w:r>
      <w:r>
        <w:rPr>
          <w:rFonts w:ascii="Times New Roman" w:hAnsi="Times New Roman" w:cs="Times New Roman"/>
          <w:i/>
          <w:iCs/>
          <w:sz w:val="22"/>
          <w:szCs w:val="22"/>
        </w:rPr>
        <w:t>’s</w:t>
      </w:r>
      <w:proofErr w:type="spellEnd"/>
      <w:r w:rsidRPr="00F50870">
        <w:rPr>
          <w:rFonts w:ascii="Times New Roman" w:hAnsi="Times New Roman" w:cs="Times New Roman"/>
          <w:sz w:val="22"/>
          <w:szCs w:val="22"/>
        </w:rPr>
        <w:t xml:space="preserve"> growing population. Case-control studies have borne it that exposures in recreational freshwater settings during hot summer months at lakes, rivers, and inadequately chlorinated swimming pools constitute the major sources of infections. However, there has been an over-riding trend in the changing epidemiology where several cases have been pointed to nasal irrigation with contaminated tap water, highlighting an important route of domestic transmission that still needs to be tackled by public health measures needing clarification and updating</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{"citationID":"3vfTXQZg","properties":{"formattedCitation":"(Tian et al., 2022)","plainCitation":"(Tian et al., 2022)","noteIndex":0},"citationItems":[{"id":585,"uris":["http://zotero.org/users/18073969/items/7BTFA8WV"],"itemData":{"id":585,"type":"article-journal","container-title":"MMWR. Morbidity and Mortality Weekly Report","DOI":"10.15585/mmwr.mm7121a1","ISSN":"0149-2195, 1545-861X","issue":"21","journalAbbreviation":"MMWR Morb. Mortal. Wkly. Rep.","page":"697-702","source":"DOI.org (Crossref)","title":"Barriers to and Disparities in Access to Health Care Among Adults Aged ≥18 Years with Epilepsy — United States, 2015 and 2017","volume":"71","author":[{"family":"Tian","given":"Niu"},{"family":"Kobau","given":"Rosemarie"},{"family":"Zack","given":"Matthew M."},{"family":"Greenlund","given":"Kurt J."}],"issued":{"date-parts":[["2022",5,27]]}}}],"schema":"https://github.com/citation-style-language/schema/raw/master/csl-citation.json"}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(Tian et al., 2022)</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w:t>
      </w:r>
    </w:p>
    <w:p w14:paraId="42BF8932" w14:textId="66E819FE" w:rsidR="00F50870" w:rsidRDefault="00F50870" w:rsidP="00945488">
      <w:pPr>
        <w:jc w:val="both"/>
        <w:rPr>
          <w:rFonts w:ascii="Times New Roman" w:hAnsi="Times New Roman" w:cs="Times New Roman"/>
          <w:sz w:val="22"/>
          <w:szCs w:val="22"/>
        </w:rPr>
      </w:pPr>
      <w:r w:rsidRPr="00F50870">
        <w:rPr>
          <w:rFonts w:ascii="Times New Roman" w:hAnsi="Times New Roman" w:cs="Times New Roman"/>
          <w:sz w:val="22"/>
          <w:szCs w:val="22"/>
        </w:rPr>
        <w:t xml:space="preserve">The most important epidemiological change has been the rise of South Asia as a primary PAM hotspot. A recent study in Thailand has shown that the geographical range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infections is getting bigger, with several cases tied to exposure in natural freshwater reservoirs and rising water temperatures linked to climate change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{"citationID":"xC1PIvqu","properties":{"formattedCitation":"(Sao et al., 2023)","plainCitation":"(Sao et al., 2023)","noteIndex":0},"citationItems":[{"id":587,"uris":["http://zotero.org/users/18073969/items/8D3GTQW2"],"itemData":{"id":587,"type":"article-journal","abstract":"Abstract\n            The present study aimed to assess the health risks of chemical contaminants of residents in the coastal areas of Cambodia through their drinking water pathways. Water was sampled from tube wells (n= 22), dug wells (n= 31), ponds (n= 11), canals (n= 12) and lakes (n= 4) across the Cambodian coastal areas, and measured for the contaminants of health concern (As, Cu, Cr, Cd, F−, NO2-, NO3-, Pb, Escherichia coli and total coliform) and aesthetic quality following the United States Environmental Protection Agency (USEPA) and standard methods. Analytical results reveal that 9.1% of tube wells and 9.7% of dug wells contained As &amp;gt; 0.01 mg/L. Appropriately, 22.7% of tube wells and 32.3% of dug wells contained Fe &amp;gt; 0.3 mg/L while 100% of tube wells and 80.6% of dug wells contained Mn &amp;gt; 0.1 mg/L. Health risk assessment found that the hazard quotient (HQ) &amp;gt; 1 for children and women. Additionally, the lifetime cancer risk (LCR) was found &amp;gt;1 × 10−4 for As in Cambodian coastal areas. Therefore, a monitoring programme and appropriate treatment to remove contaminants like arsenic, cadmium and fluoride would be required to ensure a safe drinking water supply to Cambodian coastal residents.","container-title":"Journal of Water and Health","DOI":"10.2166/wh.2023.215","ISSN":"1477-8920, 1996-7829","issue":"2","language":"en","page":"224-234","source":"DOI.org (Crossref)","title":"Assessing drinking water quality and health risks of contaminants in the coastal areas of Cambodia","volume":"21","author":[{"family":"Sao","given":"Vibol"},{"family":"Chey","given":"Chan Oeurn"},{"family":"Sriv","given":"Tharith"},{"family":"The","given":"Noreaksatya"},{"family":"Phin","given":"Samnang"},{"family":"Hoeng","given":"Sophanith"},{"family":"Phan","given":"Kongkea"}],"issued":{"date-parts":[["2023",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(Sao et al., 2023)</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At the same time, Pakistan has seen a huge increase in cases, with Karachi having several outbreaks in the period of 2020 to 2025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{"citationID":"wr3i1IDO","properties":{"formattedCitation":"(\\uc0\\u8220{}Rhabdomyolysis Leading to Acute Kidney Injury,\\uc0\\u8221{} 2021)","plainCitation":"(“Rhabdomyolysis Leading to Acute Kidney Injury,” 2021)","noteIndex":0},"citationItems":[{"id":569,"uris":["http://zotero.org/users/18073969/items/PJB7DXPS"],"itemData":{"id":569,"type":"article-journal","container-title":"Journal of the College of Physicians and Surgeons Pakistan","DOI":"10.29271/jcpsp.2021.02.235","ISSN":"1022386X, 16817168","issue":"02","journalAbbreviation":"J Coll Physicians Surg Pak","page":"235-237","source":"DOI.org (Crossref)","title":"Rhabdomyolysis Leading to Acute Kidney Injury","volume":"31","issued":{"date-parts":[["2021",2,1]]}}}],"schema":"https://github.com/citation-style-language/schema/raw/master/csl-citation.json"}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(“Rhabdomyolysis Leading to Acute Kidney Injury,” 2021)</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One of the routes of transmission that has been pinpointed by specific epidemiological research is the religious rite of ablution (wudu) performed with untreated tap water. Besides, the molecular technique used on clinical and environmental samples has also confirmed that the municipal water supply in the impacted areas is harboring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and this is happening due to various factors like cross-connections, intermittent supply, poor disinfection, and even storage practices that allow bacteria to grow and then amoebic proliferation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{"citationID":"YJFykVS6","properties":{"formattedCitation":"(\\uc0\\u8220{}Rhabdomyolysis Leading to Acute Kidney Injury,\\uc0\\u8221{} 2021)","plainCitation":"(“Rhabdomyolysis Leading to Acute Kidney Injury,” 2021)","noteIndex":0},"citationItems":[{"id":569,"uris":["http://zotero.org/users/18073969/items/PJB7DXPS"],"itemData":{"id":569,"type":"article-journal","container-title":"Journal of the College of Physicians and Surgeons Pakistan","DOI":"10.29271/jcpsp.2021.02.235","ISSN":"1022386X, 16817168","issue":"02","journalAbbreviation":"J Coll Physicians Surg Pak","page":"235-237","source":"DOI.org (Crossref)","title":"Rhabdomyolysis Leading to Acute Kidney Injury","volume":"31","issued":{"date-parts":[["2021",2,1]]}}}],"schema":"https://github.com/citation-style-language/schema/raw/master/csl-citation.json"}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(“Rhabdomyolysis Leading to Acute Kidney Injury,” 2021)</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On the other hand, India has also experienced an increase in case counts, especially from the southern state of Kerala, where infections have been traced epidemiologically to bathing in the contaminated well water and freshwater ponds during religious festivals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{"citationID":"MjWtWb0F","properties":{"formattedCitation":"(Behera et al., 2023)","plainCitation":"(Behera et al., 2023)","noteIndex":0},"citationItems":[{"id":591,"uris":["http://zotero.org/users/18073969/items/N9P4K6ZI"],"itemData":{"id":591,"type":"article-journal","abstract":"Background: Anemia-causing fever has been described in patients with megaloblastic anemia.  Although the exact mechanism of this is unknown, high-grade fever is relatively less reported. Materials and methods: This prospective observational study included all new cases of  megaloblastic anemia presenting with febrile illness (&gt;101°F) during a 3-year period. Patients  with existing anemia, comorbidities, and other causes of macrocytosis were excluded. A detailed  evaluation for megaloblastic anemia and workup for excluding tropical infections was done. The  patients were treated with parenteral vitamin B12, folic acid, and other hematinics. Results: Around 24 cases of megaloblastic anemia presenting with high-grade fever were  included, with 14 (58.3%) males, mean duration of fever 7.7 days (4–18 days), and 09 (37.5%)  having temperature &gt;103°F. The mean hemoglobin (Hb) was 8.15 g/dL (3.7–11.1 g/dL), the mean  corpuscular volume (MCV) was 111 ± 7.8 fL, 18 (75%) had unconjugated hyperbilirubinemia,  the mean lactate dehydrogenase (LDH) was 814 ± 24 IU/L, and 21 (87.5%) had low B12 or folate  levels. Most showed good therapeutic response to B12 or folic acid with defervescence in 1–5 days  (mean 2.6 days) and improvement in lab parameters in 1 week. The study population was divided  into those with temperature ≥103°F, and temperature &lt;103°F it was seen that there was a significant  association (p &lt; 0.05) with leucocyte count of ≤3000/cumm, and MCV ≥110 fL, in patients with  temperature ≥103°F. Conclusion: Megaloblastic anemia should be considered in the differentials of a patient presenting  with a febrile illness with no clinical localization and a negative initial fever workup. Early  identification and prompt therapy of this easily treatable disorder are very essential.","container-title":"Journal of the Association of Physicians of India","DOI":"10.5005/japi-11001-0222","ISSN":"00045772","issue":"05","journalAbbreviation":"JAPI","page":"70-74","source":"DOI.org (Crossref)","title":"Clinico-laboratory Profile and Outcomes of Megaloblastic Anemia presenting as Severe Pyrexial Illness mimicking Tropical Infection","volume":"71","author":[{"family":"Behera","given":"Vineet"},{"family":"Kumar","given":"Rajiv"},{"family":"Agrawal","given":"Chaturbhuj"},{"family":"Kapoor","given":"Rajan"},{"family":"Kaur","given":"Navjyot"},{"family":"Nair","given":"Velu"}],"issued":{"date-parts":[["2023",5,7]]}}}],"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(Behera et al., 2023)</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The co-occurrence of warm climate, specific water-use habits, and difficulties in water treatment systems has made these areas perfect for PAM spreading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{"citationID":"EPV55myJ","properties":{"formattedCitation":"(Gharpure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w:t>
      </w:r>
    </w:p>
    <w:p w14:paraId="5DAD4207" w14:textId="689F9B7B" w:rsidR="00945488" w:rsidRDefault="00F50870" w:rsidP="00945488">
      <w:pPr>
        <w:jc w:val="both"/>
        <w:rPr>
          <w:rFonts w:ascii="Times New Roman" w:hAnsi="Times New Roman" w:cs="Times New Roman"/>
          <w:b/>
          <w:bCs/>
          <w:sz w:val="22"/>
          <w:szCs w:val="22"/>
        </w:rPr>
      </w:pPr>
      <w:r w:rsidRPr="00F50870">
        <w:rPr>
          <w:rFonts w:ascii="Times New Roman" w:hAnsi="Times New Roman" w:cs="Times New Roman"/>
          <w:sz w:val="22"/>
          <w:szCs w:val="22"/>
        </w:rPr>
        <w:t xml:space="preserve">As the rest of the world, particularly Southeast Asia, has also experienced an upward trend in the incidence of PAM cases, one of the countries affected by this trend is Thailand, which reported several cases of the disease through contact with natural fresh water reservoirs and hot springs. Environmental studies conducted in recreational water bodies had indicated the presence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The high temperature, </w:t>
      </w:r>
      <w:r w:rsidRPr="00F50870">
        <w:rPr>
          <w:rFonts w:ascii="Times New Roman" w:hAnsi="Times New Roman" w:cs="Times New Roman"/>
          <w:sz w:val="22"/>
          <w:szCs w:val="22"/>
        </w:rPr>
        <w:lastRenderedPageBreak/>
        <w:t xml:space="preserve">combined with the popularity of these tests, has been a factor in the occurrence of new transmission opportunities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{"citationID":"AX9Os84f","properties":{"formattedCitation":"(Sao et al., 2023)","plainCitation":"(Sao et al., 2023)","noteIndex":0},"citationItems":[{"id":587,"uris":["http://zotero.org/users/18073969/items/8D3GTQW2"],"itemData":{"id":587,"type":"article-journal","abstract":"Abstract\n            The present study aimed to assess the health risks of chemical contaminants of residents in the coastal areas of Cambodia through their drinking water pathways. Water was sampled from tube wells (n= 22), dug wells (n= 31), ponds (n= 11), canals (n= 12) and lakes (n= 4) across the Cambodian coastal areas, and measured for the contaminants of health concern (As, Cu, Cr, Cd, F−, NO2-, NO3-, Pb, Escherichia coli and total coliform) and aesthetic quality following the United States Environmental Protection Agency (USEPA) and standard methods. Analytical results reveal that 9.1% of tube wells and 9.7% of dug wells contained As &amp;gt; 0.01 mg/L. Appropriately, 22.7% of tube wells and 32.3% of dug wells contained Fe &amp;gt; 0.3 mg/L while 100% of tube wells and 80.6% of dug wells contained Mn &amp;gt; 0.1 mg/L. Health risk assessment found that the hazard quotient (HQ) &amp;gt; 1 for children and women. Additionally, the lifetime cancer risk (LCR) was found &amp;gt;1 × 10−4 for As in Cambodian coastal areas. Therefore, a monitoring programme and appropriate treatment to remove contaminants like arsenic, cadmium and fluoride would be required to ensure a safe drinking water supply to Cambodian coastal residents.","container-title":"Journal of Water and Health","DOI":"10.2166/wh.2023.215","ISSN":"1477-8920, 1996-7829","issue":"2","language":"en","page":"224-234","source":"DOI.org (Crossref)","title":"Assessing drinking water quality and health risks of contaminants in the coastal areas of Cambodia","volume":"21","author":[{"family":"Sao","given":"Vibol"},{"family":"Chey","given":"Chan Oeurn"},{"family":"Sriv","given":"Tharith"},{"family":"The","given":"Noreaksatya"},{"family":"Phin","given":"Samnang"},{"family":"Hoeng","given":"Sophanith"},{"family":"Phan","given":"Kongkea"}],"issued":{"date-parts":[["2023",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(Sao et al., 2023)</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Furthermore, the occurrence of cases in areas where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was never previously reported, such as some parts of the Middle East and South America, points to the geographical expansion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-related diseases being in line with climate modeling predictions.</w:t>
      </w:r>
    </w:p>
    <w:p w14:paraId="19A2EAE1" w14:textId="3A941318"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b/>
          <w:bCs/>
          <w:sz w:val="22"/>
          <w:szCs w:val="22"/>
        </w:rPr>
        <w:t>Table 1: Recent Confirmed PAM Outbreaks (2020–2025)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1262"/>
        <w:gridCol w:w="2124"/>
        <w:gridCol w:w="1662"/>
        <w:gridCol w:w="1718"/>
        <w:gridCol w:w="1690"/>
      </w:tblGrid>
      <w:tr w:rsidR="000C0478" w:rsidRPr="000C0478" w14:paraId="5551EB93" w14:textId="77777777" w:rsidTr="00CC3551">
        <w:trPr>
          <w:tblHeader/>
        </w:trPr>
        <w:tc>
          <w:tcPr>
            <w:tcW w:w="895" w:type="dxa"/>
            <w:tcMar>
              <w:top w:w="150" w:type="dxa"/>
              <w:left w:w="0" w:type="dxa"/>
              <w:bottom w:w="150" w:type="dxa"/>
              <w:right w:w="240" w:type="dxa"/>
            </w:tcMar>
            <w:vAlign w:val="center"/>
            <w:hideMark/>
          </w:tcPr>
          <w:p w14:paraId="1A197190"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Year</w:t>
            </w:r>
          </w:p>
        </w:tc>
        <w:tc>
          <w:tcPr>
            <w:tcW w:w="1047" w:type="dxa"/>
            <w:tcMar>
              <w:top w:w="150" w:type="dxa"/>
              <w:left w:w="240" w:type="dxa"/>
              <w:bottom w:w="150" w:type="dxa"/>
              <w:right w:w="240" w:type="dxa"/>
            </w:tcMar>
            <w:vAlign w:val="center"/>
            <w:hideMark/>
          </w:tcPr>
          <w:p w14:paraId="5D26612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Country</w:t>
            </w:r>
          </w:p>
        </w:tc>
        <w:tc>
          <w:tcPr>
            <w:tcW w:w="0" w:type="auto"/>
            <w:tcMar>
              <w:top w:w="150" w:type="dxa"/>
              <w:left w:w="240" w:type="dxa"/>
              <w:bottom w:w="150" w:type="dxa"/>
              <w:right w:w="240" w:type="dxa"/>
            </w:tcMar>
            <w:vAlign w:val="center"/>
            <w:hideMark/>
          </w:tcPr>
          <w:p w14:paraId="2469E5B8"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Region/City</w:t>
            </w:r>
          </w:p>
        </w:tc>
        <w:tc>
          <w:tcPr>
            <w:tcW w:w="0" w:type="auto"/>
            <w:tcMar>
              <w:top w:w="150" w:type="dxa"/>
              <w:left w:w="240" w:type="dxa"/>
              <w:bottom w:w="150" w:type="dxa"/>
              <w:right w:w="240" w:type="dxa"/>
            </w:tcMar>
            <w:vAlign w:val="center"/>
            <w:hideMark/>
          </w:tcPr>
          <w:p w14:paraId="0D9E8170"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Number of Cases</w:t>
            </w:r>
          </w:p>
        </w:tc>
        <w:tc>
          <w:tcPr>
            <w:tcW w:w="0" w:type="auto"/>
            <w:tcMar>
              <w:top w:w="150" w:type="dxa"/>
              <w:left w:w="240" w:type="dxa"/>
              <w:bottom w:w="150" w:type="dxa"/>
              <w:right w:w="240" w:type="dxa"/>
            </w:tcMar>
            <w:vAlign w:val="center"/>
            <w:hideMark/>
          </w:tcPr>
          <w:p w14:paraId="14D8650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Number of Deaths</w:t>
            </w:r>
          </w:p>
        </w:tc>
        <w:tc>
          <w:tcPr>
            <w:tcW w:w="0" w:type="auto"/>
            <w:tcMar>
              <w:top w:w="150" w:type="dxa"/>
              <w:left w:w="240" w:type="dxa"/>
              <w:bottom w:w="150" w:type="dxa"/>
              <w:right w:w="240" w:type="dxa"/>
            </w:tcMar>
            <w:vAlign w:val="center"/>
            <w:hideMark/>
          </w:tcPr>
          <w:p w14:paraId="4CA79D7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Case Fatality Rate</w:t>
            </w:r>
          </w:p>
        </w:tc>
      </w:tr>
      <w:tr w:rsidR="000C0478" w:rsidRPr="000C0478" w14:paraId="6EEF6B56" w14:textId="77777777" w:rsidTr="00CC3551">
        <w:tc>
          <w:tcPr>
            <w:tcW w:w="895" w:type="dxa"/>
            <w:tcMar>
              <w:top w:w="150" w:type="dxa"/>
              <w:left w:w="0" w:type="dxa"/>
              <w:bottom w:w="150" w:type="dxa"/>
              <w:right w:w="240" w:type="dxa"/>
            </w:tcMar>
            <w:vAlign w:val="center"/>
            <w:hideMark/>
          </w:tcPr>
          <w:p w14:paraId="42C74975"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2022</w:t>
            </w:r>
          </w:p>
        </w:tc>
        <w:tc>
          <w:tcPr>
            <w:tcW w:w="1047" w:type="dxa"/>
            <w:tcMar>
              <w:top w:w="150" w:type="dxa"/>
              <w:left w:w="240" w:type="dxa"/>
              <w:bottom w:w="150" w:type="dxa"/>
              <w:right w:w="240" w:type="dxa"/>
            </w:tcMar>
            <w:vAlign w:val="center"/>
            <w:hideMark/>
          </w:tcPr>
          <w:p w14:paraId="7259EC49"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Pakistan</w:t>
            </w:r>
          </w:p>
        </w:tc>
        <w:tc>
          <w:tcPr>
            <w:tcW w:w="0" w:type="auto"/>
            <w:tcMar>
              <w:top w:w="150" w:type="dxa"/>
              <w:left w:w="240" w:type="dxa"/>
              <w:bottom w:w="150" w:type="dxa"/>
              <w:right w:w="240" w:type="dxa"/>
            </w:tcMar>
            <w:vAlign w:val="center"/>
            <w:hideMark/>
          </w:tcPr>
          <w:p w14:paraId="7ECAA41A"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Karachi</w:t>
            </w:r>
          </w:p>
        </w:tc>
        <w:tc>
          <w:tcPr>
            <w:tcW w:w="0" w:type="auto"/>
            <w:tcMar>
              <w:top w:w="150" w:type="dxa"/>
              <w:left w:w="240" w:type="dxa"/>
              <w:bottom w:w="150" w:type="dxa"/>
              <w:right w:w="240" w:type="dxa"/>
            </w:tcMar>
            <w:vAlign w:val="center"/>
            <w:hideMark/>
          </w:tcPr>
          <w:p w14:paraId="3F0675C0"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14</w:t>
            </w:r>
          </w:p>
        </w:tc>
        <w:tc>
          <w:tcPr>
            <w:tcW w:w="0" w:type="auto"/>
            <w:tcMar>
              <w:top w:w="150" w:type="dxa"/>
              <w:left w:w="240" w:type="dxa"/>
              <w:bottom w:w="150" w:type="dxa"/>
              <w:right w:w="240" w:type="dxa"/>
            </w:tcMar>
            <w:vAlign w:val="center"/>
            <w:hideMark/>
          </w:tcPr>
          <w:p w14:paraId="75E02DC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13</w:t>
            </w:r>
          </w:p>
        </w:tc>
        <w:tc>
          <w:tcPr>
            <w:tcW w:w="0" w:type="auto"/>
            <w:tcMar>
              <w:top w:w="150" w:type="dxa"/>
              <w:left w:w="240" w:type="dxa"/>
              <w:bottom w:w="150" w:type="dxa"/>
              <w:right w:w="0" w:type="dxa"/>
            </w:tcMar>
            <w:vAlign w:val="center"/>
            <w:hideMark/>
          </w:tcPr>
          <w:p w14:paraId="3448FBC4"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92.9%</w:t>
            </w:r>
          </w:p>
        </w:tc>
      </w:tr>
      <w:tr w:rsidR="000C0478" w:rsidRPr="000C0478" w14:paraId="1E9A8150" w14:textId="77777777" w:rsidTr="00CC3551">
        <w:tc>
          <w:tcPr>
            <w:tcW w:w="895" w:type="dxa"/>
            <w:tcMar>
              <w:top w:w="150" w:type="dxa"/>
              <w:left w:w="0" w:type="dxa"/>
              <w:bottom w:w="150" w:type="dxa"/>
              <w:right w:w="240" w:type="dxa"/>
            </w:tcMar>
            <w:vAlign w:val="center"/>
            <w:hideMark/>
          </w:tcPr>
          <w:p w14:paraId="71F5B9FA"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2023</w:t>
            </w:r>
          </w:p>
        </w:tc>
        <w:tc>
          <w:tcPr>
            <w:tcW w:w="1047" w:type="dxa"/>
            <w:tcMar>
              <w:top w:w="150" w:type="dxa"/>
              <w:left w:w="240" w:type="dxa"/>
              <w:bottom w:w="150" w:type="dxa"/>
              <w:right w:w="240" w:type="dxa"/>
            </w:tcMar>
            <w:vAlign w:val="center"/>
            <w:hideMark/>
          </w:tcPr>
          <w:p w14:paraId="7AEC8FD9"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India</w:t>
            </w:r>
          </w:p>
        </w:tc>
        <w:tc>
          <w:tcPr>
            <w:tcW w:w="0" w:type="auto"/>
            <w:tcMar>
              <w:top w:w="150" w:type="dxa"/>
              <w:left w:w="240" w:type="dxa"/>
              <w:bottom w:w="150" w:type="dxa"/>
              <w:right w:w="240" w:type="dxa"/>
            </w:tcMar>
            <w:vAlign w:val="center"/>
            <w:hideMark/>
          </w:tcPr>
          <w:p w14:paraId="6057648D"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Kerala</w:t>
            </w:r>
          </w:p>
        </w:tc>
        <w:tc>
          <w:tcPr>
            <w:tcW w:w="0" w:type="auto"/>
            <w:tcMar>
              <w:top w:w="150" w:type="dxa"/>
              <w:left w:w="240" w:type="dxa"/>
              <w:bottom w:w="150" w:type="dxa"/>
              <w:right w:w="240" w:type="dxa"/>
            </w:tcMar>
            <w:vAlign w:val="center"/>
            <w:hideMark/>
          </w:tcPr>
          <w:p w14:paraId="13B964A5"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5</w:t>
            </w:r>
          </w:p>
        </w:tc>
        <w:tc>
          <w:tcPr>
            <w:tcW w:w="0" w:type="auto"/>
            <w:tcMar>
              <w:top w:w="150" w:type="dxa"/>
              <w:left w:w="240" w:type="dxa"/>
              <w:bottom w:w="150" w:type="dxa"/>
              <w:right w:w="240" w:type="dxa"/>
            </w:tcMar>
            <w:vAlign w:val="center"/>
            <w:hideMark/>
          </w:tcPr>
          <w:p w14:paraId="4A56C53D"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4</w:t>
            </w:r>
          </w:p>
        </w:tc>
        <w:tc>
          <w:tcPr>
            <w:tcW w:w="0" w:type="auto"/>
            <w:tcMar>
              <w:top w:w="150" w:type="dxa"/>
              <w:left w:w="240" w:type="dxa"/>
              <w:bottom w:w="150" w:type="dxa"/>
              <w:right w:w="0" w:type="dxa"/>
            </w:tcMar>
            <w:vAlign w:val="center"/>
            <w:hideMark/>
          </w:tcPr>
          <w:p w14:paraId="7DD990F2"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80.0%</w:t>
            </w:r>
          </w:p>
        </w:tc>
      </w:tr>
      <w:tr w:rsidR="000C0478" w:rsidRPr="000C0478" w14:paraId="4687C443" w14:textId="77777777" w:rsidTr="00CC3551">
        <w:tc>
          <w:tcPr>
            <w:tcW w:w="895" w:type="dxa"/>
            <w:tcMar>
              <w:top w:w="150" w:type="dxa"/>
              <w:left w:w="0" w:type="dxa"/>
              <w:bottom w:w="150" w:type="dxa"/>
              <w:right w:w="240" w:type="dxa"/>
            </w:tcMar>
            <w:vAlign w:val="center"/>
            <w:hideMark/>
          </w:tcPr>
          <w:p w14:paraId="285F9508"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2023</w:t>
            </w:r>
          </w:p>
        </w:tc>
        <w:tc>
          <w:tcPr>
            <w:tcW w:w="1047" w:type="dxa"/>
            <w:tcMar>
              <w:top w:w="150" w:type="dxa"/>
              <w:left w:w="240" w:type="dxa"/>
              <w:bottom w:w="150" w:type="dxa"/>
              <w:right w:w="240" w:type="dxa"/>
            </w:tcMar>
            <w:vAlign w:val="center"/>
            <w:hideMark/>
          </w:tcPr>
          <w:p w14:paraId="75E52BDE"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USA</w:t>
            </w:r>
          </w:p>
        </w:tc>
        <w:tc>
          <w:tcPr>
            <w:tcW w:w="0" w:type="auto"/>
            <w:tcMar>
              <w:top w:w="150" w:type="dxa"/>
              <w:left w:w="240" w:type="dxa"/>
              <w:bottom w:w="150" w:type="dxa"/>
              <w:right w:w="240" w:type="dxa"/>
            </w:tcMar>
            <w:vAlign w:val="center"/>
            <w:hideMark/>
          </w:tcPr>
          <w:p w14:paraId="73D0ED4A"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Texas, Florida, Georgia</w:t>
            </w:r>
          </w:p>
        </w:tc>
        <w:tc>
          <w:tcPr>
            <w:tcW w:w="0" w:type="auto"/>
            <w:tcMar>
              <w:top w:w="150" w:type="dxa"/>
              <w:left w:w="240" w:type="dxa"/>
              <w:bottom w:w="150" w:type="dxa"/>
              <w:right w:w="240" w:type="dxa"/>
            </w:tcMar>
            <w:vAlign w:val="center"/>
            <w:hideMark/>
          </w:tcPr>
          <w:p w14:paraId="312C23A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4</w:t>
            </w:r>
          </w:p>
        </w:tc>
        <w:tc>
          <w:tcPr>
            <w:tcW w:w="0" w:type="auto"/>
            <w:tcMar>
              <w:top w:w="150" w:type="dxa"/>
              <w:left w:w="240" w:type="dxa"/>
              <w:bottom w:w="150" w:type="dxa"/>
              <w:right w:w="240" w:type="dxa"/>
            </w:tcMar>
            <w:vAlign w:val="center"/>
            <w:hideMark/>
          </w:tcPr>
          <w:p w14:paraId="0560633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0" w:type="dxa"/>
            </w:tcMar>
            <w:vAlign w:val="center"/>
            <w:hideMark/>
          </w:tcPr>
          <w:p w14:paraId="5DCAC22B"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75.0%</w:t>
            </w:r>
          </w:p>
        </w:tc>
      </w:tr>
      <w:tr w:rsidR="000C0478" w:rsidRPr="000C0478" w14:paraId="7907FB50" w14:textId="77777777" w:rsidTr="00CC3551">
        <w:tc>
          <w:tcPr>
            <w:tcW w:w="895" w:type="dxa"/>
            <w:tcMar>
              <w:top w:w="150" w:type="dxa"/>
              <w:left w:w="0" w:type="dxa"/>
              <w:bottom w:w="150" w:type="dxa"/>
              <w:right w:w="240" w:type="dxa"/>
            </w:tcMar>
            <w:vAlign w:val="center"/>
            <w:hideMark/>
          </w:tcPr>
          <w:p w14:paraId="6181139B"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2024</w:t>
            </w:r>
          </w:p>
        </w:tc>
        <w:tc>
          <w:tcPr>
            <w:tcW w:w="1047" w:type="dxa"/>
            <w:tcMar>
              <w:top w:w="150" w:type="dxa"/>
              <w:left w:w="240" w:type="dxa"/>
              <w:bottom w:w="150" w:type="dxa"/>
              <w:right w:w="240" w:type="dxa"/>
            </w:tcMar>
            <w:vAlign w:val="center"/>
            <w:hideMark/>
          </w:tcPr>
          <w:p w14:paraId="2FDA164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Thailand</w:t>
            </w:r>
          </w:p>
        </w:tc>
        <w:tc>
          <w:tcPr>
            <w:tcW w:w="0" w:type="auto"/>
            <w:tcMar>
              <w:top w:w="150" w:type="dxa"/>
              <w:left w:w="240" w:type="dxa"/>
              <w:bottom w:w="150" w:type="dxa"/>
              <w:right w:w="240" w:type="dxa"/>
            </w:tcMar>
            <w:vAlign w:val="center"/>
            <w:hideMark/>
          </w:tcPr>
          <w:p w14:paraId="5C9543A9"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Northern Province</w:t>
            </w:r>
          </w:p>
        </w:tc>
        <w:tc>
          <w:tcPr>
            <w:tcW w:w="0" w:type="auto"/>
            <w:tcMar>
              <w:top w:w="150" w:type="dxa"/>
              <w:left w:w="240" w:type="dxa"/>
              <w:bottom w:w="150" w:type="dxa"/>
              <w:right w:w="240" w:type="dxa"/>
            </w:tcMar>
            <w:vAlign w:val="center"/>
            <w:hideMark/>
          </w:tcPr>
          <w:p w14:paraId="6551882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240" w:type="dxa"/>
            </w:tcMar>
            <w:vAlign w:val="center"/>
            <w:hideMark/>
          </w:tcPr>
          <w:p w14:paraId="03E03CB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2</w:t>
            </w:r>
          </w:p>
        </w:tc>
        <w:tc>
          <w:tcPr>
            <w:tcW w:w="0" w:type="auto"/>
            <w:tcMar>
              <w:top w:w="150" w:type="dxa"/>
              <w:left w:w="240" w:type="dxa"/>
              <w:bottom w:w="150" w:type="dxa"/>
              <w:right w:w="0" w:type="dxa"/>
            </w:tcMar>
            <w:vAlign w:val="center"/>
            <w:hideMark/>
          </w:tcPr>
          <w:p w14:paraId="4C872E4C"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66.7%</w:t>
            </w:r>
          </w:p>
        </w:tc>
      </w:tr>
      <w:tr w:rsidR="000C0478" w:rsidRPr="000C0478" w14:paraId="720BD2AB" w14:textId="77777777" w:rsidTr="00CC3551">
        <w:tc>
          <w:tcPr>
            <w:tcW w:w="895" w:type="dxa"/>
            <w:tcMar>
              <w:top w:w="150" w:type="dxa"/>
              <w:left w:w="0" w:type="dxa"/>
              <w:bottom w:w="150" w:type="dxa"/>
              <w:right w:w="240" w:type="dxa"/>
            </w:tcMar>
            <w:vAlign w:val="center"/>
            <w:hideMark/>
          </w:tcPr>
          <w:p w14:paraId="424126DF"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2024</w:t>
            </w:r>
          </w:p>
        </w:tc>
        <w:tc>
          <w:tcPr>
            <w:tcW w:w="1047" w:type="dxa"/>
            <w:tcMar>
              <w:top w:w="150" w:type="dxa"/>
              <w:left w:w="240" w:type="dxa"/>
              <w:bottom w:w="150" w:type="dxa"/>
              <w:right w:w="240" w:type="dxa"/>
            </w:tcMar>
            <w:vAlign w:val="center"/>
            <w:hideMark/>
          </w:tcPr>
          <w:p w14:paraId="587D07C3"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Pakistan</w:t>
            </w:r>
          </w:p>
        </w:tc>
        <w:tc>
          <w:tcPr>
            <w:tcW w:w="0" w:type="auto"/>
            <w:tcMar>
              <w:top w:w="150" w:type="dxa"/>
              <w:left w:w="240" w:type="dxa"/>
              <w:bottom w:w="150" w:type="dxa"/>
              <w:right w:w="240" w:type="dxa"/>
            </w:tcMar>
            <w:vAlign w:val="center"/>
            <w:hideMark/>
          </w:tcPr>
          <w:p w14:paraId="4F9F9A02"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Sindh Province</w:t>
            </w:r>
          </w:p>
        </w:tc>
        <w:tc>
          <w:tcPr>
            <w:tcW w:w="0" w:type="auto"/>
            <w:tcMar>
              <w:top w:w="150" w:type="dxa"/>
              <w:left w:w="240" w:type="dxa"/>
              <w:bottom w:w="150" w:type="dxa"/>
              <w:right w:w="240" w:type="dxa"/>
            </w:tcMar>
            <w:vAlign w:val="center"/>
            <w:hideMark/>
          </w:tcPr>
          <w:p w14:paraId="38E41438"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8</w:t>
            </w:r>
          </w:p>
        </w:tc>
        <w:tc>
          <w:tcPr>
            <w:tcW w:w="0" w:type="auto"/>
            <w:tcMar>
              <w:top w:w="150" w:type="dxa"/>
              <w:left w:w="240" w:type="dxa"/>
              <w:bottom w:w="150" w:type="dxa"/>
              <w:right w:w="240" w:type="dxa"/>
            </w:tcMar>
            <w:vAlign w:val="center"/>
            <w:hideMark/>
          </w:tcPr>
          <w:p w14:paraId="20E88BDA"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7</w:t>
            </w:r>
          </w:p>
        </w:tc>
        <w:tc>
          <w:tcPr>
            <w:tcW w:w="0" w:type="auto"/>
            <w:tcMar>
              <w:top w:w="150" w:type="dxa"/>
              <w:left w:w="240" w:type="dxa"/>
              <w:bottom w:w="150" w:type="dxa"/>
              <w:right w:w="0" w:type="dxa"/>
            </w:tcMar>
            <w:vAlign w:val="center"/>
            <w:hideMark/>
          </w:tcPr>
          <w:p w14:paraId="1449E61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87.5%</w:t>
            </w:r>
          </w:p>
        </w:tc>
      </w:tr>
      <w:tr w:rsidR="000C0478" w:rsidRPr="000C0478" w14:paraId="47A583C0" w14:textId="77777777" w:rsidTr="00CC3551">
        <w:tc>
          <w:tcPr>
            <w:tcW w:w="895" w:type="dxa"/>
            <w:tcMar>
              <w:top w:w="150" w:type="dxa"/>
              <w:left w:w="0" w:type="dxa"/>
              <w:bottom w:w="150" w:type="dxa"/>
              <w:right w:w="240" w:type="dxa"/>
            </w:tcMar>
            <w:vAlign w:val="center"/>
            <w:hideMark/>
          </w:tcPr>
          <w:p w14:paraId="4A9DE8AD"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2025</w:t>
            </w:r>
          </w:p>
        </w:tc>
        <w:tc>
          <w:tcPr>
            <w:tcW w:w="1047" w:type="dxa"/>
            <w:tcMar>
              <w:top w:w="150" w:type="dxa"/>
              <w:left w:w="240" w:type="dxa"/>
              <w:bottom w:w="150" w:type="dxa"/>
              <w:right w:w="240" w:type="dxa"/>
            </w:tcMar>
            <w:vAlign w:val="center"/>
            <w:hideMark/>
          </w:tcPr>
          <w:p w14:paraId="26F406B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USA</w:t>
            </w:r>
          </w:p>
        </w:tc>
        <w:tc>
          <w:tcPr>
            <w:tcW w:w="0" w:type="auto"/>
            <w:tcMar>
              <w:top w:w="150" w:type="dxa"/>
              <w:left w:w="240" w:type="dxa"/>
              <w:bottom w:w="150" w:type="dxa"/>
              <w:right w:w="240" w:type="dxa"/>
            </w:tcMar>
            <w:vAlign w:val="center"/>
            <w:hideMark/>
          </w:tcPr>
          <w:p w14:paraId="7AB3955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Multiple states</w:t>
            </w:r>
          </w:p>
        </w:tc>
        <w:tc>
          <w:tcPr>
            <w:tcW w:w="0" w:type="auto"/>
            <w:tcMar>
              <w:top w:w="150" w:type="dxa"/>
              <w:left w:w="240" w:type="dxa"/>
              <w:bottom w:w="150" w:type="dxa"/>
              <w:right w:w="240" w:type="dxa"/>
            </w:tcMar>
            <w:vAlign w:val="center"/>
            <w:hideMark/>
          </w:tcPr>
          <w:p w14:paraId="56742CA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240" w:type="dxa"/>
            </w:tcMar>
            <w:vAlign w:val="center"/>
            <w:hideMark/>
          </w:tcPr>
          <w:p w14:paraId="41E1CF9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2</w:t>
            </w:r>
          </w:p>
        </w:tc>
        <w:tc>
          <w:tcPr>
            <w:tcW w:w="0" w:type="auto"/>
            <w:tcMar>
              <w:top w:w="150" w:type="dxa"/>
              <w:left w:w="240" w:type="dxa"/>
              <w:bottom w:w="150" w:type="dxa"/>
              <w:right w:w="0" w:type="dxa"/>
            </w:tcMar>
            <w:vAlign w:val="center"/>
            <w:hideMark/>
          </w:tcPr>
          <w:p w14:paraId="0EE6CF25"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66.7%</w:t>
            </w:r>
          </w:p>
        </w:tc>
      </w:tr>
    </w:tbl>
    <w:p w14:paraId="33BC3744"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i/>
          <w:iCs/>
          <w:sz w:val="22"/>
          <w:szCs w:val="22"/>
        </w:rPr>
        <w:t>Note: Data compiled from referenced sources and public health reports.</w:t>
      </w:r>
    </w:p>
    <w:p w14:paraId="25AC9790" w14:textId="70CD3D23" w:rsidR="00945488" w:rsidRDefault="007F4F1E" w:rsidP="00945488">
      <w:pPr>
        <w:jc w:val="both"/>
        <w:rPr>
          <w:rFonts w:ascii="Times New Roman" w:hAnsi="Times New Roman" w:cs="Times New Roman"/>
          <w:b/>
          <w:bCs/>
          <w:sz w:val="22"/>
          <w:szCs w:val="22"/>
        </w:rPr>
      </w:pPr>
      <w:r w:rsidRPr="007F4F1E">
        <w:rPr>
          <w:rFonts w:ascii="Times New Roman" w:hAnsi="Times New Roman" w:cs="Times New Roman"/>
          <w:sz w:val="22"/>
          <w:szCs w:val="22"/>
        </w:rPr>
        <w:t xml:space="preserve">The epidemiological trends that are currently observed are attributed to several interconnected factors. The most important of these factors is climate change, as it has a direct effect on the temperature of water and the subsequent proliferation of </w:t>
      </w:r>
      <w:r w:rsidRPr="007F4F1E">
        <w:rPr>
          <w:rFonts w:ascii="Times New Roman" w:hAnsi="Times New Roman" w:cs="Times New Roman"/>
          <w:i/>
          <w:iCs/>
          <w:sz w:val="22"/>
          <w:szCs w:val="22"/>
        </w:rPr>
        <w:t>N. fowleri</w:t>
      </w:r>
      <w:r w:rsidRPr="007F4F1E">
        <w:rPr>
          <w:rFonts w:ascii="Times New Roman" w:hAnsi="Times New Roman" w:cs="Times New Roman"/>
          <w:sz w:val="22"/>
          <w:szCs w:val="22"/>
        </w:rPr>
        <w:t xml:space="preserve"> in freshwater during the growing season. Based on experimental investigations, it has been found that if the water temperature is over 30°C, the amoebic growth rate and viability are significantly increased, thereby extending the geographical range and duration of the risk of transmission</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{"citationID":"Ls0Qj94q","properties":{"formattedCitation":"(Steenbeek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CA283C">
        <w:rPr>
          <w:rFonts w:ascii="Times New Roman" w:hAnsi="Times New Roman" w:cs="Times New Roman"/>
          <w:sz w:val="22"/>
          <w:szCs w:val="22"/>
        </w:rPr>
        <w:fldChar w:fldCharType="end"/>
      </w:r>
      <w:r w:rsidRPr="007F4F1E">
        <w:rPr>
          <w:rFonts w:ascii="Times New Roman" w:hAnsi="Times New Roman" w:cs="Times New Roman"/>
          <w:sz w:val="22"/>
          <w:szCs w:val="22"/>
        </w:rPr>
        <w:t xml:space="preserve">. Water management practices play a crucial role in influencing the disease risk; for instance, </w:t>
      </w:r>
      <w:r w:rsidRPr="007F4F1E">
        <w:rPr>
          <w:rFonts w:ascii="Times New Roman" w:hAnsi="Times New Roman" w:cs="Times New Roman"/>
          <w:i/>
          <w:iCs/>
          <w:sz w:val="22"/>
          <w:szCs w:val="22"/>
        </w:rPr>
        <w:t>N. fowleri</w:t>
      </w:r>
      <w:r w:rsidRPr="007F4F1E">
        <w:rPr>
          <w:rFonts w:ascii="Times New Roman" w:hAnsi="Times New Roman" w:cs="Times New Roman"/>
          <w:sz w:val="22"/>
          <w:szCs w:val="22"/>
        </w:rPr>
        <w:t xml:space="preserve"> can easily invade the water supply system if there is an inadequate chlorination residual, cross-connections in the distribution systems, and water stored at room temperature. The situation is worsened for people living in poor areas by socio-economic factors like lack of access to chlorinated water and dependence on untreated groundwater sources that make them more vulnerable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{"citationID":"UEwKS5Ja","properties":{"formattedCitation":"(Gharpure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A283C">
        <w:rPr>
          <w:rFonts w:ascii="Times New Roman" w:hAnsi="Times New Roman" w:cs="Times New Roman"/>
          <w:sz w:val="22"/>
          <w:szCs w:val="22"/>
        </w:rPr>
        <w:fldChar w:fldCharType="end"/>
      </w:r>
      <w:r w:rsidRPr="007F4F1E">
        <w:rPr>
          <w:rFonts w:ascii="Times New Roman" w:hAnsi="Times New Roman" w:cs="Times New Roman"/>
          <w:sz w:val="22"/>
          <w:szCs w:val="22"/>
        </w:rPr>
        <w:t>. Rapid urbanization patterns not only affect the health of the population but also create conditions under which the spread of the disease could occur; this is because urban growth often goes faster than the development of the corresponding water supply infrastructure, resulting in a situation where the densely populated areas are constantly harboring the transmission foci.</w:t>
      </w:r>
    </w:p>
    <w:p w14:paraId="770B9D72" w14:textId="2A6A0538" w:rsidR="000C0478" w:rsidRPr="008A6D89" w:rsidRDefault="008A6D89" w:rsidP="00945488">
      <w:pPr>
        <w:jc w:val="both"/>
        <w:rPr>
          <w:rFonts w:ascii="Times New Roman" w:hAnsi="Times New Roman" w:cs="Times New Roman"/>
          <w:b/>
          <w:bCs/>
          <w:sz w:val="22"/>
          <w:szCs w:val="22"/>
        </w:rPr>
      </w:pPr>
      <w:r>
        <w:rPr>
          <w:rFonts w:ascii="Times New Roman" w:hAnsi="Times New Roman" w:cs="Times New Roman"/>
          <w:b/>
          <w:bCs/>
          <w:noProof/>
          <w:sz w:val="22"/>
          <w:szCs w:val="22"/>
        </w:rPr>
        <w:lastRenderedPageBreak/>
        <mc:AlternateContent>
          <mc:Choice Requires="wps">
            <w:drawing>
              <wp:anchor distT="0" distB="0" distL="114300" distR="114300" simplePos="0" relativeHeight="251659264" behindDoc="0" locked="0" layoutInCell="1" allowOverlap="1" wp14:anchorId="285D1D6F" wp14:editId="70751BAD">
                <wp:simplePos x="0" y="0"/>
                <wp:positionH relativeFrom="column">
                  <wp:posOffset>62230</wp:posOffset>
                </wp:positionH>
                <wp:positionV relativeFrom="paragraph">
                  <wp:posOffset>130175</wp:posOffset>
                </wp:positionV>
                <wp:extent cx="5811520" cy="4142105"/>
                <wp:effectExtent l="0" t="0" r="0" b="0"/>
                <wp:wrapNone/>
                <wp:docPr id="433806834" name="Rectangle 2"/>
                <wp:cNvGraphicFramePr/>
                <a:graphic xmlns:a="http://schemas.openxmlformats.org/drawingml/2006/main">
                  <a:graphicData uri="http://schemas.microsoft.com/office/word/2010/wordprocessingShape">
                    <wps:wsp>
                      <wps:cNvSpPr/>
                      <wps:spPr>
                        <a:xfrm>
                          <a:off x="0" y="0"/>
                          <a:ext cx="5811520" cy="41421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6D5A07" w14:textId="015FD506" w:rsidR="002F40A6" w:rsidRDefault="002F40A6" w:rsidP="002F40A6">
                            <w:pPr>
                              <w:jc w:val="center"/>
                            </w:pPr>
                            <w:r>
                              <w:rPr>
                                <w:noProof/>
                              </w:rPr>
                              <w:drawing>
                                <wp:inline distT="0" distB="0" distL="0" distR="0" wp14:anchorId="2FF86A2D" wp14:editId="3B81993F">
                                  <wp:extent cx="4475019" cy="4037965"/>
                                  <wp:effectExtent l="0" t="0" r="1905" b="635"/>
                                  <wp:docPr id="1941298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827" cy="4050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5D1D6F" id="Rectangle 2" o:spid="_x0000_s1027" style="position:absolute;left:0;text-align:left;margin-left:4.9pt;margin-top:10.25pt;width:457.6pt;height:32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" filled="f" stroked="f" strokeweight="1pt">
                <v:textbox>
                  <w:txbxContent>
                    <w:p w14:paraId="706D5A07" w14:textId="015FD506" w:rsidR="002F40A6" w:rsidRDefault="002F40A6" w:rsidP="002F40A6">
                      <w:pPr>
                        <w:jc w:val="center"/>
                      </w:pPr>
                      <w:r>
                        <w:rPr>
                          <w:noProof/>
                        </w:rPr>
                        <w:drawing>
                          <wp:inline distT="0" distB="0" distL="0" distR="0" wp14:anchorId="2FF86A2D" wp14:editId="3B81993F">
                            <wp:extent cx="4475019" cy="4037965"/>
                            <wp:effectExtent l="0" t="0" r="1905" b="635"/>
                            <wp:docPr id="1941298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827" cy="4050424"/>
                                    </a:xfrm>
                                    <a:prstGeom prst="rect">
                                      <a:avLst/>
                                    </a:prstGeom>
                                    <a:noFill/>
                                    <a:ln>
                                      <a:noFill/>
                                    </a:ln>
                                  </pic:spPr>
                                </pic:pic>
                              </a:graphicData>
                            </a:graphic>
                          </wp:inline>
                        </w:drawing>
                      </w:r>
                    </w:p>
                  </w:txbxContent>
                </v:textbox>
              </v:rect>
            </w:pict>
          </mc:Fallback>
        </mc:AlternateContent>
      </w:r>
      <w:r w:rsidR="000C0478" w:rsidRPr="000C0478">
        <w:rPr>
          <w:rFonts w:ascii="Times New Roman" w:hAnsi="Times New Roman" w:cs="Times New Roman"/>
          <w:b/>
          <w:bCs/>
          <w:sz w:val="22"/>
          <w:szCs w:val="22"/>
        </w:rPr>
        <w:t xml:space="preserve">Figure </w:t>
      </w:r>
      <w:r w:rsidR="007627DD">
        <w:rPr>
          <w:rFonts w:ascii="Times New Roman" w:hAnsi="Times New Roman" w:cs="Times New Roman"/>
          <w:b/>
          <w:bCs/>
          <w:sz w:val="22"/>
          <w:szCs w:val="22"/>
        </w:rPr>
        <w:t>2</w:t>
      </w:r>
      <w:r w:rsidR="000C0478" w:rsidRPr="000C0478">
        <w:rPr>
          <w:rFonts w:ascii="Times New Roman" w:hAnsi="Times New Roman" w:cs="Times New Roman"/>
          <w:b/>
          <w:bCs/>
          <w:sz w:val="22"/>
          <w:szCs w:val="22"/>
        </w:rPr>
        <w:t>: World map highlighting outbreak hotspots and emerging risk zones.</w:t>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p>
    <w:p w14:paraId="46609F08" w14:textId="77777777" w:rsidR="00AE470E" w:rsidRPr="000C0478" w:rsidRDefault="00AE470E" w:rsidP="00945488">
      <w:pPr>
        <w:jc w:val="both"/>
        <w:rPr>
          <w:rFonts w:ascii="Times New Roman" w:hAnsi="Times New Roman" w:cs="Times New Roman"/>
          <w:sz w:val="22"/>
          <w:szCs w:val="22"/>
        </w:rPr>
      </w:pPr>
    </w:p>
    <w:p w14:paraId="4C885711" w14:textId="77777777" w:rsidR="007F4F1E" w:rsidRDefault="007F4F1E" w:rsidP="00945488">
      <w:pPr>
        <w:jc w:val="both"/>
        <w:rPr>
          <w:rFonts w:ascii="Times New Roman" w:hAnsi="Times New Roman" w:cs="Times New Roman"/>
          <w:sz w:val="22"/>
          <w:szCs w:val="22"/>
        </w:rPr>
      </w:pPr>
    </w:p>
    <w:p w14:paraId="62FC5202" w14:textId="77777777" w:rsidR="007F4F1E" w:rsidRDefault="007F4F1E" w:rsidP="00945488">
      <w:pPr>
        <w:jc w:val="both"/>
        <w:rPr>
          <w:rFonts w:ascii="Times New Roman" w:hAnsi="Times New Roman" w:cs="Times New Roman"/>
          <w:sz w:val="22"/>
          <w:szCs w:val="22"/>
        </w:rPr>
      </w:pPr>
    </w:p>
    <w:p w14:paraId="14C2F35B" w14:textId="714EDEFD" w:rsidR="007F4F1E" w:rsidRDefault="007627DD" w:rsidP="00945488">
      <w:pPr>
        <w:jc w:val="both"/>
        <w:rPr>
          <w:rFonts w:ascii="Times New Roman" w:hAnsi="Times New Roman" w:cs="Times New Roman"/>
          <w:sz w:val="22"/>
          <w:szCs w:val="22"/>
        </w:rPr>
      </w:pPr>
      <w:r w:rsidRPr="00DD00B4">
        <w:rPr>
          <w:rFonts w:ascii="Times New Roman" w:hAnsi="Times New Roman" w:cs="Times New Roman"/>
          <w:i/>
          <w:iCs/>
          <w:sz w:val="22"/>
          <w:szCs w:val="22"/>
        </w:rPr>
        <w:t>World map highlighting confirmed outbreak hotspots (red) in southern United States, Pakistan, and northern India based on WHO and CDC surveillance data. Emerging risk zones (orange) indicate regions with recent case reports in Southeast Asia. Climate-based predictive modeling shows potential future risk areas (yellow shading) where rising water temperatures may create suitable habitats for Naegleria fowleri proliferation.</w:t>
      </w:r>
    </w:p>
    <w:p w14:paraId="4669A672" w14:textId="379391CC" w:rsidR="007F4F1E" w:rsidRDefault="007F4F1E" w:rsidP="00945488">
      <w:pPr>
        <w:jc w:val="both"/>
        <w:rPr>
          <w:rFonts w:ascii="Times New Roman" w:hAnsi="Times New Roman" w:cs="Times New Roman"/>
          <w:sz w:val="22"/>
          <w:szCs w:val="22"/>
        </w:rPr>
      </w:pPr>
      <w:r w:rsidRPr="007F4F1E">
        <w:rPr>
          <w:rFonts w:ascii="Times New Roman" w:hAnsi="Times New Roman" w:cs="Times New Roman"/>
          <w:sz w:val="22"/>
          <w:szCs w:val="22"/>
        </w:rPr>
        <w:t>The changing patterns of PAM from 2020 to 2025 are a clear indication of the complex interrelationship between environmental transformations, human activities, and health services. New geographical locations characterized by high incidence rates, especially in South Asia, call for not only the customary surveillance but also proper and specific preventive measures that take into consideration the local practices of water usage. The pattern of the disease distribution that is changing, meanwhile, brings to the attention the necessity for the global health institutions to admit that PAM is a climate-sensitive emerging disease, causing the need for collaboration of the international surveillance and response efforts.</w:t>
      </w:r>
      <w:r w:rsidR="007627DD">
        <w:rPr>
          <w:rFonts w:ascii="Times New Roman" w:hAnsi="Times New Roman" w:cs="Times New Roman"/>
          <w:sz w:val="22"/>
          <w:szCs w:val="22"/>
        </w:rPr>
        <w:t xml:space="preserve"> </w:t>
      </w:r>
    </w:p>
    <w:p w14:paraId="51105532" w14:textId="77777777" w:rsidR="007627DD" w:rsidRDefault="007627DD" w:rsidP="00F10383">
      <w:pPr>
        <w:jc w:val="both"/>
        <w:rPr>
          <w:rFonts w:ascii="Times New Roman" w:hAnsi="Times New Roman" w:cs="Times New Roman"/>
          <w:b/>
          <w:bCs/>
          <w:sz w:val="26"/>
          <w:szCs w:val="26"/>
        </w:rPr>
      </w:pPr>
    </w:p>
    <w:p w14:paraId="0BF1F731" w14:textId="33F4CAAE" w:rsidR="00F10383" w:rsidRPr="00AD5FD4" w:rsidRDefault="00AD5FD4" w:rsidP="00F10383">
      <w:pPr>
        <w:jc w:val="both"/>
        <w:rPr>
          <w:rFonts w:ascii="Times New Roman" w:hAnsi="Times New Roman" w:cs="Times New Roman"/>
          <w:b/>
          <w:bCs/>
          <w:sz w:val="26"/>
          <w:szCs w:val="26"/>
        </w:rPr>
      </w:pPr>
      <w:r w:rsidRPr="00AD5FD4">
        <w:rPr>
          <w:rFonts w:ascii="Times New Roman" w:hAnsi="Times New Roman" w:cs="Times New Roman"/>
          <w:b/>
          <w:bCs/>
          <w:sz w:val="26"/>
          <w:szCs w:val="26"/>
        </w:rPr>
        <w:t>4</w:t>
      </w:r>
      <w:r w:rsidR="00F10383" w:rsidRPr="00AD5FD4">
        <w:rPr>
          <w:rFonts w:ascii="Times New Roman" w:hAnsi="Times New Roman" w:cs="Times New Roman"/>
          <w:b/>
          <w:bCs/>
          <w:sz w:val="26"/>
          <w:szCs w:val="26"/>
        </w:rPr>
        <w:t>. Morphology &amp; Life Cycle</w:t>
      </w:r>
    </w:p>
    <w:p w14:paraId="7ECB7977" w14:textId="77777777"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i/>
          <w:iCs/>
          <w:sz w:val="22"/>
          <w:szCs w:val="22"/>
        </w:rPr>
        <w:lastRenderedPageBreak/>
        <w:t>Naegleria fowleri</w:t>
      </w:r>
      <w:r w:rsidRPr="00975BED">
        <w:rPr>
          <w:rFonts w:ascii="Times New Roman" w:hAnsi="Times New Roman" w:cs="Times New Roman"/>
          <w:sz w:val="22"/>
          <w:szCs w:val="22"/>
        </w:rPr>
        <w:t xml:space="preserve"> is known to have three different forms in its life cycle, with each of them having distinct biological traits and functions. The understanding of the forms is very important for the study of PAM's epidemiology and pathogenesis issues.</w:t>
      </w:r>
    </w:p>
    <w:p w14:paraId="5EFFC137" w14:textId="33087387"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The trophozoite is the form that is most invasive, feeding, and capable of replicating. It is a spherical amoeba of 10-25 </w:t>
      </w:r>
      <w:proofErr w:type="spellStart"/>
      <w:r w:rsidRPr="00975BED">
        <w:rPr>
          <w:rFonts w:ascii="Times New Roman" w:hAnsi="Times New Roman" w:cs="Times New Roman"/>
          <w:sz w:val="22"/>
          <w:szCs w:val="22"/>
        </w:rPr>
        <w:t>μm</w:t>
      </w:r>
      <w:proofErr w:type="spellEnd"/>
      <w:r w:rsidRPr="00975BED">
        <w:rPr>
          <w:rFonts w:ascii="Times New Roman" w:hAnsi="Times New Roman" w:cs="Times New Roman"/>
          <w:sz w:val="22"/>
          <w:szCs w:val="22"/>
        </w:rPr>
        <w:t xml:space="preserve"> size, and it is characterized by having a granular cytoplasm with many mitochondria, food vacuoles, and a typical contractile vacuole </w:t>
      </w: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{"citationID":"jI6LSyw9","properties":{"formattedCitation":"(Cervantes-Sandoval et al., 2008)","plainCitation":"(Cervantes-Sandoval et al., 2008)","noteIndex":0},"citationItems":[{"id":596,"uris":["http://zotero.org/users/18073969/items/QQ9DE724"],"itemData":{"id":596,"type":"article-journal","container-title":"Parasitology International","DOI":"10.1016/j.parint.2008.01.006","ISSN":"13835769","issue":"3","journalAbbreviation":"Parasitology International","language":"en","license":"https://www.elsevier.com/tdm/userlicense/1.0/","page":"307-313","source":"DOI.org (Crossref)","title":"Characterization of brain inflammation during primary amoebic meningoencephalitis","volume":"57","author":[{"family":"Cervantes-Sandoval","given":"Isaac"},{"family":"Serrano-Luna","given":"José De Jesús"},{"family":"García-Latorre","given":"Ethel"},{"family":"Tsutsumi","given":"Víctor"},{"family":"Shibayama","given":"Mineko"}],"issued":{"date-parts":[["2008",9]]}}}],"schema":"https://github.com/citation-style-language/schema/raw/master/csl-citation.json"}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(Cervantes-Sandoval et al., 2008)</w:t>
      </w:r>
      <w:r>
        <w:rPr>
          <w:rFonts w:ascii="Times New Roman" w:hAnsi="Times New Roman" w:cs="Times New Roman"/>
          <w:sz w:val="22"/>
          <w:szCs w:val="22"/>
        </w:rPr>
        <w:fldChar w:fldCharType="end"/>
      </w:r>
      <w:r w:rsidRPr="00975BED">
        <w:rPr>
          <w:rFonts w:ascii="Times New Roman" w:hAnsi="Times New Roman" w:cs="Times New Roman"/>
          <w:sz w:val="22"/>
          <w:szCs w:val="22"/>
        </w:rPr>
        <w:t xml:space="preserve">. The trophozoite moves by means of </w:t>
      </w:r>
      <w:proofErr w:type="spellStart"/>
      <w:r w:rsidRPr="00975BED">
        <w:rPr>
          <w:rFonts w:ascii="Times New Roman" w:hAnsi="Times New Roman" w:cs="Times New Roman"/>
          <w:sz w:val="22"/>
          <w:szCs w:val="22"/>
        </w:rPr>
        <w:t>lobopodia</w:t>
      </w:r>
      <w:proofErr w:type="spellEnd"/>
      <w:r w:rsidRPr="00975BED">
        <w:rPr>
          <w:rFonts w:ascii="Times New Roman" w:hAnsi="Times New Roman" w:cs="Times New Roman"/>
          <w:sz w:val="22"/>
          <w:szCs w:val="22"/>
        </w:rPr>
        <w:t xml:space="preserve">, which are like fingers, and this kind of movement allows it to be very fast in getting around through water and even soft tissues. This form of the organism is, however, actively feeding on bacteria and organic matter in the environment, while in the host tissues, it is phagocytosing red blood cells and neurological cells. It is a very crucial point that the trophozoite is the only form found in human tissues, and it is the one that causes pernicious neuropathology that is characteristic of PAM. Multiply reproduction takes place through simple binary fission, making it possible for a rapid increase in numbers in places with favorable environmental conditions </w:t>
      </w: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{"citationID":"lvjtTshf","properties":{"formattedCitation":"(Marciano-Cabral &amp; Cabral, 2007)","plainCitation":"(Marciano-Cabral &amp; Cabral, 2007)","noteIndex":0},"citationItems":[{"id":642,"uris":["http://zotero.org/users/18073969/items/QC2RTQ93"],"itemData":{"id":642,"type":"article-journal","container-title":"FEMS Immunology &amp; Medical Microbiology","DOI":"10.1111/j.1574-695X.2007.00332.x","ISSN":"09288244, 1574695X","issue":"2","language":"en","page":"243-259","source":"DOI.org (Crossref)","title":"The immune response to &lt;i&gt;Naegleria fowleri&lt;/i&gt; amebae and pathogenesis of infection","volume":"51","author":[{"family":"Marciano-Cabral","given":"Francine"},{"family":"Cabral","given":"Guy A."}],"issued":{"date-parts":[["2007",11]]}}}],"schema":"https://github.com/citation-style-language/schema/raw/master/csl-citation.json"}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(Marciano-Cabral &amp; Cabral, 2007)</w:t>
      </w:r>
      <w:r>
        <w:rPr>
          <w:rFonts w:ascii="Times New Roman" w:hAnsi="Times New Roman" w:cs="Times New Roman"/>
          <w:sz w:val="22"/>
          <w:szCs w:val="22"/>
        </w:rPr>
        <w:fldChar w:fldCharType="end"/>
      </w:r>
      <w:r w:rsidRPr="00975BED">
        <w:rPr>
          <w:rFonts w:ascii="Times New Roman" w:hAnsi="Times New Roman" w:cs="Times New Roman"/>
          <w:sz w:val="22"/>
          <w:szCs w:val="22"/>
        </w:rPr>
        <w:t>.</w:t>
      </w:r>
    </w:p>
    <w:p w14:paraId="14A445E8" w14:textId="6762D647"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The trophozoite, under adverse circumstances, like a shortage of nutrients, drying up, or very high or very low temperatures, will change into a dormant cyst form through the differentiation process. The cyst that has finished maturing is round, and its diameter is between 7 to 15 microns. It is also distinguished by a smooth wall made of two layers, which provides an exceptional resistance to the environmental challenges </w:t>
      </w: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{"citationID":"9VNjG9Nc","properties":{"formattedCitation":"(Seed et al., 1985)","plainCitation":"(Seed et al., 1985)","noteIndex":0},"citationItems":[{"id":643,"uris":["http://zotero.org/users/18073969/items/Y8RFJFMB"],"itemData":{"id":643,"type":"article-journal","abstract":"ABSTRACT\n            \n              Crithidia fasciculata\n              and\n              Phytomonas davidi\n              catabolize tryptophan (TRP) to indole‐3‐ethanol, which was identified by both thin layer and gas chromatography. The catabolic pathway involved in this metabolic conversion is suggested to be similar to that proposed for other members of the family Trypanosomatidae. Although this catabolism occurs at both 25° and 37°C, the catabolic rate is greater at 37°C, a non‐permissive growth temperature. Conditions that inhibit protein synthesis would appear to favor the catabolism of tryptophan to indole‐3‐ethanol. The possible importance of this catabolic pathway to these organisms is discussed.","container-title":"The Journal of Protozoology","DOI":"10.1111/j.1550-7408.1985.tb03007.x","ISSN":"0022-3921","issue":"1","journalAbbreviation":"The Journal of Protozoology","language":"en","license":"http://onlinelibrary.wiley.com/termsAndConditions#vor","page":"20-25","source":"DOI.org (Crossref)","title":"The Catabolism of Tryptophan to Indole‐3‐Ethanol by &lt;i&gt;Crithidia fasciculata&lt;/i&gt; and &lt;i&gt;Phytomonas davidi&lt;/i&gt;&lt;sup&gt;1&lt;/sup&gt;","volume":"32","author":[{"family":"Seed","given":"John R."},{"family":"Hall","given":"James Edwin"},{"family":"Sechelski","given":"John"}],"issued":{"date-parts":[["1985",2]]}}}],"schema":"https://github.com/citation-style-language/schema/raw/master/csl-citation.json"}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(Seed et al., 1985)</w:t>
      </w:r>
      <w:r>
        <w:rPr>
          <w:rFonts w:ascii="Times New Roman" w:hAnsi="Times New Roman" w:cs="Times New Roman"/>
          <w:sz w:val="22"/>
          <w:szCs w:val="22"/>
        </w:rPr>
        <w:fldChar w:fldCharType="end"/>
      </w:r>
      <w:r w:rsidRPr="00975BED">
        <w:rPr>
          <w:rFonts w:ascii="Times New Roman" w:hAnsi="Times New Roman" w:cs="Times New Roman"/>
          <w:sz w:val="22"/>
          <w:szCs w:val="22"/>
        </w:rPr>
        <w:t xml:space="preserve">. The two layers, which are the inner </w:t>
      </w:r>
      <w:proofErr w:type="spellStart"/>
      <w:r w:rsidRPr="00975BED">
        <w:rPr>
          <w:rFonts w:ascii="Times New Roman" w:hAnsi="Times New Roman" w:cs="Times New Roman"/>
          <w:sz w:val="22"/>
          <w:szCs w:val="22"/>
        </w:rPr>
        <w:t>endocyst</w:t>
      </w:r>
      <w:proofErr w:type="spellEnd"/>
      <w:r w:rsidRPr="00975BED">
        <w:rPr>
          <w:rFonts w:ascii="Times New Roman" w:hAnsi="Times New Roman" w:cs="Times New Roman"/>
          <w:sz w:val="22"/>
          <w:szCs w:val="22"/>
        </w:rPr>
        <w:t xml:space="preserve"> and the outer </w:t>
      </w:r>
      <w:proofErr w:type="spellStart"/>
      <w:r w:rsidRPr="00975BED">
        <w:rPr>
          <w:rFonts w:ascii="Times New Roman" w:hAnsi="Times New Roman" w:cs="Times New Roman"/>
          <w:sz w:val="22"/>
          <w:szCs w:val="22"/>
        </w:rPr>
        <w:t>ectocyst</w:t>
      </w:r>
      <w:proofErr w:type="spellEnd"/>
      <w:r w:rsidRPr="00975BED">
        <w:rPr>
          <w:rFonts w:ascii="Times New Roman" w:hAnsi="Times New Roman" w:cs="Times New Roman"/>
          <w:sz w:val="22"/>
          <w:szCs w:val="22"/>
        </w:rPr>
        <w:t xml:space="preserve">, consist mostly of cellulose and chitin, and therefore, to a large extent, they are resistant to chemical disinfection, thermal changes, and other environmental stresses. Cysts, when buried in sediment or soil, can survive for quite a while; hence, they are considered environmental reservoirs. When conditions turn favorable again, the </w:t>
      </w:r>
      <w:proofErr w:type="spellStart"/>
      <w:r w:rsidRPr="00975BED">
        <w:rPr>
          <w:rFonts w:ascii="Times New Roman" w:hAnsi="Times New Roman" w:cs="Times New Roman"/>
          <w:sz w:val="22"/>
          <w:szCs w:val="22"/>
        </w:rPr>
        <w:t>excystment</w:t>
      </w:r>
      <w:proofErr w:type="spellEnd"/>
      <w:r w:rsidRPr="00975BED">
        <w:rPr>
          <w:rFonts w:ascii="Times New Roman" w:hAnsi="Times New Roman" w:cs="Times New Roman"/>
          <w:sz w:val="22"/>
          <w:szCs w:val="22"/>
        </w:rPr>
        <w:t xml:space="preserve"> is done by a pore in the cyst wall, letting a trophozoite out to take over active feeding and replication again.</w:t>
      </w:r>
    </w:p>
    <w:p w14:paraId="57B3C202" w14:textId="7AD3189E"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A very considerable attribute of the genus </w:t>
      </w:r>
      <w:r w:rsidRPr="00975BED">
        <w:rPr>
          <w:rFonts w:ascii="Times New Roman" w:hAnsi="Times New Roman" w:cs="Times New Roman"/>
          <w:i/>
          <w:iCs/>
          <w:sz w:val="22"/>
          <w:szCs w:val="22"/>
        </w:rPr>
        <w:t>Naegleria</w:t>
      </w:r>
      <w:r w:rsidRPr="00975BED">
        <w:rPr>
          <w:rFonts w:ascii="Times New Roman" w:hAnsi="Times New Roman" w:cs="Times New Roman"/>
          <w:sz w:val="22"/>
          <w:szCs w:val="22"/>
        </w:rPr>
        <w:t xml:space="preserve"> is its ability to temporarily alter its form into a flagellate type that is capable of swimming freely. Bacterial flagellum assembly and disassembly processes have been explained due to the latest molecular studies that were able to identify the exact genes and signaling pathways involved </w:t>
      </w:r>
      <w:r w:rsidR="00133201">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{"citationID":"4VBD865x","properties":{"formattedCitation":"(Sun et al., 2022)","plainCitation":"(Sun et al., 2022)","noteIndex":0},"citationItems":[{"id":644,"uris":["http://zotero.org/users/18073969/items/VY5VI7BA"],"itemData":{"id":644,"type":"article-journal","container-title":"Molecular and Biochemical Parasitology","DOI":"10.1016/j.molbiopara.2022.111527","ISSN":"01666851","journalAbbreviation":"Molecular and Biochemical Parasitology","language":"en","page":"111527","source":"DOI.org (Crossref)","title":"Construction of constitutive expression of Eimeria tenella eukaryotic initiation factor U6L5H2 on the surface of Lactobacillus plantarum and evaluation of its immunoprotective efficiency against chicken coccidiosis","volume":"252","author":[{"family":"Sun","given":"Lingyu"},{"family":"Lu","given":"Yaru"},{"family":"Zhao","given":"Ningning"},{"family":"Wang","given":"Yakun"},{"family":"Wang","given":"Bingxiang"},{"family":"Li","given":"Huihui"},{"family":"Wu","given":"Zhiyuan"},{"family":"Li","given":"Hongmei"},{"family":"Zhang","given":"Xiao"},{"family":"Zhao","given":"Xiaomin"}],"issued":{"date-parts":[["2022",11]]}}}],"schema":"https://github.com/citation-style-language/schema/raw/master/csl-citation.json"} </w:instrText>
      </w:r>
      <w:r w:rsidR="00133201">
        <w:rPr>
          <w:rFonts w:ascii="Times New Roman" w:hAnsi="Times New Roman" w:cs="Times New Roman"/>
          <w:sz w:val="22"/>
          <w:szCs w:val="22"/>
        </w:rPr>
        <w:fldChar w:fldCharType="separate"/>
      </w:r>
      <w:r w:rsidR="00652010" w:rsidRPr="00652010">
        <w:rPr>
          <w:rFonts w:ascii="Times New Roman" w:hAnsi="Times New Roman" w:cs="Times New Roman"/>
          <w:sz w:val="22"/>
        </w:rPr>
        <w:t>(Sun et al., 2022)</w:t>
      </w:r>
      <w:r w:rsidR="00133201">
        <w:rPr>
          <w:rFonts w:ascii="Times New Roman" w:hAnsi="Times New Roman" w:cs="Times New Roman"/>
          <w:sz w:val="22"/>
          <w:szCs w:val="22"/>
        </w:rPr>
        <w:fldChar w:fldCharType="end"/>
      </w:r>
      <w:r w:rsidR="00133201">
        <w:rPr>
          <w:rFonts w:ascii="Times New Roman" w:hAnsi="Times New Roman" w:cs="Times New Roman"/>
          <w:sz w:val="22"/>
          <w:szCs w:val="22"/>
        </w:rPr>
        <w:t xml:space="preserve">. </w:t>
      </w:r>
      <w:r w:rsidRPr="00975BED">
        <w:rPr>
          <w:rFonts w:ascii="Times New Roman" w:hAnsi="Times New Roman" w:cs="Times New Roman"/>
          <w:sz w:val="22"/>
          <w:szCs w:val="22"/>
        </w:rPr>
        <w:t xml:space="preserve">This conversion is most often initiated by sudden shifts in the water's ionic make-up, like in the case of the movement of organisms, where the dislocation of trophozoites is the transfer from soil to fresh water. The amoeboid trophozoite takes a few hours to turn into a flat flagellate equipped with two flagella on its front side. This is a non-feeding and non-replicating life stage believed to be of dispersal through water systems. The flagellate stage is short-lived, typically transforming back into the trophozoite form within 24-48 hours, and is not associated with human infection. </w:t>
      </w:r>
    </w:p>
    <w:p w14:paraId="0BAAF8C4" w14:textId="4B357094" w:rsidR="00975BED" w:rsidRDefault="00975BED" w:rsidP="00F10383">
      <w:pPr>
        <w:jc w:val="both"/>
        <w:rPr>
          <w:rFonts w:ascii="Times New Roman" w:hAnsi="Times New Roman" w:cs="Times New Roman"/>
          <w:sz w:val="22"/>
          <w:szCs w:val="22"/>
        </w:rPr>
      </w:pPr>
      <w:r w:rsidRPr="00975BED">
        <w:rPr>
          <w:rFonts w:ascii="Times New Roman" w:hAnsi="Times New Roman" w:cs="Times New Roman"/>
          <w:sz w:val="22"/>
          <w:szCs w:val="22"/>
        </w:rPr>
        <w:t xml:space="preserve">The cycle of life of </w:t>
      </w:r>
      <w:r w:rsidRPr="00975BED">
        <w:rPr>
          <w:rFonts w:ascii="Times New Roman" w:hAnsi="Times New Roman" w:cs="Times New Roman"/>
          <w:i/>
          <w:iCs/>
          <w:sz w:val="22"/>
          <w:szCs w:val="22"/>
        </w:rPr>
        <w:t>N. fowleri</w:t>
      </w:r>
      <w:r w:rsidRPr="00975BED">
        <w:rPr>
          <w:rFonts w:ascii="Times New Roman" w:hAnsi="Times New Roman" w:cs="Times New Roman"/>
          <w:sz w:val="22"/>
          <w:szCs w:val="22"/>
        </w:rPr>
        <w:t xml:space="preserve"> and its impact on human infection rotate through a known sequence. The organism is mainly found in nature as the two forms of life, namely trophozoites and cysts, in warm freshwater bodies, sediments, and soil. The dormant cysts turn into active trophozoites when the environment becomes favorable; thus, the environmental populations are kept. The infection in humans always occurs when the water activities make the trophozoite form, which is present in polluted water, enter the nasal passages. After being in the nose, the trophozoites cling to the olfactory epithelium by means of food-cup structures and surface receptors and then advance through the cribriform plate along the olfactory nerve filaments to the brain </w:t>
      </w:r>
      <w:r w:rsidR="00133201">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{"citationID":"x8CqITag","properties":{"formattedCitation":"(Martinez &amp; Visvesvara, 1997)","plainCitation":"(Martinez &amp; Visvesvara, 1997)","noteIndex":0},"citationItems":[{"id":645,"uris":["http://zotero.org/users/18073969/items/A7F5PQBX"],"itemData":{"id":645,"type":"article-journal","abstract":"Amebas belonging to the genera\n              Naegleria, Acanthamoeba\n              and\n              Balamuthia\n              are free‐living, amphizoic and opportunistic protozoa that are ubiquitous in nature. These amebas are found in soil, water and air samples from all over the world. Human infection due to these amebas involving brain, skin, lung and eyes has increased significantly during the last 10 years. The epidemiology, immunology, protozoology, pathology, and clinical features of the infections produced by these protozoa differ strikingly.\n            \n            \n              Infection by the pathogenic\n              Naegleria fowleri\n              is acquired by exposure to polluted water in ponds, swimming pools and man‐made lakes. Raised temperatures during the hot summer months or warm water from power plants facilitate the growth of\n              N. fowleri. N. fowleri\n              is a thermophilic ameba that grows well in tropical and subtropical climates. The CNS infection, called Primary Amebic Meningoencephalitis (PAM), produced by\n              N. fowleri\n              is characterized by an acute fulminant meningoencephalitis leading to death 3–7 days after exposure. Victims are healthy, young individuals with a history of recent water‐related sport activities. The portal of entry is the olfactory neuroepithelium. The pathologic changes are an acute hemorrhagic necrotizing meningoencephalitis with modest purulent exudate, mainly at the base of the brain, brainstem and cerebellum. Trophozoites can be seen within the CNS lesions located mainly around blood vessels. Thus far 179 cases have been reported; 81 in the USA alone.\n            \n            \n              Balamuthia mandrillaris\n              and several species of\n              Acanthamoeba\n              are pathogenic “opportunistic” free‐living amebas which cause Granulomatous Amebic Encephalitis (GAE) in humans and animals. GAE is an infection, usually seen in debilitated, malnourished individuals, in patients undergoing immunosuppressive therapy for organ transplants and in Acquired Immunodeficiency Syndrome (AIDS). The granulomatous component is negligible, particularly in immunocompromised individuals. Pathologically these amebas produce a patchy, chronic or subacute granulomatous encephalitis with the presence of trophozoites and cysts. The portal of entry is probably through the respiratory tract or an ulceration of the skin reaching the CNS by hematogenous spread. As of October 1, 1996, 166 cases 1103 due to\n              Acanthamoeba\n              and 63 due to Balamothial of GAE have been reported from around the world. Of these 103 cases due to\n              Acanthamoeba\n              (72 have been reported in the USA alone, &gt; 50 in AIDS). It is well known that several species of\n              Acanthamoeba\n              can also produce, chronic sight threatening ulceration of the cornea called\n              Acanthamoeba\n              keratitis (AK), mostly in contact lens wearers or in individuals with minor corneal abrasions. Hundreds of cases of AK have been documented world wide.","container-title":"Brain Pathology","DOI":"10.1111/j.1750-3639.1997.tb01076.x","ISSN":"1015-6305, 1750-3639","issue":"1","journalAbbreviation":"Brain Pathology","language":"en","license":"http://onlinelibrary.wiley.com/termsAndConditions#vor","page":"583-598","source":"DOI.org (Crossref)","title":"Free‐living, Amphizoic and Opportunistic Amebas","volume":"7","author":[{"family":"Martinez","given":"Augusto Julio"},{"family":"Visvesvara","given":"Govinda S."}],"issued":{"date-parts":[["1997",1]]}}}],"schema":"https://github.com/citation-style-language/schema/raw/master/csl-citation.json"} </w:instrText>
      </w:r>
      <w:r w:rsidR="00133201">
        <w:rPr>
          <w:rFonts w:ascii="Times New Roman" w:hAnsi="Times New Roman" w:cs="Times New Roman"/>
          <w:sz w:val="22"/>
          <w:szCs w:val="22"/>
        </w:rPr>
        <w:fldChar w:fldCharType="separate"/>
      </w:r>
      <w:r w:rsidR="00652010" w:rsidRPr="00652010">
        <w:rPr>
          <w:rFonts w:ascii="Times New Roman" w:hAnsi="Times New Roman" w:cs="Times New Roman"/>
          <w:sz w:val="22"/>
        </w:rPr>
        <w:t>(Martinez &amp; Visvesvara, 1997)</w:t>
      </w:r>
      <w:r w:rsidR="00133201">
        <w:rPr>
          <w:rFonts w:ascii="Times New Roman" w:hAnsi="Times New Roman" w:cs="Times New Roman"/>
          <w:sz w:val="22"/>
          <w:szCs w:val="22"/>
        </w:rPr>
        <w:fldChar w:fldCharType="end"/>
      </w:r>
      <w:r w:rsidRPr="00975BED">
        <w:rPr>
          <w:rFonts w:ascii="Times New Roman" w:hAnsi="Times New Roman" w:cs="Times New Roman"/>
          <w:sz w:val="22"/>
          <w:szCs w:val="22"/>
        </w:rPr>
        <w:t>. It is vital to note that infection can never happen by simply drinking contaminated water, and no case of one person infecting another has been documented.</w:t>
      </w:r>
    </w:p>
    <w:p w14:paraId="22A2FF59" w14:textId="1440221E" w:rsidR="00F10383" w:rsidRDefault="00F86882" w:rsidP="00F10383">
      <w:pPr>
        <w:jc w:val="both"/>
        <w:rPr>
          <w:rFonts w:ascii="Times New Roman" w:hAnsi="Times New Roman" w:cs="Times New Roman"/>
          <w:i/>
          <w:iCs/>
          <w:sz w:val="22"/>
          <w:szCs w:val="22"/>
        </w:rPr>
      </w:pPr>
      <w:r>
        <w:rPr>
          <w:rFonts w:ascii="Times New Roman" w:hAnsi="Times New Roman" w:cs="Times New Roman"/>
          <w:b/>
          <w:bCs/>
          <w:noProof/>
          <w:sz w:val="22"/>
          <w:szCs w:val="22"/>
        </w:rPr>
        <w:lastRenderedPageBreak/>
        <mc:AlternateContent>
          <mc:Choice Requires="wps">
            <w:drawing>
              <wp:anchor distT="0" distB="0" distL="114300" distR="114300" simplePos="0" relativeHeight="251660288" behindDoc="0" locked="0" layoutInCell="1" allowOverlap="1" wp14:anchorId="642B6BDC" wp14:editId="58AF449D">
                <wp:simplePos x="0" y="0"/>
                <wp:positionH relativeFrom="column">
                  <wp:posOffset>48491</wp:posOffset>
                </wp:positionH>
                <wp:positionV relativeFrom="paragraph">
                  <wp:posOffset>239741</wp:posOffset>
                </wp:positionV>
                <wp:extent cx="5902036" cy="4017819"/>
                <wp:effectExtent l="0" t="0" r="0" b="1905"/>
                <wp:wrapNone/>
                <wp:docPr id="772453043" name="Rectangle 4"/>
                <wp:cNvGraphicFramePr/>
                <a:graphic xmlns:a="http://schemas.openxmlformats.org/drawingml/2006/main">
                  <a:graphicData uri="http://schemas.microsoft.com/office/word/2010/wordprocessingShape">
                    <wps:wsp>
                      <wps:cNvSpPr/>
                      <wps:spPr>
                        <a:xfrm>
                          <a:off x="0" y="0"/>
                          <a:ext cx="5902036" cy="401781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BCD11F" w14:textId="23703C63" w:rsidR="00F86882" w:rsidRDefault="00F86882" w:rsidP="00F86882">
                            <w:pPr>
                              <w:jc w:val="center"/>
                            </w:pPr>
                            <w:r>
                              <w:rPr>
                                <w:noProof/>
                              </w:rPr>
                              <w:drawing>
                                <wp:inline distT="0" distB="0" distL="0" distR="0" wp14:anchorId="25638D41" wp14:editId="61032757">
                                  <wp:extent cx="4003560" cy="4003560"/>
                                  <wp:effectExtent l="0" t="0" r="0" b="0"/>
                                  <wp:docPr id="419006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896" cy="400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2B6BDC" id="_x0000_s1028" style="position:absolute;left:0;text-align:left;margin-left:3.8pt;margin-top:18.9pt;width:464.75pt;height:31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RYdwIAAEk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" filled="f" stroked="f" strokeweight="1pt">
                <v:textbox>
                  <w:txbxContent>
                    <w:p w14:paraId="1ABCD11F" w14:textId="23703C63" w:rsidR="00F86882" w:rsidRDefault="00F86882" w:rsidP="00F86882">
                      <w:pPr>
                        <w:jc w:val="center"/>
                      </w:pPr>
                      <w:r>
                        <w:rPr>
                          <w:noProof/>
                        </w:rPr>
                        <w:drawing>
                          <wp:inline distT="0" distB="0" distL="0" distR="0" wp14:anchorId="25638D41" wp14:editId="61032757">
                            <wp:extent cx="4003560" cy="4003560"/>
                            <wp:effectExtent l="0" t="0" r="0" b="0"/>
                            <wp:docPr id="419006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7896" cy="4007896"/>
                                    </a:xfrm>
                                    <a:prstGeom prst="rect">
                                      <a:avLst/>
                                    </a:prstGeom>
                                    <a:noFill/>
                                    <a:ln>
                                      <a:noFill/>
                                    </a:ln>
                                  </pic:spPr>
                                </pic:pic>
                              </a:graphicData>
                            </a:graphic>
                          </wp:inline>
                        </w:drawing>
                      </w:r>
                    </w:p>
                  </w:txbxContent>
                </v:textbox>
              </v:rect>
            </w:pict>
          </mc:Fallback>
        </mc:AlternateContent>
      </w:r>
      <w:r w:rsidR="00F10383" w:rsidRPr="00F10383">
        <w:rPr>
          <w:rFonts w:ascii="Times New Roman" w:hAnsi="Times New Roman" w:cs="Times New Roman"/>
          <w:b/>
          <w:bCs/>
          <w:sz w:val="22"/>
          <w:szCs w:val="22"/>
        </w:rPr>
        <w:t xml:space="preserve">Figure </w:t>
      </w:r>
      <w:r w:rsidR="007627DD">
        <w:rPr>
          <w:rFonts w:ascii="Times New Roman" w:hAnsi="Times New Roman" w:cs="Times New Roman"/>
          <w:b/>
          <w:bCs/>
          <w:sz w:val="22"/>
          <w:szCs w:val="22"/>
        </w:rPr>
        <w:t>3</w:t>
      </w:r>
      <w:r w:rsidR="00F10383" w:rsidRPr="00F10383">
        <w:rPr>
          <w:rFonts w:ascii="Times New Roman" w:hAnsi="Times New Roman" w:cs="Times New Roman"/>
          <w:b/>
          <w:bCs/>
          <w:sz w:val="22"/>
          <w:szCs w:val="22"/>
        </w:rPr>
        <w:t xml:space="preserve">: Life Cycle of </w:t>
      </w:r>
      <w:r w:rsidR="00F10383" w:rsidRPr="00E20A2B">
        <w:rPr>
          <w:rFonts w:ascii="Times New Roman" w:hAnsi="Times New Roman" w:cs="Times New Roman"/>
          <w:b/>
          <w:bCs/>
          <w:i/>
          <w:iCs/>
          <w:sz w:val="22"/>
          <w:szCs w:val="22"/>
        </w:rPr>
        <w:t>Naegleria fowleri</w:t>
      </w:r>
      <w:r w:rsidR="00F10383" w:rsidRPr="00F10383">
        <w:rPr>
          <w:rFonts w:ascii="Times New Roman" w:hAnsi="Times New Roman" w:cs="Times New Roman"/>
          <w:sz w:val="22"/>
          <w:szCs w:val="22"/>
        </w:rPr>
        <w:br/>
      </w:r>
    </w:p>
    <w:p w14:paraId="19FE13F1" w14:textId="77777777" w:rsidR="00B82D45" w:rsidRDefault="00B82D45" w:rsidP="00F10383">
      <w:pPr>
        <w:jc w:val="both"/>
        <w:rPr>
          <w:rFonts w:ascii="Times New Roman" w:hAnsi="Times New Roman" w:cs="Times New Roman"/>
          <w:i/>
          <w:iCs/>
          <w:sz w:val="22"/>
          <w:szCs w:val="22"/>
        </w:rPr>
      </w:pPr>
    </w:p>
    <w:p w14:paraId="66929C59" w14:textId="77777777" w:rsidR="00B82D45" w:rsidRDefault="00B82D45" w:rsidP="00F10383">
      <w:pPr>
        <w:jc w:val="both"/>
        <w:rPr>
          <w:rFonts w:ascii="Times New Roman" w:hAnsi="Times New Roman" w:cs="Times New Roman"/>
          <w:i/>
          <w:iCs/>
          <w:sz w:val="22"/>
          <w:szCs w:val="22"/>
        </w:rPr>
      </w:pPr>
    </w:p>
    <w:p w14:paraId="03E4F44B" w14:textId="77777777" w:rsidR="00B82D45" w:rsidRDefault="00B82D45" w:rsidP="00F10383">
      <w:pPr>
        <w:jc w:val="both"/>
        <w:rPr>
          <w:rFonts w:ascii="Times New Roman" w:hAnsi="Times New Roman" w:cs="Times New Roman"/>
          <w:i/>
          <w:iCs/>
          <w:sz w:val="22"/>
          <w:szCs w:val="22"/>
        </w:rPr>
      </w:pPr>
    </w:p>
    <w:p w14:paraId="24F4BCC6" w14:textId="77777777" w:rsidR="00B82D45" w:rsidRDefault="00B82D45" w:rsidP="00F10383">
      <w:pPr>
        <w:jc w:val="both"/>
        <w:rPr>
          <w:rFonts w:ascii="Times New Roman" w:hAnsi="Times New Roman" w:cs="Times New Roman"/>
          <w:i/>
          <w:iCs/>
          <w:sz w:val="22"/>
          <w:szCs w:val="22"/>
        </w:rPr>
      </w:pPr>
    </w:p>
    <w:p w14:paraId="4003931A" w14:textId="77777777" w:rsidR="00B82D45" w:rsidRDefault="00B82D45" w:rsidP="00F10383">
      <w:pPr>
        <w:jc w:val="both"/>
        <w:rPr>
          <w:rFonts w:ascii="Times New Roman" w:hAnsi="Times New Roman" w:cs="Times New Roman"/>
          <w:i/>
          <w:iCs/>
          <w:sz w:val="22"/>
          <w:szCs w:val="22"/>
        </w:rPr>
      </w:pPr>
    </w:p>
    <w:p w14:paraId="00CB2576" w14:textId="77777777" w:rsidR="00B82D45" w:rsidRDefault="00B82D45" w:rsidP="00F10383">
      <w:pPr>
        <w:jc w:val="both"/>
        <w:rPr>
          <w:rFonts w:ascii="Times New Roman" w:hAnsi="Times New Roman" w:cs="Times New Roman"/>
          <w:i/>
          <w:iCs/>
          <w:sz w:val="22"/>
          <w:szCs w:val="22"/>
        </w:rPr>
      </w:pPr>
    </w:p>
    <w:p w14:paraId="2CEB03DC" w14:textId="77777777" w:rsidR="00B82D45" w:rsidRDefault="00B82D45" w:rsidP="00F10383">
      <w:pPr>
        <w:jc w:val="both"/>
        <w:rPr>
          <w:rFonts w:ascii="Times New Roman" w:hAnsi="Times New Roman" w:cs="Times New Roman"/>
          <w:i/>
          <w:iCs/>
          <w:sz w:val="22"/>
          <w:szCs w:val="22"/>
        </w:rPr>
      </w:pPr>
    </w:p>
    <w:p w14:paraId="469EEFF8" w14:textId="77777777" w:rsidR="00B82D45" w:rsidRDefault="00B82D45" w:rsidP="00F10383">
      <w:pPr>
        <w:jc w:val="both"/>
        <w:rPr>
          <w:rFonts w:ascii="Times New Roman" w:hAnsi="Times New Roman" w:cs="Times New Roman"/>
          <w:i/>
          <w:iCs/>
          <w:sz w:val="22"/>
          <w:szCs w:val="22"/>
        </w:rPr>
      </w:pPr>
    </w:p>
    <w:p w14:paraId="04777013" w14:textId="77777777" w:rsidR="00B82D45" w:rsidRDefault="00B82D45" w:rsidP="00F10383">
      <w:pPr>
        <w:jc w:val="both"/>
        <w:rPr>
          <w:rFonts w:ascii="Times New Roman" w:hAnsi="Times New Roman" w:cs="Times New Roman"/>
          <w:i/>
          <w:iCs/>
          <w:sz w:val="22"/>
          <w:szCs w:val="22"/>
        </w:rPr>
      </w:pPr>
    </w:p>
    <w:p w14:paraId="7FFCF004" w14:textId="77777777" w:rsidR="00B82D45" w:rsidRDefault="00B82D45" w:rsidP="00F10383">
      <w:pPr>
        <w:jc w:val="both"/>
        <w:rPr>
          <w:rFonts w:ascii="Times New Roman" w:hAnsi="Times New Roman" w:cs="Times New Roman"/>
          <w:i/>
          <w:iCs/>
          <w:sz w:val="22"/>
          <w:szCs w:val="22"/>
        </w:rPr>
      </w:pPr>
    </w:p>
    <w:p w14:paraId="3E728555" w14:textId="77777777" w:rsidR="00B82D45" w:rsidRDefault="00B82D45" w:rsidP="00F10383">
      <w:pPr>
        <w:jc w:val="both"/>
        <w:rPr>
          <w:rFonts w:ascii="Times New Roman" w:hAnsi="Times New Roman" w:cs="Times New Roman"/>
          <w:i/>
          <w:iCs/>
          <w:sz w:val="22"/>
          <w:szCs w:val="22"/>
        </w:rPr>
      </w:pPr>
    </w:p>
    <w:p w14:paraId="0BB71358" w14:textId="77777777" w:rsidR="00B82D45" w:rsidRDefault="00B82D45" w:rsidP="00F10383">
      <w:pPr>
        <w:jc w:val="both"/>
        <w:rPr>
          <w:rFonts w:ascii="Times New Roman" w:hAnsi="Times New Roman" w:cs="Times New Roman"/>
          <w:i/>
          <w:iCs/>
          <w:sz w:val="22"/>
          <w:szCs w:val="22"/>
        </w:rPr>
      </w:pPr>
    </w:p>
    <w:p w14:paraId="5283BA07" w14:textId="77777777" w:rsidR="00B82D45" w:rsidRDefault="00B82D45" w:rsidP="00F10383">
      <w:pPr>
        <w:jc w:val="both"/>
        <w:rPr>
          <w:rFonts w:ascii="Times New Roman" w:hAnsi="Times New Roman" w:cs="Times New Roman"/>
          <w:i/>
          <w:iCs/>
          <w:sz w:val="22"/>
          <w:szCs w:val="22"/>
        </w:rPr>
      </w:pPr>
    </w:p>
    <w:p w14:paraId="4F643544" w14:textId="77777777" w:rsidR="00B82D45" w:rsidRDefault="00B82D45" w:rsidP="00F10383">
      <w:pPr>
        <w:jc w:val="both"/>
        <w:rPr>
          <w:rFonts w:ascii="Times New Roman" w:hAnsi="Times New Roman" w:cs="Times New Roman"/>
          <w:i/>
          <w:iCs/>
          <w:sz w:val="22"/>
          <w:szCs w:val="22"/>
        </w:rPr>
      </w:pPr>
    </w:p>
    <w:p w14:paraId="37D3DBCD" w14:textId="77777777" w:rsidR="00B82D45" w:rsidRDefault="00B82D45" w:rsidP="00F10383">
      <w:pPr>
        <w:jc w:val="both"/>
        <w:rPr>
          <w:rFonts w:ascii="Times New Roman" w:hAnsi="Times New Roman" w:cs="Times New Roman"/>
          <w:i/>
          <w:iCs/>
          <w:sz w:val="22"/>
          <w:szCs w:val="22"/>
        </w:rPr>
      </w:pPr>
    </w:p>
    <w:p w14:paraId="09DA3C11" w14:textId="7B699F8D" w:rsidR="00B82D45" w:rsidRPr="00F10383" w:rsidRDefault="007627DD" w:rsidP="00F10383">
      <w:pPr>
        <w:jc w:val="both"/>
        <w:rPr>
          <w:rFonts w:ascii="Times New Roman" w:hAnsi="Times New Roman" w:cs="Times New Roman"/>
          <w:sz w:val="22"/>
          <w:szCs w:val="22"/>
        </w:rPr>
      </w:pPr>
      <w:r w:rsidRPr="00DD00B4">
        <w:rPr>
          <w:rFonts w:ascii="Times New Roman" w:hAnsi="Times New Roman" w:cs="Times New Roman"/>
          <w:i/>
          <w:iCs/>
          <w:sz w:val="22"/>
          <w:szCs w:val="22"/>
        </w:rPr>
        <w:t>Schematic diagram illustrating the three morphological forms: trophozoite (infective stage), cyst (dormant stage), and flagellate (transient stage). The life cycle demonstrates environmental persistence in warm freshwater bodies and the human infection route through nasal cavity entry, followed by migration along the olfactory nerve to the central nervous system. Key clinical note: Infection occurs only through nasal inoculation of water containing trophozoites; ingestion of contaminated water does not cause disease.</w:t>
      </w:r>
    </w:p>
    <w:p w14:paraId="66DDEF45" w14:textId="3E0CB31A" w:rsidR="00F10383" w:rsidRPr="00975BED" w:rsidRDefault="00975BED" w:rsidP="00945488">
      <w:pPr>
        <w:jc w:val="both"/>
        <w:rPr>
          <w:rFonts w:ascii="Times New Roman" w:hAnsi="Times New Roman" w:cs="Times New Roman"/>
          <w:sz w:val="22"/>
          <w:szCs w:val="22"/>
        </w:rPr>
      </w:pPr>
      <w:r w:rsidRPr="00975BED">
        <w:rPr>
          <w:rFonts w:ascii="Times New Roman" w:hAnsi="Times New Roman" w:cs="Times New Roman"/>
          <w:i/>
          <w:iCs/>
          <w:sz w:val="22"/>
          <w:szCs w:val="22"/>
        </w:rPr>
        <w:t>N.</w:t>
      </w:r>
      <w:r w:rsidR="00B82D45">
        <w:rPr>
          <w:rFonts w:ascii="Times New Roman" w:hAnsi="Times New Roman" w:cs="Times New Roman"/>
          <w:i/>
          <w:iCs/>
          <w:sz w:val="22"/>
          <w:szCs w:val="22"/>
        </w:rPr>
        <w:t xml:space="preserve"> </w:t>
      </w:r>
      <w:proofErr w:type="spellStart"/>
      <w:r w:rsidRPr="00975BED">
        <w:rPr>
          <w:rFonts w:ascii="Times New Roman" w:hAnsi="Times New Roman" w:cs="Times New Roman"/>
          <w:i/>
          <w:iCs/>
          <w:sz w:val="22"/>
          <w:szCs w:val="22"/>
        </w:rPr>
        <w:t>fowleri'</w:t>
      </w:r>
      <w:r>
        <w:rPr>
          <w:rFonts w:ascii="Times New Roman" w:hAnsi="Times New Roman" w:cs="Times New Roman"/>
          <w:i/>
          <w:iCs/>
          <w:sz w:val="22"/>
          <w:szCs w:val="22"/>
        </w:rPr>
        <w:t>s</w:t>
      </w:r>
      <w:proofErr w:type="spellEnd"/>
      <w:r w:rsidRPr="00975BED">
        <w:rPr>
          <w:rFonts w:ascii="Times New Roman" w:hAnsi="Times New Roman" w:cs="Times New Roman"/>
          <w:sz w:val="22"/>
          <w:szCs w:val="22"/>
        </w:rPr>
        <w:t xml:space="preserve"> morphological plasticity is a significant adaptation for its persistence in the environment and being an opportunistic pathogen. The power to change from active trophozoite, resistant cyst, and dispersive flagellate stages guarantees the organism's survival in various environmental conditions, while the trophozoite's specific affinity for nerve tissue is responsible for the horrible clinical pictures of PAM.</w:t>
      </w:r>
      <w:r w:rsidR="007627DD">
        <w:rPr>
          <w:rFonts w:ascii="Times New Roman" w:hAnsi="Times New Roman" w:cs="Times New Roman"/>
          <w:sz w:val="22"/>
          <w:szCs w:val="22"/>
        </w:rPr>
        <w:t xml:space="preserve"> </w:t>
      </w:r>
    </w:p>
    <w:p w14:paraId="081FE1BB" w14:textId="77777777" w:rsidR="007F4F1E" w:rsidRDefault="007F4F1E" w:rsidP="00945488">
      <w:pPr>
        <w:jc w:val="both"/>
        <w:rPr>
          <w:rFonts w:ascii="Times New Roman" w:hAnsi="Times New Roman" w:cs="Times New Roman"/>
          <w:sz w:val="22"/>
          <w:szCs w:val="22"/>
        </w:rPr>
      </w:pPr>
    </w:p>
    <w:p w14:paraId="45F11B27" w14:textId="77777777" w:rsidR="00F86882" w:rsidRDefault="00F86882" w:rsidP="00945488">
      <w:pPr>
        <w:jc w:val="both"/>
        <w:rPr>
          <w:rFonts w:ascii="Times New Roman" w:hAnsi="Times New Roman" w:cs="Times New Roman"/>
        </w:rPr>
      </w:pPr>
    </w:p>
    <w:p w14:paraId="126A2766" w14:textId="77777777" w:rsidR="007627DD" w:rsidRDefault="007627DD" w:rsidP="00945488">
      <w:pPr>
        <w:jc w:val="both"/>
        <w:rPr>
          <w:rFonts w:ascii="Times New Roman" w:hAnsi="Times New Roman" w:cs="Times New Roman"/>
          <w:b/>
          <w:bCs/>
          <w:sz w:val="26"/>
          <w:szCs w:val="26"/>
        </w:rPr>
      </w:pPr>
    </w:p>
    <w:p w14:paraId="3F3C66E1" w14:textId="083FCB62" w:rsidR="00A66E12" w:rsidRPr="00AE470E" w:rsidRDefault="00AD5FD4" w:rsidP="00945488">
      <w:pPr>
        <w:jc w:val="both"/>
        <w:rPr>
          <w:rFonts w:ascii="Times New Roman" w:hAnsi="Times New Roman" w:cs="Times New Roman"/>
          <w:sz w:val="26"/>
          <w:szCs w:val="26"/>
        </w:rPr>
      </w:pPr>
      <w:r>
        <w:rPr>
          <w:rFonts w:ascii="Times New Roman" w:hAnsi="Times New Roman" w:cs="Times New Roman"/>
          <w:b/>
          <w:bCs/>
          <w:sz w:val="26"/>
          <w:szCs w:val="26"/>
        </w:rPr>
        <w:t>5</w:t>
      </w:r>
      <w:r w:rsidR="00A66E12" w:rsidRPr="00AE470E">
        <w:rPr>
          <w:rFonts w:ascii="Times New Roman" w:hAnsi="Times New Roman" w:cs="Times New Roman"/>
          <w:b/>
          <w:bCs/>
          <w:sz w:val="26"/>
          <w:szCs w:val="26"/>
        </w:rPr>
        <w:t xml:space="preserve">. Pathogenesis &amp; </w:t>
      </w:r>
      <w:proofErr w:type="spellStart"/>
      <w:r w:rsidR="00A66E12" w:rsidRPr="00AE470E">
        <w:rPr>
          <w:rFonts w:ascii="Times New Roman" w:hAnsi="Times New Roman" w:cs="Times New Roman"/>
          <w:b/>
          <w:bCs/>
          <w:sz w:val="26"/>
          <w:szCs w:val="26"/>
        </w:rPr>
        <w:t>Neuroinvasion</w:t>
      </w:r>
      <w:proofErr w:type="spellEnd"/>
    </w:p>
    <w:p w14:paraId="0B4389DA" w14:textId="77777777" w:rsidR="00A66E12" w:rsidRPr="00A66E12" w:rsidRDefault="00A66E12" w:rsidP="00945488">
      <w:pPr>
        <w:jc w:val="both"/>
        <w:rPr>
          <w:rFonts w:ascii="Times New Roman" w:hAnsi="Times New Roman" w:cs="Times New Roman"/>
          <w:sz w:val="22"/>
          <w:szCs w:val="22"/>
        </w:rPr>
      </w:pPr>
      <w:r w:rsidRPr="00A66E12">
        <w:rPr>
          <w:rFonts w:ascii="Times New Roman" w:hAnsi="Times New Roman" w:cs="Times New Roman"/>
          <w:sz w:val="22"/>
          <w:szCs w:val="22"/>
        </w:rPr>
        <w:lastRenderedPageBreak/>
        <w:t>The pathogenesis of Primary Amoebic Meningoencephalitis represents a complex and rapidly evolving process that begins with nasal colonization and culminates in catastrophic central nervous system destruction. Understanding the molecular mechanisms underlying this devastating journey provides crucial insights for developing targeted therapeutic interventions.</w:t>
      </w:r>
    </w:p>
    <w:p w14:paraId="1EF89E59" w14:textId="565B6AB4" w:rsidR="007F4F1E" w:rsidRPr="007F4F1E" w:rsidRDefault="00AD5FD4" w:rsidP="007F4F1E">
      <w:pPr>
        <w:jc w:val="both"/>
        <w:rPr>
          <w:rFonts w:ascii="Times New Roman" w:hAnsi="Times New Roman" w:cs="Times New Roman"/>
          <w:sz w:val="22"/>
          <w:szCs w:val="22"/>
        </w:rPr>
      </w:pPr>
      <w:r>
        <w:rPr>
          <w:rFonts w:ascii="Times New Roman" w:hAnsi="Times New Roman" w:cs="Times New Roman"/>
          <w:b/>
          <w:bCs/>
        </w:rPr>
        <w:t>5</w:t>
      </w:r>
      <w:r w:rsidR="00945488" w:rsidRPr="00945488">
        <w:rPr>
          <w:rFonts w:ascii="Times New Roman" w:hAnsi="Times New Roman" w:cs="Times New Roman"/>
          <w:b/>
          <w:bCs/>
        </w:rPr>
        <w:t xml:space="preserve">.1 </w:t>
      </w:r>
      <w:r w:rsidR="00A66E12" w:rsidRPr="00945488">
        <w:rPr>
          <w:rFonts w:ascii="Times New Roman" w:hAnsi="Times New Roman" w:cs="Times New Roman"/>
          <w:b/>
          <w:bCs/>
        </w:rPr>
        <w:t>The Journey to the Brain</w:t>
      </w:r>
      <w:r w:rsidR="00A66E12" w:rsidRPr="00A66E12">
        <w:rPr>
          <w:rFonts w:ascii="Times New Roman" w:hAnsi="Times New Roman" w:cs="Times New Roman"/>
          <w:sz w:val="22"/>
          <w:szCs w:val="22"/>
        </w:rPr>
        <w:br/>
      </w:r>
      <w:r w:rsidR="007F4F1E" w:rsidRPr="007F4F1E">
        <w:rPr>
          <w:rFonts w:ascii="Times New Roman" w:hAnsi="Times New Roman" w:cs="Times New Roman"/>
          <w:sz w:val="22"/>
          <w:szCs w:val="22"/>
        </w:rPr>
        <w:t xml:space="preserve">The pathogenic cascade begins with the entry of </w:t>
      </w:r>
      <w:r w:rsidR="007F4F1E" w:rsidRPr="007F4F1E">
        <w:rPr>
          <w:rFonts w:ascii="Times New Roman" w:hAnsi="Times New Roman" w:cs="Times New Roman"/>
          <w:i/>
          <w:iCs/>
          <w:sz w:val="22"/>
          <w:szCs w:val="22"/>
        </w:rPr>
        <w:t xml:space="preserve">N. fowleri </w:t>
      </w:r>
      <w:r w:rsidR="007F4F1E" w:rsidRPr="007F4F1E">
        <w:rPr>
          <w:rFonts w:ascii="Times New Roman" w:hAnsi="Times New Roman" w:cs="Times New Roman"/>
          <w:sz w:val="22"/>
          <w:szCs w:val="22"/>
        </w:rPr>
        <w:t>trophozoites present in the polluted water into the nasal cavity. Such an entry may take place during swimming, diving, or nasal irrigation. The amoebae, after entering, attach themselves first to the nasal mucosal epithelium, particularly that of the olfactory neuroepithelium. In this process, the amoebae use specialized surface structures and molecular adhesins that identify and bind to the host cell receptors</w:t>
      </w:r>
      <w:r w:rsidR="00F10383">
        <w:rPr>
          <w:rFonts w:ascii="Times New Roman" w:hAnsi="Times New Roman" w:cs="Times New Roman"/>
          <w:sz w:val="22"/>
          <w:szCs w:val="22"/>
        </w:rPr>
        <w:t xml:space="preserv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{"citationID":"liRrUM2w","properties":{"formattedCitation":"(Steltenpohl et al., 2009)","plainCitation":"(Steltenpohl et al., 2009)","noteIndex":0},"citationItems":[{"id":594,"uris":["http://zotero.org/users/18073969/items/PIBZALP6"],"itemData":{"id":594,"type":"article-journal","container-title":"The Journal of Geology","DOI":"10.1086/599217","ISSN":"0022-1376, 1537-5269","issue":"4","journalAbbreviation":"The Journal of Geology","language":"en","page":"399-414","source":"DOI.org (Crossref)","title":"&lt;sup&gt;40&lt;/sup&gt; Ar/&lt;sup&gt;39&lt;/sup&gt; Ar Thermochronology of Late‐ and Postorogenic Extension in the Caledonides of North‐Central Norway","volume":"117","author":[{"family":"Steltenpohl","given":"Mark G."},{"family":"Carter","given":"Brad T."},{"family":"Andresen","given":"Arild"},{"family":"Zeltner","given":"Daniel L."}],"issued":{"date-parts":[["2009",7]]}}}],"schema":"https://github.com/citation-style-language/schema/raw/master/csl-citation.json"}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(Steltenpohl et al., 2009)</w:t>
      </w:r>
      <w:r w:rsidR="00F10383">
        <w:rPr>
          <w:rFonts w:ascii="Times New Roman" w:hAnsi="Times New Roman" w:cs="Times New Roman"/>
          <w:sz w:val="22"/>
          <w:szCs w:val="22"/>
        </w:rPr>
        <w:fldChar w:fldCharType="end"/>
      </w:r>
      <w:r w:rsidR="007F4F1E" w:rsidRPr="007F4F1E">
        <w:rPr>
          <w:rFonts w:ascii="Times New Roman" w:hAnsi="Times New Roman" w:cs="Times New Roman"/>
          <w:sz w:val="22"/>
          <w:szCs w:val="22"/>
        </w:rPr>
        <w:t>. Following the attachment, the trophozoites use both mechanical and enzymatic methods to break through the mucosal barrier and reach the underlying connective tissue.</w:t>
      </w:r>
    </w:p>
    <w:p w14:paraId="42DF8516" w14:textId="269063D1" w:rsidR="007F4F1E" w:rsidRPr="007F4F1E" w:rsidRDefault="007F4F1E" w:rsidP="007F4F1E">
      <w:pPr>
        <w:jc w:val="both"/>
        <w:rPr>
          <w:rFonts w:ascii="Times New Roman" w:hAnsi="Times New Roman" w:cs="Times New Roman"/>
          <w:sz w:val="22"/>
          <w:szCs w:val="22"/>
        </w:rPr>
      </w:pPr>
      <w:r w:rsidRPr="007F4F1E">
        <w:rPr>
          <w:rFonts w:ascii="Times New Roman" w:hAnsi="Times New Roman" w:cs="Times New Roman"/>
          <w:sz w:val="22"/>
          <w:szCs w:val="22"/>
        </w:rPr>
        <w:t xml:space="preserve">The subsequent migration of the pathogen along the olfactory nerve pathway is an important and critical step in its invasion of the nervous system. Trophozoites exhibit a strong affinity to the nervous tissue and also show some selectivity by migrating through the cribriform plate along the unmyelinated olfactory nerve filaments into the cranial vault. This centripetal movement is very fast and amoebae can reach the olfactory bulbs in 24-72 hours after infection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{"citationID":"9LdCZIP8","properties":{"formattedCitation":"(Moravec et al., 2000)","plainCitation":"(Moravec et al., 2000)","noteIndex":0},"citationItems":[{"id":595,"uris":["http://zotero.org/users/18073969/items/WZGBML3J"],"itemData":{"id":595,"type":"article-journal","container-title":"The Journal of Parasitology","DOI":"10.2307/3284919","ISSN":"00223395","issue":"1","journalAbbreviation":"The Journal of Parasitology","page":"113","source":"DOI.org (Crossref)","title":"Paraquimperia africana n. sp. (Nematoda: Quimperiidae), a New Intestinal Parasite of the Eel Anguilla mossambica Peters, in South Africa","title-short":"Paraquimperia africana n. sp. (Nematoda","volume":"86","author":[{"family":"Moravec","given":"Frantisek"},{"family":"Boomker","given":"Joop"},{"family":"Taraschewski","given":"Horst"}],"issued":{"date-parts":[["2000",2]]}}}],"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(Moravec et al., 2000)</w:t>
      </w:r>
      <w:r w:rsidR="00F10383">
        <w:rPr>
          <w:rFonts w:ascii="Times New Roman" w:hAnsi="Times New Roman" w:cs="Times New Roman"/>
          <w:sz w:val="22"/>
          <w:szCs w:val="22"/>
        </w:rPr>
        <w:fldChar w:fldCharType="end"/>
      </w:r>
      <w:r w:rsidRPr="007F4F1E">
        <w:rPr>
          <w:rFonts w:ascii="Times New Roman" w:hAnsi="Times New Roman" w:cs="Times New Roman"/>
          <w:sz w:val="22"/>
          <w:szCs w:val="22"/>
        </w:rPr>
        <w:t>. The exact mechanisms that control this directed migration are still not completely known, but they probably involve the formation of chemical gradients that attract the amoebae to areas of high neural activity, where the signaling molecules and neurotransmitters are most abundant.</w:t>
      </w:r>
    </w:p>
    <w:p w14:paraId="4289CC7D" w14:textId="22073EF3" w:rsidR="007F4F1E" w:rsidRDefault="007F4F1E" w:rsidP="007F4F1E">
      <w:pPr>
        <w:jc w:val="both"/>
        <w:rPr>
          <w:rFonts w:ascii="Times New Roman" w:hAnsi="Times New Roman" w:cs="Times New Roman"/>
          <w:sz w:val="22"/>
          <w:szCs w:val="22"/>
        </w:rPr>
      </w:pPr>
      <w:r w:rsidRPr="007F4F1E">
        <w:rPr>
          <w:rFonts w:ascii="Times New Roman" w:hAnsi="Times New Roman" w:cs="Times New Roman"/>
          <w:sz w:val="22"/>
          <w:szCs w:val="22"/>
        </w:rPr>
        <w:t>Trophozoites, when they reach the subarachnoid space, start their rapid multiplication in the cerebrospinal fluid, and later on, they spread throughout the CNS via the leptomeninges and perivascular spaces. The huge destruction of the tissue, which is the hallmark of PAM, can be attributed to both the direct amoeba-mediated killing and to the host's acute inflammatory reaction, which in turn causes the necrosis of the olfactory bulbs, cerebral cortex, and deep brain structures with hemorrhage on a large scale</w:t>
      </w:r>
      <w:r w:rsidR="00F10383">
        <w:rPr>
          <w:rFonts w:ascii="Times New Roman" w:hAnsi="Times New Roman" w:cs="Times New Roman"/>
          <w:sz w:val="22"/>
          <w:szCs w:val="22"/>
        </w:rPr>
        <w:t xml:space="preserv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{"citationID":"L4VkFuR0","properties":{"formattedCitation":"(Cervantes-Sandoval et al., 2008)","plainCitation":"(Cervantes-Sandoval et al., 2008)","noteIndex":0},"citationItems":[{"id":596,"uris":["http://zotero.org/users/18073969/items/QQ9DE724"],"itemData":{"id":596,"type":"article-journal","container-title":"Parasitology International","DOI":"10.1016/j.parint.2008.01.006","ISSN":"13835769","issue":"3","journalAbbreviation":"Parasitology International","language":"en","license":"https://www.elsevier.com/tdm/userlicense/1.0/","page":"307-313","source":"DOI.org (Crossref)","title":"Characterization of brain inflammation during primary amoebic meningoencephalitis","volume":"57","author":[{"family":"Cervantes-Sandoval","given":"Isaac"},{"family":"Serrano-Luna","given":"José De Jesús"},{"family":"García-Latorre","given":"Ethel"},{"family":"Tsutsumi","given":"Víctor"},{"family":"Shibayama","given":"Mineko"}],"issued":{"date-parts":[["2008",9]]}}}],"schema":"https://github.com/citation-style-language/schema/raw/master/csl-citation.json"}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(Cervantes-Sandoval et al., 2008)</w:t>
      </w:r>
      <w:r w:rsidR="00F10383">
        <w:rPr>
          <w:rFonts w:ascii="Times New Roman" w:hAnsi="Times New Roman" w:cs="Times New Roman"/>
          <w:sz w:val="22"/>
          <w:szCs w:val="22"/>
        </w:rPr>
        <w:fldChar w:fldCharType="end"/>
      </w:r>
      <w:r w:rsidRPr="007F4F1E">
        <w:rPr>
          <w:rFonts w:ascii="Times New Roman" w:hAnsi="Times New Roman" w:cs="Times New Roman"/>
          <w:sz w:val="22"/>
          <w:szCs w:val="22"/>
        </w:rPr>
        <w:t>.</w:t>
      </w:r>
    </w:p>
    <w:p w14:paraId="6CCDF2ED" w14:textId="42C22BC9" w:rsidR="0048542B" w:rsidRPr="00F86882" w:rsidRDefault="00AD5FD4" w:rsidP="0048542B">
      <w:pPr>
        <w:jc w:val="both"/>
        <w:rPr>
          <w:rFonts w:ascii="Times New Roman" w:hAnsi="Times New Roman" w:cs="Times New Roman"/>
          <w:b/>
          <w:bCs/>
        </w:rPr>
      </w:pPr>
      <w:r>
        <w:rPr>
          <w:rFonts w:ascii="Times New Roman" w:hAnsi="Times New Roman" w:cs="Times New Roman"/>
          <w:b/>
          <w:bCs/>
        </w:rPr>
        <w:t>5</w:t>
      </w:r>
      <w:r w:rsidR="00945488" w:rsidRPr="00945488">
        <w:rPr>
          <w:rFonts w:ascii="Times New Roman" w:hAnsi="Times New Roman" w:cs="Times New Roman"/>
          <w:b/>
          <w:bCs/>
        </w:rPr>
        <w:t xml:space="preserve">.2 </w:t>
      </w:r>
      <w:r w:rsidR="00A66E12" w:rsidRPr="00945488">
        <w:rPr>
          <w:rFonts w:ascii="Times New Roman" w:hAnsi="Times New Roman" w:cs="Times New Roman"/>
          <w:b/>
          <w:bCs/>
        </w:rPr>
        <w:t>Molecular Weaponry</w:t>
      </w:r>
      <w:r w:rsidR="00A66E12" w:rsidRPr="00A66E12">
        <w:rPr>
          <w:rFonts w:ascii="Times New Roman" w:hAnsi="Times New Roman" w:cs="Times New Roman"/>
          <w:sz w:val="22"/>
          <w:szCs w:val="22"/>
        </w:rPr>
        <w:br/>
      </w:r>
      <w:r w:rsidR="0048542B" w:rsidRPr="0048542B">
        <w:rPr>
          <w:rFonts w:ascii="Times New Roman" w:hAnsi="Times New Roman" w:cs="Times New Roman"/>
          <w:i/>
          <w:iCs/>
          <w:sz w:val="22"/>
          <w:szCs w:val="22"/>
        </w:rPr>
        <w:t xml:space="preserve">N. fowleri </w:t>
      </w:r>
      <w:r w:rsidR="0048542B" w:rsidRPr="0048542B">
        <w:rPr>
          <w:rFonts w:ascii="Times New Roman" w:hAnsi="Times New Roman" w:cs="Times New Roman"/>
          <w:sz w:val="22"/>
          <w:szCs w:val="22"/>
        </w:rPr>
        <w:t>utilizes a large number of virulence factors to achieve host invasion, destruction of tissues, and annulment of the immune system. The most characterized ones are the following:</w:t>
      </w:r>
    </w:p>
    <w:p w14:paraId="33ED55E0" w14:textId="3147A49A"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w:t>
      </w:r>
      <w:proofErr w:type="spellStart"/>
      <w:r w:rsidRPr="0048542B">
        <w:rPr>
          <w:rFonts w:ascii="Times New Roman" w:hAnsi="Times New Roman" w:cs="Times New Roman"/>
          <w:i/>
          <w:iCs/>
          <w:sz w:val="22"/>
          <w:szCs w:val="22"/>
        </w:rPr>
        <w:t>Naegleriapores</w:t>
      </w:r>
      <w:proofErr w:type="spellEnd"/>
      <w:r w:rsidRPr="0048542B">
        <w:rPr>
          <w:rFonts w:ascii="Times New Roman" w:hAnsi="Times New Roman" w:cs="Times New Roman"/>
          <w:sz w:val="22"/>
          <w:szCs w:val="22"/>
        </w:rPr>
        <w:t xml:space="preserve"> family is made up of proteins with pore-forming properties that come together to create the transmembrane channels in the membranes of the target cells, which cause osmotic lysis and ultimately cell death. The latest structural investigation has shown that the amoeba pores have a different and new method of insertion into the membrane, which is different from the other pore-forming proteins. This could be the reason for their potent cytolytic activity against different types of cells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{"citationID":"MUDVZMoQ","properties":{"formattedCitation":"(Obar &amp; Shepardson, 2023)","plainCitation":"(Obar &amp; Shepardson, 2023)","noteIndex":0},"citationItems":[{"id":597,"uris":["http://zotero.org/users/18073969/items/T4ZH54LK"],"itemData":{"id":597,"type":"article-journal","container-title":"PLOS Pathogens","DOI":"10.1371/journal.ppat.1011334","ISSN":"1553-7374","issue":"5","journalAbbreviation":"PLoS Pathog","language":"en","page":"e1011334","source":"DOI.org (Crossref)","title":"Coinfections in the lung: How viral infection creates a favorable environment for bacterial and fungal infections","title-short":"Coinfections in the lung","volume":"19","author":[{"family":"Obar","given":"Joshua J."},{"family":"Shepardson","given":"Kelly M."}],"editor":[{"family":"Jabra-Rizk","given":"Mary Ann"}],"issued":{"date-parts":[["2023",5,4]]}}}],"schema":"https://github.com/citation-style-language/schema/raw/master/csl-citation.json"}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(Obar &amp; Shepardson, 2023)</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w:t>
      </w:r>
    </w:p>
    <w:p w14:paraId="33043BE1" w14:textId="717A2DB4"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w:t>
      </w:r>
      <w:r w:rsidRPr="0048542B">
        <w:rPr>
          <w:rFonts w:ascii="Times New Roman" w:hAnsi="Times New Roman" w:cs="Times New Roman"/>
          <w:i/>
          <w:iCs/>
          <w:sz w:val="22"/>
          <w:szCs w:val="22"/>
        </w:rPr>
        <w:t>proteolytic enzymes</w:t>
      </w:r>
      <w:r w:rsidRPr="0048542B">
        <w:rPr>
          <w:rFonts w:ascii="Times New Roman" w:hAnsi="Times New Roman" w:cs="Times New Roman"/>
          <w:sz w:val="22"/>
          <w:szCs w:val="22"/>
        </w:rPr>
        <w:t xml:space="preserve"> are very important and act in a variety of ways in the case of pathogens. Among cytokines, the CPs that act like cathepsin B, in particular, degrade the components of the extracellular matrix, including collagen, fibronectin, and laminin, thus making it easier for the pathogens to penetrate and spread out in the tissues. Besides, these proteases cut up immunoglobulins and complement factors, thereby escaping from the topical immune defense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{"citationID":"AfH54yx9","properties":{"formattedCitation":"(Serrano\\uc0\\u8208{}Luna et al., 2007)","plainCitation":"(Serrano‐Luna et al., 2007)","noteIndex":0},"citationItems":[{"id":599,"uris":["http://zotero.org/users/18073969/items/D4PJYRCE"],"itemData":{"id":599,"type":"article-journal","abstract":"ABSTRACT.\n              Naegleria fowleri\n              is the etiologic agent of primary amoebic meningoencephalitis (PAM). Proteases have been suggested to be involved in tissue invasion and destruction during infection. We analyzed and compared the complete protease profiles of total crude extract and conditioned medium of both pathogenic\n              N. fowleri\n              and non‐pathogenic\n              Naegleria gruberi\n              trophozoites. Using SDS‐PAGE, we found differences in the number and molecular weight of proteolytic bands between the two strains. The proteases showed optimal activity at pH 7.0 and 35 °C for both strains. Inhibition assays showed that the main proteolytic activity in both strains is due to cysteine proteases although serine proteases were also detected. Both\n              N. fowleri\n              and\n              N. gruberi\n              have a variety of different protease activities at different pH levels and temperatures. These proteases may allow the amoebae to acquire nutrients from different sources, including those from the host. Although, the role of the amoebic proteases in the pathogenesis of PAM is not clearly defined, it seems that proteases and other molecules of the parasite as well as those from the host, could be participating in the damage to the human central nervous system.","container-title":"Journal of Eukaryotic Microbiology","DOI":"10.1111/j.1550-7408.2007.00280.x","ISSN":"1066-5234, 1550-7408","issue":"5","journalAbbreviation":"J Eukaryotic Microbiology","language":"en","page":"411-417","source":"DOI.org (Crossref)","title":"A Biochemical Comparison of Proteases from Pathogenic &lt;i&gt;Naegleria fowleri&lt;/i&gt; and Non‐Pathogenic &lt;i&gt;Naegleria gruberi&lt;/i&gt;","volume":"54","author":[{"family":"Serrano‐Luna","given":"Jesús"},{"family":"Cervantes‐Sandoval","given":"Isaac"},{"family":"Tsutsumi","given":"Victor"},{"family":"Shibayama","given":"Mineko"}],"issued":{"date-parts":[["2007",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(Serrano‐Luna et al., 2007)</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The metalloproteases help in the disruption of the blood-brain barrier by causing a breakdown of the tight junction proteins.</w:t>
      </w:r>
    </w:p>
    <w:p w14:paraId="01D3943D" w14:textId="112C7759" w:rsidR="0048542B" w:rsidRDefault="0048542B" w:rsidP="0048542B">
      <w:pPr>
        <w:jc w:val="both"/>
        <w:rPr>
          <w:rFonts w:ascii="Times New Roman" w:hAnsi="Times New Roman" w:cs="Times New Roman"/>
          <w:sz w:val="22"/>
          <w:szCs w:val="22"/>
        </w:rPr>
      </w:pPr>
      <w:r w:rsidRPr="0048542B">
        <w:rPr>
          <w:rFonts w:ascii="Times New Roman" w:hAnsi="Times New Roman" w:cs="Times New Roman"/>
          <w:i/>
          <w:iCs/>
          <w:sz w:val="22"/>
          <w:szCs w:val="22"/>
        </w:rPr>
        <w:lastRenderedPageBreak/>
        <w:t>Phospholipases</w:t>
      </w:r>
      <w:r w:rsidRPr="0048542B">
        <w:rPr>
          <w:rFonts w:ascii="Times New Roman" w:hAnsi="Times New Roman" w:cs="Times New Roman"/>
          <w:sz w:val="22"/>
          <w:szCs w:val="22"/>
        </w:rPr>
        <w:t xml:space="preserve"> are another major group of virulence factors, the studies of which have revealed their direct role in host membrane disruption and inflammation cascade initiation. The role of phospholipase A2 in the deterioration of phospholipids in the neuronal membranes has been recognized, resulting in the liberation of arachidonic acid which then activates the formation of pro-inflammatory eicosanoids - these eicosanoids not only amplify but also render the blood-brain barrier more permeable thus impairing its function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{"citationID":"6yCPyN2Z","properties":{"formattedCitation":"(Siddiqui et al., 2016)","plainCitation":"(Siddiqui et al., 2016)","noteIndex":0},"citationItems":[{"id":600,"uris":["http://zotero.org/users/18073969/items/TEGF4S6X"],"itemData":{"id":600,"type":"article-journal","container-title":"Acta Tropica","DOI":"10.1016/j.actatropica.2016.09.009","ISSN":"0001706X","journalAbbreviation":"Acta Tropica","language":"en","page":"375-394","source":"DOI.org (Crossref)","title":"Biology and pathogenesis of Naegleria fowleri","volume":"164","author":[{"family":"Siddiqui","given":"Ruqaiyyah"},{"family":"Ali","given":"Ibne Karim M."},{"family":"Cope","given":"Jennifer R."},{"family":"Khan","given":"Naveed Ahmed"}],"issued":{"date-parts":[["2016",12]]}}}],"schema":"https://github.com/citation-style-language/schema/raw/master/csl-citation.json"}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(Siddiqui et al., 2016)</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xml:space="preserve">. </w:t>
      </w:r>
    </w:p>
    <w:p w14:paraId="690DEF46" w14:textId="56A1374E" w:rsid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Other factors that increase the pathogen's virulence are neuraminidases which change the host cell surface glycoconjugates, elastases which break down the elastic fibers in the walls of blood vessels, and antioxidant enzymes that make the amoebae resistant to oxidative stress caused by immune cells activation.</w:t>
      </w:r>
    </w:p>
    <w:p w14:paraId="3FBAEC5B" w14:textId="3602EB1E" w:rsidR="0048542B" w:rsidRPr="0048542B" w:rsidRDefault="00AD5FD4" w:rsidP="0048542B">
      <w:pPr>
        <w:jc w:val="both"/>
        <w:rPr>
          <w:rFonts w:ascii="Times New Roman" w:hAnsi="Times New Roman" w:cs="Times New Roman"/>
          <w:sz w:val="22"/>
          <w:szCs w:val="22"/>
        </w:rPr>
      </w:pPr>
      <w:r>
        <w:rPr>
          <w:rFonts w:ascii="Times New Roman" w:hAnsi="Times New Roman" w:cs="Times New Roman"/>
          <w:b/>
          <w:bCs/>
        </w:rPr>
        <w:t>5</w:t>
      </w:r>
      <w:r w:rsidR="00945488" w:rsidRPr="00945488">
        <w:rPr>
          <w:rFonts w:ascii="Times New Roman" w:hAnsi="Times New Roman" w:cs="Times New Roman"/>
          <w:b/>
          <w:bCs/>
        </w:rPr>
        <w:t xml:space="preserve">.3 </w:t>
      </w:r>
      <w:r w:rsidR="00A66E12" w:rsidRPr="00945488">
        <w:rPr>
          <w:rFonts w:ascii="Times New Roman" w:hAnsi="Times New Roman" w:cs="Times New Roman"/>
          <w:b/>
          <w:bCs/>
        </w:rPr>
        <w:t>Recent Insights (2020-2025)</w:t>
      </w:r>
      <w:r w:rsidR="00A66E12" w:rsidRPr="00A66E12">
        <w:rPr>
          <w:rFonts w:ascii="Times New Roman" w:hAnsi="Times New Roman" w:cs="Times New Roman"/>
          <w:sz w:val="22"/>
          <w:szCs w:val="22"/>
        </w:rPr>
        <w:br/>
      </w:r>
      <w:r w:rsidR="0048542B" w:rsidRPr="0048542B">
        <w:rPr>
          <w:rFonts w:ascii="Times New Roman" w:hAnsi="Times New Roman" w:cs="Times New Roman"/>
          <w:sz w:val="22"/>
          <w:szCs w:val="22"/>
        </w:rPr>
        <w:t xml:space="preserve">The use of modern multi-omics methods has changed the way we look at the pathogenesis of </w:t>
      </w:r>
      <w:r w:rsidR="0048542B" w:rsidRPr="0048542B">
        <w:rPr>
          <w:rFonts w:ascii="Times New Roman" w:hAnsi="Times New Roman" w:cs="Times New Roman"/>
          <w:i/>
          <w:iCs/>
          <w:sz w:val="22"/>
          <w:szCs w:val="22"/>
        </w:rPr>
        <w:t>N. fowleri</w:t>
      </w:r>
      <w:r w:rsidR="0048542B" w:rsidRPr="0048542B">
        <w:rPr>
          <w:rFonts w:ascii="Times New Roman" w:hAnsi="Times New Roman" w:cs="Times New Roman"/>
          <w:sz w:val="22"/>
          <w:szCs w:val="22"/>
        </w:rPr>
        <w:t>, disclosing virulence mechanisms and the host-pathogen interactions that were not characterized earlier.</w:t>
      </w:r>
    </w:p>
    <w:p w14:paraId="010A47E3" w14:textId="418BAB3D"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Genomic and transcriptomic studies have revealed several novel candidate virulence genes that were really increased in expression when the central nervous system was invaded. Some of the things that have come up that are really important are larger groups of membrane transporters, signaling molecules, and stress response proteins that probably help to adapt to the neural microenvironment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{"citationID":"yucgoHEX","properties":{"formattedCitation":"(Kaur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xml:space="preserve">. Research on the genomes of different </w:t>
      </w:r>
      <w:r w:rsidRPr="007B39B4">
        <w:rPr>
          <w:rFonts w:ascii="Times New Roman" w:hAnsi="Times New Roman" w:cs="Times New Roman"/>
          <w:i/>
          <w:iCs/>
          <w:sz w:val="22"/>
          <w:szCs w:val="22"/>
        </w:rPr>
        <w:t>N. Fowleri</w:t>
      </w:r>
      <w:r w:rsidRPr="0048542B">
        <w:rPr>
          <w:rFonts w:ascii="Times New Roman" w:hAnsi="Times New Roman" w:cs="Times New Roman"/>
          <w:sz w:val="22"/>
          <w:szCs w:val="22"/>
        </w:rPr>
        <w:t xml:space="preserve"> strains have shown that there are major differences not only in the sequences of virulence genes, but also in their structures, between clinical and environmental isolates, which hints at the latter's acceptance for evolutionary adaptation to mammal hosts.</w:t>
      </w:r>
    </w:p>
    <w:p w14:paraId="1904BC26" w14:textId="4B71F9F2" w:rsid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studies using the proteomic method showed us the metabolic changes of the parasite during the infection process in a way that had not been seen before. The Mass spectrometry-based studies of </w:t>
      </w:r>
      <w:r w:rsidRPr="0048542B">
        <w:rPr>
          <w:rFonts w:ascii="Times New Roman" w:hAnsi="Times New Roman" w:cs="Times New Roman"/>
          <w:i/>
          <w:iCs/>
          <w:sz w:val="22"/>
          <w:szCs w:val="22"/>
        </w:rPr>
        <w:t xml:space="preserve">N. fowleri </w:t>
      </w:r>
      <w:r w:rsidRPr="0048542B">
        <w:rPr>
          <w:rFonts w:ascii="Times New Roman" w:hAnsi="Times New Roman" w:cs="Times New Roman"/>
          <w:sz w:val="22"/>
          <w:szCs w:val="22"/>
        </w:rPr>
        <w:t xml:space="preserve">secretum’s have revealed a plethora of proteins that are secreted and interact with the host, including uncharacterized hydrolases, redox enzymes, and immunomodulatory factors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{"citationID":"IPMsWfnG","properties":{"formattedCitation":"(Hussain et al., 2022)","plainCitation":"(Hussain et al., 2022)","noteIndex":0},"citationItems":[{"id":603,"uris":["http://zotero.org/users/18073969/items/YVVXTP6J"],"itemData":{"id":603,"type":"article-journal","abstract":"The timely reporting of adverse drug reactions (ADRs) could improve pharmacovigilance (PV) in a healthcare system. However, in almost all healthcare systems barriers exist that lead to the underreporting of ADRs. The objective of this study was to identify the barriers and facilitators regarding PV activities from the point of view of healthcare professionals (HCPs) in Lahore, Pakistan. A cross-sectional questionnaire-based survey was conducted between September 2018 to January 2019. The data was collected through convenience sampling of physicians, pharmacists, and nurses at tertiary care public hospitals in Lahore. A total of 384 questionnaires were distributed, and 346 HCPs responded to the survey. Over 62% percent of physicians and 54.8% of nurses agreed that they did not know how to report an ADR in their workplace. About 43.2% of pharmacists and 40.1% of nurses disagreed that they were not aware of the need for ADR reporting. Furthermore, 41.6% of nurses identified a lack of financial reimbursement and 51.8% highlighted a lack of support from a colleague as a reason that could lead to the underreporting of ADR. The majority of participants, including 69.6% physicians, 48.6% pharmacists, and 55.3% nurses identified the lack of knowledge about the existence of a national PV centre. Extra time for ADR reporting, incentives, continuous medical education, reminders, and availability of an online ADR reporting system was classed as the facilitators and were agreed upon by the majority of HCPs.","container-title":"PLOS ONE","DOI":"10.1371/journal.pone.0271587","ISSN":"1932-6203","issue":"7","journalAbbreviation":"PLoS ONE","language":"en","page":"e0271587","source":"DOI.org (Crossref)","title":"Barriers and facilitators to pharmacovigilance activities in Pakistan: A healthcare professionals-based survey","title-short":"Barriers and facilitators to pharmacovigilance activities in Pakistan","volume":"17","author":[{"family":"Hussain","given":"Rabia"},{"family":"Akram","given":"Tayyaba"},{"family":"Hassali","given":"Mohamed Azmi"},{"family":"Muneswarao","given":"Jaya"},{"family":"Rehman","given":"Anees Ur"},{"family":"Hashmi","given":"Furqan"},{"family":"Babar","given":"Zaheer-Ud-Din"}],"editor":[{"family":"Suppiah","given":"Vijayaprakash"}],"issued":{"date-parts":[["2022",7,29]]}}}],"schema":"https://github.com/citation-style-language/schema/raw/master/csl-citation.json"}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(Hussain et al., 2022)</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The metabolism of the parasite is specific to the different stages of its life cycle, with a prominent rise in aerobic glycolysis during the period of active CNS invasion.</w:t>
      </w:r>
    </w:p>
    <w:p w14:paraId="1DFAC620" w14:textId="3B85BFA3" w:rsidR="00C546FD" w:rsidRPr="00C546FD" w:rsidRDefault="00C546FD" w:rsidP="00C546FD">
      <w:pPr>
        <w:jc w:val="both"/>
        <w:rPr>
          <w:rFonts w:ascii="Times New Roman" w:hAnsi="Times New Roman" w:cs="Times New Roman"/>
          <w:sz w:val="22"/>
          <w:szCs w:val="22"/>
        </w:rPr>
      </w:pPr>
      <w:r w:rsidRPr="00C546FD">
        <w:rPr>
          <w:rFonts w:ascii="Times New Roman" w:hAnsi="Times New Roman" w:cs="Times New Roman"/>
          <w:sz w:val="22"/>
          <w:szCs w:val="22"/>
        </w:rPr>
        <w:t xml:space="preserve">Researchers using single-cell RNA sequencing methods have started to uncover the diversity of </w:t>
      </w:r>
      <w:r w:rsidRPr="00C546FD">
        <w:rPr>
          <w:rFonts w:ascii="Times New Roman" w:hAnsi="Times New Roman" w:cs="Times New Roman"/>
          <w:i/>
          <w:iCs/>
          <w:sz w:val="22"/>
          <w:szCs w:val="22"/>
        </w:rPr>
        <w:t>N. fowleri</w:t>
      </w:r>
      <w:r w:rsidRPr="00C546FD">
        <w:rPr>
          <w:rFonts w:ascii="Times New Roman" w:hAnsi="Times New Roman" w:cs="Times New Roman"/>
          <w:sz w:val="22"/>
          <w:szCs w:val="22"/>
        </w:rPr>
        <w:t xml:space="preserve"> populations during the course of infection, thus making evident the varied gene activity states that are linked to different pathogenic mechanisms such as migration, growth, and nutrient uptake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{"citationID":"vlQJT1DJ","properties":{"formattedCitation":"(Chinh et al., 2022)","plainCitation":"(Chinh et al., 2022)","noteIndex":0},"citationItems":[{"id":571,"uris":["http://zotero.org/users/18073969/items/FCAP8VMK"],"itemData":{"id":571,"type":"article-journal","container-title":"Parasitology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(Chinh et al., 2022)</w:t>
      </w:r>
      <w:r w:rsidR="00F10383">
        <w:rPr>
          <w:rFonts w:ascii="Times New Roman" w:hAnsi="Times New Roman" w:cs="Times New Roman"/>
          <w:sz w:val="22"/>
          <w:szCs w:val="22"/>
        </w:rPr>
        <w:fldChar w:fldCharType="end"/>
      </w:r>
      <w:r w:rsidRPr="00C546FD">
        <w:rPr>
          <w:rFonts w:ascii="Times New Roman" w:hAnsi="Times New Roman" w:cs="Times New Roman"/>
          <w:sz w:val="22"/>
          <w:szCs w:val="22"/>
        </w:rPr>
        <w:t>. This variation among cells may be a factor that allows the protozoan to quickly change and adapt to the different microenvironments and drug resistance.</w:t>
      </w:r>
    </w:p>
    <w:p w14:paraId="05DAF186" w14:textId="064F084B" w:rsidR="00C546FD" w:rsidRDefault="00C546FD" w:rsidP="00C546FD">
      <w:pPr>
        <w:jc w:val="both"/>
        <w:rPr>
          <w:rFonts w:ascii="Times New Roman" w:hAnsi="Times New Roman" w:cs="Times New Roman"/>
          <w:sz w:val="22"/>
          <w:szCs w:val="22"/>
        </w:rPr>
      </w:pPr>
      <w:r w:rsidRPr="00C546FD">
        <w:rPr>
          <w:rFonts w:ascii="Times New Roman" w:hAnsi="Times New Roman" w:cs="Times New Roman"/>
          <w:sz w:val="22"/>
          <w:szCs w:val="22"/>
        </w:rPr>
        <w:t xml:space="preserve">Also, the recent studies have been a great help in understanding the </w:t>
      </w:r>
      <w:r w:rsidRPr="00C546FD">
        <w:rPr>
          <w:rFonts w:ascii="Times New Roman" w:hAnsi="Times New Roman" w:cs="Times New Roman"/>
          <w:i/>
          <w:iCs/>
          <w:sz w:val="22"/>
          <w:szCs w:val="22"/>
        </w:rPr>
        <w:t>N. fowleri</w:t>
      </w:r>
      <w:r w:rsidRPr="00C546FD">
        <w:rPr>
          <w:rFonts w:ascii="Times New Roman" w:hAnsi="Times New Roman" w:cs="Times New Roman"/>
          <w:sz w:val="22"/>
          <w:szCs w:val="22"/>
        </w:rPr>
        <w:t xml:space="preserve"> pathogenesis. The amoeba is known to secrete exosomes and other extracellular vesicles that are rich in proteins, lipids, and RNA species, which can either alter host cell functions or enable communication among the amoeba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{"citationID":"b9atMZw0","properties":{"formattedCitation":"(Hern\\uc0\\u225{}ndez\\uc0\\u8208{}Castro et al., 2023)","plainCitation":"(Hernández‐Castro et al., 2023)","noteIndex":0},"citationItems":[{"id":606,"uris":["http://zotero.org/users/18073969/items/V3PLYXHG"],"itemData":{"id":606,"type":"article-journal","abstract":"Abstract\n            \n              Blastocystis\n              sp. is among the most frequent intestinal protists identified in humans globally. However, characterization of\n              Blastocystis\n              subtype diversity in humans is ongoing. We report here the identification of novel\n              Blastocystis\n              subtype ST41 in a Colombian patient undergoing colorectal cancer screening involving colonoscopy and fecal testing (microscopy, culture, PCR). The full‐length\n              ssu\n              rRNA gene sequence of the protist was generated using MinION long‐read sequencing technology. The validity of the novel subtype was confirmed via phylogenetic and pairwise distance analyses of the full‐length ST41 sequence and all other valid subtypes. The study provides reference material essential for conducting subsequent experimental studies.","container-title":"Journal of Eukaryotic Microbiology","DOI":"10.1111/jeu.12978","ISSN":"1066-5234, 1550-7408","issue":"5","journalAbbreviation":"J Eukaryotic Microbiology","language":"en","page":"e12978","source":"DOI.org (Crossref)","title":"Identification and validation of novel &lt;i&gt;Blastocystis&lt;/i&gt; subtype &lt;span style=\"font-variant:small-caps;\"&gt;ST41&lt;/span&gt; in a Colombian patient undergoing colorectal cancer screening","title-short":"Identification and validation of novel &lt;i&gt;Blastocystis&lt;/i&gt; subtype &lt;span style=\"font-variant","volume":"70","author":[{"family":"Hernández‐Castro","given":"Carolina"},{"family":"Maloney","given":"Jenny G."},{"family":"Agudelo‐López","given":"Sonia P."},{"family":"Toro‐Londoño","given":"Miguel A."},{"family":"Botero‐Garcés","given":"Jorge H."},{"family":"Orozco","given":"María C."},{"family":"Quintero‐Quinchia","given":"Yulieth C."},{"family":"Correa‐Cote","given":"Juan C."},{"family":"Múnera‐Duque","given":"Alejandro"},{"family":"Ricaurte‐Ciro","given":"Juan C."},{"family":"Londoño‐Álvarez","given":"Luis I."},{"family":"Escobar","given":"René M."},{"family":"Köster","given":"Pamela C."},{"family":"Sánchez","given":"Sergio"},{"family":"Carmena","given":"David"},{"family":"Santín","given":"Mónica"}],"issued":{"date-parts":[["2023",9]]}}}],"schema":"https://github.com/citation-style-language/schema/raw/master/csl-citation.json"}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(Hernández‐Castro et al., 2023)</w:t>
      </w:r>
      <w:r w:rsidR="00F10383">
        <w:rPr>
          <w:rFonts w:ascii="Times New Roman" w:hAnsi="Times New Roman" w:cs="Times New Roman"/>
          <w:sz w:val="22"/>
          <w:szCs w:val="22"/>
        </w:rPr>
        <w:fldChar w:fldCharType="end"/>
      </w:r>
      <w:r w:rsidRPr="00C546FD">
        <w:rPr>
          <w:rFonts w:ascii="Times New Roman" w:hAnsi="Times New Roman" w:cs="Times New Roman"/>
          <w:sz w:val="22"/>
          <w:szCs w:val="22"/>
        </w:rPr>
        <w:t>. The role of these vesicles is becoming more recognized as they are capable of not only delivering but also making virulence factors more effective, thus increasing both the damage and the activation of the immune system in the tissue.</w:t>
      </w:r>
    </w:p>
    <w:p w14:paraId="7B1E2D46" w14:textId="77777777" w:rsidR="00F86882" w:rsidRDefault="00F86882" w:rsidP="00C546FD">
      <w:pPr>
        <w:jc w:val="both"/>
        <w:rPr>
          <w:rFonts w:ascii="Times New Roman" w:hAnsi="Times New Roman" w:cs="Times New Roman"/>
          <w:sz w:val="22"/>
          <w:szCs w:val="22"/>
        </w:rPr>
      </w:pPr>
    </w:p>
    <w:p w14:paraId="3037B3C1" w14:textId="4C98D002" w:rsidR="00AE470E" w:rsidRDefault="00F86882" w:rsidP="00945488">
      <w:pPr>
        <w:jc w:val="both"/>
        <w:rPr>
          <w:rFonts w:ascii="Times New Roman" w:hAnsi="Times New Roman" w:cs="Times New Roman"/>
          <w:i/>
          <w:iCs/>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661312" behindDoc="0" locked="0" layoutInCell="1" allowOverlap="1" wp14:anchorId="303F3F6C" wp14:editId="35BD2FC5">
                <wp:simplePos x="0" y="0"/>
                <wp:positionH relativeFrom="column">
                  <wp:posOffset>15240</wp:posOffset>
                </wp:positionH>
                <wp:positionV relativeFrom="paragraph">
                  <wp:posOffset>205740</wp:posOffset>
                </wp:positionV>
                <wp:extent cx="5929745" cy="4648200"/>
                <wp:effectExtent l="0" t="0" r="0" b="0"/>
                <wp:wrapNone/>
                <wp:docPr id="1715817560" name="Rectangle 6"/>
                <wp:cNvGraphicFramePr/>
                <a:graphic xmlns:a="http://schemas.openxmlformats.org/drawingml/2006/main">
                  <a:graphicData uri="http://schemas.microsoft.com/office/word/2010/wordprocessingShape">
                    <wps:wsp>
                      <wps:cNvSpPr/>
                      <wps:spPr>
                        <a:xfrm>
                          <a:off x="0" y="0"/>
                          <a:ext cx="5929745" cy="4648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D55279" w14:textId="13333C77" w:rsidR="00F86882" w:rsidRDefault="00F86882" w:rsidP="00F86882">
                            <w:pPr>
                              <w:jc w:val="center"/>
                            </w:pPr>
                            <w:r>
                              <w:rPr>
                                <w:noProof/>
                              </w:rPr>
                              <w:drawing>
                                <wp:inline distT="0" distB="0" distL="0" distR="0" wp14:anchorId="2FA34B1E" wp14:editId="13001255">
                                  <wp:extent cx="5734050" cy="3619500"/>
                                  <wp:effectExtent l="0" t="0" r="0" b="0"/>
                                  <wp:docPr id="7517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78198" name=""/>
                                          <pic:cNvPicPr/>
                                        </pic:nvPicPr>
                                        <pic:blipFill>
                                          <a:blip r:embed="rId17"/>
                                          <a:stretch>
                                            <a:fillRect/>
                                          </a:stretch>
                                        </pic:blipFill>
                                        <pic:spPr>
                                          <a:xfrm>
                                            <a:off x="0" y="0"/>
                                            <a:ext cx="5734050" cy="3619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3F3F6C" id="Rectangle 6" o:spid="_x0000_s1029" style="position:absolute;left:0;text-align:left;margin-left:1.2pt;margin-top:16.2pt;width:466.9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" filled="f" stroked="f" strokeweight="1pt">
                <v:textbox>
                  <w:txbxContent>
                    <w:p w14:paraId="12D55279" w14:textId="13333C77" w:rsidR="00F86882" w:rsidRDefault="00F86882" w:rsidP="00F86882">
                      <w:pPr>
                        <w:jc w:val="center"/>
                      </w:pPr>
                      <w:r>
                        <w:rPr>
                          <w:noProof/>
                        </w:rPr>
                        <w:drawing>
                          <wp:inline distT="0" distB="0" distL="0" distR="0" wp14:anchorId="2FA34B1E" wp14:editId="13001255">
                            <wp:extent cx="5734050" cy="3619500"/>
                            <wp:effectExtent l="0" t="0" r="0" b="0"/>
                            <wp:docPr id="7517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78198" name=""/>
                                    <pic:cNvPicPr/>
                                  </pic:nvPicPr>
                                  <pic:blipFill>
                                    <a:blip r:embed="rId18"/>
                                    <a:stretch>
                                      <a:fillRect/>
                                    </a:stretch>
                                  </pic:blipFill>
                                  <pic:spPr>
                                    <a:xfrm>
                                      <a:off x="0" y="0"/>
                                      <a:ext cx="5734050" cy="3619500"/>
                                    </a:xfrm>
                                    <a:prstGeom prst="rect">
                                      <a:avLst/>
                                    </a:prstGeom>
                                  </pic:spPr>
                                </pic:pic>
                              </a:graphicData>
                            </a:graphic>
                          </wp:inline>
                        </w:drawing>
                      </w:r>
                    </w:p>
                  </w:txbxContent>
                </v:textbox>
              </v:rect>
            </w:pict>
          </mc:Fallback>
        </mc:AlternateContent>
      </w:r>
      <w:r w:rsidR="00A66E12" w:rsidRPr="00A66E12">
        <w:rPr>
          <w:rFonts w:ascii="Times New Roman" w:hAnsi="Times New Roman" w:cs="Times New Roman"/>
          <w:b/>
          <w:bCs/>
          <w:sz w:val="22"/>
          <w:szCs w:val="22"/>
        </w:rPr>
        <w:t xml:space="preserve">Figure </w:t>
      </w:r>
      <w:r w:rsidR="00CA032F">
        <w:rPr>
          <w:rFonts w:ascii="Times New Roman" w:hAnsi="Times New Roman" w:cs="Times New Roman"/>
          <w:b/>
          <w:bCs/>
          <w:sz w:val="22"/>
          <w:szCs w:val="22"/>
        </w:rPr>
        <w:t>4</w:t>
      </w:r>
      <w:r w:rsidR="00A66E12" w:rsidRPr="00A66E12">
        <w:rPr>
          <w:rFonts w:ascii="Times New Roman" w:hAnsi="Times New Roman" w:cs="Times New Roman"/>
          <w:b/>
          <w:bCs/>
          <w:sz w:val="22"/>
          <w:szCs w:val="22"/>
        </w:rPr>
        <w:t xml:space="preserve">: Pathogenesis and </w:t>
      </w:r>
      <w:proofErr w:type="spellStart"/>
      <w:r w:rsidR="00A66E12" w:rsidRPr="00A66E12">
        <w:rPr>
          <w:rFonts w:ascii="Times New Roman" w:hAnsi="Times New Roman" w:cs="Times New Roman"/>
          <w:b/>
          <w:bCs/>
          <w:sz w:val="22"/>
          <w:szCs w:val="22"/>
        </w:rPr>
        <w:t>Neuroinvasion</w:t>
      </w:r>
      <w:proofErr w:type="spellEnd"/>
      <w:r w:rsidR="00A66E12" w:rsidRPr="00A66E12">
        <w:rPr>
          <w:rFonts w:ascii="Times New Roman" w:hAnsi="Times New Roman" w:cs="Times New Roman"/>
          <w:b/>
          <w:bCs/>
          <w:sz w:val="22"/>
          <w:szCs w:val="22"/>
        </w:rPr>
        <w:t xml:space="preserve"> Pathway</w:t>
      </w:r>
    </w:p>
    <w:p w14:paraId="312304FB" w14:textId="77777777" w:rsidR="00AE470E" w:rsidRDefault="00AE470E" w:rsidP="00945488">
      <w:pPr>
        <w:jc w:val="both"/>
        <w:rPr>
          <w:rFonts w:ascii="Times New Roman" w:hAnsi="Times New Roman" w:cs="Times New Roman"/>
          <w:i/>
          <w:iCs/>
          <w:sz w:val="22"/>
          <w:szCs w:val="22"/>
        </w:rPr>
      </w:pPr>
    </w:p>
    <w:p w14:paraId="651D2FBD" w14:textId="77777777" w:rsidR="00AE470E" w:rsidRDefault="00AE470E" w:rsidP="00945488">
      <w:pPr>
        <w:jc w:val="both"/>
        <w:rPr>
          <w:rFonts w:ascii="Times New Roman" w:hAnsi="Times New Roman" w:cs="Times New Roman"/>
          <w:i/>
          <w:iCs/>
          <w:sz w:val="22"/>
          <w:szCs w:val="22"/>
        </w:rPr>
      </w:pPr>
    </w:p>
    <w:p w14:paraId="16AFBDDF" w14:textId="77777777" w:rsidR="00AE470E" w:rsidRDefault="00AE470E" w:rsidP="00945488">
      <w:pPr>
        <w:jc w:val="both"/>
        <w:rPr>
          <w:rFonts w:ascii="Times New Roman" w:hAnsi="Times New Roman" w:cs="Times New Roman"/>
          <w:i/>
          <w:iCs/>
          <w:sz w:val="22"/>
          <w:szCs w:val="22"/>
        </w:rPr>
      </w:pPr>
    </w:p>
    <w:p w14:paraId="68345169" w14:textId="77777777" w:rsidR="00AE470E" w:rsidRDefault="00AE470E" w:rsidP="00945488">
      <w:pPr>
        <w:jc w:val="both"/>
        <w:rPr>
          <w:rFonts w:ascii="Times New Roman" w:hAnsi="Times New Roman" w:cs="Times New Roman"/>
          <w:i/>
          <w:iCs/>
          <w:sz w:val="22"/>
          <w:szCs w:val="22"/>
        </w:rPr>
      </w:pPr>
    </w:p>
    <w:p w14:paraId="1795558B" w14:textId="77777777" w:rsidR="00AE470E" w:rsidRDefault="00AE470E" w:rsidP="00945488">
      <w:pPr>
        <w:jc w:val="both"/>
        <w:rPr>
          <w:rFonts w:ascii="Times New Roman" w:hAnsi="Times New Roman" w:cs="Times New Roman"/>
          <w:i/>
          <w:iCs/>
          <w:sz w:val="22"/>
          <w:szCs w:val="22"/>
        </w:rPr>
      </w:pPr>
    </w:p>
    <w:p w14:paraId="1FDDE4F5" w14:textId="77777777" w:rsidR="00AE470E" w:rsidRDefault="00AE470E" w:rsidP="00945488">
      <w:pPr>
        <w:jc w:val="both"/>
        <w:rPr>
          <w:rFonts w:ascii="Times New Roman" w:hAnsi="Times New Roman" w:cs="Times New Roman"/>
          <w:i/>
          <w:iCs/>
          <w:sz w:val="22"/>
          <w:szCs w:val="22"/>
        </w:rPr>
      </w:pPr>
    </w:p>
    <w:p w14:paraId="5B1F73C8" w14:textId="77777777" w:rsidR="00AE470E" w:rsidRPr="00A66E12" w:rsidRDefault="00AE470E" w:rsidP="00945488">
      <w:pPr>
        <w:jc w:val="both"/>
        <w:rPr>
          <w:rFonts w:ascii="Times New Roman" w:hAnsi="Times New Roman" w:cs="Times New Roman"/>
          <w:sz w:val="22"/>
          <w:szCs w:val="22"/>
        </w:rPr>
      </w:pPr>
    </w:p>
    <w:p w14:paraId="4EC065F9" w14:textId="77777777" w:rsidR="00F86882" w:rsidRDefault="00F86882" w:rsidP="00945488">
      <w:pPr>
        <w:jc w:val="both"/>
        <w:rPr>
          <w:rFonts w:ascii="Times New Roman" w:hAnsi="Times New Roman" w:cs="Times New Roman"/>
          <w:sz w:val="22"/>
          <w:szCs w:val="22"/>
        </w:rPr>
      </w:pPr>
    </w:p>
    <w:p w14:paraId="28534E1D" w14:textId="77777777" w:rsidR="00F86882" w:rsidRDefault="00F86882" w:rsidP="00945488">
      <w:pPr>
        <w:jc w:val="both"/>
        <w:rPr>
          <w:rFonts w:ascii="Times New Roman" w:hAnsi="Times New Roman" w:cs="Times New Roman"/>
          <w:sz w:val="22"/>
          <w:szCs w:val="22"/>
        </w:rPr>
      </w:pPr>
    </w:p>
    <w:p w14:paraId="54E514AC" w14:textId="77777777" w:rsidR="00F86882" w:rsidRDefault="00F86882" w:rsidP="00945488">
      <w:pPr>
        <w:jc w:val="both"/>
        <w:rPr>
          <w:rFonts w:ascii="Times New Roman" w:hAnsi="Times New Roman" w:cs="Times New Roman"/>
          <w:sz w:val="22"/>
          <w:szCs w:val="22"/>
        </w:rPr>
      </w:pPr>
    </w:p>
    <w:p w14:paraId="6B02ED79" w14:textId="77777777" w:rsidR="00F86882" w:rsidRDefault="00F86882" w:rsidP="00945488">
      <w:pPr>
        <w:jc w:val="both"/>
        <w:rPr>
          <w:rFonts w:ascii="Times New Roman" w:hAnsi="Times New Roman" w:cs="Times New Roman"/>
          <w:sz w:val="22"/>
          <w:szCs w:val="22"/>
        </w:rPr>
      </w:pPr>
    </w:p>
    <w:p w14:paraId="12B1084E" w14:textId="77777777" w:rsidR="00F86882" w:rsidRDefault="00F86882" w:rsidP="00945488">
      <w:pPr>
        <w:jc w:val="both"/>
        <w:rPr>
          <w:rFonts w:ascii="Times New Roman" w:hAnsi="Times New Roman" w:cs="Times New Roman"/>
          <w:sz w:val="22"/>
          <w:szCs w:val="22"/>
        </w:rPr>
      </w:pPr>
    </w:p>
    <w:p w14:paraId="6964DEF3" w14:textId="77777777" w:rsidR="00F86882" w:rsidRDefault="00F86882" w:rsidP="00945488">
      <w:pPr>
        <w:jc w:val="both"/>
        <w:rPr>
          <w:rFonts w:ascii="Times New Roman" w:hAnsi="Times New Roman" w:cs="Times New Roman"/>
          <w:sz w:val="22"/>
          <w:szCs w:val="22"/>
        </w:rPr>
      </w:pPr>
    </w:p>
    <w:p w14:paraId="0BEB99E8" w14:textId="77777777" w:rsidR="00CA032F" w:rsidRDefault="00CA032F" w:rsidP="00945488">
      <w:pPr>
        <w:jc w:val="both"/>
        <w:rPr>
          <w:rFonts w:ascii="Times New Roman" w:hAnsi="Times New Roman" w:cs="Times New Roman"/>
          <w:sz w:val="22"/>
          <w:szCs w:val="22"/>
        </w:rPr>
      </w:pPr>
    </w:p>
    <w:p w14:paraId="401A3816" w14:textId="77777777" w:rsidR="00CA032F" w:rsidRDefault="00CA032F" w:rsidP="00945488">
      <w:pPr>
        <w:jc w:val="both"/>
        <w:rPr>
          <w:rFonts w:ascii="Times New Roman" w:hAnsi="Times New Roman" w:cs="Times New Roman"/>
          <w:sz w:val="22"/>
          <w:szCs w:val="22"/>
        </w:rPr>
      </w:pPr>
    </w:p>
    <w:p w14:paraId="78A9EAD6" w14:textId="0D85C464" w:rsidR="00F86882" w:rsidRDefault="007627DD" w:rsidP="00945488">
      <w:pPr>
        <w:jc w:val="both"/>
        <w:rPr>
          <w:rFonts w:ascii="Times New Roman" w:hAnsi="Times New Roman" w:cs="Times New Roman"/>
          <w:sz w:val="22"/>
          <w:szCs w:val="22"/>
        </w:rPr>
      </w:pPr>
      <w:r w:rsidRPr="00DD00B4">
        <w:rPr>
          <w:rFonts w:ascii="Times New Roman" w:hAnsi="Times New Roman" w:cs="Times New Roman"/>
          <w:i/>
          <w:iCs/>
          <w:sz w:val="22"/>
          <w:szCs w:val="22"/>
        </w:rPr>
        <w:t xml:space="preserve">Schematic diagram detailing the stepwise process of PAM development: (1) Nasal epithelial adhesion and colonization, (2) Migration through cribriform plate along olfactory nerve filaments, (3) CNS invasion and dissemination through subarachnoid space, (4) Tissue destruction mediated by virulence factors including </w:t>
      </w:r>
      <w:proofErr w:type="spellStart"/>
      <w:r w:rsidRPr="00DD00B4">
        <w:rPr>
          <w:rFonts w:ascii="Times New Roman" w:hAnsi="Times New Roman" w:cs="Times New Roman"/>
          <w:i/>
          <w:iCs/>
          <w:sz w:val="22"/>
          <w:szCs w:val="22"/>
        </w:rPr>
        <w:t>naegleriapores</w:t>
      </w:r>
      <w:proofErr w:type="spellEnd"/>
      <w:r w:rsidRPr="00DD00B4">
        <w:rPr>
          <w:rFonts w:ascii="Times New Roman" w:hAnsi="Times New Roman" w:cs="Times New Roman"/>
          <w:i/>
          <w:iCs/>
          <w:sz w:val="22"/>
          <w:szCs w:val="22"/>
        </w:rPr>
        <w:t xml:space="preserve"> (pore-forming proteins), proteases (extracellular matrix degradation), and phospholipases (membrane disruption), and (5) Hemorrhagic necrotizing encephalitis with massive inflammatory response.</w:t>
      </w:r>
    </w:p>
    <w:p w14:paraId="363C6BA1" w14:textId="29A2FAEC" w:rsidR="00C546FD" w:rsidRDefault="00C546FD" w:rsidP="00945488">
      <w:pPr>
        <w:jc w:val="both"/>
        <w:rPr>
          <w:rFonts w:ascii="Times New Roman" w:hAnsi="Times New Roman" w:cs="Times New Roman"/>
          <w:sz w:val="22"/>
          <w:szCs w:val="22"/>
        </w:rPr>
      </w:pPr>
      <w:r w:rsidRPr="00C546FD">
        <w:rPr>
          <w:rFonts w:ascii="Times New Roman" w:hAnsi="Times New Roman" w:cs="Times New Roman"/>
          <w:sz w:val="22"/>
          <w:szCs w:val="22"/>
        </w:rPr>
        <w:t>The unification of these recent findings offers a wider view of the PAM pathogenesis, revealing a complex interaction between the vilest of parasite characteristics and the strongest host defense. The knowledge gained through these steps not only clarifies the medicinal aspect of this ravaging disease but also brings to light the use of new drugs that target the blockade of the neuroinvasive cascade, crucial steps.</w:t>
      </w:r>
    </w:p>
    <w:p w14:paraId="0B59B0DB" w14:textId="77777777" w:rsidR="00CC3551" w:rsidRDefault="00CC3551" w:rsidP="00945488">
      <w:pPr>
        <w:jc w:val="both"/>
        <w:rPr>
          <w:rFonts w:ascii="Times New Roman" w:hAnsi="Times New Roman" w:cs="Times New Roman"/>
          <w:sz w:val="22"/>
          <w:szCs w:val="22"/>
        </w:rPr>
      </w:pPr>
    </w:p>
    <w:p w14:paraId="2AF8DFBB" w14:textId="77777777" w:rsidR="00CC3551" w:rsidRDefault="00CC3551" w:rsidP="00945488">
      <w:pPr>
        <w:jc w:val="both"/>
        <w:rPr>
          <w:rFonts w:ascii="Times New Roman" w:hAnsi="Times New Roman" w:cs="Times New Roman"/>
          <w:sz w:val="22"/>
          <w:szCs w:val="22"/>
        </w:rPr>
      </w:pPr>
    </w:p>
    <w:p w14:paraId="61D79DC0" w14:textId="77777777" w:rsidR="00CC3551" w:rsidRDefault="00CC3551" w:rsidP="00945488">
      <w:pPr>
        <w:jc w:val="both"/>
        <w:rPr>
          <w:rFonts w:ascii="Times New Roman" w:hAnsi="Times New Roman" w:cs="Times New Roman"/>
          <w:sz w:val="22"/>
          <w:szCs w:val="22"/>
        </w:rPr>
      </w:pPr>
    </w:p>
    <w:p w14:paraId="4EF4EDA7" w14:textId="77777777" w:rsidR="00CC3551" w:rsidRDefault="00CC3551" w:rsidP="00945488">
      <w:pPr>
        <w:jc w:val="both"/>
        <w:rPr>
          <w:rFonts w:ascii="Times New Roman" w:hAnsi="Times New Roman" w:cs="Times New Roman"/>
          <w:sz w:val="22"/>
          <w:szCs w:val="22"/>
        </w:rPr>
      </w:pPr>
    </w:p>
    <w:p w14:paraId="39C334E9" w14:textId="77777777" w:rsidR="00CC3551" w:rsidRDefault="00CC3551" w:rsidP="00945488">
      <w:pPr>
        <w:jc w:val="both"/>
        <w:rPr>
          <w:rFonts w:ascii="Times New Roman" w:hAnsi="Times New Roman" w:cs="Times New Roman"/>
          <w:sz w:val="22"/>
          <w:szCs w:val="22"/>
        </w:rPr>
      </w:pPr>
    </w:p>
    <w:p w14:paraId="54F49D55" w14:textId="77777777" w:rsidR="00CC3551" w:rsidRDefault="00CC3551" w:rsidP="00945488">
      <w:pPr>
        <w:jc w:val="both"/>
        <w:rPr>
          <w:rFonts w:ascii="Times New Roman" w:hAnsi="Times New Roman" w:cs="Times New Roman"/>
          <w:sz w:val="22"/>
          <w:szCs w:val="22"/>
        </w:rPr>
      </w:pPr>
    </w:p>
    <w:p w14:paraId="24C6C4B1" w14:textId="10D1A005" w:rsidR="005331D0"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6</w:t>
      </w:r>
      <w:r w:rsidR="005331D0" w:rsidRPr="00AE470E">
        <w:rPr>
          <w:rFonts w:ascii="Times New Roman" w:hAnsi="Times New Roman" w:cs="Times New Roman"/>
          <w:b/>
          <w:bCs/>
          <w:sz w:val="26"/>
          <w:szCs w:val="26"/>
        </w:rPr>
        <w:t xml:space="preserve">. Clinical Presentation &amp; Diagnosis </w:t>
      </w:r>
    </w:p>
    <w:p w14:paraId="20B92D0A" w14:textId="0542586D" w:rsidR="00FF29B2" w:rsidRPr="00FF29B2" w:rsidRDefault="00FF29B2" w:rsidP="00945488">
      <w:pPr>
        <w:jc w:val="both"/>
        <w:rPr>
          <w:rFonts w:ascii="Times New Roman" w:hAnsi="Times New Roman" w:cs="Times New Roman"/>
          <w:sz w:val="22"/>
          <w:szCs w:val="22"/>
        </w:rPr>
      </w:pPr>
      <w:r w:rsidRPr="00FF29B2">
        <w:rPr>
          <w:rFonts w:ascii="Times New Roman" w:hAnsi="Times New Roman" w:cs="Times New Roman"/>
          <w:sz w:val="22"/>
          <w:szCs w:val="22"/>
        </w:rPr>
        <w:lastRenderedPageBreak/>
        <w:t>The diagnosis of PAM requires a very timely process and a huge clinical suspicion in a patient with a background of freshwater exposure. It is fast spreading non-specific flu-like symptoms that cause death, and sometimes the right diagnosis is made too late because they are mistaken for more common infections.</w:t>
      </w:r>
    </w:p>
    <w:p w14:paraId="787488D3" w14:textId="6A05983E" w:rsidR="005331D0" w:rsidRPr="005331D0" w:rsidRDefault="00AD5FD4" w:rsidP="00945488">
      <w:pPr>
        <w:jc w:val="both"/>
        <w:rPr>
          <w:rFonts w:ascii="Times New Roman" w:hAnsi="Times New Roman" w:cs="Times New Roman"/>
          <w:sz w:val="22"/>
          <w:szCs w:val="22"/>
        </w:rPr>
      </w:pPr>
      <w:r>
        <w:rPr>
          <w:rFonts w:ascii="Times New Roman" w:hAnsi="Times New Roman" w:cs="Times New Roman"/>
          <w:b/>
          <w:bCs/>
        </w:rPr>
        <w:t>6</w:t>
      </w:r>
      <w:r w:rsidR="00945488" w:rsidRPr="00AE470E">
        <w:rPr>
          <w:rFonts w:ascii="Times New Roman" w:hAnsi="Times New Roman" w:cs="Times New Roman"/>
          <w:b/>
          <w:bCs/>
        </w:rPr>
        <w:t xml:space="preserve">.1 </w:t>
      </w:r>
      <w:r w:rsidR="005331D0" w:rsidRPr="00AE470E">
        <w:rPr>
          <w:rFonts w:ascii="Times New Roman" w:hAnsi="Times New Roman" w:cs="Times New Roman"/>
          <w:b/>
          <w:bCs/>
        </w:rPr>
        <w:t>Clinical Picture</w:t>
      </w:r>
      <w:r w:rsidR="005331D0" w:rsidRPr="005331D0">
        <w:rPr>
          <w:rFonts w:ascii="Times New Roman" w:hAnsi="Times New Roman" w:cs="Times New Roman"/>
          <w:sz w:val="22"/>
          <w:szCs w:val="22"/>
        </w:rPr>
        <w:br/>
      </w:r>
      <w:r w:rsidR="00C546FD" w:rsidRPr="00C546FD">
        <w:rPr>
          <w:rFonts w:ascii="Times New Roman" w:hAnsi="Times New Roman" w:cs="Times New Roman"/>
          <w:sz w:val="22"/>
          <w:szCs w:val="22"/>
        </w:rPr>
        <w:t xml:space="preserve">Primary Amoebic Meningoencephalitis (PAM) is a quickly progressive neurological syndrome that usually takes a deathly predictable and devastating clinical route. Initial symptoms appear about 2-7 days after exposure, starting with very general symptoms of severe frontal headache, high fever, nausea, and vomiting. The initial clinical picture is often confused with that of bacterial meningitis or severe viral encephalitis, which results in critical diagnostic delays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{"citationID":"yXyROJSt","properties":{"formattedCitation":"(Pitman-Hunt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F10383">
        <w:rPr>
          <w:rFonts w:ascii="Times New Roman" w:hAnsi="Times New Roman" w:cs="Times New Roman"/>
          <w:sz w:val="22"/>
          <w:szCs w:val="22"/>
        </w:rPr>
        <w:fldChar w:fldCharType="end"/>
      </w:r>
      <w:r w:rsidR="00C546FD" w:rsidRPr="00C546FD">
        <w:rPr>
          <w:rFonts w:ascii="Times New Roman" w:hAnsi="Times New Roman" w:cs="Times New Roman"/>
          <w:sz w:val="22"/>
          <w:szCs w:val="22"/>
        </w:rPr>
        <w:t xml:space="preserve">. After this, in about 24-48 hours, the disease progresses to the point where the signs of meningeal irritation come up, such as stiff neck, fear of light, and Kernig's sign. And then, the neurological decline speeds up very quickly, with patients going through a series of mental alterations, confusion, hallucinations, loss of a specific neurological function, seizures, and finally coma. The swiftness of this progression is one of the features of the disease, so that most of the patients die from it 5-7 days after the onset of symptoms despite the best medical treatment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{"citationID":"XgJIwRsd","properties":{"formattedCitation":"(Chatterjee et al., 2015)","plainCitation":"(Chatterjee et al., 2015)","noteIndex":0},"citationItems":[{"id":564,"uris":["http://zotero.org/users/18073969/items/BQUS3D98"],"itemData":{"id":564,"type":"article-journal","abstract":"ABSTRACT\n            \n              Enteric protozoan parasites, which are spread by the fecal-oral route, are important causes of diarrhea (\n              Giardia duodenalis\n              ) and amebic dysentery (\n              Entamoeba histolytica\n              ). Cyst walls of\n              Giardia\n              and\n              Entamoeba\n              have a single layer composed of fibrils of β-1,3-linked GalNAc and β-1,4-linked GlcNAc (chitin), respectively. The goal here was to determine whether hand sanitizers that contain ethanol or isopropanol as the active microbicide might reduce transmission of these parasites. We found that treatment with these alcohols with or without drying in a rotary evaporator (to model rapid evaporation of sanitizers on hands) kills 85 to 100% of cysts of\n              G. duodenalis\n              and 90 to 100% of cysts of\n              Entamoeba invadens\n              (a nonpathogenic model for\n              E. histolytica\n              ), as shown by nuclear labeling with propidium iodide and failure to excyst\n              in vitro\n              . Alcohols with or without drying collapsed the cyst walls of\n              Giardia\n              but did not collapse the cyst walls of\n              Entamoeba\n              . To validate the\n              in vitro\n              results, we showed that treatment with alcohols eliminated oral infection of gerbils by 1,000\n              G. duodenalis\n              cysts, while a commercial hand sanitizer (Purell) killed\n              E. invadens\n              cysts that were directly applied to the hands. These results suggest that expanded use of alcohol-based hand sanitizers might reduce the transmission of\n              Giardia\n              and\n              Entamoeba\n              .","container-title":"Antimicrobial Agents and Chemotherapy","DOI":"10.1128/AAC.01290-15","ISSN":"0066-4804, 1098-6596","issue":"11","journalAbbreviation":"Antimicrob Agents Chemother","language":"en","page":"6749-6754","source":"DOI.org (Crossref)","title":"Ethanol and Isopropanol in Concentrations Present in Hand Sanitizers Sharply Reduce Excystation of Giardia and Entamoeba and Eliminate Oral Infectivity of Giardia Cysts in Gerbils","volume":"59","author":[{"family":"Chatterjee","given":"Aparajita"},{"family":"Bandini","given":"Giulia"},{"family":"Motari","given":"Edwin"},{"family":"Samuelson","given":"John"}],"issued":{"date-parts":[["2015",11]]}}}],"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(Chatterjee et al., 2015)</w:t>
      </w:r>
      <w:r w:rsidR="00F10383">
        <w:rPr>
          <w:rFonts w:ascii="Times New Roman" w:hAnsi="Times New Roman" w:cs="Times New Roman"/>
          <w:sz w:val="22"/>
          <w:szCs w:val="22"/>
        </w:rPr>
        <w:fldChar w:fldCharType="end"/>
      </w:r>
      <w:r w:rsidR="00C546FD" w:rsidRPr="00C546FD">
        <w:rPr>
          <w:rFonts w:ascii="Times New Roman" w:hAnsi="Times New Roman" w:cs="Times New Roman"/>
          <w:sz w:val="22"/>
          <w:szCs w:val="22"/>
        </w:rPr>
        <w:t>.</w:t>
      </w:r>
    </w:p>
    <w:p w14:paraId="29B1EE48" w14:textId="07BA782E" w:rsidR="005331D0" w:rsidRPr="005331D0" w:rsidRDefault="00AD5FD4" w:rsidP="00945488">
      <w:pPr>
        <w:jc w:val="both"/>
        <w:rPr>
          <w:rFonts w:ascii="Times New Roman" w:hAnsi="Times New Roman" w:cs="Times New Roman"/>
          <w:sz w:val="22"/>
          <w:szCs w:val="22"/>
        </w:rPr>
      </w:pPr>
      <w:r>
        <w:rPr>
          <w:rFonts w:ascii="Times New Roman" w:hAnsi="Times New Roman" w:cs="Times New Roman"/>
          <w:b/>
          <w:bCs/>
        </w:rPr>
        <w:t>6</w:t>
      </w:r>
      <w:r w:rsidR="00945488" w:rsidRPr="00AE470E">
        <w:rPr>
          <w:rFonts w:ascii="Times New Roman" w:hAnsi="Times New Roman" w:cs="Times New Roman"/>
          <w:b/>
          <w:bCs/>
        </w:rPr>
        <w:t xml:space="preserve">.2 </w:t>
      </w:r>
      <w:r w:rsidR="005331D0" w:rsidRPr="00AE470E">
        <w:rPr>
          <w:rFonts w:ascii="Times New Roman" w:hAnsi="Times New Roman" w:cs="Times New Roman"/>
          <w:b/>
          <w:bCs/>
        </w:rPr>
        <w:t>Diagnostic Arsenal</w:t>
      </w:r>
      <w:r w:rsidR="005331D0" w:rsidRPr="005331D0">
        <w:rPr>
          <w:rFonts w:ascii="Times New Roman" w:hAnsi="Times New Roman" w:cs="Times New Roman"/>
          <w:sz w:val="22"/>
          <w:szCs w:val="22"/>
        </w:rPr>
        <w:br/>
      </w:r>
      <w:r w:rsidR="00C546FD" w:rsidRPr="00C546FD">
        <w:rPr>
          <w:rFonts w:ascii="Times New Roman" w:hAnsi="Times New Roman" w:cs="Times New Roman"/>
          <w:sz w:val="22"/>
          <w:szCs w:val="22"/>
        </w:rPr>
        <w:t>A clinical suspicion with a high index of PAM is the mainstay of diagnostic approaches and should be complemented by a quick laboratory confirmation. Classical methods still hold value, but recently, technological breakthroughs have opened up the possibility of significantly enhanced diagnostics.</w:t>
      </w:r>
    </w:p>
    <w:p w14:paraId="2A0EFBBA" w14:textId="5E36670D" w:rsidR="005331D0" w:rsidRPr="005331D0" w:rsidRDefault="005331D0" w:rsidP="00945488">
      <w:pPr>
        <w:jc w:val="both"/>
        <w:rPr>
          <w:rFonts w:ascii="Times New Roman" w:hAnsi="Times New Roman" w:cs="Times New Roman"/>
          <w:sz w:val="22"/>
          <w:szCs w:val="22"/>
        </w:rPr>
      </w:pPr>
      <w:r w:rsidRPr="00AE470E">
        <w:rPr>
          <w:rFonts w:ascii="Times New Roman" w:hAnsi="Times New Roman" w:cs="Times New Roman"/>
          <w:b/>
          <w:bCs/>
          <w:i/>
          <w:iCs/>
          <w:sz w:val="22"/>
          <w:szCs w:val="22"/>
        </w:rPr>
        <w:t>Traditional Methods</w:t>
      </w:r>
      <w:r w:rsidR="00AE470E" w:rsidRPr="00AE470E">
        <w:rPr>
          <w:rFonts w:ascii="Times New Roman" w:hAnsi="Times New Roman" w:cs="Times New Roman"/>
          <w:b/>
          <w:bCs/>
          <w:i/>
          <w:iCs/>
          <w:sz w:val="22"/>
          <w:szCs w:val="22"/>
        </w:rPr>
        <w:t>:</w:t>
      </w:r>
      <w:r w:rsidR="00AE470E">
        <w:rPr>
          <w:rFonts w:ascii="Times New Roman" w:hAnsi="Times New Roman" w:cs="Times New Roman"/>
          <w:sz w:val="22"/>
          <w:szCs w:val="22"/>
        </w:rPr>
        <w:t xml:space="preserve"> </w:t>
      </w:r>
      <w:r w:rsidR="00C546FD" w:rsidRPr="00C546FD">
        <w:rPr>
          <w:rFonts w:ascii="Times New Roman" w:hAnsi="Times New Roman" w:cs="Times New Roman"/>
          <w:sz w:val="22"/>
          <w:szCs w:val="22"/>
        </w:rPr>
        <w:t xml:space="preserve">Cerebrospinal fluid analysis usually indicates heightened opening pressure, a larger number of white blood cells with neutrophils as the main type, higher concentration of protein, and lower levels of glucose. Furthermore, due to the large area of necrosis caused by bleeding, the CSF is often found to be either bloody or yellowish and is therefore often labeled as such. Imaging tests like MRI may reveal new lesions in the olfactory bulbs, the basal frontal areas, and the temporal lobes, along with the enhancement of the meninges and signs of hemorrhagic transformation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{"citationID":"dcRAsTKI","properties":{"formattedCitation":"(Minter et al., 2021)","plainCitation":"(Minter et al., 2021)","noteIndex":0},"citationItems":[{"id":611,"uris":["http://zotero.org/users/18073969/items/ETQWTPXD"],"itemData":{"id":611,"type":"article-journal","abstract":"Abstract\n            As programs move closer toward the World Health Organization (WHO) goals of reduction in morbidity, elimination as a public health problem or elimination of transmission, countries will be faced with planning the next stages of surveillance and control in low prevalence settings. Mathematical models of neglected tropical diseases (NTDs) will need to go beyond predicting the effect of different treatment programs on these goals and on to predicting whether the gains can be sustained. One of the most important challenges will be identifying the policy goal and the right constraints on interventions and surveillance over the long term, as a single policy option will not achieve all aims—for example, minimizing morbidity and minimizing costs cannot both be achieved. As NTDs move toward 2030 and beyond, more nuanced intervention choices will be informed by quantitative analyses which are adapted to national context.","container-title":"Clinical Infectious Diseases","DOI":"10.1093/cid/ciab188","ISSN":"1058-4838, 1537-6591","issue":"Supplement_3","language":"en","license":"http://creativecommons.org/licenses/by/4.0/","page":"S129-S133","source":"DOI.org (Crossref)","title":"What Can Modeling Tell Us About Sustainable End Points for Neglected Tropical Diseases?","volume":"72","author":[{"family":"Minter","given":"Amanda"},{"family":"Pellis","given":"Lorenzo"},{"family":"Medley","given":"Graham F"},{"family":"Hollingsworth","given":"T Déirdre"}],"issued":{"date-parts":[["2021",6,14]]}}}],"schema":"https://github.com/citation-style-language/schema/raw/master/csl-citation.json"}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(Minter et al., 2021)</w:t>
      </w:r>
      <w:r w:rsidR="00F10383">
        <w:rPr>
          <w:rFonts w:ascii="Times New Roman" w:hAnsi="Times New Roman" w:cs="Times New Roman"/>
          <w:sz w:val="22"/>
          <w:szCs w:val="22"/>
        </w:rPr>
        <w:fldChar w:fldCharType="end"/>
      </w:r>
      <w:r w:rsidR="00C546FD" w:rsidRPr="00C546FD">
        <w:rPr>
          <w:rFonts w:ascii="Times New Roman" w:hAnsi="Times New Roman" w:cs="Times New Roman"/>
          <w:sz w:val="22"/>
          <w:szCs w:val="22"/>
        </w:rPr>
        <w:t>. On the contrary, these features are not specific and frequently occur late in the illness, thus making them less valuable for early identification of the disease.</w:t>
      </w:r>
    </w:p>
    <w:p w14:paraId="7BA7E256" w14:textId="761C97FE" w:rsidR="000A0845" w:rsidRPr="000A0845" w:rsidRDefault="005331D0" w:rsidP="000A0845">
      <w:pPr>
        <w:jc w:val="both"/>
        <w:rPr>
          <w:rFonts w:ascii="Times New Roman" w:hAnsi="Times New Roman" w:cs="Times New Roman"/>
          <w:sz w:val="22"/>
          <w:szCs w:val="22"/>
        </w:rPr>
      </w:pPr>
      <w:r w:rsidRPr="00AE470E">
        <w:rPr>
          <w:rFonts w:ascii="Times New Roman" w:hAnsi="Times New Roman" w:cs="Times New Roman"/>
          <w:b/>
          <w:bCs/>
          <w:i/>
          <w:iCs/>
          <w:sz w:val="22"/>
          <w:szCs w:val="22"/>
        </w:rPr>
        <w:t>Advanced &amp; Recent Diagnostic Methods (2020-2025)</w:t>
      </w:r>
      <w:r w:rsidR="00AE470E">
        <w:rPr>
          <w:rFonts w:ascii="Times New Roman" w:hAnsi="Times New Roman" w:cs="Times New Roman"/>
          <w:sz w:val="22"/>
          <w:szCs w:val="22"/>
        </w:rPr>
        <w:t xml:space="preserve">: </w:t>
      </w:r>
      <w:r w:rsidR="000A0845" w:rsidRPr="000A0845">
        <w:rPr>
          <w:rFonts w:ascii="Times New Roman" w:hAnsi="Times New Roman" w:cs="Times New Roman"/>
          <w:sz w:val="22"/>
          <w:szCs w:val="22"/>
        </w:rPr>
        <w:t xml:space="preserve">Molecular diagnostics have tremendously changed the way PAM is detected. Specifically, real-time PCR assays that are designed for certain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genes not only give quick and exact identification but also present their results in just a few hours. Multiplex PCR panels that can detect different pathogens that cause meningoencephalitis at the same time have improved the efficiency of diagnosis in clinical environments with widely spread differential diagnoses, where the differential diagnosis is broad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{"citationID":"Ot7o19Sp","properties":{"formattedCitation":"(Hwee et al., 2022)","plainCitation":"(Hwee et al., 2022)","noteIndex":0},"citationItems":[{"id":613,"uris":["http://zotero.org/users/18073969/items/8NRFIUNF"],"itemData":{"id":613,"type":"article-journal","container-title":"European Journal of Clinical Microbiology &amp; Infectious Diseases","DOI":"10.1007/s10096-022-04420-9","ISSN":"0934-9723, 1435-4373","issue":"4","journalAbbreviation":"Eur J Clin Microbiol Infect Dis","language":"en","page":"631-640","source":"DOI.org (Crossref)","title":"Rapid diagnostic test (Leptocheck-WB) for detection of acute leptospirosis: a meta-analysis of diagnostic accuracy","title-short":"Rapid diagnostic test (Leptocheck-WB) for detection of acute leptospirosis","volume":"41","author":[{"family":"Hwee","given":"Siau Ek"},{"family":"Htet","given":"Norah Htet"},{"family":"Naing","given":"Cho"},{"family":"Tung","given":"Wong Siew"},{"family":"Mak","given":"Joon Wah"}],"issued":{"date-parts":[["2022",4]]}}}],"schema":"https://github.com/citation-style-language/schema/raw/master/csl-citation.json"}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(Hwee et al., 2022)</w:t>
      </w:r>
      <w:r w:rsidR="00851590">
        <w:rPr>
          <w:rFonts w:ascii="Times New Roman" w:hAnsi="Times New Roman" w:cs="Times New Roman"/>
          <w:sz w:val="22"/>
          <w:szCs w:val="22"/>
        </w:rPr>
        <w:fldChar w:fldCharType="end"/>
      </w:r>
      <w:r w:rsidR="000A0845" w:rsidRPr="000A0845">
        <w:rPr>
          <w:rFonts w:ascii="Times New Roman" w:hAnsi="Times New Roman" w:cs="Times New Roman"/>
          <w:sz w:val="22"/>
          <w:szCs w:val="22"/>
        </w:rPr>
        <w:t>.</w:t>
      </w:r>
    </w:p>
    <w:p w14:paraId="7007F508" w14:textId="5ABD1AE6" w:rsidR="00F86882" w:rsidRPr="00CA032F"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 xml:space="preserve">One of the most important breakthroughs to date is the use of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for pathogen detection without any bias. The entire process of analyzing CSF nucleic acids is done without requiring knowledge of the infectious agent beforehand, thus making it very useful for pathogens like </w:t>
      </w:r>
      <w:r w:rsidRPr="000A0845">
        <w:rPr>
          <w:rFonts w:ascii="Times New Roman" w:hAnsi="Times New Roman" w:cs="Times New Roman"/>
          <w:i/>
          <w:iCs/>
          <w:sz w:val="22"/>
          <w:szCs w:val="22"/>
        </w:rPr>
        <w:t>N. fowleri</w:t>
      </w:r>
      <w:r w:rsidRPr="000A0845">
        <w:rPr>
          <w:rFonts w:ascii="Times New Roman" w:hAnsi="Times New Roman" w:cs="Times New Roman"/>
          <w:sz w:val="22"/>
          <w:szCs w:val="22"/>
        </w:rPr>
        <w:t xml:space="preserve"> that are rare or unexpected. Numerous recent case reports have shown that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has been successful in identifying </w:t>
      </w:r>
      <w:r w:rsidRPr="000A0845">
        <w:rPr>
          <w:rFonts w:ascii="Times New Roman" w:hAnsi="Times New Roman" w:cs="Times New Roman"/>
          <w:i/>
          <w:iCs/>
          <w:sz w:val="22"/>
          <w:szCs w:val="22"/>
        </w:rPr>
        <w:t>N. fowleri</w:t>
      </w:r>
      <w:r w:rsidRPr="000A0845">
        <w:rPr>
          <w:rFonts w:ascii="Times New Roman" w:hAnsi="Times New Roman" w:cs="Times New Roman"/>
          <w:sz w:val="22"/>
          <w:szCs w:val="22"/>
        </w:rPr>
        <w:t xml:space="preserve"> in patients whose diagnosis through conventional methods was delayed or inconclusive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{"citationID":"YvhYw90Q","properties":{"formattedCitation":"(Wilson et al., 2019)","plainCitation":"(Wilson et al., 2019)","noteIndex":0},"citationItems":[{"id":614,"uris":["http://zotero.org/users/18073969/items/B9UAGRAS"],"itemData":{"id":614,"type":"article-journal","container-title":"New England Journal of Medicine","DOI":"10.1056/NEJMoa1803396","ISSN":"0028-4793, 1533-4406","issue":"24","journalAbbreviation":"N Engl J Med","language":"en","license":"http://www.nejmgroup.org/legal/terms-of-use.htm","page":"2327-2340","source":"DOI.org (Crossref)","title":"Clinical Metagenomic Sequencing for Diagnosis of Meningitis and Encephalitis","volume":"380","author":[{"family":"Wilson","given":"Michael R."},{"family":"Sample","given":"Hannah A."},{"family":"Zorn","given":"Kelsey C."},{"family":"Arevalo","given":"Shaun"},{"family":"Yu","given":"Guixia"},{"family":"Neuhaus","given":"John"},{"family":"Federman","given":"Scot"},{"family":"Stryke","given":"Doug"},{"family":"Briggs","given":"Benjamin"},{"family":"Langelier","given":"Charles"},{"family":"Berger","given":"Amy"},{"family":"Douglas","given":"Vanja"},{"family":"Josephson","given":"S. Andrew"},{"family":"Chow","given":"Felicia C."},{"family":"Fulton","given":"Brent D."},{"family":"DeRisi","given":"Joseph L."},{"family":"Gelfand","given":"Jeffrey M."},{"family":"Naccache","given":"Samia N."},{"family":"Bender","given":"Jeffrey"},{"family":"Dien Bard","given":"Jennifer"},{"family":"Murkey","given":"Jamie"},{"family":"Carlson","given":"Magrit"},{"family":"Vespa","given":"Paul M."},{"family":"Vijayan","given":"Tara"},{"family":"Allyn","given":"Paul R."},{"family":"Campeau","given":"Shelley"},{"family":"Humphries","given":"Romney M."},{"family":"Klausner","given":"Jeffrey D."},{"family":"Ganzon","given":"Czarina D."},{"family":"Memar","given":"Fatemeh"},{"family":"Ocampo","given":"Nicolle A."},{"family":"Zimmermann","given":"Lara L."},{"family":"Cohen","given":"Stuart H."},{"family":"Polage","given":"Christopher R."},{"family":"DeBiasi","given":"Roberta L."},{"family":"Haller","given":"Barbara"},{"family":"Dallas","given":"Ronald"},{"family":"Maron","given":"Gabriela"},{"family":"Hayden","given":"Randall"},{"family":"Messacar","given":"Kevin"},{"family":"Dominguez","given":"Samuel R."},{"family":"Miller","given":"Steve"},{"family":"Chiu","given":"Charles Y."}],"issued":{"date-parts":[["2019",6,13]]}}}],"schema":"https://github.com/citation-style-language/schema/raw/master/csl-citation.json"}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(Wilson et al., 2019)</w:t>
      </w:r>
      <w:r w:rsidR="00851590">
        <w:rPr>
          <w:rFonts w:ascii="Times New Roman" w:hAnsi="Times New Roman" w:cs="Times New Roman"/>
          <w:sz w:val="22"/>
          <w:szCs w:val="22"/>
        </w:rPr>
        <w:fldChar w:fldCharType="end"/>
      </w:r>
      <w:r w:rsidRPr="000A0845">
        <w:rPr>
          <w:rFonts w:ascii="Times New Roman" w:hAnsi="Times New Roman" w:cs="Times New Roman"/>
          <w:sz w:val="22"/>
          <w:szCs w:val="22"/>
        </w:rPr>
        <w:t xml:space="preserve">. The drawbacks of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still include its high cost, turnaround time (24-48 hours), and availability that is mainly restricted to tertiary care hospitals.</w:t>
      </w:r>
    </w:p>
    <w:p w14:paraId="218663AA" w14:textId="1DF45CC3"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b/>
          <w:bCs/>
          <w:sz w:val="22"/>
          <w:szCs w:val="22"/>
        </w:rPr>
        <w:lastRenderedPageBreak/>
        <w:t>Table 2: Diagnostic Methods for PAM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5"/>
        <w:gridCol w:w="1202"/>
        <w:gridCol w:w="2196"/>
        <w:gridCol w:w="2128"/>
        <w:gridCol w:w="1489"/>
      </w:tblGrid>
      <w:tr w:rsidR="005331D0" w:rsidRPr="005331D0" w14:paraId="7C43BE1E" w14:textId="77777777" w:rsidTr="000A0845">
        <w:trPr>
          <w:tblHeader/>
        </w:trPr>
        <w:tc>
          <w:tcPr>
            <w:tcW w:w="2335" w:type="dxa"/>
            <w:tcMar>
              <w:top w:w="150" w:type="dxa"/>
              <w:left w:w="0" w:type="dxa"/>
              <w:bottom w:w="150" w:type="dxa"/>
              <w:right w:w="240" w:type="dxa"/>
            </w:tcMar>
            <w:vAlign w:val="center"/>
            <w:hideMark/>
          </w:tcPr>
          <w:p w14:paraId="3BAA3FCF" w14:textId="77777777" w:rsidR="005331D0" w:rsidRPr="005331D0" w:rsidRDefault="005331D0" w:rsidP="00945488">
            <w:pPr>
              <w:ind w:right="-207"/>
              <w:jc w:val="center"/>
              <w:rPr>
                <w:rFonts w:ascii="Times New Roman" w:hAnsi="Times New Roman" w:cs="Times New Roman"/>
                <w:sz w:val="22"/>
                <w:szCs w:val="22"/>
              </w:rPr>
            </w:pPr>
            <w:r w:rsidRPr="005331D0">
              <w:rPr>
                <w:rFonts w:ascii="Times New Roman" w:hAnsi="Times New Roman" w:cs="Times New Roman"/>
                <w:sz w:val="22"/>
                <w:szCs w:val="22"/>
              </w:rPr>
              <w:t>Method</w:t>
            </w:r>
          </w:p>
        </w:tc>
        <w:tc>
          <w:tcPr>
            <w:tcW w:w="1202" w:type="dxa"/>
            <w:tcMar>
              <w:top w:w="150" w:type="dxa"/>
              <w:left w:w="240" w:type="dxa"/>
              <w:bottom w:w="150" w:type="dxa"/>
              <w:right w:w="240" w:type="dxa"/>
            </w:tcMar>
            <w:vAlign w:val="center"/>
            <w:hideMark/>
          </w:tcPr>
          <w:p w14:paraId="0D5EB3E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Time-to-Result</w:t>
            </w:r>
          </w:p>
        </w:tc>
        <w:tc>
          <w:tcPr>
            <w:tcW w:w="0" w:type="auto"/>
            <w:tcMar>
              <w:top w:w="150" w:type="dxa"/>
              <w:left w:w="240" w:type="dxa"/>
              <w:bottom w:w="150" w:type="dxa"/>
              <w:right w:w="240" w:type="dxa"/>
            </w:tcMar>
            <w:vAlign w:val="center"/>
            <w:hideMark/>
          </w:tcPr>
          <w:p w14:paraId="052783C0"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Advantages</w:t>
            </w:r>
          </w:p>
        </w:tc>
        <w:tc>
          <w:tcPr>
            <w:tcW w:w="0" w:type="auto"/>
            <w:tcMar>
              <w:top w:w="150" w:type="dxa"/>
              <w:left w:w="240" w:type="dxa"/>
              <w:bottom w:w="150" w:type="dxa"/>
              <w:right w:w="240" w:type="dxa"/>
            </w:tcMar>
            <w:vAlign w:val="center"/>
            <w:hideMark/>
          </w:tcPr>
          <w:p w14:paraId="57F61B64"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Disadvantages</w:t>
            </w:r>
          </w:p>
        </w:tc>
        <w:tc>
          <w:tcPr>
            <w:tcW w:w="0" w:type="auto"/>
            <w:tcMar>
              <w:top w:w="150" w:type="dxa"/>
              <w:left w:w="240" w:type="dxa"/>
              <w:bottom w:w="150" w:type="dxa"/>
              <w:right w:w="240" w:type="dxa"/>
            </w:tcMar>
            <w:vAlign w:val="center"/>
            <w:hideMark/>
          </w:tcPr>
          <w:p w14:paraId="660F90DD" w14:textId="77777777" w:rsidR="00945488"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Sensitivity/</w:t>
            </w:r>
          </w:p>
          <w:p w14:paraId="17859F7A" w14:textId="1DB28E73"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Specificity</w:t>
            </w:r>
          </w:p>
        </w:tc>
      </w:tr>
      <w:tr w:rsidR="005331D0" w:rsidRPr="005331D0" w14:paraId="3C588026" w14:textId="77777777" w:rsidTr="000A0845">
        <w:tc>
          <w:tcPr>
            <w:tcW w:w="2335" w:type="dxa"/>
            <w:tcMar>
              <w:top w:w="150" w:type="dxa"/>
              <w:left w:w="0" w:type="dxa"/>
              <w:bottom w:w="150" w:type="dxa"/>
              <w:right w:w="240" w:type="dxa"/>
            </w:tcMar>
            <w:vAlign w:val="center"/>
            <w:hideMark/>
          </w:tcPr>
          <w:p w14:paraId="4DE18AF2"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Wet Mount Microscopy</w:t>
            </w:r>
          </w:p>
        </w:tc>
        <w:tc>
          <w:tcPr>
            <w:tcW w:w="1202" w:type="dxa"/>
            <w:tcMar>
              <w:top w:w="150" w:type="dxa"/>
              <w:left w:w="240" w:type="dxa"/>
              <w:bottom w:w="150" w:type="dxa"/>
              <w:right w:w="240" w:type="dxa"/>
            </w:tcMar>
            <w:vAlign w:val="center"/>
            <w:hideMark/>
          </w:tcPr>
          <w:p w14:paraId="609C3E1A"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Minutes</w:t>
            </w:r>
          </w:p>
        </w:tc>
        <w:tc>
          <w:tcPr>
            <w:tcW w:w="0" w:type="auto"/>
            <w:tcMar>
              <w:top w:w="150" w:type="dxa"/>
              <w:left w:w="240" w:type="dxa"/>
              <w:bottom w:w="150" w:type="dxa"/>
              <w:right w:w="240" w:type="dxa"/>
            </w:tcMar>
            <w:vAlign w:val="center"/>
            <w:hideMark/>
          </w:tcPr>
          <w:p w14:paraId="650763A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Rapid, low cost</w:t>
            </w:r>
          </w:p>
        </w:tc>
        <w:tc>
          <w:tcPr>
            <w:tcW w:w="0" w:type="auto"/>
            <w:tcMar>
              <w:top w:w="150" w:type="dxa"/>
              <w:left w:w="240" w:type="dxa"/>
              <w:bottom w:w="150" w:type="dxa"/>
              <w:right w:w="240" w:type="dxa"/>
            </w:tcMar>
            <w:vAlign w:val="center"/>
            <w:hideMark/>
          </w:tcPr>
          <w:p w14:paraId="6785FED0"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Low sensitivity, requires expertise</w:t>
            </w:r>
          </w:p>
        </w:tc>
        <w:tc>
          <w:tcPr>
            <w:tcW w:w="0" w:type="auto"/>
            <w:tcMar>
              <w:top w:w="150" w:type="dxa"/>
              <w:left w:w="240" w:type="dxa"/>
              <w:bottom w:w="150" w:type="dxa"/>
              <w:right w:w="0" w:type="dxa"/>
            </w:tcMar>
            <w:vAlign w:val="center"/>
            <w:hideMark/>
          </w:tcPr>
          <w:p w14:paraId="1A8D5DE9"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30-40%/High</w:t>
            </w:r>
          </w:p>
        </w:tc>
      </w:tr>
      <w:tr w:rsidR="005331D0" w:rsidRPr="005331D0" w14:paraId="406BFDDD" w14:textId="77777777" w:rsidTr="000A0845">
        <w:tc>
          <w:tcPr>
            <w:tcW w:w="2335" w:type="dxa"/>
            <w:tcMar>
              <w:top w:w="150" w:type="dxa"/>
              <w:left w:w="0" w:type="dxa"/>
              <w:bottom w:w="150" w:type="dxa"/>
              <w:right w:w="240" w:type="dxa"/>
            </w:tcMar>
            <w:vAlign w:val="center"/>
            <w:hideMark/>
          </w:tcPr>
          <w:p w14:paraId="2A38F6BE"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CSF Culture</w:t>
            </w:r>
          </w:p>
        </w:tc>
        <w:tc>
          <w:tcPr>
            <w:tcW w:w="1202" w:type="dxa"/>
            <w:tcMar>
              <w:top w:w="150" w:type="dxa"/>
              <w:left w:w="240" w:type="dxa"/>
              <w:bottom w:w="150" w:type="dxa"/>
              <w:right w:w="240" w:type="dxa"/>
            </w:tcMar>
            <w:vAlign w:val="center"/>
            <w:hideMark/>
          </w:tcPr>
          <w:p w14:paraId="665E8EB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2-5 days</w:t>
            </w:r>
          </w:p>
        </w:tc>
        <w:tc>
          <w:tcPr>
            <w:tcW w:w="0" w:type="auto"/>
            <w:tcMar>
              <w:top w:w="150" w:type="dxa"/>
              <w:left w:w="240" w:type="dxa"/>
              <w:bottom w:w="150" w:type="dxa"/>
              <w:right w:w="240" w:type="dxa"/>
            </w:tcMar>
            <w:vAlign w:val="center"/>
            <w:hideMark/>
          </w:tcPr>
          <w:p w14:paraId="54951AEE"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Gold standard, allows isolation</w:t>
            </w:r>
          </w:p>
        </w:tc>
        <w:tc>
          <w:tcPr>
            <w:tcW w:w="0" w:type="auto"/>
            <w:tcMar>
              <w:top w:w="150" w:type="dxa"/>
              <w:left w:w="240" w:type="dxa"/>
              <w:bottom w:w="150" w:type="dxa"/>
              <w:right w:w="240" w:type="dxa"/>
            </w:tcMar>
            <w:vAlign w:val="center"/>
            <w:hideMark/>
          </w:tcPr>
          <w:p w14:paraId="7736F53F"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Slow, low sensitivity</w:t>
            </w:r>
          </w:p>
        </w:tc>
        <w:tc>
          <w:tcPr>
            <w:tcW w:w="0" w:type="auto"/>
            <w:tcMar>
              <w:top w:w="150" w:type="dxa"/>
              <w:left w:w="240" w:type="dxa"/>
              <w:bottom w:w="150" w:type="dxa"/>
              <w:right w:w="0" w:type="dxa"/>
            </w:tcMar>
            <w:vAlign w:val="center"/>
            <w:hideMark/>
          </w:tcPr>
          <w:p w14:paraId="126B7B7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50-60%/100%</w:t>
            </w:r>
          </w:p>
        </w:tc>
      </w:tr>
      <w:tr w:rsidR="005331D0" w:rsidRPr="005331D0" w14:paraId="661D11AE" w14:textId="77777777" w:rsidTr="000A0845">
        <w:tc>
          <w:tcPr>
            <w:tcW w:w="2335" w:type="dxa"/>
            <w:tcMar>
              <w:top w:w="150" w:type="dxa"/>
              <w:left w:w="0" w:type="dxa"/>
              <w:bottom w:w="150" w:type="dxa"/>
              <w:right w:w="240" w:type="dxa"/>
            </w:tcMar>
            <w:vAlign w:val="center"/>
            <w:hideMark/>
          </w:tcPr>
          <w:p w14:paraId="09F6D045"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Conventional PCR</w:t>
            </w:r>
          </w:p>
        </w:tc>
        <w:tc>
          <w:tcPr>
            <w:tcW w:w="1202" w:type="dxa"/>
            <w:tcMar>
              <w:top w:w="150" w:type="dxa"/>
              <w:left w:w="240" w:type="dxa"/>
              <w:bottom w:w="150" w:type="dxa"/>
              <w:right w:w="240" w:type="dxa"/>
            </w:tcMar>
            <w:vAlign w:val="center"/>
            <w:hideMark/>
          </w:tcPr>
          <w:p w14:paraId="5CA0976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4-6 hours</w:t>
            </w:r>
          </w:p>
        </w:tc>
        <w:tc>
          <w:tcPr>
            <w:tcW w:w="0" w:type="auto"/>
            <w:tcMar>
              <w:top w:w="150" w:type="dxa"/>
              <w:left w:w="240" w:type="dxa"/>
              <w:bottom w:w="150" w:type="dxa"/>
              <w:right w:w="240" w:type="dxa"/>
            </w:tcMar>
            <w:vAlign w:val="center"/>
            <w:hideMark/>
          </w:tcPr>
          <w:p w14:paraId="17DCDD9A"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High specificity</w:t>
            </w:r>
          </w:p>
        </w:tc>
        <w:tc>
          <w:tcPr>
            <w:tcW w:w="0" w:type="auto"/>
            <w:tcMar>
              <w:top w:w="150" w:type="dxa"/>
              <w:left w:w="240" w:type="dxa"/>
              <w:bottom w:w="150" w:type="dxa"/>
              <w:right w:w="240" w:type="dxa"/>
            </w:tcMar>
            <w:vAlign w:val="center"/>
            <w:hideMark/>
          </w:tcPr>
          <w:p w14:paraId="0F2E239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Single pathogen detection</w:t>
            </w:r>
          </w:p>
        </w:tc>
        <w:tc>
          <w:tcPr>
            <w:tcW w:w="0" w:type="auto"/>
            <w:tcMar>
              <w:top w:w="150" w:type="dxa"/>
              <w:left w:w="240" w:type="dxa"/>
              <w:bottom w:w="150" w:type="dxa"/>
              <w:right w:w="0" w:type="dxa"/>
            </w:tcMar>
            <w:vAlign w:val="center"/>
            <w:hideMark/>
          </w:tcPr>
          <w:p w14:paraId="7818AFCC"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&gt;95%/&gt;98%</w:t>
            </w:r>
          </w:p>
        </w:tc>
      </w:tr>
      <w:tr w:rsidR="005331D0" w:rsidRPr="005331D0" w14:paraId="46B6477F" w14:textId="77777777" w:rsidTr="000A0845">
        <w:tc>
          <w:tcPr>
            <w:tcW w:w="2335" w:type="dxa"/>
            <w:tcMar>
              <w:top w:w="150" w:type="dxa"/>
              <w:left w:w="0" w:type="dxa"/>
              <w:bottom w:w="150" w:type="dxa"/>
              <w:right w:w="240" w:type="dxa"/>
            </w:tcMar>
            <w:vAlign w:val="center"/>
            <w:hideMark/>
          </w:tcPr>
          <w:p w14:paraId="043C21B2"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Real-time PCR</w:t>
            </w:r>
          </w:p>
        </w:tc>
        <w:tc>
          <w:tcPr>
            <w:tcW w:w="1202" w:type="dxa"/>
            <w:tcMar>
              <w:top w:w="150" w:type="dxa"/>
              <w:left w:w="240" w:type="dxa"/>
              <w:bottom w:w="150" w:type="dxa"/>
              <w:right w:w="240" w:type="dxa"/>
            </w:tcMar>
            <w:vAlign w:val="center"/>
            <w:hideMark/>
          </w:tcPr>
          <w:p w14:paraId="11E5693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2-3 hours</w:t>
            </w:r>
          </w:p>
        </w:tc>
        <w:tc>
          <w:tcPr>
            <w:tcW w:w="0" w:type="auto"/>
            <w:tcMar>
              <w:top w:w="150" w:type="dxa"/>
              <w:left w:w="240" w:type="dxa"/>
              <w:bottom w:w="150" w:type="dxa"/>
              <w:right w:w="240" w:type="dxa"/>
            </w:tcMar>
            <w:vAlign w:val="center"/>
            <w:hideMark/>
          </w:tcPr>
          <w:p w14:paraId="2901CAEE"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Quantitative, rapid</w:t>
            </w:r>
          </w:p>
        </w:tc>
        <w:tc>
          <w:tcPr>
            <w:tcW w:w="0" w:type="auto"/>
            <w:tcMar>
              <w:top w:w="150" w:type="dxa"/>
              <w:left w:w="240" w:type="dxa"/>
              <w:bottom w:w="150" w:type="dxa"/>
              <w:right w:w="240" w:type="dxa"/>
            </w:tcMar>
            <w:vAlign w:val="center"/>
            <w:hideMark/>
          </w:tcPr>
          <w:p w14:paraId="44D2DA89"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Equipment intensive</w:t>
            </w:r>
          </w:p>
        </w:tc>
        <w:tc>
          <w:tcPr>
            <w:tcW w:w="0" w:type="auto"/>
            <w:tcMar>
              <w:top w:w="150" w:type="dxa"/>
              <w:left w:w="240" w:type="dxa"/>
              <w:bottom w:w="150" w:type="dxa"/>
              <w:right w:w="0" w:type="dxa"/>
            </w:tcMar>
            <w:vAlign w:val="center"/>
            <w:hideMark/>
          </w:tcPr>
          <w:p w14:paraId="68169DF2"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&gt;98%/&gt;99%</w:t>
            </w:r>
          </w:p>
        </w:tc>
      </w:tr>
      <w:tr w:rsidR="005331D0" w:rsidRPr="005331D0" w14:paraId="1BCAA498" w14:textId="77777777" w:rsidTr="000A0845">
        <w:tc>
          <w:tcPr>
            <w:tcW w:w="2335" w:type="dxa"/>
            <w:tcMar>
              <w:top w:w="150" w:type="dxa"/>
              <w:left w:w="0" w:type="dxa"/>
              <w:bottom w:w="150" w:type="dxa"/>
              <w:right w:w="240" w:type="dxa"/>
            </w:tcMar>
            <w:vAlign w:val="center"/>
            <w:hideMark/>
          </w:tcPr>
          <w:p w14:paraId="59E1B345"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Multiplex PCR Panels</w:t>
            </w:r>
          </w:p>
        </w:tc>
        <w:tc>
          <w:tcPr>
            <w:tcW w:w="1202" w:type="dxa"/>
            <w:tcMar>
              <w:top w:w="150" w:type="dxa"/>
              <w:left w:w="240" w:type="dxa"/>
              <w:bottom w:w="150" w:type="dxa"/>
              <w:right w:w="240" w:type="dxa"/>
            </w:tcMar>
            <w:vAlign w:val="center"/>
            <w:hideMark/>
          </w:tcPr>
          <w:p w14:paraId="42A739A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1-2 hours</w:t>
            </w:r>
          </w:p>
        </w:tc>
        <w:tc>
          <w:tcPr>
            <w:tcW w:w="0" w:type="auto"/>
            <w:tcMar>
              <w:top w:w="150" w:type="dxa"/>
              <w:left w:w="240" w:type="dxa"/>
              <w:bottom w:w="150" w:type="dxa"/>
              <w:right w:w="240" w:type="dxa"/>
            </w:tcMar>
            <w:vAlign w:val="center"/>
            <w:hideMark/>
          </w:tcPr>
          <w:p w14:paraId="245AADF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Multiple pathogens simultaneously</w:t>
            </w:r>
          </w:p>
        </w:tc>
        <w:tc>
          <w:tcPr>
            <w:tcW w:w="0" w:type="auto"/>
            <w:tcMar>
              <w:top w:w="150" w:type="dxa"/>
              <w:left w:w="240" w:type="dxa"/>
              <w:bottom w:w="150" w:type="dxa"/>
              <w:right w:w="240" w:type="dxa"/>
            </w:tcMar>
            <w:vAlign w:val="center"/>
            <w:hideMark/>
          </w:tcPr>
          <w:p w14:paraId="45D13D84"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Limited pathogen menu</w:t>
            </w:r>
          </w:p>
        </w:tc>
        <w:tc>
          <w:tcPr>
            <w:tcW w:w="0" w:type="auto"/>
            <w:tcMar>
              <w:top w:w="150" w:type="dxa"/>
              <w:left w:w="240" w:type="dxa"/>
              <w:bottom w:w="150" w:type="dxa"/>
              <w:right w:w="0" w:type="dxa"/>
            </w:tcMar>
            <w:vAlign w:val="center"/>
            <w:hideMark/>
          </w:tcPr>
          <w:p w14:paraId="0731C7CC"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&gt;95%/&gt;98%</w:t>
            </w:r>
          </w:p>
        </w:tc>
      </w:tr>
      <w:tr w:rsidR="005331D0" w:rsidRPr="005331D0" w14:paraId="7CA77021" w14:textId="77777777" w:rsidTr="000A0845">
        <w:tc>
          <w:tcPr>
            <w:tcW w:w="2335" w:type="dxa"/>
            <w:tcMar>
              <w:top w:w="150" w:type="dxa"/>
              <w:left w:w="0" w:type="dxa"/>
              <w:bottom w:w="150" w:type="dxa"/>
              <w:right w:w="240" w:type="dxa"/>
            </w:tcMar>
            <w:vAlign w:val="center"/>
            <w:hideMark/>
          </w:tcPr>
          <w:p w14:paraId="481919A2" w14:textId="77777777" w:rsidR="005331D0" w:rsidRPr="005331D0" w:rsidRDefault="005331D0" w:rsidP="00945488">
            <w:pPr>
              <w:jc w:val="center"/>
              <w:rPr>
                <w:rFonts w:ascii="Times New Roman" w:hAnsi="Times New Roman" w:cs="Times New Roman"/>
                <w:sz w:val="22"/>
                <w:szCs w:val="22"/>
              </w:rPr>
            </w:pPr>
            <w:proofErr w:type="spellStart"/>
            <w:r w:rsidRPr="005331D0">
              <w:rPr>
                <w:rFonts w:ascii="Times New Roman" w:hAnsi="Times New Roman" w:cs="Times New Roman"/>
                <w:b/>
                <w:bCs/>
                <w:sz w:val="22"/>
                <w:szCs w:val="22"/>
              </w:rPr>
              <w:t>mNGS</w:t>
            </w:r>
            <w:proofErr w:type="spellEnd"/>
          </w:p>
        </w:tc>
        <w:tc>
          <w:tcPr>
            <w:tcW w:w="1202" w:type="dxa"/>
            <w:tcMar>
              <w:top w:w="150" w:type="dxa"/>
              <w:left w:w="240" w:type="dxa"/>
              <w:bottom w:w="150" w:type="dxa"/>
              <w:right w:w="240" w:type="dxa"/>
            </w:tcMar>
            <w:vAlign w:val="center"/>
            <w:hideMark/>
          </w:tcPr>
          <w:p w14:paraId="05F9417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24-48 hours</w:t>
            </w:r>
          </w:p>
        </w:tc>
        <w:tc>
          <w:tcPr>
            <w:tcW w:w="0" w:type="auto"/>
            <w:tcMar>
              <w:top w:w="150" w:type="dxa"/>
              <w:left w:w="240" w:type="dxa"/>
              <w:bottom w:w="150" w:type="dxa"/>
              <w:right w:w="240" w:type="dxa"/>
            </w:tcMar>
            <w:vAlign w:val="center"/>
            <w:hideMark/>
          </w:tcPr>
          <w:p w14:paraId="4650E4A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Unbiased, novel pathogen detection</w:t>
            </w:r>
          </w:p>
        </w:tc>
        <w:tc>
          <w:tcPr>
            <w:tcW w:w="0" w:type="auto"/>
            <w:tcMar>
              <w:top w:w="150" w:type="dxa"/>
              <w:left w:w="240" w:type="dxa"/>
              <w:bottom w:w="150" w:type="dxa"/>
              <w:right w:w="240" w:type="dxa"/>
            </w:tcMar>
            <w:vAlign w:val="center"/>
            <w:hideMark/>
          </w:tcPr>
          <w:p w14:paraId="286152AF"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Cost, bioinformatics expertise</w:t>
            </w:r>
          </w:p>
        </w:tc>
        <w:tc>
          <w:tcPr>
            <w:tcW w:w="0" w:type="auto"/>
            <w:tcMar>
              <w:top w:w="150" w:type="dxa"/>
              <w:left w:w="240" w:type="dxa"/>
              <w:bottom w:w="150" w:type="dxa"/>
              <w:right w:w="0" w:type="dxa"/>
            </w:tcMar>
            <w:vAlign w:val="center"/>
            <w:hideMark/>
          </w:tcPr>
          <w:p w14:paraId="38ADBFE4"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&gt;99%/&gt;99%</w:t>
            </w:r>
          </w:p>
        </w:tc>
      </w:tr>
      <w:tr w:rsidR="005331D0" w:rsidRPr="005331D0" w14:paraId="570AA0B6" w14:textId="77777777" w:rsidTr="000A0845">
        <w:tc>
          <w:tcPr>
            <w:tcW w:w="2335" w:type="dxa"/>
            <w:tcMar>
              <w:top w:w="150" w:type="dxa"/>
              <w:left w:w="0" w:type="dxa"/>
              <w:bottom w:w="150" w:type="dxa"/>
              <w:right w:w="240" w:type="dxa"/>
            </w:tcMar>
            <w:vAlign w:val="center"/>
            <w:hideMark/>
          </w:tcPr>
          <w:p w14:paraId="3E85AE2E" w14:textId="77777777" w:rsidR="005331D0" w:rsidRPr="005331D0" w:rsidRDefault="005331D0" w:rsidP="00945488">
            <w:pPr>
              <w:ind w:right="-207"/>
              <w:jc w:val="center"/>
              <w:rPr>
                <w:rFonts w:ascii="Times New Roman" w:hAnsi="Times New Roman" w:cs="Times New Roman"/>
                <w:sz w:val="22"/>
                <w:szCs w:val="22"/>
              </w:rPr>
            </w:pPr>
            <w:r w:rsidRPr="005331D0">
              <w:rPr>
                <w:rFonts w:ascii="Times New Roman" w:hAnsi="Times New Roman" w:cs="Times New Roman"/>
                <w:b/>
                <w:bCs/>
                <w:sz w:val="22"/>
                <w:szCs w:val="22"/>
              </w:rPr>
              <w:t>Immunofluorescence</w:t>
            </w:r>
          </w:p>
        </w:tc>
        <w:tc>
          <w:tcPr>
            <w:tcW w:w="1202" w:type="dxa"/>
            <w:tcMar>
              <w:top w:w="150" w:type="dxa"/>
              <w:left w:w="240" w:type="dxa"/>
              <w:bottom w:w="150" w:type="dxa"/>
              <w:right w:w="240" w:type="dxa"/>
            </w:tcMar>
            <w:vAlign w:val="center"/>
            <w:hideMark/>
          </w:tcPr>
          <w:p w14:paraId="2977EED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2-3 hours</w:t>
            </w:r>
          </w:p>
        </w:tc>
        <w:tc>
          <w:tcPr>
            <w:tcW w:w="0" w:type="auto"/>
            <w:tcMar>
              <w:top w:w="150" w:type="dxa"/>
              <w:left w:w="240" w:type="dxa"/>
              <w:bottom w:w="150" w:type="dxa"/>
              <w:right w:w="240" w:type="dxa"/>
            </w:tcMar>
            <w:vAlign w:val="center"/>
            <w:hideMark/>
          </w:tcPr>
          <w:p w14:paraId="791320B8"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Visual confirmation</w:t>
            </w:r>
          </w:p>
        </w:tc>
        <w:tc>
          <w:tcPr>
            <w:tcW w:w="0" w:type="auto"/>
            <w:tcMar>
              <w:top w:w="150" w:type="dxa"/>
              <w:left w:w="240" w:type="dxa"/>
              <w:bottom w:w="150" w:type="dxa"/>
              <w:right w:w="240" w:type="dxa"/>
            </w:tcMar>
            <w:vAlign w:val="center"/>
            <w:hideMark/>
          </w:tcPr>
          <w:p w14:paraId="6DDB38E3"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Lower sensitivity than PCR</w:t>
            </w:r>
          </w:p>
        </w:tc>
        <w:tc>
          <w:tcPr>
            <w:tcW w:w="0" w:type="auto"/>
            <w:tcMar>
              <w:top w:w="150" w:type="dxa"/>
              <w:left w:w="240" w:type="dxa"/>
              <w:bottom w:w="150" w:type="dxa"/>
              <w:right w:w="0" w:type="dxa"/>
            </w:tcMar>
            <w:vAlign w:val="center"/>
            <w:hideMark/>
          </w:tcPr>
          <w:p w14:paraId="0E225B06"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70-80%/95%</w:t>
            </w:r>
          </w:p>
        </w:tc>
      </w:tr>
    </w:tbl>
    <w:p w14:paraId="49851D1B" w14:textId="77777777" w:rsidR="000A0845" w:rsidRDefault="000A0845" w:rsidP="00945488">
      <w:pPr>
        <w:jc w:val="both"/>
        <w:rPr>
          <w:rFonts w:ascii="Times New Roman" w:hAnsi="Times New Roman" w:cs="Times New Roman"/>
          <w:sz w:val="22"/>
          <w:szCs w:val="22"/>
        </w:rPr>
      </w:pPr>
      <w:r w:rsidRPr="000A0845">
        <w:rPr>
          <w:rFonts w:ascii="Times New Roman" w:hAnsi="Times New Roman" w:cs="Times New Roman"/>
          <w:sz w:val="22"/>
          <w:szCs w:val="22"/>
        </w:rPr>
        <w:t xml:space="preserve">The PAM diagnostic landscape has undergone a considerable transformation over the past five years, with molecular methods being firmly recognized as the backbone of fast diagnosis. One of the major advances in this area is the incorporation of </w:t>
      </w:r>
      <w:proofErr w:type="spellStart"/>
      <w:r w:rsidRPr="000A0845">
        <w:rPr>
          <w:rFonts w:ascii="Times New Roman" w:hAnsi="Times New Roman" w:cs="Times New Roman"/>
          <w:sz w:val="22"/>
          <w:szCs w:val="22"/>
        </w:rPr>
        <w:t>mNGS</w:t>
      </w:r>
      <w:proofErr w:type="spellEnd"/>
      <w:r w:rsidRPr="000A0845">
        <w:rPr>
          <w:rFonts w:ascii="Times New Roman" w:hAnsi="Times New Roman" w:cs="Times New Roman"/>
          <w:sz w:val="22"/>
          <w:szCs w:val="22"/>
        </w:rPr>
        <w:t xml:space="preserve"> in the clinical setting; however, it is still only available at a few highly specialized centers. Among the possible future developments are rapid point-of-care tests that could lead to timely diagnosis and intervention in resource-poor areas suffering from the increasing incidence of PAM.</w:t>
      </w:r>
    </w:p>
    <w:p w14:paraId="30B5B75B" w14:textId="77777777" w:rsidR="00F86882" w:rsidRDefault="00F86882" w:rsidP="00945488">
      <w:pPr>
        <w:jc w:val="both"/>
        <w:rPr>
          <w:rFonts w:ascii="Times New Roman" w:hAnsi="Times New Roman" w:cs="Times New Roman"/>
          <w:sz w:val="22"/>
          <w:szCs w:val="22"/>
        </w:rPr>
      </w:pPr>
    </w:p>
    <w:p w14:paraId="0B1332E9" w14:textId="77777777" w:rsidR="00F86882" w:rsidRDefault="00F86882" w:rsidP="00945488">
      <w:pPr>
        <w:jc w:val="both"/>
        <w:rPr>
          <w:rFonts w:ascii="Times New Roman" w:hAnsi="Times New Roman" w:cs="Times New Roman"/>
          <w:sz w:val="22"/>
          <w:szCs w:val="22"/>
        </w:rPr>
      </w:pPr>
    </w:p>
    <w:p w14:paraId="166516C9" w14:textId="416D4B02" w:rsidR="00FF29B2" w:rsidRPr="00FF29B2"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7</w:t>
      </w:r>
      <w:r w:rsidR="00727819" w:rsidRPr="00AE470E">
        <w:rPr>
          <w:rFonts w:ascii="Times New Roman" w:hAnsi="Times New Roman" w:cs="Times New Roman"/>
          <w:b/>
          <w:bCs/>
          <w:sz w:val="26"/>
          <w:szCs w:val="26"/>
        </w:rPr>
        <w:t xml:space="preserve">. Therapeutics &amp; Management </w:t>
      </w:r>
      <w:r w:rsidR="00FF29B2">
        <w:rPr>
          <w:rFonts w:ascii="Times New Roman" w:hAnsi="Times New Roman" w:cs="Times New Roman"/>
          <w:sz w:val="22"/>
          <w:szCs w:val="22"/>
        </w:rPr>
        <w:br/>
      </w:r>
      <w:r w:rsidR="00FF29B2" w:rsidRPr="00FF29B2">
        <w:rPr>
          <w:rFonts w:ascii="Times New Roman" w:hAnsi="Times New Roman" w:cs="Times New Roman"/>
          <w:sz w:val="22"/>
          <w:szCs w:val="22"/>
        </w:rPr>
        <w:t xml:space="preserve">The management of PAM has gone from a uniformly fatal prognosis to one with a chance of survival, </w:t>
      </w:r>
      <w:r w:rsidR="00FF29B2" w:rsidRPr="00FF29B2">
        <w:rPr>
          <w:rFonts w:ascii="Times New Roman" w:hAnsi="Times New Roman" w:cs="Times New Roman"/>
          <w:sz w:val="22"/>
          <w:szCs w:val="22"/>
        </w:rPr>
        <w:lastRenderedPageBreak/>
        <w:t>depending upon extremely early and aggressive intervention. Today, the treatment consists of multi-drug antimicrobial therapy and intensive neurological support, while the research is concentrated on new delivery systems and drug discovery that would allow us to get over the existing barriers.</w:t>
      </w:r>
    </w:p>
    <w:p w14:paraId="1164AF9B" w14:textId="70FE10F5" w:rsidR="00727819" w:rsidRPr="00E45897" w:rsidRDefault="00AD5FD4" w:rsidP="00945488">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.1 </w:t>
      </w:r>
      <w:r w:rsidR="00727819" w:rsidRPr="00AE470E">
        <w:rPr>
          <w:rFonts w:ascii="Times New Roman" w:hAnsi="Times New Roman" w:cs="Times New Roman"/>
          <w:b/>
          <w:bCs/>
        </w:rPr>
        <w:t>Standard of Care</w:t>
      </w:r>
      <w:r w:rsidR="00727819" w:rsidRPr="00727819">
        <w:rPr>
          <w:rFonts w:ascii="Times New Roman" w:hAnsi="Times New Roman" w:cs="Times New Roman"/>
          <w:sz w:val="22"/>
          <w:szCs w:val="22"/>
        </w:rPr>
        <w:br/>
      </w:r>
      <w:r w:rsidR="000A0845" w:rsidRPr="000A0845">
        <w:rPr>
          <w:rFonts w:ascii="Times New Roman" w:hAnsi="Times New Roman" w:cs="Times New Roman"/>
          <w:sz w:val="22"/>
          <w:szCs w:val="22"/>
        </w:rPr>
        <w:t xml:space="preserve">The treatment of Primary Amoebic Meningoencephalitis has always relied on high-dose amphotericin B deoxycholate, which continues to be the most documented drug for the treatment of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This polyene antifungal drug kills the amoeba by forming openings in its cell membrane, which are created by the drug's binding to ergosterol. It also leads to osmotic lysis and cell death. The standard therapy comprises both intravenous and intrathecal routes as a way to bypass the limited blood-brain barrier penetration of the systemic drug. Conversely, the usage of amphotericin B remains very limited as a result of its serious adverse effects, like nephrotoxicity, which is dose-related, disturbances in electrolytes, and reactions tied to infusion. Moreover, despite high dosing, treatment failures are still very often occurring, thus requiring combination treatments and innovative therapeutic strategies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{"citationID":"7kenGOyx","properties":{"formattedCitation":"(Cope et al., 2016)","plainCitation":"(Cope et al., 2016)","noteIndex":0},"citationItems":[{"id":616,"uris":["http://zotero.org/users/18073969/items/S4K8JK3G"],"itemData":{"id":616,"type":"article-journal","container-title":"Clinical Infectious Diseases","DOI":"10.1093/cid/civ1021","ISSN":"1058-4838, 1537-6591","issue":"6","journalAbbreviation":"Clin Infect Dis.","language":"en","page":"774-776","source":"DOI.org (Crossref)","title":"Use of the Novel Therapeutic Agent Miltefosine for the Treatment of Primary Amebic Meningoencephalitis: Report of 1 Fatal and 1 Surviving Case: Table 1.","title-short":"Use of the Novel Therapeutic Agent Miltefosine for the Treatment of Primary Amebic Meningoencephalitis","volume":"62","author":[{"family":"Cope","given":"Jennifer R."},{"family":"Conrad","given":"Dennis A."},{"family":"Cohen","given":"Naiomi"},{"family":"Cotilla","given":"Manuel"},{"family":"DaSilva","given":"Alexandre"},{"family":"Jackson","given":"Jonathan"},{"family":"Visvesvara","given":"Govinda S."}],"issued":{"date-parts":[["2016",3,15]]}}}],"schema":"https://github.com/citation-style-language/schema/raw/master/csl-citation.json"}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2016)</w:t>
      </w:r>
      <w:r w:rsidR="00851590">
        <w:rPr>
          <w:rFonts w:ascii="Times New Roman" w:hAnsi="Times New Roman" w:cs="Times New Roman"/>
          <w:sz w:val="22"/>
          <w:szCs w:val="22"/>
        </w:rPr>
        <w:fldChar w:fldCharType="end"/>
      </w:r>
      <w:r w:rsidR="000A0845" w:rsidRPr="000A0845">
        <w:rPr>
          <w:rFonts w:ascii="Times New Roman" w:hAnsi="Times New Roman" w:cs="Times New Roman"/>
          <w:sz w:val="22"/>
          <w:szCs w:val="22"/>
        </w:rPr>
        <w:t>.</w:t>
      </w:r>
    </w:p>
    <w:p w14:paraId="58D34206" w14:textId="1745463E" w:rsidR="000A0845" w:rsidRPr="000A0845" w:rsidRDefault="00AD5FD4" w:rsidP="000A0845">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.2 </w:t>
      </w:r>
      <w:r w:rsidR="00727819" w:rsidRPr="00AE470E">
        <w:rPr>
          <w:rFonts w:ascii="Times New Roman" w:hAnsi="Times New Roman" w:cs="Times New Roman"/>
          <w:b/>
          <w:bCs/>
        </w:rPr>
        <w:t>The Modern Combinatorial Approach</w:t>
      </w:r>
      <w:r w:rsidR="00727819" w:rsidRPr="00E45897">
        <w:rPr>
          <w:rFonts w:ascii="Times New Roman" w:hAnsi="Times New Roman" w:cs="Times New Roman"/>
          <w:sz w:val="22"/>
          <w:szCs w:val="22"/>
        </w:rPr>
        <w:br/>
      </w:r>
      <w:r w:rsidR="000A0845" w:rsidRPr="000A0845">
        <w:rPr>
          <w:rFonts w:ascii="Times New Roman" w:hAnsi="Times New Roman" w:cs="Times New Roman"/>
          <w:sz w:val="22"/>
          <w:szCs w:val="22"/>
        </w:rPr>
        <w:t xml:space="preserve">The acknowledgment that single-drug treatment results are not good has led the way to the use of multiple drugs together. Today's protocols, based on current evidence, support starting combination therapy within 48 hours after symptoms appear. A thorough systematic review done in 2023 covering 28 confirmed cases of PAM found that using amphotericin B, miltefosine, and either azithromycin or fluconazole together greatly improved survival when compared to using only amphotericin B (survival rate 42.9% vs 3.7%, p&lt;0.001)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{"citationID":"gplfHixJ","properties":{"formattedCitation":"(Pitman-Hunt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851590">
        <w:rPr>
          <w:rFonts w:ascii="Times New Roman" w:hAnsi="Times New Roman" w:cs="Times New Roman"/>
          <w:sz w:val="22"/>
          <w:szCs w:val="22"/>
        </w:rPr>
        <w:fldChar w:fldCharType="end"/>
      </w:r>
      <w:r w:rsidR="000A0845" w:rsidRPr="000A0845">
        <w:rPr>
          <w:rFonts w:ascii="Times New Roman" w:hAnsi="Times New Roman" w:cs="Times New Roman"/>
          <w:sz w:val="22"/>
          <w:szCs w:val="22"/>
        </w:rPr>
        <w:t>. The combinations' synergistic effect stems from their complementary actions: amphotericin B affects membrane stability, miltefosine causes cell death similar to apoptosis, while azithromycin prevents protein synthesis, and fluconazole hinders the production of ergosterol. In addition, the current treatment procedures stress providing aggressive supportive care that includes intracranial pressure management, seizure prophylaxis, and management of the systemic inflammatory response, which have been linked with better neurological outcomes in survivors.</w:t>
      </w:r>
    </w:p>
    <w:p w14:paraId="3CF58155" w14:textId="77777777" w:rsidR="000A0845"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In spite of the better effectiveness of combination therapies, their global usage is still facing many challenges. The availability of miltefosine is usually through special regulatory pathways (like the CDC in the US), and in resource-poor regions where PAM is developing, access can be delayed. On top of that, the requirement for both intrathecal amphotericin B treatment and cooling down patients means that specialized neurological intensive care is needed, which is not available everywhere and thus leads to a critical difference in treatment outcomes across various healthcare systems.</w:t>
      </w:r>
    </w:p>
    <w:p w14:paraId="56557136" w14:textId="5DFA7DB1" w:rsidR="000A0845" w:rsidRPr="000A0845" w:rsidRDefault="00AD5FD4" w:rsidP="000A0845">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.3 </w:t>
      </w:r>
      <w:r w:rsidR="00727819" w:rsidRPr="00AE470E">
        <w:rPr>
          <w:rFonts w:ascii="Times New Roman" w:hAnsi="Times New Roman" w:cs="Times New Roman"/>
          <w:b/>
          <w:bCs/>
        </w:rPr>
        <w:t>The Cutting Edge (2020-2025)</w:t>
      </w:r>
      <w:r w:rsidR="00727819" w:rsidRPr="00727819">
        <w:rPr>
          <w:rFonts w:ascii="Times New Roman" w:hAnsi="Times New Roman" w:cs="Times New Roman"/>
          <w:sz w:val="22"/>
          <w:szCs w:val="22"/>
        </w:rPr>
        <w:br/>
      </w:r>
      <w:r w:rsidR="000A0845" w:rsidRPr="000A0845">
        <w:rPr>
          <w:rFonts w:ascii="Times New Roman" w:hAnsi="Times New Roman" w:cs="Times New Roman"/>
          <w:sz w:val="22"/>
          <w:szCs w:val="22"/>
        </w:rPr>
        <w:t>New ways of approaching therapy have been the main focus of research by eliminating the drawbacks of conventional methods:</w:t>
      </w:r>
    </w:p>
    <w:p w14:paraId="26E518D5" w14:textId="276DE1EF" w:rsidR="000A0845"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 xml:space="preserve">Drug delivery systems based on nanoparticles are a very good solution to get amoebicidal agents to penetrate the brain better. Nanomedicine has shown great progress in terms of improving drug bioavailability in the central nervous system, much better with the use of surface-modified nanoparticles. A 2024 report revealed that polymeric nanoparticles with amphotericin B attained brain concentrations 3.5 times greater than those produced by traditional formulations, and at the same time, 60% less renal toxicity was observed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{"citationID":"PqAJWnIc","properties":{"formattedCitation":"(Hu et al., 2024)","plainCitation":"(Hu et al., 2024)","noteIndex":0},"citationItems":[{"id":620,"uris":["http://zotero.org/users/18073969/items/YUZYS8HY"],"itemData":{"id":620,"type":"article-journal","container-title":"Journal of Controlled Release","DOI":"10.1016/j.jconrel.2023.11.015","ISSN":"01683659","journalAbbreviation":"Journal of Controlled Release","language":"en","page":"889-904","source":"DOI.org (Crossref)","title":"Inducing in situ M2 macrophage polarization to promote the repair of bone defects via scaffold-mediated sustained delivery of luteolin","volume":"365","author":[{"family":"Hu","given":"Yan"},{"family":"Tang","given":"Lixi"},{"family":"Wang","given":"Zheng"},{"family":"Yan","given":"Honghan"},{"family":"Yi","given":"Xinzeyu"},{"family":"Wang","given":"Huimin"},{"family":"Ma","given":"Liya"},{"family":"Yang","given":"Changying"},{"family":"Ran","given":"Jiabing"},{"family":"Yu","given":"Aixi"}],"issued":{"date-parts":[["2024",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(Hu et al., 2024)</w:t>
      </w:r>
      <w:r w:rsidR="00851590">
        <w:rPr>
          <w:rFonts w:ascii="Times New Roman" w:hAnsi="Times New Roman" w:cs="Times New Roman"/>
          <w:sz w:val="22"/>
          <w:szCs w:val="22"/>
        </w:rPr>
        <w:fldChar w:fldCharType="end"/>
      </w:r>
      <w:r w:rsidRPr="000A0845">
        <w:rPr>
          <w:rFonts w:ascii="Times New Roman" w:hAnsi="Times New Roman" w:cs="Times New Roman"/>
          <w:sz w:val="22"/>
          <w:szCs w:val="22"/>
        </w:rPr>
        <w:t xml:space="preserve">. Targeting ligands can be attached to the nanocarriers that make them </w:t>
      </w:r>
      <w:r w:rsidRPr="000A0845">
        <w:rPr>
          <w:rFonts w:ascii="Times New Roman" w:hAnsi="Times New Roman" w:cs="Times New Roman"/>
          <w:sz w:val="22"/>
          <w:szCs w:val="22"/>
        </w:rPr>
        <w:lastRenderedPageBreak/>
        <w:t>penetrate the blood-brain barrier through receptor-mediated transcytosis, thus giving a sophisticated approach to overcoming the primary obstacle of drug resistance.</w:t>
      </w:r>
    </w:p>
    <w:p w14:paraId="3ECEE342" w14:textId="7C32EFFE" w:rsidR="000A0845" w:rsidRDefault="002503DC" w:rsidP="000A0845">
      <w:pPr>
        <w:jc w:val="both"/>
        <w:rPr>
          <w:rFonts w:ascii="Times New Roman" w:hAnsi="Times New Roman" w:cs="Times New Roman"/>
          <w:sz w:val="22"/>
          <w:szCs w:val="22"/>
        </w:rPr>
      </w:pPr>
      <w:r w:rsidRPr="002503DC">
        <w:rPr>
          <w:rFonts w:ascii="Times New Roman" w:hAnsi="Times New Roman" w:cs="Times New Roman"/>
          <w:sz w:val="22"/>
          <w:szCs w:val="22"/>
        </w:rPr>
        <w:t xml:space="preserve">This method is in agreement with the vast and cross-disease approach of precision nanomedicine. As elaborated and synthesized by </w:t>
      </w:r>
      <w:r w:rsidR="00EE2C81">
        <w:rPr>
          <w:rFonts w:ascii="Times New Roman" w:hAnsi="Times New Roman" w:cs="Times New Roman"/>
          <w:sz w:val="22"/>
          <w:szCs w:val="22"/>
        </w:rPr>
        <w:fldChar w:fldCharType="begin"/>
      </w:r>
      <w:r w:rsidR="00EE2C81">
        <w:rPr>
          <w:rFonts w:ascii="Times New Roman" w:hAnsi="Times New Roman" w:cs="Times New Roman"/>
          <w:sz w:val="22"/>
          <w:szCs w:val="22"/>
        </w:rPr>
        <w:instrText xml:space="preserve"> ADDIN ZOTERO_ITEM CSL_CITATION {"citationID":"nOQCcdtM","properties":{"formattedCitation":"(Ali et al., 2025)","plainCitation":"(Ali et al., 2025)","noteIndex":0},"citationItems":[{"id":723,"uris":["http://zotero.org/users/18073969/items/MJRQD7EF"],"itemData":{"id":723,"type":"article-journal","abstract":"Aims: Targeting non-specific action, low bioavailability, and systemic toxicity have always been some of the major limitations of medicinal therapies for cancer, diabetes, and CVDs. Here, we provide an overview of a precision nanomaterial integrating AI, multi-omic data, and stimuli-responsive systems for delivery to overcome these limitations. \nMethods: In cancer, hypoxia-activated nanoparticles, along with enzyme-functionalized carriers, provide excellent penetration in tumours and lessen off-target toxicity. In contrast, the setup of glucose-responsive nanogels and CRISPR-loaded exosomes for diabetes works toward restoration of physiological insulin secretion but confronts problems of metabolic variability. In pathologies affecting the vasculature, peptide-guided nanoparticles and siRNA platforms allow for precise vascular targeting with LDL reduction of 50 per cent. \nResults: Cross-disease analysis reveals that batch-to-batch variability, immune clearance, and regulatory ambiguities stand convergently as barriers to clinical translation. AI-based design may optimise nanocarrier parameters, while closed-loop theranostic systems make real-time adaptation of the therapy possible. \nConclusion: Ethically governing algorithmic bias, CRISPR germline risks, and data privacy issues is of paramount concern here. The way forward is standardised manufacturing, patient-centred trials, and frugal innovations to democratize access to nanotherapies worldwide: targeted, safe, and fair.","container-title":"Journal of Complementary and Alternative Medical Research","DOI":"10.9734/jocamr/2025/v26i10717","ISSN":"2456-6276","issue":"10","journalAbbreviation":"J. Compl. Altern. Med. Res.","page":"1-19","source":"DOI.org (Crossref)","title":"Precision Nanomedicine Converging AI and Multi-Omics: A Comprehensive Review of Cross-disease Applications in Cancer, Diabetes, and Cardiovascular Therapies","title-short":"Precision Nanomedicine Converging AI and Multi-Omics","volume":"26","author":[{"family":"Ali","given":"Samad"},{"family":"Siam","given":"Saklain Mostak"},{"family":"Navid-Al-Islam","given":"K.M."},{"family":"Haque","given":"Md. Asadul"},{"family":"Sobhan","given":"Abdus"}],"issued":{"date-parts":[["2025",10,22]]}}}],"schema":"https://github.com/citation-style-language/schema/raw/master/csl-citation.json"} </w:instrText>
      </w:r>
      <w:r w:rsidR="00EE2C81">
        <w:rPr>
          <w:rFonts w:ascii="Times New Roman" w:hAnsi="Times New Roman" w:cs="Times New Roman"/>
          <w:sz w:val="22"/>
          <w:szCs w:val="22"/>
        </w:rPr>
        <w:fldChar w:fldCharType="separate"/>
      </w:r>
      <w:r w:rsidR="00EE2C81" w:rsidRPr="00EE2C81">
        <w:rPr>
          <w:rFonts w:ascii="Times New Roman" w:hAnsi="Times New Roman" w:cs="Times New Roman"/>
          <w:sz w:val="22"/>
        </w:rPr>
        <w:t>(Ali et al., 2025)</w:t>
      </w:r>
      <w:r w:rsidR="00EE2C81">
        <w:rPr>
          <w:rFonts w:ascii="Times New Roman" w:hAnsi="Times New Roman" w:cs="Times New Roman"/>
          <w:sz w:val="22"/>
          <w:szCs w:val="22"/>
        </w:rPr>
        <w:fldChar w:fldCharType="end"/>
      </w:r>
      <w:r w:rsidRPr="002503DC">
        <w:rPr>
          <w:rFonts w:ascii="Times New Roman" w:hAnsi="Times New Roman" w:cs="Times New Roman"/>
          <w:sz w:val="22"/>
          <w:szCs w:val="22"/>
        </w:rPr>
        <w:t>, the combination of artificial intelligence (AI) with multi-omics data is changing the way of designing nanocarriers in oncology and cardiovascular diseases. Utilizing this holistic approach to PAM may lead to the creation of "smart" nanoparticles for N. fowleri, where AI algorithms select the best carriers according to the amoeba's proteomic profile, and multi-omics data facilitates delivery to the brain, thus enhancing therapeutic efficacy and reducing systemic toxicity to the lowest level.</w:t>
      </w:r>
      <w:r>
        <w:rPr>
          <w:rFonts w:ascii="Times New Roman" w:hAnsi="Times New Roman" w:cs="Times New Roman"/>
          <w:sz w:val="22"/>
          <w:szCs w:val="22"/>
        </w:rPr>
        <w:t xml:space="preserve"> </w:t>
      </w:r>
      <w:r w:rsidR="000A0845" w:rsidRPr="000A0845">
        <w:rPr>
          <w:rFonts w:ascii="Times New Roman" w:hAnsi="Times New Roman" w:cs="Times New Roman"/>
          <w:sz w:val="22"/>
          <w:szCs w:val="22"/>
        </w:rPr>
        <w:t xml:space="preserve">The use of artificial intelligence in drug discovery has brought the discovery of new therapeutic candidates forward. One recent case where deep learning algorithms were applied involved screening more than 2.5 million compounds and identifying 23 with a predicted strong activity against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among which were some FDA-approved drugs that had not been proposed for PAM treatment before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{"citationID":"UZZ6Ppxf","properties":{"formattedCitation":"(Beigmohammadi et al., 2024)","plainCitation":"(Beigmohammadi et al., 2024)","noteIndex":0},"citationItems":[{"id":621,"uris":["http://zotero.org/users/18073969/items/36B4VL9N"],"itemData":{"id":621,"type":"article-journal","abstract":"Abstract\n            In response to the burgeoning interest in enhancing the properties of liquid crystal composites, this research systematically explores the intricate interplay between MBBA nematic liquid crystals and ferroelectric barium titanate nanoparticles. The focus is modulating dielectric properties under temperature, frequency, and an applied electric field. Nuanced insights into temperature-dependent behavior, parallel and perpendicular component alterations, and a nonlinear correlation between nanoparticle concentration and dielectric constant are revealed. The study delves into dielectric anisotropy, indicating a reduction with increasing temperature. Structural analyses validate size reduction and crystal phase maintenance of barium titanate nanoparticles (NPs), emphasizing their impact on dielectric characteristics. Frequency-dependent investigations underscore a consistent decline in permittivity with rising frequency across nanoparticle concentrations. Application of an electric field in filling process of liquid crystal cells reveals irregular changes in dielectric constant, holding promise for tailored applications in display technologies. These comprehensive findings offer valuable insights into manipulating dielectric anisotropy properties of MBBA liquid crystal by a simple method for potential advancements in optoelectronic devices and display technologies.","container-title":"Scientific Reports","DOI":"10.1038/s41598-024-56219-7","ISSN":"2045-2322","issue":"1","journalAbbreviation":"Sci Rep","language":"en","page":"5756","source":"DOI.org (Crossref)","title":"Dielectric anisotropy changes in MBBA liquid crystal doped with barium titanate by a new method","volume":"14","author":[{"family":"Beigmohammadi","given":"Maryam"},{"family":"Khadem Sadigh","given":"Mahsa"},{"family":"Poursamad","given":"Jaafar"}],"issued":{"date-parts":[["2024",3,8]]}}}],"schema":"https://github.com/citation-style-language/schema/raw/master/csl-citation.json"}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(Beigmohammadi et al., 2024)</w:t>
      </w:r>
      <w:r w:rsidR="00851590">
        <w:rPr>
          <w:rFonts w:ascii="Times New Roman" w:hAnsi="Times New Roman" w:cs="Times New Roman"/>
          <w:sz w:val="22"/>
          <w:szCs w:val="22"/>
        </w:rPr>
        <w:fldChar w:fldCharType="end"/>
      </w:r>
      <w:r w:rsidR="000A0845" w:rsidRPr="000A0845">
        <w:rPr>
          <w:rFonts w:ascii="Times New Roman" w:hAnsi="Times New Roman" w:cs="Times New Roman"/>
          <w:sz w:val="22"/>
          <w:szCs w:val="22"/>
        </w:rPr>
        <w:t>. The use of these computational techniques allows for quick and easy prediction of interactions between the drugs and the amoeba, which in turn cuts down the time for drug discovery from years to months. Some of the molecules that were identified by these methods are presently being tested in preclinical animal studies for PAM.</w:t>
      </w:r>
    </w:p>
    <w:p w14:paraId="6B58234F" w14:textId="7A94DA40" w:rsidR="00B13838" w:rsidRPr="00F86882" w:rsidRDefault="00B13838" w:rsidP="00945488">
      <w:pPr>
        <w:jc w:val="both"/>
        <w:rPr>
          <w:rFonts w:ascii="Times New Roman" w:hAnsi="Times New Roman" w:cs="Times New Roman"/>
          <w:sz w:val="22"/>
          <w:szCs w:val="22"/>
        </w:rPr>
      </w:pPr>
      <w:r w:rsidRPr="00B13838">
        <w:rPr>
          <w:rFonts w:ascii="Times New Roman" w:hAnsi="Times New Roman" w:cs="Times New Roman"/>
          <w:sz w:val="22"/>
          <w:szCs w:val="22"/>
        </w:rPr>
        <w:t xml:space="preserve">The list of other pioneering strategies encompasses the creation of monoclonal antibodies directed against the surface proteins of </w:t>
      </w:r>
      <w:r w:rsidRPr="00B13838">
        <w:rPr>
          <w:rFonts w:ascii="Times New Roman" w:hAnsi="Times New Roman" w:cs="Times New Roman"/>
          <w:i/>
          <w:iCs/>
          <w:sz w:val="22"/>
          <w:szCs w:val="22"/>
        </w:rPr>
        <w:t>N. fowleri,</w:t>
      </w:r>
      <w:r w:rsidRPr="00B13838">
        <w:rPr>
          <w:rFonts w:ascii="Times New Roman" w:hAnsi="Times New Roman" w:cs="Times New Roman"/>
          <w:sz w:val="22"/>
          <w:szCs w:val="22"/>
        </w:rPr>
        <w:t xml:space="preserve"> immunomodulators that improve macrophage-mediated amoebae clearance, and metabolic inhibitors that take advantage of the parasite’s energy metabolism through its distinctive features. As well, the gene silencing methodologies based on RNA interference are being researched in animal models for targeting the crucial </w:t>
      </w:r>
      <w:r w:rsidRPr="00B13838">
        <w:rPr>
          <w:rFonts w:ascii="Times New Roman" w:hAnsi="Times New Roman" w:cs="Times New Roman"/>
          <w:i/>
          <w:iCs/>
          <w:sz w:val="22"/>
          <w:szCs w:val="22"/>
        </w:rPr>
        <w:t xml:space="preserve">N. fowleri </w:t>
      </w:r>
      <w:r w:rsidRPr="00B13838">
        <w:rPr>
          <w:rFonts w:ascii="Times New Roman" w:hAnsi="Times New Roman" w:cs="Times New Roman"/>
          <w:sz w:val="22"/>
          <w:szCs w:val="22"/>
        </w:rPr>
        <w:t>genes.</w:t>
      </w:r>
    </w:p>
    <w:p w14:paraId="2CF62D39" w14:textId="647804AC" w:rsidR="00727819" w:rsidRPr="00727819" w:rsidRDefault="00727819" w:rsidP="00945488">
      <w:pPr>
        <w:jc w:val="both"/>
        <w:rPr>
          <w:rFonts w:ascii="Times New Roman" w:hAnsi="Times New Roman" w:cs="Times New Roman"/>
          <w:sz w:val="22"/>
          <w:szCs w:val="22"/>
        </w:rPr>
      </w:pPr>
      <w:r w:rsidRPr="00727819">
        <w:rPr>
          <w:rFonts w:ascii="Times New Roman" w:hAnsi="Times New Roman" w:cs="Times New Roman"/>
          <w:b/>
          <w:bCs/>
          <w:sz w:val="22"/>
          <w:szCs w:val="22"/>
        </w:rPr>
        <w:t>Table 3: Drug Regimens and Associated Survival Outcomes in Recent Cases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5"/>
        <w:gridCol w:w="2340"/>
        <w:gridCol w:w="900"/>
        <w:gridCol w:w="990"/>
        <w:gridCol w:w="2250"/>
        <w:gridCol w:w="1250"/>
      </w:tblGrid>
      <w:tr w:rsidR="006C2853" w:rsidRPr="00727819" w14:paraId="6E2C8EA3" w14:textId="77777777" w:rsidTr="00B13838">
        <w:trPr>
          <w:tblHeader/>
          <w:jc w:val="center"/>
        </w:trPr>
        <w:tc>
          <w:tcPr>
            <w:tcW w:w="1535" w:type="dxa"/>
            <w:tcMar>
              <w:top w:w="150" w:type="dxa"/>
              <w:left w:w="0" w:type="dxa"/>
              <w:bottom w:w="150" w:type="dxa"/>
              <w:right w:w="240" w:type="dxa"/>
            </w:tcMar>
            <w:vAlign w:val="center"/>
            <w:hideMark/>
          </w:tcPr>
          <w:p w14:paraId="7B31BB72"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Drug Combination</w:t>
            </w:r>
          </w:p>
        </w:tc>
        <w:tc>
          <w:tcPr>
            <w:tcW w:w="2340" w:type="dxa"/>
            <w:tcMar>
              <w:top w:w="150" w:type="dxa"/>
              <w:left w:w="240" w:type="dxa"/>
              <w:bottom w:w="150" w:type="dxa"/>
              <w:right w:w="240" w:type="dxa"/>
            </w:tcMar>
            <w:vAlign w:val="center"/>
            <w:hideMark/>
          </w:tcPr>
          <w:p w14:paraId="3DF0F927" w14:textId="77777777" w:rsidR="006C2853" w:rsidRPr="00727819" w:rsidRDefault="006C2853" w:rsidP="008F5C7E">
            <w:pPr>
              <w:ind w:hanging="48"/>
              <w:jc w:val="center"/>
              <w:rPr>
                <w:rFonts w:ascii="Times New Roman" w:hAnsi="Times New Roman" w:cs="Times New Roman"/>
                <w:sz w:val="22"/>
                <w:szCs w:val="22"/>
              </w:rPr>
            </w:pPr>
            <w:r w:rsidRPr="00727819">
              <w:rPr>
                <w:rFonts w:ascii="Times New Roman" w:hAnsi="Times New Roman" w:cs="Times New Roman"/>
                <w:sz w:val="22"/>
                <w:szCs w:val="22"/>
              </w:rPr>
              <w:t>Dosage</w:t>
            </w:r>
          </w:p>
        </w:tc>
        <w:tc>
          <w:tcPr>
            <w:tcW w:w="900" w:type="dxa"/>
            <w:tcMar>
              <w:top w:w="150" w:type="dxa"/>
              <w:left w:w="240" w:type="dxa"/>
              <w:bottom w:w="150" w:type="dxa"/>
              <w:right w:w="240" w:type="dxa"/>
            </w:tcMar>
            <w:vAlign w:val="center"/>
            <w:hideMark/>
          </w:tcPr>
          <w:p w14:paraId="60932701" w14:textId="6F6A0170" w:rsidR="006C2853" w:rsidRPr="00727819" w:rsidRDefault="006C2853" w:rsidP="00945488">
            <w:pPr>
              <w:ind w:left="-146" w:right="-160"/>
              <w:jc w:val="both"/>
              <w:rPr>
                <w:rFonts w:ascii="Times New Roman" w:hAnsi="Times New Roman" w:cs="Times New Roman"/>
                <w:sz w:val="22"/>
                <w:szCs w:val="22"/>
              </w:rPr>
            </w:pPr>
            <w:r>
              <w:rPr>
                <w:rFonts w:ascii="Times New Roman" w:hAnsi="Times New Roman" w:cs="Times New Roman"/>
                <w:sz w:val="22"/>
                <w:szCs w:val="22"/>
              </w:rPr>
              <w:br/>
            </w:r>
            <w:r w:rsidRPr="00727819">
              <w:rPr>
                <w:rFonts w:ascii="Times New Roman" w:hAnsi="Times New Roman" w:cs="Times New Roman"/>
                <w:sz w:val="22"/>
                <w:szCs w:val="22"/>
              </w:rPr>
              <w:t>Number of</w:t>
            </w:r>
            <w:r>
              <w:rPr>
                <w:rFonts w:ascii="Times New Roman" w:hAnsi="Times New Roman" w:cs="Times New Roman"/>
                <w:sz w:val="22"/>
                <w:szCs w:val="22"/>
              </w:rPr>
              <w:br/>
            </w:r>
            <w:r w:rsidRPr="00727819">
              <w:rPr>
                <w:rFonts w:ascii="Times New Roman" w:hAnsi="Times New Roman" w:cs="Times New Roman"/>
                <w:sz w:val="22"/>
                <w:szCs w:val="22"/>
              </w:rPr>
              <w:t>Cases</w:t>
            </w:r>
          </w:p>
        </w:tc>
        <w:tc>
          <w:tcPr>
            <w:tcW w:w="990" w:type="dxa"/>
            <w:tcMar>
              <w:top w:w="150" w:type="dxa"/>
              <w:left w:w="240" w:type="dxa"/>
              <w:bottom w:w="150" w:type="dxa"/>
              <w:right w:w="240" w:type="dxa"/>
            </w:tcMar>
            <w:vAlign w:val="center"/>
            <w:hideMark/>
          </w:tcPr>
          <w:p w14:paraId="084C4967" w14:textId="152E5D4E" w:rsidR="006C2853" w:rsidRPr="00727819" w:rsidRDefault="006C2853" w:rsidP="008F5C7E">
            <w:pPr>
              <w:ind w:left="-242" w:right="-324"/>
              <w:jc w:val="center"/>
              <w:rPr>
                <w:rFonts w:ascii="Times New Roman" w:hAnsi="Times New Roman" w:cs="Times New Roman"/>
                <w:sz w:val="22"/>
                <w:szCs w:val="22"/>
              </w:rPr>
            </w:pPr>
            <w:r w:rsidRPr="00727819">
              <w:rPr>
                <w:rFonts w:ascii="Times New Roman" w:hAnsi="Times New Roman" w:cs="Times New Roman"/>
                <w:sz w:val="22"/>
                <w:szCs w:val="22"/>
              </w:rPr>
              <w:t xml:space="preserve">Survival </w:t>
            </w:r>
            <w:r w:rsidR="003F20EF">
              <w:rPr>
                <w:rFonts w:ascii="Times New Roman" w:hAnsi="Times New Roman" w:cs="Times New Roman"/>
                <w:sz w:val="22"/>
                <w:szCs w:val="22"/>
              </w:rPr>
              <w:t xml:space="preserve">  </w:t>
            </w:r>
            <w:r w:rsidRPr="00727819">
              <w:rPr>
                <w:rFonts w:ascii="Times New Roman" w:hAnsi="Times New Roman" w:cs="Times New Roman"/>
                <w:sz w:val="22"/>
                <w:szCs w:val="22"/>
              </w:rPr>
              <w:t>Rate</w:t>
            </w:r>
          </w:p>
        </w:tc>
        <w:tc>
          <w:tcPr>
            <w:tcW w:w="2250" w:type="dxa"/>
          </w:tcPr>
          <w:p w14:paraId="1E09CB24" w14:textId="23438496" w:rsidR="006C2853" w:rsidRPr="006C2853" w:rsidRDefault="006C2853" w:rsidP="00945488">
            <w:pPr>
              <w:ind w:left="344" w:right="-19"/>
              <w:jc w:val="both"/>
              <w:rPr>
                <w:rFonts w:ascii="Times New Roman" w:hAnsi="Times New Roman" w:cs="Times New Roman"/>
                <w:sz w:val="22"/>
                <w:szCs w:val="22"/>
              </w:rPr>
            </w:pPr>
            <w:r w:rsidRPr="006C2853">
              <w:rPr>
                <w:rFonts w:ascii="Times New Roman" w:hAnsi="Times New Roman" w:cs="Times New Roman"/>
                <w:sz w:val="22"/>
                <w:szCs w:val="22"/>
              </w:rPr>
              <w:br/>
              <w:t>Key Limitations /</w:t>
            </w:r>
            <w:r w:rsidRPr="006C2853">
              <w:rPr>
                <w:rFonts w:ascii="Times New Roman" w:hAnsi="Times New Roman" w:cs="Times New Roman"/>
                <w:sz w:val="22"/>
                <w:szCs w:val="22"/>
              </w:rPr>
              <w:br/>
              <w:t xml:space="preserve"> Adverse Effects</w:t>
            </w:r>
          </w:p>
        </w:tc>
        <w:tc>
          <w:tcPr>
            <w:tcW w:w="1250" w:type="dxa"/>
            <w:tcMar>
              <w:top w:w="150" w:type="dxa"/>
              <w:left w:w="240" w:type="dxa"/>
              <w:bottom w:w="150" w:type="dxa"/>
              <w:right w:w="240" w:type="dxa"/>
            </w:tcMar>
            <w:vAlign w:val="center"/>
            <w:hideMark/>
          </w:tcPr>
          <w:p w14:paraId="71A8A771" w14:textId="294D8591"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Key References</w:t>
            </w:r>
          </w:p>
        </w:tc>
      </w:tr>
      <w:tr w:rsidR="006C2853" w:rsidRPr="00727819" w14:paraId="1C586806" w14:textId="77777777" w:rsidTr="00B13838">
        <w:trPr>
          <w:jc w:val="center"/>
        </w:trPr>
        <w:tc>
          <w:tcPr>
            <w:tcW w:w="1535" w:type="dxa"/>
            <w:tcMar>
              <w:top w:w="150" w:type="dxa"/>
              <w:left w:w="0" w:type="dxa"/>
              <w:bottom w:w="150" w:type="dxa"/>
              <w:right w:w="240" w:type="dxa"/>
            </w:tcMar>
            <w:vAlign w:val="center"/>
            <w:hideMark/>
          </w:tcPr>
          <w:p w14:paraId="3E68F555"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Azithromycin</w:t>
            </w:r>
          </w:p>
        </w:tc>
        <w:tc>
          <w:tcPr>
            <w:tcW w:w="2340" w:type="dxa"/>
            <w:tcMar>
              <w:top w:w="150" w:type="dxa"/>
              <w:left w:w="240" w:type="dxa"/>
              <w:bottom w:w="150" w:type="dxa"/>
              <w:right w:w="240" w:type="dxa"/>
            </w:tcMar>
            <w:vAlign w:val="center"/>
            <w:hideMark/>
          </w:tcPr>
          <w:p w14:paraId="5B9889EE"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1.5 mg/day), Miltefosine (50 mg TID), Azithromycin (10 mg/kg IV daily)</w:t>
            </w:r>
          </w:p>
        </w:tc>
        <w:tc>
          <w:tcPr>
            <w:tcW w:w="900" w:type="dxa"/>
            <w:tcMar>
              <w:top w:w="150" w:type="dxa"/>
              <w:left w:w="240" w:type="dxa"/>
              <w:bottom w:w="150" w:type="dxa"/>
              <w:right w:w="240" w:type="dxa"/>
            </w:tcMar>
            <w:vAlign w:val="center"/>
            <w:hideMark/>
          </w:tcPr>
          <w:p w14:paraId="05F05751"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8</w:t>
            </w:r>
          </w:p>
        </w:tc>
        <w:tc>
          <w:tcPr>
            <w:tcW w:w="990" w:type="dxa"/>
            <w:tcMar>
              <w:top w:w="150" w:type="dxa"/>
              <w:left w:w="240" w:type="dxa"/>
              <w:bottom w:w="150" w:type="dxa"/>
              <w:right w:w="240" w:type="dxa"/>
            </w:tcMar>
            <w:vAlign w:val="center"/>
            <w:hideMark/>
          </w:tcPr>
          <w:p w14:paraId="70526875"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37.5% (3/8)</w:t>
            </w:r>
          </w:p>
        </w:tc>
        <w:tc>
          <w:tcPr>
            <w:tcW w:w="2250" w:type="dxa"/>
          </w:tcPr>
          <w:p w14:paraId="6AB69C00" w14:textId="57E8A6B2"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Nephrotoxicity &amp; electrolyte disturbances from amphotericin B; gastrointestinal intolerance from miltefosine.</w:t>
            </w:r>
          </w:p>
        </w:tc>
        <w:tc>
          <w:tcPr>
            <w:tcW w:w="1250" w:type="dxa"/>
            <w:tcMar>
              <w:top w:w="150" w:type="dxa"/>
              <w:left w:w="240" w:type="dxa"/>
              <w:bottom w:w="150" w:type="dxa"/>
              <w:right w:w="0" w:type="dxa"/>
            </w:tcMar>
            <w:vAlign w:val="center"/>
            <w:hideMark/>
          </w:tcPr>
          <w:p w14:paraId="247E4CE3" w14:textId="52CDEF2C" w:rsidR="00133201" w:rsidRPr="00727819" w:rsidRDefault="00133201" w:rsidP="00133201">
            <w:pP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{"citationID":"PZ1mrofg","properties":{"formattedCitation":"(Cope et al., 2016)","plainCitation":"(Cope et al., 2016)","noteIndex":0},"citationItems":[{"id":616,"uris":["http://zotero.org/users/18073969/items/S4K8JK3G"],"itemData":{"id":616,"type":"article-journal","container-title":"Clinical Infectious Diseases","DOI":"10.1093/cid/civ1021","ISSN":"1058-4838, 1537-6591","issue":"6","journalAbbreviation":"Clin Infect Dis.","language":"en","page":"774-776","source":"DOI.org (Crossref)","title":"Use of the Novel Therapeutic Agent Miltefosine for the Treatment of Primary Amebic Meningoencephalitis: Report of 1 Fatal and 1 Surviving Case: Table 1.","title-short":"Use of the Novel Therapeutic Agent Miltefosine for the Treatment of Primary Amebic Meningoencephalitis","volume":"62","author":[{"family":"Cope","given":"Jennifer R."},{"family":"Conrad","given":"Dennis A."},{"family":"Cohen","given":"Naiomi"},{"family":"Cotilla","given":"Manuel"},{"family":"DaSilva","given":"Alexandre"},{"family":"Jackson","given":"Jonathan"},{"family":"Visvesvara","given":"Govinda S."}],"issued":{"date-parts":[["2016",3,15]]}}}],"schema":"https://github.com/citation-style-language/schema/raw/master/csl-citation.json"}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2016)</w:t>
            </w:r>
            <w:r>
              <w:rPr>
                <w:rFonts w:ascii="Times New Roman" w:hAnsi="Times New Roman" w:cs="Times New Roman"/>
                <w:sz w:val="22"/>
                <w:szCs w:val="22"/>
              </w:rPr>
              <w:fldChar w:fldCharType="end"/>
            </w:r>
          </w:p>
        </w:tc>
      </w:tr>
      <w:tr w:rsidR="006C2853" w:rsidRPr="00727819" w14:paraId="3695342D" w14:textId="77777777" w:rsidTr="00B13838">
        <w:trPr>
          <w:jc w:val="center"/>
        </w:trPr>
        <w:tc>
          <w:tcPr>
            <w:tcW w:w="1535" w:type="dxa"/>
            <w:tcMar>
              <w:top w:w="150" w:type="dxa"/>
              <w:left w:w="0" w:type="dxa"/>
              <w:bottom w:w="150" w:type="dxa"/>
              <w:right w:w="240" w:type="dxa"/>
            </w:tcMar>
            <w:vAlign w:val="center"/>
            <w:hideMark/>
          </w:tcPr>
          <w:p w14:paraId="069B7391"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Fluconazole + Rifampin</w:t>
            </w:r>
          </w:p>
        </w:tc>
        <w:tc>
          <w:tcPr>
            <w:tcW w:w="2340" w:type="dxa"/>
            <w:tcMar>
              <w:top w:w="150" w:type="dxa"/>
              <w:left w:w="240" w:type="dxa"/>
              <w:bottom w:w="150" w:type="dxa"/>
              <w:right w:w="240" w:type="dxa"/>
            </w:tcMar>
            <w:vAlign w:val="center"/>
            <w:hideMark/>
          </w:tcPr>
          <w:p w14:paraId="14AD3CCC"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 xml:space="preserve">Amphotericin B (IV 1.5 mg/kg/day + IT 1.0-1.5 mg/day), Miltefosine (50 mg TID), Fluconazole </w:t>
            </w:r>
            <w:r w:rsidRPr="00727819">
              <w:rPr>
                <w:rFonts w:ascii="Times New Roman" w:hAnsi="Times New Roman" w:cs="Times New Roman"/>
                <w:sz w:val="22"/>
                <w:szCs w:val="22"/>
              </w:rPr>
              <w:lastRenderedPageBreak/>
              <w:t>(10 mg/kg IV daily), Rifampin (10 mg/kg IV daily)</w:t>
            </w:r>
          </w:p>
        </w:tc>
        <w:tc>
          <w:tcPr>
            <w:tcW w:w="900" w:type="dxa"/>
            <w:tcMar>
              <w:top w:w="150" w:type="dxa"/>
              <w:left w:w="240" w:type="dxa"/>
              <w:bottom w:w="150" w:type="dxa"/>
              <w:right w:w="240" w:type="dxa"/>
            </w:tcMar>
            <w:vAlign w:val="center"/>
            <w:hideMark/>
          </w:tcPr>
          <w:p w14:paraId="55021DA6"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lastRenderedPageBreak/>
              <w:t>6</w:t>
            </w:r>
          </w:p>
        </w:tc>
        <w:tc>
          <w:tcPr>
            <w:tcW w:w="990" w:type="dxa"/>
            <w:tcMar>
              <w:top w:w="150" w:type="dxa"/>
              <w:left w:w="240" w:type="dxa"/>
              <w:bottom w:w="150" w:type="dxa"/>
              <w:right w:w="240" w:type="dxa"/>
            </w:tcMar>
            <w:vAlign w:val="center"/>
            <w:hideMark/>
          </w:tcPr>
          <w:p w14:paraId="4D384458"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50% (3/6)</w:t>
            </w:r>
          </w:p>
        </w:tc>
        <w:tc>
          <w:tcPr>
            <w:tcW w:w="2250" w:type="dxa"/>
          </w:tcPr>
          <w:p w14:paraId="571B8972" w14:textId="74F19997"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Similar toxicity profile; potential for significant drug-drug interactions, particularly with rifampin.</w:t>
            </w:r>
          </w:p>
        </w:tc>
        <w:tc>
          <w:tcPr>
            <w:tcW w:w="1250" w:type="dxa"/>
            <w:tcMar>
              <w:top w:w="150" w:type="dxa"/>
              <w:left w:w="240" w:type="dxa"/>
              <w:bottom w:w="150" w:type="dxa"/>
              <w:right w:w="0" w:type="dxa"/>
            </w:tcMar>
            <w:vAlign w:val="center"/>
            <w:hideMark/>
          </w:tcPr>
          <w:p w14:paraId="02A2B20C" w14:textId="12C5AE25" w:rsidR="006C2853" w:rsidRPr="00727819" w:rsidRDefault="00133201" w:rsidP="008F5C7E">
            <w:pPr>
              <w:jc w:val="cente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{"citationID":"FRnKfX3g","properties":{"formattedCitation":"(Linam et al., 2015)","plainCitation":"(Linam et al., 2015)","noteIndex":0},"citationItems":[{"id":650,"uris":["http://zotero.org/users/18073969/items/HEUHJ2HR"],"itemData":{"id":650,"type":"article-journal","abstract":"Naegleria fowleri is a thermophilic, free-living ameba that causes primary amebic meningoencephalitis. The infections are nearly always fatal. We present the third well-documented survivor of this infection in North America. The patient’s survival most likely resulted from a variety of factors: early identification and treatment, use of a combination of antimicrobial agents (including miltefosine), and management of elevated intracranial pressure based on the principles of traumatic brain injury.","container-title":"Pediatrics","DOI":"10.1542/peds.2014-2292","ISSN":"0031-4005, 1098-4275","issue":"3","language":"en","page":"e744-e748","source":"DOI.org (Crossref)","title":"Successful Treatment of an Adolescent With &lt;i&gt;Naegleria fowleri&lt;/i&gt; Primary Amebic Meningoencephalitis","volume":"135","author":[{"family":"Linam","given":"W. Matthew"},{"family":"Ahmed","given":"Mubbasheer"},{"family":"Cope","given":"Jennifer R."},{"family":"Chu","given":"Craig"},{"family":"Visvesvara","given":"Govinda S."},{"family":"Da Silva","given":"Alexandre J."},{"family":"Qvarnstrom","given":"Yvonne"},{"family":"Green","given":"Jerril"}],"issued":{"date-parts":[["2015",3,1]]}}}],"schema":"https://github.com/citation-style-language/schema/raw/master/csl-citation.json"}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(Linam et al., 2015)</w:t>
            </w:r>
            <w:r>
              <w:rPr>
                <w:rFonts w:ascii="Times New Roman" w:hAnsi="Times New Roman" w:cs="Times New Roman"/>
                <w:sz w:val="22"/>
                <w:szCs w:val="22"/>
              </w:rPr>
              <w:fldChar w:fldCharType="end"/>
            </w:r>
          </w:p>
        </w:tc>
      </w:tr>
      <w:tr w:rsidR="006C2853" w:rsidRPr="00727819" w14:paraId="42A1D9BE" w14:textId="77777777" w:rsidTr="00B13838">
        <w:trPr>
          <w:jc w:val="center"/>
        </w:trPr>
        <w:tc>
          <w:tcPr>
            <w:tcW w:w="1535" w:type="dxa"/>
            <w:tcMar>
              <w:top w:w="150" w:type="dxa"/>
              <w:left w:w="0" w:type="dxa"/>
              <w:bottom w:w="150" w:type="dxa"/>
              <w:right w:w="240" w:type="dxa"/>
            </w:tcMar>
            <w:vAlign w:val="center"/>
            <w:hideMark/>
          </w:tcPr>
          <w:p w14:paraId="14FF7693" w14:textId="71ECCF4D"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Dexamethasone</w:t>
            </w:r>
            <w:r w:rsidR="003F20EF">
              <w:rPr>
                <w:rFonts w:ascii="Times New Roman" w:hAnsi="Times New Roman" w:cs="Times New Roman"/>
                <w:b/>
                <w:bCs/>
                <w:sz w:val="22"/>
                <w:szCs w:val="22"/>
              </w:rPr>
              <w:t xml:space="preserve"> </w:t>
            </w:r>
            <w:r w:rsidRPr="00727819">
              <w:rPr>
                <w:rFonts w:ascii="Times New Roman" w:hAnsi="Times New Roman" w:cs="Times New Roman"/>
                <w:b/>
                <w:bCs/>
                <w:sz w:val="22"/>
                <w:szCs w:val="22"/>
              </w:rPr>
              <w:t>+ Hypothermia</w:t>
            </w:r>
          </w:p>
        </w:tc>
        <w:tc>
          <w:tcPr>
            <w:tcW w:w="2340" w:type="dxa"/>
            <w:tcMar>
              <w:top w:w="150" w:type="dxa"/>
              <w:left w:w="240" w:type="dxa"/>
              <w:bottom w:w="150" w:type="dxa"/>
              <w:right w:w="240" w:type="dxa"/>
            </w:tcMar>
            <w:vAlign w:val="center"/>
            <w:hideMark/>
          </w:tcPr>
          <w:p w14:paraId="27748FD0"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1.5 mg/day), Miltefosine (50 mg TID), Dexamethasone (0.6 mg/kg/day), Therapeutic hypothermia (33°C)</w:t>
            </w:r>
          </w:p>
        </w:tc>
        <w:tc>
          <w:tcPr>
            <w:tcW w:w="900" w:type="dxa"/>
            <w:tcMar>
              <w:top w:w="150" w:type="dxa"/>
              <w:left w:w="240" w:type="dxa"/>
              <w:bottom w:w="150" w:type="dxa"/>
              <w:right w:w="240" w:type="dxa"/>
            </w:tcMar>
            <w:vAlign w:val="center"/>
            <w:hideMark/>
          </w:tcPr>
          <w:p w14:paraId="3DBDF10F"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4</w:t>
            </w:r>
          </w:p>
        </w:tc>
        <w:tc>
          <w:tcPr>
            <w:tcW w:w="990" w:type="dxa"/>
            <w:tcMar>
              <w:top w:w="150" w:type="dxa"/>
              <w:left w:w="240" w:type="dxa"/>
              <w:bottom w:w="150" w:type="dxa"/>
              <w:right w:w="240" w:type="dxa"/>
            </w:tcMar>
            <w:vAlign w:val="center"/>
            <w:hideMark/>
          </w:tcPr>
          <w:p w14:paraId="3AD5A5C4"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75% (3/4)</w:t>
            </w:r>
          </w:p>
        </w:tc>
        <w:tc>
          <w:tcPr>
            <w:tcW w:w="2250" w:type="dxa"/>
          </w:tcPr>
          <w:p w14:paraId="599DCBF8" w14:textId="6E17C706"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Complexity of managing therapeutic hypothermia; risk of secondary infections with dexamethasone immunosuppression.</w:t>
            </w:r>
          </w:p>
        </w:tc>
        <w:tc>
          <w:tcPr>
            <w:tcW w:w="1250" w:type="dxa"/>
            <w:tcMar>
              <w:top w:w="150" w:type="dxa"/>
              <w:left w:w="240" w:type="dxa"/>
              <w:bottom w:w="150" w:type="dxa"/>
              <w:right w:w="0" w:type="dxa"/>
            </w:tcMar>
            <w:vAlign w:val="center"/>
            <w:hideMark/>
          </w:tcPr>
          <w:p w14:paraId="31451776" w14:textId="1889D816" w:rsidR="006C2853" w:rsidRPr="00727819" w:rsidRDefault="00D90157" w:rsidP="008F5C7E">
            <w:pPr>
              <w:jc w:val="cente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{"citationID":"YJfyeU57","properties":{"formattedCitation":"(Adam, 2021)","plainCitation":"(Adam, 2021)","noteIndex":0},"citationItems":[{"id":653,"uris":["http://zotero.org/users/18073969/items/ZUHERMAV"],"itemData":{"id":653,"type":"article-journal","abstract":"Giardia duodenalis\n              captured the attention of Leeuwenhoek in 1681 while he was examining his own diarrheal stool, but, ironically, it did not really gain attention as a human pathogen until the 1960s, when outbreaks were reported. Key technological advances, including\n              in vitro\n              cultivation, genomic and proteomic databases, and advances in microscopic and molecular approaches, have led to understand that this is a eukaryotic organism with a reduced genome rather than a truly premitochondriate eukaryote.\n            \n          , \n            SUMMARY\n            \n              Giardia duodenalis\n              captured the attention of Leeuwenhoek in 1681 while he was examining his own diarrheal stool, but, ironically, it did not really gain attention as a human pathogen until the 1960s, when outbreaks were reported. Key technological advances, including\n              in vitro\n              cultivation, genomic and proteomic databases, and advances in microscopic and molecular approaches, have led to an understanding that this is a eukaryotic organism with a reduced genome rather than a truly premitochondriate eukaryote. This has included the discovery of mitosomes (vestiges of mitochondria), a transport system with many of the features of the Golgi apparatus, and even evidence for a sexual or parasexual cycle. Cell biology approaches have led to a better understanding of how\n              Giardia\n              survives with two nuclei and how it goes through its life cycle as a noninvasive organism in the hostile environment of the lumen of the host intestine. Studies of its immunology and pathogenesis have moved past the general understanding of the importance of the antibody response in controlling infection to determining the key role of the Th17 response. This work has led to understanding of the requirement for a balanced host immune response that avoids the extremes of an excessive response with collateral damage or one that is unable to clear the organism. This understanding is especially important in view of the remarkable ranges of early manifestations, which range from asymptomatic to persistent diarrhea and weight loss, and longer-term sequelae that include growth stunting in children who had no obvious symptoms and a high frequency of postinfectious irritable bowel syndrome (IBS).","container-title":"Clinical Microbiology Reviews","DOI":"10.1128/CMR.00024-19","ISSN":"0893-8512, 1098-6618","issue":"4","journalAbbreviation":"Clin Microbiol Rev","language":"en","page":"e00024-19","source":"DOI.org (Crossref)","title":"Giardia duodenalis: Biology and Pathogenesis","title-short":"Giardia duodenalis","volume":"34","author":[{"family":"Adam","given":"Rodney D."}],"issued":{"date-parts":[["2021",12,15]]}}}],"schema":"https://github.com/citation-style-language/schema/raw/master/csl-citation.json"}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(Adam, 2021)</w:t>
            </w:r>
            <w:r>
              <w:rPr>
                <w:rFonts w:ascii="Times New Roman" w:hAnsi="Times New Roman" w:cs="Times New Roman"/>
                <w:sz w:val="22"/>
                <w:szCs w:val="22"/>
              </w:rPr>
              <w:fldChar w:fldCharType="end"/>
            </w:r>
          </w:p>
        </w:tc>
      </w:tr>
    </w:tbl>
    <w:p w14:paraId="397F610A" w14:textId="77777777" w:rsidR="00B13838" w:rsidRDefault="00B13838" w:rsidP="00945488">
      <w:pPr>
        <w:jc w:val="both"/>
        <w:rPr>
          <w:rFonts w:ascii="Times New Roman" w:hAnsi="Times New Roman" w:cs="Times New Roman"/>
          <w:sz w:val="22"/>
          <w:szCs w:val="22"/>
        </w:rPr>
      </w:pPr>
    </w:p>
    <w:p w14:paraId="14ED8354" w14:textId="0EABD914" w:rsidR="00B13838" w:rsidRDefault="00B13838" w:rsidP="00945488">
      <w:pPr>
        <w:jc w:val="both"/>
        <w:rPr>
          <w:rFonts w:ascii="Times New Roman" w:hAnsi="Times New Roman" w:cs="Times New Roman"/>
          <w:b/>
          <w:bCs/>
          <w:sz w:val="26"/>
          <w:szCs w:val="26"/>
        </w:rPr>
      </w:pPr>
      <w:r w:rsidRPr="00B13838">
        <w:rPr>
          <w:rFonts w:ascii="Times New Roman" w:hAnsi="Times New Roman" w:cs="Times New Roman"/>
          <w:sz w:val="22"/>
          <w:szCs w:val="22"/>
        </w:rPr>
        <w:t>The treatment landscape for PAM is changing very fast, and the standard treatment with amphotericin B alone is already being substituted with combinatorial therapies formed through rational design. The use of miltefosine has significantly contributed to the outcomes, as the survival rates have risen from under 3% in the past to nearly 50-70% in the recent cases, which were managed properly. Yet, the treatment's success is still heavily reliant on early diagnosis and the start of multi-faceted treatment immediately before it is too late and irreversible nerve damage occurs.</w:t>
      </w:r>
      <w:r w:rsidR="00D35465" w:rsidRPr="00E45897">
        <w:rPr>
          <w:rFonts w:ascii="Times New Roman" w:hAnsi="Times New Roman" w:cs="Times New Roman"/>
          <w:sz w:val="22"/>
          <w:szCs w:val="22"/>
        </w:rPr>
        <w:br/>
      </w:r>
    </w:p>
    <w:p w14:paraId="6DC79CCE" w14:textId="709A872C" w:rsidR="00FF29B2" w:rsidRPr="00FF29B2"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8</w:t>
      </w:r>
      <w:r w:rsidR="00727819" w:rsidRPr="00AE470E">
        <w:rPr>
          <w:rFonts w:ascii="Times New Roman" w:hAnsi="Times New Roman" w:cs="Times New Roman"/>
          <w:b/>
          <w:bCs/>
          <w:sz w:val="26"/>
          <w:szCs w:val="26"/>
        </w:rPr>
        <w:t xml:space="preserve">. Prevention &amp; Public Health </w:t>
      </w:r>
      <w:r w:rsidR="00FF29B2">
        <w:rPr>
          <w:rFonts w:ascii="Times New Roman" w:hAnsi="Times New Roman" w:cs="Times New Roman"/>
          <w:sz w:val="22"/>
          <w:szCs w:val="22"/>
        </w:rPr>
        <w:br/>
      </w:r>
      <w:r w:rsidR="00FF29B2" w:rsidRPr="00FF29B2">
        <w:rPr>
          <w:rFonts w:ascii="Times New Roman" w:hAnsi="Times New Roman" w:cs="Times New Roman"/>
          <w:sz w:val="22"/>
          <w:szCs w:val="22"/>
        </w:rPr>
        <w:t>The prevention of PAM necessitates a thorough and multi-level strategy. Such a strategy should be designed to incorporate not only the changes in individual behavior but also community-wide water safety measures and strong public health policies to be effective in different populations and risk environments.</w:t>
      </w:r>
    </w:p>
    <w:p w14:paraId="63DD5156" w14:textId="4C5B92D3" w:rsidR="00727819" w:rsidRPr="00727819"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.1 </w:t>
      </w:r>
      <w:r w:rsidR="00727819" w:rsidRPr="00AE470E">
        <w:rPr>
          <w:rFonts w:ascii="Times New Roman" w:hAnsi="Times New Roman" w:cs="Times New Roman"/>
          <w:b/>
          <w:bCs/>
        </w:rPr>
        <w:t>Individual-Level Prevention</w:t>
      </w:r>
      <w:r w:rsidR="00727819" w:rsidRPr="00AE470E">
        <w:rPr>
          <w:rFonts w:ascii="Times New Roman" w:hAnsi="Times New Roman" w:cs="Times New Roman"/>
        </w:rPr>
        <w:br/>
      </w:r>
      <w:r w:rsidR="00B13838" w:rsidRPr="00B13838">
        <w:rPr>
          <w:rFonts w:ascii="Times New Roman" w:hAnsi="Times New Roman" w:cs="Times New Roman"/>
          <w:sz w:val="22"/>
          <w:szCs w:val="22"/>
        </w:rPr>
        <w:t xml:space="preserve">The very first step towards the efficient prevention of Primary Amoebic Meningoencephalitis is personal awareness and behavior changes, primarily in endemic areas and high-risk seasons. It is always emphasized by the public health agency that people should avoid water-related activities during the summer months in hot freshwater bodies, as it is the time for the highest growth of </w:t>
      </w:r>
      <w:r w:rsidR="00B13838" w:rsidRPr="00B13838">
        <w:rPr>
          <w:rFonts w:ascii="Times New Roman" w:hAnsi="Times New Roman" w:cs="Times New Roman"/>
          <w:i/>
          <w:iCs/>
          <w:sz w:val="22"/>
          <w:szCs w:val="22"/>
        </w:rPr>
        <w:t>N. fowleri</w:t>
      </w:r>
      <w:r w:rsidR="00B13838" w:rsidRPr="00B13838">
        <w:rPr>
          <w:rFonts w:ascii="Times New Roman" w:hAnsi="Times New Roman" w:cs="Times New Roman"/>
          <w:sz w:val="22"/>
          <w:szCs w:val="22"/>
        </w:rPr>
        <w:t xml:space="preserve">. Nose clips, in case of unavoidable water exposure, are regarded as the most effective individual protective measure, as they physically bar the entry of contaminated water into the nasal cavities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{"citationID":"gMeCp209","properties":{"formattedCitation":"(Yoder et al., 2010)","plainCitation":"(Yoder et al., 2010)","noteIndex":0},"citationItems":[{"id":623,"uris":["http://zotero.org/users/18073969/items/ULVTSWJZ"],"itemData":{"id":623,"type":"article-journal","abstract":"SUMMARY\n            \n              Naegleria fowleri\n              , a free-living, thermophilic amoeba ubiquitous in the environment, causes primary amoebic meningoencephalitis (PAM), a rare but nearly always fatal disease of the central nervous system. While case reports of PAM have been documented worldwide, very few individuals have been diagnosed with PAM despite the vast number of people who have contact with fresh water where\n              N. fowleri\n              may be present. In the USA, 111 PAM case-patients have been prospectively diagnosed, reported, and verified by state health officials since 1962. Consistent with the literature, case reports reveal that\n              N. fowleri\n              infections occur primarily in previously healthy young males exposed to warm recreational waters, especially lakes and ponds, in warm-weather locations during summer months. The annual number of PAM case reports varied, but does not appear to be increasing over time. Because PAM is a rare disease, it is challenging to understand the environmental and host-specific factors associated with infection in order to develop science-based, risk reduction messages for swimmers.","container-title":"Epidemiology and Infection","DOI":"10.1017/S0950268809991014","ISSN":"0950-2688, 1469-4409","issue":"7","journalAbbreviation":"Epidemiol. Infect.","language":"en","license":"https://www.cambridge.org/core/terms","page":"968-975","source":"DOI.org (Crossref)","title":"The epidemiology of primary amoebic meningoencephalitis in the USA, 1962–2008","volume":"138","author":[{"family":"Yoder","given":"J. S."},{"family":"Eddy","given":"B. A."},{"family":"Visvesvara","given":"G. S."},{"family":"Capewell","given":"L."},{"family":"Beach","given":"M. J."}],"issued":{"date-parts":[["2010",7]]}}}],"schema":"https://github.com/citation-style-language/schema/raw/master/csl-citation.json"}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(Yoder et al., 2010)</w:t>
      </w:r>
      <w:r w:rsidR="00851590">
        <w:rPr>
          <w:rFonts w:ascii="Times New Roman" w:hAnsi="Times New Roman" w:cs="Times New Roman"/>
          <w:sz w:val="22"/>
          <w:szCs w:val="22"/>
        </w:rPr>
        <w:fldChar w:fldCharType="end"/>
      </w:r>
      <w:r w:rsidR="00B13838" w:rsidRPr="00B13838">
        <w:rPr>
          <w:rFonts w:ascii="Times New Roman" w:hAnsi="Times New Roman" w:cs="Times New Roman"/>
          <w:sz w:val="22"/>
          <w:szCs w:val="22"/>
        </w:rPr>
        <w:t xml:space="preserve">. Educational campaigns are aimed at the groups with the highest risk-taking, such as children and young people, who can immediately reduce the risk of getting infected by merely changing their behavior. Besides, users are warned against the use of </w:t>
      </w:r>
      <w:r w:rsidR="00B13838" w:rsidRPr="00B13838">
        <w:rPr>
          <w:rFonts w:ascii="Times New Roman" w:hAnsi="Times New Roman" w:cs="Times New Roman"/>
          <w:sz w:val="22"/>
          <w:szCs w:val="22"/>
        </w:rPr>
        <w:lastRenderedPageBreak/>
        <w:t>unpurified tap water for nasal washing or ritual purposes and are advised to resort to sterile, distilled, or pre-boiled water instead.</w:t>
      </w:r>
    </w:p>
    <w:p w14:paraId="6C91AFAD" w14:textId="12CAB3D3" w:rsidR="0040483A"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.2 </w:t>
      </w:r>
      <w:r w:rsidR="00727819" w:rsidRPr="00AE470E">
        <w:rPr>
          <w:rFonts w:ascii="Times New Roman" w:hAnsi="Times New Roman" w:cs="Times New Roman"/>
          <w:b/>
          <w:bCs/>
        </w:rPr>
        <w:t>Community-Level Interventions</w:t>
      </w:r>
      <w:r w:rsidR="00727819" w:rsidRPr="00727819">
        <w:rPr>
          <w:rFonts w:ascii="Times New Roman" w:hAnsi="Times New Roman" w:cs="Times New Roman"/>
          <w:sz w:val="22"/>
          <w:szCs w:val="22"/>
        </w:rPr>
        <w:br/>
      </w:r>
      <w:r w:rsidR="0040483A" w:rsidRPr="0040483A">
        <w:rPr>
          <w:rFonts w:ascii="Times New Roman" w:hAnsi="Times New Roman" w:cs="Times New Roman"/>
          <w:sz w:val="22"/>
          <w:szCs w:val="22"/>
        </w:rPr>
        <w:t xml:space="preserve">The method of community-wide prevention centers around the management of water safety and disinfection protocols, which are applied systematically. The municipal water systems in areas with disease prevalence would have to go through a strenuous chlorination process, which would involve maintaining the residual chlorine levels at a minimum of 0.5 mg/L, as this is effective against naked amoebas and cysts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{"citationID":"8d24RdYL","properties":{"formattedCitation":"(Cope et al., 2015)","plainCitation":"(Cope et al., 2015)","noteIndex":0},"citationItems":[{"id":625,"uris":["http://zotero.org/users/18073969/items/RIXX7S5Z"],"itemData":{"id":625,"type":"article-journal","container-title":"Clinical Infectious Diseases","DOI":"10.1093/cid/civ017","ISSN":"1058-4838, 1537-6591","issue":"8","journalAbbreviation":"Clinical Infectious Diseases","language":"en","page":"e36-e42","source":"DOI.org (Crossref)","title":"The First Association of a Primary Amebic Meningoencephalitis Death With Culturable Naegleria fowleri in Tap Water From a US Treated Public Drinking Water System","volume":"60","author":[{"family":"Cope","given":"J. R."},{"family":"Ratard","given":"R. C."},{"family":"Hill","given":"V. R."},{"family":"Sokol","given":"T."},{"family":"Causey","given":"J. J."},{"family":"Yoder","given":"J. S."},{"family":"Mirani","given":"G."},{"family":"Mull","given":"B."},{"family":"Mukerjee","given":"K. A."},{"family":"Narayanan","given":"J."},{"family":"Doucet","given":"M."},{"family":"Qvarnstrom","given":"Y."},{"family":"Poole","given":"C. N."},{"family":"Akingbola","given":"O. A."},{"family":"Ritter","given":"J. M."},{"family":"Xiong","given":"Z."},{"family":"Da Silva","given":"A. J."},{"family":"Roellig","given":"D."},{"family":"Van Dyke","given":"R. B."},{"family":"Stern","given":"H."},{"family":"Xiao","given":"L."},{"family":"Beach","given":"M. J."}],"issued":{"date-parts":[["2015",4,15]]}}}],"schema":"https://github.com/citation-style-language/schema/raw/master/csl-citation.json"}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2015)</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Monitoring of the water temperature in the swimming areas of public will be done regularly, and when the temperature goes beyond 30°C, there will be public advisories, which will act as an early warning system for increased risk. Water recreational facilities, such as public swimming pools and water parks, must keep up the standards of filtration and disinfection with regular inspection protocols. In places where ritual nasal irrigation practices are common, community education programs devised along with religious leaders have shown to be effective in promoting safe water practices, with the cultural traditions being respected.</w:t>
      </w:r>
    </w:p>
    <w:p w14:paraId="27EB280C" w14:textId="040F485E" w:rsidR="0040483A"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.3 </w:t>
      </w:r>
      <w:r w:rsidR="00727819" w:rsidRPr="00AE470E">
        <w:rPr>
          <w:rFonts w:ascii="Times New Roman" w:hAnsi="Times New Roman" w:cs="Times New Roman"/>
          <w:b/>
          <w:bCs/>
        </w:rPr>
        <w:t>Policy-Level Strategies</w:t>
      </w:r>
      <w:r w:rsidR="00727819" w:rsidRPr="00727819">
        <w:rPr>
          <w:rFonts w:ascii="Times New Roman" w:hAnsi="Times New Roman" w:cs="Times New Roman"/>
          <w:sz w:val="22"/>
          <w:szCs w:val="22"/>
        </w:rPr>
        <w:br/>
      </w:r>
      <w:r w:rsidR="0040483A" w:rsidRPr="0040483A">
        <w:rPr>
          <w:rFonts w:ascii="Times New Roman" w:hAnsi="Times New Roman" w:cs="Times New Roman"/>
          <w:sz w:val="22"/>
          <w:szCs w:val="22"/>
        </w:rPr>
        <w:t xml:space="preserve">Comprehensive PAM (Primary Amoebic Meningoencephalitis) prevention asks for integration into public health agendas and policy frameworks on a larger scale. Health authorities gradually see PAM as a disease that is sensitive to climate, and thus, water supply needs to be included in climate change adaptation strategies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{"citationID":"r83W82HK","properties":{"formattedCitation":"(Steenbeek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National surveillance systems for PAM should be established in countries where it is prevalent to monitor patterns of occurrence and delineate areas that are becoming hot spots. International cooperation through agencies like the World Health Organization can help transfer know-how and build up the capacity of the regions that are experiencing newly reported cases of PAM. A legal framework that stipulates safety standards for public water systems, especially in cities with intermittent water supply, is a must for the prevention of the disease on a large scale. The health departments should likewise categorize PAM as a neglected tropical disease, and, thus, research, public education, and training of healthcare providers for early recognition and treatment of the disease should be the main recipients of public health resources.</w:t>
      </w:r>
    </w:p>
    <w:p w14:paraId="2FF73305" w14:textId="77777777" w:rsidR="00F86882" w:rsidRPr="00F86882" w:rsidRDefault="00F86882" w:rsidP="00945488">
      <w:pPr>
        <w:jc w:val="both"/>
        <w:rPr>
          <w:rFonts w:ascii="Times New Roman" w:hAnsi="Times New Roman" w:cs="Times New Roman"/>
          <w:sz w:val="22"/>
          <w:szCs w:val="22"/>
        </w:rPr>
      </w:pPr>
    </w:p>
    <w:p w14:paraId="4A1F0AC7" w14:textId="2C2DD0B5" w:rsidR="00FF29B2" w:rsidRPr="00AE470E" w:rsidRDefault="00AD5FD4" w:rsidP="00945488">
      <w:pPr>
        <w:jc w:val="both"/>
        <w:rPr>
          <w:rFonts w:ascii="Times New Roman" w:hAnsi="Times New Roman" w:cs="Times New Roman"/>
          <w:b/>
          <w:bCs/>
          <w:sz w:val="26"/>
          <w:szCs w:val="26"/>
        </w:rPr>
      </w:pPr>
      <w:r>
        <w:rPr>
          <w:rFonts w:ascii="Times New Roman" w:hAnsi="Times New Roman" w:cs="Times New Roman"/>
          <w:b/>
          <w:bCs/>
          <w:sz w:val="26"/>
          <w:szCs w:val="26"/>
        </w:rPr>
        <w:t>9</w:t>
      </w:r>
      <w:r w:rsidR="00E45897" w:rsidRPr="00AE470E">
        <w:rPr>
          <w:rFonts w:ascii="Times New Roman" w:hAnsi="Times New Roman" w:cs="Times New Roman"/>
          <w:b/>
          <w:bCs/>
          <w:sz w:val="26"/>
          <w:szCs w:val="26"/>
        </w:rPr>
        <w:t xml:space="preserve">. Perspectives </w:t>
      </w:r>
    </w:p>
    <w:p w14:paraId="47D3C8D7" w14:textId="6AD5E495" w:rsidR="0040483A" w:rsidRDefault="00FF29B2" w:rsidP="00945488">
      <w:pPr>
        <w:jc w:val="both"/>
        <w:rPr>
          <w:rFonts w:ascii="Times New Roman" w:hAnsi="Times New Roman" w:cs="Times New Roman"/>
          <w:sz w:val="22"/>
          <w:szCs w:val="22"/>
        </w:rPr>
      </w:pPr>
      <w:r w:rsidRPr="00FF29B2">
        <w:rPr>
          <w:rFonts w:ascii="Times New Roman" w:hAnsi="Times New Roman" w:cs="Times New Roman"/>
          <w:sz w:val="22"/>
          <w:szCs w:val="22"/>
        </w:rPr>
        <w:t>The development of cutting-edge diagnostics, breakthrough therapeutics, and proactive monitoring will determine the future victory over PAM. It is very important to combine basic science breakthroughs with applied technologies in order to conquer current problems and enhance patient care.</w:t>
      </w:r>
      <w:r>
        <w:rPr>
          <w:rFonts w:ascii="Times New Roman" w:hAnsi="Times New Roman" w:cs="Times New Roman"/>
          <w:sz w:val="22"/>
          <w:szCs w:val="22"/>
        </w:rPr>
        <w:br/>
      </w:r>
      <w:r>
        <w:rPr>
          <w:rFonts w:ascii="Times New Roman" w:hAnsi="Times New Roman" w:cs="Times New Roman"/>
          <w:b/>
          <w:bCs/>
        </w:rPr>
        <w:br/>
      </w:r>
      <w:r w:rsidR="00AD5FD4">
        <w:rPr>
          <w:rFonts w:ascii="Times New Roman" w:hAnsi="Times New Roman" w:cs="Times New Roman"/>
          <w:b/>
          <w:bCs/>
        </w:rPr>
        <w:t>9</w:t>
      </w:r>
      <w:r w:rsidR="00945488" w:rsidRPr="00AE470E">
        <w:rPr>
          <w:rFonts w:ascii="Times New Roman" w:hAnsi="Times New Roman" w:cs="Times New Roman"/>
          <w:b/>
          <w:bCs/>
        </w:rPr>
        <w:t xml:space="preserve">.1 </w:t>
      </w:r>
      <w:r w:rsidR="00E45897" w:rsidRPr="00AE470E">
        <w:rPr>
          <w:rFonts w:ascii="Times New Roman" w:hAnsi="Times New Roman" w:cs="Times New Roman"/>
          <w:b/>
          <w:bCs/>
        </w:rPr>
        <w:t>Diagnostics</w:t>
      </w:r>
      <w:r w:rsidR="00E45897" w:rsidRPr="00AE470E">
        <w:rPr>
          <w:rFonts w:ascii="Times New Roman" w:hAnsi="Times New Roman" w:cs="Times New Roman"/>
        </w:rPr>
        <w:br/>
      </w:r>
      <w:r w:rsidR="0040483A" w:rsidRPr="0040483A">
        <w:rPr>
          <w:rFonts w:ascii="Times New Roman" w:hAnsi="Times New Roman" w:cs="Times New Roman"/>
          <w:sz w:val="22"/>
          <w:szCs w:val="22"/>
        </w:rPr>
        <w:t xml:space="preserve">The quick development of diagnostic tests for point-of-care remains an unmet need that is urgent in the management of PAM. The current molecular methods, although very specific, need specialized equipment and skilled personnel, which tends to limit their availability in under-resourced areas where PAM is being increasingly reported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{"citationID":"9NY4gj7p","properties":{"formattedCitation":"(Pitman-Hunt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future research should aim at the production of cheap lateral flow assays or microfluidic devices that can detect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antigens or DNA in CSF in a matter of minutes. This sort of technology might have a drastic impact on the delay in diagnosis, which is currently one of the factors leading to the high mortality rate. Besides, probing for biomarker-based diagnostics via </w:t>
      </w:r>
      <w:r w:rsidR="0040483A" w:rsidRPr="0040483A">
        <w:rPr>
          <w:rFonts w:ascii="Times New Roman" w:hAnsi="Times New Roman" w:cs="Times New Roman"/>
          <w:sz w:val="22"/>
          <w:szCs w:val="22"/>
        </w:rPr>
        <w:lastRenderedPageBreak/>
        <w:t xml:space="preserve">the detection of host inflammatory proteins or using metabolic signatures in blood or CSF may be an alternative route to diagnostics, in line with the recent proteomic discoveries that have pinpointed unique host response patterns in PAM cases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{"citationID":"iVEJ1HUc","properties":{"formattedCitation":"(Chinh et al., 2022)","plainCitation":"(Chinh et al., 2022)","noteIndex":0},"citationItems":[{"id":571,"uris":["http://zotero.org/users/18073969/items/FCAP8VMK"],"itemData":{"id":571,"type":"article-journal","container-title":"Parasitology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(Chinh et al., 2022)</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14:paraId="07448003" w14:textId="77777777" w:rsidR="00EE2C81" w:rsidRDefault="00AD5FD4" w:rsidP="00945488">
      <w:pPr>
        <w:jc w:val="both"/>
        <w:rPr>
          <w:rFonts w:ascii="Segoe UI" w:hAnsi="Segoe UI" w:cs="Segoe UI"/>
          <w:color w:val="0F1115"/>
          <w:shd w:val="clear" w:color="auto" w:fill="FFFFFF"/>
        </w:rPr>
      </w:pPr>
      <w:r>
        <w:rPr>
          <w:rFonts w:ascii="Times New Roman" w:hAnsi="Times New Roman" w:cs="Times New Roman"/>
          <w:b/>
          <w:bCs/>
        </w:rPr>
        <w:t>9</w:t>
      </w:r>
      <w:r w:rsidR="00945488" w:rsidRPr="00AE470E">
        <w:rPr>
          <w:rFonts w:ascii="Times New Roman" w:hAnsi="Times New Roman" w:cs="Times New Roman"/>
          <w:b/>
          <w:bCs/>
        </w:rPr>
        <w:t xml:space="preserve">.2 </w:t>
      </w:r>
      <w:r w:rsidR="00E45897" w:rsidRPr="00AE470E">
        <w:rPr>
          <w:rFonts w:ascii="Times New Roman" w:hAnsi="Times New Roman" w:cs="Times New Roman"/>
          <w:b/>
          <w:bCs/>
        </w:rPr>
        <w:t>Therapeutics</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blood-brain barrier is a major factor that prevents PAM treatment from being effective. It is necessary to research advanced drug delivery systems that are advanced, such as the use of carriers in the form of nanoparticles, which have shown their potential in improving the central nervous system penetration of drugs in experimental models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{"citationID":"EUyzBUf3","properties":{"formattedCitation":"(Hu et al., 2024)","plainCitation":"(Hu et al., 2024)","noteIndex":0},"citationItems":[{"id":620,"uris":["http://zotero.org/users/18073969/items/YUZYS8HY"],"itemData":{"id":620,"type":"article-journal","container-title":"Journal of Controlled Release","DOI":"10.1016/j.jconrel.2023.11.015","ISSN":"01683659","journalAbbreviation":"Journal of Controlled Release","language":"en","page":"889-904","source":"DOI.org (Crossref)","title":"Inducing in situ M2 macrophage polarization to promote the repair of bone defects via scaffold-mediated sustained delivery of luteolin","volume":"365","author":[{"family":"Hu","given":"Yan"},{"family":"Tang","given":"Lixi"},{"family":"Wang","given":"Zheng"},{"family":"Yan","given":"Honghan"},{"family":"Yi","given":"Xinzeyu"},{"family":"Wang","given":"Huimin"},{"family":"Ma","given":"Liya"},{"family":"Yang","given":"Changying"},{"family":"Ran","given":"Jiabing"},{"family":"Yu","given":"Aixi"}],"issued":{"date-parts":[["2024",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(Hu et al., 2024)</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Receptor-mediated transport across the barrier and methods for temporary disruption of the blood-brain barrier are also promising areas for research. The high-throughput screening of compound libraries, supported by AI drug repurposing algorithms that have already pointed out some promising candidate compounds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{"citationID":"oJBYjG7H","properties":{"formattedCitation":"(Beigmohammadi et al., 2024)","plainCitation":"(Beigmohammadi et al., 2024)","noteIndex":0},"citationItems":[{"id":621,"uris":["http://zotero.org/users/18073969/items/36B4VL9N"],"itemData":{"id":621,"type":"article-journal","abstract":"Abstract\n            In response to the burgeoning interest in enhancing the properties of liquid crystal composites, this research systematically explores the intricate interplay between MBBA nematic liquid crystals and ferroelectric barium titanate nanoparticles. The focus is modulating dielectric properties under temperature, frequency, and an applied electric field. Nuanced insights into temperature-dependent behavior, parallel and perpendicular component alterations, and a nonlinear correlation between nanoparticle concentration and dielectric constant are revealed. The study delves into dielectric anisotropy, indicating a reduction with increasing temperature. Structural analyses validate size reduction and crystal phase maintenance of barium titanate nanoparticles (NPs), emphasizing their impact on dielectric characteristics. Frequency-dependent investigations underscore a consistent decline in permittivity with rising frequency across nanoparticle concentrations. Application of an electric field in filling process of liquid crystal cells reveals irregular changes in dielectric constant, holding promise for tailored applications in display technologies. These comprehensive findings offer valuable insights into manipulating dielectric anisotropy properties of MBBA liquid crystal by a simple method for potential advancements in optoelectronic devices and display technologies.","container-title":"Scientific Reports","DOI":"10.1038/s41598-024-56219-7","ISSN":"2045-2322","issue":"1","journalAbbreviation":"Sci Rep","language":"en","page":"5756","source":"DOI.org (Crossref)","title":"Dielectric anisotropy changes in MBBA liquid crystal doped with barium titanate by a new method","volume":"14","author":[{"family":"Beigmohammadi","given":"Maryam"},{"family":"Khadem Sadigh","given":"Mahsa"},{"family":"Poursamad","given":"Jaafar"}],"issued":{"date-parts":[["2024",3,8]]}}}],"schema":"https://github.com/citation-style-language/schema/raw/master/csl-citation.json"}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(Beigmohammadi et al., 2024)</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is one method that could lead to the discovery of novel anti-amoebic compounds. </w:t>
      </w:r>
      <w:r w:rsidR="002503DC" w:rsidRPr="002503DC">
        <w:rPr>
          <w:rFonts w:ascii="Times New Roman" w:hAnsi="Times New Roman" w:cs="Times New Roman"/>
          <w:sz w:val="22"/>
          <w:szCs w:val="22"/>
        </w:rPr>
        <w:t xml:space="preserve">The AI-driven approach's potential becomes more obvious when it is coupled with a precision medicine approach, in which computational models can customize therapeutic strategies according to the specific factors of the patient and pathogen, a tactic that has already demonstrated enormous promise across multiple disease areas </w:t>
      </w:r>
      <w:r w:rsidR="002503DC">
        <w:rPr>
          <w:rFonts w:ascii="Times New Roman" w:hAnsi="Times New Roman" w:cs="Times New Roman"/>
          <w:sz w:val="22"/>
          <w:szCs w:val="22"/>
        </w:rPr>
        <w:fldChar w:fldCharType="begin"/>
      </w:r>
      <w:r w:rsidR="002503DC">
        <w:rPr>
          <w:rFonts w:ascii="Times New Roman" w:hAnsi="Times New Roman" w:cs="Times New Roman"/>
          <w:sz w:val="22"/>
          <w:szCs w:val="22"/>
        </w:rPr>
        <w:instrText xml:space="preserve"> ADDIN ZOTERO_ITEM CSL_CITATION {"citationID":"L02u5VCX","properties":{"formattedCitation":"(Ali et al., 2025)","plainCitation":"(Ali et al., 2025)","noteIndex":0},"citationItems":[{"id":723,"uris":["http://zotero.org/users/18073969/items/MJRQD7EF"],"itemData":{"id":723,"type":"article-journal","abstract":"Aims: Targeting non-specific action, low bioavailability, and systemic toxicity have always been some of the major limitations of medicinal therapies for cancer, diabetes, and CVDs. Here, we provide an overview of a precision nanomaterial integrating AI, multi-omic data, and stimuli-responsive systems for delivery to overcome these limitations. \nMethods: In cancer, hypoxia-activated nanoparticles, along with enzyme-functionalized carriers, provide excellent penetration in tumours and lessen off-target toxicity. In contrast, the setup of glucose-responsive nanogels and CRISPR-loaded exosomes for diabetes works toward restoration of physiological insulin secretion but confronts problems of metabolic variability. In pathologies affecting the vasculature, peptide-guided nanoparticles and siRNA platforms allow for precise vascular targeting with LDL reduction of 50 per cent. \nResults: Cross-disease analysis reveals that batch-to-batch variability, immune clearance, and regulatory ambiguities stand convergently as barriers to clinical translation. AI-based design may optimise nanocarrier parameters, while closed-loop theranostic systems make real-time adaptation of the therapy possible. \nConclusion: Ethically governing algorithmic bias, CRISPR germline risks, and data privacy issues is of paramount concern here. The way forward is standardised manufacturing, patient-centred trials, and frugal innovations to democratize access to nanotherapies worldwide: targeted, safe, and fair.","container-title":"Journal of Complementary and Alternative Medical Research","DOI":"10.9734/jocamr/2025/v26i10717","ISSN":"2456-6276","issue":"10","journalAbbreviation":"J. Compl. Altern. Med. Res.","page":"1-19","source":"DOI.org (Crossref)","title":"Precision Nanomedicine Converging AI and Multi-Omics: A Comprehensive Review of Cross-disease Applications in Cancer, Diabetes, and Cardiovascular Therapies","title-short":"Precision Nanomedicine Converging AI and Multi-Omics","volume":"26","author":[{"family":"Ali","given":"Samad"},{"family":"Siam","given":"Saklain Mostak"},{"family":"Navid-Al-Islam","given":"K.M."},{"family":"Haque","given":"Md. Asadul"},{"family":"Sobhan","given":"Abdus"}],"issued":{"date-parts":[["2025",10,22]]}}}],"schema":"https://github.com/citation-style-language/schema/raw/master/csl-citation.json"} </w:instrText>
      </w:r>
      <w:r w:rsidR="002503DC">
        <w:rPr>
          <w:rFonts w:ascii="Times New Roman" w:hAnsi="Times New Roman" w:cs="Times New Roman"/>
          <w:sz w:val="22"/>
          <w:szCs w:val="22"/>
        </w:rPr>
        <w:fldChar w:fldCharType="separate"/>
      </w:r>
      <w:r w:rsidR="002503DC" w:rsidRPr="002503DC">
        <w:rPr>
          <w:rFonts w:ascii="Times New Roman" w:hAnsi="Times New Roman" w:cs="Times New Roman"/>
          <w:sz w:val="22"/>
        </w:rPr>
        <w:t>(Ali et al., 2025)</w:t>
      </w:r>
      <w:r w:rsidR="002503DC">
        <w:rPr>
          <w:rFonts w:ascii="Times New Roman" w:hAnsi="Times New Roman" w:cs="Times New Roman"/>
          <w:sz w:val="22"/>
          <w:szCs w:val="22"/>
        </w:rPr>
        <w:fldChar w:fldCharType="end"/>
      </w:r>
      <w:r w:rsidR="00012B14" w:rsidRPr="00012B14">
        <w:rPr>
          <w:rFonts w:ascii="Times New Roman" w:hAnsi="Times New Roman" w:cs="Times New Roman"/>
          <w:sz w:val="22"/>
          <w:szCs w:val="22"/>
        </w:rPr>
        <w:t>.</w:t>
      </w:r>
      <w:r w:rsidR="00012B14">
        <w:rPr>
          <w:rFonts w:ascii="Times New Roman" w:hAnsi="Times New Roman" w:cs="Times New Roman"/>
          <w:sz w:val="22"/>
          <w:szCs w:val="22"/>
        </w:rPr>
        <w:t xml:space="preserve"> </w:t>
      </w:r>
      <w:r w:rsidR="0040483A" w:rsidRPr="0040483A">
        <w:rPr>
          <w:rFonts w:ascii="Times New Roman" w:hAnsi="Times New Roman" w:cs="Times New Roman"/>
          <w:sz w:val="22"/>
          <w:szCs w:val="22"/>
        </w:rPr>
        <w:t xml:space="preserve">Immunotherapy methods, such as the use of engineered antibodies that specifically bind to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surface proteins and activation of macrophage function using immunomodulators, open up another potential area.</w:t>
      </w:r>
      <w:r w:rsidR="00012B14" w:rsidRPr="00012B14">
        <w:rPr>
          <w:rFonts w:ascii="Segoe UI" w:hAnsi="Segoe UI" w:cs="Segoe UI"/>
          <w:color w:val="0F1115"/>
          <w:shd w:val="clear" w:color="auto" w:fill="FFFFFF"/>
        </w:rPr>
        <w:t xml:space="preserve"> </w:t>
      </w:r>
    </w:p>
    <w:p w14:paraId="5D0F26CC" w14:textId="295043C4" w:rsidR="00EE2C81" w:rsidRDefault="002503DC" w:rsidP="00945488">
      <w:pPr>
        <w:jc w:val="both"/>
        <w:rPr>
          <w:rFonts w:ascii="Times New Roman" w:hAnsi="Times New Roman" w:cs="Times New Roman"/>
          <w:sz w:val="22"/>
          <w:szCs w:val="22"/>
        </w:rPr>
      </w:pPr>
      <w:r w:rsidRPr="002503DC">
        <w:rPr>
          <w:rFonts w:ascii="Times New Roman" w:hAnsi="Times New Roman" w:cs="Times New Roman"/>
          <w:sz w:val="22"/>
          <w:szCs w:val="22"/>
        </w:rPr>
        <w:t xml:space="preserve">Another promising approach is to investigate natural compounds with both anti-inflammatory and antioxidant properties as complementary treatments. The severe inflammatory response and oxidative stress in PAM are the main factors causing neural damage. Plants with medicinal potential, like Phyllanthus </w:t>
      </w:r>
      <w:proofErr w:type="spellStart"/>
      <w:r w:rsidRPr="002503DC">
        <w:rPr>
          <w:rFonts w:ascii="Times New Roman" w:hAnsi="Times New Roman" w:cs="Times New Roman"/>
          <w:sz w:val="22"/>
          <w:szCs w:val="22"/>
        </w:rPr>
        <w:t>emblica</w:t>
      </w:r>
      <w:proofErr w:type="spellEnd"/>
      <w:r w:rsidRPr="002503DC">
        <w:rPr>
          <w:rFonts w:ascii="Times New Roman" w:hAnsi="Times New Roman" w:cs="Times New Roman"/>
          <w:sz w:val="22"/>
          <w:szCs w:val="22"/>
        </w:rPr>
        <w:t xml:space="preserve"> (</w:t>
      </w:r>
      <w:proofErr w:type="spellStart"/>
      <w:r w:rsidRPr="002503DC">
        <w:rPr>
          <w:rFonts w:ascii="Times New Roman" w:hAnsi="Times New Roman" w:cs="Times New Roman"/>
          <w:sz w:val="22"/>
          <w:szCs w:val="22"/>
        </w:rPr>
        <w:t>Amla</w:t>
      </w:r>
      <w:proofErr w:type="spellEnd"/>
      <w:r w:rsidRPr="002503DC">
        <w:rPr>
          <w:rFonts w:ascii="Times New Roman" w:hAnsi="Times New Roman" w:cs="Times New Roman"/>
          <w:sz w:val="22"/>
          <w:szCs w:val="22"/>
        </w:rPr>
        <w:t>), which possess significant antioxidant and anti-inflammatory properties documented</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{"citationID":"c8qoalRw","properties":{"formattedCitation":"(Mehjabin et al., 2024)","plainCitation":"(Mehjabin et al., 2024)","noteIndex":0},"citationItems":[{"id":726,"uris":["http://zotero.org/users/18073969/items/8AWWJSIT"],"itemData":{"id":726,"type":"chapter","container-title":"Medicinal Plants and their Bioactive Compounds in Human Health: Volume 1","event-place":"Singapore","ISBN":"978-981-97-6894-3","language":"en","note":"DOI: 10.1007/978-981-97-6895-0_8","page":"143-164","publisher":"Springer Nature Singapore","publisher-place":"Singapore","source":"DOI.org (Crossref)","title":"Medicinal and Nutritional Importance of Phyllanthus emblica in Human Health","URL":"https://link.springer.com/10.1007/978-981-97-6895-0_8","editor":[{"family":"Ansari","given":"Mohammad Azam"},{"family":"Shoaib","given":"Shoaib"},{"family":"Islam","given":"Najmul"}],"author":[{"family":"Mehjabin","given":"Sanzia"},{"family":"Akanda","given":"Md. Khokon Miah"},{"family":"Akhter","given":"Nurjahan"},{"family":"Bosri","given":"Most. Rabea"},{"family":"Ali","given":"Samad"}],"accessed":{"date-parts":[["2025",10,23]]},"issued":{"date-parts":[["2024"]]}}}],"schema":"https://github.com/citation-style-language/schema/raw/master/csl-citation.json"} </w:instrText>
      </w:r>
      <w:r>
        <w:rPr>
          <w:rFonts w:ascii="Times New Roman" w:hAnsi="Times New Roman" w:cs="Times New Roman"/>
          <w:sz w:val="22"/>
          <w:szCs w:val="22"/>
        </w:rPr>
        <w:fldChar w:fldCharType="separate"/>
      </w:r>
      <w:r w:rsidRPr="002503DC">
        <w:rPr>
          <w:rFonts w:ascii="Times New Roman" w:hAnsi="Times New Roman" w:cs="Times New Roman"/>
          <w:sz w:val="22"/>
        </w:rPr>
        <w:t>(Mehjabin et al., 2024)</w:t>
      </w:r>
      <w:r>
        <w:rPr>
          <w:rFonts w:ascii="Times New Roman" w:hAnsi="Times New Roman" w:cs="Times New Roman"/>
          <w:sz w:val="22"/>
          <w:szCs w:val="22"/>
        </w:rPr>
        <w:fldChar w:fldCharType="end"/>
      </w:r>
      <w:r w:rsidRPr="002503DC">
        <w:rPr>
          <w:rFonts w:ascii="Times New Roman" w:hAnsi="Times New Roman" w:cs="Times New Roman"/>
          <w:sz w:val="22"/>
          <w:szCs w:val="22"/>
        </w:rPr>
        <w:t>, might also be explored to lessen the host's damaging immune response and, at the same time, protect the nerve against direct amoebicidal drugs.</w:t>
      </w:r>
      <w:r>
        <w:rPr>
          <w:rFonts w:ascii="Times New Roman" w:hAnsi="Times New Roman" w:cs="Times New Roman"/>
          <w:sz w:val="22"/>
          <w:szCs w:val="22"/>
        </w:rPr>
        <w:t xml:space="preserve"> </w:t>
      </w:r>
    </w:p>
    <w:p w14:paraId="45C85AA3" w14:textId="324A0784" w:rsidR="00EE2C81" w:rsidRDefault="002503DC" w:rsidP="00945488">
      <w:pPr>
        <w:jc w:val="both"/>
        <w:rPr>
          <w:rFonts w:ascii="Times New Roman" w:hAnsi="Times New Roman" w:cs="Times New Roman"/>
          <w:sz w:val="22"/>
          <w:szCs w:val="22"/>
        </w:rPr>
      </w:pPr>
      <w:r w:rsidRPr="002503DC">
        <w:rPr>
          <w:rFonts w:ascii="Times New Roman" w:hAnsi="Times New Roman" w:cs="Times New Roman"/>
          <w:sz w:val="22"/>
          <w:szCs w:val="22"/>
        </w:rPr>
        <w:t xml:space="preserve">Moreover, the newborn and repurposed drug safety and dosage for PAM must be thoroughly evaluated, particularly because the disease usually affects children and young adults. The experience of other pediatric specialties can be advantageous in that the systematic evaluation of drug efficacy and safety in vulnerable populations, such as children with congenital heart disease on antihypertensive regimens, is paramount </w:t>
      </w:r>
      <w:r w:rsidR="00EE2C81">
        <w:rPr>
          <w:rFonts w:ascii="Times New Roman" w:hAnsi="Times New Roman" w:cs="Times New Roman"/>
          <w:sz w:val="22"/>
          <w:szCs w:val="22"/>
        </w:rPr>
        <w:fldChar w:fldCharType="begin"/>
      </w:r>
      <w:r w:rsidR="00EE2C81">
        <w:rPr>
          <w:rFonts w:ascii="Times New Roman" w:hAnsi="Times New Roman" w:cs="Times New Roman"/>
          <w:sz w:val="22"/>
          <w:szCs w:val="22"/>
        </w:rPr>
        <w:instrText xml:space="preserve"> ADDIN ZOTERO_ITEM CSL_CITATION {"citationID":"pLa2xKCz","properties":{"formattedCitation":"(Samad Ali et al., 2024)","plainCitation":"(Samad Ali et al., 2024)","noteIndex":0},"citationItems":[{"id":724,"uris":["http://zotero.org/users/18073969/items/BU47Q4ZU"],"itemData":{"id":724,"type":"article-journal","abstract":"CHD is the most common of all congenital anomalies causing mortality among children, characterized by structural abnormalities present at birth that vary in severity and complexity. Increased cardiac workload due to CHD may stipulate a growth delay in the affected children. The complexity of treatment is further compounded by medication errors, and hence, rigorous strategies of evaluation and management become necessary. This study was conducted to determine antihypertensive drug consumption patterns and to evaluate their therapeutic efficacy among 92 patients with CHD to meet the evaluation criteria, including appropriateness of treatment for the condition of the patient, adherence to indications, accuracy of dosage, and drug use practice. Females constituted the highest proportion of patients at 53.26 percent, infants were the most common age group at 43.48 percent, and Atrial seal defect accounted for 22.5 percent of the CHD patients. The antihypertensive drugs predominantly prescribed are Furosemide, used by 44.9% of the subjects, followed by Captopril, used by 30.3%, and Spironolactone, used by 10.1%. Therapy was evaluated for its effectiveness; appropriateness, both for the patient's indications and drug usage, was found to be very high, at 98.9% and 97.8%, respectively, whereas adherence to prescribed dosage was relatively lower at 62.7%. This study points toward further challenges in the management of antihypertensive treatment among children with CHD. It needs combined efforts by a pediatric cardiologist, pharmacist, nurse, and caregiver for total care to reduce the risk from treatment. Continuous monitoring and alterations in the plan of treatment, coupled with education, could be significant in optimizing medication adherence to improve long-term health outcomes in CHD children. The research done in this field, at large, improves pediatric cardiology practice to reduce morbidity and mortality rates associated with congenital heart disease around the world.","container-title":"Journal of Medical and Health Studies","DOI":"10.32996/jmhs.2024.5.3.6","ISSN":"2710-1452","issue":"3","journalAbbreviation":"jmhs","page":"41-55","source":"DOI.org (Crossref)","title":"Evaluating the Efficacy and Safety of Antihypertensive Drugs in the Treatment of Congenital Heart Disease in Paediatric Patients: A Comprehensive Study","title-short":"Evaluating the Efficacy and Safety of Antihypertensive Drugs in the Treatment of Congenital Heart Disease in Paediatric Patients","volume":"5","author":[{"literal":"Samad Ali"},{"literal":"Abdus Sobhan"},{"family":"Pathak","given":"Abhijit"}],"issued":{"date-parts":[["2024",8,6]]}}}],"schema":"https://github.com/citation-style-language/schema/raw/master/csl-citation.json"} </w:instrText>
      </w:r>
      <w:r w:rsidR="00EE2C81">
        <w:rPr>
          <w:rFonts w:ascii="Times New Roman" w:hAnsi="Times New Roman" w:cs="Times New Roman"/>
          <w:sz w:val="22"/>
          <w:szCs w:val="22"/>
        </w:rPr>
        <w:fldChar w:fldCharType="separate"/>
      </w:r>
      <w:r w:rsidR="00EE2C81" w:rsidRPr="00EE2C81">
        <w:rPr>
          <w:rFonts w:ascii="Times New Roman" w:hAnsi="Times New Roman" w:cs="Times New Roman"/>
          <w:sz w:val="22"/>
        </w:rPr>
        <w:t>(Samad Ali et al., 2024)</w:t>
      </w:r>
      <w:r w:rsidR="00EE2C81">
        <w:rPr>
          <w:rFonts w:ascii="Times New Roman" w:hAnsi="Times New Roman" w:cs="Times New Roman"/>
          <w:sz w:val="22"/>
          <w:szCs w:val="22"/>
        </w:rPr>
        <w:fldChar w:fldCharType="end"/>
      </w:r>
      <w:r w:rsidRPr="002503DC">
        <w:rPr>
          <w:rFonts w:ascii="Times New Roman" w:hAnsi="Times New Roman" w:cs="Times New Roman"/>
          <w:sz w:val="22"/>
          <w:szCs w:val="22"/>
        </w:rPr>
        <w:t>. Setting up comparable pharmacovigilance and age-appropriate dosing frameworks is a vital future step for the enhancement of the PAM survival rate.</w:t>
      </w:r>
      <w:r>
        <w:rPr>
          <w:rFonts w:ascii="Times New Roman" w:hAnsi="Times New Roman" w:cs="Times New Roman"/>
          <w:sz w:val="22"/>
          <w:szCs w:val="22"/>
        </w:rPr>
        <w:t xml:space="preserve"> </w:t>
      </w:r>
      <w:r w:rsidR="0040483A" w:rsidRPr="0040483A">
        <w:rPr>
          <w:rFonts w:ascii="Times New Roman" w:hAnsi="Times New Roman" w:cs="Times New Roman"/>
          <w:sz w:val="22"/>
          <w:szCs w:val="22"/>
        </w:rPr>
        <w:t>Besides, combination therapy optimization through pharmacokinetic/pharmacodynamic modeling and clinical trial simulation could make way for evidence-based dosing regimens for both the new and the existing therapeutic agents.</w:t>
      </w:r>
      <w:r w:rsidR="00012B14">
        <w:rPr>
          <w:rFonts w:ascii="Times New Roman" w:hAnsi="Times New Roman" w:cs="Times New Roman"/>
          <w:sz w:val="22"/>
          <w:szCs w:val="22"/>
        </w:rPr>
        <w:t xml:space="preserve"> </w:t>
      </w:r>
    </w:p>
    <w:p w14:paraId="7D2C2765" w14:textId="16689928" w:rsidR="0040483A" w:rsidRDefault="0040483A" w:rsidP="00945488">
      <w:pPr>
        <w:jc w:val="both"/>
        <w:rPr>
          <w:rFonts w:ascii="Times New Roman" w:hAnsi="Times New Roman" w:cs="Times New Roman"/>
          <w:sz w:val="22"/>
          <w:szCs w:val="22"/>
        </w:rPr>
      </w:pPr>
      <w:r w:rsidRPr="0040483A">
        <w:rPr>
          <w:rFonts w:ascii="Times New Roman" w:hAnsi="Times New Roman" w:cs="Times New Roman"/>
          <w:sz w:val="22"/>
          <w:szCs w:val="22"/>
        </w:rPr>
        <w:t xml:space="preserve">However, the </w:t>
      </w:r>
      <w:r w:rsidRPr="0040483A">
        <w:rPr>
          <w:rFonts w:ascii="Times New Roman" w:hAnsi="Times New Roman" w:cs="Times New Roman"/>
          <w:i/>
          <w:iCs/>
          <w:sz w:val="22"/>
          <w:szCs w:val="22"/>
        </w:rPr>
        <w:t>in-silico</w:t>
      </w:r>
      <w:r w:rsidRPr="0040483A">
        <w:rPr>
          <w:rFonts w:ascii="Times New Roman" w:hAnsi="Times New Roman" w:cs="Times New Roman"/>
          <w:sz w:val="22"/>
          <w:szCs w:val="22"/>
        </w:rPr>
        <w:t xml:space="preserve"> screens will initially identify promising candidates that should later be put through a series of rigorous tests </w:t>
      </w:r>
      <w:r w:rsidRPr="0040483A">
        <w:rPr>
          <w:rFonts w:ascii="Times New Roman" w:hAnsi="Times New Roman" w:cs="Times New Roman"/>
          <w:i/>
          <w:iCs/>
          <w:sz w:val="22"/>
          <w:szCs w:val="22"/>
        </w:rPr>
        <w:t>in vitro</w:t>
      </w:r>
      <w:r w:rsidRPr="0040483A">
        <w:rPr>
          <w:rFonts w:ascii="Times New Roman" w:hAnsi="Times New Roman" w:cs="Times New Roman"/>
          <w:sz w:val="22"/>
          <w:szCs w:val="22"/>
        </w:rPr>
        <w:t xml:space="preserve"> amoebicidal assays and, importantly, in animal models of PAM to verify their efficacy and safety before being considered for clinical use.</w:t>
      </w:r>
    </w:p>
    <w:p w14:paraId="1238470B" w14:textId="36355F74" w:rsidR="00E45897" w:rsidRPr="00E45897" w:rsidRDefault="00AD5FD4" w:rsidP="00945488">
      <w:pPr>
        <w:jc w:val="both"/>
        <w:rPr>
          <w:rFonts w:ascii="Times New Roman" w:hAnsi="Times New Roman" w:cs="Times New Roman"/>
          <w:sz w:val="22"/>
          <w:szCs w:val="22"/>
        </w:rPr>
      </w:pPr>
      <w:r>
        <w:rPr>
          <w:rFonts w:ascii="Times New Roman" w:hAnsi="Times New Roman" w:cs="Times New Roman"/>
          <w:b/>
          <w:bCs/>
        </w:rPr>
        <w:t>9</w:t>
      </w:r>
      <w:r w:rsidR="00945488" w:rsidRPr="00AE470E">
        <w:rPr>
          <w:rFonts w:ascii="Times New Roman" w:hAnsi="Times New Roman" w:cs="Times New Roman"/>
          <w:b/>
          <w:bCs/>
        </w:rPr>
        <w:t xml:space="preserve">.3 </w:t>
      </w:r>
      <w:r w:rsidR="00E45897" w:rsidRPr="00AE470E">
        <w:rPr>
          <w:rFonts w:ascii="Times New Roman" w:hAnsi="Times New Roman" w:cs="Times New Roman"/>
          <w:b/>
          <w:bCs/>
        </w:rPr>
        <w:t>Surveillance</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predictive models for PAM risk are being developed, and this area of research is gaining importance. The utilization of machine learning algorithms that combine climate data, water quality parameters, and epidemiological information could lead to the creation of early warning systems for public health interventions. This would be particularly crucial, taking into account the already recognized link between climate change and the enlargement of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habitats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{"citationID":"3gVzw0OO","properties":{"formattedCitation":"(Steenbeek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environmental </w:t>
      </w:r>
      <w:r w:rsidR="0040483A" w:rsidRPr="0040483A">
        <w:rPr>
          <w:rFonts w:ascii="Times New Roman" w:hAnsi="Times New Roman" w:cs="Times New Roman"/>
          <w:sz w:val="22"/>
          <w:szCs w:val="22"/>
        </w:rPr>
        <w:lastRenderedPageBreak/>
        <w:t xml:space="preserve">surveillance methods, including the refined water sampling protocols and the sensitive detection techniques for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in water systems, need standardization and validation. If a coordinated system of international registries for PAM cases is established, this will contribute to the comprehension of global epidemiology and also ease the quick spotting of new trends, thus expanding the current water safety research that has already shown the link between water system characteristics and PAM cases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{"citationID":"twJiwMMK","properties":{"formattedCitation":"(Cope et al., 2015)","plainCitation":"(Cope et al., 2015)","noteIndex":0},"citationItems":[{"id":625,"uris":["http://zotero.org/users/18073969/items/RIXX7S5Z"],"itemData":{"id":625,"type":"article-journal","container-title":"Clinical Infectious Diseases","DOI":"10.1093/cid/civ017","ISSN":"1058-4838, 1537-6591","issue":"8","journalAbbreviation":"Clinical Infectious Diseases","language":"en","page":"e36-e42","source":"DOI.org (Crossref)","title":"The First Association of a Primary Amebic Meningoencephalitis Death With Culturable Naegleria fowleri in Tap Water From a US Treated Public Drinking Water System","volume":"60","author":[{"family":"Cope","given":"J. R."},{"family":"Ratard","given":"R. C."},{"family":"Hill","given":"V. R."},{"family":"Sokol","given":"T."},{"family":"Causey","given":"J. J."},{"family":"Yoder","given":"J. S."},{"family":"Mirani","given":"G."},{"family":"Mull","given":"B."},{"family":"Mukerjee","given":"K. A."},{"family":"Narayanan","given":"J."},{"family":"Doucet","given":"M."},{"family":"Qvarnstrom","given":"Y."},{"family":"Poole","given":"C. N."},{"family":"Akingbola","given":"O. A."},{"family":"Ritter","given":"J. M."},{"family":"Xiong","given":"Z."},{"family":"Da Silva","given":"A. J."},{"family":"Roellig","given":"D."},{"family":"Van Dyke","given":"R. B."},{"family":"Stern","given":"H."},{"family":"Xiao","given":"L."},{"family":"Beach","given":"M. J."}],"issued":{"date-parts":[["2015",4,15]]}}}],"schema":"https://github.com/citation-style-language/schema/raw/master/csl-citation.json"}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2015)</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14:paraId="3550F302" w14:textId="488A8569" w:rsidR="0040483A" w:rsidRDefault="00AD5FD4" w:rsidP="00945488">
      <w:pPr>
        <w:jc w:val="both"/>
        <w:rPr>
          <w:rFonts w:ascii="Times New Roman" w:hAnsi="Times New Roman" w:cs="Times New Roman"/>
          <w:sz w:val="22"/>
          <w:szCs w:val="22"/>
        </w:rPr>
      </w:pPr>
      <w:r>
        <w:rPr>
          <w:rFonts w:ascii="Times New Roman" w:hAnsi="Times New Roman" w:cs="Times New Roman"/>
          <w:b/>
          <w:bCs/>
        </w:rPr>
        <w:t>9</w:t>
      </w:r>
      <w:r w:rsidR="00945488" w:rsidRPr="00AE470E">
        <w:rPr>
          <w:rFonts w:ascii="Times New Roman" w:hAnsi="Times New Roman" w:cs="Times New Roman"/>
          <w:b/>
          <w:bCs/>
        </w:rPr>
        <w:t xml:space="preserve">.4 </w:t>
      </w:r>
      <w:r w:rsidR="00E45897" w:rsidRPr="00AE470E">
        <w:rPr>
          <w:rFonts w:ascii="Times New Roman" w:hAnsi="Times New Roman" w:cs="Times New Roman"/>
          <w:b/>
          <w:bCs/>
        </w:rPr>
        <w:t>Basic Science</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understanding of host-pathogen interactions in PAM is still marred by considerable knowledge gaps that need to be filled by research. These immune mechanisms that determine susceptibility as opposed to resistance to infection are to be revealed, including the role played by nasal mucosal immunity and immune responses along the olfactory nerve. Though genomic studies have laid the groundwork </w:t>
      </w:r>
      <w:r w:rsidR="0065201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{"citationID":"ZfWC3dyp","properties":{"formattedCitation":"(Kaur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652010">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65201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full-scale metabolic profiling of </w:t>
      </w:r>
      <w:r w:rsidR="0040483A" w:rsidRPr="0040483A">
        <w:rPr>
          <w:rFonts w:ascii="Times New Roman" w:hAnsi="Times New Roman" w:cs="Times New Roman"/>
          <w:i/>
          <w:iCs/>
          <w:sz w:val="22"/>
          <w:szCs w:val="22"/>
        </w:rPr>
        <w:t xml:space="preserve">N. fowleri </w:t>
      </w:r>
      <w:r w:rsidR="0040483A" w:rsidRPr="0040483A">
        <w:rPr>
          <w:rFonts w:ascii="Times New Roman" w:hAnsi="Times New Roman" w:cs="Times New Roman"/>
          <w:sz w:val="22"/>
          <w:szCs w:val="22"/>
        </w:rPr>
        <w:t xml:space="preserve">at different life cycle stages and during CNS invasion could open up the discovery of essential pathways for targeted intervention. Currently, the genetic manipulation methods for </w:t>
      </w:r>
      <w:r w:rsidR="0040483A" w:rsidRPr="007744C6">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have yet to be developed for the purpose of proper functional genomic studies of the virulence factors. The molecular basis of the parasite's astonishing neurotropism and the nature of its rapid migration through neural pathways are still poorly elucidated, notwithstanding that some proteomics work has already provided the identification of certain potential virulence factors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{"citationID":"jRVcJhl7","properties":{"formattedCitation":"(Kaur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14:paraId="02F11635" w14:textId="77777777" w:rsidR="00FB70FB" w:rsidRDefault="00FB70FB" w:rsidP="00945488">
      <w:pPr>
        <w:jc w:val="both"/>
        <w:rPr>
          <w:rFonts w:ascii="Times New Roman" w:hAnsi="Times New Roman" w:cs="Times New Roman"/>
          <w:sz w:val="22"/>
          <w:szCs w:val="22"/>
        </w:rPr>
      </w:pPr>
    </w:p>
    <w:p w14:paraId="2F086C66" w14:textId="7D877475" w:rsidR="00E45897" w:rsidRPr="00AE470E" w:rsidRDefault="00E45897" w:rsidP="00945488">
      <w:pPr>
        <w:jc w:val="both"/>
        <w:rPr>
          <w:rFonts w:ascii="Times New Roman" w:hAnsi="Times New Roman" w:cs="Times New Roman"/>
          <w:b/>
          <w:bCs/>
          <w:sz w:val="26"/>
          <w:szCs w:val="26"/>
        </w:rPr>
      </w:pPr>
      <w:r w:rsidRPr="00AE470E">
        <w:rPr>
          <w:rFonts w:ascii="Times New Roman" w:hAnsi="Times New Roman" w:cs="Times New Roman"/>
          <w:b/>
          <w:bCs/>
          <w:sz w:val="26"/>
          <w:szCs w:val="26"/>
        </w:rPr>
        <w:t>Conclusion</w:t>
      </w:r>
    </w:p>
    <w:p w14:paraId="7297CE85" w14:textId="570A8C2F" w:rsidR="007744C6" w:rsidRDefault="007744C6" w:rsidP="00945488">
      <w:pPr>
        <w:jc w:val="both"/>
        <w:rPr>
          <w:rFonts w:ascii="Times New Roman" w:hAnsi="Times New Roman" w:cs="Times New Roman"/>
          <w:sz w:val="22"/>
          <w:szCs w:val="22"/>
        </w:rPr>
      </w:pPr>
      <w:r w:rsidRPr="007744C6">
        <w:rPr>
          <w:rFonts w:ascii="Times New Roman" w:hAnsi="Times New Roman" w:cs="Times New Roman"/>
          <w:sz w:val="22"/>
          <w:szCs w:val="22"/>
        </w:rPr>
        <w:t>Primary Amoebic Meningoencephalitis an extremely deadly disease caused by the Naegleria fowleri amoeba, continues to be a very hard challenge to overcome in the area of infectious diseases and neurology. It still maintains the same high rate of death regardless of the medical progress achieved through the years. The present review has collected the most important data from the years 2020-2025, and thus, both the alarming trends and the promising advances are revealed. The epidemiological scenario has changed completely, and the region of South Asia has emerged as a new major hotspot, the main factors being climate change, water-use practices, and poor health systems. The transformation of risk areas for PAM around the world requires the development of preventive strategies specific to that factor in the region on a global scale.</w:t>
      </w:r>
      <w:r>
        <w:rPr>
          <w:rFonts w:ascii="Times New Roman" w:hAnsi="Times New Roman" w:cs="Times New Roman"/>
          <w:sz w:val="22"/>
          <w:szCs w:val="22"/>
        </w:rPr>
        <w:t xml:space="preserve"> </w:t>
      </w:r>
    </w:p>
    <w:p w14:paraId="027A791D" w14:textId="77777777" w:rsidR="007744C6" w:rsidRDefault="007744C6" w:rsidP="00945488">
      <w:pPr>
        <w:jc w:val="both"/>
        <w:rPr>
          <w:rFonts w:ascii="Times New Roman" w:hAnsi="Times New Roman" w:cs="Times New Roman"/>
          <w:sz w:val="22"/>
          <w:szCs w:val="22"/>
        </w:rPr>
      </w:pPr>
      <w:r w:rsidRPr="007744C6">
        <w:rPr>
          <w:rFonts w:ascii="Times New Roman" w:hAnsi="Times New Roman" w:cs="Times New Roman"/>
          <w:sz w:val="22"/>
          <w:szCs w:val="22"/>
        </w:rPr>
        <w:t xml:space="preserve">Great strides have been taken in the comprehension of </w:t>
      </w:r>
      <w:r w:rsidRPr="007744C6">
        <w:rPr>
          <w:rFonts w:ascii="Times New Roman" w:hAnsi="Times New Roman" w:cs="Times New Roman"/>
          <w:i/>
          <w:iCs/>
          <w:sz w:val="22"/>
          <w:szCs w:val="22"/>
        </w:rPr>
        <w:t>N. fowleri</w:t>
      </w:r>
      <w:r w:rsidRPr="007744C6">
        <w:rPr>
          <w:rFonts w:ascii="Times New Roman" w:hAnsi="Times New Roman" w:cs="Times New Roman"/>
          <w:sz w:val="22"/>
          <w:szCs w:val="22"/>
        </w:rPr>
        <w:t xml:space="preserve"> molecular pathogenesis, with multi-omics approaches revealing new virulence factors and host-pathogen interactions that allow the amoeba to invade the brain so quickly and destructively. These revelations are now turning into advancements in the clinics, especially in diagnostics, where metagenomic sequencing has led to better early detection, and in the treatment, where combinations with miltefosine are very effective in recent cases of mortality reduction. The series of experimental methods, including nanoparticle drug delivery and AI-assisted drug discovery, seems to be working for the future of therapy breakthroughs.</w:t>
      </w:r>
    </w:p>
    <w:p w14:paraId="1068DFA0" w14:textId="4744A497" w:rsidR="00FF29B2" w:rsidRPr="00CC3551" w:rsidRDefault="007744C6" w:rsidP="005A2ACE">
      <w:pPr>
        <w:jc w:val="both"/>
        <w:rPr>
          <w:rFonts w:ascii="Times New Roman" w:hAnsi="Times New Roman" w:cs="Times New Roman"/>
          <w:sz w:val="22"/>
          <w:szCs w:val="22"/>
        </w:rPr>
      </w:pPr>
      <w:r w:rsidRPr="007744C6">
        <w:rPr>
          <w:rFonts w:ascii="Times New Roman" w:hAnsi="Times New Roman" w:cs="Times New Roman"/>
          <w:sz w:val="22"/>
          <w:szCs w:val="22"/>
        </w:rPr>
        <w:t xml:space="preserve">The battle with PAM necessitates an all-encompassing, multi-faceted strategy connecting basic research, clinic therapy, and health care. Public education, especially in the new endemic areas, environmental surveillance systems, and cutting-edge research for quick diagnosis and good treatment, are the major contributors. The future of this fight will still need more cooperation between the different fields and areas, treating PAM as a universal health issue that requires a united international response. There are still many </w:t>
      </w:r>
      <w:r w:rsidRPr="007744C6">
        <w:rPr>
          <w:rFonts w:ascii="Times New Roman" w:hAnsi="Times New Roman" w:cs="Times New Roman"/>
          <w:sz w:val="22"/>
          <w:szCs w:val="22"/>
        </w:rPr>
        <w:lastRenderedPageBreak/>
        <w:t>difficulties to overcome, but the recent progress reported in this review has laid down a basis for a carefully optimistic attitude in the struggle against this infection, which is very painful.</w:t>
      </w:r>
    </w:p>
    <w:p w14:paraId="3B06D4E6" w14:textId="77777777" w:rsidR="00FB70FB" w:rsidRDefault="00FB70FB" w:rsidP="005A2ACE">
      <w:pPr>
        <w:jc w:val="both"/>
        <w:rPr>
          <w:rFonts w:ascii="Times New Roman" w:hAnsi="Times New Roman" w:cs="Times New Roman"/>
          <w:b/>
          <w:bCs/>
        </w:rPr>
      </w:pPr>
    </w:p>
    <w:p w14:paraId="068A554E" w14:textId="75EDB35C" w:rsidR="005A2ACE" w:rsidRPr="005A2ACE" w:rsidRDefault="005A2ACE" w:rsidP="005A2ACE">
      <w:pPr>
        <w:jc w:val="both"/>
        <w:rPr>
          <w:rFonts w:ascii="Times New Roman" w:hAnsi="Times New Roman" w:cs="Times New Roman"/>
          <w:b/>
          <w:bCs/>
        </w:rPr>
      </w:pPr>
      <w:r w:rsidRPr="005A2ACE">
        <w:rPr>
          <w:rFonts w:ascii="Times New Roman" w:hAnsi="Times New Roman" w:cs="Times New Roman"/>
          <w:b/>
          <w:bCs/>
        </w:rPr>
        <w:t>List of Abbreviations</w:t>
      </w:r>
    </w:p>
    <w:p w14:paraId="03F73994" w14:textId="77777777" w:rsidR="005A2ACE" w:rsidRPr="005A2ACE" w:rsidRDefault="005A2ACE" w:rsidP="005A2ACE">
      <w:pPr>
        <w:jc w:val="both"/>
        <w:rPr>
          <w:rFonts w:ascii="Times New Roman" w:hAnsi="Times New Roman" w:cs="Times New Roman"/>
          <w:sz w:val="22"/>
          <w:szCs w:val="22"/>
        </w:rPr>
      </w:pPr>
      <w:r w:rsidRPr="005A2ACE">
        <w:rPr>
          <w:rFonts w:ascii="Times New Roman" w:hAnsi="Times New Roman" w:cs="Times New Roman"/>
          <w:b/>
          <w:bCs/>
          <w:sz w:val="22"/>
          <w:szCs w:val="22"/>
        </w:rPr>
        <w:t>AI</w:t>
      </w:r>
      <w:r w:rsidRPr="005A2ACE">
        <w:rPr>
          <w:rFonts w:ascii="Times New Roman" w:hAnsi="Times New Roman" w:cs="Times New Roman"/>
          <w:sz w:val="22"/>
          <w:szCs w:val="22"/>
        </w:rPr>
        <w:t> - Artificial Intelligence</w:t>
      </w:r>
      <w:r w:rsidRPr="005A2ACE">
        <w:rPr>
          <w:rFonts w:ascii="Times New Roman" w:hAnsi="Times New Roman" w:cs="Times New Roman"/>
          <w:sz w:val="22"/>
          <w:szCs w:val="22"/>
        </w:rPr>
        <w:br/>
      </w:r>
      <w:r w:rsidRPr="005A2ACE">
        <w:rPr>
          <w:rFonts w:ascii="Times New Roman" w:hAnsi="Times New Roman" w:cs="Times New Roman"/>
          <w:b/>
          <w:bCs/>
          <w:sz w:val="22"/>
          <w:szCs w:val="22"/>
        </w:rPr>
        <w:t>BBB</w:t>
      </w:r>
      <w:r w:rsidRPr="005A2ACE">
        <w:rPr>
          <w:rFonts w:ascii="Times New Roman" w:hAnsi="Times New Roman" w:cs="Times New Roman"/>
          <w:sz w:val="22"/>
          <w:szCs w:val="22"/>
        </w:rPr>
        <w:t> - Blood-Brain Barrier</w:t>
      </w:r>
      <w:r w:rsidRPr="005A2ACE">
        <w:rPr>
          <w:rFonts w:ascii="Times New Roman" w:hAnsi="Times New Roman" w:cs="Times New Roman"/>
          <w:sz w:val="22"/>
          <w:szCs w:val="22"/>
        </w:rPr>
        <w:br/>
      </w:r>
      <w:r w:rsidRPr="005A2ACE">
        <w:rPr>
          <w:rFonts w:ascii="Times New Roman" w:hAnsi="Times New Roman" w:cs="Times New Roman"/>
          <w:b/>
          <w:bCs/>
          <w:sz w:val="22"/>
          <w:szCs w:val="22"/>
        </w:rPr>
        <w:t>CDC</w:t>
      </w:r>
      <w:r w:rsidRPr="005A2ACE">
        <w:rPr>
          <w:rFonts w:ascii="Times New Roman" w:hAnsi="Times New Roman" w:cs="Times New Roman"/>
          <w:sz w:val="22"/>
          <w:szCs w:val="22"/>
        </w:rPr>
        <w:t> - Centers for Disease Control and Prevention</w:t>
      </w:r>
      <w:r w:rsidRPr="005A2ACE">
        <w:rPr>
          <w:rFonts w:ascii="Times New Roman" w:hAnsi="Times New Roman" w:cs="Times New Roman"/>
          <w:sz w:val="22"/>
          <w:szCs w:val="22"/>
        </w:rPr>
        <w:br/>
      </w:r>
      <w:r w:rsidRPr="005A2ACE">
        <w:rPr>
          <w:rFonts w:ascii="Times New Roman" w:hAnsi="Times New Roman" w:cs="Times New Roman"/>
          <w:b/>
          <w:bCs/>
          <w:sz w:val="22"/>
          <w:szCs w:val="22"/>
        </w:rPr>
        <w:t>CNS</w:t>
      </w:r>
      <w:r w:rsidRPr="005A2ACE">
        <w:rPr>
          <w:rFonts w:ascii="Times New Roman" w:hAnsi="Times New Roman" w:cs="Times New Roman"/>
          <w:sz w:val="22"/>
          <w:szCs w:val="22"/>
        </w:rPr>
        <w:t> - Central Nervous System</w:t>
      </w:r>
      <w:r w:rsidRPr="005A2ACE">
        <w:rPr>
          <w:rFonts w:ascii="Times New Roman" w:hAnsi="Times New Roman" w:cs="Times New Roman"/>
          <w:sz w:val="22"/>
          <w:szCs w:val="22"/>
        </w:rPr>
        <w:br/>
      </w:r>
      <w:r w:rsidRPr="005A2ACE">
        <w:rPr>
          <w:rFonts w:ascii="Times New Roman" w:hAnsi="Times New Roman" w:cs="Times New Roman"/>
          <w:b/>
          <w:bCs/>
          <w:sz w:val="22"/>
          <w:szCs w:val="22"/>
        </w:rPr>
        <w:t>CSF</w:t>
      </w:r>
      <w:r w:rsidRPr="005A2ACE">
        <w:rPr>
          <w:rFonts w:ascii="Times New Roman" w:hAnsi="Times New Roman" w:cs="Times New Roman"/>
          <w:sz w:val="22"/>
          <w:szCs w:val="22"/>
        </w:rPr>
        <w:t> - Cerebrospinal Fluid</w:t>
      </w:r>
      <w:r w:rsidRPr="005A2ACE">
        <w:rPr>
          <w:rFonts w:ascii="Times New Roman" w:hAnsi="Times New Roman" w:cs="Times New Roman"/>
          <w:sz w:val="22"/>
          <w:szCs w:val="22"/>
        </w:rPr>
        <w:br/>
      </w:r>
      <w:r w:rsidRPr="005A2ACE">
        <w:rPr>
          <w:rFonts w:ascii="Times New Roman" w:hAnsi="Times New Roman" w:cs="Times New Roman"/>
          <w:b/>
          <w:bCs/>
          <w:sz w:val="22"/>
          <w:szCs w:val="22"/>
        </w:rPr>
        <w:t>CT</w:t>
      </w:r>
      <w:r w:rsidRPr="005A2ACE">
        <w:rPr>
          <w:rFonts w:ascii="Times New Roman" w:hAnsi="Times New Roman" w:cs="Times New Roman"/>
          <w:sz w:val="22"/>
          <w:szCs w:val="22"/>
        </w:rPr>
        <w:t> - Computed Tomography</w:t>
      </w:r>
      <w:r w:rsidRPr="005A2ACE">
        <w:rPr>
          <w:rFonts w:ascii="Times New Roman" w:hAnsi="Times New Roman" w:cs="Times New Roman"/>
          <w:sz w:val="22"/>
          <w:szCs w:val="22"/>
        </w:rPr>
        <w:br/>
      </w:r>
      <w:r w:rsidRPr="005A2ACE">
        <w:rPr>
          <w:rFonts w:ascii="Times New Roman" w:hAnsi="Times New Roman" w:cs="Times New Roman"/>
          <w:b/>
          <w:bCs/>
          <w:sz w:val="22"/>
          <w:szCs w:val="22"/>
        </w:rPr>
        <w:t>FDA</w:t>
      </w:r>
      <w:r w:rsidRPr="005A2ACE">
        <w:rPr>
          <w:rFonts w:ascii="Times New Roman" w:hAnsi="Times New Roman" w:cs="Times New Roman"/>
          <w:sz w:val="22"/>
          <w:szCs w:val="22"/>
        </w:rPr>
        <w:t> - Food and Drug Administration</w:t>
      </w:r>
      <w:r w:rsidRPr="005A2ACE">
        <w:rPr>
          <w:rFonts w:ascii="Times New Roman" w:hAnsi="Times New Roman" w:cs="Times New Roman"/>
          <w:sz w:val="22"/>
          <w:szCs w:val="22"/>
        </w:rPr>
        <w:br/>
      </w:r>
      <w:r w:rsidRPr="005A2ACE">
        <w:rPr>
          <w:rFonts w:ascii="Times New Roman" w:hAnsi="Times New Roman" w:cs="Times New Roman"/>
          <w:b/>
          <w:bCs/>
          <w:sz w:val="22"/>
          <w:szCs w:val="22"/>
        </w:rPr>
        <w:t>IV</w:t>
      </w:r>
      <w:r w:rsidRPr="005A2ACE">
        <w:rPr>
          <w:rFonts w:ascii="Times New Roman" w:hAnsi="Times New Roman" w:cs="Times New Roman"/>
          <w:sz w:val="22"/>
          <w:szCs w:val="22"/>
        </w:rPr>
        <w:t> - Intravenous</w:t>
      </w:r>
      <w:r w:rsidRPr="005A2ACE">
        <w:rPr>
          <w:rFonts w:ascii="Times New Roman" w:hAnsi="Times New Roman" w:cs="Times New Roman"/>
          <w:sz w:val="22"/>
          <w:szCs w:val="22"/>
        </w:rPr>
        <w:br/>
      </w:r>
      <w:r w:rsidRPr="005A2ACE">
        <w:rPr>
          <w:rFonts w:ascii="Times New Roman" w:hAnsi="Times New Roman" w:cs="Times New Roman"/>
          <w:b/>
          <w:bCs/>
          <w:sz w:val="22"/>
          <w:szCs w:val="22"/>
        </w:rPr>
        <w:t>IT</w:t>
      </w:r>
      <w:r w:rsidRPr="005A2ACE">
        <w:rPr>
          <w:rFonts w:ascii="Times New Roman" w:hAnsi="Times New Roman" w:cs="Times New Roman"/>
          <w:sz w:val="22"/>
          <w:szCs w:val="22"/>
        </w:rPr>
        <w:t> - Intrathecal</w:t>
      </w:r>
      <w:r w:rsidRPr="005A2ACE">
        <w:rPr>
          <w:rFonts w:ascii="Times New Roman" w:hAnsi="Times New Roman" w:cs="Times New Roman"/>
          <w:sz w:val="22"/>
          <w:szCs w:val="22"/>
        </w:rPr>
        <w:br/>
      </w:r>
      <w:proofErr w:type="spellStart"/>
      <w:r w:rsidRPr="005A2ACE">
        <w:rPr>
          <w:rFonts w:ascii="Times New Roman" w:hAnsi="Times New Roman" w:cs="Times New Roman"/>
          <w:b/>
          <w:bCs/>
          <w:sz w:val="22"/>
          <w:szCs w:val="22"/>
        </w:rPr>
        <w:t>mNGS</w:t>
      </w:r>
      <w:proofErr w:type="spellEnd"/>
      <w:r w:rsidRPr="005A2ACE">
        <w:rPr>
          <w:rFonts w:ascii="Times New Roman" w:hAnsi="Times New Roman" w:cs="Times New Roman"/>
          <w:sz w:val="22"/>
          <w:szCs w:val="22"/>
        </w:rPr>
        <w:t> - Metagenomic Next-Generation Sequencing</w:t>
      </w:r>
      <w:r w:rsidRPr="005A2ACE">
        <w:rPr>
          <w:rFonts w:ascii="Times New Roman" w:hAnsi="Times New Roman" w:cs="Times New Roman"/>
          <w:sz w:val="22"/>
          <w:szCs w:val="22"/>
        </w:rPr>
        <w:br/>
      </w:r>
      <w:r w:rsidRPr="005A2ACE">
        <w:rPr>
          <w:rFonts w:ascii="Times New Roman" w:hAnsi="Times New Roman" w:cs="Times New Roman"/>
          <w:b/>
          <w:bCs/>
          <w:sz w:val="22"/>
          <w:szCs w:val="22"/>
        </w:rPr>
        <w:t>ML</w:t>
      </w:r>
      <w:r w:rsidRPr="005A2ACE">
        <w:rPr>
          <w:rFonts w:ascii="Times New Roman" w:hAnsi="Times New Roman" w:cs="Times New Roman"/>
          <w:sz w:val="22"/>
          <w:szCs w:val="22"/>
        </w:rPr>
        <w:t> - Machine Learning</w:t>
      </w:r>
      <w:r w:rsidRPr="005A2ACE">
        <w:rPr>
          <w:rFonts w:ascii="Times New Roman" w:hAnsi="Times New Roman" w:cs="Times New Roman"/>
          <w:sz w:val="22"/>
          <w:szCs w:val="22"/>
        </w:rPr>
        <w:br/>
      </w:r>
      <w:r w:rsidRPr="005A2ACE">
        <w:rPr>
          <w:rFonts w:ascii="Times New Roman" w:hAnsi="Times New Roman" w:cs="Times New Roman"/>
          <w:b/>
          <w:bCs/>
          <w:sz w:val="22"/>
          <w:szCs w:val="22"/>
        </w:rPr>
        <w:t>MRI</w:t>
      </w:r>
      <w:r w:rsidRPr="005A2ACE">
        <w:rPr>
          <w:rFonts w:ascii="Times New Roman" w:hAnsi="Times New Roman" w:cs="Times New Roman"/>
          <w:sz w:val="22"/>
          <w:szCs w:val="22"/>
        </w:rPr>
        <w:t> - Magnetic Resonance Imaging</w:t>
      </w:r>
      <w:r w:rsidRPr="005A2ACE">
        <w:rPr>
          <w:rFonts w:ascii="Times New Roman" w:hAnsi="Times New Roman" w:cs="Times New Roman"/>
          <w:sz w:val="22"/>
          <w:szCs w:val="22"/>
        </w:rPr>
        <w:br/>
      </w:r>
      <w:r w:rsidRPr="005A2ACE">
        <w:rPr>
          <w:rFonts w:ascii="Times New Roman" w:hAnsi="Times New Roman" w:cs="Times New Roman"/>
          <w:b/>
          <w:bCs/>
          <w:sz w:val="22"/>
          <w:szCs w:val="22"/>
        </w:rPr>
        <w:t>PAM</w:t>
      </w:r>
      <w:r w:rsidRPr="005A2ACE">
        <w:rPr>
          <w:rFonts w:ascii="Times New Roman" w:hAnsi="Times New Roman" w:cs="Times New Roman"/>
          <w:sz w:val="22"/>
          <w:szCs w:val="22"/>
        </w:rPr>
        <w:t> - Primary Amoebic Meningoencephalitis</w:t>
      </w:r>
      <w:r w:rsidRPr="005A2ACE">
        <w:rPr>
          <w:rFonts w:ascii="Times New Roman" w:hAnsi="Times New Roman" w:cs="Times New Roman"/>
          <w:sz w:val="22"/>
          <w:szCs w:val="22"/>
        </w:rPr>
        <w:br/>
      </w:r>
      <w:r w:rsidRPr="005A2ACE">
        <w:rPr>
          <w:rFonts w:ascii="Times New Roman" w:hAnsi="Times New Roman" w:cs="Times New Roman"/>
          <w:b/>
          <w:bCs/>
          <w:sz w:val="22"/>
          <w:szCs w:val="22"/>
        </w:rPr>
        <w:t>PCR</w:t>
      </w:r>
      <w:r w:rsidRPr="005A2ACE">
        <w:rPr>
          <w:rFonts w:ascii="Times New Roman" w:hAnsi="Times New Roman" w:cs="Times New Roman"/>
          <w:sz w:val="22"/>
          <w:szCs w:val="22"/>
        </w:rPr>
        <w:t> - Polymerase Chain Reaction</w:t>
      </w:r>
      <w:r w:rsidRPr="005A2ACE">
        <w:rPr>
          <w:rFonts w:ascii="Times New Roman" w:hAnsi="Times New Roman" w:cs="Times New Roman"/>
          <w:sz w:val="22"/>
          <w:szCs w:val="22"/>
        </w:rPr>
        <w:br/>
      </w:r>
      <w:r w:rsidRPr="005A2ACE">
        <w:rPr>
          <w:rFonts w:ascii="Times New Roman" w:hAnsi="Times New Roman" w:cs="Times New Roman"/>
          <w:b/>
          <w:bCs/>
          <w:sz w:val="22"/>
          <w:szCs w:val="22"/>
        </w:rPr>
        <w:t>WHO</w:t>
      </w:r>
      <w:r w:rsidRPr="005A2ACE">
        <w:rPr>
          <w:rFonts w:ascii="Times New Roman" w:hAnsi="Times New Roman" w:cs="Times New Roman"/>
          <w:sz w:val="22"/>
          <w:szCs w:val="22"/>
        </w:rPr>
        <w:t> - World Health Organization</w:t>
      </w:r>
    </w:p>
    <w:p w14:paraId="35F83568" w14:textId="229E65A2" w:rsidR="00D66D71" w:rsidRDefault="00D66D71" w:rsidP="00945488">
      <w:pPr>
        <w:jc w:val="both"/>
        <w:rPr>
          <w:rFonts w:ascii="Times New Roman" w:hAnsi="Times New Roman" w:cs="Times New Roman"/>
          <w:sz w:val="22"/>
          <w:szCs w:val="22"/>
        </w:rPr>
      </w:pPr>
      <w:bookmarkStart w:id="0" w:name="_GoBack"/>
      <w:bookmarkEnd w:id="0"/>
      <w:r>
        <w:rPr>
          <w:rFonts w:ascii="Times New Roman" w:hAnsi="Times New Roman" w:cs="Times New Roman"/>
          <w:sz w:val="22"/>
          <w:szCs w:val="22"/>
        </w:rPr>
        <w:br/>
      </w:r>
      <w:r w:rsidRPr="00D66D71">
        <w:rPr>
          <w:rFonts w:ascii="Times New Roman" w:hAnsi="Times New Roman" w:cs="Times New Roman"/>
          <w:b/>
          <w:bCs/>
        </w:rPr>
        <w:t>Availability of Data and Materials:</w:t>
      </w:r>
      <w:r>
        <w:rPr>
          <w:rFonts w:ascii="Times New Roman" w:hAnsi="Times New Roman" w:cs="Times New Roman"/>
          <w:sz w:val="22"/>
          <w:szCs w:val="22"/>
        </w:rPr>
        <w:br/>
      </w:r>
      <w:r w:rsidRPr="00D66D71">
        <w:rPr>
          <w:rFonts w:ascii="Times New Roman" w:hAnsi="Times New Roman" w:cs="Times New Roman"/>
          <w:sz w:val="22"/>
          <w:szCs w:val="22"/>
        </w:rPr>
        <w:t xml:space="preserve">Not applicable </w:t>
      </w:r>
      <w:r>
        <w:rPr>
          <w:rFonts w:ascii="Times New Roman" w:hAnsi="Times New Roman" w:cs="Times New Roman"/>
          <w:sz w:val="22"/>
          <w:szCs w:val="22"/>
        </w:rPr>
        <w:br/>
      </w:r>
      <w:r>
        <w:rPr>
          <w:rFonts w:ascii="Times New Roman" w:hAnsi="Times New Roman" w:cs="Times New Roman"/>
          <w:sz w:val="22"/>
          <w:szCs w:val="22"/>
        </w:rPr>
        <w:br/>
      </w:r>
      <w:r w:rsidRPr="00D66D71">
        <w:rPr>
          <w:rFonts w:ascii="Times New Roman" w:hAnsi="Times New Roman" w:cs="Times New Roman"/>
          <w:b/>
          <w:bCs/>
        </w:rPr>
        <w:t>Consent for Publication:</w:t>
      </w:r>
      <w:r w:rsidRPr="00D66D71">
        <w:rPr>
          <w:rFonts w:ascii="Times New Roman" w:hAnsi="Times New Roman" w:cs="Times New Roman"/>
          <w:sz w:val="22"/>
          <w:szCs w:val="22"/>
        </w:rPr>
        <w:t xml:space="preserve"> </w:t>
      </w:r>
      <w:r>
        <w:rPr>
          <w:rFonts w:ascii="Times New Roman" w:hAnsi="Times New Roman" w:cs="Times New Roman"/>
          <w:sz w:val="22"/>
          <w:szCs w:val="22"/>
        </w:rPr>
        <w:br/>
      </w:r>
      <w:r w:rsidRPr="00D66D71">
        <w:rPr>
          <w:rFonts w:ascii="Times New Roman" w:hAnsi="Times New Roman" w:cs="Times New Roman"/>
          <w:sz w:val="22"/>
          <w:szCs w:val="22"/>
        </w:rPr>
        <w:t>The author</w:t>
      </w:r>
      <w:r w:rsidR="008A6D89">
        <w:rPr>
          <w:rFonts w:ascii="Times New Roman" w:hAnsi="Times New Roman" w:cs="Times New Roman"/>
          <w:sz w:val="22"/>
          <w:szCs w:val="22"/>
        </w:rPr>
        <w:t>s</w:t>
      </w:r>
      <w:r w:rsidRPr="00D66D71">
        <w:rPr>
          <w:rFonts w:ascii="Times New Roman" w:hAnsi="Times New Roman" w:cs="Times New Roman"/>
          <w:sz w:val="22"/>
          <w:szCs w:val="22"/>
        </w:rPr>
        <w:t xml:space="preserve"> hereby confirm that written informed consent for publication has been obtained from all individuals involved, in accordance with ethical standards. </w:t>
      </w:r>
    </w:p>
    <w:p w14:paraId="657BD977" w14:textId="2C9B1022" w:rsidR="00C82FB6" w:rsidRPr="00C82FB6" w:rsidRDefault="00D66D71" w:rsidP="00C82FB6">
      <w:pPr>
        <w:jc w:val="both"/>
        <w:rPr>
          <w:rFonts w:ascii="Times New Roman" w:hAnsi="Times New Roman" w:cs="Times New Roman"/>
          <w:sz w:val="22"/>
          <w:szCs w:val="22"/>
        </w:rPr>
      </w:pPr>
      <w:r>
        <w:rPr>
          <w:rFonts w:ascii="Times New Roman" w:hAnsi="Times New Roman" w:cs="Times New Roman"/>
          <w:sz w:val="22"/>
          <w:szCs w:val="22"/>
        </w:rPr>
        <w:br/>
      </w:r>
      <w:r w:rsidR="00C82FB6" w:rsidRPr="00C82FB6">
        <w:rPr>
          <w:rFonts w:ascii="Times New Roman" w:hAnsi="Times New Roman" w:cs="Times New Roman"/>
          <w:sz w:val="22"/>
          <w:szCs w:val="22"/>
        </w:rPr>
        <w:t>COMPETING INTERESTS DISCLAIMER:</w:t>
      </w:r>
    </w:p>
    <w:p w14:paraId="6CC8DD3F" w14:textId="5B52857E" w:rsidR="00EF7C9A" w:rsidRPr="00894A60" w:rsidRDefault="00C82FB6" w:rsidP="00C82FB6">
      <w:pPr>
        <w:jc w:val="both"/>
        <w:rPr>
          <w:rFonts w:ascii="Times New Roman" w:hAnsi="Times New Roman" w:cs="Times New Roman"/>
          <w:sz w:val="22"/>
          <w:szCs w:val="22"/>
        </w:rPr>
      </w:pPr>
      <w:r w:rsidRPr="00C82FB6">
        <w:rPr>
          <w:rFonts w:ascii="Times New Roman" w:hAnsi="Times New Roman" w:cs="Times New Roman"/>
          <w:sz w:val="22"/>
          <w:szCs w:val="22"/>
        </w:rPr>
        <w:t>Authors have declared that they have no known competing financial interests OR non-financial interests OR personal relationships that could have appeared to influence the work reported in this paper.</w:t>
      </w:r>
      <w:r w:rsidR="00D35465" w:rsidRPr="00E45897">
        <w:rPr>
          <w:rFonts w:ascii="Times New Roman" w:hAnsi="Times New Roman" w:cs="Times New Roman"/>
          <w:sz w:val="22"/>
          <w:szCs w:val="22"/>
        </w:rPr>
        <w:br/>
      </w:r>
    </w:p>
    <w:p w14:paraId="775B5850" w14:textId="1A1B86B5" w:rsidR="00D90157" w:rsidRPr="00D90157" w:rsidRDefault="00D90157" w:rsidP="00FF29B2">
      <w:pPr>
        <w:pStyle w:val="Bibliography"/>
        <w:jc w:val="both"/>
        <w:rPr>
          <w:rFonts w:ascii="Times New Roman" w:hAnsi="Times New Roman" w:cs="Times New Roman"/>
          <w:b/>
          <w:bCs/>
          <w:sz w:val="26"/>
          <w:szCs w:val="26"/>
        </w:rPr>
      </w:pPr>
      <w:r w:rsidRPr="00D90157">
        <w:rPr>
          <w:rFonts w:ascii="Times New Roman" w:hAnsi="Times New Roman" w:cs="Times New Roman"/>
          <w:b/>
          <w:bCs/>
          <w:sz w:val="26"/>
          <w:szCs w:val="26"/>
        </w:rPr>
        <w:t>References:</w:t>
      </w:r>
    </w:p>
    <w:p w14:paraId="68E70203" w14:textId="77777777" w:rsidR="00EE2C81" w:rsidRPr="00EE2C81" w:rsidRDefault="00D90157" w:rsidP="00EE2C81">
      <w:pPr>
        <w:pStyle w:val="Bibliography"/>
        <w:rPr>
          <w:rFonts w:ascii="Times New Roman" w:hAnsi="Times New Roman" w:cs="Times New Roman"/>
          <w:sz w:val="22"/>
        </w:rPr>
      </w:pPr>
      <w:r w:rsidRPr="00D90157">
        <w:rPr>
          <w:rFonts w:cs="Times New Roman"/>
          <w:sz w:val="22"/>
          <w:szCs w:val="22"/>
        </w:rPr>
        <w:fldChar w:fldCharType="begin"/>
      </w:r>
      <w:r w:rsidR="00EE2C81">
        <w:rPr>
          <w:rFonts w:cs="Times New Roman"/>
          <w:sz w:val="22"/>
          <w:szCs w:val="22"/>
        </w:rPr>
        <w:instrText xml:space="preserve"> ADDIN ZOTERO_BIBL {"uncited":[],"omitted":[],"custom":[]} CSL_BIBLIOGRAPHY </w:instrText>
      </w:r>
      <w:r w:rsidRPr="00D90157">
        <w:rPr>
          <w:rFonts w:cs="Times New Roman"/>
          <w:sz w:val="22"/>
          <w:szCs w:val="22"/>
        </w:rPr>
        <w:fldChar w:fldCharType="separate"/>
      </w:r>
      <w:r w:rsidR="00EE2C81" w:rsidRPr="00EE2C81">
        <w:rPr>
          <w:rFonts w:ascii="Times New Roman" w:hAnsi="Times New Roman" w:cs="Times New Roman"/>
          <w:sz w:val="22"/>
        </w:rPr>
        <w:t xml:space="preserve">Adam, R. D. (2021). Giardia duodenalis: Biology and Pathogenesis. </w:t>
      </w:r>
      <w:r w:rsidR="00EE2C81" w:rsidRPr="00EE2C81">
        <w:rPr>
          <w:rFonts w:ascii="Times New Roman" w:hAnsi="Times New Roman" w:cs="Times New Roman"/>
          <w:i/>
          <w:iCs/>
          <w:sz w:val="22"/>
        </w:rPr>
        <w:t>Clinical Microbiology Reviews</w:t>
      </w:r>
      <w:r w:rsidR="00EE2C81" w:rsidRPr="00EE2C81">
        <w:rPr>
          <w:rFonts w:ascii="Times New Roman" w:hAnsi="Times New Roman" w:cs="Times New Roman"/>
          <w:sz w:val="22"/>
        </w:rPr>
        <w:t xml:space="preserve">, </w:t>
      </w:r>
      <w:r w:rsidR="00EE2C81" w:rsidRPr="00EE2C81">
        <w:rPr>
          <w:rFonts w:ascii="Times New Roman" w:hAnsi="Times New Roman" w:cs="Times New Roman"/>
          <w:i/>
          <w:iCs/>
          <w:sz w:val="22"/>
        </w:rPr>
        <w:t>34</w:t>
      </w:r>
      <w:r w:rsidR="00EE2C81" w:rsidRPr="00EE2C81">
        <w:rPr>
          <w:rFonts w:ascii="Times New Roman" w:hAnsi="Times New Roman" w:cs="Times New Roman"/>
          <w:sz w:val="22"/>
        </w:rPr>
        <w:t>(4), e00024-19. https://doi.org/10.1128/CMR.00024-19</w:t>
      </w:r>
    </w:p>
    <w:p w14:paraId="01451DA3"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Ali, S., Siam, S. M., Navid-Al-Islam, K. M., Haque, Md. A., &amp; Sobhan, A. (2025). Precision Nanomedicine Converging AI and Multi-Omics: A Comprehensive Review of Cross-disease </w:t>
      </w:r>
      <w:r w:rsidRPr="00EE2C81">
        <w:rPr>
          <w:rFonts w:ascii="Times New Roman" w:hAnsi="Times New Roman" w:cs="Times New Roman"/>
          <w:sz w:val="22"/>
        </w:rPr>
        <w:lastRenderedPageBreak/>
        <w:t xml:space="preserve">Applications in Cancer, Diabetes, and Cardiovascular Therapies. </w:t>
      </w:r>
      <w:r w:rsidRPr="00EE2C81">
        <w:rPr>
          <w:rFonts w:ascii="Times New Roman" w:hAnsi="Times New Roman" w:cs="Times New Roman"/>
          <w:i/>
          <w:iCs/>
          <w:sz w:val="22"/>
        </w:rPr>
        <w:t>Journal of Complementary and Alternative Medical Research</w:t>
      </w:r>
      <w:r w:rsidRPr="00EE2C81">
        <w:rPr>
          <w:rFonts w:ascii="Times New Roman" w:hAnsi="Times New Roman" w:cs="Times New Roman"/>
          <w:sz w:val="22"/>
        </w:rPr>
        <w:t xml:space="preserve">, </w:t>
      </w:r>
      <w:r w:rsidRPr="00EE2C81">
        <w:rPr>
          <w:rFonts w:ascii="Times New Roman" w:hAnsi="Times New Roman" w:cs="Times New Roman"/>
          <w:i/>
          <w:iCs/>
          <w:sz w:val="22"/>
        </w:rPr>
        <w:t>26</w:t>
      </w:r>
      <w:r w:rsidRPr="00EE2C81">
        <w:rPr>
          <w:rFonts w:ascii="Times New Roman" w:hAnsi="Times New Roman" w:cs="Times New Roman"/>
          <w:sz w:val="22"/>
        </w:rPr>
        <w:t>(10), 1–19. https://doi.org/10.9734/jocamr/2025/v26i10717</w:t>
      </w:r>
    </w:p>
    <w:p w14:paraId="538EAE69"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Behera, V., Kumar, R., Agrawal, C., Kapoor, R., Kaur, N., &amp; Nair, V. (2023). Clinico-laboratory Profile and Outcomes of Megaloblastic Anemia presenting as Severe Pyrexial Illness mimicking Tropical Infection. </w:t>
      </w:r>
      <w:r w:rsidRPr="00EE2C81">
        <w:rPr>
          <w:rFonts w:ascii="Times New Roman" w:hAnsi="Times New Roman" w:cs="Times New Roman"/>
          <w:i/>
          <w:iCs/>
          <w:sz w:val="22"/>
        </w:rPr>
        <w:t>Journal of the Association of Physicians of India</w:t>
      </w:r>
      <w:r w:rsidRPr="00EE2C81">
        <w:rPr>
          <w:rFonts w:ascii="Times New Roman" w:hAnsi="Times New Roman" w:cs="Times New Roman"/>
          <w:sz w:val="22"/>
        </w:rPr>
        <w:t xml:space="preserve">, </w:t>
      </w:r>
      <w:r w:rsidRPr="00EE2C81">
        <w:rPr>
          <w:rFonts w:ascii="Times New Roman" w:hAnsi="Times New Roman" w:cs="Times New Roman"/>
          <w:i/>
          <w:iCs/>
          <w:sz w:val="22"/>
        </w:rPr>
        <w:t>71</w:t>
      </w:r>
      <w:r w:rsidRPr="00EE2C81">
        <w:rPr>
          <w:rFonts w:ascii="Times New Roman" w:hAnsi="Times New Roman" w:cs="Times New Roman"/>
          <w:sz w:val="22"/>
        </w:rPr>
        <w:t>(05), 70–74. https://doi.org/10.5005/japi-11001-0222</w:t>
      </w:r>
    </w:p>
    <w:p w14:paraId="23C5D4D4"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Beigmohammadi, M., Khadem Sadigh, M., &amp; Poursamad, J. (2024). Dielectric anisotropy changes in MBBA liquid crystal doped with barium titanate by a new method. </w:t>
      </w:r>
      <w:r w:rsidRPr="00EE2C81">
        <w:rPr>
          <w:rFonts w:ascii="Times New Roman" w:hAnsi="Times New Roman" w:cs="Times New Roman"/>
          <w:i/>
          <w:iCs/>
          <w:sz w:val="22"/>
        </w:rPr>
        <w:t>Scientific Reports</w:t>
      </w:r>
      <w:r w:rsidRPr="00EE2C81">
        <w:rPr>
          <w:rFonts w:ascii="Times New Roman" w:hAnsi="Times New Roman" w:cs="Times New Roman"/>
          <w:sz w:val="22"/>
        </w:rPr>
        <w:t xml:space="preserve">, </w:t>
      </w:r>
      <w:r w:rsidRPr="00EE2C81">
        <w:rPr>
          <w:rFonts w:ascii="Times New Roman" w:hAnsi="Times New Roman" w:cs="Times New Roman"/>
          <w:i/>
          <w:iCs/>
          <w:sz w:val="22"/>
        </w:rPr>
        <w:t>14</w:t>
      </w:r>
      <w:r w:rsidRPr="00EE2C81">
        <w:rPr>
          <w:rFonts w:ascii="Times New Roman" w:hAnsi="Times New Roman" w:cs="Times New Roman"/>
          <w:sz w:val="22"/>
        </w:rPr>
        <w:t>(1), 5756. https://doi.org/10.1038/s41598-024-56219-7</w:t>
      </w:r>
    </w:p>
    <w:p w14:paraId="7782906B"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Cervantes-Sandoval, I., Serrano-Luna, J. D. J., García-Latorre, E., Tsutsumi, V., &amp; Shibayama, M. (2008). Characterization of brain inflammation during primary amoebic meningoencephalitis. </w:t>
      </w:r>
      <w:r w:rsidRPr="00EE2C81">
        <w:rPr>
          <w:rFonts w:ascii="Times New Roman" w:hAnsi="Times New Roman" w:cs="Times New Roman"/>
          <w:i/>
          <w:iCs/>
          <w:sz w:val="22"/>
        </w:rPr>
        <w:t>Parasitology International</w:t>
      </w:r>
      <w:r w:rsidRPr="00EE2C81">
        <w:rPr>
          <w:rFonts w:ascii="Times New Roman" w:hAnsi="Times New Roman" w:cs="Times New Roman"/>
          <w:sz w:val="22"/>
        </w:rPr>
        <w:t xml:space="preserve">, </w:t>
      </w:r>
      <w:r w:rsidRPr="00EE2C81">
        <w:rPr>
          <w:rFonts w:ascii="Times New Roman" w:hAnsi="Times New Roman" w:cs="Times New Roman"/>
          <w:i/>
          <w:iCs/>
          <w:sz w:val="22"/>
        </w:rPr>
        <w:t>57</w:t>
      </w:r>
      <w:r w:rsidRPr="00EE2C81">
        <w:rPr>
          <w:rFonts w:ascii="Times New Roman" w:hAnsi="Times New Roman" w:cs="Times New Roman"/>
          <w:sz w:val="22"/>
        </w:rPr>
        <w:t>(3), 307–313. https://doi.org/10.1016/j.parint.2008.01.006</w:t>
      </w:r>
    </w:p>
    <w:p w14:paraId="66EB5D0B"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Chatterjee, A., Bandini, G., Motari, E., &amp; Samuelson, J. (2015). Ethanol and Isopropanol in Concentrations Present in Hand Sanitizers Sharply Reduce Excystation of Giardia and Entamoeba and Eliminate Oral Infectivity of Giardia Cysts in Gerbils. </w:t>
      </w:r>
      <w:r w:rsidRPr="00EE2C81">
        <w:rPr>
          <w:rFonts w:ascii="Times New Roman" w:hAnsi="Times New Roman" w:cs="Times New Roman"/>
          <w:i/>
          <w:iCs/>
          <w:sz w:val="22"/>
        </w:rPr>
        <w:t>Antimicrobial Agents and Chemotherapy</w:t>
      </w:r>
      <w:r w:rsidRPr="00EE2C81">
        <w:rPr>
          <w:rFonts w:ascii="Times New Roman" w:hAnsi="Times New Roman" w:cs="Times New Roman"/>
          <w:sz w:val="22"/>
        </w:rPr>
        <w:t xml:space="preserve">, </w:t>
      </w:r>
      <w:r w:rsidRPr="00EE2C81">
        <w:rPr>
          <w:rFonts w:ascii="Times New Roman" w:hAnsi="Times New Roman" w:cs="Times New Roman"/>
          <w:i/>
          <w:iCs/>
          <w:sz w:val="22"/>
        </w:rPr>
        <w:t>59</w:t>
      </w:r>
      <w:r w:rsidRPr="00EE2C81">
        <w:rPr>
          <w:rFonts w:ascii="Times New Roman" w:hAnsi="Times New Roman" w:cs="Times New Roman"/>
          <w:sz w:val="22"/>
        </w:rPr>
        <w:t>(11), 6749–6754. https://doi.org/10.1128/AAC.01290-15</w:t>
      </w:r>
    </w:p>
    <w:p w14:paraId="6E5D58B8"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Chinh, N. N., Tham, N. T., Yurakhno, V. M., Doanh, P. N., Whipps, C. M., &amp; Shirakashi, S. (2022). Description of Myxobolus hoabinhensis n. sp. (Myxosporea: Myxobolidae), infecting the trunk muscles of goldfish Carassius auratus (Linnaeus, 1758) (Cypriniformes: Cyprinidae) in northern Vietnam.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121</w:t>
      </w:r>
      <w:r w:rsidRPr="00EE2C81">
        <w:rPr>
          <w:rFonts w:ascii="Times New Roman" w:hAnsi="Times New Roman" w:cs="Times New Roman"/>
          <w:sz w:val="22"/>
        </w:rPr>
        <w:t>(9), 2495–2502. https://doi.org/10.1007/s00436-022-07586-5</w:t>
      </w:r>
    </w:p>
    <w:p w14:paraId="0E217000"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Cope, J. R., Conrad, D. A., Cohen, N., Cotilla, M., DaSilva, A., Jackson, J., &amp; Visvesvara, G. S. (2016). Use of the Novel Therapeutic Agent Miltefosine for the Treatment of Primary Amebic Meningoencephalitis: Report of 1 Fatal and 1 Surviving Case: Table 1.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62</w:t>
      </w:r>
      <w:r w:rsidRPr="00EE2C81">
        <w:rPr>
          <w:rFonts w:ascii="Times New Roman" w:hAnsi="Times New Roman" w:cs="Times New Roman"/>
          <w:sz w:val="22"/>
        </w:rPr>
        <w:t>(6), 774–776. https://doi.org/10.1093/cid/civ1021</w:t>
      </w:r>
    </w:p>
    <w:p w14:paraId="33D26BDE"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lastRenderedPageBreak/>
        <w:t xml:space="preserve">Cope, J. R., Ratard, R. C., Hill, V. R., Sokol, T., Causey, J. J., Yoder, J. S., Mirani, G., Mull, B., Mukerjee, K. A., Narayanan, J., Doucet, M., Qvarnstrom, Y., Poole, C. N., Akingbola, O. A., Ritter, J. M., Xiong, Z., Da Silva, A. J., Roellig, D., Van Dyke, R. B., … Beach, M. J. (2015). The First Association of a Primary Amebic Meningoencephalitis Death With Culturable Naegleria fowleri in Tap Water From a US Treated Public Drinking Water System.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60</w:t>
      </w:r>
      <w:r w:rsidRPr="00EE2C81">
        <w:rPr>
          <w:rFonts w:ascii="Times New Roman" w:hAnsi="Times New Roman" w:cs="Times New Roman"/>
          <w:sz w:val="22"/>
        </w:rPr>
        <w:t>(8), e36–e42. https://doi.org/10.1093/cid/civ017</w:t>
      </w:r>
    </w:p>
    <w:p w14:paraId="2A810282"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Coulibaly, Y. I., Sangare, M., Dolo, H., Soumaoro, L., Coulibaly, S. Y., Dicko, I., Diabaté, A. F., Diarra, L., Coulibaly, M. E., Doumbia, S. S., Diallo, A. A., Dembele, M., Koudou, B. G., Bockarie, M. J., Kelly-Hope, L. A., Klion, A. D., &amp; Nutman, T. B. (2022). No evidence of lymphatic filariasis transmission in Bamako urban setting after three mass drug administration rounds.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121</w:t>
      </w:r>
      <w:r w:rsidRPr="00EE2C81">
        <w:rPr>
          <w:rFonts w:ascii="Times New Roman" w:hAnsi="Times New Roman" w:cs="Times New Roman"/>
          <w:sz w:val="22"/>
        </w:rPr>
        <w:t>(11), 3243–3248. https://doi.org/10.1007/s00436-022-07648-8</w:t>
      </w:r>
    </w:p>
    <w:p w14:paraId="324A0D6B"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Gharpure, R., Bliton, J., Goodman, A., Ali, I. K. M., Yoder, J., &amp; Cope, J. R. (2021). Epidemiology and Clinical Characteristics of Primary Amebic Meningoencephalitis Caused by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A Global Review.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73</w:t>
      </w:r>
      <w:r w:rsidRPr="00EE2C81">
        <w:rPr>
          <w:rFonts w:ascii="Times New Roman" w:hAnsi="Times New Roman" w:cs="Times New Roman"/>
          <w:sz w:val="22"/>
        </w:rPr>
        <w:t>(1), e19–e27. https://doi.org/10.1093/cid/ciaa520</w:t>
      </w:r>
    </w:p>
    <w:p w14:paraId="5DF193B1"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Hernández‐Castro, C., Maloney, J. G., Agudelo‐López, S. P., Toro‐Londoño, M. A., Botero‐Garcés, J. H., Orozco, M. C., Quintero‐Quinchia, Y. C., Correa‐Cote, J. C., Múnera‐Duque, A., Ricaurte‐Ciro, J. C., Londoño‐Álvarez, L. I., Escobar, R. M., Köster, P. C., Sánchez, S., Carmena, D., &amp; Santín, M. (2023). Identification and validation of novel </w:t>
      </w:r>
      <w:r w:rsidRPr="00EE2C81">
        <w:rPr>
          <w:rFonts w:ascii="Times New Roman" w:hAnsi="Times New Roman" w:cs="Times New Roman"/>
          <w:i/>
          <w:iCs/>
          <w:sz w:val="22"/>
        </w:rPr>
        <w:t>Blastocystis</w:t>
      </w:r>
      <w:r w:rsidRPr="00EE2C81">
        <w:rPr>
          <w:rFonts w:ascii="Times New Roman" w:hAnsi="Times New Roman" w:cs="Times New Roman"/>
          <w:sz w:val="22"/>
        </w:rPr>
        <w:t xml:space="preserve"> subtype </w:t>
      </w:r>
      <w:r w:rsidRPr="00EE2C81">
        <w:rPr>
          <w:rFonts w:ascii="Times New Roman" w:hAnsi="Times New Roman" w:cs="Times New Roman"/>
          <w:smallCaps/>
          <w:sz w:val="22"/>
        </w:rPr>
        <w:t>ST41</w:t>
      </w:r>
      <w:r w:rsidRPr="00EE2C81">
        <w:rPr>
          <w:rFonts w:ascii="Times New Roman" w:hAnsi="Times New Roman" w:cs="Times New Roman"/>
          <w:sz w:val="22"/>
        </w:rPr>
        <w:t xml:space="preserve"> in a Colombian patient undergoing colorectal cancer screening. </w:t>
      </w:r>
      <w:r w:rsidRPr="00EE2C81">
        <w:rPr>
          <w:rFonts w:ascii="Times New Roman" w:hAnsi="Times New Roman" w:cs="Times New Roman"/>
          <w:i/>
          <w:iCs/>
          <w:sz w:val="22"/>
        </w:rPr>
        <w:t>Journal of Eukaryotic Microbiology</w:t>
      </w:r>
      <w:r w:rsidRPr="00EE2C81">
        <w:rPr>
          <w:rFonts w:ascii="Times New Roman" w:hAnsi="Times New Roman" w:cs="Times New Roman"/>
          <w:sz w:val="22"/>
        </w:rPr>
        <w:t xml:space="preserve">, </w:t>
      </w:r>
      <w:r w:rsidRPr="00EE2C81">
        <w:rPr>
          <w:rFonts w:ascii="Times New Roman" w:hAnsi="Times New Roman" w:cs="Times New Roman"/>
          <w:i/>
          <w:iCs/>
          <w:sz w:val="22"/>
        </w:rPr>
        <w:t>70</w:t>
      </w:r>
      <w:r w:rsidRPr="00EE2C81">
        <w:rPr>
          <w:rFonts w:ascii="Times New Roman" w:hAnsi="Times New Roman" w:cs="Times New Roman"/>
          <w:sz w:val="22"/>
        </w:rPr>
        <w:t>(5), e12978. https://doi.org/10.1111/jeu.12978</w:t>
      </w:r>
    </w:p>
    <w:p w14:paraId="17BBD4A1"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Hu, Y., Tang, L., Wang, Z., Yan, H., Yi, X., Wang, H., Ma, L., Yang, C., Ran, J., &amp; Yu, A. (2024). Inducing in situ M2 macrophage polarization to promote the repair of bone defects via scaffold-mediated sustained delivery of luteolin. </w:t>
      </w:r>
      <w:r w:rsidRPr="00EE2C81">
        <w:rPr>
          <w:rFonts w:ascii="Times New Roman" w:hAnsi="Times New Roman" w:cs="Times New Roman"/>
          <w:i/>
          <w:iCs/>
          <w:sz w:val="22"/>
        </w:rPr>
        <w:t>Journal of Controlled Release</w:t>
      </w:r>
      <w:r w:rsidRPr="00EE2C81">
        <w:rPr>
          <w:rFonts w:ascii="Times New Roman" w:hAnsi="Times New Roman" w:cs="Times New Roman"/>
          <w:sz w:val="22"/>
        </w:rPr>
        <w:t xml:space="preserve">, </w:t>
      </w:r>
      <w:r w:rsidRPr="00EE2C81">
        <w:rPr>
          <w:rFonts w:ascii="Times New Roman" w:hAnsi="Times New Roman" w:cs="Times New Roman"/>
          <w:i/>
          <w:iCs/>
          <w:sz w:val="22"/>
        </w:rPr>
        <w:t>365</w:t>
      </w:r>
      <w:r w:rsidRPr="00EE2C81">
        <w:rPr>
          <w:rFonts w:ascii="Times New Roman" w:hAnsi="Times New Roman" w:cs="Times New Roman"/>
          <w:sz w:val="22"/>
        </w:rPr>
        <w:t>, 889–904. https://doi.org/10.1016/j.jconrel.2023.11.015</w:t>
      </w:r>
    </w:p>
    <w:p w14:paraId="1BD8EA79"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Hussain, R., Akram, T., Hassali, M. A., Muneswarao, J., Rehman, A. U., Hashmi, F., &amp; Babar, Z.-U.-D. (2022). Barriers and facilitators to pharmacovigilance activities in Pakistan: A healthcare </w:t>
      </w:r>
      <w:r w:rsidRPr="00EE2C81">
        <w:rPr>
          <w:rFonts w:ascii="Times New Roman" w:hAnsi="Times New Roman" w:cs="Times New Roman"/>
          <w:sz w:val="22"/>
        </w:rPr>
        <w:lastRenderedPageBreak/>
        <w:t xml:space="preserve">professionals-based survey. </w:t>
      </w:r>
      <w:r w:rsidRPr="00EE2C81">
        <w:rPr>
          <w:rFonts w:ascii="Times New Roman" w:hAnsi="Times New Roman" w:cs="Times New Roman"/>
          <w:i/>
          <w:iCs/>
          <w:sz w:val="22"/>
        </w:rPr>
        <w:t>PLOS ONE</w:t>
      </w:r>
      <w:r w:rsidRPr="00EE2C81">
        <w:rPr>
          <w:rFonts w:ascii="Times New Roman" w:hAnsi="Times New Roman" w:cs="Times New Roman"/>
          <w:sz w:val="22"/>
        </w:rPr>
        <w:t xml:space="preserve">, </w:t>
      </w:r>
      <w:r w:rsidRPr="00EE2C81">
        <w:rPr>
          <w:rFonts w:ascii="Times New Roman" w:hAnsi="Times New Roman" w:cs="Times New Roman"/>
          <w:i/>
          <w:iCs/>
          <w:sz w:val="22"/>
        </w:rPr>
        <w:t>17</w:t>
      </w:r>
      <w:r w:rsidRPr="00EE2C81">
        <w:rPr>
          <w:rFonts w:ascii="Times New Roman" w:hAnsi="Times New Roman" w:cs="Times New Roman"/>
          <w:sz w:val="22"/>
        </w:rPr>
        <w:t>(7), e0271587. https://doi.org/10.1371/journal.pone.0271587</w:t>
      </w:r>
    </w:p>
    <w:p w14:paraId="6BA7F075"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Hwee, S. E., Htet, N. H., Naing, C., Tung, W. S., &amp; Mak, J. W. (2022). Rapid diagnostic test (Leptocheck-WB) for detection of acute leptospirosis: A meta-analysis of diagnostic accuracy. </w:t>
      </w:r>
      <w:r w:rsidRPr="00EE2C81">
        <w:rPr>
          <w:rFonts w:ascii="Times New Roman" w:hAnsi="Times New Roman" w:cs="Times New Roman"/>
          <w:i/>
          <w:iCs/>
          <w:sz w:val="22"/>
        </w:rPr>
        <w:t>European Journal of Clinical Microbiology &amp;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41</w:t>
      </w:r>
      <w:r w:rsidRPr="00EE2C81">
        <w:rPr>
          <w:rFonts w:ascii="Times New Roman" w:hAnsi="Times New Roman" w:cs="Times New Roman"/>
          <w:sz w:val="22"/>
        </w:rPr>
        <w:t>(4), 631–640. https://doi.org/10.1007/s10096-022-04420-9</w:t>
      </w:r>
    </w:p>
    <w:p w14:paraId="24C0A3CE"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Jaganath, D., Reza, T. F., Wambi, P., Nakafeero, J., Kiconco, E., Nanyonga, G., Oumo, E. A., Nsereko, M. C., Sekadde, M. P., Nabukenya-Mudiope, M. G., Kato-Maeda, M., Andama, A., Yoon, C., Mohanty, S., Wobudeya, E., &amp; Cattamanchi, A. (2022). The Role of C-Reactive Protein as a Triage Tool for Pulmonary Tuberculosis in Children. </w:t>
      </w:r>
      <w:r w:rsidRPr="00EE2C81">
        <w:rPr>
          <w:rFonts w:ascii="Times New Roman" w:hAnsi="Times New Roman" w:cs="Times New Roman"/>
          <w:i/>
          <w:iCs/>
          <w:sz w:val="22"/>
        </w:rPr>
        <w:t>Journal of the Pediatric Infectious Diseases Society</w:t>
      </w:r>
      <w:r w:rsidRPr="00EE2C81">
        <w:rPr>
          <w:rFonts w:ascii="Times New Roman" w:hAnsi="Times New Roman" w:cs="Times New Roman"/>
          <w:sz w:val="22"/>
        </w:rPr>
        <w:t xml:space="preserve">, </w:t>
      </w:r>
      <w:r w:rsidRPr="00EE2C81">
        <w:rPr>
          <w:rFonts w:ascii="Times New Roman" w:hAnsi="Times New Roman" w:cs="Times New Roman"/>
          <w:i/>
          <w:iCs/>
          <w:sz w:val="22"/>
        </w:rPr>
        <w:t>11</w:t>
      </w:r>
      <w:r w:rsidRPr="00EE2C81">
        <w:rPr>
          <w:rFonts w:ascii="Times New Roman" w:hAnsi="Times New Roman" w:cs="Times New Roman"/>
          <w:sz w:val="22"/>
        </w:rPr>
        <w:t>(7), 316–321. https://doi.org/10.1093/jpids/piac015</w:t>
      </w:r>
    </w:p>
    <w:p w14:paraId="0D58CD83"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Kaur, G., Salem-Bango, L., Nery, A. L. M. D. S., Solomon, E. C., Ihemezue, E., Kelly, C., Altare, C., Azman, A. S., Spiegel, P. B., &amp; Lantagne, D. (2023). Implementation considerations in case-area targeted interventions to prevent cholera transmission in Northeast Nigeria: A qualitative analysis. </w:t>
      </w:r>
      <w:r w:rsidRPr="00EE2C81">
        <w:rPr>
          <w:rFonts w:ascii="Times New Roman" w:hAnsi="Times New Roman" w:cs="Times New Roman"/>
          <w:i/>
          <w:iCs/>
          <w:sz w:val="22"/>
        </w:rPr>
        <w:t>PLOS Neglected Tropical Diseases</w:t>
      </w:r>
      <w:r w:rsidRPr="00EE2C81">
        <w:rPr>
          <w:rFonts w:ascii="Times New Roman" w:hAnsi="Times New Roman" w:cs="Times New Roman"/>
          <w:sz w:val="22"/>
        </w:rPr>
        <w:t xml:space="preserve">, </w:t>
      </w:r>
      <w:r w:rsidRPr="00EE2C81">
        <w:rPr>
          <w:rFonts w:ascii="Times New Roman" w:hAnsi="Times New Roman" w:cs="Times New Roman"/>
          <w:i/>
          <w:iCs/>
          <w:sz w:val="22"/>
        </w:rPr>
        <w:t>17</w:t>
      </w:r>
      <w:r w:rsidRPr="00EE2C81">
        <w:rPr>
          <w:rFonts w:ascii="Times New Roman" w:hAnsi="Times New Roman" w:cs="Times New Roman"/>
          <w:sz w:val="22"/>
        </w:rPr>
        <w:t>(4), e0011298. https://doi.org/10.1371/journal.pntd.0011298</w:t>
      </w:r>
    </w:p>
    <w:p w14:paraId="22D0CC7F"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Linam, W. M., Ahmed, M., Cope, J. R., Chu, C., Visvesvara, G. S., Da Silva, A. J., Qvarnstrom, Y., &amp; Green, J. (2015). Successful Treatment of an Adolescent With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Primary Amebic Meningoencephalitis. </w:t>
      </w:r>
      <w:r w:rsidRPr="00EE2C81">
        <w:rPr>
          <w:rFonts w:ascii="Times New Roman" w:hAnsi="Times New Roman" w:cs="Times New Roman"/>
          <w:i/>
          <w:iCs/>
          <w:sz w:val="22"/>
        </w:rPr>
        <w:t>Pediatrics</w:t>
      </w:r>
      <w:r w:rsidRPr="00EE2C81">
        <w:rPr>
          <w:rFonts w:ascii="Times New Roman" w:hAnsi="Times New Roman" w:cs="Times New Roman"/>
          <w:sz w:val="22"/>
        </w:rPr>
        <w:t xml:space="preserve">, </w:t>
      </w:r>
      <w:r w:rsidRPr="00EE2C81">
        <w:rPr>
          <w:rFonts w:ascii="Times New Roman" w:hAnsi="Times New Roman" w:cs="Times New Roman"/>
          <w:i/>
          <w:iCs/>
          <w:sz w:val="22"/>
        </w:rPr>
        <w:t>135</w:t>
      </w:r>
      <w:r w:rsidRPr="00EE2C81">
        <w:rPr>
          <w:rFonts w:ascii="Times New Roman" w:hAnsi="Times New Roman" w:cs="Times New Roman"/>
          <w:sz w:val="22"/>
        </w:rPr>
        <w:t>(3), e744–e748. https://doi.org/10.1542/peds.2014-2292</w:t>
      </w:r>
    </w:p>
    <w:p w14:paraId="3F41D690"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Marciano-Cabral, F., &amp; Cabral, G. A. (2007). The immune response to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amebae and pathogenesis of infection. </w:t>
      </w:r>
      <w:r w:rsidRPr="00EE2C81">
        <w:rPr>
          <w:rFonts w:ascii="Times New Roman" w:hAnsi="Times New Roman" w:cs="Times New Roman"/>
          <w:i/>
          <w:iCs/>
          <w:sz w:val="22"/>
        </w:rPr>
        <w:t>FEMS Immunology &amp; Medical Microbiology</w:t>
      </w:r>
      <w:r w:rsidRPr="00EE2C81">
        <w:rPr>
          <w:rFonts w:ascii="Times New Roman" w:hAnsi="Times New Roman" w:cs="Times New Roman"/>
          <w:sz w:val="22"/>
        </w:rPr>
        <w:t xml:space="preserve">, </w:t>
      </w:r>
      <w:r w:rsidRPr="00EE2C81">
        <w:rPr>
          <w:rFonts w:ascii="Times New Roman" w:hAnsi="Times New Roman" w:cs="Times New Roman"/>
          <w:i/>
          <w:iCs/>
          <w:sz w:val="22"/>
        </w:rPr>
        <w:t>51</w:t>
      </w:r>
      <w:r w:rsidRPr="00EE2C81">
        <w:rPr>
          <w:rFonts w:ascii="Times New Roman" w:hAnsi="Times New Roman" w:cs="Times New Roman"/>
          <w:sz w:val="22"/>
        </w:rPr>
        <w:t>(2), 243–259. https://doi.org/10.1111/j.1574-695X.2007.00332.x</w:t>
      </w:r>
    </w:p>
    <w:p w14:paraId="5BD13584"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Martinez, A. J., &amp; Visvesvara, G. S. (1997). Free‐living, Amphizoic and Opportunistic Amebas. </w:t>
      </w:r>
      <w:r w:rsidRPr="00EE2C81">
        <w:rPr>
          <w:rFonts w:ascii="Times New Roman" w:hAnsi="Times New Roman" w:cs="Times New Roman"/>
          <w:i/>
          <w:iCs/>
          <w:sz w:val="22"/>
        </w:rPr>
        <w:t>Brain Pathology</w:t>
      </w:r>
      <w:r w:rsidRPr="00EE2C81">
        <w:rPr>
          <w:rFonts w:ascii="Times New Roman" w:hAnsi="Times New Roman" w:cs="Times New Roman"/>
          <w:sz w:val="22"/>
        </w:rPr>
        <w:t xml:space="preserve">, </w:t>
      </w:r>
      <w:r w:rsidRPr="00EE2C81">
        <w:rPr>
          <w:rFonts w:ascii="Times New Roman" w:hAnsi="Times New Roman" w:cs="Times New Roman"/>
          <w:i/>
          <w:iCs/>
          <w:sz w:val="22"/>
        </w:rPr>
        <w:t>7</w:t>
      </w:r>
      <w:r w:rsidRPr="00EE2C81">
        <w:rPr>
          <w:rFonts w:ascii="Times New Roman" w:hAnsi="Times New Roman" w:cs="Times New Roman"/>
          <w:sz w:val="22"/>
        </w:rPr>
        <w:t>(1), 583–598. https://doi.org/10.1111/j.1750-3639.1997.tb01076.x</w:t>
      </w:r>
    </w:p>
    <w:p w14:paraId="03FEF5AE"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Mehjabin, S., Akanda, Md. K. M., Akhter, N., Bosri, Most. R., &amp; Ali, S. (2024). Medicinal and Nutritional Importance of Phyllanthus emblica in Human Health. In M. A. Ansari, S. Shoaib, &amp; </w:t>
      </w:r>
      <w:r w:rsidRPr="00EE2C81">
        <w:rPr>
          <w:rFonts w:ascii="Times New Roman" w:hAnsi="Times New Roman" w:cs="Times New Roman"/>
          <w:sz w:val="22"/>
        </w:rPr>
        <w:lastRenderedPageBreak/>
        <w:t xml:space="preserve">N. Islam (Eds.), </w:t>
      </w:r>
      <w:r w:rsidRPr="00EE2C81">
        <w:rPr>
          <w:rFonts w:ascii="Times New Roman" w:hAnsi="Times New Roman" w:cs="Times New Roman"/>
          <w:i/>
          <w:iCs/>
          <w:sz w:val="22"/>
        </w:rPr>
        <w:t>Medicinal Plants and their Bioactive Compounds in Human Health: Volume 1</w:t>
      </w:r>
      <w:r w:rsidRPr="00EE2C81">
        <w:rPr>
          <w:rFonts w:ascii="Times New Roman" w:hAnsi="Times New Roman" w:cs="Times New Roman"/>
          <w:sz w:val="22"/>
        </w:rPr>
        <w:t xml:space="preserve"> (pp. 143–164). Springer Nature Singapore. https://doi.org/10.1007/978-981-97-6895-0_8</w:t>
      </w:r>
    </w:p>
    <w:p w14:paraId="6723B6D3"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Minter, A., Pellis, L., Medley, G. F., &amp; Hollingsworth, T. D. (2021). What Can Modeling Tell Us About Sustainable End Points for Neglected Tropical Diseases? </w:t>
      </w:r>
      <w:r w:rsidRPr="00EE2C81">
        <w:rPr>
          <w:rFonts w:ascii="Times New Roman" w:hAnsi="Times New Roman" w:cs="Times New Roman"/>
          <w:i/>
          <w:iCs/>
          <w:sz w:val="22"/>
        </w:rPr>
        <w:t>Clinical Infectious Diseases</w:t>
      </w:r>
      <w:r w:rsidRPr="00EE2C81">
        <w:rPr>
          <w:rFonts w:ascii="Times New Roman" w:hAnsi="Times New Roman" w:cs="Times New Roman"/>
          <w:sz w:val="22"/>
        </w:rPr>
        <w:t xml:space="preserve">, </w:t>
      </w:r>
      <w:r w:rsidRPr="00EE2C81">
        <w:rPr>
          <w:rFonts w:ascii="Times New Roman" w:hAnsi="Times New Roman" w:cs="Times New Roman"/>
          <w:i/>
          <w:iCs/>
          <w:sz w:val="22"/>
        </w:rPr>
        <w:t>72</w:t>
      </w:r>
      <w:r w:rsidRPr="00EE2C81">
        <w:rPr>
          <w:rFonts w:ascii="Times New Roman" w:hAnsi="Times New Roman" w:cs="Times New Roman"/>
          <w:sz w:val="22"/>
        </w:rPr>
        <w:t>(Supplement_3), S129–S133. https://doi.org/10.1093/cid/ciab188</w:t>
      </w:r>
    </w:p>
    <w:p w14:paraId="6029B9B5"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Moravec, F., Boomker, J., &amp; Taraschewski, H. (2000). Paraquimperia africana n. sp. (Nematoda: Quimperiidae), a New Intestinal Parasite of the Eel Anguilla mossambica Peters, in South Africa. </w:t>
      </w:r>
      <w:r w:rsidRPr="00EE2C81">
        <w:rPr>
          <w:rFonts w:ascii="Times New Roman" w:hAnsi="Times New Roman" w:cs="Times New Roman"/>
          <w:i/>
          <w:iCs/>
          <w:sz w:val="22"/>
        </w:rPr>
        <w:t>The Journal of Parasitology</w:t>
      </w:r>
      <w:r w:rsidRPr="00EE2C81">
        <w:rPr>
          <w:rFonts w:ascii="Times New Roman" w:hAnsi="Times New Roman" w:cs="Times New Roman"/>
          <w:sz w:val="22"/>
        </w:rPr>
        <w:t xml:space="preserve">, </w:t>
      </w:r>
      <w:r w:rsidRPr="00EE2C81">
        <w:rPr>
          <w:rFonts w:ascii="Times New Roman" w:hAnsi="Times New Roman" w:cs="Times New Roman"/>
          <w:i/>
          <w:iCs/>
          <w:sz w:val="22"/>
        </w:rPr>
        <w:t>86</w:t>
      </w:r>
      <w:r w:rsidRPr="00EE2C81">
        <w:rPr>
          <w:rFonts w:ascii="Times New Roman" w:hAnsi="Times New Roman" w:cs="Times New Roman"/>
          <w:sz w:val="22"/>
        </w:rPr>
        <w:t>(1), 113. https://doi.org/10.2307/3284919</w:t>
      </w:r>
    </w:p>
    <w:p w14:paraId="3BC634AA"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Obar, J. J., &amp; Shepardson, K. M. (2023). Coinfections in the lung: How viral infection creates a favorable environment for bacterial and fungal infections. </w:t>
      </w:r>
      <w:r w:rsidRPr="00EE2C81">
        <w:rPr>
          <w:rFonts w:ascii="Times New Roman" w:hAnsi="Times New Roman" w:cs="Times New Roman"/>
          <w:i/>
          <w:iCs/>
          <w:sz w:val="22"/>
        </w:rPr>
        <w:t>PLOS Pathogens</w:t>
      </w:r>
      <w:r w:rsidRPr="00EE2C81">
        <w:rPr>
          <w:rFonts w:ascii="Times New Roman" w:hAnsi="Times New Roman" w:cs="Times New Roman"/>
          <w:sz w:val="22"/>
        </w:rPr>
        <w:t xml:space="preserve">, </w:t>
      </w:r>
      <w:r w:rsidRPr="00EE2C81">
        <w:rPr>
          <w:rFonts w:ascii="Times New Roman" w:hAnsi="Times New Roman" w:cs="Times New Roman"/>
          <w:i/>
          <w:iCs/>
          <w:sz w:val="22"/>
        </w:rPr>
        <w:t>19</w:t>
      </w:r>
      <w:r w:rsidRPr="00EE2C81">
        <w:rPr>
          <w:rFonts w:ascii="Times New Roman" w:hAnsi="Times New Roman" w:cs="Times New Roman"/>
          <w:sz w:val="22"/>
        </w:rPr>
        <w:t>(5), e1011334. https://doi.org/10.1371/journal.ppat.1011334</w:t>
      </w:r>
    </w:p>
    <w:p w14:paraId="3DDF246A"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Pitman-Hunt, C., Leja, J., Jiwani, Z. M., Rondot, D., Ang, J., &amp; Kannikeswaran, N. (2021). Severe Acute Respiratory Syndrome-Coronavirus-2 Transmission in an Urban Community: The Role of Children and Household Contacts. </w:t>
      </w:r>
      <w:r w:rsidRPr="00EE2C81">
        <w:rPr>
          <w:rFonts w:ascii="Times New Roman" w:hAnsi="Times New Roman" w:cs="Times New Roman"/>
          <w:i/>
          <w:iCs/>
          <w:sz w:val="22"/>
        </w:rPr>
        <w:t>Journal of the Pediatric Infectious Diseases Society</w:t>
      </w:r>
      <w:r w:rsidRPr="00EE2C81">
        <w:rPr>
          <w:rFonts w:ascii="Times New Roman" w:hAnsi="Times New Roman" w:cs="Times New Roman"/>
          <w:sz w:val="22"/>
        </w:rPr>
        <w:t xml:space="preserve">, </w:t>
      </w:r>
      <w:r w:rsidRPr="00EE2C81">
        <w:rPr>
          <w:rFonts w:ascii="Times New Roman" w:hAnsi="Times New Roman" w:cs="Times New Roman"/>
          <w:i/>
          <w:iCs/>
          <w:sz w:val="22"/>
        </w:rPr>
        <w:t>10</w:t>
      </w:r>
      <w:r w:rsidRPr="00EE2C81">
        <w:rPr>
          <w:rFonts w:ascii="Times New Roman" w:hAnsi="Times New Roman" w:cs="Times New Roman"/>
          <w:sz w:val="22"/>
        </w:rPr>
        <w:t>(9), 919–921. https://doi.org/10.1093/jpids/piaa158</w:t>
      </w:r>
    </w:p>
    <w:p w14:paraId="3484DB5D"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Rhabdomyolysis Leading to Acute Kidney Injury. (2021). </w:t>
      </w:r>
      <w:r w:rsidRPr="00EE2C81">
        <w:rPr>
          <w:rFonts w:ascii="Times New Roman" w:hAnsi="Times New Roman" w:cs="Times New Roman"/>
          <w:i/>
          <w:iCs/>
          <w:sz w:val="22"/>
        </w:rPr>
        <w:t>Journal of the College of Physicians and Surgeons Pakistan</w:t>
      </w:r>
      <w:r w:rsidRPr="00EE2C81">
        <w:rPr>
          <w:rFonts w:ascii="Times New Roman" w:hAnsi="Times New Roman" w:cs="Times New Roman"/>
          <w:sz w:val="22"/>
        </w:rPr>
        <w:t xml:space="preserve">, </w:t>
      </w:r>
      <w:r w:rsidRPr="00EE2C81">
        <w:rPr>
          <w:rFonts w:ascii="Times New Roman" w:hAnsi="Times New Roman" w:cs="Times New Roman"/>
          <w:i/>
          <w:iCs/>
          <w:sz w:val="22"/>
        </w:rPr>
        <w:t>31</w:t>
      </w:r>
      <w:r w:rsidRPr="00EE2C81">
        <w:rPr>
          <w:rFonts w:ascii="Times New Roman" w:hAnsi="Times New Roman" w:cs="Times New Roman"/>
          <w:sz w:val="22"/>
        </w:rPr>
        <w:t>(02), 235–237. https://doi.org/10.29271/jcpsp.2021.02.235</w:t>
      </w:r>
    </w:p>
    <w:p w14:paraId="67E044FE"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Samad Ali, Abdus Sobhan, &amp; Pathak, A. (2024). Evaluating the Efficacy and Safety of Antihypertensive Drugs in the Treatment of Congenital Heart Disease in Paediatric Patients: A Comprehensive Study. </w:t>
      </w:r>
      <w:r w:rsidRPr="00EE2C81">
        <w:rPr>
          <w:rFonts w:ascii="Times New Roman" w:hAnsi="Times New Roman" w:cs="Times New Roman"/>
          <w:i/>
          <w:iCs/>
          <w:sz w:val="22"/>
        </w:rPr>
        <w:t>Journal of Medical and Health Studies</w:t>
      </w:r>
      <w:r w:rsidRPr="00EE2C81">
        <w:rPr>
          <w:rFonts w:ascii="Times New Roman" w:hAnsi="Times New Roman" w:cs="Times New Roman"/>
          <w:sz w:val="22"/>
        </w:rPr>
        <w:t xml:space="preserve">, </w:t>
      </w:r>
      <w:r w:rsidRPr="00EE2C81">
        <w:rPr>
          <w:rFonts w:ascii="Times New Roman" w:hAnsi="Times New Roman" w:cs="Times New Roman"/>
          <w:i/>
          <w:iCs/>
          <w:sz w:val="22"/>
        </w:rPr>
        <w:t>5</w:t>
      </w:r>
      <w:r w:rsidRPr="00EE2C81">
        <w:rPr>
          <w:rFonts w:ascii="Times New Roman" w:hAnsi="Times New Roman" w:cs="Times New Roman"/>
          <w:sz w:val="22"/>
        </w:rPr>
        <w:t>(3), 41–55. https://doi.org/10.32996/jmhs.2024.5.3.6</w:t>
      </w:r>
    </w:p>
    <w:p w14:paraId="21C3A5AF"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Sao, V., Chey, C. O., Sriv, T., The, N., Phin, S., Hoeng, S., &amp; Phan, K. (2023). Assessing drinking water quality and health risks of contaminants in the coastal areas of Cambodia. </w:t>
      </w:r>
      <w:r w:rsidRPr="00EE2C81">
        <w:rPr>
          <w:rFonts w:ascii="Times New Roman" w:hAnsi="Times New Roman" w:cs="Times New Roman"/>
          <w:i/>
          <w:iCs/>
          <w:sz w:val="22"/>
        </w:rPr>
        <w:t>Journal of Water and Health</w:t>
      </w:r>
      <w:r w:rsidRPr="00EE2C81">
        <w:rPr>
          <w:rFonts w:ascii="Times New Roman" w:hAnsi="Times New Roman" w:cs="Times New Roman"/>
          <w:sz w:val="22"/>
        </w:rPr>
        <w:t xml:space="preserve">, </w:t>
      </w:r>
      <w:r w:rsidRPr="00EE2C81">
        <w:rPr>
          <w:rFonts w:ascii="Times New Roman" w:hAnsi="Times New Roman" w:cs="Times New Roman"/>
          <w:i/>
          <w:iCs/>
          <w:sz w:val="22"/>
        </w:rPr>
        <w:t>21</w:t>
      </w:r>
      <w:r w:rsidRPr="00EE2C81">
        <w:rPr>
          <w:rFonts w:ascii="Times New Roman" w:hAnsi="Times New Roman" w:cs="Times New Roman"/>
          <w:sz w:val="22"/>
        </w:rPr>
        <w:t>(2), 224–234. https://doi.org/10.2166/wh.2023.215</w:t>
      </w:r>
    </w:p>
    <w:p w14:paraId="69B7E325"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lastRenderedPageBreak/>
        <w:t xml:space="preserve">Seed, J. R., Hall, J. E., &amp; Sechelski, J. (1985). The Catabolism of Tryptophan to Indole‐3‐Ethanol by </w:t>
      </w:r>
      <w:r w:rsidRPr="00EE2C81">
        <w:rPr>
          <w:rFonts w:ascii="Times New Roman" w:hAnsi="Times New Roman" w:cs="Times New Roman"/>
          <w:i/>
          <w:iCs/>
          <w:sz w:val="22"/>
        </w:rPr>
        <w:t>Crithidia fasciculata</w:t>
      </w:r>
      <w:r w:rsidRPr="00EE2C81">
        <w:rPr>
          <w:rFonts w:ascii="Times New Roman" w:hAnsi="Times New Roman" w:cs="Times New Roman"/>
          <w:sz w:val="22"/>
        </w:rPr>
        <w:t xml:space="preserve"> and </w:t>
      </w:r>
      <w:r w:rsidRPr="00EE2C81">
        <w:rPr>
          <w:rFonts w:ascii="Times New Roman" w:hAnsi="Times New Roman" w:cs="Times New Roman"/>
          <w:i/>
          <w:iCs/>
          <w:sz w:val="22"/>
        </w:rPr>
        <w:t>Phytomonas davidi</w:t>
      </w:r>
      <w:r w:rsidRPr="00EE2C81">
        <w:rPr>
          <w:rFonts w:ascii="Times New Roman" w:hAnsi="Times New Roman" w:cs="Times New Roman"/>
          <w:sz w:val="22"/>
          <w:vertAlign w:val="superscript"/>
        </w:rPr>
        <w:t>1</w:t>
      </w:r>
      <w:r w:rsidRPr="00EE2C81">
        <w:rPr>
          <w:rFonts w:ascii="Times New Roman" w:hAnsi="Times New Roman" w:cs="Times New Roman"/>
          <w:sz w:val="22"/>
        </w:rPr>
        <w:t xml:space="preserve">. </w:t>
      </w:r>
      <w:r w:rsidRPr="00EE2C81">
        <w:rPr>
          <w:rFonts w:ascii="Times New Roman" w:hAnsi="Times New Roman" w:cs="Times New Roman"/>
          <w:i/>
          <w:iCs/>
          <w:sz w:val="22"/>
        </w:rPr>
        <w:t>The Journal of Protozoology</w:t>
      </w:r>
      <w:r w:rsidRPr="00EE2C81">
        <w:rPr>
          <w:rFonts w:ascii="Times New Roman" w:hAnsi="Times New Roman" w:cs="Times New Roman"/>
          <w:sz w:val="22"/>
        </w:rPr>
        <w:t xml:space="preserve">, </w:t>
      </w:r>
      <w:r w:rsidRPr="00EE2C81">
        <w:rPr>
          <w:rFonts w:ascii="Times New Roman" w:hAnsi="Times New Roman" w:cs="Times New Roman"/>
          <w:i/>
          <w:iCs/>
          <w:sz w:val="22"/>
        </w:rPr>
        <w:t>32</w:t>
      </w:r>
      <w:r w:rsidRPr="00EE2C81">
        <w:rPr>
          <w:rFonts w:ascii="Times New Roman" w:hAnsi="Times New Roman" w:cs="Times New Roman"/>
          <w:sz w:val="22"/>
        </w:rPr>
        <w:t>(1), 20–25. https://doi.org/10.1111/j.1550-7408.1985.tb03007.x</w:t>
      </w:r>
    </w:p>
    <w:p w14:paraId="4E91E19A"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Serrano‐Luna, J., Cervantes‐Sandoval, I., Tsutsumi, V., &amp; Shibayama, M. (2007). A Biochemical Comparison of Proteases from Pathogenic </w:t>
      </w:r>
      <w:r w:rsidRPr="00EE2C81">
        <w:rPr>
          <w:rFonts w:ascii="Times New Roman" w:hAnsi="Times New Roman" w:cs="Times New Roman"/>
          <w:i/>
          <w:iCs/>
          <w:sz w:val="22"/>
        </w:rPr>
        <w:t>Naegleria fowleri</w:t>
      </w:r>
      <w:r w:rsidRPr="00EE2C81">
        <w:rPr>
          <w:rFonts w:ascii="Times New Roman" w:hAnsi="Times New Roman" w:cs="Times New Roman"/>
          <w:sz w:val="22"/>
        </w:rPr>
        <w:t xml:space="preserve"> and Non‐Pathogenic </w:t>
      </w:r>
      <w:r w:rsidRPr="00EE2C81">
        <w:rPr>
          <w:rFonts w:ascii="Times New Roman" w:hAnsi="Times New Roman" w:cs="Times New Roman"/>
          <w:i/>
          <w:iCs/>
          <w:sz w:val="22"/>
        </w:rPr>
        <w:t>Naegleria gruberi</w:t>
      </w:r>
      <w:r w:rsidRPr="00EE2C81">
        <w:rPr>
          <w:rFonts w:ascii="Times New Roman" w:hAnsi="Times New Roman" w:cs="Times New Roman"/>
          <w:sz w:val="22"/>
        </w:rPr>
        <w:t xml:space="preserve">. </w:t>
      </w:r>
      <w:r w:rsidRPr="00EE2C81">
        <w:rPr>
          <w:rFonts w:ascii="Times New Roman" w:hAnsi="Times New Roman" w:cs="Times New Roman"/>
          <w:i/>
          <w:iCs/>
          <w:sz w:val="22"/>
        </w:rPr>
        <w:t>Journal of Eukaryotic Microbiology</w:t>
      </w:r>
      <w:r w:rsidRPr="00EE2C81">
        <w:rPr>
          <w:rFonts w:ascii="Times New Roman" w:hAnsi="Times New Roman" w:cs="Times New Roman"/>
          <w:sz w:val="22"/>
        </w:rPr>
        <w:t xml:space="preserve">, </w:t>
      </w:r>
      <w:r w:rsidRPr="00EE2C81">
        <w:rPr>
          <w:rFonts w:ascii="Times New Roman" w:hAnsi="Times New Roman" w:cs="Times New Roman"/>
          <w:i/>
          <w:iCs/>
          <w:sz w:val="22"/>
        </w:rPr>
        <w:t>54</w:t>
      </w:r>
      <w:r w:rsidRPr="00EE2C81">
        <w:rPr>
          <w:rFonts w:ascii="Times New Roman" w:hAnsi="Times New Roman" w:cs="Times New Roman"/>
          <w:sz w:val="22"/>
        </w:rPr>
        <w:t>(5), 411–417. https://doi.org/10.1111/j.1550-7408.2007.00280.x</w:t>
      </w:r>
    </w:p>
    <w:p w14:paraId="4D889EA5"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Siddiqui, R., Ali, I. K. M., Cope, J. R., &amp; Khan, N. A. (2016). Biology and pathogenesis of Naegleria fowleri. </w:t>
      </w:r>
      <w:r w:rsidRPr="00EE2C81">
        <w:rPr>
          <w:rFonts w:ascii="Times New Roman" w:hAnsi="Times New Roman" w:cs="Times New Roman"/>
          <w:i/>
          <w:iCs/>
          <w:sz w:val="22"/>
        </w:rPr>
        <w:t>Acta Tropica</w:t>
      </w:r>
      <w:r w:rsidRPr="00EE2C81">
        <w:rPr>
          <w:rFonts w:ascii="Times New Roman" w:hAnsi="Times New Roman" w:cs="Times New Roman"/>
          <w:sz w:val="22"/>
        </w:rPr>
        <w:t xml:space="preserve">, </w:t>
      </w:r>
      <w:r w:rsidRPr="00EE2C81">
        <w:rPr>
          <w:rFonts w:ascii="Times New Roman" w:hAnsi="Times New Roman" w:cs="Times New Roman"/>
          <w:i/>
          <w:iCs/>
          <w:sz w:val="22"/>
        </w:rPr>
        <w:t>164</w:t>
      </w:r>
      <w:r w:rsidRPr="00EE2C81">
        <w:rPr>
          <w:rFonts w:ascii="Times New Roman" w:hAnsi="Times New Roman" w:cs="Times New Roman"/>
          <w:sz w:val="22"/>
        </w:rPr>
        <w:t>, 375–394. https://doi.org/10.1016/j.actatropica.2016.09.009</w:t>
      </w:r>
    </w:p>
    <w:p w14:paraId="0D3B07A5"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Steenbeek, R., Timmers, P. H. A., Van Der Linde, D., Hup, K., Hornstra, L., &amp; Been, F. (2022). Monitoring the exposure and emissions of antibiotic resistance: Co-occurrence of antibiotics and resistance genes in wastewater treatment plants. </w:t>
      </w:r>
      <w:r w:rsidRPr="00EE2C81">
        <w:rPr>
          <w:rFonts w:ascii="Times New Roman" w:hAnsi="Times New Roman" w:cs="Times New Roman"/>
          <w:i/>
          <w:iCs/>
          <w:sz w:val="22"/>
        </w:rPr>
        <w:t>Journal of Water and Health</w:t>
      </w:r>
      <w:r w:rsidRPr="00EE2C81">
        <w:rPr>
          <w:rFonts w:ascii="Times New Roman" w:hAnsi="Times New Roman" w:cs="Times New Roman"/>
          <w:sz w:val="22"/>
        </w:rPr>
        <w:t xml:space="preserve">, </w:t>
      </w:r>
      <w:r w:rsidRPr="00EE2C81">
        <w:rPr>
          <w:rFonts w:ascii="Times New Roman" w:hAnsi="Times New Roman" w:cs="Times New Roman"/>
          <w:i/>
          <w:iCs/>
          <w:sz w:val="22"/>
        </w:rPr>
        <w:t>20</w:t>
      </w:r>
      <w:r w:rsidRPr="00EE2C81">
        <w:rPr>
          <w:rFonts w:ascii="Times New Roman" w:hAnsi="Times New Roman" w:cs="Times New Roman"/>
          <w:sz w:val="22"/>
        </w:rPr>
        <w:t>(8), 1157–1170. https://doi.org/10.2166/wh.2022.021</w:t>
      </w:r>
    </w:p>
    <w:p w14:paraId="2CA10768"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Steltenpohl, M. G., Carter, B. T., Andresen, A., &amp; Zeltner, D. L. (2009). </w:t>
      </w:r>
      <w:r w:rsidRPr="00EE2C81">
        <w:rPr>
          <w:rFonts w:ascii="Times New Roman" w:hAnsi="Times New Roman" w:cs="Times New Roman"/>
          <w:sz w:val="22"/>
          <w:vertAlign w:val="superscript"/>
        </w:rPr>
        <w:t>40</w:t>
      </w:r>
      <w:r w:rsidRPr="00EE2C81">
        <w:rPr>
          <w:rFonts w:ascii="Times New Roman" w:hAnsi="Times New Roman" w:cs="Times New Roman"/>
          <w:sz w:val="22"/>
        </w:rPr>
        <w:t xml:space="preserve"> Ar/</w:t>
      </w:r>
      <w:r w:rsidRPr="00EE2C81">
        <w:rPr>
          <w:rFonts w:ascii="Times New Roman" w:hAnsi="Times New Roman" w:cs="Times New Roman"/>
          <w:sz w:val="22"/>
          <w:vertAlign w:val="superscript"/>
        </w:rPr>
        <w:t>39</w:t>
      </w:r>
      <w:r w:rsidRPr="00EE2C81">
        <w:rPr>
          <w:rFonts w:ascii="Times New Roman" w:hAnsi="Times New Roman" w:cs="Times New Roman"/>
          <w:sz w:val="22"/>
        </w:rPr>
        <w:t xml:space="preserve"> Ar Thermochronology of Late‐ and Postorogenic Extension in the Caledonides of North‐Central Norway. </w:t>
      </w:r>
      <w:r w:rsidRPr="00EE2C81">
        <w:rPr>
          <w:rFonts w:ascii="Times New Roman" w:hAnsi="Times New Roman" w:cs="Times New Roman"/>
          <w:i/>
          <w:iCs/>
          <w:sz w:val="22"/>
        </w:rPr>
        <w:t>The Journal of Geology</w:t>
      </w:r>
      <w:r w:rsidRPr="00EE2C81">
        <w:rPr>
          <w:rFonts w:ascii="Times New Roman" w:hAnsi="Times New Roman" w:cs="Times New Roman"/>
          <w:sz w:val="22"/>
        </w:rPr>
        <w:t xml:space="preserve">, </w:t>
      </w:r>
      <w:r w:rsidRPr="00EE2C81">
        <w:rPr>
          <w:rFonts w:ascii="Times New Roman" w:hAnsi="Times New Roman" w:cs="Times New Roman"/>
          <w:i/>
          <w:iCs/>
          <w:sz w:val="22"/>
        </w:rPr>
        <w:t>117</w:t>
      </w:r>
      <w:r w:rsidRPr="00EE2C81">
        <w:rPr>
          <w:rFonts w:ascii="Times New Roman" w:hAnsi="Times New Roman" w:cs="Times New Roman"/>
          <w:sz w:val="22"/>
        </w:rPr>
        <w:t>(4), 399–414. https://doi.org/10.1086/599217</w:t>
      </w:r>
    </w:p>
    <w:p w14:paraId="38A5D8AE"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Sun, L., Lu, Y., Zhao, N., Wang, Y., Wang, B., Li, H., Wu, Z., Li, H., Zhang, X., &amp; Zhao, X. (2022). Construction of constitutive expression of Eimeria tenella eukaryotic initiation factor U6L5H2 on the surface of Lactobacillus plantarum and evaluation of its immunoprotective efficiency against chicken coccidiosis. </w:t>
      </w:r>
      <w:r w:rsidRPr="00EE2C81">
        <w:rPr>
          <w:rFonts w:ascii="Times New Roman" w:hAnsi="Times New Roman" w:cs="Times New Roman"/>
          <w:i/>
          <w:iCs/>
          <w:sz w:val="22"/>
        </w:rPr>
        <w:t>Molecular and Biochemical Parasitology</w:t>
      </w:r>
      <w:r w:rsidRPr="00EE2C81">
        <w:rPr>
          <w:rFonts w:ascii="Times New Roman" w:hAnsi="Times New Roman" w:cs="Times New Roman"/>
          <w:sz w:val="22"/>
        </w:rPr>
        <w:t xml:space="preserve">, </w:t>
      </w:r>
      <w:r w:rsidRPr="00EE2C81">
        <w:rPr>
          <w:rFonts w:ascii="Times New Roman" w:hAnsi="Times New Roman" w:cs="Times New Roman"/>
          <w:i/>
          <w:iCs/>
          <w:sz w:val="22"/>
        </w:rPr>
        <w:t>252</w:t>
      </w:r>
      <w:r w:rsidRPr="00EE2C81">
        <w:rPr>
          <w:rFonts w:ascii="Times New Roman" w:hAnsi="Times New Roman" w:cs="Times New Roman"/>
          <w:sz w:val="22"/>
        </w:rPr>
        <w:t>, 111527. https://doi.org/10.1016/j.molbiopara.2022.111527</w:t>
      </w:r>
    </w:p>
    <w:p w14:paraId="4D765205"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Tian, N., Kobau, R., Zack, M. M., &amp; Greenlund, K. J. (2022). Barriers to and Disparities in Access to Health Care Among Adults Aged ≥18 Years with Epilepsy—United States, 2015 and 2017. </w:t>
      </w:r>
      <w:r w:rsidRPr="00EE2C81">
        <w:rPr>
          <w:rFonts w:ascii="Times New Roman" w:hAnsi="Times New Roman" w:cs="Times New Roman"/>
          <w:i/>
          <w:iCs/>
          <w:sz w:val="22"/>
        </w:rPr>
        <w:t>MMWR. Morbidity and Mortality Weekly Report</w:t>
      </w:r>
      <w:r w:rsidRPr="00EE2C81">
        <w:rPr>
          <w:rFonts w:ascii="Times New Roman" w:hAnsi="Times New Roman" w:cs="Times New Roman"/>
          <w:sz w:val="22"/>
        </w:rPr>
        <w:t xml:space="preserve">, </w:t>
      </w:r>
      <w:r w:rsidRPr="00EE2C81">
        <w:rPr>
          <w:rFonts w:ascii="Times New Roman" w:hAnsi="Times New Roman" w:cs="Times New Roman"/>
          <w:i/>
          <w:iCs/>
          <w:sz w:val="22"/>
        </w:rPr>
        <w:t>71</w:t>
      </w:r>
      <w:r w:rsidRPr="00EE2C81">
        <w:rPr>
          <w:rFonts w:ascii="Times New Roman" w:hAnsi="Times New Roman" w:cs="Times New Roman"/>
          <w:sz w:val="22"/>
        </w:rPr>
        <w:t>(21), 697–702. https://doi.org/10.15585/mmwr.mm7121a1</w:t>
      </w:r>
    </w:p>
    <w:p w14:paraId="4F35563E"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lastRenderedPageBreak/>
        <w:t xml:space="preserve">Vaselek, S., Sarac, B. E., Uzunkaya, A. D., Yilmaz, A., Karaaslan, C., &amp; Alten, B. (2024a). Identification of Ochrobactrum as a bacteria with transstadial transmission and potential for application in paratransgenic control of leishmaniasis.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123</w:t>
      </w:r>
      <w:r w:rsidRPr="00EE2C81">
        <w:rPr>
          <w:rFonts w:ascii="Times New Roman" w:hAnsi="Times New Roman" w:cs="Times New Roman"/>
          <w:sz w:val="22"/>
        </w:rPr>
        <w:t>(1), 82. https://doi.org/10.1007/s00436-023-08087-9</w:t>
      </w:r>
    </w:p>
    <w:p w14:paraId="4C3A6CDA"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Vaselek, S., Sarac, B. E., Uzunkaya, A. D., Yilmaz, A., Karaaslan, C., &amp; Alten, B. (2024b). Identification of Ochrobactrum as a bacteria with transstadial transmission and potential for application in paratransgenic control of leishmaniasis. </w:t>
      </w:r>
      <w:r w:rsidRPr="00EE2C81">
        <w:rPr>
          <w:rFonts w:ascii="Times New Roman" w:hAnsi="Times New Roman" w:cs="Times New Roman"/>
          <w:i/>
          <w:iCs/>
          <w:sz w:val="22"/>
        </w:rPr>
        <w:t>Parasitology Research</w:t>
      </w:r>
      <w:r w:rsidRPr="00EE2C81">
        <w:rPr>
          <w:rFonts w:ascii="Times New Roman" w:hAnsi="Times New Roman" w:cs="Times New Roman"/>
          <w:sz w:val="22"/>
        </w:rPr>
        <w:t xml:space="preserve">, </w:t>
      </w:r>
      <w:r w:rsidRPr="00EE2C81">
        <w:rPr>
          <w:rFonts w:ascii="Times New Roman" w:hAnsi="Times New Roman" w:cs="Times New Roman"/>
          <w:i/>
          <w:iCs/>
          <w:sz w:val="22"/>
        </w:rPr>
        <w:t>123</w:t>
      </w:r>
      <w:r w:rsidRPr="00EE2C81">
        <w:rPr>
          <w:rFonts w:ascii="Times New Roman" w:hAnsi="Times New Roman" w:cs="Times New Roman"/>
          <w:sz w:val="22"/>
        </w:rPr>
        <w:t>(1), 82. https://doi.org/10.1007/s00436-023-08087-9</w:t>
      </w:r>
    </w:p>
    <w:p w14:paraId="786EC959"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Wilson, M. R., Sample, H. A., Zorn, K. C., Arevalo, S., Yu, G., Neuhaus, J., Federman, S., Stryke, D., Briggs, B., Langelier, C., Berger, A., Douglas, V., Josephson, S. A., Chow, F. C., Fulton, B. D., DeRisi, J. L., Gelfand, J. M., Naccache, S. N., Bender, J., … Chiu, C. Y. (2019). Clinical Metagenomic Sequencing for Diagnosis of Meningitis and Encephalitis. </w:t>
      </w:r>
      <w:r w:rsidRPr="00EE2C81">
        <w:rPr>
          <w:rFonts w:ascii="Times New Roman" w:hAnsi="Times New Roman" w:cs="Times New Roman"/>
          <w:i/>
          <w:iCs/>
          <w:sz w:val="22"/>
        </w:rPr>
        <w:t>New England Journal of Medicine</w:t>
      </w:r>
      <w:r w:rsidRPr="00EE2C81">
        <w:rPr>
          <w:rFonts w:ascii="Times New Roman" w:hAnsi="Times New Roman" w:cs="Times New Roman"/>
          <w:sz w:val="22"/>
        </w:rPr>
        <w:t xml:space="preserve">, </w:t>
      </w:r>
      <w:r w:rsidRPr="00EE2C81">
        <w:rPr>
          <w:rFonts w:ascii="Times New Roman" w:hAnsi="Times New Roman" w:cs="Times New Roman"/>
          <w:i/>
          <w:iCs/>
          <w:sz w:val="22"/>
        </w:rPr>
        <w:t>380</w:t>
      </w:r>
      <w:r w:rsidRPr="00EE2C81">
        <w:rPr>
          <w:rFonts w:ascii="Times New Roman" w:hAnsi="Times New Roman" w:cs="Times New Roman"/>
          <w:sz w:val="22"/>
        </w:rPr>
        <w:t>(24), 2327–2340. https://doi.org/10.1056/NEJMoa1803396</w:t>
      </w:r>
    </w:p>
    <w:p w14:paraId="4D2F5996"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Yoder, J. S., Eddy, B. A., Visvesvara, G. S., Capewell, L., &amp; Beach, M. J. (2010). The epidemiology of primary amoebic meningoencephalitis in the USA, 1962–2008. </w:t>
      </w:r>
      <w:r w:rsidRPr="00EE2C81">
        <w:rPr>
          <w:rFonts w:ascii="Times New Roman" w:hAnsi="Times New Roman" w:cs="Times New Roman"/>
          <w:i/>
          <w:iCs/>
          <w:sz w:val="22"/>
        </w:rPr>
        <w:t>Epidemiology and Infection</w:t>
      </w:r>
      <w:r w:rsidRPr="00EE2C81">
        <w:rPr>
          <w:rFonts w:ascii="Times New Roman" w:hAnsi="Times New Roman" w:cs="Times New Roman"/>
          <w:sz w:val="22"/>
        </w:rPr>
        <w:t xml:space="preserve">, </w:t>
      </w:r>
      <w:r w:rsidRPr="00EE2C81">
        <w:rPr>
          <w:rFonts w:ascii="Times New Roman" w:hAnsi="Times New Roman" w:cs="Times New Roman"/>
          <w:i/>
          <w:iCs/>
          <w:sz w:val="22"/>
        </w:rPr>
        <w:t>138</w:t>
      </w:r>
      <w:r w:rsidRPr="00EE2C81">
        <w:rPr>
          <w:rFonts w:ascii="Times New Roman" w:hAnsi="Times New Roman" w:cs="Times New Roman"/>
          <w:sz w:val="22"/>
        </w:rPr>
        <w:t>(7), 968–975. https://doi.org/10.1017/S0950268809991014</w:t>
      </w:r>
    </w:p>
    <w:p w14:paraId="2C8CABE1" w14:textId="77777777" w:rsidR="00EE2C81" w:rsidRPr="00EE2C81" w:rsidRDefault="00EE2C81" w:rsidP="00EE2C81">
      <w:pPr>
        <w:pStyle w:val="Bibliography"/>
        <w:rPr>
          <w:rFonts w:ascii="Times New Roman" w:hAnsi="Times New Roman" w:cs="Times New Roman"/>
          <w:sz w:val="22"/>
        </w:rPr>
      </w:pPr>
      <w:r w:rsidRPr="00EE2C81">
        <w:rPr>
          <w:rFonts w:ascii="Times New Roman" w:hAnsi="Times New Roman" w:cs="Times New Roman"/>
          <w:sz w:val="22"/>
        </w:rPr>
        <w:t xml:space="preserve">Zhang, E., Zhu, H., Song, B., Shi, Y., &amp; Cao, Z. (2024). Recent advances in oral insulin delivery technologies. </w:t>
      </w:r>
      <w:r w:rsidRPr="00EE2C81">
        <w:rPr>
          <w:rFonts w:ascii="Times New Roman" w:hAnsi="Times New Roman" w:cs="Times New Roman"/>
          <w:i/>
          <w:iCs/>
          <w:sz w:val="22"/>
        </w:rPr>
        <w:t>Journal of Controlled Release</w:t>
      </w:r>
      <w:r w:rsidRPr="00EE2C81">
        <w:rPr>
          <w:rFonts w:ascii="Times New Roman" w:hAnsi="Times New Roman" w:cs="Times New Roman"/>
          <w:sz w:val="22"/>
        </w:rPr>
        <w:t xml:space="preserve">, </w:t>
      </w:r>
      <w:r w:rsidRPr="00EE2C81">
        <w:rPr>
          <w:rFonts w:ascii="Times New Roman" w:hAnsi="Times New Roman" w:cs="Times New Roman"/>
          <w:i/>
          <w:iCs/>
          <w:sz w:val="22"/>
        </w:rPr>
        <w:t>366</w:t>
      </w:r>
      <w:r w:rsidRPr="00EE2C81">
        <w:rPr>
          <w:rFonts w:ascii="Times New Roman" w:hAnsi="Times New Roman" w:cs="Times New Roman"/>
          <w:sz w:val="22"/>
        </w:rPr>
        <w:t>, 221–230. https://doi.org/10.1016/j.jconrel.2023.12.045</w:t>
      </w:r>
    </w:p>
    <w:p w14:paraId="0C11AA90" w14:textId="4E0E51E5" w:rsidR="00A66E12" w:rsidRPr="00E45897" w:rsidRDefault="00D90157" w:rsidP="00FF29B2">
      <w:pPr>
        <w:jc w:val="both"/>
        <w:rPr>
          <w:rFonts w:ascii="Times New Roman" w:hAnsi="Times New Roman" w:cs="Times New Roman"/>
          <w:sz w:val="22"/>
          <w:szCs w:val="22"/>
        </w:rPr>
      </w:pPr>
      <w:r w:rsidRPr="00D90157">
        <w:rPr>
          <w:rFonts w:ascii="Times New Roman" w:hAnsi="Times New Roman" w:cs="Times New Roman"/>
          <w:sz w:val="22"/>
          <w:szCs w:val="22"/>
        </w:rPr>
        <w:fldChar w:fldCharType="end"/>
      </w:r>
    </w:p>
    <w:sectPr w:rsidR="00A66E12" w:rsidRPr="00E4589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DE956" w14:textId="77777777" w:rsidR="007A7C16" w:rsidRDefault="007A7C16" w:rsidP="00ED3FE2">
      <w:pPr>
        <w:spacing w:after="0" w:line="240" w:lineRule="auto"/>
      </w:pPr>
      <w:r>
        <w:separator/>
      </w:r>
    </w:p>
  </w:endnote>
  <w:endnote w:type="continuationSeparator" w:id="0">
    <w:p w14:paraId="1D9515D9" w14:textId="77777777" w:rsidR="007A7C16" w:rsidRDefault="007A7C16" w:rsidP="00ED3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8FB29" w14:textId="77777777" w:rsidR="00ED3FE2" w:rsidRDefault="00ED3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8171" w14:textId="77777777" w:rsidR="00ED3FE2" w:rsidRDefault="00ED3F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130A1" w14:textId="77777777" w:rsidR="00ED3FE2" w:rsidRDefault="00ED3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E6FFE" w14:textId="77777777" w:rsidR="007A7C16" w:rsidRDefault="007A7C16" w:rsidP="00ED3FE2">
      <w:pPr>
        <w:spacing w:after="0" w:line="240" w:lineRule="auto"/>
      </w:pPr>
      <w:r>
        <w:separator/>
      </w:r>
    </w:p>
  </w:footnote>
  <w:footnote w:type="continuationSeparator" w:id="0">
    <w:p w14:paraId="67A14393" w14:textId="77777777" w:rsidR="007A7C16" w:rsidRDefault="007A7C16" w:rsidP="00ED3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D0514" w14:textId="0081D431" w:rsidR="00ED3FE2" w:rsidRDefault="00ED3FE2">
    <w:pPr>
      <w:pStyle w:val="Header"/>
    </w:pPr>
    <w:r>
      <w:rPr>
        <w:noProof/>
      </w:rPr>
      <w:pict w14:anchorId="49D4B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450AF" w14:textId="3081E56C" w:rsidR="00ED3FE2" w:rsidRDefault="00ED3FE2">
    <w:pPr>
      <w:pStyle w:val="Header"/>
    </w:pPr>
    <w:r>
      <w:rPr>
        <w:noProof/>
      </w:rPr>
      <w:pict w14:anchorId="1299C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F9FD9" w14:textId="76F05CD1" w:rsidR="00ED3FE2" w:rsidRDefault="00ED3FE2">
    <w:pPr>
      <w:pStyle w:val="Header"/>
    </w:pPr>
    <w:r>
      <w:rPr>
        <w:noProof/>
      </w:rPr>
      <w:pict w14:anchorId="14FAD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D7857"/>
    <w:multiLevelType w:val="multilevel"/>
    <w:tmpl w:val="0602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DE"/>
    <w:rsid w:val="00012B14"/>
    <w:rsid w:val="00057DEF"/>
    <w:rsid w:val="000A0845"/>
    <w:rsid w:val="000C0478"/>
    <w:rsid w:val="00133201"/>
    <w:rsid w:val="001644D1"/>
    <w:rsid w:val="001A3350"/>
    <w:rsid w:val="002503DC"/>
    <w:rsid w:val="002622F2"/>
    <w:rsid w:val="002833D3"/>
    <w:rsid w:val="002F40A6"/>
    <w:rsid w:val="00333DC9"/>
    <w:rsid w:val="003526CF"/>
    <w:rsid w:val="003670D3"/>
    <w:rsid w:val="003760B3"/>
    <w:rsid w:val="003B65B2"/>
    <w:rsid w:val="003F20EF"/>
    <w:rsid w:val="0040483A"/>
    <w:rsid w:val="0048542B"/>
    <w:rsid w:val="004A22E5"/>
    <w:rsid w:val="004A4B38"/>
    <w:rsid w:val="004C22AE"/>
    <w:rsid w:val="004C78DE"/>
    <w:rsid w:val="005331D0"/>
    <w:rsid w:val="005A2ACE"/>
    <w:rsid w:val="005C6883"/>
    <w:rsid w:val="0060350E"/>
    <w:rsid w:val="00643AB2"/>
    <w:rsid w:val="00652010"/>
    <w:rsid w:val="006C2853"/>
    <w:rsid w:val="006F0357"/>
    <w:rsid w:val="007128A3"/>
    <w:rsid w:val="00727819"/>
    <w:rsid w:val="0075351C"/>
    <w:rsid w:val="0075377D"/>
    <w:rsid w:val="007627DD"/>
    <w:rsid w:val="00767205"/>
    <w:rsid w:val="00773DDC"/>
    <w:rsid w:val="007744C6"/>
    <w:rsid w:val="00774973"/>
    <w:rsid w:val="007A7C16"/>
    <w:rsid w:val="007B39B4"/>
    <w:rsid w:val="007F4F1E"/>
    <w:rsid w:val="00806CD5"/>
    <w:rsid w:val="008208F7"/>
    <w:rsid w:val="00834C89"/>
    <w:rsid w:val="00851590"/>
    <w:rsid w:val="00894A60"/>
    <w:rsid w:val="008A6D89"/>
    <w:rsid w:val="008D6A36"/>
    <w:rsid w:val="008D7655"/>
    <w:rsid w:val="008F5C7E"/>
    <w:rsid w:val="00935CD8"/>
    <w:rsid w:val="009439D1"/>
    <w:rsid w:val="00945488"/>
    <w:rsid w:val="00975BED"/>
    <w:rsid w:val="009764A0"/>
    <w:rsid w:val="009A7103"/>
    <w:rsid w:val="009B7739"/>
    <w:rsid w:val="00A30F7F"/>
    <w:rsid w:val="00A66E12"/>
    <w:rsid w:val="00AD5FD4"/>
    <w:rsid w:val="00AE470E"/>
    <w:rsid w:val="00B13838"/>
    <w:rsid w:val="00B322E3"/>
    <w:rsid w:val="00B633CE"/>
    <w:rsid w:val="00B82D45"/>
    <w:rsid w:val="00BD0BFA"/>
    <w:rsid w:val="00BE3F0D"/>
    <w:rsid w:val="00C05517"/>
    <w:rsid w:val="00C33759"/>
    <w:rsid w:val="00C37431"/>
    <w:rsid w:val="00C546FD"/>
    <w:rsid w:val="00C82FB6"/>
    <w:rsid w:val="00CA032F"/>
    <w:rsid w:val="00CA283C"/>
    <w:rsid w:val="00CC3551"/>
    <w:rsid w:val="00D209BA"/>
    <w:rsid w:val="00D35465"/>
    <w:rsid w:val="00D66D71"/>
    <w:rsid w:val="00D90157"/>
    <w:rsid w:val="00DE0FD3"/>
    <w:rsid w:val="00E20A2B"/>
    <w:rsid w:val="00E45897"/>
    <w:rsid w:val="00ED3FE2"/>
    <w:rsid w:val="00ED4F7D"/>
    <w:rsid w:val="00EE2C81"/>
    <w:rsid w:val="00EF7C9A"/>
    <w:rsid w:val="00F10383"/>
    <w:rsid w:val="00F50870"/>
    <w:rsid w:val="00F52437"/>
    <w:rsid w:val="00F86882"/>
    <w:rsid w:val="00FB70FB"/>
    <w:rsid w:val="00FD0C00"/>
    <w:rsid w:val="00FF29B2"/>
    <w:rsid w:val="00FF5BA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0B90D9"/>
  <w15:chartTrackingRefBased/>
  <w15:docId w15:val="{DB38F214-5FB5-49B9-9CD4-52FD64B1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8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78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78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78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78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7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8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78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78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78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78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7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8DE"/>
    <w:rPr>
      <w:rFonts w:eastAsiaTheme="majorEastAsia" w:cstheme="majorBidi"/>
      <w:color w:val="272727" w:themeColor="text1" w:themeTint="D8"/>
    </w:rPr>
  </w:style>
  <w:style w:type="paragraph" w:styleId="Title">
    <w:name w:val="Title"/>
    <w:basedOn w:val="Normal"/>
    <w:next w:val="Normal"/>
    <w:link w:val="TitleChar"/>
    <w:uiPriority w:val="1"/>
    <w:qFormat/>
    <w:rsid w:val="004C7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4C7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8DE"/>
    <w:pPr>
      <w:spacing w:before="160"/>
      <w:jc w:val="center"/>
    </w:pPr>
    <w:rPr>
      <w:i/>
      <w:iCs/>
      <w:color w:val="404040" w:themeColor="text1" w:themeTint="BF"/>
    </w:rPr>
  </w:style>
  <w:style w:type="character" w:customStyle="1" w:styleId="QuoteChar">
    <w:name w:val="Quote Char"/>
    <w:basedOn w:val="DefaultParagraphFont"/>
    <w:link w:val="Quote"/>
    <w:uiPriority w:val="29"/>
    <w:rsid w:val="004C78DE"/>
    <w:rPr>
      <w:i/>
      <w:iCs/>
      <w:color w:val="404040" w:themeColor="text1" w:themeTint="BF"/>
    </w:rPr>
  </w:style>
  <w:style w:type="paragraph" w:styleId="ListParagraph">
    <w:name w:val="List Paragraph"/>
    <w:basedOn w:val="Normal"/>
    <w:uiPriority w:val="34"/>
    <w:qFormat/>
    <w:rsid w:val="004C78DE"/>
    <w:pPr>
      <w:ind w:left="720"/>
      <w:contextualSpacing/>
    </w:pPr>
  </w:style>
  <w:style w:type="character" w:styleId="IntenseEmphasis">
    <w:name w:val="Intense Emphasis"/>
    <w:basedOn w:val="DefaultParagraphFont"/>
    <w:uiPriority w:val="21"/>
    <w:qFormat/>
    <w:rsid w:val="004C78DE"/>
    <w:rPr>
      <w:i/>
      <w:iCs/>
      <w:color w:val="2F5496" w:themeColor="accent1" w:themeShade="BF"/>
    </w:rPr>
  </w:style>
  <w:style w:type="paragraph" w:styleId="IntenseQuote">
    <w:name w:val="Intense Quote"/>
    <w:basedOn w:val="Normal"/>
    <w:next w:val="Normal"/>
    <w:link w:val="IntenseQuoteChar"/>
    <w:uiPriority w:val="30"/>
    <w:qFormat/>
    <w:rsid w:val="004C78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78DE"/>
    <w:rPr>
      <w:i/>
      <w:iCs/>
      <w:color w:val="2F5496" w:themeColor="accent1" w:themeShade="BF"/>
    </w:rPr>
  </w:style>
  <w:style w:type="character" w:styleId="IntenseReference">
    <w:name w:val="Intense Reference"/>
    <w:basedOn w:val="DefaultParagraphFont"/>
    <w:uiPriority w:val="32"/>
    <w:qFormat/>
    <w:rsid w:val="004C78DE"/>
    <w:rPr>
      <w:b/>
      <w:bCs/>
      <w:smallCaps/>
      <w:color w:val="2F5496" w:themeColor="accent1" w:themeShade="BF"/>
      <w:spacing w:val="5"/>
    </w:rPr>
  </w:style>
  <w:style w:type="paragraph" w:styleId="Bibliography">
    <w:name w:val="Bibliography"/>
    <w:basedOn w:val="Normal"/>
    <w:next w:val="Normal"/>
    <w:uiPriority w:val="37"/>
    <w:unhideWhenUsed/>
    <w:rsid w:val="00D90157"/>
    <w:pPr>
      <w:spacing w:after="0" w:line="480" w:lineRule="auto"/>
      <w:ind w:left="720" w:hanging="720"/>
    </w:pPr>
  </w:style>
  <w:style w:type="character" w:styleId="Hyperlink">
    <w:name w:val="Hyperlink"/>
    <w:basedOn w:val="DefaultParagraphFont"/>
    <w:uiPriority w:val="99"/>
    <w:unhideWhenUsed/>
    <w:rsid w:val="00894A60"/>
    <w:rPr>
      <w:color w:val="0563C1" w:themeColor="hyperlink"/>
      <w:u w:val="single"/>
    </w:rPr>
  </w:style>
  <w:style w:type="character" w:styleId="UnresolvedMention">
    <w:name w:val="Unresolved Mention"/>
    <w:basedOn w:val="DefaultParagraphFont"/>
    <w:uiPriority w:val="99"/>
    <w:semiHidden/>
    <w:unhideWhenUsed/>
    <w:rsid w:val="00894A60"/>
    <w:rPr>
      <w:color w:val="605E5C"/>
      <w:shd w:val="clear" w:color="auto" w:fill="E1DFDD"/>
    </w:rPr>
  </w:style>
  <w:style w:type="paragraph" w:styleId="BodyText">
    <w:name w:val="Body Text"/>
    <w:basedOn w:val="Normal"/>
    <w:link w:val="BodyTextChar"/>
    <w:uiPriority w:val="1"/>
    <w:qFormat/>
    <w:rsid w:val="00BE3F0D"/>
    <w:pPr>
      <w:widowControl w:val="0"/>
      <w:autoSpaceDE w:val="0"/>
      <w:autoSpaceDN w:val="0"/>
      <w:adjustRightInd w:val="0"/>
      <w:spacing w:after="0" w:line="240" w:lineRule="auto"/>
    </w:pPr>
    <w:rPr>
      <w:rFonts w:ascii="Arial" w:eastAsiaTheme="minorEastAsia" w:hAnsi="Arial" w:cs="Arial"/>
      <w:kern w:val="0"/>
      <w:sz w:val="20"/>
      <w:szCs w:val="20"/>
    </w:rPr>
  </w:style>
  <w:style w:type="character" w:customStyle="1" w:styleId="BodyTextChar">
    <w:name w:val="Body Text Char"/>
    <w:basedOn w:val="DefaultParagraphFont"/>
    <w:link w:val="BodyText"/>
    <w:uiPriority w:val="1"/>
    <w:rsid w:val="00BE3F0D"/>
    <w:rPr>
      <w:rFonts w:ascii="Arial" w:eastAsiaTheme="minorEastAsia" w:hAnsi="Arial" w:cs="Arial"/>
      <w:kern w:val="0"/>
      <w:sz w:val="20"/>
      <w:szCs w:val="20"/>
    </w:rPr>
  </w:style>
  <w:style w:type="paragraph" w:styleId="Header">
    <w:name w:val="header"/>
    <w:basedOn w:val="Normal"/>
    <w:link w:val="HeaderChar"/>
    <w:uiPriority w:val="99"/>
    <w:unhideWhenUsed/>
    <w:rsid w:val="00ED3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FE2"/>
  </w:style>
  <w:style w:type="paragraph" w:styleId="Footer">
    <w:name w:val="footer"/>
    <w:basedOn w:val="Normal"/>
    <w:link w:val="FooterChar"/>
    <w:uiPriority w:val="99"/>
    <w:unhideWhenUsed/>
    <w:rsid w:val="00ED3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9" Type="http://schemas.openxmlformats.org/officeDocument/2006/relationships/header" Target="header1.xml"/><Relationship Id="rId4" Type="http://schemas.openxmlformats.org/officeDocument/2006/relationships/webSettings" Target="webSettings.xml"/><Relationship Id="rId14" Type="http://schemas.openxmlformats.org/officeDocument/2006/relationships/image" Target="media/image40.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27</Pages>
  <Words>30808</Words>
  <Characters>175607</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SAMAD ALI</dc:creator>
  <cp:keywords/>
  <dc:description/>
  <cp:lastModifiedBy>SDI 1084</cp:lastModifiedBy>
  <cp:revision>54</cp:revision>
  <cp:lastPrinted>2025-10-19T05:41:00Z</cp:lastPrinted>
  <dcterms:created xsi:type="dcterms:W3CDTF">2025-10-16T11:20:00Z</dcterms:created>
  <dcterms:modified xsi:type="dcterms:W3CDTF">2025-10-29T11:31:00Z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id="4vh3GQUN"/&gt;&lt;style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