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EFBB3" w14:textId="77777777" w:rsidR="00754C9A" w:rsidRDefault="00754C9A" w:rsidP="00441B6F">
      <w:pPr>
        <w:pStyle w:val="Title"/>
        <w:spacing w:after="0"/>
        <w:jc w:val="both"/>
        <w:rPr>
          <w:rFonts w:ascii="Arial" w:hAnsi="Arial" w:cs="Arial"/>
        </w:rPr>
      </w:pPr>
    </w:p>
    <w:p w14:paraId="26D62EAA" w14:textId="77777777" w:rsidR="00B82F55" w:rsidRPr="008C3FCF" w:rsidRDefault="00B82F55" w:rsidP="00207A3C">
      <w:pPr>
        <w:pStyle w:val="Author"/>
        <w:jc w:val="left"/>
        <w:rPr>
          <w:rFonts w:ascii="Arial" w:hAnsi="Arial" w:cs="Arial"/>
          <w:sz w:val="32"/>
          <w:szCs w:val="18"/>
        </w:rPr>
      </w:pPr>
      <w:r w:rsidRPr="008C3FCF">
        <w:rPr>
          <w:rFonts w:ascii="Arial" w:hAnsi="Arial" w:cs="Arial"/>
          <w:sz w:val="32"/>
          <w:szCs w:val="18"/>
        </w:rPr>
        <w:t>Valorization of Banana Peels and Agricultural Residues for Sustainable Biofertilizer Production: Recent Advances and Microbial Perspectives</w:t>
      </w:r>
    </w:p>
    <w:p w14:paraId="3844B6DA" w14:textId="4DE3923B" w:rsidR="00A258C3" w:rsidRPr="008C3FCF" w:rsidRDefault="00B82F55" w:rsidP="00B82F55">
      <w:pPr>
        <w:pStyle w:val="Author"/>
        <w:spacing w:line="240" w:lineRule="auto"/>
        <w:jc w:val="both"/>
        <w:rPr>
          <w:rFonts w:ascii="Arial" w:hAnsi="Arial" w:cs="Arial"/>
          <w:sz w:val="32"/>
          <w:szCs w:val="18"/>
        </w:rPr>
      </w:pPr>
      <w:r w:rsidRPr="008C3FCF">
        <w:rPr>
          <w:rFonts w:ascii="Arial" w:hAnsi="Arial" w:cs="Arial"/>
          <w:sz w:val="32"/>
          <w:szCs w:val="18"/>
        </w:rPr>
        <w:t xml:space="preserve"> </w:t>
      </w:r>
    </w:p>
    <w:p w14:paraId="21448E7A" w14:textId="77777777" w:rsidR="002C57D2" w:rsidRPr="00FB3A86" w:rsidRDefault="002C57D2" w:rsidP="00441B6F">
      <w:pPr>
        <w:pStyle w:val="Affiliation"/>
        <w:spacing w:after="0" w:line="240" w:lineRule="auto"/>
        <w:jc w:val="both"/>
        <w:rPr>
          <w:rFonts w:ascii="Arial" w:hAnsi="Arial" w:cs="Arial"/>
        </w:rPr>
      </w:pPr>
    </w:p>
    <w:p w14:paraId="5E1A95FE" w14:textId="77777777" w:rsidR="00B01FCD" w:rsidRPr="00FB3A86" w:rsidRDefault="004134D6" w:rsidP="00441B6F">
      <w:pPr>
        <w:pStyle w:val="Copyright"/>
        <w:spacing w:after="0" w:line="240" w:lineRule="auto"/>
        <w:jc w:val="both"/>
        <w:rPr>
          <w:rFonts w:ascii="Arial" w:hAnsi="Arial" w:cs="Arial"/>
        </w:rPr>
        <w:sectPr w:rsidR="00B01FCD" w:rsidRPr="00FB3A86" w:rsidSect="00997A3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6D8C93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3CF9098A" w14:textId="6E1B663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EFCBE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951B951" w14:textId="77777777" w:rsidTr="001E44FE">
        <w:tc>
          <w:tcPr>
            <w:tcW w:w="9576" w:type="dxa"/>
            <w:shd w:val="clear" w:color="auto" w:fill="F2F2F2"/>
          </w:tcPr>
          <w:p w14:paraId="020E2AAF" w14:textId="77777777" w:rsidR="00B82F55" w:rsidRPr="00B82F55" w:rsidRDefault="00B82F55" w:rsidP="00B82F55">
            <w:pPr>
              <w:pStyle w:val="Body"/>
              <w:rPr>
                <w:rFonts w:ascii="Arial" w:eastAsia="Calibri" w:hAnsi="Arial" w:cs="Arial"/>
                <w:szCs w:val="22"/>
              </w:rPr>
            </w:pPr>
            <w:r w:rsidRPr="00B82F55">
              <w:rPr>
                <w:rFonts w:ascii="Arial" w:eastAsia="Calibri" w:hAnsi="Arial" w:cs="Arial"/>
                <w:szCs w:val="22"/>
              </w:rPr>
              <w:t xml:space="preserve">Banana peels (BPs), an agricultural waste, have significant nutritional and bioactive properties that are largely unexplored. Recent research emphasizes their conversion into biofertilizers as a promising approach for sustainable soil enhancement and waste reduction. This mini-review summarizes progress in BP composition, valorization methods, and microbial strategies for nutrient recycling. Key insights from recent studies indicate that BPs are abundant in potassium, phenolics, amino acids, and dietary fiber, making them suitable for use as organic fertilizers and </w:t>
            </w:r>
            <w:proofErr w:type="spellStart"/>
            <w:r w:rsidRPr="00B82F55">
              <w:rPr>
                <w:rFonts w:ascii="Arial" w:eastAsia="Calibri" w:hAnsi="Arial" w:cs="Arial"/>
                <w:szCs w:val="22"/>
              </w:rPr>
              <w:t>biostimulants</w:t>
            </w:r>
            <w:proofErr w:type="spellEnd"/>
            <w:r w:rsidRPr="00B82F55">
              <w:rPr>
                <w:rFonts w:ascii="Arial" w:eastAsia="Calibri" w:hAnsi="Arial" w:cs="Arial"/>
                <w:szCs w:val="22"/>
              </w:rPr>
              <w:t>. Techniques for preparation, including pyrolysis to biochar, aqueous extraction, and blending with other agricultural residues, greatly affect nutrient availability and plant growth results. Supporting microbial communities speed up decomposition, improve nutrient mineralization, and inhibit pathogens. The combination of banana peel-based fertilizers with beneficial microbes can foster circular bioeconomy models, decreasing dependence on chemical fertilizers and lessening environmental effects. Nonetheless, the optimization of fermentation conditions, standardization of nutrient levels, and establishment of regulatory frameworks continue to pose significant challenges.</w:t>
            </w:r>
          </w:p>
          <w:p w14:paraId="74881BCA" w14:textId="0EC3D3AD" w:rsidR="00B82F55" w:rsidRPr="00B82F55" w:rsidRDefault="00B82F55" w:rsidP="00B82F55">
            <w:pPr>
              <w:pStyle w:val="Body"/>
              <w:rPr>
                <w:rFonts w:ascii="Arial" w:eastAsia="Calibri" w:hAnsi="Arial" w:cs="Arial"/>
                <w:szCs w:val="22"/>
              </w:rPr>
            </w:pPr>
            <w:r w:rsidRPr="00B82F55">
              <w:rPr>
                <w:rFonts w:ascii="Arial" w:eastAsia="Calibri" w:hAnsi="Arial" w:cs="Arial"/>
                <w:szCs w:val="22"/>
              </w:rPr>
              <w:t xml:space="preserve"> </w:t>
            </w:r>
          </w:p>
          <w:p w14:paraId="62CE2441" w14:textId="36DE9E8B" w:rsidR="00505F06" w:rsidRPr="00BA1B01" w:rsidRDefault="00505F06" w:rsidP="00441B6F">
            <w:pPr>
              <w:pStyle w:val="Body"/>
              <w:spacing w:after="0"/>
              <w:rPr>
                <w:rFonts w:ascii="Arial" w:eastAsia="Calibri" w:hAnsi="Arial" w:cs="Arial"/>
                <w:szCs w:val="22"/>
              </w:rPr>
            </w:pPr>
          </w:p>
        </w:tc>
      </w:tr>
    </w:tbl>
    <w:p w14:paraId="6F3F1AE2" w14:textId="77777777" w:rsidR="00636EB2" w:rsidRDefault="00636EB2" w:rsidP="00441B6F">
      <w:pPr>
        <w:pStyle w:val="Body"/>
        <w:spacing w:after="0"/>
        <w:rPr>
          <w:rFonts w:ascii="Arial" w:hAnsi="Arial" w:cs="Arial"/>
          <w:i/>
        </w:rPr>
      </w:pPr>
    </w:p>
    <w:p w14:paraId="62F754B9" w14:textId="3A1B504A" w:rsidR="00A24E7E" w:rsidRDefault="00A24E7E" w:rsidP="00441B6F">
      <w:pPr>
        <w:pStyle w:val="Body"/>
        <w:spacing w:after="0"/>
        <w:rPr>
          <w:rFonts w:ascii="Arial" w:hAnsi="Arial" w:cs="Arial"/>
          <w:i/>
        </w:rPr>
      </w:pPr>
      <w:r>
        <w:rPr>
          <w:rFonts w:ascii="Arial" w:hAnsi="Arial" w:cs="Arial"/>
          <w:i/>
        </w:rPr>
        <w:t xml:space="preserve">Keywords: </w:t>
      </w:r>
      <w:r w:rsidR="00B82F55" w:rsidRPr="00B82F55">
        <w:rPr>
          <w:rFonts w:ascii="Arial" w:hAnsi="Arial" w:cs="Arial"/>
          <w:i/>
        </w:rPr>
        <w:t xml:space="preserve">Banana peel, </w:t>
      </w:r>
      <w:proofErr w:type="spellStart"/>
      <w:r w:rsidR="00B82F55" w:rsidRPr="00B82F55">
        <w:rPr>
          <w:rFonts w:ascii="Arial" w:hAnsi="Arial" w:cs="Arial"/>
          <w:i/>
        </w:rPr>
        <w:t>Valorisation</w:t>
      </w:r>
      <w:proofErr w:type="spellEnd"/>
      <w:r w:rsidR="00B82F55" w:rsidRPr="00B82F55">
        <w:rPr>
          <w:rFonts w:ascii="Arial" w:hAnsi="Arial" w:cs="Arial"/>
          <w:i/>
        </w:rPr>
        <w:t xml:space="preserve">, </w:t>
      </w:r>
      <w:proofErr w:type="spellStart"/>
      <w:r w:rsidR="00B82F55" w:rsidRPr="00B82F55">
        <w:rPr>
          <w:rFonts w:ascii="Arial" w:hAnsi="Arial" w:cs="Arial"/>
          <w:i/>
        </w:rPr>
        <w:t>Agro</w:t>
      </w:r>
      <w:proofErr w:type="spellEnd"/>
      <w:r w:rsidR="00B82F55" w:rsidRPr="00B82F55">
        <w:rPr>
          <w:rFonts w:ascii="Arial" w:hAnsi="Arial" w:cs="Arial"/>
          <w:i/>
        </w:rPr>
        <w:t>-waste, Microbial consortia</w:t>
      </w:r>
    </w:p>
    <w:p w14:paraId="0E0CF0B5" w14:textId="4AC74378" w:rsidR="00B82F55" w:rsidRPr="00716C5B" w:rsidRDefault="00B82F55" w:rsidP="00B82F55">
      <w:pPr>
        <w:jc w:val="center"/>
        <w:rPr>
          <w:rFonts w:ascii="Times New Roman" w:hAnsi="Times New Roman"/>
          <w:b/>
          <w:bCs/>
          <w:sz w:val="24"/>
          <w:szCs w:val="24"/>
        </w:rPr>
      </w:pPr>
    </w:p>
    <w:p w14:paraId="217B1224" w14:textId="715731E0" w:rsidR="00B82F55" w:rsidRPr="00511340" w:rsidRDefault="00B82F55" w:rsidP="00B82F55">
      <w:pPr>
        <w:jc w:val="center"/>
        <w:rPr>
          <w:rFonts w:ascii="Times New Roman" w:hAnsi="Times New Roman"/>
          <w:b/>
          <w:bCs/>
          <w:sz w:val="24"/>
          <w:szCs w:val="24"/>
          <w:vertAlign w:val="superscript"/>
        </w:rPr>
      </w:pPr>
    </w:p>
    <w:p w14:paraId="27354902" w14:textId="28C9E699" w:rsidR="00B82F55" w:rsidRPr="00C43DA9" w:rsidRDefault="00B82F55" w:rsidP="00B82F55">
      <w:pPr>
        <w:rPr>
          <w:rFonts w:ascii="Arial" w:hAnsi="Arial" w:cs="Arial"/>
          <w:b/>
          <w:bCs/>
          <w:sz w:val="22"/>
          <w:szCs w:val="22"/>
        </w:rPr>
      </w:pPr>
      <w:r w:rsidRPr="00C43DA9">
        <w:rPr>
          <w:rFonts w:ascii="Arial" w:hAnsi="Arial" w:cs="Arial"/>
          <w:b/>
          <w:bCs/>
          <w:sz w:val="22"/>
          <w:szCs w:val="22"/>
        </w:rPr>
        <w:t>1. Introduction</w:t>
      </w:r>
    </w:p>
    <w:p w14:paraId="423EA7BF"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 xml:space="preserve">Global agricultural demand has increased dependence on synthetic fertilizers, whose excessive use contributes to eutrophication, greenhouse-gas emissions, and soil degradation. The valorization of </w:t>
      </w:r>
      <w:proofErr w:type="spellStart"/>
      <w:r w:rsidRPr="00C43DA9">
        <w:rPr>
          <w:rFonts w:ascii="Arial" w:hAnsi="Arial" w:cs="Arial"/>
          <w:sz w:val="22"/>
          <w:szCs w:val="22"/>
        </w:rPr>
        <w:t>agrowastes</w:t>
      </w:r>
      <w:proofErr w:type="spellEnd"/>
      <w:r w:rsidRPr="00C43DA9">
        <w:rPr>
          <w:rFonts w:ascii="Arial" w:hAnsi="Arial" w:cs="Arial"/>
          <w:sz w:val="22"/>
          <w:szCs w:val="22"/>
        </w:rPr>
        <w:t xml:space="preserve"> into biofertilizers presents a sustainable alternative within the circular bioeconomy paradigm. Banana (</w:t>
      </w:r>
      <w:r w:rsidRPr="00C43DA9">
        <w:rPr>
          <w:rFonts w:ascii="Arial" w:hAnsi="Arial" w:cs="Arial"/>
          <w:i/>
          <w:iCs/>
          <w:sz w:val="22"/>
          <w:szCs w:val="22"/>
        </w:rPr>
        <w:t>Musa spp.</w:t>
      </w:r>
      <w:r w:rsidRPr="00C43DA9">
        <w:rPr>
          <w:rFonts w:ascii="Arial" w:hAnsi="Arial" w:cs="Arial"/>
          <w:sz w:val="22"/>
          <w:szCs w:val="22"/>
        </w:rPr>
        <w:t>) ranks among the world’s top five food crops, generating approximately 36 million tons of peel waste annually (Zaini et al. 2022). Conventionally discarded in landfills, these peels produce methane and leachates that threaten environmental safety (Khanyile et al. 2024). Their rich composition of carbohydrates (59–67 %), fiber (20–50 %), and essential minerals such as potassium and calcium provides a valuable substrate for microbial conversion and nutrient recovery.</w:t>
      </w:r>
    </w:p>
    <w:p w14:paraId="78B611F1"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 xml:space="preserve">Microbial management of agricultural residues offers additional ecological benefits through carbon sequestration, nutrient cycling, and disease suppression (Kannan and </w:t>
      </w:r>
      <w:proofErr w:type="spellStart"/>
      <w:r w:rsidRPr="00C43DA9">
        <w:rPr>
          <w:rFonts w:ascii="Arial" w:hAnsi="Arial" w:cs="Arial"/>
          <w:sz w:val="22"/>
          <w:szCs w:val="22"/>
        </w:rPr>
        <w:t>Kalapirran</w:t>
      </w:r>
      <w:proofErr w:type="spellEnd"/>
      <w:r w:rsidRPr="00C43DA9">
        <w:rPr>
          <w:rFonts w:ascii="Arial" w:hAnsi="Arial" w:cs="Arial"/>
          <w:sz w:val="22"/>
          <w:szCs w:val="22"/>
        </w:rPr>
        <w:t>, 2022). Hence, combining banana peel valorization with microbial bioprocessing could yield dual benefits of waste reduction and soil fertility enhancement.</w:t>
      </w:r>
    </w:p>
    <w:p w14:paraId="7BDB364B" w14:textId="77777777" w:rsidR="00B82F55" w:rsidRPr="00C43DA9" w:rsidRDefault="00B82F55" w:rsidP="00B82F55">
      <w:pPr>
        <w:jc w:val="both"/>
        <w:rPr>
          <w:rFonts w:ascii="Arial" w:hAnsi="Arial" w:cs="Arial"/>
          <w:sz w:val="22"/>
          <w:szCs w:val="22"/>
        </w:rPr>
      </w:pPr>
    </w:p>
    <w:p w14:paraId="23BEE33E" w14:textId="77777777" w:rsidR="00B82F55" w:rsidRPr="00C43DA9" w:rsidRDefault="00B82F55" w:rsidP="00B82F55">
      <w:pPr>
        <w:jc w:val="both"/>
        <w:rPr>
          <w:rFonts w:ascii="Arial" w:hAnsi="Arial" w:cs="Arial"/>
          <w:sz w:val="22"/>
          <w:szCs w:val="22"/>
        </w:rPr>
      </w:pPr>
    </w:p>
    <w:p w14:paraId="6D208F12" w14:textId="77777777" w:rsidR="00B82F55" w:rsidRPr="00C43DA9" w:rsidRDefault="00B82F55" w:rsidP="00B82F55">
      <w:pPr>
        <w:rPr>
          <w:rFonts w:ascii="Arial" w:hAnsi="Arial" w:cs="Arial"/>
          <w:b/>
          <w:bCs/>
          <w:sz w:val="22"/>
          <w:szCs w:val="22"/>
        </w:rPr>
      </w:pPr>
      <w:r w:rsidRPr="00C43DA9">
        <w:rPr>
          <w:rFonts w:ascii="Arial" w:hAnsi="Arial" w:cs="Arial"/>
          <w:b/>
          <w:bCs/>
          <w:sz w:val="22"/>
          <w:szCs w:val="22"/>
        </w:rPr>
        <w:t>2. Nutritional and Bioactive Composition of Banana Peels</w:t>
      </w:r>
    </w:p>
    <w:p w14:paraId="151DA5AB"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Banana peels exhibit a wide range of chemical diversity, containing polyunsaturated fatty acids such as linoleic and α-linolenic acid, essential amino acids including leucine, lysine, and isoleucine (Table 1), as well as a notable amount of dietary fiber (47–53 %) (Zaini et al. 2022). Additionally, they contain phenolic compound particularly rutin, catechin, gallic acid, and ferulic acid which provide significant antioxidant properties. These bioactive compounds indirectly promote plant growth by enhancing soil microbial health and mitigating oxidative stress in plants. Mineral analysis indicates that banana peels are abundant in potassium (~476 mg/100 g), calcium (~323 mg/100 g), and phosphorus (~122 mg/100 g) (Khanyile et al. 2024). These minerals are crucial for root development, enzyme activation, and osmotic balance. This nutrient profile makes banana peels a viable foundation for organic fertilizers that can compete with traditional NPK formulations. Furthermore, the presence of phenolic antioxidants and alkaloids offers antimicrobial and allelopathic benefits, helping to suppress phytopathogens and improve plant growth.</w:t>
      </w:r>
    </w:p>
    <w:p w14:paraId="2D695BFA" w14:textId="77777777" w:rsidR="00B82F55" w:rsidRPr="00C43DA9" w:rsidRDefault="00B82F55" w:rsidP="00B82F55">
      <w:pPr>
        <w:jc w:val="both"/>
        <w:rPr>
          <w:rFonts w:ascii="Arial" w:hAnsi="Arial" w:cs="Arial"/>
          <w:b/>
          <w:bCs/>
          <w:sz w:val="22"/>
          <w:szCs w:val="22"/>
        </w:rPr>
      </w:pPr>
      <w:r w:rsidRPr="00C43DA9">
        <w:rPr>
          <w:rFonts w:ascii="Arial" w:hAnsi="Arial" w:cs="Arial"/>
          <w:b/>
          <w:bCs/>
          <w:sz w:val="22"/>
          <w:szCs w:val="22"/>
        </w:rPr>
        <w:t>3. Valorization Pathways for Biofertilizer Production</w:t>
      </w:r>
    </w:p>
    <w:p w14:paraId="3DFA4AE8" w14:textId="77777777" w:rsidR="00B82F55" w:rsidRPr="00C43DA9" w:rsidRDefault="00B82F55" w:rsidP="00B82F55">
      <w:pPr>
        <w:rPr>
          <w:rFonts w:ascii="Arial" w:hAnsi="Arial" w:cs="Arial"/>
          <w:sz w:val="22"/>
          <w:szCs w:val="22"/>
        </w:rPr>
      </w:pPr>
      <w:r w:rsidRPr="00C43DA9">
        <w:rPr>
          <w:rFonts w:ascii="Arial" w:hAnsi="Arial" w:cs="Arial"/>
          <w:sz w:val="22"/>
          <w:szCs w:val="22"/>
        </w:rPr>
        <w:t>Several methods have been explored for converting banana peels into biofertilizers (Khanyile et al. 2024) as shown in Table 2 and Fig. 1.</w:t>
      </w:r>
    </w:p>
    <w:p w14:paraId="46186BE4"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 xml:space="preserve">Banana peels can be converted into biofertilizers through several environmentally sustainable valorization pathways that significantly influence nutrient availability, soil properties, and crop productivity. Thermal conversion through pyrolysis under limited oxygen yields a carbon-rich biochar that improves soil aeration, water retention, and cation-exchange capacity while stabilizing organic carbon (Khanyile et al. 2024; Islam et al. 2019). Composite blending of dried banana peels with other agricultural residues, such as orange peels, eggshells, cow dung, or tangerine peels, produces synergistic nutrient profiles that enhance soil fertility and provide balanced macro and micronutrients (Khanyile et al. 2024; </w:t>
      </w:r>
      <w:proofErr w:type="spellStart"/>
      <w:r w:rsidRPr="00C43DA9">
        <w:rPr>
          <w:rFonts w:ascii="Arial" w:hAnsi="Arial" w:cs="Arial"/>
          <w:sz w:val="22"/>
          <w:szCs w:val="22"/>
        </w:rPr>
        <w:t>Rinni</w:t>
      </w:r>
      <w:proofErr w:type="spellEnd"/>
      <w:r w:rsidRPr="00C43DA9">
        <w:rPr>
          <w:rFonts w:ascii="Arial" w:hAnsi="Arial" w:cs="Arial"/>
          <w:sz w:val="22"/>
          <w:szCs w:val="22"/>
        </w:rPr>
        <w:t xml:space="preserve"> &amp; Diana Putri, 2023). Aqueous and solvent extraction methods generate liquid fertilizers enriched with potassium, calcium, and phenolic antioxidants that are particularly effective for foliar application, improving nutrient uptake and conferring natural pest resistance (Zaini et al. 2022; Khanna et al. 2019). Additionally, fermented formulations prepared through microbial inoculation with beneficial strains such as </w:t>
      </w:r>
      <w:r w:rsidRPr="00C43DA9">
        <w:rPr>
          <w:rFonts w:ascii="Arial" w:hAnsi="Arial" w:cs="Arial"/>
          <w:i/>
          <w:iCs/>
          <w:sz w:val="22"/>
          <w:szCs w:val="22"/>
        </w:rPr>
        <w:t>Bacillus, Azotobacter</w:t>
      </w:r>
      <w:r w:rsidRPr="00C43DA9">
        <w:rPr>
          <w:rFonts w:ascii="Arial" w:hAnsi="Arial" w:cs="Arial"/>
          <w:sz w:val="22"/>
          <w:szCs w:val="22"/>
        </w:rPr>
        <w:t xml:space="preserve">, and </w:t>
      </w:r>
      <w:r w:rsidRPr="00C43DA9">
        <w:rPr>
          <w:rFonts w:ascii="Arial" w:hAnsi="Arial" w:cs="Arial"/>
          <w:i/>
          <w:iCs/>
          <w:sz w:val="22"/>
          <w:szCs w:val="22"/>
        </w:rPr>
        <w:t>Trichoderma</w:t>
      </w:r>
      <w:r w:rsidRPr="00C43DA9">
        <w:rPr>
          <w:rFonts w:ascii="Arial" w:hAnsi="Arial" w:cs="Arial"/>
          <w:sz w:val="22"/>
          <w:szCs w:val="22"/>
        </w:rPr>
        <w:t xml:space="preserve"> accelerate organic matter degradation and release bioavailable nitrogen, phosphorus, and potassium, with composting studies showing high K (&gt;10 % w/w) and Total nitrogen (&gt;2 %) from banana peel composts (</w:t>
      </w:r>
      <w:proofErr w:type="spellStart"/>
      <w:r w:rsidRPr="00C43DA9">
        <w:rPr>
          <w:rFonts w:ascii="Arial" w:hAnsi="Arial" w:cs="Arial"/>
          <w:sz w:val="22"/>
          <w:szCs w:val="22"/>
        </w:rPr>
        <w:t>Rinni</w:t>
      </w:r>
      <w:proofErr w:type="spellEnd"/>
      <w:r w:rsidRPr="00C43DA9">
        <w:rPr>
          <w:rFonts w:ascii="Arial" w:hAnsi="Arial" w:cs="Arial"/>
          <w:sz w:val="22"/>
          <w:szCs w:val="22"/>
        </w:rPr>
        <w:t xml:space="preserve"> &amp; Diana Putri, 2023). This bioconversion process also reduces antinutritional compounds such as tannins and oxalates, improving the safety and overall efficiency of banana peel-based biofertilizers (Zaini et al. 2022). Experimental studies report enhanced germination rates and plant height in green pea, okra, and fenugreek when soils were supplemented with dried or decomposed BP fertilizers. For instance, decomposition in soil for two months produced optimal nutrient release and 75 cm plant height in </w:t>
      </w:r>
      <w:r w:rsidRPr="00C43DA9">
        <w:rPr>
          <w:rFonts w:ascii="Arial" w:hAnsi="Arial" w:cs="Arial"/>
          <w:i/>
          <w:iCs/>
          <w:sz w:val="22"/>
          <w:szCs w:val="22"/>
        </w:rPr>
        <w:t>Pisum sativum</w:t>
      </w:r>
      <w:r w:rsidRPr="00C43DA9">
        <w:rPr>
          <w:rFonts w:ascii="Arial" w:hAnsi="Arial" w:cs="Arial"/>
          <w:sz w:val="22"/>
          <w:szCs w:val="22"/>
        </w:rPr>
        <w:t xml:space="preserve"> (El </w:t>
      </w:r>
      <w:proofErr w:type="spellStart"/>
      <w:r w:rsidRPr="00C43DA9">
        <w:rPr>
          <w:rFonts w:ascii="Arial" w:hAnsi="Arial" w:cs="Arial"/>
          <w:sz w:val="22"/>
          <w:szCs w:val="22"/>
        </w:rPr>
        <w:t>Barnossi</w:t>
      </w:r>
      <w:proofErr w:type="spellEnd"/>
      <w:r w:rsidRPr="00C43DA9">
        <w:rPr>
          <w:rFonts w:ascii="Arial" w:hAnsi="Arial" w:cs="Arial"/>
          <w:sz w:val="22"/>
          <w:szCs w:val="22"/>
        </w:rPr>
        <w:t xml:space="preserve"> et al. 2022). Liquid extracts accelerated seedling emergence due to higher soluble K and Ca availability.</w:t>
      </w:r>
    </w:p>
    <w:p w14:paraId="31EFD9DA"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Recent advances emphasize integrating spectroscopic characterization (FTIR, NMR, X-ray) to monitor molecular changes and standardize nutrient profiles (Khanyile et al. 2024). Such tools enable consistent fertilizer quality and predict nutrient-release kinetics under diverse soils.</w:t>
      </w:r>
    </w:p>
    <w:p w14:paraId="598559BC" w14:textId="77777777" w:rsidR="00B82F55" w:rsidRPr="00C43DA9" w:rsidRDefault="00B82F55" w:rsidP="00B82F55">
      <w:pPr>
        <w:rPr>
          <w:rFonts w:ascii="Arial" w:hAnsi="Arial" w:cs="Arial"/>
          <w:sz w:val="22"/>
          <w:szCs w:val="22"/>
        </w:rPr>
      </w:pPr>
    </w:p>
    <w:p w14:paraId="6BD05D75" w14:textId="77777777" w:rsidR="00B82F55" w:rsidRPr="00C43DA9" w:rsidRDefault="00B82F55" w:rsidP="00B82F55">
      <w:pPr>
        <w:rPr>
          <w:rFonts w:ascii="Arial" w:hAnsi="Arial" w:cs="Arial"/>
          <w:b/>
          <w:bCs/>
          <w:sz w:val="22"/>
          <w:szCs w:val="22"/>
        </w:rPr>
      </w:pPr>
      <w:r w:rsidRPr="00C43DA9">
        <w:rPr>
          <w:rFonts w:ascii="Arial" w:hAnsi="Arial" w:cs="Arial"/>
          <w:b/>
          <w:bCs/>
          <w:sz w:val="22"/>
          <w:szCs w:val="22"/>
        </w:rPr>
        <w:t>4. Microbial Roles in Agricultural Residue Decomposition</w:t>
      </w:r>
    </w:p>
    <w:p w14:paraId="339E3B61"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 xml:space="preserve">Microbial consortia comprising bacteria, fungi, and actinomycetes play a pivotal role in transforming lignocellulosic residues into humus and bioavailable nutrients (Kannan and </w:t>
      </w:r>
      <w:proofErr w:type="spellStart"/>
      <w:r w:rsidRPr="00C43DA9">
        <w:rPr>
          <w:rFonts w:ascii="Arial" w:hAnsi="Arial" w:cs="Arial"/>
          <w:sz w:val="22"/>
          <w:szCs w:val="22"/>
        </w:rPr>
        <w:t>Kalapirran</w:t>
      </w:r>
      <w:proofErr w:type="spellEnd"/>
      <w:r w:rsidRPr="00C43DA9">
        <w:rPr>
          <w:rFonts w:ascii="Arial" w:hAnsi="Arial" w:cs="Arial"/>
          <w:sz w:val="22"/>
          <w:szCs w:val="22"/>
        </w:rPr>
        <w:t xml:space="preserve">, 2022). Cellulolytic and ligninolytic strains such as </w:t>
      </w:r>
      <w:r w:rsidRPr="00C43DA9">
        <w:rPr>
          <w:rFonts w:ascii="Arial" w:hAnsi="Arial" w:cs="Arial"/>
          <w:i/>
          <w:iCs/>
          <w:sz w:val="22"/>
          <w:szCs w:val="22"/>
        </w:rPr>
        <w:t xml:space="preserve">Trichoderma </w:t>
      </w:r>
      <w:proofErr w:type="spellStart"/>
      <w:r w:rsidRPr="00C43DA9">
        <w:rPr>
          <w:rFonts w:ascii="Arial" w:hAnsi="Arial" w:cs="Arial"/>
          <w:i/>
          <w:iCs/>
          <w:sz w:val="22"/>
          <w:szCs w:val="22"/>
        </w:rPr>
        <w:t>harzianum</w:t>
      </w:r>
      <w:proofErr w:type="spellEnd"/>
      <w:r w:rsidRPr="00C43DA9">
        <w:rPr>
          <w:rFonts w:ascii="Arial" w:hAnsi="Arial" w:cs="Arial"/>
          <w:sz w:val="22"/>
          <w:szCs w:val="22"/>
        </w:rPr>
        <w:t xml:space="preserve">, </w:t>
      </w:r>
      <w:r w:rsidRPr="00C43DA9">
        <w:rPr>
          <w:rFonts w:ascii="Arial" w:hAnsi="Arial" w:cs="Arial"/>
          <w:i/>
          <w:iCs/>
          <w:sz w:val="22"/>
          <w:szCs w:val="22"/>
        </w:rPr>
        <w:t>Bacillus subtilis</w:t>
      </w:r>
      <w:r w:rsidRPr="00C43DA9">
        <w:rPr>
          <w:rFonts w:ascii="Arial" w:hAnsi="Arial" w:cs="Arial"/>
          <w:sz w:val="22"/>
          <w:szCs w:val="22"/>
        </w:rPr>
        <w:t xml:space="preserve">, and </w:t>
      </w:r>
      <w:r w:rsidRPr="00C43DA9">
        <w:rPr>
          <w:rFonts w:ascii="Arial" w:hAnsi="Arial" w:cs="Arial"/>
          <w:i/>
          <w:iCs/>
          <w:sz w:val="22"/>
          <w:szCs w:val="22"/>
        </w:rPr>
        <w:t>Pseudomonas fluorescens</w:t>
      </w:r>
      <w:r w:rsidRPr="00C43DA9">
        <w:rPr>
          <w:rFonts w:ascii="Arial" w:hAnsi="Arial" w:cs="Arial"/>
          <w:sz w:val="22"/>
          <w:szCs w:val="22"/>
        </w:rPr>
        <w:t xml:space="preserve"> degrade cellulose, hemicellulose, and lignin fractions in banana peel and other crop residues.</w:t>
      </w:r>
    </w:p>
    <w:p w14:paraId="5858C50A"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 xml:space="preserve">Microbial inoculation hastens carbon mineralization, increases available nitrogen and phosphorus, and suppresses soilborne pathogens through antagonistic metabolites. Synergistic consortia using </w:t>
      </w:r>
      <w:r w:rsidRPr="00C43DA9">
        <w:rPr>
          <w:rFonts w:ascii="Arial" w:hAnsi="Arial" w:cs="Arial"/>
          <w:i/>
          <w:iCs/>
          <w:sz w:val="22"/>
          <w:szCs w:val="22"/>
        </w:rPr>
        <w:t>Rhizobium</w:t>
      </w:r>
      <w:r w:rsidRPr="00C43DA9">
        <w:rPr>
          <w:rFonts w:ascii="Arial" w:hAnsi="Arial" w:cs="Arial"/>
          <w:sz w:val="22"/>
          <w:szCs w:val="22"/>
        </w:rPr>
        <w:t xml:space="preserve">, </w:t>
      </w:r>
      <w:proofErr w:type="spellStart"/>
      <w:r w:rsidRPr="00C43DA9">
        <w:rPr>
          <w:rFonts w:ascii="Arial" w:hAnsi="Arial" w:cs="Arial"/>
          <w:i/>
          <w:iCs/>
          <w:sz w:val="22"/>
          <w:szCs w:val="22"/>
        </w:rPr>
        <w:t>Azospirillum</w:t>
      </w:r>
      <w:proofErr w:type="spellEnd"/>
      <w:r w:rsidRPr="00C43DA9">
        <w:rPr>
          <w:rFonts w:ascii="Arial" w:hAnsi="Arial" w:cs="Arial"/>
          <w:sz w:val="22"/>
          <w:szCs w:val="22"/>
        </w:rPr>
        <w:t>, and phosphate-solubilizing bacteria enhance root colonization and nutrient uptake. Studies demonstrate that integrating microbial biofertilizers with BP compost improves soil enzyme activities (dehydrogenase, urease) and boosts crop productivity by 20–30 % compared to untreated controls.</w:t>
      </w:r>
    </w:p>
    <w:p w14:paraId="608BF170"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Furthermore, microbial biotransformation reduces anti-nutritional factors such as oxalates and tannins (Zaini et al. 2022), enhancing the safety of peel-based amendments.</w:t>
      </w:r>
    </w:p>
    <w:p w14:paraId="73BA4999" w14:textId="77777777" w:rsidR="00B82F55" w:rsidRPr="00C43DA9" w:rsidRDefault="00B82F55" w:rsidP="00B82F55">
      <w:pPr>
        <w:rPr>
          <w:rFonts w:ascii="Arial" w:hAnsi="Arial" w:cs="Arial"/>
          <w:sz w:val="22"/>
          <w:szCs w:val="22"/>
        </w:rPr>
      </w:pPr>
    </w:p>
    <w:p w14:paraId="09F9678B" w14:textId="77777777" w:rsidR="00B82F55" w:rsidRPr="00C43DA9" w:rsidRDefault="00B82F55" w:rsidP="00B82F55">
      <w:pPr>
        <w:rPr>
          <w:rFonts w:ascii="Arial" w:hAnsi="Arial" w:cs="Arial"/>
          <w:b/>
          <w:bCs/>
          <w:sz w:val="22"/>
          <w:szCs w:val="22"/>
        </w:rPr>
      </w:pPr>
      <w:r w:rsidRPr="00C43DA9">
        <w:rPr>
          <w:rFonts w:ascii="Arial" w:hAnsi="Arial" w:cs="Arial"/>
          <w:b/>
          <w:bCs/>
          <w:sz w:val="22"/>
          <w:szCs w:val="22"/>
        </w:rPr>
        <w:t>6. Conclusion</w:t>
      </w:r>
    </w:p>
    <w:p w14:paraId="4006051B" w14:textId="77777777" w:rsidR="00B82F55" w:rsidRDefault="00B82F55" w:rsidP="00B82F55">
      <w:pPr>
        <w:jc w:val="both"/>
        <w:rPr>
          <w:rFonts w:ascii="Arial" w:hAnsi="Arial" w:cs="Arial"/>
          <w:sz w:val="22"/>
          <w:szCs w:val="22"/>
        </w:rPr>
      </w:pPr>
      <w:r w:rsidRPr="00C43DA9">
        <w:rPr>
          <w:rFonts w:ascii="Arial" w:hAnsi="Arial" w:cs="Arial"/>
          <w:sz w:val="22"/>
          <w:szCs w:val="22"/>
        </w:rPr>
        <w:t xml:space="preserve">Banana peel valorization epitomizes sustainable agriculture by transforming a ubiquitous waste into a potent nutrient source. Co-cultured with microbial consortia, it represents a viable pathway to close nutrient loops, enrich soil fertility, and reduce dependence on synthetic fertilizers. Bridging process optimization with microbial biotechnology can unlock the full potential of banana peels within circular bioeconomy frameworks. </w:t>
      </w:r>
    </w:p>
    <w:p w14:paraId="5AC32D05" w14:textId="77777777" w:rsidR="00A10BB1" w:rsidRDefault="00A10BB1" w:rsidP="00B82F55">
      <w:pPr>
        <w:jc w:val="both"/>
        <w:rPr>
          <w:rFonts w:ascii="Arial" w:hAnsi="Arial" w:cs="Arial"/>
          <w:sz w:val="22"/>
          <w:szCs w:val="22"/>
        </w:rPr>
      </w:pPr>
    </w:p>
    <w:p w14:paraId="16024F11" w14:textId="77777777" w:rsidR="00A10BB1" w:rsidRDefault="00A10BB1" w:rsidP="00B82F55">
      <w:pPr>
        <w:jc w:val="both"/>
        <w:rPr>
          <w:rFonts w:ascii="Arial" w:hAnsi="Arial" w:cs="Arial"/>
          <w:sz w:val="22"/>
          <w:szCs w:val="22"/>
        </w:rPr>
      </w:pPr>
    </w:p>
    <w:p w14:paraId="6135E38B" w14:textId="77777777" w:rsidR="00A10BB1" w:rsidRDefault="00A10BB1" w:rsidP="00B82F55">
      <w:pPr>
        <w:jc w:val="both"/>
        <w:rPr>
          <w:rFonts w:ascii="Arial" w:hAnsi="Arial" w:cs="Arial"/>
          <w:sz w:val="22"/>
          <w:szCs w:val="22"/>
        </w:rPr>
      </w:pPr>
    </w:p>
    <w:p w14:paraId="2F5CAAF9" w14:textId="77777777" w:rsidR="00A10BB1" w:rsidRPr="00C43DA9" w:rsidRDefault="00A10BB1" w:rsidP="00A10BB1">
      <w:pPr>
        <w:rPr>
          <w:rFonts w:ascii="Arial" w:hAnsi="Arial" w:cs="Arial"/>
          <w:b/>
          <w:bCs/>
          <w:sz w:val="22"/>
          <w:szCs w:val="22"/>
        </w:rPr>
      </w:pPr>
      <w:r w:rsidRPr="00C43DA9">
        <w:rPr>
          <w:rFonts w:ascii="Arial" w:hAnsi="Arial" w:cs="Arial"/>
          <w:b/>
          <w:bCs/>
          <w:sz w:val="22"/>
          <w:szCs w:val="22"/>
        </w:rPr>
        <w:t>5. Challenges and Future Perspectives</w:t>
      </w:r>
    </w:p>
    <w:p w14:paraId="1117DA3E" w14:textId="77777777" w:rsidR="00A10BB1" w:rsidRPr="00C43DA9" w:rsidRDefault="00A10BB1" w:rsidP="00A10BB1">
      <w:pPr>
        <w:jc w:val="both"/>
        <w:rPr>
          <w:rFonts w:ascii="Arial" w:hAnsi="Arial" w:cs="Arial"/>
          <w:sz w:val="22"/>
          <w:szCs w:val="22"/>
        </w:rPr>
      </w:pPr>
      <w:r w:rsidRPr="00C43DA9">
        <w:rPr>
          <w:rFonts w:ascii="Arial" w:hAnsi="Arial" w:cs="Arial"/>
          <w:sz w:val="22"/>
          <w:szCs w:val="22"/>
        </w:rPr>
        <w:t xml:space="preserve">Despite the promising results, the widespread use of biofertilizers derived from banana peels still encounters considerable challenges that need to be resolved prior to broad implementation. The primary limitation is the inconsistency in chemical composition, as variations in genotype, season, and ripeness affect the nutrient, phenolic, and bioactive compound profiles of banana peels (Zaini et al. 2022; Khanyile et al. 2024). This inconsistency complicates the production of standardized biofertilizer products. Moreover, optimizing processing is crucial, as the parameters of drying, fermentation, and decomposition significantly influence the rate of organic matter mineralization and nutrient release. Developing standardized processing protocols can guarantee consistent fertilizer quality and reliable field performance (Islam et al. 2019; Kannan and </w:t>
      </w:r>
      <w:proofErr w:type="spellStart"/>
      <w:r w:rsidRPr="00C43DA9">
        <w:rPr>
          <w:rFonts w:ascii="Arial" w:hAnsi="Arial" w:cs="Arial"/>
          <w:sz w:val="22"/>
          <w:szCs w:val="22"/>
        </w:rPr>
        <w:t>Kalapirran</w:t>
      </w:r>
      <w:proofErr w:type="spellEnd"/>
      <w:r w:rsidRPr="00C43DA9">
        <w:rPr>
          <w:rFonts w:ascii="Arial" w:hAnsi="Arial" w:cs="Arial"/>
          <w:sz w:val="22"/>
          <w:szCs w:val="22"/>
        </w:rPr>
        <w:t xml:space="preserve">, 2022). Regulatory and policy obstacles also delay the commercialization of these biofertilizers. Numerous developing areas still lack clear regulations for the registration of microbial inoculants, quality assurance, and organic certification (Khanna et al. 2019; </w:t>
      </w:r>
      <w:proofErr w:type="spellStart"/>
      <w:r w:rsidRPr="00C43DA9">
        <w:rPr>
          <w:rFonts w:ascii="Arial" w:hAnsi="Arial" w:cs="Arial"/>
          <w:sz w:val="22"/>
          <w:szCs w:val="22"/>
        </w:rPr>
        <w:t>Kitundu</w:t>
      </w:r>
      <w:proofErr w:type="spellEnd"/>
      <w:r w:rsidRPr="00C43DA9">
        <w:rPr>
          <w:rFonts w:ascii="Arial" w:hAnsi="Arial" w:cs="Arial"/>
          <w:sz w:val="22"/>
          <w:szCs w:val="22"/>
        </w:rPr>
        <w:t xml:space="preserve"> et al. 2025). Additionally, economic viability is a major issue, as most valorization technologies currently rely on energy-intensive pretreatments and centralized facilities. Implementing low-cost, decentralized bioprocessing systems and community-scale composting units could help to surmount these challenges and foster circular </w:t>
      </w:r>
      <w:proofErr w:type="spellStart"/>
      <w:r w:rsidRPr="00C43DA9">
        <w:rPr>
          <w:rFonts w:ascii="Arial" w:hAnsi="Arial" w:cs="Arial"/>
          <w:sz w:val="22"/>
          <w:szCs w:val="22"/>
        </w:rPr>
        <w:t>bioeconomy</w:t>
      </w:r>
      <w:proofErr w:type="spellEnd"/>
      <w:r w:rsidRPr="00C43DA9">
        <w:rPr>
          <w:rFonts w:ascii="Arial" w:hAnsi="Arial" w:cs="Arial"/>
          <w:sz w:val="22"/>
          <w:szCs w:val="22"/>
        </w:rPr>
        <w:t xml:space="preserve"> practices (</w:t>
      </w:r>
      <w:proofErr w:type="spellStart"/>
      <w:r w:rsidRPr="00C43DA9">
        <w:rPr>
          <w:rFonts w:ascii="Arial" w:hAnsi="Arial" w:cs="Arial"/>
          <w:sz w:val="22"/>
          <w:szCs w:val="22"/>
        </w:rPr>
        <w:t>Rinni</w:t>
      </w:r>
      <w:proofErr w:type="spellEnd"/>
      <w:r w:rsidRPr="00C43DA9">
        <w:rPr>
          <w:rFonts w:ascii="Arial" w:hAnsi="Arial" w:cs="Arial"/>
          <w:sz w:val="22"/>
          <w:szCs w:val="22"/>
        </w:rPr>
        <w:t xml:space="preserve"> &amp; Diana Putri, 2023). Future research should focus on </w:t>
      </w:r>
      <w:r w:rsidRPr="00C43DA9">
        <w:rPr>
          <w:rFonts w:ascii="Arial" w:hAnsi="Arial" w:cs="Arial"/>
          <w:sz w:val="22"/>
          <w:szCs w:val="22"/>
        </w:rPr>
        <w:lastRenderedPageBreak/>
        <w:t xml:space="preserve">creating integrated biorefineries that can transform banana peels and various agricultural residues into multiple value-added products, including biofertilizers, </w:t>
      </w:r>
      <w:proofErr w:type="spellStart"/>
      <w:r w:rsidRPr="00C43DA9">
        <w:rPr>
          <w:rFonts w:ascii="Arial" w:hAnsi="Arial" w:cs="Arial"/>
          <w:sz w:val="22"/>
          <w:szCs w:val="22"/>
        </w:rPr>
        <w:t>biostimulants</w:t>
      </w:r>
      <w:proofErr w:type="spellEnd"/>
      <w:r w:rsidRPr="00C43DA9">
        <w:rPr>
          <w:rFonts w:ascii="Arial" w:hAnsi="Arial" w:cs="Arial"/>
          <w:sz w:val="22"/>
          <w:szCs w:val="22"/>
        </w:rPr>
        <w:t>, and bioenergy. Advanced omics-based technologies, such as metagenomics and metabolomics, can elucidate the complex interactions between microbial communities and intricate substrates, facilitating the design of targeted microbial formulations for effective residue conversion (Singh &amp; Mehta, 2025).</w:t>
      </w:r>
    </w:p>
    <w:p w14:paraId="73B2AA66" w14:textId="77777777" w:rsidR="00A10BB1" w:rsidRPr="00C43DA9" w:rsidRDefault="00A10BB1" w:rsidP="00B82F55">
      <w:pPr>
        <w:jc w:val="both"/>
        <w:rPr>
          <w:rFonts w:ascii="Arial" w:hAnsi="Arial" w:cs="Arial"/>
          <w:sz w:val="22"/>
          <w:szCs w:val="22"/>
        </w:rPr>
      </w:pPr>
    </w:p>
    <w:p w14:paraId="41FEACD5" w14:textId="77777777" w:rsidR="00B82F55" w:rsidRPr="00C43DA9" w:rsidRDefault="00B82F55" w:rsidP="00B82F55">
      <w:pPr>
        <w:jc w:val="both"/>
        <w:rPr>
          <w:rFonts w:ascii="Arial" w:hAnsi="Arial" w:cs="Arial"/>
          <w:b/>
          <w:bCs/>
          <w:sz w:val="22"/>
          <w:szCs w:val="22"/>
        </w:rPr>
      </w:pPr>
    </w:p>
    <w:p w14:paraId="42CCB7F1" w14:textId="77777777" w:rsidR="00B82F55" w:rsidRPr="00C43DA9" w:rsidRDefault="00B82F55" w:rsidP="00B82F55">
      <w:pPr>
        <w:jc w:val="both"/>
        <w:rPr>
          <w:rFonts w:ascii="Arial" w:hAnsi="Arial" w:cs="Arial"/>
          <w:sz w:val="22"/>
          <w:szCs w:val="22"/>
        </w:rPr>
      </w:pPr>
      <w:r w:rsidRPr="00C43DA9">
        <w:rPr>
          <w:rFonts w:ascii="Arial" w:hAnsi="Arial" w:cs="Arial"/>
          <w:b/>
          <w:bCs/>
          <w:sz w:val="22"/>
          <w:szCs w:val="22"/>
        </w:rPr>
        <w:t>Data availability</w:t>
      </w:r>
      <w:r w:rsidRPr="00C43DA9">
        <w:rPr>
          <w:rFonts w:ascii="Arial" w:hAnsi="Arial" w:cs="Arial"/>
          <w:sz w:val="22"/>
          <w:szCs w:val="22"/>
        </w:rPr>
        <w:t xml:space="preserve"> </w:t>
      </w:r>
    </w:p>
    <w:p w14:paraId="42B96A39" w14:textId="77777777" w:rsidR="00B82F55" w:rsidRPr="00C43DA9" w:rsidRDefault="00B82F55" w:rsidP="00B82F55">
      <w:pPr>
        <w:jc w:val="both"/>
        <w:rPr>
          <w:rFonts w:ascii="Arial" w:hAnsi="Arial" w:cs="Arial"/>
          <w:sz w:val="22"/>
          <w:szCs w:val="22"/>
        </w:rPr>
      </w:pPr>
      <w:r w:rsidRPr="00C43DA9">
        <w:rPr>
          <w:rFonts w:ascii="Arial" w:hAnsi="Arial" w:cs="Arial"/>
          <w:sz w:val="22"/>
          <w:szCs w:val="22"/>
        </w:rPr>
        <w:t xml:space="preserve">All the data </w:t>
      </w:r>
      <w:proofErr w:type="spellStart"/>
      <w:r w:rsidRPr="00C43DA9">
        <w:rPr>
          <w:rFonts w:ascii="Arial" w:hAnsi="Arial" w:cs="Arial"/>
          <w:sz w:val="22"/>
          <w:szCs w:val="22"/>
        </w:rPr>
        <w:t>analysed</w:t>
      </w:r>
      <w:proofErr w:type="spellEnd"/>
      <w:r w:rsidRPr="00C43DA9">
        <w:rPr>
          <w:rFonts w:ascii="Arial" w:hAnsi="Arial" w:cs="Arial"/>
          <w:sz w:val="22"/>
          <w:szCs w:val="22"/>
        </w:rPr>
        <w:t xml:space="preserve"> during the study are included in this article. </w:t>
      </w:r>
    </w:p>
    <w:p w14:paraId="5E2CE618" w14:textId="77777777" w:rsidR="00B82F55" w:rsidRPr="00C43DA9" w:rsidRDefault="00B82F55" w:rsidP="00B82F55">
      <w:pPr>
        <w:jc w:val="both"/>
        <w:rPr>
          <w:rFonts w:ascii="Arial" w:hAnsi="Arial" w:cs="Arial"/>
          <w:sz w:val="22"/>
          <w:szCs w:val="22"/>
        </w:rPr>
      </w:pPr>
      <w:r w:rsidRPr="00C43DA9">
        <w:rPr>
          <w:rFonts w:ascii="Arial" w:hAnsi="Arial" w:cs="Arial"/>
          <w:b/>
          <w:bCs/>
          <w:sz w:val="22"/>
          <w:szCs w:val="22"/>
        </w:rPr>
        <w:t>Declarations Conflict of interest</w:t>
      </w:r>
      <w:r w:rsidRPr="00C43DA9">
        <w:rPr>
          <w:rFonts w:ascii="Arial" w:hAnsi="Arial" w:cs="Arial"/>
          <w:sz w:val="22"/>
          <w:szCs w:val="22"/>
        </w:rPr>
        <w:t xml:space="preserve"> </w:t>
      </w:r>
    </w:p>
    <w:p w14:paraId="7B841B4E" w14:textId="77777777" w:rsidR="00B82F55" w:rsidRDefault="00B82F55" w:rsidP="00B82F55">
      <w:pPr>
        <w:jc w:val="both"/>
        <w:rPr>
          <w:rFonts w:ascii="Arial" w:hAnsi="Arial" w:cs="Arial"/>
          <w:sz w:val="22"/>
          <w:szCs w:val="22"/>
        </w:rPr>
      </w:pPr>
      <w:r w:rsidRPr="00C43DA9">
        <w:rPr>
          <w:rFonts w:ascii="Arial" w:hAnsi="Arial" w:cs="Arial"/>
          <w:sz w:val="22"/>
          <w:szCs w:val="22"/>
        </w:rPr>
        <w:t>The authors declare that they have no competing interest. Consent for publication All co-authors consent to the present version of the manuscript for submission for publication.</w:t>
      </w:r>
    </w:p>
    <w:p w14:paraId="4D3E73A5" w14:textId="77777777" w:rsidR="003D5B2E" w:rsidRDefault="003D5B2E" w:rsidP="00B82F55">
      <w:pPr>
        <w:jc w:val="both"/>
        <w:rPr>
          <w:rFonts w:ascii="Arial" w:hAnsi="Arial" w:cs="Arial"/>
          <w:sz w:val="22"/>
          <w:szCs w:val="22"/>
        </w:rPr>
      </w:pPr>
    </w:p>
    <w:p w14:paraId="00312243" w14:textId="77777777" w:rsidR="003D5B2E" w:rsidRPr="00C43DA9" w:rsidRDefault="003D5B2E" w:rsidP="00B82F55">
      <w:pPr>
        <w:jc w:val="both"/>
        <w:rPr>
          <w:rFonts w:ascii="Arial" w:hAnsi="Arial" w:cs="Arial"/>
          <w:sz w:val="22"/>
          <w:szCs w:val="22"/>
        </w:rPr>
      </w:pPr>
    </w:p>
    <w:p w14:paraId="42C53B31" w14:textId="77777777" w:rsidR="00B82F55" w:rsidRPr="00C43DA9" w:rsidRDefault="00B82F55" w:rsidP="00B82F55">
      <w:pPr>
        <w:rPr>
          <w:rFonts w:ascii="Arial" w:hAnsi="Arial" w:cs="Arial"/>
          <w:sz w:val="22"/>
          <w:szCs w:val="22"/>
        </w:rPr>
      </w:pPr>
      <w:r w:rsidRPr="00C43DA9">
        <w:rPr>
          <w:rFonts w:ascii="Arial" w:hAnsi="Arial" w:cs="Arial"/>
          <w:b/>
          <w:bCs/>
          <w:sz w:val="22"/>
          <w:szCs w:val="22"/>
        </w:rPr>
        <w:t>Table 1. Nutritional and mineral composition of banana peel</w:t>
      </w:r>
    </w:p>
    <w:tbl>
      <w:tblPr>
        <w:tblStyle w:val="TableGrid"/>
        <w:tblW w:w="0" w:type="auto"/>
        <w:jc w:val="center"/>
        <w:tblLook w:val="04A0" w:firstRow="1" w:lastRow="0" w:firstColumn="1" w:lastColumn="0" w:noHBand="0" w:noVBand="1"/>
      </w:tblPr>
      <w:tblGrid>
        <w:gridCol w:w="1794"/>
        <w:gridCol w:w="2563"/>
        <w:gridCol w:w="2149"/>
      </w:tblGrid>
      <w:tr w:rsidR="00B82F55" w:rsidRPr="00C43DA9" w14:paraId="650714B8" w14:textId="77777777" w:rsidTr="0032526C">
        <w:trPr>
          <w:jc w:val="center"/>
        </w:trPr>
        <w:tc>
          <w:tcPr>
            <w:tcW w:w="0" w:type="auto"/>
            <w:hideMark/>
          </w:tcPr>
          <w:p w14:paraId="237CAEA7"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Component</w:t>
            </w:r>
          </w:p>
        </w:tc>
        <w:tc>
          <w:tcPr>
            <w:tcW w:w="0" w:type="auto"/>
            <w:hideMark/>
          </w:tcPr>
          <w:p w14:paraId="01450D12"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Range / Concentration</w:t>
            </w:r>
          </w:p>
        </w:tc>
        <w:tc>
          <w:tcPr>
            <w:tcW w:w="0" w:type="auto"/>
            <w:hideMark/>
          </w:tcPr>
          <w:p w14:paraId="51131B31"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Reference</w:t>
            </w:r>
          </w:p>
        </w:tc>
      </w:tr>
      <w:tr w:rsidR="00B82F55" w:rsidRPr="00C43DA9" w14:paraId="4C58E83B" w14:textId="77777777" w:rsidTr="0032526C">
        <w:trPr>
          <w:jc w:val="center"/>
        </w:trPr>
        <w:tc>
          <w:tcPr>
            <w:tcW w:w="0" w:type="auto"/>
            <w:hideMark/>
          </w:tcPr>
          <w:p w14:paraId="5BB2CE0E" w14:textId="77777777" w:rsidR="00B82F55" w:rsidRPr="00C43DA9" w:rsidRDefault="00B82F55" w:rsidP="0032526C">
            <w:pPr>
              <w:spacing w:after="160" w:line="259" w:lineRule="auto"/>
              <w:rPr>
                <w:rFonts w:ascii="Arial" w:hAnsi="Arial" w:cs="Arial"/>
              </w:rPr>
            </w:pPr>
            <w:r w:rsidRPr="00C43DA9">
              <w:rPr>
                <w:rFonts w:ascii="Arial" w:hAnsi="Arial" w:cs="Arial"/>
              </w:rPr>
              <w:t>Carbohydrates</w:t>
            </w:r>
          </w:p>
        </w:tc>
        <w:tc>
          <w:tcPr>
            <w:tcW w:w="0" w:type="auto"/>
            <w:hideMark/>
          </w:tcPr>
          <w:p w14:paraId="7597C88C" w14:textId="77777777" w:rsidR="00B82F55" w:rsidRPr="00C43DA9" w:rsidRDefault="00B82F55" w:rsidP="0032526C">
            <w:pPr>
              <w:spacing w:after="160" w:line="259" w:lineRule="auto"/>
              <w:rPr>
                <w:rFonts w:ascii="Arial" w:hAnsi="Arial" w:cs="Arial"/>
              </w:rPr>
            </w:pPr>
            <w:r w:rsidRPr="00C43DA9">
              <w:rPr>
                <w:rFonts w:ascii="Arial" w:hAnsi="Arial" w:cs="Arial"/>
              </w:rPr>
              <w:t>59–67 %</w:t>
            </w:r>
          </w:p>
        </w:tc>
        <w:tc>
          <w:tcPr>
            <w:tcW w:w="0" w:type="auto"/>
            <w:vMerge w:val="restart"/>
            <w:hideMark/>
          </w:tcPr>
          <w:p w14:paraId="5AF59E6A" w14:textId="77777777" w:rsidR="00B82F55" w:rsidRPr="00C43DA9" w:rsidRDefault="00B82F55" w:rsidP="0032526C">
            <w:pPr>
              <w:spacing w:after="160" w:line="259" w:lineRule="auto"/>
              <w:rPr>
                <w:rFonts w:ascii="Arial" w:hAnsi="Arial" w:cs="Arial"/>
              </w:rPr>
            </w:pPr>
          </w:p>
          <w:p w14:paraId="1BCB3694" w14:textId="77777777" w:rsidR="00B82F55" w:rsidRPr="00C43DA9" w:rsidRDefault="00B82F55" w:rsidP="0032526C">
            <w:pPr>
              <w:rPr>
                <w:rFonts w:ascii="Arial" w:hAnsi="Arial" w:cs="Arial"/>
                <w:lang w:val="pl-PL"/>
              </w:rPr>
            </w:pPr>
          </w:p>
          <w:p w14:paraId="5DF99F16" w14:textId="77777777" w:rsidR="00B82F55" w:rsidRPr="00C43DA9" w:rsidRDefault="00B82F55" w:rsidP="0032526C">
            <w:pPr>
              <w:rPr>
                <w:rFonts w:ascii="Arial" w:hAnsi="Arial" w:cs="Arial"/>
                <w:lang w:val="pl-PL"/>
              </w:rPr>
            </w:pPr>
            <w:r w:rsidRPr="00C43DA9">
              <w:rPr>
                <w:rFonts w:ascii="Arial" w:hAnsi="Arial" w:cs="Arial"/>
                <w:lang w:val="pl-PL"/>
              </w:rPr>
              <w:t>Zaini et al. 2022</w:t>
            </w:r>
          </w:p>
        </w:tc>
      </w:tr>
      <w:tr w:rsidR="00B82F55" w:rsidRPr="00C43DA9" w14:paraId="02B15CA5" w14:textId="77777777" w:rsidTr="0032526C">
        <w:trPr>
          <w:jc w:val="center"/>
        </w:trPr>
        <w:tc>
          <w:tcPr>
            <w:tcW w:w="0" w:type="auto"/>
            <w:hideMark/>
          </w:tcPr>
          <w:p w14:paraId="09D20617" w14:textId="77777777" w:rsidR="00B82F55" w:rsidRPr="00C43DA9" w:rsidRDefault="00B82F55" w:rsidP="0032526C">
            <w:pPr>
              <w:spacing w:after="160" w:line="259" w:lineRule="auto"/>
              <w:rPr>
                <w:rFonts w:ascii="Arial" w:hAnsi="Arial" w:cs="Arial"/>
              </w:rPr>
            </w:pPr>
            <w:r w:rsidRPr="00C43DA9">
              <w:rPr>
                <w:rFonts w:ascii="Arial" w:hAnsi="Arial" w:cs="Arial"/>
              </w:rPr>
              <w:t xml:space="preserve">Dietary </w:t>
            </w:r>
            <w:proofErr w:type="spellStart"/>
            <w:r w:rsidRPr="00C43DA9">
              <w:rPr>
                <w:rFonts w:ascii="Arial" w:hAnsi="Arial" w:cs="Arial"/>
              </w:rPr>
              <w:t>fibre</w:t>
            </w:r>
            <w:proofErr w:type="spellEnd"/>
          </w:p>
        </w:tc>
        <w:tc>
          <w:tcPr>
            <w:tcW w:w="0" w:type="auto"/>
            <w:hideMark/>
          </w:tcPr>
          <w:p w14:paraId="59404DFC" w14:textId="77777777" w:rsidR="00B82F55" w:rsidRPr="00C43DA9" w:rsidRDefault="00B82F55" w:rsidP="0032526C">
            <w:pPr>
              <w:spacing w:after="160" w:line="259" w:lineRule="auto"/>
              <w:rPr>
                <w:rFonts w:ascii="Arial" w:hAnsi="Arial" w:cs="Arial"/>
              </w:rPr>
            </w:pPr>
            <w:r w:rsidRPr="00C43DA9">
              <w:rPr>
                <w:rFonts w:ascii="Arial" w:hAnsi="Arial" w:cs="Arial"/>
              </w:rPr>
              <w:t>47–53 %</w:t>
            </w:r>
          </w:p>
        </w:tc>
        <w:tc>
          <w:tcPr>
            <w:tcW w:w="0" w:type="auto"/>
            <w:vMerge/>
            <w:hideMark/>
          </w:tcPr>
          <w:p w14:paraId="12FCAE24" w14:textId="77777777" w:rsidR="00B82F55" w:rsidRPr="00C43DA9" w:rsidRDefault="00B82F55" w:rsidP="0032526C">
            <w:pPr>
              <w:rPr>
                <w:rFonts w:ascii="Arial" w:hAnsi="Arial" w:cs="Arial"/>
              </w:rPr>
            </w:pPr>
          </w:p>
        </w:tc>
      </w:tr>
      <w:tr w:rsidR="00B82F55" w:rsidRPr="00C43DA9" w14:paraId="7401344B" w14:textId="77777777" w:rsidTr="0032526C">
        <w:trPr>
          <w:jc w:val="center"/>
        </w:trPr>
        <w:tc>
          <w:tcPr>
            <w:tcW w:w="0" w:type="auto"/>
            <w:hideMark/>
          </w:tcPr>
          <w:p w14:paraId="693BD6F1" w14:textId="77777777" w:rsidR="00B82F55" w:rsidRPr="00C43DA9" w:rsidRDefault="00B82F55" w:rsidP="0032526C">
            <w:pPr>
              <w:spacing w:after="160" w:line="259" w:lineRule="auto"/>
              <w:rPr>
                <w:rFonts w:ascii="Arial" w:hAnsi="Arial" w:cs="Arial"/>
              </w:rPr>
            </w:pPr>
            <w:r w:rsidRPr="00C43DA9">
              <w:rPr>
                <w:rFonts w:ascii="Arial" w:hAnsi="Arial" w:cs="Arial"/>
              </w:rPr>
              <w:t>Protein</w:t>
            </w:r>
          </w:p>
        </w:tc>
        <w:tc>
          <w:tcPr>
            <w:tcW w:w="0" w:type="auto"/>
            <w:hideMark/>
          </w:tcPr>
          <w:p w14:paraId="37B1D3D0" w14:textId="77777777" w:rsidR="00B82F55" w:rsidRPr="00C43DA9" w:rsidRDefault="00B82F55" w:rsidP="0032526C">
            <w:pPr>
              <w:spacing w:after="160" w:line="259" w:lineRule="auto"/>
              <w:rPr>
                <w:rFonts w:ascii="Arial" w:hAnsi="Arial" w:cs="Arial"/>
              </w:rPr>
            </w:pPr>
            <w:r w:rsidRPr="00C43DA9">
              <w:rPr>
                <w:rFonts w:ascii="Arial" w:hAnsi="Arial" w:cs="Arial"/>
              </w:rPr>
              <w:t>0.9–7.8 %</w:t>
            </w:r>
          </w:p>
        </w:tc>
        <w:tc>
          <w:tcPr>
            <w:tcW w:w="0" w:type="auto"/>
            <w:vMerge/>
            <w:hideMark/>
          </w:tcPr>
          <w:p w14:paraId="3C17B17F" w14:textId="77777777" w:rsidR="00B82F55" w:rsidRPr="00C43DA9" w:rsidRDefault="00B82F55" w:rsidP="0032526C">
            <w:pPr>
              <w:rPr>
                <w:rFonts w:ascii="Arial" w:hAnsi="Arial" w:cs="Arial"/>
              </w:rPr>
            </w:pPr>
          </w:p>
        </w:tc>
      </w:tr>
      <w:tr w:rsidR="00B82F55" w:rsidRPr="00C43DA9" w14:paraId="605743C2" w14:textId="77777777" w:rsidTr="0032526C">
        <w:trPr>
          <w:jc w:val="center"/>
        </w:trPr>
        <w:tc>
          <w:tcPr>
            <w:tcW w:w="0" w:type="auto"/>
            <w:hideMark/>
          </w:tcPr>
          <w:p w14:paraId="6D40154F" w14:textId="77777777" w:rsidR="00B82F55" w:rsidRPr="00C43DA9" w:rsidRDefault="00B82F55" w:rsidP="0032526C">
            <w:pPr>
              <w:spacing w:after="160" w:line="259" w:lineRule="auto"/>
              <w:rPr>
                <w:rFonts w:ascii="Arial" w:hAnsi="Arial" w:cs="Arial"/>
              </w:rPr>
            </w:pPr>
            <w:r w:rsidRPr="00C43DA9">
              <w:rPr>
                <w:rFonts w:ascii="Arial" w:hAnsi="Arial" w:cs="Arial"/>
              </w:rPr>
              <w:t>Lipids</w:t>
            </w:r>
          </w:p>
        </w:tc>
        <w:tc>
          <w:tcPr>
            <w:tcW w:w="0" w:type="auto"/>
            <w:hideMark/>
          </w:tcPr>
          <w:p w14:paraId="4E7E5F79" w14:textId="77777777" w:rsidR="00B82F55" w:rsidRPr="00C43DA9" w:rsidRDefault="00B82F55" w:rsidP="0032526C">
            <w:pPr>
              <w:spacing w:after="160" w:line="259" w:lineRule="auto"/>
              <w:rPr>
                <w:rFonts w:ascii="Arial" w:hAnsi="Arial" w:cs="Arial"/>
              </w:rPr>
            </w:pPr>
            <w:r w:rsidRPr="00C43DA9">
              <w:rPr>
                <w:rFonts w:ascii="Arial" w:hAnsi="Arial" w:cs="Arial"/>
              </w:rPr>
              <w:t>1.2–11.6 %</w:t>
            </w:r>
          </w:p>
        </w:tc>
        <w:tc>
          <w:tcPr>
            <w:tcW w:w="0" w:type="auto"/>
            <w:vMerge/>
            <w:hideMark/>
          </w:tcPr>
          <w:p w14:paraId="612194D3" w14:textId="77777777" w:rsidR="00B82F55" w:rsidRPr="00C43DA9" w:rsidRDefault="00B82F55" w:rsidP="0032526C">
            <w:pPr>
              <w:rPr>
                <w:rFonts w:ascii="Arial" w:hAnsi="Arial" w:cs="Arial"/>
              </w:rPr>
            </w:pPr>
          </w:p>
        </w:tc>
      </w:tr>
      <w:tr w:rsidR="00B82F55" w:rsidRPr="00C43DA9" w14:paraId="0294FE5D" w14:textId="77777777" w:rsidTr="0032526C">
        <w:trPr>
          <w:jc w:val="center"/>
        </w:trPr>
        <w:tc>
          <w:tcPr>
            <w:tcW w:w="0" w:type="auto"/>
          </w:tcPr>
          <w:p w14:paraId="0ECF52E7" w14:textId="77777777" w:rsidR="00B82F55" w:rsidRPr="00C43DA9" w:rsidRDefault="00B82F55" w:rsidP="0032526C">
            <w:pPr>
              <w:rPr>
                <w:rFonts w:ascii="Arial" w:hAnsi="Arial" w:cs="Arial"/>
              </w:rPr>
            </w:pPr>
            <w:r w:rsidRPr="00C43DA9">
              <w:rPr>
                <w:rFonts w:ascii="Arial" w:hAnsi="Arial" w:cs="Arial"/>
              </w:rPr>
              <w:t>Phenolics (total)</w:t>
            </w:r>
          </w:p>
        </w:tc>
        <w:tc>
          <w:tcPr>
            <w:tcW w:w="0" w:type="auto"/>
          </w:tcPr>
          <w:p w14:paraId="42AC3133" w14:textId="77777777" w:rsidR="00B82F55" w:rsidRPr="00C43DA9" w:rsidRDefault="00B82F55" w:rsidP="0032526C">
            <w:pPr>
              <w:rPr>
                <w:rFonts w:ascii="Arial" w:hAnsi="Arial" w:cs="Arial"/>
              </w:rPr>
            </w:pPr>
            <w:r w:rsidRPr="00C43DA9">
              <w:rPr>
                <w:rFonts w:ascii="Arial" w:hAnsi="Arial" w:cs="Arial"/>
              </w:rPr>
              <w:t xml:space="preserve">47 mg /g </w:t>
            </w:r>
          </w:p>
        </w:tc>
        <w:tc>
          <w:tcPr>
            <w:tcW w:w="0" w:type="auto"/>
            <w:vMerge/>
          </w:tcPr>
          <w:p w14:paraId="62E83DBA" w14:textId="77777777" w:rsidR="00B82F55" w:rsidRPr="00C43DA9" w:rsidRDefault="00B82F55" w:rsidP="0032526C">
            <w:pPr>
              <w:rPr>
                <w:rFonts w:ascii="Arial" w:hAnsi="Arial" w:cs="Arial"/>
              </w:rPr>
            </w:pPr>
          </w:p>
        </w:tc>
      </w:tr>
      <w:tr w:rsidR="00B82F55" w:rsidRPr="00C43DA9" w14:paraId="5F4524BF" w14:textId="77777777" w:rsidTr="0032526C">
        <w:trPr>
          <w:jc w:val="center"/>
        </w:trPr>
        <w:tc>
          <w:tcPr>
            <w:tcW w:w="0" w:type="auto"/>
            <w:hideMark/>
          </w:tcPr>
          <w:p w14:paraId="28EED794" w14:textId="77777777" w:rsidR="00B82F55" w:rsidRPr="00C43DA9" w:rsidRDefault="00B82F55" w:rsidP="0032526C">
            <w:pPr>
              <w:spacing w:after="160" w:line="259" w:lineRule="auto"/>
              <w:rPr>
                <w:rFonts w:ascii="Arial" w:hAnsi="Arial" w:cs="Arial"/>
              </w:rPr>
            </w:pPr>
            <w:r w:rsidRPr="00C43DA9">
              <w:rPr>
                <w:rFonts w:ascii="Arial" w:hAnsi="Arial" w:cs="Arial"/>
              </w:rPr>
              <w:t>Potassium</w:t>
            </w:r>
          </w:p>
        </w:tc>
        <w:tc>
          <w:tcPr>
            <w:tcW w:w="0" w:type="auto"/>
            <w:hideMark/>
          </w:tcPr>
          <w:p w14:paraId="6DD11F88" w14:textId="77777777" w:rsidR="00B82F55" w:rsidRPr="00C43DA9" w:rsidRDefault="00B82F55" w:rsidP="0032526C">
            <w:pPr>
              <w:spacing w:after="160" w:line="259" w:lineRule="auto"/>
              <w:rPr>
                <w:rFonts w:ascii="Arial" w:hAnsi="Arial" w:cs="Arial"/>
              </w:rPr>
            </w:pPr>
            <w:r w:rsidRPr="00C43DA9">
              <w:rPr>
                <w:rFonts w:ascii="Arial" w:hAnsi="Arial" w:cs="Arial"/>
              </w:rPr>
              <w:t>475.6 mg/100 g</w:t>
            </w:r>
          </w:p>
        </w:tc>
        <w:tc>
          <w:tcPr>
            <w:tcW w:w="0" w:type="auto"/>
            <w:vMerge w:val="restart"/>
            <w:hideMark/>
          </w:tcPr>
          <w:p w14:paraId="0AB3A24A" w14:textId="77777777" w:rsidR="00B82F55" w:rsidRPr="00C43DA9" w:rsidRDefault="00B82F55" w:rsidP="0032526C">
            <w:pPr>
              <w:spacing w:after="160" w:line="259" w:lineRule="auto"/>
              <w:rPr>
                <w:rFonts w:ascii="Arial" w:hAnsi="Arial" w:cs="Arial"/>
              </w:rPr>
            </w:pPr>
          </w:p>
          <w:p w14:paraId="2865AA5B" w14:textId="77777777" w:rsidR="00B82F55" w:rsidRPr="00C43DA9" w:rsidRDefault="00B82F55" w:rsidP="0032526C">
            <w:pPr>
              <w:spacing w:after="160" w:line="259" w:lineRule="auto"/>
              <w:rPr>
                <w:rFonts w:ascii="Arial" w:hAnsi="Arial" w:cs="Arial"/>
              </w:rPr>
            </w:pPr>
            <w:r w:rsidRPr="00C43DA9">
              <w:rPr>
                <w:rFonts w:ascii="Arial" w:hAnsi="Arial" w:cs="Arial"/>
              </w:rPr>
              <w:t>Khanyile et al. 2024</w:t>
            </w:r>
          </w:p>
        </w:tc>
      </w:tr>
      <w:tr w:rsidR="00B82F55" w:rsidRPr="00C43DA9" w14:paraId="1AA596B2" w14:textId="77777777" w:rsidTr="0032526C">
        <w:trPr>
          <w:jc w:val="center"/>
        </w:trPr>
        <w:tc>
          <w:tcPr>
            <w:tcW w:w="0" w:type="auto"/>
            <w:hideMark/>
          </w:tcPr>
          <w:p w14:paraId="7A9F9C5C" w14:textId="77777777" w:rsidR="00B82F55" w:rsidRPr="00C43DA9" w:rsidRDefault="00B82F55" w:rsidP="0032526C">
            <w:pPr>
              <w:spacing w:after="160" w:line="259" w:lineRule="auto"/>
              <w:rPr>
                <w:rFonts w:ascii="Arial" w:hAnsi="Arial" w:cs="Arial"/>
              </w:rPr>
            </w:pPr>
            <w:r w:rsidRPr="00C43DA9">
              <w:rPr>
                <w:rFonts w:ascii="Arial" w:hAnsi="Arial" w:cs="Arial"/>
              </w:rPr>
              <w:t>Calcium</w:t>
            </w:r>
          </w:p>
        </w:tc>
        <w:tc>
          <w:tcPr>
            <w:tcW w:w="0" w:type="auto"/>
            <w:hideMark/>
          </w:tcPr>
          <w:p w14:paraId="583E619E" w14:textId="77777777" w:rsidR="00B82F55" w:rsidRPr="00C43DA9" w:rsidRDefault="00B82F55" w:rsidP="0032526C">
            <w:pPr>
              <w:spacing w:after="160" w:line="259" w:lineRule="auto"/>
              <w:rPr>
                <w:rFonts w:ascii="Arial" w:hAnsi="Arial" w:cs="Arial"/>
              </w:rPr>
            </w:pPr>
            <w:r w:rsidRPr="00C43DA9">
              <w:rPr>
                <w:rFonts w:ascii="Arial" w:hAnsi="Arial" w:cs="Arial"/>
              </w:rPr>
              <w:t>323 mg/100 g</w:t>
            </w:r>
          </w:p>
        </w:tc>
        <w:tc>
          <w:tcPr>
            <w:tcW w:w="0" w:type="auto"/>
            <w:vMerge/>
            <w:hideMark/>
          </w:tcPr>
          <w:p w14:paraId="6C33CF53" w14:textId="77777777" w:rsidR="00B82F55" w:rsidRPr="00C43DA9" w:rsidRDefault="00B82F55" w:rsidP="0032526C">
            <w:pPr>
              <w:spacing w:after="160" w:line="259" w:lineRule="auto"/>
              <w:rPr>
                <w:rFonts w:ascii="Arial" w:hAnsi="Arial" w:cs="Arial"/>
              </w:rPr>
            </w:pPr>
          </w:p>
        </w:tc>
      </w:tr>
      <w:tr w:rsidR="00B82F55" w:rsidRPr="00C43DA9" w14:paraId="4D92BC09" w14:textId="77777777" w:rsidTr="0032526C">
        <w:trPr>
          <w:jc w:val="center"/>
        </w:trPr>
        <w:tc>
          <w:tcPr>
            <w:tcW w:w="0" w:type="auto"/>
            <w:hideMark/>
          </w:tcPr>
          <w:p w14:paraId="5D92E1BC" w14:textId="77777777" w:rsidR="00B82F55" w:rsidRPr="00C43DA9" w:rsidRDefault="00B82F55" w:rsidP="0032526C">
            <w:pPr>
              <w:spacing w:after="160" w:line="259" w:lineRule="auto"/>
              <w:rPr>
                <w:rFonts w:ascii="Arial" w:hAnsi="Arial" w:cs="Arial"/>
              </w:rPr>
            </w:pPr>
            <w:r w:rsidRPr="00C43DA9">
              <w:rPr>
                <w:rFonts w:ascii="Arial" w:hAnsi="Arial" w:cs="Arial"/>
              </w:rPr>
              <w:t>Phosphorus</w:t>
            </w:r>
          </w:p>
        </w:tc>
        <w:tc>
          <w:tcPr>
            <w:tcW w:w="0" w:type="auto"/>
            <w:hideMark/>
          </w:tcPr>
          <w:p w14:paraId="66EAD68A" w14:textId="77777777" w:rsidR="00B82F55" w:rsidRPr="00C43DA9" w:rsidRDefault="00B82F55" w:rsidP="0032526C">
            <w:pPr>
              <w:spacing w:after="160" w:line="259" w:lineRule="auto"/>
              <w:rPr>
                <w:rFonts w:ascii="Arial" w:hAnsi="Arial" w:cs="Arial"/>
              </w:rPr>
            </w:pPr>
            <w:r w:rsidRPr="00C43DA9">
              <w:rPr>
                <w:rFonts w:ascii="Arial" w:hAnsi="Arial" w:cs="Arial"/>
              </w:rPr>
              <w:t>122.5 mg/100 g</w:t>
            </w:r>
          </w:p>
        </w:tc>
        <w:tc>
          <w:tcPr>
            <w:tcW w:w="0" w:type="auto"/>
            <w:vMerge/>
            <w:hideMark/>
          </w:tcPr>
          <w:p w14:paraId="5A3565E4" w14:textId="77777777" w:rsidR="00B82F55" w:rsidRPr="00C43DA9" w:rsidRDefault="00B82F55" w:rsidP="0032526C">
            <w:pPr>
              <w:spacing w:after="160" w:line="259" w:lineRule="auto"/>
              <w:rPr>
                <w:rFonts w:ascii="Arial" w:hAnsi="Arial" w:cs="Arial"/>
              </w:rPr>
            </w:pPr>
          </w:p>
        </w:tc>
      </w:tr>
    </w:tbl>
    <w:p w14:paraId="114487CE" w14:textId="77777777" w:rsidR="00B82F55" w:rsidRPr="00C43DA9" w:rsidRDefault="00B82F55" w:rsidP="00B82F55">
      <w:pPr>
        <w:rPr>
          <w:rFonts w:ascii="Arial" w:hAnsi="Arial" w:cs="Arial"/>
          <w:sz w:val="22"/>
          <w:szCs w:val="22"/>
        </w:rPr>
      </w:pPr>
    </w:p>
    <w:p w14:paraId="0D1A97D8" w14:textId="77777777" w:rsidR="00B82F55" w:rsidRPr="00C43DA9" w:rsidRDefault="00B82F55" w:rsidP="00B82F55">
      <w:pPr>
        <w:rPr>
          <w:rFonts w:ascii="Arial" w:hAnsi="Arial" w:cs="Arial"/>
          <w:sz w:val="22"/>
          <w:szCs w:val="22"/>
        </w:rPr>
      </w:pPr>
      <w:r w:rsidRPr="00C43DA9">
        <w:rPr>
          <w:rFonts w:ascii="Arial" w:hAnsi="Arial" w:cs="Arial"/>
          <w:b/>
          <w:bCs/>
          <w:sz w:val="22"/>
          <w:szCs w:val="22"/>
        </w:rPr>
        <w:t>Table 2. Valorization pathways and crop responses to banana peel–based fertilizers</w:t>
      </w:r>
    </w:p>
    <w:tbl>
      <w:tblPr>
        <w:tblStyle w:val="TableGrid"/>
        <w:tblW w:w="0" w:type="auto"/>
        <w:tblLook w:val="04A0" w:firstRow="1" w:lastRow="0" w:firstColumn="1" w:lastColumn="0" w:noHBand="0" w:noVBand="1"/>
      </w:tblPr>
      <w:tblGrid>
        <w:gridCol w:w="2166"/>
        <w:gridCol w:w="1570"/>
        <w:gridCol w:w="1346"/>
        <w:gridCol w:w="1828"/>
        <w:gridCol w:w="1514"/>
      </w:tblGrid>
      <w:tr w:rsidR="00B82F55" w:rsidRPr="00C43DA9" w14:paraId="74E299DB" w14:textId="77777777" w:rsidTr="0032526C">
        <w:tc>
          <w:tcPr>
            <w:tcW w:w="0" w:type="auto"/>
            <w:hideMark/>
          </w:tcPr>
          <w:p w14:paraId="5040012D"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Method</w:t>
            </w:r>
          </w:p>
        </w:tc>
        <w:tc>
          <w:tcPr>
            <w:tcW w:w="0" w:type="auto"/>
            <w:hideMark/>
          </w:tcPr>
          <w:p w14:paraId="4279EEAB"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Process</w:t>
            </w:r>
          </w:p>
        </w:tc>
        <w:tc>
          <w:tcPr>
            <w:tcW w:w="0" w:type="auto"/>
            <w:hideMark/>
          </w:tcPr>
          <w:p w14:paraId="5AC5EF5C"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Crop/Test</w:t>
            </w:r>
          </w:p>
        </w:tc>
        <w:tc>
          <w:tcPr>
            <w:tcW w:w="0" w:type="auto"/>
            <w:hideMark/>
          </w:tcPr>
          <w:p w14:paraId="767C8312"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Outcome</w:t>
            </w:r>
          </w:p>
        </w:tc>
        <w:tc>
          <w:tcPr>
            <w:tcW w:w="0" w:type="auto"/>
            <w:hideMark/>
          </w:tcPr>
          <w:p w14:paraId="21BD43E6"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Reference</w:t>
            </w:r>
          </w:p>
        </w:tc>
      </w:tr>
      <w:tr w:rsidR="00B82F55" w:rsidRPr="00C43DA9" w14:paraId="4E13C013" w14:textId="77777777" w:rsidTr="0032526C">
        <w:tc>
          <w:tcPr>
            <w:tcW w:w="0" w:type="auto"/>
            <w:hideMark/>
          </w:tcPr>
          <w:p w14:paraId="34355574" w14:textId="77777777" w:rsidR="00B82F55" w:rsidRPr="00C43DA9" w:rsidRDefault="00B82F55" w:rsidP="0032526C">
            <w:pPr>
              <w:spacing w:after="160" w:line="259" w:lineRule="auto"/>
              <w:rPr>
                <w:rFonts w:ascii="Arial" w:hAnsi="Arial" w:cs="Arial"/>
              </w:rPr>
            </w:pPr>
            <w:r w:rsidRPr="00C43DA9">
              <w:rPr>
                <w:rFonts w:ascii="Arial" w:hAnsi="Arial" w:cs="Arial"/>
              </w:rPr>
              <w:t>Soil decomposition (2 months)</w:t>
            </w:r>
          </w:p>
        </w:tc>
        <w:tc>
          <w:tcPr>
            <w:tcW w:w="0" w:type="auto"/>
            <w:hideMark/>
          </w:tcPr>
          <w:p w14:paraId="7D1C1662" w14:textId="77777777" w:rsidR="00B82F55" w:rsidRPr="00C43DA9" w:rsidRDefault="00B82F55" w:rsidP="0032526C">
            <w:pPr>
              <w:spacing w:after="160" w:line="259" w:lineRule="auto"/>
              <w:rPr>
                <w:rFonts w:ascii="Arial" w:hAnsi="Arial" w:cs="Arial"/>
              </w:rPr>
            </w:pPr>
            <w:r w:rsidRPr="00C43DA9">
              <w:rPr>
                <w:rFonts w:ascii="Arial" w:hAnsi="Arial" w:cs="Arial"/>
              </w:rPr>
              <w:t>150 g BP in soil</w:t>
            </w:r>
          </w:p>
        </w:tc>
        <w:tc>
          <w:tcPr>
            <w:tcW w:w="0" w:type="auto"/>
            <w:hideMark/>
          </w:tcPr>
          <w:p w14:paraId="3993A63D" w14:textId="77777777" w:rsidR="00B82F55" w:rsidRPr="00C43DA9" w:rsidRDefault="00B82F55" w:rsidP="0032526C">
            <w:pPr>
              <w:spacing w:after="160" w:line="259" w:lineRule="auto"/>
              <w:rPr>
                <w:rFonts w:ascii="Arial" w:hAnsi="Arial" w:cs="Arial"/>
              </w:rPr>
            </w:pPr>
            <w:r w:rsidRPr="00C43DA9">
              <w:rPr>
                <w:rFonts w:ascii="Arial" w:hAnsi="Arial" w:cs="Arial"/>
                <w:i/>
                <w:iCs/>
              </w:rPr>
              <w:t>Pisum sativum</w:t>
            </w:r>
          </w:p>
        </w:tc>
        <w:tc>
          <w:tcPr>
            <w:tcW w:w="0" w:type="auto"/>
            <w:hideMark/>
          </w:tcPr>
          <w:p w14:paraId="705D36B8" w14:textId="77777777" w:rsidR="00B82F55" w:rsidRPr="00C43DA9" w:rsidRDefault="00B82F55" w:rsidP="0032526C">
            <w:pPr>
              <w:spacing w:after="160" w:line="259" w:lineRule="auto"/>
              <w:rPr>
                <w:rFonts w:ascii="Arial" w:hAnsi="Arial" w:cs="Arial"/>
              </w:rPr>
            </w:pPr>
            <w:r w:rsidRPr="00C43DA9">
              <w:rPr>
                <w:rFonts w:ascii="Arial" w:hAnsi="Arial" w:cs="Arial"/>
              </w:rPr>
              <w:t>Germination 83 %, height 75 cm</w:t>
            </w:r>
          </w:p>
        </w:tc>
        <w:tc>
          <w:tcPr>
            <w:tcW w:w="0" w:type="auto"/>
            <w:hideMark/>
          </w:tcPr>
          <w:p w14:paraId="43091267" w14:textId="77777777" w:rsidR="00B82F55" w:rsidRPr="00C43DA9" w:rsidRDefault="00B82F55" w:rsidP="0032526C">
            <w:pPr>
              <w:spacing w:after="160" w:line="259" w:lineRule="auto"/>
              <w:rPr>
                <w:rFonts w:ascii="Arial" w:hAnsi="Arial" w:cs="Arial"/>
              </w:rPr>
            </w:pPr>
            <w:proofErr w:type="spellStart"/>
            <w:r w:rsidRPr="00C43DA9">
              <w:rPr>
                <w:rFonts w:ascii="Arial" w:hAnsi="Arial" w:cs="Arial"/>
              </w:rPr>
              <w:t>Ei</w:t>
            </w:r>
            <w:proofErr w:type="spellEnd"/>
            <w:r w:rsidRPr="00C43DA9">
              <w:rPr>
                <w:rFonts w:ascii="Arial" w:hAnsi="Arial" w:cs="Arial"/>
              </w:rPr>
              <w:t xml:space="preserve"> </w:t>
            </w:r>
            <w:proofErr w:type="spellStart"/>
            <w:r w:rsidRPr="00C43DA9">
              <w:rPr>
                <w:rFonts w:ascii="Arial" w:hAnsi="Arial" w:cs="Arial"/>
              </w:rPr>
              <w:t>Barnossi</w:t>
            </w:r>
            <w:proofErr w:type="spellEnd"/>
            <w:r w:rsidRPr="00C43DA9">
              <w:rPr>
                <w:rFonts w:ascii="Arial" w:hAnsi="Arial" w:cs="Arial"/>
              </w:rPr>
              <w:t xml:space="preserve"> et al. 2022</w:t>
            </w:r>
          </w:p>
        </w:tc>
      </w:tr>
      <w:tr w:rsidR="00B82F55" w:rsidRPr="00C43DA9" w14:paraId="2BF2224D" w14:textId="77777777" w:rsidTr="0032526C">
        <w:tc>
          <w:tcPr>
            <w:tcW w:w="0" w:type="auto"/>
            <w:hideMark/>
          </w:tcPr>
          <w:p w14:paraId="66BC7DC1" w14:textId="77777777" w:rsidR="00B82F55" w:rsidRPr="00C43DA9" w:rsidRDefault="00B82F55" w:rsidP="0032526C">
            <w:pPr>
              <w:spacing w:after="160" w:line="259" w:lineRule="auto"/>
              <w:rPr>
                <w:rFonts w:ascii="Arial" w:hAnsi="Arial" w:cs="Arial"/>
              </w:rPr>
            </w:pPr>
            <w:r w:rsidRPr="00C43DA9">
              <w:rPr>
                <w:rFonts w:ascii="Arial" w:hAnsi="Arial" w:cs="Arial"/>
              </w:rPr>
              <w:t>Liquid extract</w:t>
            </w:r>
          </w:p>
        </w:tc>
        <w:tc>
          <w:tcPr>
            <w:tcW w:w="0" w:type="auto"/>
            <w:hideMark/>
          </w:tcPr>
          <w:p w14:paraId="683141AF" w14:textId="77777777" w:rsidR="00B82F55" w:rsidRPr="00C43DA9" w:rsidRDefault="00B82F55" w:rsidP="0032526C">
            <w:pPr>
              <w:spacing w:after="160" w:line="259" w:lineRule="auto"/>
              <w:rPr>
                <w:rFonts w:ascii="Arial" w:hAnsi="Arial" w:cs="Arial"/>
              </w:rPr>
            </w:pPr>
            <w:r w:rsidRPr="00C43DA9">
              <w:rPr>
                <w:rFonts w:ascii="Arial" w:hAnsi="Arial" w:cs="Arial"/>
              </w:rPr>
              <w:t>Solvent extraction of dried BP</w:t>
            </w:r>
          </w:p>
        </w:tc>
        <w:tc>
          <w:tcPr>
            <w:tcW w:w="0" w:type="auto"/>
            <w:hideMark/>
          </w:tcPr>
          <w:p w14:paraId="44B1B7FB" w14:textId="77777777" w:rsidR="00B82F55" w:rsidRPr="00C43DA9" w:rsidRDefault="00B82F55" w:rsidP="0032526C">
            <w:pPr>
              <w:spacing w:after="160" w:line="259" w:lineRule="auto"/>
              <w:rPr>
                <w:rFonts w:ascii="Arial" w:hAnsi="Arial" w:cs="Arial"/>
              </w:rPr>
            </w:pPr>
            <w:r w:rsidRPr="00C43DA9">
              <w:rPr>
                <w:rFonts w:ascii="Arial" w:hAnsi="Arial" w:cs="Arial"/>
              </w:rPr>
              <w:t>Fenugreek</w:t>
            </w:r>
          </w:p>
        </w:tc>
        <w:tc>
          <w:tcPr>
            <w:tcW w:w="0" w:type="auto"/>
            <w:hideMark/>
          </w:tcPr>
          <w:p w14:paraId="70EBF71D" w14:textId="77777777" w:rsidR="00B82F55" w:rsidRPr="00C43DA9" w:rsidRDefault="00B82F55" w:rsidP="0032526C">
            <w:pPr>
              <w:spacing w:after="160" w:line="259" w:lineRule="auto"/>
              <w:rPr>
                <w:rFonts w:ascii="Arial" w:hAnsi="Arial" w:cs="Arial"/>
              </w:rPr>
            </w:pPr>
            <w:r w:rsidRPr="00C43DA9">
              <w:rPr>
                <w:rFonts w:ascii="Arial" w:hAnsi="Arial" w:cs="Arial"/>
              </w:rPr>
              <w:t>Fast growth, higher biomass</w:t>
            </w:r>
          </w:p>
        </w:tc>
        <w:tc>
          <w:tcPr>
            <w:tcW w:w="0" w:type="auto"/>
            <w:hideMark/>
          </w:tcPr>
          <w:p w14:paraId="2774190F" w14:textId="77777777" w:rsidR="00B82F55" w:rsidRPr="00C43DA9" w:rsidRDefault="00B82F55" w:rsidP="0032526C">
            <w:pPr>
              <w:spacing w:after="160" w:line="259" w:lineRule="auto"/>
              <w:rPr>
                <w:rFonts w:ascii="Arial" w:hAnsi="Arial" w:cs="Arial"/>
              </w:rPr>
            </w:pPr>
            <w:r w:rsidRPr="00C43DA9">
              <w:rPr>
                <w:rFonts w:ascii="Arial" w:hAnsi="Arial" w:cs="Arial"/>
              </w:rPr>
              <w:t>Mercy et al. 2014</w:t>
            </w:r>
          </w:p>
        </w:tc>
      </w:tr>
      <w:tr w:rsidR="00B82F55" w:rsidRPr="00C43DA9" w14:paraId="120650F0" w14:textId="77777777" w:rsidTr="0032526C">
        <w:tc>
          <w:tcPr>
            <w:tcW w:w="0" w:type="auto"/>
            <w:hideMark/>
          </w:tcPr>
          <w:p w14:paraId="031AB340" w14:textId="77777777" w:rsidR="00B82F55" w:rsidRPr="00C43DA9" w:rsidRDefault="00B82F55" w:rsidP="0032526C">
            <w:pPr>
              <w:spacing w:after="160" w:line="259" w:lineRule="auto"/>
              <w:rPr>
                <w:rFonts w:ascii="Arial" w:hAnsi="Arial" w:cs="Arial"/>
              </w:rPr>
            </w:pPr>
            <w:r w:rsidRPr="00C43DA9">
              <w:rPr>
                <w:rFonts w:ascii="Arial" w:hAnsi="Arial" w:cs="Arial"/>
              </w:rPr>
              <w:t>Biochar</w:t>
            </w:r>
          </w:p>
        </w:tc>
        <w:tc>
          <w:tcPr>
            <w:tcW w:w="0" w:type="auto"/>
            <w:hideMark/>
          </w:tcPr>
          <w:p w14:paraId="325B5878" w14:textId="77777777" w:rsidR="00B82F55" w:rsidRPr="00C43DA9" w:rsidRDefault="00B82F55" w:rsidP="0032526C">
            <w:pPr>
              <w:spacing w:after="160" w:line="259" w:lineRule="auto"/>
              <w:rPr>
                <w:rFonts w:ascii="Arial" w:hAnsi="Arial" w:cs="Arial"/>
              </w:rPr>
            </w:pPr>
            <w:r w:rsidRPr="00C43DA9">
              <w:rPr>
                <w:rFonts w:ascii="Arial" w:hAnsi="Arial" w:cs="Arial"/>
              </w:rPr>
              <w:t>Pyrolysis at 400 °C</w:t>
            </w:r>
          </w:p>
        </w:tc>
        <w:tc>
          <w:tcPr>
            <w:tcW w:w="0" w:type="auto"/>
            <w:hideMark/>
          </w:tcPr>
          <w:p w14:paraId="755DD29A" w14:textId="77777777" w:rsidR="00B82F55" w:rsidRPr="00C43DA9" w:rsidRDefault="00B82F55" w:rsidP="0032526C">
            <w:pPr>
              <w:spacing w:after="160" w:line="259" w:lineRule="auto"/>
              <w:rPr>
                <w:rFonts w:ascii="Arial" w:hAnsi="Arial" w:cs="Arial"/>
              </w:rPr>
            </w:pPr>
            <w:r w:rsidRPr="00C43DA9">
              <w:rPr>
                <w:rFonts w:ascii="Arial" w:hAnsi="Arial" w:cs="Arial"/>
              </w:rPr>
              <w:t>Tomato</w:t>
            </w:r>
          </w:p>
        </w:tc>
        <w:tc>
          <w:tcPr>
            <w:tcW w:w="0" w:type="auto"/>
            <w:hideMark/>
          </w:tcPr>
          <w:p w14:paraId="2B655B14" w14:textId="77777777" w:rsidR="00B82F55" w:rsidRPr="00C43DA9" w:rsidRDefault="00B82F55" w:rsidP="0032526C">
            <w:pPr>
              <w:spacing w:after="160" w:line="259" w:lineRule="auto"/>
              <w:rPr>
                <w:rFonts w:ascii="Arial" w:hAnsi="Arial" w:cs="Arial"/>
              </w:rPr>
            </w:pPr>
            <w:r w:rsidRPr="00C43DA9">
              <w:rPr>
                <w:rFonts w:ascii="Arial" w:hAnsi="Arial" w:cs="Arial"/>
              </w:rPr>
              <w:t>Improved soil pH, yield ↑ 10 %</w:t>
            </w:r>
          </w:p>
        </w:tc>
        <w:tc>
          <w:tcPr>
            <w:tcW w:w="0" w:type="auto"/>
            <w:hideMark/>
          </w:tcPr>
          <w:p w14:paraId="6A63CEED" w14:textId="77777777" w:rsidR="00B82F55" w:rsidRPr="00C43DA9" w:rsidRDefault="00B82F55" w:rsidP="0032526C">
            <w:pPr>
              <w:spacing w:after="160" w:line="259" w:lineRule="auto"/>
              <w:rPr>
                <w:rFonts w:ascii="Arial" w:hAnsi="Arial" w:cs="Arial"/>
              </w:rPr>
            </w:pPr>
            <w:r w:rsidRPr="00C43DA9">
              <w:rPr>
                <w:rFonts w:ascii="Arial" w:hAnsi="Arial" w:cs="Arial"/>
              </w:rPr>
              <w:t>Zaini et al. 2022</w:t>
            </w:r>
          </w:p>
        </w:tc>
      </w:tr>
      <w:tr w:rsidR="00B82F55" w:rsidRPr="00C43DA9" w14:paraId="44AF9675" w14:textId="77777777" w:rsidTr="0032526C">
        <w:tc>
          <w:tcPr>
            <w:tcW w:w="0" w:type="auto"/>
            <w:hideMark/>
          </w:tcPr>
          <w:p w14:paraId="175BBDD0" w14:textId="77777777" w:rsidR="00B82F55" w:rsidRPr="00C43DA9" w:rsidRDefault="00B82F55" w:rsidP="0032526C">
            <w:pPr>
              <w:spacing w:after="160" w:line="259" w:lineRule="auto"/>
              <w:rPr>
                <w:rFonts w:ascii="Arial" w:hAnsi="Arial" w:cs="Arial"/>
              </w:rPr>
            </w:pPr>
            <w:r w:rsidRPr="00C43DA9">
              <w:rPr>
                <w:rFonts w:ascii="Arial" w:hAnsi="Arial" w:cs="Arial"/>
              </w:rPr>
              <w:t xml:space="preserve">Composite (banana + orange + </w:t>
            </w:r>
            <w:r w:rsidRPr="00C43DA9">
              <w:rPr>
                <w:rFonts w:ascii="Arial" w:hAnsi="Arial" w:cs="Arial"/>
              </w:rPr>
              <w:lastRenderedPageBreak/>
              <w:t>eggshell)</w:t>
            </w:r>
          </w:p>
        </w:tc>
        <w:tc>
          <w:tcPr>
            <w:tcW w:w="0" w:type="auto"/>
            <w:hideMark/>
          </w:tcPr>
          <w:p w14:paraId="358D9800" w14:textId="77777777" w:rsidR="00B82F55" w:rsidRPr="00C43DA9" w:rsidRDefault="00B82F55" w:rsidP="0032526C">
            <w:pPr>
              <w:spacing w:after="160" w:line="259" w:lineRule="auto"/>
              <w:rPr>
                <w:rFonts w:ascii="Arial" w:hAnsi="Arial" w:cs="Arial"/>
              </w:rPr>
            </w:pPr>
            <w:r w:rsidRPr="00C43DA9">
              <w:rPr>
                <w:rFonts w:ascii="Arial" w:hAnsi="Arial" w:cs="Arial"/>
              </w:rPr>
              <w:lastRenderedPageBreak/>
              <w:t xml:space="preserve">Dried &amp; mixed </w:t>
            </w:r>
            <w:r w:rsidRPr="00C43DA9">
              <w:rPr>
                <w:rFonts w:ascii="Arial" w:hAnsi="Arial" w:cs="Arial"/>
              </w:rPr>
              <w:lastRenderedPageBreak/>
              <w:t>powders</w:t>
            </w:r>
          </w:p>
        </w:tc>
        <w:tc>
          <w:tcPr>
            <w:tcW w:w="0" w:type="auto"/>
            <w:hideMark/>
          </w:tcPr>
          <w:p w14:paraId="140CFDC3" w14:textId="77777777" w:rsidR="00B82F55" w:rsidRPr="00C43DA9" w:rsidRDefault="00B82F55" w:rsidP="0032526C">
            <w:pPr>
              <w:spacing w:after="160" w:line="259" w:lineRule="auto"/>
              <w:rPr>
                <w:rFonts w:ascii="Arial" w:hAnsi="Arial" w:cs="Arial"/>
              </w:rPr>
            </w:pPr>
            <w:r w:rsidRPr="00C43DA9">
              <w:rPr>
                <w:rFonts w:ascii="Arial" w:hAnsi="Arial" w:cs="Arial"/>
              </w:rPr>
              <w:lastRenderedPageBreak/>
              <w:t>Okra</w:t>
            </w:r>
          </w:p>
        </w:tc>
        <w:tc>
          <w:tcPr>
            <w:tcW w:w="0" w:type="auto"/>
            <w:hideMark/>
          </w:tcPr>
          <w:p w14:paraId="516FD970" w14:textId="77777777" w:rsidR="00B82F55" w:rsidRPr="00C43DA9" w:rsidRDefault="00B82F55" w:rsidP="0032526C">
            <w:pPr>
              <w:spacing w:after="160" w:line="259" w:lineRule="auto"/>
              <w:rPr>
                <w:rFonts w:ascii="Arial" w:hAnsi="Arial" w:cs="Arial"/>
              </w:rPr>
            </w:pPr>
            <w:r w:rsidRPr="00C43DA9">
              <w:rPr>
                <w:rFonts w:ascii="Arial" w:hAnsi="Arial" w:cs="Arial"/>
              </w:rPr>
              <w:t xml:space="preserve">Increased leaf area &amp; </w:t>
            </w:r>
            <w:r w:rsidRPr="00C43DA9">
              <w:rPr>
                <w:rFonts w:ascii="Arial" w:hAnsi="Arial" w:cs="Arial"/>
              </w:rPr>
              <w:lastRenderedPageBreak/>
              <w:t>chlorophyll</w:t>
            </w:r>
          </w:p>
        </w:tc>
        <w:tc>
          <w:tcPr>
            <w:tcW w:w="0" w:type="auto"/>
            <w:hideMark/>
          </w:tcPr>
          <w:p w14:paraId="4AF56EFC" w14:textId="77777777" w:rsidR="00B82F55" w:rsidRPr="00C43DA9" w:rsidRDefault="00B82F55" w:rsidP="0032526C">
            <w:pPr>
              <w:spacing w:after="160" w:line="259" w:lineRule="auto"/>
              <w:rPr>
                <w:rFonts w:ascii="Arial" w:hAnsi="Arial" w:cs="Arial"/>
              </w:rPr>
            </w:pPr>
            <w:r w:rsidRPr="00C43DA9">
              <w:rPr>
                <w:rFonts w:ascii="Arial" w:hAnsi="Arial" w:cs="Arial"/>
              </w:rPr>
              <w:lastRenderedPageBreak/>
              <w:t xml:space="preserve">Hussein et </w:t>
            </w:r>
            <w:r w:rsidRPr="00C43DA9">
              <w:rPr>
                <w:rFonts w:ascii="Arial" w:hAnsi="Arial" w:cs="Arial"/>
              </w:rPr>
              <w:lastRenderedPageBreak/>
              <w:t>al. 2019</w:t>
            </w:r>
          </w:p>
        </w:tc>
      </w:tr>
    </w:tbl>
    <w:p w14:paraId="1F2BE956" w14:textId="77777777" w:rsidR="00B82F55" w:rsidRPr="00C43DA9" w:rsidRDefault="00B82F55" w:rsidP="00B82F55">
      <w:pPr>
        <w:rPr>
          <w:rFonts w:ascii="Arial" w:hAnsi="Arial" w:cs="Arial"/>
          <w:sz w:val="22"/>
          <w:szCs w:val="22"/>
        </w:rPr>
      </w:pPr>
    </w:p>
    <w:p w14:paraId="72A3521E" w14:textId="77777777" w:rsidR="00B82F55" w:rsidRPr="00C43DA9" w:rsidRDefault="00B82F55" w:rsidP="00B82F55">
      <w:pPr>
        <w:rPr>
          <w:rFonts w:ascii="Arial" w:hAnsi="Arial" w:cs="Arial"/>
          <w:sz w:val="22"/>
          <w:szCs w:val="22"/>
        </w:rPr>
      </w:pPr>
      <w:r w:rsidRPr="00C43DA9">
        <w:rPr>
          <w:rFonts w:ascii="Arial" w:hAnsi="Arial" w:cs="Arial"/>
          <w:b/>
          <w:bCs/>
          <w:sz w:val="22"/>
          <w:szCs w:val="22"/>
        </w:rPr>
        <w:t>Table 3. Microbial consortia and functional roles in agricultural residue degradation</w:t>
      </w:r>
    </w:p>
    <w:tbl>
      <w:tblPr>
        <w:tblStyle w:val="TableGrid"/>
        <w:tblW w:w="0" w:type="auto"/>
        <w:tblLook w:val="04A0" w:firstRow="1" w:lastRow="0" w:firstColumn="1" w:lastColumn="0" w:noHBand="0" w:noVBand="1"/>
      </w:tblPr>
      <w:tblGrid>
        <w:gridCol w:w="1720"/>
        <w:gridCol w:w="1732"/>
        <w:gridCol w:w="1718"/>
        <w:gridCol w:w="1375"/>
        <w:gridCol w:w="1879"/>
      </w:tblGrid>
      <w:tr w:rsidR="00B82F55" w:rsidRPr="00C43DA9" w14:paraId="700AF2F7" w14:textId="77777777" w:rsidTr="0032526C">
        <w:tc>
          <w:tcPr>
            <w:tcW w:w="0" w:type="auto"/>
            <w:hideMark/>
          </w:tcPr>
          <w:p w14:paraId="7E924CD8"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Microbe</w:t>
            </w:r>
          </w:p>
        </w:tc>
        <w:tc>
          <w:tcPr>
            <w:tcW w:w="0" w:type="auto"/>
            <w:hideMark/>
          </w:tcPr>
          <w:p w14:paraId="4D9AF5BA"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Functional Role</w:t>
            </w:r>
          </w:p>
        </w:tc>
        <w:tc>
          <w:tcPr>
            <w:tcW w:w="0" w:type="auto"/>
            <w:hideMark/>
          </w:tcPr>
          <w:p w14:paraId="4CD1B2C4"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Target Residue</w:t>
            </w:r>
          </w:p>
        </w:tc>
        <w:tc>
          <w:tcPr>
            <w:tcW w:w="0" w:type="auto"/>
            <w:hideMark/>
          </w:tcPr>
          <w:p w14:paraId="23C3ED02"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Benefit</w:t>
            </w:r>
          </w:p>
        </w:tc>
        <w:tc>
          <w:tcPr>
            <w:tcW w:w="0" w:type="auto"/>
            <w:hideMark/>
          </w:tcPr>
          <w:p w14:paraId="2E683D78" w14:textId="77777777" w:rsidR="00B82F55" w:rsidRPr="00C43DA9" w:rsidRDefault="00B82F55" w:rsidP="0032526C">
            <w:pPr>
              <w:spacing w:after="160" w:line="259" w:lineRule="auto"/>
              <w:rPr>
                <w:rFonts w:ascii="Arial" w:hAnsi="Arial" w:cs="Arial"/>
                <w:b/>
                <w:bCs/>
              </w:rPr>
            </w:pPr>
            <w:r w:rsidRPr="00C43DA9">
              <w:rPr>
                <w:rFonts w:ascii="Arial" w:hAnsi="Arial" w:cs="Arial"/>
                <w:b/>
                <w:bCs/>
              </w:rPr>
              <w:t>References</w:t>
            </w:r>
          </w:p>
        </w:tc>
      </w:tr>
      <w:tr w:rsidR="00B82F55" w:rsidRPr="00C43DA9" w14:paraId="29D1611A" w14:textId="77777777" w:rsidTr="0032526C">
        <w:tc>
          <w:tcPr>
            <w:tcW w:w="0" w:type="auto"/>
            <w:hideMark/>
          </w:tcPr>
          <w:p w14:paraId="6F17EDC8" w14:textId="77777777" w:rsidR="00B82F55" w:rsidRPr="00C43DA9" w:rsidRDefault="00B82F55" w:rsidP="0032526C">
            <w:pPr>
              <w:spacing w:after="160" w:line="259" w:lineRule="auto"/>
              <w:rPr>
                <w:rFonts w:ascii="Arial" w:hAnsi="Arial" w:cs="Arial"/>
              </w:rPr>
            </w:pPr>
            <w:r w:rsidRPr="00C43DA9">
              <w:rPr>
                <w:rFonts w:ascii="Arial" w:hAnsi="Arial" w:cs="Arial"/>
                <w:i/>
                <w:iCs/>
              </w:rPr>
              <w:t xml:space="preserve">Trichoderma </w:t>
            </w:r>
            <w:proofErr w:type="spellStart"/>
            <w:r w:rsidRPr="00C43DA9">
              <w:rPr>
                <w:rFonts w:ascii="Arial" w:hAnsi="Arial" w:cs="Arial"/>
                <w:i/>
                <w:iCs/>
              </w:rPr>
              <w:t>harzianum</w:t>
            </w:r>
            <w:proofErr w:type="spellEnd"/>
          </w:p>
        </w:tc>
        <w:tc>
          <w:tcPr>
            <w:tcW w:w="0" w:type="auto"/>
            <w:hideMark/>
          </w:tcPr>
          <w:p w14:paraId="0409FBD5" w14:textId="77777777" w:rsidR="00B82F55" w:rsidRPr="00C43DA9" w:rsidRDefault="00B82F55" w:rsidP="0032526C">
            <w:pPr>
              <w:spacing w:after="160" w:line="259" w:lineRule="auto"/>
              <w:rPr>
                <w:rFonts w:ascii="Arial" w:hAnsi="Arial" w:cs="Arial"/>
              </w:rPr>
            </w:pPr>
            <w:r w:rsidRPr="00C43DA9">
              <w:rPr>
                <w:rFonts w:ascii="Arial" w:hAnsi="Arial" w:cs="Arial"/>
              </w:rPr>
              <w:t>Cellulose degradation, pathogen suppression</w:t>
            </w:r>
          </w:p>
        </w:tc>
        <w:tc>
          <w:tcPr>
            <w:tcW w:w="0" w:type="auto"/>
            <w:hideMark/>
          </w:tcPr>
          <w:p w14:paraId="0E0EDCB2" w14:textId="77777777" w:rsidR="00B82F55" w:rsidRPr="00C43DA9" w:rsidRDefault="00B82F55" w:rsidP="0032526C">
            <w:pPr>
              <w:spacing w:after="160" w:line="259" w:lineRule="auto"/>
              <w:rPr>
                <w:rFonts w:ascii="Arial" w:hAnsi="Arial" w:cs="Arial"/>
              </w:rPr>
            </w:pPr>
            <w:r w:rsidRPr="00C43DA9">
              <w:rPr>
                <w:rFonts w:ascii="Arial" w:hAnsi="Arial" w:cs="Arial"/>
              </w:rPr>
              <w:t>Banana peel, crop stubble</w:t>
            </w:r>
          </w:p>
        </w:tc>
        <w:tc>
          <w:tcPr>
            <w:tcW w:w="0" w:type="auto"/>
            <w:hideMark/>
          </w:tcPr>
          <w:p w14:paraId="6B35429F" w14:textId="77777777" w:rsidR="00B82F55" w:rsidRPr="00C43DA9" w:rsidRDefault="00B82F55" w:rsidP="0032526C">
            <w:pPr>
              <w:spacing w:after="160" w:line="259" w:lineRule="auto"/>
              <w:rPr>
                <w:rFonts w:ascii="Arial" w:hAnsi="Arial" w:cs="Arial"/>
              </w:rPr>
            </w:pPr>
            <w:r w:rsidRPr="00C43DA9">
              <w:rPr>
                <w:rFonts w:ascii="Arial" w:hAnsi="Arial" w:cs="Arial"/>
              </w:rPr>
              <w:t>Improved N/P availability</w:t>
            </w:r>
          </w:p>
        </w:tc>
        <w:tc>
          <w:tcPr>
            <w:tcW w:w="0" w:type="auto"/>
            <w:hideMark/>
          </w:tcPr>
          <w:p w14:paraId="7549C32C" w14:textId="77777777" w:rsidR="00B82F55" w:rsidRPr="00C43DA9" w:rsidRDefault="00B82F55" w:rsidP="0032526C">
            <w:pPr>
              <w:spacing w:after="160" w:line="259" w:lineRule="auto"/>
              <w:rPr>
                <w:rFonts w:ascii="Arial" w:hAnsi="Arial" w:cs="Arial"/>
              </w:rPr>
            </w:pPr>
            <w:r w:rsidRPr="00C43DA9">
              <w:rPr>
                <w:rFonts w:ascii="Arial" w:hAnsi="Arial" w:cs="Arial"/>
              </w:rPr>
              <w:t>Harman et al. 2004; Singh et al. 2018</w:t>
            </w:r>
          </w:p>
        </w:tc>
      </w:tr>
      <w:tr w:rsidR="00B82F55" w:rsidRPr="00C43DA9" w14:paraId="54B709CD" w14:textId="77777777" w:rsidTr="0032526C">
        <w:tc>
          <w:tcPr>
            <w:tcW w:w="0" w:type="auto"/>
            <w:hideMark/>
          </w:tcPr>
          <w:p w14:paraId="6086EE7F" w14:textId="77777777" w:rsidR="00B82F55" w:rsidRPr="00C43DA9" w:rsidRDefault="00B82F55" w:rsidP="0032526C">
            <w:pPr>
              <w:spacing w:after="160" w:line="259" w:lineRule="auto"/>
              <w:rPr>
                <w:rFonts w:ascii="Arial" w:hAnsi="Arial" w:cs="Arial"/>
              </w:rPr>
            </w:pPr>
            <w:r w:rsidRPr="00C43DA9">
              <w:rPr>
                <w:rFonts w:ascii="Arial" w:hAnsi="Arial" w:cs="Arial"/>
                <w:i/>
                <w:iCs/>
              </w:rPr>
              <w:t>Bacillus subtilis</w:t>
            </w:r>
          </w:p>
        </w:tc>
        <w:tc>
          <w:tcPr>
            <w:tcW w:w="0" w:type="auto"/>
            <w:hideMark/>
          </w:tcPr>
          <w:p w14:paraId="337865FD" w14:textId="77777777" w:rsidR="00B82F55" w:rsidRPr="00C43DA9" w:rsidRDefault="00B82F55" w:rsidP="0032526C">
            <w:pPr>
              <w:spacing w:after="160" w:line="259" w:lineRule="auto"/>
              <w:rPr>
                <w:rFonts w:ascii="Arial" w:hAnsi="Arial" w:cs="Arial"/>
              </w:rPr>
            </w:pPr>
            <w:r w:rsidRPr="00C43DA9">
              <w:rPr>
                <w:rFonts w:ascii="Arial" w:hAnsi="Arial" w:cs="Arial"/>
              </w:rPr>
              <w:t>Phosphate solubilization, enzyme secretion</w:t>
            </w:r>
          </w:p>
        </w:tc>
        <w:tc>
          <w:tcPr>
            <w:tcW w:w="0" w:type="auto"/>
            <w:hideMark/>
          </w:tcPr>
          <w:p w14:paraId="2CED6B4F" w14:textId="77777777" w:rsidR="00B82F55" w:rsidRPr="00C43DA9" w:rsidRDefault="00B82F55" w:rsidP="0032526C">
            <w:pPr>
              <w:spacing w:after="160" w:line="259" w:lineRule="auto"/>
              <w:rPr>
                <w:rFonts w:ascii="Arial" w:hAnsi="Arial" w:cs="Arial"/>
              </w:rPr>
            </w:pPr>
            <w:r w:rsidRPr="00C43DA9">
              <w:rPr>
                <w:rFonts w:ascii="Arial" w:hAnsi="Arial" w:cs="Arial"/>
              </w:rPr>
              <w:t>Banana peel compost</w:t>
            </w:r>
          </w:p>
        </w:tc>
        <w:tc>
          <w:tcPr>
            <w:tcW w:w="0" w:type="auto"/>
            <w:hideMark/>
          </w:tcPr>
          <w:p w14:paraId="2B3A8BB8" w14:textId="77777777" w:rsidR="00B82F55" w:rsidRPr="00C43DA9" w:rsidRDefault="00B82F55" w:rsidP="0032526C">
            <w:pPr>
              <w:spacing w:after="160" w:line="259" w:lineRule="auto"/>
              <w:rPr>
                <w:rFonts w:ascii="Arial" w:hAnsi="Arial" w:cs="Arial"/>
              </w:rPr>
            </w:pPr>
            <w:r w:rsidRPr="00C43DA9">
              <w:rPr>
                <w:rFonts w:ascii="Arial" w:hAnsi="Arial" w:cs="Arial"/>
              </w:rPr>
              <w:t>Enhanced plant growth</w:t>
            </w:r>
          </w:p>
        </w:tc>
        <w:tc>
          <w:tcPr>
            <w:tcW w:w="0" w:type="auto"/>
            <w:hideMark/>
          </w:tcPr>
          <w:p w14:paraId="000ED968" w14:textId="77777777" w:rsidR="00B82F55" w:rsidRPr="00C43DA9" w:rsidRDefault="00B82F55" w:rsidP="0032526C">
            <w:pPr>
              <w:spacing w:after="160" w:line="259" w:lineRule="auto"/>
              <w:rPr>
                <w:rFonts w:ascii="Arial" w:hAnsi="Arial" w:cs="Arial"/>
              </w:rPr>
            </w:pPr>
            <w:r w:rsidRPr="00C43DA9">
              <w:rPr>
                <w:rFonts w:ascii="Arial" w:hAnsi="Arial" w:cs="Arial"/>
              </w:rPr>
              <w:t>Vessey, 2003; Kumar et al. 2020</w:t>
            </w:r>
          </w:p>
        </w:tc>
      </w:tr>
      <w:tr w:rsidR="00B82F55" w:rsidRPr="00C43DA9" w14:paraId="7FCCCFAD" w14:textId="77777777" w:rsidTr="0032526C">
        <w:tc>
          <w:tcPr>
            <w:tcW w:w="0" w:type="auto"/>
            <w:hideMark/>
          </w:tcPr>
          <w:p w14:paraId="0CFFDEF6" w14:textId="77777777" w:rsidR="00B82F55" w:rsidRPr="00C43DA9" w:rsidRDefault="00B82F55" w:rsidP="0032526C">
            <w:pPr>
              <w:spacing w:after="160" w:line="259" w:lineRule="auto"/>
              <w:rPr>
                <w:rFonts w:ascii="Arial" w:hAnsi="Arial" w:cs="Arial"/>
              </w:rPr>
            </w:pPr>
            <w:r w:rsidRPr="00C43DA9">
              <w:rPr>
                <w:rFonts w:ascii="Arial" w:hAnsi="Arial" w:cs="Arial"/>
                <w:i/>
                <w:iCs/>
              </w:rPr>
              <w:t>Pseudomonas fluorescens</w:t>
            </w:r>
          </w:p>
        </w:tc>
        <w:tc>
          <w:tcPr>
            <w:tcW w:w="0" w:type="auto"/>
            <w:hideMark/>
          </w:tcPr>
          <w:p w14:paraId="4F192A2E" w14:textId="77777777" w:rsidR="00B82F55" w:rsidRPr="00C43DA9" w:rsidRDefault="00B82F55" w:rsidP="0032526C">
            <w:pPr>
              <w:spacing w:after="160" w:line="259" w:lineRule="auto"/>
              <w:rPr>
                <w:rFonts w:ascii="Arial" w:hAnsi="Arial" w:cs="Arial"/>
              </w:rPr>
            </w:pPr>
            <w:r w:rsidRPr="00C43DA9">
              <w:rPr>
                <w:rFonts w:ascii="Arial" w:hAnsi="Arial" w:cs="Arial"/>
              </w:rPr>
              <w:t>Siderophore and auxin production</w:t>
            </w:r>
          </w:p>
        </w:tc>
        <w:tc>
          <w:tcPr>
            <w:tcW w:w="0" w:type="auto"/>
            <w:hideMark/>
          </w:tcPr>
          <w:p w14:paraId="13740400" w14:textId="77777777" w:rsidR="00B82F55" w:rsidRPr="00C43DA9" w:rsidRDefault="00B82F55" w:rsidP="0032526C">
            <w:pPr>
              <w:spacing w:after="160" w:line="259" w:lineRule="auto"/>
              <w:rPr>
                <w:rFonts w:ascii="Arial" w:hAnsi="Arial" w:cs="Arial"/>
              </w:rPr>
            </w:pPr>
            <w:r w:rsidRPr="00C43DA9">
              <w:rPr>
                <w:rFonts w:ascii="Arial" w:hAnsi="Arial" w:cs="Arial"/>
              </w:rPr>
              <w:t>Crop residues</w:t>
            </w:r>
          </w:p>
        </w:tc>
        <w:tc>
          <w:tcPr>
            <w:tcW w:w="0" w:type="auto"/>
            <w:hideMark/>
          </w:tcPr>
          <w:p w14:paraId="64CA2CF2" w14:textId="77777777" w:rsidR="00B82F55" w:rsidRPr="00C43DA9" w:rsidRDefault="00B82F55" w:rsidP="0032526C">
            <w:pPr>
              <w:spacing w:after="160" w:line="259" w:lineRule="auto"/>
              <w:rPr>
                <w:rFonts w:ascii="Arial" w:hAnsi="Arial" w:cs="Arial"/>
              </w:rPr>
            </w:pPr>
            <w:r w:rsidRPr="00C43DA9">
              <w:rPr>
                <w:rFonts w:ascii="Arial" w:hAnsi="Arial" w:cs="Arial"/>
              </w:rPr>
              <w:t>Biocontrol &amp; root stimulation</w:t>
            </w:r>
          </w:p>
        </w:tc>
        <w:tc>
          <w:tcPr>
            <w:tcW w:w="0" w:type="auto"/>
            <w:hideMark/>
          </w:tcPr>
          <w:p w14:paraId="3B2B1B8D" w14:textId="77777777" w:rsidR="00B82F55" w:rsidRPr="00C43DA9" w:rsidRDefault="00B82F55" w:rsidP="0032526C">
            <w:pPr>
              <w:spacing w:after="160" w:line="259" w:lineRule="auto"/>
              <w:rPr>
                <w:rFonts w:ascii="Arial" w:hAnsi="Arial" w:cs="Arial"/>
              </w:rPr>
            </w:pPr>
            <w:r w:rsidRPr="00C43DA9">
              <w:rPr>
                <w:rFonts w:ascii="Arial" w:hAnsi="Arial" w:cs="Arial"/>
              </w:rPr>
              <w:t>Weller, 2007; Raaijmakers et al. 2010</w:t>
            </w:r>
          </w:p>
        </w:tc>
      </w:tr>
      <w:tr w:rsidR="00B82F55" w:rsidRPr="00C43DA9" w14:paraId="5E5136F6" w14:textId="77777777" w:rsidTr="0032526C">
        <w:tc>
          <w:tcPr>
            <w:tcW w:w="0" w:type="auto"/>
            <w:hideMark/>
          </w:tcPr>
          <w:p w14:paraId="6F482FC8" w14:textId="77777777" w:rsidR="00B82F55" w:rsidRPr="00C43DA9" w:rsidRDefault="00B82F55" w:rsidP="0032526C">
            <w:pPr>
              <w:spacing w:after="160" w:line="259" w:lineRule="auto"/>
              <w:rPr>
                <w:rFonts w:ascii="Arial" w:hAnsi="Arial" w:cs="Arial"/>
              </w:rPr>
            </w:pPr>
            <w:r w:rsidRPr="00C43DA9">
              <w:rPr>
                <w:rFonts w:ascii="Arial" w:hAnsi="Arial" w:cs="Arial"/>
                <w:i/>
                <w:iCs/>
              </w:rPr>
              <w:t>Rhizobium</w:t>
            </w:r>
            <w:r w:rsidRPr="00C43DA9">
              <w:rPr>
                <w:rFonts w:ascii="Arial" w:hAnsi="Arial" w:cs="Arial"/>
              </w:rPr>
              <w:t xml:space="preserve"> + </w:t>
            </w:r>
            <w:proofErr w:type="spellStart"/>
            <w:r w:rsidRPr="00C43DA9">
              <w:rPr>
                <w:rFonts w:ascii="Arial" w:hAnsi="Arial" w:cs="Arial"/>
                <w:i/>
                <w:iCs/>
              </w:rPr>
              <w:t>Azospirillum</w:t>
            </w:r>
            <w:proofErr w:type="spellEnd"/>
          </w:p>
        </w:tc>
        <w:tc>
          <w:tcPr>
            <w:tcW w:w="0" w:type="auto"/>
            <w:hideMark/>
          </w:tcPr>
          <w:p w14:paraId="3F5E0950" w14:textId="77777777" w:rsidR="00B82F55" w:rsidRPr="00C43DA9" w:rsidRDefault="00B82F55" w:rsidP="0032526C">
            <w:pPr>
              <w:spacing w:after="160" w:line="259" w:lineRule="auto"/>
              <w:rPr>
                <w:rFonts w:ascii="Arial" w:hAnsi="Arial" w:cs="Arial"/>
              </w:rPr>
            </w:pPr>
            <w:r w:rsidRPr="00C43DA9">
              <w:rPr>
                <w:rFonts w:ascii="Arial" w:hAnsi="Arial" w:cs="Arial"/>
              </w:rPr>
              <w:t>Nitrogen fixation</w:t>
            </w:r>
          </w:p>
        </w:tc>
        <w:tc>
          <w:tcPr>
            <w:tcW w:w="0" w:type="auto"/>
            <w:hideMark/>
          </w:tcPr>
          <w:p w14:paraId="15980D12" w14:textId="77777777" w:rsidR="00B82F55" w:rsidRPr="00C43DA9" w:rsidRDefault="00B82F55" w:rsidP="0032526C">
            <w:pPr>
              <w:spacing w:after="160" w:line="259" w:lineRule="auto"/>
              <w:rPr>
                <w:rFonts w:ascii="Arial" w:hAnsi="Arial" w:cs="Arial"/>
              </w:rPr>
            </w:pPr>
            <w:r w:rsidRPr="00C43DA9">
              <w:rPr>
                <w:rFonts w:ascii="Arial" w:hAnsi="Arial" w:cs="Arial"/>
              </w:rPr>
              <w:t>Mixed residues</w:t>
            </w:r>
          </w:p>
        </w:tc>
        <w:tc>
          <w:tcPr>
            <w:tcW w:w="0" w:type="auto"/>
            <w:hideMark/>
          </w:tcPr>
          <w:p w14:paraId="053A1833" w14:textId="77777777" w:rsidR="00B82F55" w:rsidRPr="00C43DA9" w:rsidRDefault="00B82F55" w:rsidP="0032526C">
            <w:pPr>
              <w:spacing w:after="160" w:line="259" w:lineRule="auto"/>
              <w:rPr>
                <w:rFonts w:ascii="Arial" w:hAnsi="Arial" w:cs="Arial"/>
              </w:rPr>
            </w:pPr>
            <w:r w:rsidRPr="00C43DA9">
              <w:rPr>
                <w:rFonts w:ascii="Arial" w:hAnsi="Arial" w:cs="Arial"/>
              </w:rPr>
              <w:t>Improved root nodulation</w:t>
            </w:r>
          </w:p>
        </w:tc>
        <w:tc>
          <w:tcPr>
            <w:tcW w:w="0" w:type="auto"/>
            <w:hideMark/>
          </w:tcPr>
          <w:p w14:paraId="20BF19E5" w14:textId="77777777" w:rsidR="00B82F55" w:rsidRPr="00C43DA9" w:rsidRDefault="00B82F55" w:rsidP="0032526C">
            <w:pPr>
              <w:spacing w:after="160" w:line="259" w:lineRule="auto"/>
              <w:rPr>
                <w:rFonts w:ascii="Arial" w:hAnsi="Arial" w:cs="Arial"/>
              </w:rPr>
            </w:pPr>
            <w:r w:rsidRPr="00C43DA9">
              <w:rPr>
                <w:rFonts w:ascii="Arial" w:hAnsi="Arial" w:cs="Arial"/>
              </w:rPr>
              <w:t>Bashan &amp; de-Bashan, 2010; Bhattacharyya &amp; Jha, 2012</w:t>
            </w:r>
          </w:p>
        </w:tc>
      </w:tr>
      <w:tr w:rsidR="00B82F55" w:rsidRPr="00C43DA9" w14:paraId="5D21F669" w14:textId="77777777" w:rsidTr="0032526C">
        <w:tc>
          <w:tcPr>
            <w:tcW w:w="0" w:type="auto"/>
            <w:hideMark/>
          </w:tcPr>
          <w:p w14:paraId="6CB67439" w14:textId="77777777" w:rsidR="00B82F55" w:rsidRPr="00C43DA9" w:rsidRDefault="00B82F55" w:rsidP="0032526C">
            <w:pPr>
              <w:spacing w:after="160" w:line="259" w:lineRule="auto"/>
              <w:rPr>
                <w:rFonts w:ascii="Arial" w:hAnsi="Arial" w:cs="Arial"/>
              </w:rPr>
            </w:pPr>
            <w:r w:rsidRPr="00C43DA9">
              <w:rPr>
                <w:rFonts w:ascii="Arial" w:hAnsi="Arial" w:cs="Arial"/>
              </w:rPr>
              <w:t>Actinomycetes spp.</w:t>
            </w:r>
          </w:p>
        </w:tc>
        <w:tc>
          <w:tcPr>
            <w:tcW w:w="0" w:type="auto"/>
            <w:hideMark/>
          </w:tcPr>
          <w:p w14:paraId="2E95AE63" w14:textId="77777777" w:rsidR="00B82F55" w:rsidRPr="00C43DA9" w:rsidRDefault="00B82F55" w:rsidP="0032526C">
            <w:pPr>
              <w:spacing w:after="160" w:line="259" w:lineRule="auto"/>
              <w:rPr>
                <w:rFonts w:ascii="Arial" w:hAnsi="Arial" w:cs="Arial"/>
              </w:rPr>
            </w:pPr>
            <w:r w:rsidRPr="00C43DA9">
              <w:rPr>
                <w:rFonts w:ascii="Arial" w:hAnsi="Arial" w:cs="Arial"/>
              </w:rPr>
              <w:t>Lignin oxidation</w:t>
            </w:r>
          </w:p>
        </w:tc>
        <w:tc>
          <w:tcPr>
            <w:tcW w:w="0" w:type="auto"/>
            <w:hideMark/>
          </w:tcPr>
          <w:p w14:paraId="3F4FD339" w14:textId="77777777" w:rsidR="00B82F55" w:rsidRPr="00C43DA9" w:rsidRDefault="00B82F55" w:rsidP="0032526C">
            <w:pPr>
              <w:spacing w:after="160" w:line="259" w:lineRule="auto"/>
              <w:rPr>
                <w:rFonts w:ascii="Arial" w:hAnsi="Arial" w:cs="Arial"/>
              </w:rPr>
            </w:pPr>
            <w:r w:rsidRPr="00C43DA9">
              <w:rPr>
                <w:rFonts w:ascii="Arial" w:hAnsi="Arial" w:cs="Arial"/>
              </w:rPr>
              <w:t>Lignocellulosic waste</w:t>
            </w:r>
          </w:p>
        </w:tc>
        <w:tc>
          <w:tcPr>
            <w:tcW w:w="0" w:type="auto"/>
            <w:hideMark/>
          </w:tcPr>
          <w:p w14:paraId="74670194" w14:textId="77777777" w:rsidR="00B82F55" w:rsidRPr="00C43DA9" w:rsidRDefault="00B82F55" w:rsidP="0032526C">
            <w:pPr>
              <w:spacing w:after="160" w:line="259" w:lineRule="auto"/>
              <w:rPr>
                <w:rFonts w:ascii="Arial" w:hAnsi="Arial" w:cs="Arial"/>
              </w:rPr>
            </w:pPr>
            <w:r w:rsidRPr="00C43DA9">
              <w:rPr>
                <w:rFonts w:ascii="Arial" w:hAnsi="Arial" w:cs="Arial"/>
              </w:rPr>
              <w:t>Faster compost maturity</w:t>
            </w:r>
          </w:p>
        </w:tc>
        <w:tc>
          <w:tcPr>
            <w:tcW w:w="0" w:type="auto"/>
            <w:hideMark/>
          </w:tcPr>
          <w:p w14:paraId="2EB47CBC" w14:textId="77777777" w:rsidR="00B82F55" w:rsidRPr="00C43DA9" w:rsidRDefault="00B82F55" w:rsidP="0032526C">
            <w:pPr>
              <w:spacing w:after="160" w:line="259" w:lineRule="auto"/>
              <w:rPr>
                <w:rFonts w:ascii="Arial" w:hAnsi="Arial" w:cs="Arial"/>
              </w:rPr>
            </w:pPr>
            <w:r w:rsidRPr="00C43DA9">
              <w:rPr>
                <w:rFonts w:ascii="Arial" w:hAnsi="Arial" w:cs="Arial"/>
              </w:rPr>
              <w:t>Goodfellow &amp; Williams, 1983; Zhang et al. 2016</w:t>
            </w:r>
          </w:p>
        </w:tc>
      </w:tr>
    </w:tbl>
    <w:p w14:paraId="7AF70A3C" w14:textId="77777777" w:rsidR="00B82F55" w:rsidRPr="00C43DA9" w:rsidRDefault="00B82F55" w:rsidP="00B82F55">
      <w:pPr>
        <w:rPr>
          <w:rFonts w:ascii="Arial" w:hAnsi="Arial" w:cs="Arial"/>
          <w:b/>
          <w:bCs/>
          <w:sz w:val="22"/>
          <w:szCs w:val="22"/>
        </w:rPr>
      </w:pPr>
    </w:p>
    <w:p w14:paraId="725095CE" w14:textId="77777777" w:rsidR="00B82F55" w:rsidRPr="00C43DA9" w:rsidRDefault="00B82F55" w:rsidP="00B82F55">
      <w:pPr>
        <w:rPr>
          <w:rFonts w:ascii="Arial" w:hAnsi="Arial" w:cs="Arial"/>
          <w:b/>
          <w:bCs/>
          <w:sz w:val="22"/>
          <w:szCs w:val="22"/>
        </w:rPr>
      </w:pPr>
      <w:bookmarkStart w:id="1" w:name="_Hlk212122695"/>
    </w:p>
    <w:p w14:paraId="18900356" w14:textId="77777777" w:rsidR="00B82F55" w:rsidRPr="00C43DA9" w:rsidRDefault="00B82F55" w:rsidP="00B82F55">
      <w:pPr>
        <w:jc w:val="center"/>
        <w:rPr>
          <w:rFonts w:ascii="Arial" w:hAnsi="Arial" w:cs="Arial"/>
          <w:b/>
          <w:bCs/>
          <w:sz w:val="22"/>
          <w:szCs w:val="22"/>
        </w:rPr>
      </w:pPr>
      <w:r w:rsidRPr="00C43DA9">
        <w:rPr>
          <w:rFonts w:ascii="Arial" w:hAnsi="Arial" w:cs="Arial"/>
          <w:b/>
          <w:bCs/>
          <w:noProof/>
          <w:sz w:val="22"/>
          <w:szCs w:val="22"/>
        </w:rPr>
        <w:drawing>
          <wp:inline distT="0" distB="0" distL="0" distR="0" wp14:anchorId="06EDE31E" wp14:editId="6F2EB62F">
            <wp:extent cx="2409825" cy="1920412"/>
            <wp:effectExtent l="0" t="0" r="0" b="3810"/>
            <wp:docPr id="13550958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95833" name=""/>
                    <pic:cNvPicPr/>
                  </pic:nvPicPr>
                  <pic:blipFill>
                    <a:blip r:embed="rId14"/>
                    <a:stretch>
                      <a:fillRect/>
                    </a:stretch>
                  </pic:blipFill>
                  <pic:spPr>
                    <a:xfrm>
                      <a:off x="0" y="0"/>
                      <a:ext cx="2416539" cy="1925762"/>
                    </a:xfrm>
                    <a:prstGeom prst="rect">
                      <a:avLst/>
                    </a:prstGeom>
                  </pic:spPr>
                </pic:pic>
              </a:graphicData>
            </a:graphic>
          </wp:inline>
        </w:drawing>
      </w:r>
    </w:p>
    <w:p w14:paraId="67DCCBB0" w14:textId="77777777" w:rsidR="00B82F55" w:rsidRPr="00C43DA9" w:rsidRDefault="00B82F55" w:rsidP="00B82F55">
      <w:pPr>
        <w:jc w:val="center"/>
        <w:rPr>
          <w:rFonts w:ascii="Arial" w:hAnsi="Arial" w:cs="Arial"/>
          <w:b/>
          <w:bCs/>
          <w:sz w:val="22"/>
          <w:szCs w:val="22"/>
        </w:rPr>
      </w:pPr>
      <w:r w:rsidRPr="00C43DA9">
        <w:rPr>
          <w:rFonts w:ascii="Arial" w:hAnsi="Arial" w:cs="Arial"/>
          <w:b/>
          <w:bCs/>
          <w:sz w:val="22"/>
          <w:szCs w:val="22"/>
        </w:rPr>
        <w:t xml:space="preserve">Fig.1. </w:t>
      </w:r>
      <w:r w:rsidRPr="00C43DA9">
        <w:rPr>
          <w:rFonts w:ascii="Arial" w:hAnsi="Arial" w:cs="Arial"/>
          <w:sz w:val="22"/>
          <w:szCs w:val="22"/>
        </w:rPr>
        <w:t>Types of usage of Banana peel as biofertilizer</w:t>
      </w:r>
    </w:p>
    <w:bookmarkEnd w:id="1"/>
    <w:p w14:paraId="1C7F09CA" w14:textId="77777777" w:rsidR="00B82F55" w:rsidRPr="00C43DA9" w:rsidRDefault="00B82F55" w:rsidP="00B82F55">
      <w:pPr>
        <w:rPr>
          <w:rFonts w:ascii="Arial" w:hAnsi="Arial" w:cs="Arial"/>
          <w:b/>
          <w:bCs/>
          <w:sz w:val="22"/>
          <w:szCs w:val="22"/>
        </w:rPr>
      </w:pPr>
    </w:p>
    <w:p w14:paraId="50A73E9B" w14:textId="77777777" w:rsidR="00B82F55" w:rsidRPr="00C43DA9" w:rsidRDefault="00B82F55" w:rsidP="00B82F55">
      <w:pPr>
        <w:rPr>
          <w:rFonts w:ascii="Arial" w:hAnsi="Arial" w:cs="Arial"/>
          <w:b/>
          <w:bCs/>
          <w:sz w:val="22"/>
          <w:szCs w:val="22"/>
        </w:rPr>
      </w:pPr>
    </w:p>
    <w:p w14:paraId="0D5F259C" w14:textId="77777777" w:rsidR="003D5B2E" w:rsidRPr="003D5B2E" w:rsidRDefault="003D5B2E" w:rsidP="003D5B2E">
      <w:pPr>
        <w:spacing w:after="200" w:line="276" w:lineRule="auto"/>
        <w:jc w:val="both"/>
        <w:outlineLvl w:val="0"/>
        <w:rPr>
          <w:rFonts w:ascii="Arial" w:eastAsiaTheme="minorEastAsia" w:hAnsi="Arial" w:cs="Arial"/>
          <w:sz w:val="22"/>
          <w:szCs w:val="22"/>
          <w:lang w:val="en-GB" w:eastAsia="en-GB"/>
        </w:rPr>
      </w:pPr>
      <w:r w:rsidRPr="003D5B2E">
        <w:rPr>
          <w:rFonts w:ascii="Arial" w:eastAsiaTheme="minorEastAsia" w:hAnsi="Arial" w:cs="Arial"/>
          <w:b/>
          <w:bCs/>
          <w:sz w:val="22"/>
          <w:szCs w:val="22"/>
          <w:lang w:val="en-GB" w:eastAsia="en-GB"/>
        </w:rPr>
        <w:lastRenderedPageBreak/>
        <w:t>COMPETING INTERESTS DISCLAIMER:</w:t>
      </w:r>
    </w:p>
    <w:p w14:paraId="16327C29" w14:textId="77777777" w:rsidR="003D5B2E" w:rsidRPr="003D5B2E" w:rsidRDefault="003D5B2E" w:rsidP="003D5B2E">
      <w:pPr>
        <w:spacing w:after="200" w:line="276" w:lineRule="auto"/>
        <w:rPr>
          <w:rFonts w:asciiTheme="minorHAnsi" w:eastAsiaTheme="minorEastAsia" w:hAnsiTheme="minorHAnsi" w:cstheme="minorBidi"/>
          <w:sz w:val="22"/>
          <w:szCs w:val="22"/>
          <w:lang w:val="en-GB" w:eastAsia="en-GB"/>
        </w:rPr>
      </w:pPr>
      <w:r w:rsidRPr="003D5B2E">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B19B14D" w14:textId="77777777" w:rsidR="00B82F55" w:rsidRPr="00C43DA9" w:rsidRDefault="00B82F55" w:rsidP="00B82F55">
      <w:pPr>
        <w:rPr>
          <w:rFonts w:ascii="Arial" w:hAnsi="Arial" w:cs="Arial"/>
          <w:b/>
          <w:bCs/>
          <w:sz w:val="22"/>
          <w:szCs w:val="22"/>
        </w:rPr>
      </w:pPr>
    </w:p>
    <w:p w14:paraId="63B3AD83" w14:textId="77777777" w:rsidR="00B82F55" w:rsidRPr="00C43DA9" w:rsidRDefault="00B82F55" w:rsidP="00B82F55">
      <w:pPr>
        <w:rPr>
          <w:rFonts w:ascii="Arial" w:hAnsi="Arial" w:cs="Arial"/>
          <w:b/>
          <w:bCs/>
          <w:sz w:val="22"/>
          <w:szCs w:val="22"/>
        </w:rPr>
      </w:pPr>
    </w:p>
    <w:p w14:paraId="7F1472EC" w14:textId="77777777" w:rsidR="00B82F55" w:rsidRPr="00C43DA9" w:rsidRDefault="00B82F55" w:rsidP="00B82F55">
      <w:pPr>
        <w:rPr>
          <w:rFonts w:ascii="Arial" w:hAnsi="Arial" w:cs="Arial"/>
          <w:b/>
          <w:bCs/>
          <w:sz w:val="22"/>
          <w:szCs w:val="22"/>
        </w:rPr>
      </w:pPr>
    </w:p>
    <w:p w14:paraId="4E89BCFF" w14:textId="77777777" w:rsidR="00B82F55" w:rsidRPr="00C43DA9" w:rsidRDefault="00B82F55" w:rsidP="00B82F55">
      <w:pPr>
        <w:rPr>
          <w:rFonts w:ascii="Arial" w:hAnsi="Arial" w:cs="Arial"/>
          <w:b/>
          <w:bCs/>
          <w:sz w:val="22"/>
          <w:szCs w:val="22"/>
        </w:rPr>
      </w:pPr>
      <w:r w:rsidRPr="00C43DA9">
        <w:rPr>
          <w:rFonts w:ascii="Arial" w:hAnsi="Arial" w:cs="Arial"/>
          <w:b/>
          <w:bCs/>
          <w:sz w:val="22"/>
          <w:szCs w:val="22"/>
        </w:rPr>
        <w:t>References</w:t>
      </w:r>
    </w:p>
    <w:p w14:paraId="152466D2"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Ait-Kaddour, A., </w:t>
      </w:r>
      <w:proofErr w:type="spellStart"/>
      <w:r w:rsidRPr="00C43DA9">
        <w:rPr>
          <w:rFonts w:ascii="Arial" w:hAnsi="Arial" w:cs="Arial"/>
        </w:rPr>
        <w:t>Bensmaili</w:t>
      </w:r>
      <w:proofErr w:type="spellEnd"/>
      <w:r w:rsidRPr="00C43DA9">
        <w:rPr>
          <w:rFonts w:ascii="Arial" w:hAnsi="Arial" w:cs="Arial"/>
        </w:rPr>
        <w:t xml:space="preserve">, A., &amp; </w:t>
      </w:r>
      <w:proofErr w:type="spellStart"/>
      <w:r w:rsidRPr="00C43DA9">
        <w:rPr>
          <w:rFonts w:ascii="Arial" w:hAnsi="Arial" w:cs="Arial"/>
        </w:rPr>
        <w:t>Moulai-Mostefa</w:t>
      </w:r>
      <w:proofErr w:type="spellEnd"/>
      <w:r w:rsidRPr="00C43DA9">
        <w:rPr>
          <w:rFonts w:ascii="Arial" w:hAnsi="Arial" w:cs="Arial"/>
        </w:rPr>
        <w:t xml:space="preserve">, N. (2024). Transforming plant-based waste and by-products into valuable products: Potential of Industry 4.0. </w:t>
      </w:r>
      <w:r w:rsidRPr="00C43DA9">
        <w:rPr>
          <w:rFonts w:ascii="Arial" w:hAnsi="Arial" w:cs="Arial"/>
          <w:i/>
          <w:iCs/>
        </w:rPr>
        <w:t>Science of the Total Environment, 869</w:t>
      </w:r>
      <w:r w:rsidRPr="00C43DA9">
        <w:rPr>
          <w:rFonts w:ascii="Arial" w:hAnsi="Arial" w:cs="Arial"/>
        </w:rPr>
        <w:t>, 161520. https://doi.org/10.1016/j.scitotenv.2023.161520</w:t>
      </w:r>
    </w:p>
    <w:p w14:paraId="30893425"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Ammar, E. E., &amp; El-Sayed, S. M. (2023). A comprehensive overview of eco-friendly bio-fertilizers and their applications in sustainable agriculture. </w:t>
      </w:r>
      <w:r w:rsidRPr="00C43DA9">
        <w:rPr>
          <w:rFonts w:ascii="Arial" w:hAnsi="Arial" w:cs="Arial"/>
          <w:i/>
          <w:iCs/>
        </w:rPr>
        <w:t>Environmental Science and Pollution Research, 30</w:t>
      </w:r>
      <w:r w:rsidRPr="00C43DA9">
        <w:rPr>
          <w:rFonts w:ascii="Arial" w:hAnsi="Arial" w:cs="Arial"/>
        </w:rPr>
        <w:t>(12), 34567–34589. https://doi.org/10.1007/s11356-023-27535-1</w:t>
      </w:r>
    </w:p>
    <w:p w14:paraId="1AA24F94"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Bashan, Y., &amp; de-Bashan, L. E. (2010). How the plant growth-promoting bacterium </w:t>
      </w:r>
      <w:proofErr w:type="spellStart"/>
      <w:r w:rsidRPr="00C43DA9">
        <w:rPr>
          <w:rFonts w:ascii="Arial" w:hAnsi="Arial" w:cs="Arial"/>
        </w:rPr>
        <w:t>Azospirillum</w:t>
      </w:r>
      <w:proofErr w:type="spellEnd"/>
      <w:r w:rsidRPr="00C43DA9">
        <w:rPr>
          <w:rFonts w:ascii="Arial" w:hAnsi="Arial" w:cs="Arial"/>
        </w:rPr>
        <w:t xml:space="preserve"> promotes plant growth—a critical assessment. </w:t>
      </w:r>
      <w:r w:rsidRPr="00C43DA9">
        <w:rPr>
          <w:rFonts w:ascii="Arial" w:hAnsi="Arial" w:cs="Arial"/>
          <w:i/>
          <w:iCs/>
        </w:rPr>
        <w:t>Advances in Agronomy, 108</w:t>
      </w:r>
      <w:r w:rsidRPr="00C43DA9">
        <w:rPr>
          <w:rFonts w:ascii="Arial" w:hAnsi="Arial" w:cs="Arial"/>
        </w:rPr>
        <w:t>, 77–136. https://doi.org/10.1016/S0065-2113(10)08002-6</w:t>
      </w:r>
    </w:p>
    <w:p w14:paraId="5FD395F7"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Bhattacharyya, P. N., &amp; Jha, D. K. (2012). Plant growth-promoting rhizobacteria (PGPR): Emergence in agriculture. </w:t>
      </w:r>
      <w:r w:rsidRPr="00C43DA9">
        <w:rPr>
          <w:rFonts w:ascii="Arial" w:hAnsi="Arial" w:cs="Arial"/>
          <w:i/>
          <w:iCs/>
        </w:rPr>
        <w:t>World Journal of Microbiology and Biotechnology, 28</w:t>
      </w:r>
      <w:r w:rsidRPr="00C43DA9">
        <w:rPr>
          <w:rFonts w:ascii="Arial" w:hAnsi="Arial" w:cs="Arial"/>
        </w:rPr>
        <w:t>(4), 1327–1350. https://doi.org/10.1007/s11274-012-1071-7</w:t>
      </w:r>
    </w:p>
    <w:p w14:paraId="532CFD38"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Choudhury, N. (2023). Comprehensive review on the nutritional and therapeutic potentials of banana peels. </w:t>
      </w:r>
      <w:r w:rsidRPr="00C43DA9">
        <w:rPr>
          <w:rFonts w:ascii="Arial" w:hAnsi="Arial" w:cs="Arial"/>
          <w:i/>
          <w:iCs/>
        </w:rPr>
        <w:t>Food Research International, 165</w:t>
      </w:r>
      <w:r w:rsidRPr="00C43DA9">
        <w:rPr>
          <w:rFonts w:ascii="Arial" w:hAnsi="Arial" w:cs="Arial"/>
        </w:rPr>
        <w:t>, 112441. https://doi.org/10.1016/j.foodres.2023.112441</w:t>
      </w:r>
    </w:p>
    <w:p w14:paraId="7FFB3B09"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El </w:t>
      </w:r>
      <w:proofErr w:type="spellStart"/>
      <w:r w:rsidRPr="00C43DA9">
        <w:rPr>
          <w:rFonts w:ascii="Arial" w:hAnsi="Arial" w:cs="Arial"/>
        </w:rPr>
        <w:t>Barnossi</w:t>
      </w:r>
      <w:proofErr w:type="spellEnd"/>
      <w:r w:rsidRPr="00C43DA9">
        <w:rPr>
          <w:rFonts w:ascii="Arial" w:hAnsi="Arial" w:cs="Arial"/>
        </w:rPr>
        <w:t xml:space="preserve">, A., &amp; Fiallos-Cárdenas, M. (2022). Tangerine, banana, and pomegranate peels valorisation for sustainable environment: A review. </w:t>
      </w:r>
      <w:r w:rsidRPr="00C43DA9">
        <w:rPr>
          <w:rFonts w:ascii="Arial" w:hAnsi="Arial" w:cs="Arial"/>
          <w:i/>
          <w:iCs/>
        </w:rPr>
        <w:t>Biotechnology Reports, 32</w:t>
      </w:r>
      <w:r w:rsidRPr="00C43DA9">
        <w:rPr>
          <w:rFonts w:ascii="Arial" w:hAnsi="Arial" w:cs="Arial"/>
        </w:rPr>
        <w:t>, e00757. https://doi.org/10.1016/j.btre.2021.e00757</w:t>
      </w:r>
    </w:p>
    <w:p w14:paraId="6414C579"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Emmanuel, J. K., &amp; Osei, E. (2025). Potential contributions of banana fruits and residues to sustainable agriculture. </w:t>
      </w:r>
      <w:r w:rsidRPr="00C43DA9">
        <w:rPr>
          <w:rFonts w:ascii="Arial" w:hAnsi="Arial" w:cs="Arial"/>
          <w:i/>
          <w:iCs/>
        </w:rPr>
        <w:t>SAGE Open, 15</w:t>
      </w:r>
      <w:r w:rsidRPr="00C43DA9">
        <w:rPr>
          <w:rFonts w:ascii="Arial" w:hAnsi="Arial" w:cs="Arial"/>
        </w:rPr>
        <w:t>(1), 21582440221132015. https://doi.org/10.1177/21582440221132015</w:t>
      </w:r>
    </w:p>
    <w:p w14:paraId="0BE8A0E1"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Goodfellow, M., &amp; Williams, S. T. (1983). Ecology of actinomycetes. </w:t>
      </w:r>
      <w:r w:rsidRPr="00C43DA9">
        <w:rPr>
          <w:rFonts w:ascii="Arial" w:hAnsi="Arial" w:cs="Arial"/>
          <w:i/>
          <w:iCs/>
        </w:rPr>
        <w:t>Annual Review of Microbiology, 37</w:t>
      </w:r>
      <w:r w:rsidRPr="00C43DA9">
        <w:rPr>
          <w:rFonts w:ascii="Arial" w:hAnsi="Arial" w:cs="Arial"/>
        </w:rPr>
        <w:t>, 189–216. https://doi.org/10.1146/annurev.mi.37.100183.001205</w:t>
      </w:r>
    </w:p>
    <w:p w14:paraId="76709D1E"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Harman, G. E., Howell, C. R., Viterbo, A., Chet, I., &amp; Lorito, M. (2004). Trichoderma species—opportunistic, avirulent plant symbionts. </w:t>
      </w:r>
      <w:r w:rsidRPr="00C43DA9">
        <w:rPr>
          <w:rFonts w:ascii="Arial" w:hAnsi="Arial" w:cs="Arial"/>
          <w:i/>
          <w:iCs/>
        </w:rPr>
        <w:t>Nature Reviews Microbiology, 2</w:t>
      </w:r>
      <w:r w:rsidRPr="00C43DA9">
        <w:rPr>
          <w:rFonts w:ascii="Arial" w:hAnsi="Arial" w:cs="Arial"/>
        </w:rPr>
        <w:t>(1), 43–56. https://doi.org/10.1038/nrmicro797</w:t>
      </w:r>
    </w:p>
    <w:p w14:paraId="59488FBE"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Hussein, H. S., Shaarawy, H. H., Hussien, N. H., &amp; El-Sayed, A. M. (2019). Preparation of nano-fertilizer blend from banana peels. </w:t>
      </w:r>
      <w:r w:rsidRPr="00C43DA9">
        <w:rPr>
          <w:rFonts w:ascii="Arial" w:hAnsi="Arial" w:cs="Arial"/>
          <w:i/>
          <w:iCs/>
        </w:rPr>
        <w:t xml:space="preserve">Bulletin of the </w:t>
      </w:r>
      <w:r w:rsidRPr="00C43DA9">
        <w:rPr>
          <w:rFonts w:ascii="Arial" w:hAnsi="Arial" w:cs="Arial"/>
          <w:i/>
          <w:iCs/>
        </w:rPr>
        <w:lastRenderedPageBreak/>
        <w:t>National Research Centre, 43</w:t>
      </w:r>
      <w:r w:rsidRPr="00C43DA9">
        <w:rPr>
          <w:rFonts w:ascii="Arial" w:hAnsi="Arial" w:cs="Arial"/>
        </w:rPr>
        <w:t>, 26. https://doi.org/10.1186/s42269-019-0058-1</w:t>
      </w:r>
    </w:p>
    <w:p w14:paraId="4FBF5200"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Islam, M. S., &amp; Rahman, M. M. (2019). Biochar from banana peel: A sustainable approach to enhance soil fertility. </w:t>
      </w:r>
      <w:r w:rsidRPr="00C43DA9">
        <w:rPr>
          <w:rFonts w:ascii="Arial" w:hAnsi="Arial" w:cs="Arial"/>
          <w:i/>
          <w:iCs/>
        </w:rPr>
        <w:t>Environmental Technology &amp; Innovation, 15</w:t>
      </w:r>
      <w:r w:rsidRPr="00C43DA9">
        <w:rPr>
          <w:rFonts w:ascii="Arial" w:hAnsi="Arial" w:cs="Arial"/>
        </w:rPr>
        <w:t>, 100389. https://doi.org/10.1016/j.eti.2019.100389</w:t>
      </w:r>
    </w:p>
    <w:p w14:paraId="79B9AC01"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Kannan, S., &amp; </w:t>
      </w:r>
      <w:proofErr w:type="spellStart"/>
      <w:r w:rsidRPr="00C43DA9">
        <w:rPr>
          <w:rFonts w:ascii="Arial" w:hAnsi="Arial" w:cs="Arial"/>
        </w:rPr>
        <w:t>Kalapirran</w:t>
      </w:r>
      <w:proofErr w:type="spellEnd"/>
      <w:r w:rsidRPr="00C43DA9">
        <w:rPr>
          <w:rFonts w:ascii="Arial" w:hAnsi="Arial" w:cs="Arial"/>
        </w:rPr>
        <w:t xml:space="preserve">, S. (2022). Microbial management of agricultural residues for sustainable soil fertility. </w:t>
      </w:r>
      <w:r w:rsidRPr="00C43DA9">
        <w:rPr>
          <w:rFonts w:ascii="Arial" w:hAnsi="Arial" w:cs="Arial"/>
          <w:i/>
          <w:iCs/>
        </w:rPr>
        <w:t>Journal of Soil Science and Plant Nutrition, 22</w:t>
      </w:r>
      <w:r w:rsidRPr="00C43DA9">
        <w:rPr>
          <w:rFonts w:ascii="Arial" w:hAnsi="Arial" w:cs="Arial"/>
        </w:rPr>
        <w:t>(5), 1032–1045. https://doi.org/10.1007/s42729-022-00758-3</w:t>
      </w:r>
    </w:p>
    <w:p w14:paraId="630892AE"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lang w:val="pl-PL"/>
        </w:rPr>
        <w:t xml:space="preserve">Khanyile, N., Dlamini, N., &amp; Masenya, A. (2024). </w:t>
      </w:r>
      <w:r w:rsidRPr="00C43DA9">
        <w:rPr>
          <w:rFonts w:ascii="Arial" w:hAnsi="Arial" w:cs="Arial"/>
        </w:rPr>
        <w:t xml:space="preserve">Preparation of biofertilizers from banana peels: Their impact on soil and crop enhancement. </w:t>
      </w:r>
      <w:r w:rsidRPr="00C43DA9">
        <w:rPr>
          <w:rFonts w:ascii="Arial" w:hAnsi="Arial" w:cs="Arial"/>
          <w:i/>
          <w:iCs/>
        </w:rPr>
        <w:t>Agriculture, 14</w:t>
      </w:r>
      <w:r w:rsidRPr="00C43DA9">
        <w:rPr>
          <w:rFonts w:ascii="Arial" w:hAnsi="Arial" w:cs="Arial"/>
        </w:rPr>
        <w:t>(11), 1894. https://doi.org/10.3390/agriculture14111894</w:t>
      </w:r>
    </w:p>
    <w:p w14:paraId="5AF001D7"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Khanna, S., Singh, R., &amp; Sharma, P. (2019). Microbial inoculants in sustainable agriculture. </w:t>
      </w:r>
      <w:r w:rsidRPr="00C43DA9">
        <w:rPr>
          <w:rFonts w:ascii="Arial" w:hAnsi="Arial" w:cs="Arial"/>
          <w:i/>
          <w:iCs/>
        </w:rPr>
        <w:t>Springer Nature</w:t>
      </w:r>
      <w:r w:rsidRPr="00C43DA9">
        <w:rPr>
          <w:rFonts w:ascii="Arial" w:hAnsi="Arial" w:cs="Arial"/>
        </w:rPr>
        <w:t>. https://doi.org/10.1007/978-3-030-23223-5</w:t>
      </w:r>
    </w:p>
    <w:p w14:paraId="44836CC6"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Kumar, A., &amp; Singh, S. (2020). Bacillus subtilis: A potent phosphate solubilizer for sustainable agriculture. </w:t>
      </w:r>
      <w:r w:rsidRPr="00C43DA9">
        <w:rPr>
          <w:rFonts w:ascii="Arial" w:hAnsi="Arial" w:cs="Arial"/>
          <w:i/>
          <w:iCs/>
        </w:rPr>
        <w:t>Microorganisms, 8</w:t>
      </w:r>
      <w:r w:rsidRPr="00C43DA9">
        <w:rPr>
          <w:rFonts w:ascii="Arial" w:hAnsi="Arial" w:cs="Arial"/>
        </w:rPr>
        <w:t>(3), 459. https://doi.org/10.3390/microorganisms8030459</w:t>
      </w:r>
    </w:p>
    <w:p w14:paraId="00F0AF57"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Mercy, M., &amp; </w:t>
      </w:r>
      <w:proofErr w:type="spellStart"/>
      <w:r w:rsidRPr="00C43DA9">
        <w:rPr>
          <w:rFonts w:ascii="Arial" w:hAnsi="Arial" w:cs="Arial"/>
        </w:rPr>
        <w:t>Sogani</w:t>
      </w:r>
      <w:proofErr w:type="spellEnd"/>
      <w:r w:rsidRPr="00C43DA9">
        <w:rPr>
          <w:rFonts w:ascii="Arial" w:hAnsi="Arial" w:cs="Arial"/>
        </w:rPr>
        <w:t xml:space="preserve">, M. (2014). Preparation of biofertilizer blend from banana peels along with its application in agriculture and plant microbial fuel cell. </w:t>
      </w:r>
      <w:r w:rsidRPr="00C43DA9">
        <w:rPr>
          <w:rFonts w:ascii="Arial" w:hAnsi="Arial" w:cs="Arial"/>
          <w:i/>
          <w:iCs/>
        </w:rPr>
        <w:t>ResearchGate</w:t>
      </w:r>
      <w:r w:rsidRPr="00C43DA9">
        <w:rPr>
          <w:rFonts w:ascii="Arial" w:hAnsi="Arial" w:cs="Arial"/>
        </w:rPr>
        <w:t>. https://doi.org/10.13140/RG.2.1.2084.8882</w:t>
      </w:r>
    </w:p>
    <w:p w14:paraId="2C83540E"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Raaijmakers, J. M., &amp; Mazzola, M. (2010). Diversity and natural functions of antibiotics produced by beneficial and plant pathogenic bacteria. </w:t>
      </w:r>
      <w:r w:rsidRPr="00C43DA9">
        <w:rPr>
          <w:rFonts w:ascii="Arial" w:hAnsi="Arial" w:cs="Arial"/>
          <w:i/>
          <w:iCs/>
        </w:rPr>
        <w:t>Annual Review of Phytopathology, 48</w:t>
      </w:r>
      <w:r w:rsidRPr="00C43DA9">
        <w:rPr>
          <w:rFonts w:ascii="Arial" w:hAnsi="Arial" w:cs="Arial"/>
        </w:rPr>
        <w:t>, 403–424. https://doi.org/10.1146/annurev-phyto-073009-114501</w:t>
      </w:r>
    </w:p>
    <w:p w14:paraId="453C6073" w14:textId="77777777" w:rsidR="00B82F55" w:rsidRPr="00C43DA9" w:rsidRDefault="00B82F55" w:rsidP="00B82F55">
      <w:pPr>
        <w:pStyle w:val="ListParagraph"/>
        <w:numPr>
          <w:ilvl w:val="0"/>
          <w:numId w:val="31"/>
        </w:numPr>
        <w:jc w:val="both"/>
        <w:rPr>
          <w:rFonts w:ascii="Arial" w:hAnsi="Arial" w:cs="Arial"/>
        </w:rPr>
      </w:pPr>
      <w:proofErr w:type="spellStart"/>
      <w:r w:rsidRPr="00C43DA9">
        <w:rPr>
          <w:rFonts w:ascii="Arial" w:hAnsi="Arial" w:cs="Arial"/>
        </w:rPr>
        <w:t>Rinni</w:t>
      </w:r>
      <w:proofErr w:type="spellEnd"/>
      <w:r w:rsidRPr="00C43DA9">
        <w:rPr>
          <w:rFonts w:ascii="Arial" w:hAnsi="Arial" w:cs="Arial"/>
        </w:rPr>
        <w:t xml:space="preserve">, R. P., &amp; Diana Putri, R. (2023). Potential use of compost from banana peel waste to increase edamame productivity. </w:t>
      </w:r>
      <w:proofErr w:type="spellStart"/>
      <w:r w:rsidRPr="00C43DA9">
        <w:rPr>
          <w:rFonts w:ascii="Arial" w:hAnsi="Arial" w:cs="Arial"/>
          <w:i/>
          <w:iCs/>
        </w:rPr>
        <w:t>Liefde</w:t>
      </w:r>
      <w:proofErr w:type="spellEnd"/>
      <w:r w:rsidRPr="00C43DA9">
        <w:rPr>
          <w:rFonts w:ascii="Arial" w:hAnsi="Arial" w:cs="Arial"/>
          <w:i/>
          <w:iCs/>
        </w:rPr>
        <w:t xml:space="preserve"> </w:t>
      </w:r>
      <w:proofErr w:type="spellStart"/>
      <w:r w:rsidRPr="00C43DA9">
        <w:rPr>
          <w:rFonts w:ascii="Arial" w:hAnsi="Arial" w:cs="Arial"/>
          <w:i/>
          <w:iCs/>
        </w:rPr>
        <w:t>Agro</w:t>
      </w:r>
      <w:proofErr w:type="spellEnd"/>
      <w:r w:rsidRPr="00C43DA9">
        <w:rPr>
          <w:rFonts w:ascii="Arial" w:hAnsi="Arial" w:cs="Arial"/>
          <w:i/>
          <w:iCs/>
        </w:rPr>
        <w:t>, 1</w:t>
      </w:r>
      <w:r w:rsidRPr="00C43DA9">
        <w:rPr>
          <w:rFonts w:ascii="Arial" w:hAnsi="Arial" w:cs="Arial"/>
        </w:rPr>
        <w:t>(1), 17–24. https://doi.org/10.25077/liefde.1.1.17-24.2023</w:t>
      </w:r>
    </w:p>
    <w:p w14:paraId="384CE612"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Singh, R., &amp; Mehta, P. (2025). Integrated biorefineries for sustainable </w:t>
      </w:r>
      <w:proofErr w:type="spellStart"/>
      <w:r w:rsidRPr="00C43DA9">
        <w:rPr>
          <w:rFonts w:ascii="Arial" w:hAnsi="Arial" w:cs="Arial"/>
        </w:rPr>
        <w:t>valorization</w:t>
      </w:r>
      <w:proofErr w:type="spellEnd"/>
      <w:r w:rsidRPr="00C43DA9">
        <w:rPr>
          <w:rFonts w:ascii="Arial" w:hAnsi="Arial" w:cs="Arial"/>
        </w:rPr>
        <w:t xml:space="preserve"> of agricultural residues. </w:t>
      </w:r>
      <w:r w:rsidRPr="00C43DA9">
        <w:rPr>
          <w:rFonts w:ascii="Arial" w:hAnsi="Arial" w:cs="Arial"/>
          <w:i/>
          <w:iCs/>
        </w:rPr>
        <w:t>Bioresource Technology Reports, 15</w:t>
      </w:r>
      <w:r w:rsidRPr="00C43DA9">
        <w:rPr>
          <w:rFonts w:ascii="Arial" w:hAnsi="Arial" w:cs="Arial"/>
        </w:rPr>
        <w:t>, 100789. https://doi.org/10.1016/j.biteb.2025.100789</w:t>
      </w:r>
    </w:p>
    <w:p w14:paraId="79230ADD"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Vessey, J. K. (2003). Plant growth promoting rhizobacteria as biofertilizers. </w:t>
      </w:r>
      <w:r w:rsidRPr="00C43DA9">
        <w:rPr>
          <w:rFonts w:ascii="Arial" w:hAnsi="Arial" w:cs="Arial"/>
          <w:i/>
          <w:iCs/>
        </w:rPr>
        <w:t>Plant and Soil, 255</w:t>
      </w:r>
      <w:r w:rsidRPr="00C43DA9">
        <w:rPr>
          <w:rFonts w:ascii="Arial" w:hAnsi="Arial" w:cs="Arial"/>
        </w:rPr>
        <w:t>(2), 571–586. https://doi.org/10.1023/A:1053649905771</w:t>
      </w:r>
    </w:p>
    <w:p w14:paraId="5064C7AE"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Weller, D. M. (2007). Pseudomonas biocontrol agents of soilborne pathogens: Looking back over 30 years. </w:t>
      </w:r>
      <w:r w:rsidRPr="00C43DA9">
        <w:rPr>
          <w:rFonts w:ascii="Arial" w:hAnsi="Arial" w:cs="Arial"/>
          <w:i/>
          <w:iCs/>
        </w:rPr>
        <w:t>Phytopathology, 97</w:t>
      </w:r>
      <w:r w:rsidRPr="00C43DA9">
        <w:rPr>
          <w:rFonts w:ascii="Arial" w:hAnsi="Arial" w:cs="Arial"/>
        </w:rPr>
        <w:t>(2), 250–256. https://doi.org/10.1094/PHYTO-97-2-0250</w:t>
      </w:r>
    </w:p>
    <w:p w14:paraId="454D40BE" w14:textId="77777777" w:rsidR="00B82F55" w:rsidRPr="00C43DA9" w:rsidRDefault="00B82F55" w:rsidP="00B82F55">
      <w:pPr>
        <w:pStyle w:val="ListParagraph"/>
        <w:numPr>
          <w:ilvl w:val="0"/>
          <w:numId w:val="31"/>
        </w:numPr>
        <w:jc w:val="both"/>
        <w:rPr>
          <w:rFonts w:ascii="Arial" w:hAnsi="Arial" w:cs="Arial"/>
          <w:lang w:val="pl-PL"/>
        </w:rPr>
      </w:pPr>
      <w:r w:rsidRPr="00C43DA9">
        <w:rPr>
          <w:rFonts w:ascii="Arial" w:hAnsi="Arial" w:cs="Arial"/>
          <w:lang w:val="pl-PL"/>
        </w:rPr>
        <w:t xml:space="preserve">Zaini, M. A., &amp; Rini, R. P. (2022). </w:t>
      </w:r>
      <w:proofErr w:type="spellStart"/>
      <w:r w:rsidRPr="00C43DA9">
        <w:rPr>
          <w:rFonts w:ascii="Arial" w:hAnsi="Arial" w:cs="Arial"/>
        </w:rPr>
        <w:t>Valorization</w:t>
      </w:r>
      <w:proofErr w:type="spellEnd"/>
      <w:r w:rsidRPr="00C43DA9">
        <w:rPr>
          <w:rFonts w:ascii="Arial" w:hAnsi="Arial" w:cs="Arial"/>
        </w:rPr>
        <w:t xml:space="preserve"> of banana peel waste into mesoporous biogenic silica for biofertilizer applications. </w:t>
      </w:r>
      <w:r w:rsidRPr="00C43DA9">
        <w:rPr>
          <w:rFonts w:ascii="Arial" w:hAnsi="Arial" w:cs="Arial"/>
          <w:i/>
          <w:iCs/>
          <w:lang w:val="pl-PL"/>
        </w:rPr>
        <w:t>ACS Omega, 7</w:t>
      </w:r>
      <w:r w:rsidRPr="00C43DA9">
        <w:rPr>
          <w:rFonts w:ascii="Arial" w:hAnsi="Arial" w:cs="Arial"/>
          <w:lang w:val="pl-PL"/>
        </w:rPr>
        <w:t>(47), 42689–42697. https://doi.org/10.1021/acsomega.2c07476</w:t>
      </w:r>
    </w:p>
    <w:p w14:paraId="3FB98D65" w14:textId="77777777" w:rsidR="00B82F55" w:rsidRPr="00C43DA9" w:rsidRDefault="00B82F55" w:rsidP="00B82F55">
      <w:pPr>
        <w:pStyle w:val="ListParagraph"/>
        <w:numPr>
          <w:ilvl w:val="0"/>
          <w:numId w:val="31"/>
        </w:numPr>
        <w:jc w:val="both"/>
        <w:rPr>
          <w:rFonts w:ascii="Arial" w:hAnsi="Arial" w:cs="Arial"/>
        </w:rPr>
      </w:pPr>
      <w:r w:rsidRPr="00C43DA9">
        <w:rPr>
          <w:rFonts w:ascii="Arial" w:hAnsi="Arial" w:cs="Arial"/>
        </w:rPr>
        <w:t xml:space="preserve">Zhang, Y., &amp; Li, X. (2016). Actinomycetes in lignocellulose degradation. </w:t>
      </w:r>
      <w:r w:rsidRPr="00C43DA9">
        <w:rPr>
          <w:rFonts w:ascii="Arial" w:hAnsi="Arial" w:cs="Arial"/>
          <w:i/>
          <w:iCs/>
        </w:rPr>
        <w:t>Frontiers in Microbiology, 7</w:t>
      </w:r>
      <w:r w:rsidRPr="00C43DA9">
        <w:rPr>
          <w:rFonts w:ascii="Arial" w:hAnsi="Arial" w:cs="Arial"/>
        </w:rPr>
        <w:t>, 1–10. https://doi.org/10.3389/fmicb.2016.00832</w:t>
      </w:r>
    </w:p>
    <w:p w14:paraId="4C722366" w14:textId="77777777" w:rsidR="00B82F55" w:rsidRPr="00C43DA9" w:rsidRDefault="00B82F55" w:rsidP="00B82F55">
      <w:pPr>
        <w:rPr>
          <w:rFonts w:ascii="Arial" w:hAnsi="Arial" w:cs="Arial"/>
          <w:b/>
          <w:bCs/>
          <w:sz w:val="22"/>
          <w:szCs w:val="22"/>
        </w:rPr>
      </w:pPr>
    </w:p>
    <w:p w14:paraId="51C4D360" w14:textId="77777777" w:rsidR="00B82F55" w:rsidRPr="00C43DA9" w:rsidRDefault="00B82F55" w:rsidP="00B82F55">
      <w:pPr>
        <w:rPr>
          <w:rFonts w:ascii="Arial" w:hAnsi="Arial" w:cs="Arial"/>
          <w:sz w:val="22"/>
          <w:szCs w:val="22"/>
        </w:rPr>
      </w:pPr>
    </w:p>
    <w:p w14:paraId="457A2A87" w14:textId="77777777" w:rsidR="00790ADA" w:rsidRPr="00C43DA9" w:rsidRDefault="00790ADA" w:rsidP="00441B6F">
      <w:pPr>
        <w:pStyle w:val="Body"/>
        <w:spacing w:after="0"/>
        <w:rPr>
          <w:rFonts w:ascii="Arial" w:hAnsi="Arial" w:cs="Arial"/>
          <w:iCs/>
          <w:sz w:val="22"/>
          <w:szCs w:val="22"/>
        </w:rPr>
      </w:pPr>
    </w:p>
    <w:sectPr w:rsidR="00790ADA" w:rsidRPr="00C43DA9" w:rsidSect="00997A3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1415F4" w14:textId="77777777" w:rsidR="004134D6" w:rsidRDefault="004134D6" w:rsidP="00C37E61">
      <w:r>
        <w:separator/>
      </w:r>
    </w:p>
  </w:endnote>
  <w:endnote w:type="continuationSeparator" w:id="0">
    <w:p w14:paraId="542BEC5C" w14:textId="77777777" w:rsidR="004134D6" w:rsidRDefault="004134D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D7FFC" w14:textId="77777777" w:rsidR="00997A37" w:rsidRDefault="00997A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B98B" w14:textId="77777777" w:rsidR="00997A37" w:rsidRDefault="00997A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B2C98" w14:textId="5F0513C3" w:rsidR="00754C9A" w:rsidRPr="00812994" w:rsidRDefault="00754C9A" w:rsidP="00812994">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12618" w14:textId="77777777" w:rsidR="004134D6" w:rsidRDefault="004134D6" w:rsidP="00C37E61">
      <w:r>
        <w:separator/>
      </w:r>
    </w:p>
  </w:footnote>
  <w:footnote w:type="continuationSeparator" w:id="0">
    <w:p w14:paraId="17609451" w14:textId="77777777" w:rsidR="004134D6" w:rsidRDefault="004134D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6F97" w14:textId="56E01A4E" w:rsidR="00997A37" w:rsidRDefault="00997A37">
    <w:pPr>
      <w:pStyle w:val="Header"/>
    </w:pPr>
    <w:r>
      <w:rPr>
        <w:noProof/>
      </w:rPr>
      <w:pict w14:anchorId="289428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564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A9A2A" w14:textId="1DF43247" w:rsidR="00997A37" w:rsidRDefault="00997A37">
    <w:pPr>
      <w:pStyle w:val="Header"/>
    </w:pPr>
    <w:r>
      <w:rPr>
        <w:noProof/>
      </w:rPr>
      <w:pict w14:anchorId="2CB7B0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564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58D57" w14:textId="7EA1C9A1" w:rsidR="00296529" w:rsidRPr="00296529" w:rsidRDefault="00997A37" w:rsidP="00296529">
    <w:pPr>
      <w:ind w:left="2160"/>
      <w:jc w:val="center"/>
      <w:rPr>
        <w:rFonts w:ascii="Times New Roman" w:eastAsia="Calibri" w:hAnsi="Times New Roman"/>
        <w:i/>
        <w:sz w:val="18"/>
        <w:szCs w:val="22"/>
      </w:rPr>
    </w:pPr>
    <w:r>
      <w:rPr>
        <w:noProof/>
      </w:rPr>
      <w:pict w14:anchorId="03C6D9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4564578"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C1C041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9D5DD1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C909DE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30707E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C7FAD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EF11F4"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FF0619"/>
    <w:multiLevelType w:val="hybridMultilevel"/>
    <w:tmpl w:val="444EEA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6"/>
  </w:num>
  <w:num w:numId="10">
    <w:abstractNumId w:val="3"/>
  </w:num>
  <w:num w:numId="11">
    <w:abstractNumId w:val="19"/>
  </w:num>
  <w:num w:numId="12">
    <w:abstractNumId w:val="4"/>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5"/>
  </w:num>
  <w:num w:numId="26">
    <w:abstractNumId w:val="17"/>
  </w:num>
  <w:num w:numId="27">
    <w:abstractNumId w:val="21"/>
  </w:num>
  <w:num w:numId="28">
    <w:abstractNumId w:val="28"/>
  </w:num>
  <w:num w:numId="29">
    <w:abstractNumId w:val="25"/>
  </w:num>
  <w:num w:numId="30">
    <w:abstractNumId w:val="11"/>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7A3C"/>
    <w:rsid w:val="00223CBC"/>
    <w:rsid w:val="00231920"/>
    <w:rsid w:val="0023195C"/>
    <w:rsid w:val="0024282C"/>
    <w:rsid w:val="002460DC"/>
    <w:rsid w:val="00250985"/>
    <w:rsid w:val="002556F6"/>
    <w:rsid w:val="00283105"/>
    <w:rsid w:val="00284C4C"/>
    <w:rsid w:val="00287E68"/>
    <w:rsid w:val="00296529"/>
    <w:rsid w:val="002A3E8D"/>
    <w:rsid w:val="002B27FB"/>
    <w:rsid w:val="002B685A"/>
    <w:rsid w:val="002C57D2"/>
    <w:rsid w:val="002E0D56"/>
    <w:rsid w:val="00315186"/>
    <w:rsid w:val="0033343E"/>
    <w:rsid w:val="003512C2"/>
    <w:rsid w:val="00371FB6"/>
    <w:rsid w:val="003763C1"/>
    <w:rsid w:val="00376BBE"/>
    <w:rsid w:val="0039224F"/>
    <w:rsid w:val="003A43A4"/>
    <w:rsid w:val="003A7E18"/>
    <w:rsid w:val="003C4C72"/>
    <w:rsid w:val="003C4C86"/>
    <w:rsid w:val="003C6258"/>
    <w:rsid w:val="003D5B2E"/>
    <w:rsid w:val="003E2904"/>
    <w:rsid w:val="00401927"/>
    <w:rsid w:val="0041027F"/>
    <w:rsid w:val="00412475"/>
    <w:rsid w:val="004134D6"/>
    <w:rsid w:val="00423789"/>
    <w:rsid w:val="00440F43"/>
    <w:rsid w:val="00441B6F"/>
    <w:rsid w:val="00446221"/>
    <w:rsid w:val="00450E62"/>
    <w:rsid w:val="004539DB"/>
    <w:rsid w:val="00471A80"/>
    <w:rsid w:val="004D305E"/>
    <w:rsid w:val="004D4277"/>
    <w:rsid w:val="004E6151"/>
    <w:rsid w:val="00502516"/>
    <w:rsid w:val="00505F06"/>
    <w:rsid w:val="00506828"/>
    <w:rsid w:val="0053056E"/>
    <w:rsid w:val="00554FDA"/>
    <w:rsid w:val="00584009"/>
    <w:rsid w:val="005C4693"/>
    <w:rsid w:val="005C784C"/>
    <w:rsid w:val="005D11DB"/>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2994"/>
    <w:rsid w:val="0081431A"/>
    <w:rsid w:val="0083216F"/>
    <w:rsid w:val="00860000"/>
    <w:rsid w:val="00863BD3"/>
    <w:rsid w:val="008641ED"/>
    <w:rsid w:val="00866D66"/>
    <w:rsid w:val="008671C6"/>
    <w:rsid w:val="00875803"/>
    <w:rsid w:val="008B459E"/>
    <w:rsid w:val="008C3FCF"/>
    <w:rsid w:val="008E13AE"/>
    <w:rsid w:val="008E1506"/>
    <w:rsid w:val="008E710C"/>
    <w:rsid w:val="008F69D6"/>
    <w:rsid w:val="00902823"/>
    <w:rsid w:val="00915CA6"/>
    <w:rsid w:val="00927834"/>
    <w:rsid w:val="009500A6"/>
    <w:rsid w:val="00957C18"/>
    <w:rsid w:val="009659BA"/>
    <w:rsid w:val="00983040"/>
    <w:rsid w:val="009931DE"/>
    <w:rsid w:val="00997A37"/>
    <w:rsid w:val="009B3FB9"/>
    <w:rsid w:val="009C2465"/>
    <w:rsid w:val="009D35A0"/>
    <w:rsid w:val="009D7EB7"/>
    <w:rsid w:val="009E048A"/>
    <w:rsid w:val="009E08E9"/>
    <w:rsid w:val="009E3DB9"/>
    <w:rsid w:val="009E6E35"/>
    <w:rsid w:val="009F0EDA"/>
    <w:rsid w:val="00A03B96"/>
    <w:rsid w:val="00A05B19"/>
    <w:rsid w:val="00A10BB1"/>
    <w:rsid w:val="00A1134E"/>
    <w:rsid w:val="00A24E7E"/>
    <w:rsid w:val="00A258C3"/>
    <w:rsid w:val="00A347C0"/>
    <w:rsid w:val="00A510C3"/>
    <w:rsid w:val="00A51431"/>
    <w:rsid w:val="00A539AD"/>
    <w:rsid w:val="00A94063"/>
    <w:rsid w:val="00AA6219"/>
    <w:rsid w:val="00AA74E0"/>
    <w:rsid w:val="00AB703F"/>
    <w:rsid w:val="00AC6BB8"/>
    <w:rsid w:val="00AE008F"/>
    <w:rsid w:val="00B01FCD"/>
    <w:rsid w:val="00B1776C"/>
    <w:rsid w:val="00B52583"/>
    <w:rsid w:val="00B52896"/>
    <w:rsid w:val="00B65E24"/>
    <w:rsid w:val="00B82F5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3DA9"/>
    <w:rsid w:val="00C4565F"/>
    <w:rsid w:val="00C70F1B"/>
    <w:rsid w:val="00C71A47"/>
    <w:rsid w:val="00C7464C"/>
    <w:rsid w:val="00C85588"/>
    <w:rsid w:val="00C95F6D"/>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658FB59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B82F55"/>
    <w:pPr>
      <w:spacing w:after="160" w:line="259" w:lineRule="auto"/>
      <w:ind w:left="720"/>
      <w:contextualSpacing/>
    </w:pPr>
    <w:rPr>
      <w:rFonts w:asciiTheme="minorHAnsi" w:eastAsiaTheme="minorHAnsi" w:hAnsiTheme="minorHAnsi" w:cstheme="minorBidi"/>
      <w:kern w:val="2"/>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BA9D7-79D3-4092-9138-29F55B285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7</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17040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19</cp:revision>
  <cp:lastPrinted>1999-07-06T11:00:00Z</cp:lastPrinted>
  <dcterms:created xsi:type="dcterms:W3CDTF">2014-10-25T14:34:00Z</dcterms:created>
  <dcterms:modified xsi:type="dcterms:W3CDTF">2025-11-14T09:46:00Z</dcterms:modified>
</cp:coreProperties>
</file>