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11D76" w14:textId="77777777" w:rsidR="006E3099" w:rsidRPr="006E3099" w:rsidRDefault="006E3099" w:rsidP="006E3099">
      <w:pPr>
        <w:spacing w:line="360" w:lineRule="auto"/>
        <w:jc w:val="center"/>
        <w:rPr>
          <w:rFonts w:ascii="Times New Roman" w:hAnsi="Times New Roman" w:cs="Times New Roman"/>
          <w:b/>
          <w:bCs/>
          <w:sz w:val="36"/>
          <w:szCs w:val="36"/>
        </w:rPr>
      </w:pPr>
      <w:r w:rsidRPr="006E3099">
        <w:rPr>
          <w:rFonts w:ascii="Times New Roman" w:hAnsi="Times New Roman" w:cs="Times New Roman"/>
          <w:b/>
          <w:bCs/>
          <w:sz w:val="36"/>
          <w:szCs w:val="36"/>
        </w:rPr>
        <w:t>Behavioral Biometrics-Powered Continuous Authentication for Zero-Trust Remote Work Environments: A Multi-Factor Identity Verification Framework</w:t>
      </w:r>
    </w:p>
    <w:p w14:paraId="6AD58A8A" w14:textId="77777777" w:rsidR="005E32AE" w:rsidRDefault="005E32AE" w:rsidP="006E3099">
      <w:pPr>
        <w:spacing w:line="360" w:lineRule="auto"/>
        <w:jc w:val="both"/>
        <w:rPr>
          <w:rFonts w:ascii="Times New Roman" w:hAnsi="Times New Roman" w:cs="Times New Roman"/>
          <w:b/>
          <w:bCs/>
        </w:rPr>
      </w:pPr>
      <w:bookmarkStart w:id="0" w:name="_GoBack"/>
      <w:bookmarkEnd w:id="0"/>
    </w:p>
    <w:p w14:paraId="3A95A0FC" w14:textId="77777777" w:rsidR="005E32AE" w:rsidRPr="006E3099" w:rsidRDefault="005E32AE" w:rsidP="006E3099">
      <w:pPr>
        <w:spacing w:line="360" w:lineRule="auto"/>
        <w:jc w:val="both"/>
        <w:rPr>
          <w:rFonts w:ascii="Times New Roman" w:hAnsi="Times New Roman" w:cs="Times New Roman"/>
          <w:b/>
          <w:bCs/>
        </w:rPr>
      </w:pPr>
    </w:p>
    <w:p w14:paraId="13653643" w14:textId="77777777" w:rsidR="006E3099" w:rsidRPr="00F77A92" w:rsidRDefault="006E3099" w:rsidP="006E3099">
      <w:pPr>
        <w:spacing w:line="360" w:lineRule="auto"/>
        <w:jc w:val="both"/>
        <w:rPr>
          <w:rFonts w:ascii="Times New Roman" w:hAnsi="Times New Roman" w:cs="Times New Roman"/>
          <w:b/>
          <w:bCs/>
        </w:rPr>
      </w:pPr>
      <w:bookmarkStart w:id="1" w:name="_Hlk213759751"/>
      <w:r w:rsidRPr="00F77A92">
        <w:rPr>
          <w:rFonts w:ascii="Times New Roman" w:hAnsi="Times New Roman" w:cs="Times New Roman"/>
          <w:b/>
          <w:bCs/>
        </w:rPr>
        <w:t>Abstract</w:t>
      </w:r>
    </w:p>
    <w:p w14:paraId="2CDF6602" w14:textId="77777777" w:rsidR="006E3099" w:rsidRPr="006E3099" w:rsidRDefault="006E3099" w:rsidP="006E3099">
      <w:pPr>
        <w:spacing w:line="360" w:lineRule="auto"/>
        <w:jc w:val="both"/>
        <w:rPr>
          <w:rFonts w:ascii="Times New Roman" w:hAnsi="Times New Roman" w:cs="Times New Roman"/>
          <w:i/>
          <w:iCs/>
        </w:rPr>
      </w:pPr>
      <w:r w:rsidRPr="006E3099">
        <w:rPr>
          <w:rFonts w:ascii="Times New Roman" w:hAnsi="Times New Roman" w:cs="Times New Roman"/>
          <w:i/>
          <w:iCs/>
        </w:rPr>
        <w:t xml:space="preserve">This research presents a behavioral biometrics-powered continuous authentication framework designed for zero-trust remote work environments in healthcare. The study integrated keystroke dynamics, mouse movement patterns, and contextual risk factors into a multimodal system to enable seamless, real-time identity verification. Using a fused dataset of 3,600 samples from 24 users, derived from public keystroke and mouse dynamics repositories, augmented with healthcare-specific synthetic data, 79 behavioral features were engineered and normalized. Six </w:t>
      </w:r>
      <w:proofErr w:type="gramStart"/>
      <w:r w:rsidRPr="006E3099">
        <w:rPr>
          <w:rFonts w:ascii="Times New Roman" w:hAnsi="Times New Roman" w:cs="Times New Roman"/>
          <w:i/>
          <w:iCs/>
        </w:rPr>
        <w:t>machine</w:t>
      </w:r>
      <w:proofErr w:type="gramEnd"/>
      <w:r w:rsidRPr="006E3099">
        <w:rPr>
          <w:rFonts w:ascii="Times New Roman" w:hAnsi="Times New Roman" w:cs="Times New Roman"/>
          <w:i/>
          <w:iCs/>
        </w:rPr>
        <w:t xml:space="preserve"> learning and deep learning models were trained, with Random Forest and XGBoost achieving 98.25% accuracy, 0% Equal Error Rate (EER), and perfect AUC-ROC of 1.0000. The framework operated frictionlessly with inference times below 2.6 ms, ensuring zero disruption to clinical workflows. Dynamic trust scoring enabled adaptive access control, while attack simulations across six threat scenarios yielded 90.3% detection rate, including 100% for insider threats and zero-effort impersonation. Full compliance with HIPAA standards was validated through continuous monitoring, audit logging, and real-time threat response. The system outperformed traditional authentication methods in accuracy, usability, and security resilience. Despite strong results, limitations include constrained user diversity and simulated environments. The framework advances zero-trust principles by providing passive, high-precision authentication suitable for distributed healthcare systems. Future work should focus on longitudinal field deployment and adaptive modeling to address behavioral drift and emerging threats.</w:t>
      </w:r>
    </w:p>
    <w:p w14:paraId="11592103"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b/>
          <w:bCs/>
        </w:rPr>
        <w:t>Keywords:</w:t>
      </w:r>
      <w:r w:rsidRPr="006E3099">
        <w:rPr>
          <w:rFonts w:ascii="Times New Roman" w:hAnsi="Times New Roman" w:cs="Times New Roman"/>
        </w:rPr>
        <w:t xml:space="preserve"> Behavioral Biometrics, Continuous Authentication, Zero-Trust, Keystroke Dynamics, Healthcare Security</w:t>
      </w:r>
    </w:p>
    <w:bookmarkEnd w:id="1"/>
    <w:p w14:paraId="0687661E" w14:textId="77777777" w:rsidR="006E3099" w:rsidRDefault="006E3099" w:rsidP="006E3099">
      <w:pPr>
        <w:spacing w:line="360" w:lineRule="auto"/>
        <w:jc w:val="both"/>
        <w:rPr>
          <w:rFonts w:ascii="Times New Roman" w:hAnsi="Times New Roman" w:cs="Times New Roman"/>
          <w:b/>
          <w:bCs/>
        </w:rPr>
      </w:pPr>
    </w:p>
    <w:p w14:paraId="70037F04" w14:textId="77777777" w:rsidR="004C69D4" w:rsidRPr="006E3099" w:rsidRDefault="004C69D4" w:rsidP="006E3099">
      <w:pPr>
        <w:spacing w:line="360" w:lineRule="auto"/>
        <w:jc w:val="both"/>
        <w:rPr>
          <w:rFonts w:ascii="Times New Roman" w:hAnsi="Times New Roman" w:cs="Times New Roman"/>
          <w:b/>
          <w:bCs/>
        </w:rPr>
      </w:pPr>
    </w:p>
    <w:p w14:paraId="37CEDB41" w14:textId="77777777"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1.</w:t>
      </w:r>
      <w:r w:rsidRPr="006E3099">
        <w:rPr>
          <w:rFonts w:ascii="Times New Roman" w:hAnsi="Times New Roman" w:cs="Times New Roman"/>
          <w:b/>
          <w:bCs/>
        </w:rPr>
        <w:tab/>
        <w:t>Introduction</w:t>
      </w:r>
    </w:p>
    <w:p w14:paraId="15BE0C01"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The rapid shift to remote work, accelerated by the COVID-19 pandemic, has fundamentally reshaped organizational security frameworks, particularly in healthcare where the stakes for data protection and patient safety are exceptionally high. By 2025, approximately 42% of employees engage in remote work at least weekly, expanding the corporate attack surface beyond traditional perimeter-based defenses (Khalil, 2025). This transformation has exposed vulnerabilities in conventional authentication methods, such as passwords and periodic multi-factor authentication (MFA), which are ill-equipped to address the dynamic threats of distributed work environments. The 2024 Verizon Data Breach Investigations Report highlights that stolen credentials contribute to over 24% of hacking incidents, with attackers exploiting weak passwords through brute force, credential stuffing, and phishing campaigns (Verizon, 2024). In healthcare, these vulnerabilities are particularly acute, with cyberattacks targeting U.S. health systems in 2024, often leveraging compromised remote access credentials, resulting in an average data breach cost of approximately $10.93 million, the highest across industries (</w:t>
      </w:r>
      <w:proofErr w:type="gramStart"/>
      <w:r w:rsidRPr="006E3099">
        <w:rPr>
          <w:rFonts w:ascii="Times New Roman" w:hAnsi="Times New Roman" w:cs="Times New Roman"/>
        </w:rPr>
        <w:t>Vidals ,</w:t>
      </w:r>
      <w:proofErr w:type="gramEnd"/>
      <w:r w:rsidRPr="006E3099">
        <w:rPr>
          <w:rFonts w:ascii="Times New Roman" w:hAnsi="Times New Roman" w:cs="Times New Roman"/>
        </w:rPr>
        <w:t xml:space="preserve"> 2023).</w:t>
      </w:r>
    </w:p>
    <w:p w14:paraId="36DF4F77"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Zero Trust Architecture (ZTA), as outlined in NIST Special Publication 800-207, offers a paradigm shift by enforcing a "never trust, always verify" approach, requiring continuous identity and access verification regardless of user location (Rose et al., 2020). Unlike traditional models that assume trust within network perimeters, ZTA mandates real-time risk assessment, making it ideal for securing remote healthcare workers accessing electronic health records (EHRs), telemedicine platforms, and sensitive patient data. Behavioral biometrics, which analyzes unique patterns in human-computer interactions such as keystroke dynamics and mouse movements, aligns seamlessly with ZTA by enabling continuous authentication. Unlike physiological biometrics (e.g., fingerprints), behavioral biometrics captures "how you do" characteristics, such as typing rhythm or mouse velocity, which are difficult to replicate (Mondal &amp; Bours, 2015). NIST’s Digital Identity Guidelines (SP 800-63B) recognize behavioral patterns as valid biometric modalities, emphasizing their potential for ongoing verification (Veza, 2025).</w:t>
      </w:r>
    </w:p>
    <w:p w14:paraId="2FF85E8D"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Continuous authentication using behavioral biometrics addresses the limitations of static authentication by monitoring user behavior throughout sessions, detecting anomalies that may indicate session hijacking or insider threats. Research indicates that deep learning models, such as </w:t>
      </w:r>
      <w:r w:rsidRPr="006E3099">
        <w:rPr>
          <w:rFonts w:ascii="Times New Roman" w:hAnsi="Times New Roman" w:cs="Times New Roman"/>
        </w:rPr>
        <w:lastRenderedPageBreak/>
        <w:t>CNN-LSTM architectures, achieve up to 98.92% accuracy in keystroke dynamics-based authentication, with low false acceptance and rejection rates (Martha, 2025). In healthcare, where HIPAA compliance and clinical efficiency are paramount, behavioral biometrics offers frictionless authentication that operates passively, minimizing disruptions to time-sensitive clinical tasks (Nobili et al., 2025). For instance, traditional MFA methods, like SMS codes or push notifications, can interrupt workflows, leading to workarounds that undermine security (Novikava, 2024). Behavioral biometrics, by contrast, ensures security without compromising productivity, aligning with ZTA’s dynamic access control principles.</w:t>
      </w:r>
    </w:p>
    <w:p w14:paraId="6650044A"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The integration of behavioral biometrics into ZTA is enhanced by artificial intelligence (AI) and machine learning (ML), which enable sophisticated anomaly detection and dynamic trust scoring. Algorithms like Random Forest and Convolutional Neural Networks analyze behavioral patterns, device trust, and contextual signals (e.g., geolocation, network) to assess real-time risk (Traore et al., 2012). When trust scores fall below thresholds, systems can escalate authentication or deny access, implementing risk-based authentication (LoginRadius, 2025). However, implementing behavioral biometrics raises privacy concerns, as continuous monitoring involves sensitive data. Compliance with HIPAA and GDPR requires informed consent, data minimization, and robust safeguards to prevent misuse (Identity Management Institute, 2019).</w:t>
      </w:r>
    </w:p>
    <w:p w14:paraId="26C16626"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This research addresses the problem of securing remote healthcare workers who access sensitive systems over unsecured networks, where traditional authentication fails to prevent session-based attacks. Static methods authenticate only at login, leaving sessions vulnerable to hijacking or insider threats (Wolkstein, 2025). MFA, while effective, introduces friction that disrupts clinical workflows, risking non-compliance (Microsoft, 2025). Healthcare’s variable work patterns complicate anomaly detection, and insider threats, accounting for a significant portion of breaches, demand dynamic monitoring (Gopi et al., 2024). Existing behavioral biometric studies lack healthcare-specific frameworks that balance security, usability, and compliance.</w:t>
      </w:r>
    </w:p>
    <w:p w14:paraId="64787C6B"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The scope of this study focuses on developing a behavioral biometrics-powered continuous authentication framework for remote healthcare workers under ZTA principles. It emphasizes keystroke dynamics and mouse movement patterns, captured passively via standard devices, and incorporates contextual risk factors (e.g., location, device trust) for dynamic trust scoring (Wang et al., 2022). The framework targets healthcare professionals accessing EHRs and telemedicine </w:t>
      </w:r>
      <w:r w:rsidRPr="006E3099">
        <w:rPr>
          <w:rFonts w:ascii="Times New Roman" w:hAnsi="Times New Roman" w:cs="Times New Roman"/>
        </w:rPr>
        <w:lastRenderedPageBreak/>
        <w:t>platforms, addressing HIPAA requirements and clinical workflow needs. Evaluation uses biometric metrics (e.g., FAR, FRR, EER) and simulated attack scenarios, relying on publicly available datasets and synthetic data due to remote research constraints (Kong et al., 2025). Physiological biometrics and hardware-based solutions are excluded, prioritizing software-based deployment.</w:t>
      </w:r>
    </w:p>
    <w:p w14:paraId="7D4A130C"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The significance of this study lies in its theoretical and practical contributions. It advances ZTA by integrating behavioral biometrics as a core authentication layer, formalizing continuous monitoring within healthcare contexts (Padarthy et al., 2025). Methodologically, it develops a multi-modal biometric fusion framework, addressing data variability and attack resilience (Rajasekar et al., 2022). Practically, it offers healthcare organizations a frictionless authentication solution that enhances security while preserving clinical efficiency. By reducing vulnerabilities to session-based attacks, it mitigates risks like those seen in recent breaches (Mayou, 2025). The framework also provides ethical guidelines for privacy-preserving implementation, ensuring compliance with regulatory standards (U.S. Department of Health and Human Services, 2024).</w:t>
      </w:r>
    </w:p>
    <w:p w14:paraId="1DC9AF12"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The aim of this research is to develop and evaluate a behavioral biometrics-powered continuous authentication framework for zero-trust remote healthcare environments, optimizing security, usability, and compliance. The objectives are to: </w:t>
      </w:r>
    </w:p>
    <w:p w14:paraId="5D4DF4D1" w14:textId="77777777" w:rsidR="006E3099" w:rsidRPr="006E3099" w:rsidRDefault="006E3099" w:rsidP="006E3099">
      <w:pPr>
        <w:pStyle w:val="ListParagraph"/>
        <w:numPr>
          <w:ilvl w:val="0"/>
          <w:numId w:val="1"/>
        </w:numPr>
        <w:spacing w:line="360" w:lineRule="auto"/>
        <w:jc w:val="both"/>
        <w:rPr>
          <w:rFonts w:ascii="Times New Roman" w:hAnsi="Times New Roman" w:cs="Times New Roman"/>
        </w:rPr>
      </w:pPr>
      <w:r w:rsidRPr="006E3099">
        <w:rPr>
          <w:rFonts w:ascii="Times New Roman" w:hAnsi="Times New Roman" w:cs="Times New Roman"/>
        </w:rPr>
        <w:t xml:space="preserve">Develop an integrated behavioral biometrics model combining keystroke dynamics, mouse movements, and contextual risk factors for continuous authentication. </w:t>
      </w:r>
    </w:p>
    <w:p w14:paraId="12B5E75F" w14:textId="77777777" w:rsidR="006E3099" w:rsidRPr="006E3099" w:rsidRDefault="006E3099" w:rsidP="006E3099">
      <w:pPr>
        <w:pStyle w:val="ListParagraph"/>
        <w:numPr>
          <w:ilvl w:val="0"/>
          <w:numId w:val="1"/>
        </w:numPr>
        <w:spacing w:line="360" w:lineRule="auto"/>
        <w:jc w:val="both"/>
        <w:rPr>
          <w:rFonts w:ascii="Times New Roman" w:hAnsi="Times New Roman" w:cs="Times New Roman"/>
        </w:rPr>
      </w:pPr>
      <w:r w:rsidRPr="006E3099">
        <w:rPr>
          <w:rFonts w:ascii="Times New Roman" w:hAnsi="Times New Roman" w:cs="Times New Roman"/>
        </w:rPr>
        <w:t xml:space="preserve">Design a frictionless authentication framework that operates transparently, and validated through simulated healthcare scenarios. </w:t>
      </w:r>
    </w:p>
    <w:p w14:paraId="6779DB23" w14:textId="77777777" w:rsidR="006E3099" w:rsidRPr="006E3099" w:rsidRDefault="006E3099" w:rsidP="006E3099">
      <w:pPr>
        <w:pStyle w:val="ListParagraph"/>
        <w:numPr>
          <w:ilvl w:val="0"/>
          <w:numId w:val="1"/>
        </w:numPr>
        <w:spacing w:line="360" w:lineRule="auto"/>
        <w:jc w:val="both"/>
        <w:rPr>
          <w:rFonts w:ascii="Times New Roman" w:hAnsi="Times New Roman" w:cs="Times New Roman"/>
        </w:rPr>
      </w:pPr>
      <w:r w:rsidRPr="006E3099">
        <w:rPr>
          <w:rFonts w:ascii="Times New Roman" w:hAnsi="Times New Roman" w:cs="Times New Roman"/>
        </w:rPr>
        <w:t>Evaluate the framework’s effectiveness using biometric performance metrics and threat simulations, comparing it to existing authentication systems.</w:t>
      </w:r>
    </w:p>
    <w:p w14:paraId="66B3AF72" w14:textId="77777777" w:rsidR="006E3099" w:rsidRPr="006E3099" w:rsidRDefault="006E3099" w:rsidP="006E3099">
      <w:pPr>
        <w:spacing w:line="360" w:lineRule="auto"/>
        <w:jc w:val="both"/>
        <w:rPr>
          <w:rFonts w:ascii="Times New Roman" w:hAnsi="Times New Roman" w:cs="Times New Roman"/>
        </w:rPr>
      </w:pPr>
    </w:p>
    <w:p w14:paraId="65F9FEBA" w14:textId="77777777"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2.</w:t>
      </w:r>
      <w:r w:rsidRPr="006E3099">
        <w:rPr>
          <w:rFonts w:ascii="Times New Roman" w:hAnsi="Times New Roman" w:cs="Times New Roman"/>
          <w:b/>
          <w:bCs/>
        </w:rPr>
        <w:tab/>
        <w:t>Literature Review</w:t>
      </w:r>
    </w:p>
    <w:p w14:paraId="42AE04CE"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This literature review examines behavioral biometrics-powered continuous authentication within Zero Trust Architecture (ZTA) for remote healthcare. It explores theoretical foundations, empirical studies, integration frameworks, and research gaps, highlighting how dynamic identity verification </w:t>
      </w:r>
      <w:r w:rsidRPr="006E3099">
        <w:rPr>
          <w:rFonts w:ascii="Times New Roman" w:hAnsi="Times New Roman" w:cs="Times New Roman"/>
        </w:rPr>
        <w:lastRenderedPageBreak/>
        <w:t>supports ZTA’s “never trust, always verify” principle while enhancing HIPAA compliance, security, and workflow efficiency in distributed healthcare systems.</w:t>
      </w:r>
    </w:p>
    <w:p w14:paraId="28FB2782" w14:textId="77777777"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Theoretical and Conceptual Foundations</w:t>
      </w:r>
    </w:p>
    <w:p w14:paraId="0956C243" w14:textId="77777777" w:rsidR="004C69D4" w:rsidRDefault="006E3099" w:rsidP="006E3099">
      <w:pPr>
        <w:spacing w:line="360" w:lineRule="auto"/>
        <w:jc w:val="both"/>
        <w:rPr>
          <w:rFonts w:ascii="Times New Roman" w:hAnsi="Times New Roman" w:cs="Times New Roman"/>
        </w:rPr>
      </w:pPr>
      <w:r w:rsidRPr="006E3099">
        <w:rPr>
          <w:rFonts w:ascii="Times New Roman" w:hAnsi="Times New Roman" w:cs="Times New Roman"/>
        </w:rPr>
        <w:t>Behavioral biometrics is grounded in the notion that human-computer interactions reflect distinctive, subconscious motor patterns serving as continuous identity markers, unlike transient credentials. Drawing from cognitive psychology and human factors engineering, traits such as typing rhythm or cursor movement embody stable neuromuscular habits (Buriro et al., 2019). This paradigm shift from “what you know” to “how you behave” supports biometric principles of liveness and non-repudiation (Jain et al., 2004). In continuous authentication, identity assurance becomes probabilistic: Bayesian inference dynamically updates trust based on behavioral deviations (Centeno et al., 2017). Soft biometrics, like gait or gesture frequency, enable passive verification, crucial for seamless remote healthcare operations.</w:t>
      </w:r>
      <w:r w:rsidR="004C69D4">
        <w:rPr>
          <w:rFonts w:ascii="Times New Roman" w:hAnsi="Times New Roman" w:cs="Times New Roman"/>
        </w:rPr>
        <w:t xml:space="preserve"> </w:t>
      </w:r>
    </w:p>
    <w:p w14:paraId="46276371" w14:textId="34F07F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Within this framework, Zero Trust Architecture (ZTA), defined in NIST SP 800-207, replaces perimeter-based trust with continuous, context-aware validation (Rose et al., 2020). Its pillars: least privilege, micro-segmentation, and real-time monitoring synergize with behavioral biometrics to counter insider and session-hijacking threats. Theoretical integrations model authentication as a Markov process where behavioral states transition probabilistically (Wójtowicz &amp; Joachimiak, 2016). Multi-modal fusion techniques, including Dempster-Shafer evidence theory, consolidate diverse signals for robust scoring (Fridman et al., 2015), accounting for factors like fatigue or latency (Gascon et al., 2014). Yet, domain-specific adaptations remain vital to align behavioral biometrics with HIPAA’s auditability in healthcare (U.S. Department of Health and Human Services, 2024).</w:t>
      </w:r>
    </w:p>
    <w:p w14:paraId="701ECF3F"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b/>
          <w:bCs/>
        </w:rPr>
        <w:t>Empirical Studies on Continuous Authentication Modalities</w:t>
      </w:r>
    </w:p>
    <w:p w14:paraId="757B8013" w14:textId="77777777" w:rsidR="004C69D4"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Empirical research on continuous authentication has expanded rapidly with remote computing, validating behavioral signals’ effectiveness. Mondal and Bours (2013) achieved under 5% equal error rates (EER) in keystroke dynamics using SVMs with 92% accuracy, even under stress conditions relevant to emergency healthcare. Similarly, Ahmed and Traore (2007) demonstrated 96% identification rates from mouse trajectory features, resilient to device variability. Fusion approaches show further improvement where Wang et al. (2022) combined keystroke and mouse </w:t>
      </w:r>
      <w:r w:rsidRPr="006E3099">
        <w:rPr>
          <w:rFonts w:ascii="Times New Roman" w:hAnsi="Times New Roman" w:cs="Times New Roman"/>
        </w:rPr>
        <w:lastRenderedPageBreak/>
        <w:t>data via multiple kernel learning, reducing EER to 2.8% and maintaining 88% precision amid network instability in remote healthcare contexts. ZTA-aligned experiments, such as Almohamade et al. (2021), fused arm-motion and keystroke data in clinical simulations, detecting impostors with 94% sensitivity.</w:t>
      </w:r>
      <w:r w:rsidR="004C69D4">
        <w:rPr>
          <w:rFonts w:ascii="Times New Roman" w:hAnsi="Times New Roman" w:cs="Times New Roman"/>
        </w:rPr>
        <w:t xml:space="preserve"> </w:t>
      </w:r>
    </w:p>
    <w:p w14:paraId="6901A4FC" w14:textId="6067497F"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rPr>
        <w:t>Healthcare-specific studies affirm feasibility within regulatory bounds: de-Marcos et al. (2020) achieved very high accuracy using soft-keyboard metrics in a HIPAA-compliant BYOD trial. Deep learning models like CNN-LSTM hybrids (Uslu &amp; Aydın, 2023) reached 98% accuracy on mouse trajectories but degraded with limited training data. Smartphone-based bimodal fusion (Buriro et al., 2019) achieved false acceptance rates below 1% using random forests. However, large-scale tests (Centeno et al., 2017) revealed behavioral drift challenges; autoencoders’ performance declined (EER=8%) under fatigue and underscoring scalability issues in continuous healthcare authentication.</w:t>
      </w:r>
    </w:p>
    <w:p w14:paraId="7F23568C" w14:textId="77777777"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Multi-Factor Verification in Remote Settings</w:t>
      </w:r>
    </w:p>
    <w:p w14:paraId="33698A9C" w14:textId="77777777" w:rsidR="004C69D4" w:rsidRDefault="006E3099" w:rsidP="006E3099">
      <w:pPr>
        <w:spacing w:line="360" w:lineRule="auto"/>
        <w:jc w:val="both"/>
        <w:rPr>
          <w:rFonts w:ascii="Times New Roman" w:hAnsi="Times New Roman" w:cs="Times New Roman"/>
        </w:rPr>
      </w:pPr>
      <w:r w:rsidRPr="006E3099">
        <w:rPr>
          <w:rFonts w:ascii="Times New Roman" w:hAnsi="Times New Roman" w:cs="Times New Roman"/>
        </w:rPr>
        <w:t>Integration frameworks translate behavioral biometrics research into deployable Zero Trust Architecture (ZTA) systems, emphasizing multi-factor verification for remote healthcare. The Multimodal Fusion-based Continuous Authentication (MFCA) framework by Li et al. (2016) integrates keystroke, mouse, and application usage data through decision-level fusion, reducing session hijackings by 85% and demonstrating adaptability to EHR-based environments. In healthcare-specific applications, Amin et al. (2018) developed a lightweight biometric scheme combining iris and keystroke data with elliptic curve cryptography, achieving 0.1-second latency and enforcing ZTA’s least-privilege principle via behavioral role thresholds. AI-driven frameworks, such as Kadena et al. (2022), employ generative adversarial networks (GANs) to create synthetic behavioral templates, ensuring privacy and achieving 95% GDPR compliance in clinician trials.</w:t>
      </w:r>
      <w:r w:rsidR="004C69D4">
        <w:rPr>
          <w:rFonts w:ascii="Times New Roman" w:hAnsi="Times New Roman" w:cs="Times New Roman"/>
        </w:rPr>
        <w:t xml:space="preserve"> </w:t>
      </w:r>
    </w:p>
    <w:p w14:paraId="3C374BD0" w14:textId="1DED4B2C" w:rsidR="004C69D4"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To address network variability, Chauhan et al. (2020) introduced ContAuth, a continual learning framework that retrains LSTM models on edge devices, attaining 92% accuracy while integrating ZTA’s micro-segmentation for EHR isolation. Blockchain-augmented systems, as demonstrated by Ometov et al. (2018), enhance resilience by distributing trust across nodes, achieving 99% tamper resistance. However, usability challenges persist</w:t>
      </w:r>
      <w:r w:rsidR="004C69D4">
        <w:rPr>
          <w:rFonts w:ascii="Times New Roman" w:hAnsi="Times New Roman" w:cs="Times New Roman"/>
        </w:rPr>
        <w:t xml:space="preserve">, </w:t>
      </w:r>
      <w:r w:rsidRPr="006E3099">
        <w:rPr>
          <w:rFonts w:ascii="Times New Roman" w:hAnsi="Times New Roman" w:cs="Times New Roman"/>
        </w:rPr>
        <w:t>Altinok and Turk (2010) reported 20% user drop-</w:t>
      </w:r>
      <w:r w:rsidRPr="006E3099">
        <w:rPr>
          <w:rFonts w:ascii="Times New Roman" w:hAnsi="Times New Roman" w:cs="Times New Roman"/>
        </w:rPr>
        <w:lastRenderedPageBreak/>
        <w:t>off due to perceived intrusiveness in early multimodal Bayesian networks, underscoring the need for frictionless, user-centric authentication solutions.</w:t>
      </w:r>
    </w:p>
    <w:p w14:paraId="14369487" w14:textId="03F0BCA8"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b/>
          <w:bCs/>
        </w:rPr>
        <w:t>Research Gaps and Future Directions</w:t>
      </w:r>
    </w:p>
    <w:p w14:paraId="1782354E" w14:textId="77777777" w:rsidR="004C69D4" w:rsidRDefault="006E3099" w:rsidP="006E3099">
      <w:pPr>
        <w:spacing w:line="360" w:lineRule="auto"/>
        <w:jc w:val="both"/>
        <w:rPr>
          <w:rFonts w:ascii="Times New Roman" w:hAnsi="Times New Roman" w:cs="Times New Roman"/>
        </w:rPr>
      </w:pPr>
      <w:r w:rsidRPr="006E3099">
        <w:rPr>
          <w:rFonts w:ascii="Times New Roman" w:hAnsi="Times New Roman" w:cs="Times New Roman"/>
        </w:rPr>
        <w:t>Despite strong foundations, significant gaps hinder the full integration of behavioral biometrics within Zero Trust Architecture (ZTA) for remote healthcare. Domain-specific research remains limited; clinician behaviors such as multitasking elevate false rejections by 25% in uncontrolled settings (Fridman et al., 2015). Privacy frameworks like homomorphic encryption safeguard biometric templates (Baig et al., 2023) but neglect consent and ethical considerations in continuous monitoring. Scalability challenges persist, as edge-deployed CNNs introduce over 500ms latency on low-end telehealth devices (Cao &amp; Chang, 2019). Adversarial vulnerabilities remain, with mimicry attacks bypassing 15% of SVM classifiers, highlighting the need for GAN-enhanced defenses</w:t>
      </w:r>
      <w:r w:rsidR="004C69D4">
        <w:rPr>
          <w:rFonts w:ascii="Times New Roman" w:hAnsi="Times New Roman" w:cs="Times New Roman"/>
        </w:rPr>
        <w:t xml:space="preserve"> </w:t>
      </w:r>
      <w:r w:rsidRPr="006E3099">
        <w:rPr>
          <w:rFonts w:ascii="Times New Roman" w:hAnsi="Times New Roman" w:cs="Times New Roman"/>
        </w:rPr>
        <w:t>(Frank et al., 2013).</w:t>
      </w:r>
      <w:r w:rsidR="004C69D4">
        <w:rPr>
          <w:rFonts w:ascii="Times New Roman" w:hAnsi="Times New Roman" w:cs="Times New Roman"/>
        </w:rPr>
        <w:t xml:space="preserve"> </w:t>
      </w:r>
    </w:p>
    <w:p w14:paraId="0CECAEDA" w14:textId="72F7624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User experience issues also surface; implicit alerts reduce productivity by 30% in remote trials (Hoppe et al., 2018). In ZTA implementations, integration gaps appear where biometrics operate independently of contextual controls, echoing NIST critiques (Grassi et al., 2017). Healthcare studies further underrepresent insider threat variability, where behavioral baselines shift between shifts, causing 10–20% EER fluctuations (Yuan et al., 2019). Future research should explore hybrid XAI-ZTA models for explainable trust scoring and longitudinal trials incorporating wearable-based gait and keystroke fusion. These gaps validate the need for privacy-preserving, healthcare-optimized multimodal frameworks for continuous authentication.</w:t>
      </w:r>
    </w:p>
    <w:p w14:paraId="6535DA86" w14:textId="77777777" w:rsidR="006E3099" w:rsidRPr="006E3099" w:rsidRDefault="006E3099" w:rsidP="006E3099">
      <w:pPr>
        <w:spacing w:line="360" w:lineRule="auto"/>
        <w:jc w:val="both"/>
        <w:rPr>
          <w:rFonts w:ascii="Times New Roman" w:hAnsi="Times New Roman" w:cs="Times New Roman"/>
        </w:rPr>
      </w:pPr>
    </w:p>
    <w:p w14:paraId="0C617627" w14:textId="77777777"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3.</w:t>
      </w:r>
      <w:r w:rsidRPr="006E3099">
        <w:rPr>
          <w:rFonts w:ascii="Times New Roman" w:hAnsi="Times New Roman" w:cs="Times New Roman"/>
          <w:b/>
          <w:bCs/>
        </w:rPr>
        <w:tab/>
        <w:t>Methodology</w:t>
      </w:r>
    </w:p>
    <w:p w14:paraId="11FE5BDC" w14:textId="77777777"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Research Design and Paradigm</w:t>
      </w:r>
    </w:p>
    <w:p w14:paraId="6616C868" w14:textId="408B9659"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This study employs a design-science research (DSR) paradigm to construct and evaluate a behavioral biometrics-powered continuous authentication framework tailored for zero-trust remote work environments, emphasizing multi-factor identity verification through keystroke dynamics, mouse interactions, and contextual signals (Peffers et al., 2007). The DSR approach is structured across problem identification, objective definition, artifact design, demonstration, evaluation, and </w:t>
      </w:r>
      <w:r w:rsidRPr="006E3099">
        <w:rPr>
          <w:rFonts w:ascii="Times New Roman" w:hAnsi="Times New Roman" w:cs="Times New Roman"/>
        </w:rPr>
        <w:lastRenderedPageBreak/>
        <w:t>communication phases, facilitating the creation of a practical, innovative solution that enforces "never trust, always verify" principles in distributed healthcare settings. Quantitative experimentation dominates, leveraging machine learning to model behavioral patterns and compute verification probabilities, while qualitative insights from usability benchmarks inform frictionless integration. The design incorporates simulation-based testing to mimic remote access scenarios, ensuring the framework dynamically adjusts trust levels without disrupting clinical workflows.</w:t>
      </w:r>
      <w:r w:rsidR="009C2317">
        <w:rPr>
          <w:rFonts w:ascii="Times New Roman" w:hAnsi="Times New Roman" w:cs="Times New Roman"/>
        </w:rPr>
        <w:t xml:space="preserve"> Figure 1 shows the iterative Design Science Research Cycles.</w:t>
      </w:r>
    </w:p>
    <w:p w14:paraId="62D38E83" w14:textId="4DDA6EF1"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 xml:space="preserve">Figure 1 </w:t>
      </w:r>
      <w:r w:rsidR="004C69D4" w:rsidRPr="004C69D4">
        <w:rPr>
          <w:rFonts w:ascii="Times New Roman" w:hAnsi="Times New Roman" w:cs="Times New Roman"/>
          <w:i/>
          <w:iCs/>
        </w:rPr>
        <w:t>I</w:t>
      </w:r>
      <w:r w:rsidRPr="004C69D4">
        <w:rPr>
          <w:rFonts w:ascii="Times New Roman" w:hAnsi="Times New Roman" w:cs="Times New Roman"/>
          <w:i/>
          <w:iCs/>
        </w:rPr>
        <w:t>terative D</w:t>
      </w:r>
      <w:r w:rsidR="009C2317">
        <w:rPr>
          <w:rFonts w:ascii="Times New Roman" w:hAnsi="Times New Roman" w:cs="Times New Roman"/>
          <w:i/>
          <w:iCs/>
        </w:rPr>
        <w:t xml:space="preserve">esign </w:t>
      </w:r>
      <w:r w:rsidRPr="004C69D4">
        <w:rPr>
          <w:rFonts w:ascii="Times New Roman" w:hAnsi="Times New Roman" w:cs="Times New Roman"/>
          <w:i/>
          <w:iCs/>
        </w:rPr>
        <w:t>S</w:t>
      </w:r>
      <w:r w:rsidR="009C2317">
        <w:rPr>
          <w:rFonts w:ascii="Times New Roman" w:hAnsi="Times New Roman" w:cs="Times New Roman"/>
          <w:i/>
          <w:iCs/>
        </w:rPr>
        <w:t xml:space="preserve">cience </w:t>
      </w:r>
      <w:r w:rsidRPr="004C69D4">
        <w:rPr>
          <w:rFonts w:ascii="Times New Roman" w:hAnsi="Times New Roman" w:cs="Times New Roman"/>
          <w:i/>
          <w:iCs/>
        </w:rPr>
        <w:t>R</w:t>
      </w:r>
      <w:r w:rsidR="009C2317">
        <w:rPr>
          <w:rFonts w:ascii="Times New Roman" w:hAnsi="Times New Roman" w:cs="Times New Roman"/>
          <w:i/>
          <w:iCs/>
        </w:rPr>
        <w:t>esearch</w:t>
      </w:r>
      <w:r w:rsidRPr="004C69D4">
        <w:rPr>
          <w:rFonts w:ascii="Times New Roman" w:hAnsi="Times New Roman" w:cs="Times New Roman"/>
          <w:i/>
          <w:iCs/>
        </w:rPr>
        <w:t xml:space="preserve"> </w:t>
      </w:r>
      <w:r w:rsidR="009C2317">
        <w:rPr>
          <w:rFonts w:ascii="Times New Roman" w:hAnsi="Times New Roman" w:cs="Times New Roman"/>
          <w:i/>
          <w:iCs/>
        </w:rPr>
        <w:t>C</w:t>
      </w:r>
      <w:r w:rsidRPr="004C69D4">
        <w:rPr>
          <w:rFonts w:ascii="Times New Roman" w:hAnsi="Times New Roman" w:cs="Times New Roman"/>
          <w:i/>
          <w:iCs/>
        </w:rPr>
        <w:t>ycles</w:t>
      </w:r>
      <w:r w:rsidR="009C2317">
        <w:rPr>
          <w:rFonts w:ascii="Times New Roman" w:hAnsi="Times New Roman" w:cs="Times New Roman"/>
          <w:b/>
          <w:bCs/>
          <w:noProof/>
        </w:rPr>
        <mc:AlternateContent>
          <mc:Choice Requires="wpg">
            <w:drawing>
              <wp:anchor distT="0" distB="0" distL="114300" distR="114300" simplePos="0" relativeHeight="251660288" behindDoc="0" locked="0" layoutInCell="1" allowOverlap="1" wp14:anchorId="776DA1EE" wp14:editId="12823970">
                <wp:simplePos x="0" y="0"/>
                <wp:positionH relativeFrom="column">
                  <wp:posOffset>-68414</wp:posOffset>
                </wp:positionH>
                <wp:positionV relativeFrom="paragraph">
                  <wp:posOffset>318715</wp:posOffset>
                </wp:positionV>
                <wp:extent cx="5141343" cy="2743200"/>
                <wp:effectExtent l="19050" t="38100" r="40640" b="57150"/>
                <wp:wrapNone/>
                <wp:docPr id="1958135638" name="Group 1"/>
                <wp:cNvGraphicFramePr/>
                <a:graphic xmlns:a="http://schemas.openxmlformats.org/drawingml/2006/main">
                  <a:graphicData uri="http://schemas.microsoft.com/office/word/2010/wordprocessingGroup">
                    <wpg:wgp>
                      <wpg:cNvGrpSpPr/>
                      <wpg:grpSpPr>
                        <a:xfrm>
                          <a:off x="0" y="0"/>
                          <a:ext cx="5141343" cy="2743200"/>
                          <a:chOff x="0" y="0"/>
                          <a:chExt cx="5141343" cy="2743200"/>
                        </a:xfrm>
                      </wpg:grpSpPr>
                      <wps:wsp>
                        <wps:cNvPr id="953853412" name="Rectangle: Rounded Corners 25"/>
                        <wps:cNvSpPr/>
                        <wps:spPr>
                          <a:xfrm>
                            <a:off x="0" y="0"/>
                            <a:ext cx="5141343" cy="2743200"/>
                          </a:xfrm>
                          <a:custGeom>
                            <a:avLst/>
                            <a:gdLst>
                              <a:gd name="connsiteX0" fmla="*/ 0 w 5141343"/>
                              <a:gd name="connsiteY0" fmla="*/ 457209 h 2743200"/>
                              <a:gd name="connsiteX1" fmla="*/ 457209 w 5141343"/>
                              <a:gd name="connsiteY1" fmla="*/ 0 h 2743200"/>
                              <a:gd name="connsiteX2" fmla="*/ 985575 w 5141343"/>
                              <a:gd name="connsiteY2" fmla="*/ 0 h 2743200"/>
                              <a:gd name="connsiteX3" fmla="*/ 1471671 w 5141343"/>
                              <a:gd name="connsiteY3" fmla="*/ 0 h 2743200"/>
                              <a:gd name="connsiteX4" fmla="*/ 2042306 w 5141343"/>
                              <a:gd name="connsiteY4" fmla="*/ 0 h 2743200"/>
                              <a:gd name="connsiteX5" fmla="*/ 2612941 w 5141343"/>
                              <a:gd name="connsiteY5" fmla="*/ 0 h 2743200"/>
                              <a:gd name="connsiteX6" fmla="*/ 3099037 w 5141343"/>
                              <a:gd name="connsiteY6" fmla="*/ 0 h 2743200"/>
                              <a:gd name="connsiteX7" fmla="*/ 3669672 w 5141343"/>
                              <a:gd name="connsiteY7" fmla="*/ 0 h 2743200"/>
                              <a:gd name="connsiteX8" fmla="*/ 4684134 w 5141343"/>
                              <a:gd name="connsiteY8" fmla="*/ 0 h 2743200"/>
                              <a:gd name="connsiteX9" fmla="*/ 5141343 w 5141343"/>
                              <a:gd name="connsiteY9" fmla="*/ 457209 h 2743200"/>
                              <a:gd name="connsiteX10" fmla="*/ 5141343 w 5141343"/>
                              <a:gd name="connsiteY10" fmla="*/ 932692 h 2743200"/>
                              <a:gd name="connsiteX11" fmla="*/ 5141343 w 5141343"/>
                              <a:gd name="connsiteY11" fmla="*/ 1371600 h 2743200"/>
                              <a:gd name="connsiteX12" fmla="*/ 5141343 w 5141343"/>
                              <a:gd name="connsiteY12" fmla="*/ 1828796 h 2743200"/>
                              <a:gd name="connsiteX13" fmla="*/ 5141343 w 5141343"/>
                              <a:gd name="connsiteY13" fmla="*/ 2285991 h 2743200"/>
                              <a:gd name="connsiteX14" fmla="*/ 4684134 w 5141343"/>
                              <a:gd name="connsiteY14" fmla="*/ 2743200 h 2743200"/>
                              <a:gd name="connsiteX15" fmla="*/ 4240307 w 5141343"/>
                              <a:gd name="connsiteY15" fmla="*/ 2743200 h 2743200"/>
                              <a:gd name="connsiteX16" fmla="*/ 3796480 w 5141343"/>
                              <a:gd name="connsiteY16" fmla="*/ 2743200 h 2743200"/>
                              <a:gd name="connsiteX17" fmla="*/ 3225845 w 5141343"/>
                              <a:gd name="connsiteY17" fmla="*/ 2743200 h 2743200"/>
                              <a:gd name="connsiteX18" fmla="*/ 2739749 w 5141343"/>
                              <a:gd name="connsiteY18" fmla="*/ 2743200 h 2743200"/>
                              <a:gd name="connsiteX19" fmla="*/ 2295921 w 5141343"/>
                              <a:gd name="connsiteY19" fmla="*/ 2743200 h 2743200"/>
                              <a:gd name="connsiteX20" fmla="*/ 1809825 w 5141343"/>
                              <a:gd name="connsiteY20" fmla="*/ 2743200 h 2743200"/>
                              <a:gd name="connsiteX21" fmla="*/ 1239190 w 5141343"/>
                              <a:gd name="connsiteY21" fmla="*/ 2743200 h 2743200"/>
                              <a:gd name="connsiteX22" fmla="*/ 457209 w 5141343"/>
                              <a:gd name="connsiteY22" fmla="*/ 2743200 h 2743200"/>
                              <a:gd name="connsiteX23" fmla="*/ 0 w 5141343"/>
                              <a:gd name="connsiteY23" fmla="*/ 2285991 h 2743200"/>
                              <a:gd name="connsiteX24" fmla="*/ 0 w 5141343"/>
                              <a:gd name="connsiteY24" fmla="*/ 1792220 h 2743200"/>
                              <a:gd name="connsiteX25" fmla="*/ 0 w 5141343"/>
                              <a:gd name="connsiteY25" fmla="*/ 1353312 h 2743200"/>
                              <a:gd name="connsiteX26" fmla="*/ 0 w 5141343"/>
                              <a:gd name="connsiteY26" fmla="*/ 932692 h 2743200"/>
                              <a:gd name="connsiteX27" fmla="*/ 0 w 5141343"/>
                              <a:gd name="connsiteY27" fmla="*/ 457209 h 2743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5141343" h="2743200" fill="none" extrusionOk="0">
                                <a:moveTo>
                                  <a:pt x="0" y="457209"/>
                                </a:moveTo>
                                <a:cubicBezTo>
                                  <a:pt x="41152" y="183899"/>
                                  <a:pt x="165390" y="-6642"/>
                                  <a:pt x="457209" y="0"/>
                                </a:cubicBezTo>
                                <a:cubicBezTo>
                                  <a:pt x="616121" y="-54650"/>
                                  <a:pt x="864325" y="47615"/>
                                  <a:pt x="985575" y="0"/>
                                </a:cubicBezTo>
                                <a:cubicBezTo>
                                  <a:pt x="1106825" y="-47615"/>
                                  <a:pt x="1343175" y="20608"/>
                                  <a:pt x="1471671" y="0"/>
                                </a:cubicBezTo>
                                <a:cubicBezTo>
                                  <a:pt x="1600167" y="-20608"/>
                                  <a:pt x="1909998" y="24723"/>
                                  <a:pt x="2042306" y="0"/>
                                </a:cubicBezTo>
                                <a:cubicBezTo>
                                  <a:pt x="2174614" y="-24723"/>
                                  <a:pt x="2494293" y="66016"/>
                                  <a:pt x="2612941" y="0"/>
                                </a:cubicBezTo>
                                <a:cubicBezTo>
                                  <a:pt x="2731590" y="-66016"/>
                                  <a:pt x="2987057" y="36862"/>
                                  <a:pt x="3099037" y="0"/>
                                </a:cubicBezTo>
                                <a:cubicBezTo>
                                  <a:pt x="3211017" y="-36862"/>
                                  <a:pt x="3403521" y="45603"/>
                                  <a:pt x="3669672" y="0"/>
                                </a:cubicBezTo>
                                <a:cubicBezTo>
                                  <a:pt x="3935824" y="-45603"/>
                                  <a:pt x="4474276" y="67039"/>
                                  <a:pt x="4684134" y="0"/>
                                </a:cubicBezTo>
                                <a:cubicBezTo>
                                  <a:pt x="4914181" y="60320"/>
                                  <a:pt x="5123743" y="256961"/>
                                  <a:pt x="5141343" y="457209"/>
                                </a:cubicBezTo>
                                <a:cubicBezTo>
                                  <a:pt x="5157517" y="668815"/>
                                  <a:pt x="5119117" y="750269"/>
                                  <a:pt x="5141343" y="932692"/>
                                </a:cubicBezTo>
                                <a:cubicBezTo>
                                  <a:pt x="5163569" y="1115115"/>
                                  <a:pt x="5093920" y="1268505"/>
                                  <a:pt x="5141343" y="1371600"/>
                                </a:cubicBezTo>
                                <a:cubicBezTo>
                                  <a:pt x="5188766" y="1474695"/>
                                  <a:pt x="5118714" y="1603508"/>
                                  <a:pt x="5141343" y="1828796"/>
                                </a:cubicBezTo>
                                <a:cubicBezTo>
                                  <a:pt x="5163972" y="2054084"/>
                                  <a:pt x="5115953" y="2164680"/>
                                  <a:pt x="5141343" y="2285991"/>
                                </a:cubicBezTo>
                                <a:cubicBezTo>
                                  <a:pt x="5130112" y="2533516"/>
                                  <a:pt x="4949642" y="2705061"/>
                                  <a:pt x="4684134" y="2743200"/>
                                </a:cubicBezTo>
                                <a:cubicBezTo>
                                  <a:pt x="4552065" y="2744403"/>
                                  <a:pt x="4332365" y="2713146"/>
                                  <a:pt x="4240307" y="2743200"/>
                                </a:cubicBezTo>
                                <a:cubicBezTo>
                                  <a:pt x="4148249" y="2773254"/>
                                  <a:pt x="3911683" y="2723121"/>
                                  <a:pt x="3796480" y="2743200"/>
                                </a:cubicBezTo>
                                <a:cubicBezTo>
                                  <a:pt x="3681277" y="2763279"/>
                                  <a:pt x="3435610" y="2686269"/>
                                  <a:pt x="3225845" y="2743200"/>
                                </a:cubicBezTo>
                                <a:cubicBezTo>
                                  <a:pt x="3016080" y="2800131"/>
                                  <a:pt x="2945922" y="2704310"/>
                                  <a:pt x="2739749" y="2743200"/>
                                </a:cubicBezTo>
                                <a:cubicBezTo>
                                  <a:pt x="2533576" y="2782090"/>
                                  <a:pt x="2410576" y="2740965"/>
                                  <a:pt x="2295921" y="2743200"/>
                                </a:cubicBezTo>
                                <a:cubicBezTo>
                                  <a:pt x="2181266" y="2745435"/>
                                  <a:pt x="1932239" y="2703724"/>
                                  <a:pt x="1809825" y="2743200"/>
                                </a:cubicBezTo>
                                <a:cubicBezTo>
                                  <a:pt x="1687411" y="2782676"/>
                                  <a:pt x="1509719" y="2686604"/>
                                  <a:pt x="1239190" y="2743200"/>
                                </a:cubicBezTo>
                                <a:cubicBezTo>
                                  <a:pt x="968662" y="2799796"/>
                                  <a:pt x="673993" y="2742753"/>
                                  <a:pt x="457209" y="2743200"/>
                                </a:cubicBezTo>
                                <a:cubicBezTo>
                                  <a:pt x="178133" y="2702258"/>
                                  <a:pt x="18420" y="2537276"/>
                                  <a:pt x="0" y="2285991"/>
                                </a:cubicBezTo>
                                <a:cubicBezTo>
                                  <a:pt x="-8077" y="2142083"/>
                                  <a:pt x="11803" y="1917150"/>
                                  <a:pt x="0" y="1792220"/>
                                </a:cubicBezTo>
                                <a:cubicBezTo>
                                  <a:pt x="-11803" y="1667290"/>
                                  <a:pt x="29409" y="1459736"/>
                                  <a:pt x="0" y="1353312"/>
                                </a:cubicBezTo>
                                <a:cubicBezTo>
                                  <a:pt x="-29409" y="1246888"/>
                                  <a:pt x="45085" y="1040998"/>
                                  <a:pt x="0" y="932692"/>
                                </a:cubicBezTo>
                                <a:cubicBezTo>
                                  <a:pt x="-45085" y="824386"/>
                                  <a:pt x="41427" y="627130"/>
                                  <a:pt x="0" y="457209"/>
                                </a:cubicBezTo>
                                <a:close/>
                              </a:path>
                              <a:path w="5141343" h="2743200" stroke="0" extrusionOk="0">
                                <a:moveTo>
                                  <a:pt x="0" y="457209"/>
                                </a:moveTo>
                                <a:cubicBezTo>
                                  <a:pt x="11117" y="236798"/>
                                  <a:pt x="204173" y="-26799"/>
                                  <a:pt x="457209" y="0"/>
                                </a:cubicBezTo>
                                <a:cubicBezTo>
                                  <a:pt x="695877" y="-47867"/>
                                  <a:pt x="819434" y="35719"/>
                                  <a:pt x="985575" y="0"/>
                                </a:cubicBezTo>
                                <a:cubicBezTo>
                                  <a:pt x="1151716" y="-35719"/>
                                  <a:pt x="1230626" y="43149"/>
                                  <a:pt x="1429402" y="0"/>
                                </a:cubicBezTo>
                                <a:cubicBezTo>
                                  <a:pt x="1628178" y="-43149"/>
                                  <a:pt x="1702692" y="60640"/>
                                  <a:pt x="1957767" y="0"/>
                                </a:cubicBezTo>
                                <a:cubicBezTo>
                                  <a:pt x="2212843" y="-60640"/>
                                  <a:pt x="2217629" y="5429"/>
                                  <a:pt x="2359325" y="0"/>
                                </a:cubicBezTo>
                                <a:cubicBezTo>
                                  <a:pt x="2501021" y="-5429"/>
                                  <a:pt x="2646654" y="40543"/>
                                  <a:pt x="2760883" y="0"/>
                                </a:cubicBezTo>
                                <a:cubicBezTo>
                                  <a:pt x="2875112" y="-40543"/>
                                  <a:pt x="3201008" y="55904"/>
                                  <a:pt x="3331518" y="0"/>
                                </a:cubicBezTo>
                                <a:cubicBezTo>
                                  <a:pt x="3462028" y="-55904"/>
                                  <a:pt x="3577744" y="45045"/>
                                  <a:pt x="3733076" y="0"/>
                                </a:cubicBezTo>
                                <a:cubicBezTo>
                                  <a:pt x="3888408" y="-45045"/>
                                  <a:pt x="4324410" y="110106"/>
                                  <a:pt x="4684134" y="0"/>
                                </a:cubicBezTo>
                                <a:cubicBezTo>
                                  <a:pt x="4911063" y="21695"/>
                                  <a:pt x="5137863" y="265365"/>
                                  <a:pt x="5141343" y="457209"/>
                                </a:cubicBezTo>
                                <a:cubicBezTo>
                                  <a:pt x="5148288" y="585210"/>
                                  <a:pt x="5130115" y="705506"/>
                                  <a:pt x="5141343" y="877829"/>
                                </a:cubicBezTo>
                                <a:cubicBezTo>
                                  <a:pt x="5152571" y="1050152"/>
                                  <a:pt x="5094602" y="1142944"/>
                                  <a:pt x="5141343" y="1353312"/>
                                </a:cubicBezTo>
                                <a:cubicBezTo>
                                  <a:pt x="5188084" y="1563680"/>
                                  <a:pt x="5111740" y="1666295"/>
                                  <a:pt x="5141343" y="1755644"/>
                                </a:cubicBezTo>
                                <a:cubicBezTo>
                                  <a:pt x="5170946" y="1844993"/>
                                  <a:pt x="5095255" y="2152066"/>
                                  <a:pt x="5141343" y="2285991"/>
                                </a:cubicBezTo>
                                <a:cubicBezTo>
                                  <a:pt x="5176242" y="2598563"/>
                                  <a:pt x="4979093" y="2715106"/>
                                  <a:pt x="4684134" y="2743200"/>
                                </a:cubicBezTo>
                                <a:cubicBezTo>
                                  <a:pt x="4544986" y="2767960"/>
                                  <a:pt x="4445341" y="2732803"/>
                                  <a:pt x="4282576" y="2743200"/>
                                </a:cubicBezTo>
                                <a:cubicBezTo>
                                  <a:pt x="4119811" y="2753597"/>
                                  <a:pt x="3960352" y="2704298"/>
                                  <a:pt x="3796480" y="2743200"/>
                                </a:cubicBezTo>
                                <a:cubicBezTo>
                                  <a:pt x="3632608" y="2782102"/>
                                  <a:pt x="3443010" y="2702680"/>
                                  <a:pt x="3268114" y="2743200"/>
                                </a:cubicBezTo>
                                <a:cubicBezTo>
                                  <a:pt x="3093218" y="2783720"/>
                                  <a:pt x="2900687" y="2715498"/>
                                  <a:pt x="2739749" y="2743200"/>
                                </a:cubicBezTo>
                                <a:cubicBezTo>
                                  <a:pt x="2578811" y="2770902"/>
                                  <a:pt x="2421378" y="2715298"/>
                                  <a:pt x="2338191" y="2743200"/>
                                </a:cubicBezTo>
                                <a:cubicBezTo>
                                  <a:pt x="2255004" y="2771102"/>
                                  <a:pt x="2093312" y="2707850"/>
                                  <a:pt x="1852094" y="2743200"/>
                                </a:cubicBezTo>
                                <a:cubicBezTo>
                                  <a:pt x="1610876" y="2778550"/>
                                  <a:pt x="1460471" y="2694466"/>
                                  <a:pt x="1281459" y="2743200"/>
                                </a:cubicBezTo>
                                <a:cubicBezTo>
                                  <a:pt x="1102448" y="2791934"/>
                                  <a:pt x="624010" y="2740537"/>
                                  <a:pt x="457209" y="2743200"/>
                                </a:cubicBezTo>
                                <a:cubicBezTo>
                                  <a:pt x="146312" y="2744402"/>
                                  <a:pt x="-65" y="2557615"/>
                                  <a:pt x="0" y="2285991"/>
                                </a:cubicBezTo>
                                <a:cubicBezTo>
                                  <a:pt x="-39031" y="2178683"/>
                                  <a:pt x="40956" y="2007885"/>
                                  <a:pt x="0" y="1883659"/>
                                </a:cubicBezTo>
                                <a:cubicBezTo>
                                  <a:pt x="-40956" y="1759433"/>
                                  <a:pt x="42683" y="1549194"/>
                                  <a:pt x="0" y="1444751"/>
                                </a:cubicBezTo>
                                <a:cubicBezTo>
                                  <a:pt x="-42683" y="1340308"/>
                                  <a:pt x="24034" y="1179862"/>
                                  <a:pt x="0" y="969268"/>
                                </a:cubicBezTo>
                                <a:cubicBezTo>
                                  <a:pt x="-24034" y="758674"/>
                                  <a:pt x="409" y="641917"/>
                                  <a:pt x="0" y="457209"/>
                                </a:cubicBezTo>
                                <a:close/>
                              </a:path>
                            </a:pathLst>
                          </a:custGeom>
                          <a:ln w="9525">
                            <a:solidFill>
                              <a:schemeClr val="bg2">
                                <a:lumMod val="50000"/>
                              </a:schemeClr>
                            </a:solidFill>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238926480">
                                  <a:prstGeom prst="roundRect">
                                    <a:avLst/>
                                  </a:prstGeom>
                                  <ask:type>
                                    <ask:lineSketchScribble/>
                                  </ask:type>
                                </ask:lineSketchStyleProps>
                              </a:ext>
                            </a:extLs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92719164" name="Group 92">
                          <a:extLst>
                            <a:ext uri="{FF2B5EF4-FFF2-40B4-BE49-F238E27FC236}">
                              <a16:creationId xmlns:a16="http://schemas.microsoft.com/office/drawing/2014/main" id="{6553E2F4-FD63-88D1-2215-B1791302DB39}"/>
                            </a:ext>
                          </a:extLst>
                        </wpg:cNvPr>
                        <wpg:cNvGrpSpPr/>
                        <wpg:grpSpPr>
                          <a:xfrm>
                            <a:off x="68414" y="128877"/>
                            <a:ext cx="5020574" cy="2605177"/>
                            <a:chOff x="1" y="0"/>
                            <a:chExt cx="9606218" cy="4985141"/>
                          </a:xfrm>
                        </wpg:grpSpPr>
                        <wpg:grpSp>
                          <wpg:cNvPr id="330744459" name="Group 330744459">
                            <a:extLst>
                              <a:ext uri="{FF2B5EF4-FFF2-40B4-BE49-F238E27FC236}">
                                <a16:creationId xmlns:a16="http://schemas.microsoft.com/office/drawing/2014/main" id="{A50B74A0-47DF-E6FD-AC30-AF58DBEC146A}"/>
                              </a:ext>
                            </a:extLst>
                          </wpg:cNvPr>
                          <wpg:cNvGrpSpPr/>
                          <wpg:grpSpPr>
                            <a:xfrm>
                              <a:off x="1" y="0"/>
                              <a:ext cx="9606218" cy="4985141"/>
                              <a:chOff x="0" y="0"/>
                              <a:chExt cx="11392885" cy="5799268"/>
                            </a:xfrm>
                          </wpg:grpSpPr>
                          <wps:wsp>
                            <wps:cNvPr id="1198412318" name="Google Shape;88;p1">
                              <a:extLst>
                                <a:ext uri="{FF2B5EF4-FFF2-40B4-BE49-F238E27FC236}">
                                  <a16:creationId xmlns:a16="http://schemas.microsoft.com/office/drawing/2014/main" id="{C464AFD5-FEA0-64AE-7978-A39D768C7CD6}"/>
                                </a:ext>
                              </a:extLst>
                            </wps:cNvPr>
                            <wps:cNvSpPr txBox="1"/>
                            <wps:spPr>
                              <a:xfrm>
                                <a:off x="8035614" y="148285"/>
                                <a:ext cx="2433244" cy="1226938"/>
                              </a:xfrm>
                              <a:prstGeom prst="rect">
                                <a:avLst/>
                              </a:prstGeom>
                              <a:noFill/>
                              <a:ln>
                                <a:noFill/>
                              </a:ln>
                            </wps:spPr>
                            <wps:txbx>
                              <w:txbxContent>
                                <w:p w14:paraId="4FA70529" w14:textId="77777777" w:rsidR="006E3099" w:rsidRPr="00915CAA" w:rsidRDefault="006E3099" w:rsidP="006E3099">
                                  <w:pPr>
                                    <w:rPr>
                                      <w:rFonts w:ascii="Calibri" w:eastAsia="Calibri" w:hAnsi="Calibri" w:cs="Calibri"/>
                                      <w:b/>
                                      <w:bCs/>
                                      <w:color w:val="F38E26"/>
                                      <w:kern w:val="24"/>
                                      <w14:ligatures w14:val="none"/>
                                    </w:rPr>
                                  </w:pPr>
                                  <w:r w:rsidRPr="00915CAA">
                                    <w:rPr>
                                      <w:rFonts w:ascii="Calibri" w:eastAsia="Calibri" w:hAnsi="Calibri" w:cs="Calibri"/>
                                      <w:b/>
                                      <w:bCs/>
                                      <w:color w:val="F38E26"/>
                                      <w:kern w:val="24"/>
                                    </w:rPr>
                                    <w:t>Solution Development</w:t>
                                  </w:r>
                                </w:p>
                              </w:txbxContent>
                            </wps:txbx>
                            <wps:bodyPr spcFirstLastPara="1" wrap="square" lIns="91425" tIns="45700" rIns="91425" bIns="45700" anchor="t" anchorCtr="0">
                              <a:noAutofit/>
                            </wps:bodyPr>
                          </wps:wsp>
                          <wps:wsp>
                            <wps:cNvPr id="557027395" name="Google Shape;91;p1">
                              <a:extLst>
                                <a:ext uri="{FF2B5EF4-FFF2-40B4-BE49-F238E27FC236}">
                                  <a16:creationId xmlns:a16="http://schemas.microsoft.com/office/drawing/2014/main" id="{DCE87E49-254D-A4E5-1399-1CA3F79A88EA}"/>
                                </a:ext>
                              </a:extLst>
                            </wps:cNvPr>
                            <wps:cNvSpPr txBox="1"/>
                            <wps:spPr>
                              <a:xfrm>
                                <a:off x="8586101" y="2339805"/>
                                <a:ext cx="2806784" cy="1226938"/>
                              </a:xfrm>
                              <a:prstGeom prst="rect">
                                <a:avLst/>
                              </a:prstGeom>
                              <a:noFill/>
                              <a:ln>
                                <a:noFill/>
                              </a:ln>
                            </wps:spPr>
                            <wps:txbx>
                              <w:txbxContent>
                                <w:p w14:paraId="57DEE239" w14:textId="77777777" w:rsidR="006E3099" w:rsidRPr="00915CAA" w:rsidRDefault="006E3099" w:rsidP="006E3099">
                                  <w:pPr>
                                    <w:rPr>
                                      <w:rFonts w:ascii="Calibri" w:eastAsia="Calibri" w:hAnsi="Calibri" w:cs="Calibri"/>
                                      <w:b/>
                                      <w:bCs/>
                                      <w:color w:val="FBCC00"/>
                                      <w:kern w:val="24"/>
                                      <w14:ligatures w14:val="none"/>
                                    </w:rPr>
                                  </w:pPr>
                                  <w:r w:rsidRPr="00915CAA">
                                    <w:rPr>
                                      <w:rFonts w:ascii="Calibri" w:eastAsia="Calibri" w:hAnsi="Calibri" w:cs="Calibri"/>
                                      <w:b/>
                                      <w:bCs/>
                                      <w:color w:val="FBCC00"/>
                                      <w:kern w:val="24"/>
                                    </w:rPr>
                                    <w:t>Design Development</w:t>
                                  </w:r>
                                </w:p>
                              </w:txbxContent>
                            </wps:txbx>
                            <wps:bodyPr spcFirstLastPara="1" wrap="square" lIns="91425" tIns="45700" rIns="91425" bIns="45700" anchor="t" anchorCtr="0">
                              <a:noAutofit/>
                            </wps:bodyPr>
                          </wps:wsp>
                          <wps:wsp>
                            <wps:cNvPr id="453448664" name="Google Shape;94;p1">
                              <a:extLst>
                                <a:ext uri="{FF2B5EF4-FFF2-40B4-BE49-F238E27FC236}">
                                  <a16:creationId xmlns:a16="http://schemas.microsoft.com/office/drawing/2014/main" id="{BA1FC7E9-6FFF-73CB-F1F5-4CEC1FDA6AB6}"/>
                                </a:ext>
                              </a:extLst>
                            </wps:cNvPr>
                            <wps:cNvSpPr txBox="1"/>
                            <wps:spPr>
                              <a:xfrm>
                                <a:off x="8035368" y="4873698"/>
                                <a:ext cx="2156102" cy="726098"/>
                              </a:xfrm>
                              <a:prstGeom prst="rect">
                                <a:avLst/>
                              </a:prstGeom>
                              <a:noFill/>
                              <a:ln>
                                <a:noFill/>
                              </a:ln>
                            </wps:spPr>
                            <wps:txbx>
                              <w:txbxContent>
                                <w:p w14:paraId="4BDCE163" w14:textId="77777777" w:rsidR="006E3099" w:rsidRPr="00915CAA" w:rsidRDefault="006E3099" w:rsidP="006E3099">
                                  <w:pPr>
                                    <w:rPr>
                                      <w:rFonts w:ascii="Calibri" w:eastAsia="Calibri" w:hAnsi="Calibri" w:cs="Calibri"/>
                                      <w:b/>
                                      <w:bCs/>
                                      <w:color w:val="8DB601"/>
                                      <w:kern w:val="24"/>
                                      <w14:ligatures w14:val="none"/>
                                    </w:rPr>
                                  </w:pPr>
                                  <w:r w:rsidRPr="00915CAA">
                                    <w:rPr>
                                      <w:rFonts w:ascii="Calibri" w:eastAsia="Calibri" w:hAnsi="Calibri" w:cs="Calibri"/>
                                      <w:b/>
                                      <w:bCs/>
                                      <w:color w:val="8DB601"/>
                                      <w:kern w:val="24"/>
                                    </w:rPr>
                                    <w:t>Evaluation</w:t>
                                  </w:r>
                                </w:p>
                              </w:txbxContent>
                            </wps:txbx>
                            <wps:bodyPr spcFirstLastPara="1" wrap="square" lIns="91425" tIns="45700" rIns="91425" bIns="45700" anchor="t" anchorCtr="0">
                              <a:noAutofit/>
                            </wps:bodyPr>
                          </wps:wsp>
                          <wps:wsp>
                            <wps:cNvPr id="227403664" name="Google Shape;100;p1">
                              <a:extLst>
                                <a:ext uri="{FF2B5EF4-FFF2-40B4-BE49-F238E27FC236}">
                                  <a16:creationId xmlns:a16="http://schemas.microsoft.com/office/drawing/2014/main" id="{DC09F65D-E208-0BE7-C6B8-761139CBAD4A}"/>
                                </a:ext>
                              </a:extLst>
                            </wps:cNvPr>
                            <wps:cNvSpPr txBox="1"/>
                            <wps:spPr>
                              <a:xfrm>
                                <a:off x="505149" y="4657464"/>
                                <a:ext cx="2668213" cy="726098"/>
                              </a:xfrm>
                              <a:prstGeom prst="rect">
                                <a:avLst/>
                              </a:prstGeom>
                              <a:noFill/>
                              <a:ln>
                                <a:noFill/>
                              </a:ln>
                            </wps:spPr>
                            <wps:txbx>
                              <w:txbxContent>
                                <w:p w14:paraId="12B52164" w14:textId="77777777" w:rsidR="006E3099" w:rsidRPr="00915CAA" w:rsidRDefault="006E3099" w:rsidP="006E3099">
                                  <w:pPr>
                                    <w:jc w:val="right"/>
                                    <w:rPr>
                                      <w:rFonts w:ascii="Calibri" w:eastAsia="Calibri" w:hAnsi="Calibri" w:cs="Calibri"/>
                                      <w:b/>
                                      <w:bCs/>
                                      <w:color w:val="37C3E7"/>
                                      <w:kern w:val="24"/>
                                      <w14:ligatures w14:val="none"/>
                                    </w:rPr>
                                  </w:pPr>
                                  <w:r w:rsidRPr="00915CAA">
                                    <w:rPr>
                                      <w:rFonts w:ascii="Calibri" w:eastAsia="Calibri" w:hAnsi="Calibri" w:cs="Calibri"/>
                                      <w:b/>
                                      <w:bCs/>
                                      <w:color w:val="37C3E7"/>
                                      <w:kern w:val="24"/>
                                    </w:rPr>
                                    <w:t>Demonstration</w:t>
                                  </w:r>
                                </w:p>
                              </w:txbxContent>
                            </wps:txbx>
                            <wps:bodyPr spcFirstLastPara="1" wrap="square" lIns="91425" tIns="45700" rIns="91425" bIns="45700" anchor="t" anchorCtr="0">
                              <a:noAutofit/>
                            </wps:bodyPr>
                          </wps:wsp>
                          <wps:wsp>
                            <wps:cNvPr id="295338308" name="Google Shape;103;p1">
                              <a:extLst>
                                <a:ext uri="{FF2B5EF4-FFF2-40B4-BE49-F238E27FC236}">
                                  <a16:creationId xmlns:a16="http://schemas.microsoft.com/office/drawing/2014/main" id="{7432F12A-E649-E903-C642-6608F09425B6}"/>
                                </a:ext>
                              </a:extLst>
                            </wps:cNvPr>
                            <wps:cNvSpPr txBox="1"/>
                            <wps:spPr>
                              <a:xfrm>
                                <a:off x="0" y="2371555"/>
                                <a:ext cx="2668213" cy="1226938"/>
                              </a:xfrm>
                              <a:prstGeom prst="rect">
                                <a:avLst/>
                              </a:prstGeom>
                              <a:noFill/>
                              <a:ln>
                                <a:noFill/>
                              </a:ln>
                            </wps:spPr>
                            <wps:txbx>
                              <w:txbxContent>
                                <w:p w14:paraId="17583D10" w14:textId="77777777" w:rsidR="006E3099" w:rsidRPr="00915CAA" w:rsidRDefault="006E3099" w:rsidP="006E3099">
                                  <w:pPr>
                                    <w:jc w:val="right"/>
                                    <w:rPr>
                                      <w:rFonts w:ascii="Calibri" w:hAnsi="Calibri" w:cs="Calibri"/>
                                      <w:b/>
                                      <w:bCs/>
                                      <w:color w:val="1D4C92"/>
                                      <w:kern w:val="24"/>
                                      <w14:ligatures w14:val="none"/>
                                    </w:rPr>
                                  </w:pPr>
                                  <w:r w:rsidRPr="00915CAA">
                                    <w:rPr>
                                      <w:rFonts w:ascii="Calibri" w:hAnsi="Calibri" w:cs="Calibri"/>
                                      <w:b/>
                                      <w:bCs/>
                                      <w:color w:val="1D4C92"/>
                                      <w:kern w:val="24"/>
                                    </w:rPr>
                                    <w:t>Solution Objectives</w:t>
                                  </w:r>
                                </w:p>
                              </w:txbxContent>
                            </wps:txbx>
                            <wps:bodyPr spcFirstLastPara="1" wrap="square" lIns="91425" tIns="45700" rIns="91425" bIns="45700" anchor="t" anchorCtr="0">
                              <a:noAutofit/>
                            </wps:bodyPr>
                          </wps:wsp>
                          <wps:wsp>
                            <wps:cNvPr id="1197481923" name="Google Shape;106;p1">
                              <a:extLst>
                                <a:ext uri="{FF2B5EF4-FFF2-40B4-BE49-F238E27FC236}">
                                  <a16:creationId xmlns:a16="http://schemas.microsoft.com/office/drawing/2014/main" id="{8A366EA5-4C23-8124-26DD-934E424004C8}"/>
                                </a:ext>
                              </a:extLst>
                            </wps:cNvPr>
                            <wps:cNvSpPr txBox="1"/>
                            <wps:spPr>
                              <a:xfrm>
                                <a:off x="560811" y="140100"/>
                                <a:ext cx="2432491" cy="1226938"/>
                              </a:xfrm>
                              <a:prstGeom prst="rect">
                                <a:avLst/>
                              </a:prstGeom>
                              <a:noFill/>
                              <a:ln>
                                <a:noFill/>
                              </a:ln>
                            </wps:spPr>
                            <wps:txbx>
                              <w:txbxContent>
                                <w:p w14:paraId="2DD971AC" w14:textId="77777777" w:rsidR="006E3099" w:rsidRPr="00915CAA" w:rsidRDefault="006E3099" w:rsidP="006E3099">
                                  <w:pPr>
                                    <w:jc w:val="right"/>
                                    <w:rPr>
                                      <w:rFonts w:ascii="Calibri" w:eastAsia="Calibri" w:hAnsi="Calibri" w:cs="Calibri"/>
                                      <w:b/>
                                      <w:bCs/>
                                      <w:color w:val="67356D"/>
                                      <w:kern w:val="24"/>
                                      <w14:ligatures w14:val="none"/>
                                    </w:rPr>
                                  </w:pPr>
                                  <w:r w:rsidRPr="00915CAA">
                                    <w:rPr>
                                      <w:rFonts w:ascii="Calibri" w:eastAsia="Calibri" w:hAnsi="Calibri" w:cs="Calibri"/>
                                      <w:b/>
                                      <w:bCs/>
                                      <w:color w:val="67356D"/>
                                      <w:kern w:val="24"/>
                                    </w:rPr>
                                    <w:t>Problem Identification</w:t>
                                  </w:r>
                                </w:p>
                              </w:txbxContent>
                            </wps:txbx>
                            <wps:bodyPr spcFirstLastPara="1" wrap="square" lIns="91425" tIns="45700" rIns="91425" bIns="45700" anchor="t" anchorCtr="0">
                              <a:noAutofit/>
                            </wps:bodyPr>
                          </wps:wsp>
                          <wpg:grpSp>
                            <wpg:cNvPr id="616957560" name="Google Shape;108;p1">
                              <a:extLst>
                                <a:ext uri="{FF2B5EF4-FFF2-40B4-BE49-F238E27FC236}">
                                  <a16:creationId xmlns:a16="http://schemas.microsoft.com/office/drawing/2014/main" id="{11D5B033-556C-9FD8-4395-7ECBC53F6161}"/>
                                </a:ext>
                              </a:extLst>
                            </wpg:cNvPr>
                            <wpg:cNvGrpSpPr/>
                            <wpg:grpSpPr>
                              <a:xfrm>
                                <a:off x="2723388" y="0"/>
                                <a:ext cx="5799268" cy="5799268"/>
                                <a:chOff x="2723388" y="0"/>
                                <a:chExt cx="5799268" cy="5799268"/>
                              </a:xfrm>
                            </wpg:grpSpPr>
                            <wps:wsp>
                              <wps:cNvPr id="975449203" name="Google Shape;109;p1">
                                <a:extLst>
                                  <a:ext uri="{FF2B5EF4-FFF2-40B4-BE49-F238E27FC236}">
                                    <a16:creationId xmlns:a16="http://schemas.microsoft.com/office/drawing/2014/main" id="{B17F8CC4-B4CF-9379-7781-EE706ADBA7C5}"/>
                                  </a:ext>
                                </a:extLst>
                              </wps:cNvPr>
                              <wps:cNvSpPr/>
                              <wps:spPr>
                                <a:xfrm>
                                  <a:off x="2723388" y="0"/>
                                  <a:ext cx="5799268" cy="5799268"/>
                                </a:xfrm>
                                <a:prstGeom prst="ellipse">
                                  <a:avLst/>
                                </a:prstGeom>
                                <a:solidFill>
                                  <a:srgbClr val="7F7F7F">
                                    <a:alpha val="65882"/>
                                  </a:srgbClr>
                                </a:solidFill>
                                <a:ln>
                                  <a:noFill/>
                                </a:ln>
                              </wps:spPr>
                              <wps:bodyPr spcFirstLastPara="1" wrap="square" lIns="91425" tIns="45700" rIns="91425" bIns="45700" anchor="ctr" anchorCtr="0">
                                <a:noAutofit/>
                              </wps:bodyPr>
                            </wps:wsp>
                            <wpg:grpSp>
                              <wpg:cNvPr id="1285311873" name="Google Shape;110;p1">
                                <a:extLst>
                                  <a:ext uri="{FF2B5EF4-FFF2-40B4-BE49-F238E27FC236}">
                                    <a16:creationId xmlns:a16="http://schemas.microsoft.com/office/drawing/2014/main" id="{F8634725-1251-7B44-A58A-F304F9771888}"/>
                                  </a:ext>
                                </a:extLst>
                              </wpg:cNvPr>
                              <wpg:cNvGrpSpPr/>
                              <wpg:grpSpPr>
                                <a:xfrm>
                                  <a:off x="2966909" y="555577"/>
                                  <a:ext cx="5312223" cy="4688114"/>
                                  <a:chOff x="2966909" y="555577"/>
                                  <a:chExt cx="5312223" cy="4688114"/>
                                </a:xfrm>
                              </wpg:grpSpPr>
                              <wps:wsp>
                                <wps:cNvPr id="218012124" name="Google Shape;111;p1">
                                  <a:extLst>
                                    <a:ext uri="{FF2B5EF4-FFF2-40B4-BE49-F238E27FC236}">
                                      <a16:creationId xmlns:a16="http://schemas.microsoft.com/office/drawing/2014/main" id="{1804B01C-0E7F-9928-1491-C2790ABB834C}"/>
                                    </a:ext>
                                  </a:extLst>
                                </wps:cNvPr>
                                <wps:cNvSpPr/>
                                <wps:spPr>
                                  <a:xfrm>
                                    <a:off x="3278965" y="555577"/>
                                    <a:ext cx="4688114" cy="4688114"/>
                                  </a:xfrm>
                                  <a:prstGeom prst="ellipse">
                                    <a:avLst/>
                                  </a:prstGeom>
                                  <a:solidFill>
                                    <a:schemeClr val="lt1"/>
                                  </a:solidFill>
                                  <a:ln>
                                    <a:noFill/>
                                  </a:ln>
                                </wps:spPr>
                                <wps:bodyPr spcFirstLastPara="1" wrap="square" lIns="91425" tIns="45700" rIns="91425" bIns="45700" anchor="ctr" anchorCtr="0">
                                  <a:noAutofit/>
                                </wps:bodyPr>
                              </wps:wsp>
                              <wpg:grpSp>
                                <wpg:cNvPr id="7469253" name="Google Shape;112;p1">
                                  <a:extLst>
                                    <a:ext uri="{FF2B5EF4-FFF2-40B4-BE49-F238E27FC236}">
                                      <a16:creationId xmlns:a16="http://schemas.microsoft.com/office/drawing/2014/main" id="{A3AB2372-0F38-812F-88B7-965C242B2D45}"/>
                                    </a:ext>
                                  </a:extLst>
                                </wpg:cNvPr>
                                <wpg:cNvGrpSpPr/>
                                <wpg:grpSpPr>
                                  <a:xfrm>
                                    <a:off x="2966909" y="568868"/>
                                    <a:ext cx="5312223" cy="4661531"/>
                                    <a:chOff x="2966910" y="568868"/>
                                    <a:chExt cx="4571521" cy="4011557"/>
                                  </a:xfrm>
                                </wpg:grpSpPr>
                                <wps:wsp>
                                  <wps:cNvPr id="1249658163" name="Google Shape;114;p1">
                                    <a:extLst>
                                      <a:ext uri="{FF2B5EF4-FFF2-40B4-BE49-F238E27FC236}">
                                        <a16:creationId xmlns:a16="http://schemas.microsoft.com/office/drawing/2014/main" id="{0CBAC5B8-98F4-4DB2-A94F-3C3FDED4E6B9}"/>
                                      </a:ext>
                                    </a:extLst>
                                  </wps:cNvPr>
                                  <wps:cNvSpPr/>
                                  <wps:spPr>
                                    <a:xfrm rot="8100000">
                                      <a:off x="3843558" y="568868"/>
                                      <a:ext cx="729342" cy="1922677"/>
                                    </a:xfrm>
                                    <a:custGeom>
                                      <a:avLst/>
                                      <a:gdLst/>
                                      <a:ahLst/>
                                      <a:cxnLst/>
                                      <a:rect l="l" t="t" r="r" b="b"/>
                                      <a:pathLst>
                                        <a:path w="729342" h="1922677" extrusionOk="0">
                                          <a:moveTo>
                                            <a:pt x="106810" y="1815868"/>
                                          </a:moveTo>
                                          <a:cubicBezTo>
                                            <a:pt x="40817" y="1749875"/>
                                            <a:pt x="0" y="1658707"/>
                                            <a:pt x="0" y="1558006"/>
                                          </a:cubicBezTo>
                                          <a:lnTo>
                                            <a:pt x="0" y="364671"/>
                                          </a:lnTo>
                                          <a:lnTo>
                                            <a:pt x="364671" y="0"/>
                                          </a:lnTo>
                                          <a:lnTo>
                                            <a:pt x="729342" y="364671"/>
                                          </a:lnTo>
                                          <a:lnTo>
                                            <a:pt x="729342" y="1558006"/>
                                          </a:lnTo>
                                          <a:cubicBezTo>
                                            <a:pt x="729342" y="1759408"/>
                                            <a:pt x="566073" y="1922677"/>
                                            <a:pt x="364671" y="1922677"/>
                                          </a:cubicBezTo>
                                          <a:cubicBezTo>
                                            <a:pt x="263970" y="1922677"/>
                                            <a:pt x="172802" y="1881860"/>
                                            <a:pt x="106810" y="1815868"/>
                                          </a:cubicBezTo>
                                          <a:close/>
                                        </a:path>
                                      </a:pathLst>
                                    </a:custGeom>
                                    <a:solidFill>
                                      <a:srgbClr val="67356D"/>
                                    </a:solidFill>
                                    <a:ln>
                                      <a:noFill/>
                                    </a:ln>
                                  </wps:spPr>
                                  <wps:bodyPr spcFirstLastPara="1" wrap="square" lIns="91425" tIns="45700" rIns="91425" bIns="45700" anchor="ctr" anchorCtr="0">
                                    <a:noAutofit/>
                                  </wps:bodyPr>
                                </wps:wsp>
                                <wps:wsp>
                                  <wps:cNvPr id="2050628216" name="Google Shape;115;p1">
                                    <a:extLst>
                                      <a:ext uri="{FF2B5EF4-FFF2-40B4-BE49-F238E27FC236}">
                                        <a16:creationId xmlns:a16="http://schemas.microsoft.com/office/drawing/2014/main" id="{76F3C946-C778-710A-45BA-41BB897D71E0}"/>
                                      </a:ext>
                                    </a:extLst>
                                  </wps:cNvPr>
                                  <wps:cNvSpPr/>
                                  <wps:spPr>
                                    <a:xfrm rot="8100000">
                                      <a:off x="5335772" y="1165534"/>
                                      <a:ext cx="1922677" cy="729342"/>
                                    </a:xfrm>
                                    <a:custGeom>
                                      <a:avLst/>
                                      <a:gdLst/>
                                      <a:ahLst/>
                                      <a:cxnLst/>
                                      <a:rect l="l" t="t" r="r" b="b"/>
                                      <a:pathLst>
                                        <a:path w="1922677" h="729342" extrusionOk="0">
                                          <a:moveTo>
                                            <a:pt x="106809" y="622532"/>
                                          </a:moveTo>
                                          <a:cubicBezTo>
                                            <a:pt x="40817" y="556540"/>
                                            <a:pt x="0" y="465372"/>
                                            <a:pt x="0" y="364671"/>
                                          </a:cubicBezTo>
                                          <a:cubicBezTo>
                                            <a:pt x="0" y="163269"/>
                                            <a:pt x="163269" y="0"/>
                                            <a:pt x="364671" y="0"/>
                                          </a:cubicBezTo>
                                          <a:lnTo>
                                            <a:pt x="1558006" y="0"/>
                                          </a:lnTo>
                                          <a:lnTo>
                                            <a:pt x="1922677" y="364671"/>
                                          </a:lnTo>
                                          <a:lnTo>
                                            <a:pt x="1558007" y="729342"/>
                                          </a:lnTo>
                                          <a:lnTo>
                                            <a:pt x="364671" y="729342"/>
                                          </a:lnTo>
                                          <a:cubicBezTo>
                                            <a:pt x="263970" y="729342"/>
                                            <a:pt x="172802" y="688525"/>
                                            <a:pt x="106809" y="622532"/>
                                          </a:cubicBezTo>
                                          <a:close/>
                                        </a:path>
                                      </a:pathLst>
                                    </a:custGeom>
                                    <a:solidFill>
                                      <a:srgbClr val="F38E26"/>
                                    </a:solidFill>
                                    <a:ln>
                                      <a:noFill/>
                                    </a:ln>
                                  </wps:spPr>
                                  <wps:bodyPr spcFirstLastPara="1" wrap="square" lIns="91425" tIns="45700" rIns="91425" bIns="45700" anchor="ctr" anchorCtr="0">
                                    <a:noAutofit/>
                                  </wps:bodyPr>
                                </wps:wsp>
                                <wps:wsp>
                                  <wps:cNvPr id="1540034355" name="Google Shape;116;p1">
                                    <a:extLst>
                                      <a:ext uri="{FF2B5EF4-FFF2-40B4-BE49-F238E27FC236}">
                                        <a16:creationId xmlns:a16="http://schemas.microsoft.com/office/drawing/2014/main" id="{674F1AE2-B4DF-155C-80CE-933DB81FDED8}"/>
                                      </a:ext>
                                    </a:extLst>
                                  </wps:cNvPr>
                                  <wps:cNvSpPr/>
                                  <wps:spPr>
                                    <a:xfrm rot="8100000">
                                      <a:off x="2966910" y="1841472"/>
                                      <a:ext cx="1466347" cy="1466347"/>
                                    </a:xfrm>
                                    <a:custGeom>
                                      <a:avLst/>
                                      <a:gdLst/>
                                      <a:ahLst/>
                                      <a:cxnLst/>
                                      <a:rect l="l" t="t" r="r" b="b"/>
                                      <a:pathLst>
                                        <a:path w="1466347" h="1466347" extrusionOk="0">
                                          <a:moveTo>
                                            <a:pt x="843816" y="1359538"/>
                                          </a:moveTo>
                                          <a:lnTo>
                                            <a:pt x="0" y="515723"/>
                                          </a:lnTo>
                                          <a:lnTo>
                                            <a:pt x="0" y="0"/>
                                          </a:lnTo>
                                          <a:lnTo>
                                            <a:pt x="515722" y="0"/>
                                          </a:lnTo>
                                          <a:lnTo>
                                            <a:pt x="1359538" y="843816"/>
                                          </a:lnTo>
                                          <a:cubicBezTo>
                                            <a:pt x="1501951" y="986228"/>
                                            <a:pt x="1501951" y="1217125"/>
                                            <a:pt x="1359538" y="1359538"/>
                                          </a:cubicBezTo>
                                          <a:cubicBezTo>
                                            <a:pt x="1217125" y="1501951"/>
                                            <a:pt x="986228" y="1501951"/>
                                            <a:pt x="843816" y="1359538"/>
                                          </a:cubicBezTo>
                                          <a:close/>
                                        </a:path>
                                      </a:pathLst>
                                    </a:custGeom>
                                    <a:solidFill>
                                      <a:srgbClr val="1D4C92"/>
                                    </a:solidFill>
                                    <a:ln>
                                      <a:noFill/>
                                    </a:ln>
                                  </wps:spPr>
                                  <wps:bodyPr spcFirstLastPara="1" wrap="square" lIns="91425" tIns="45700" rIns="91425" bIns="45700" anchor="ctr" anchorCtr="0">
                                    <a:noAutofit/>
                                  </wps:bodyPr>
                                </wps:wsp>
                                <wps:wsp>
                                  <wps:cNvPr id="779792001" name="Google Shape;117;p1">
                                    <a:extLst>
                                      <a:ext uri="{FF2B5EF4-FFF2-40B4-BE49-F238E27FC236}">
                                        <a16:creationId xmlns:a16="http://schemas.microsoft.com/office/drawing/2014/main" id="{63CFF006-1B92-B494-13B8-2B7E290CA264}"/>
                                      </a:ext>
                                    </a:extLst>
                                  </wps:cNvPr>
                                  <wps:cNvSpPr/>
                                  <wps:spPr>
                                    <a:xfrm rot="8100000">
                                      <a:off x="6072084" y="1841472"/>
                                      <a:ext cx="1466347" cy="1466348"/>
                                    </a:xfrm>
                                    <a:custGeom>
                                      <a:avLst/>
                                      <a:gdLst/>
                                      <a:ahLst/>
                                      <a:cxnLst/>
                                      <a:rect l="l" t="t" r="r" b="b"/>
                                      <a:pathLst>
                                        <a:path w="1466347" h="1466348" extrusionOk="0">
                                          <a:moveTo>
                                            <a:pt x="950624" y="1466348"/>
                                          </a:moveTo>
                                          <a:lnTo>
                                            <a:pt x="106809" y="622532"/>
                                          </a:lnTo>
                                          <a:cubicBezTo>
                                            <a:pt x="-35604" y="480120"/>
                                            <a:pt x="-35604" y="249223"/>
                                            <a:pt x="106809" y="106810"/>
                                          </a:cubicBezTo>
                                          <a:cubicBezTo>
                                            <a:pt x="249222" y="-35603"/>
                                            <a:pt x="480119" y="-35603"/>
                                            <a:pt x="622531" y="106810"/>
                                          </a:cubicBezTo>
                                          <a:lnTo>
                                            <a:pt x="1466347" y="950625"/>
                                          </a:lnTo>
                                          <a:lnTo>
                                            <a:pt x="1466347" y="1466348"/>
                                          </a:lnTo>
                                          <a:lnTo>
                                            <a:pt x="950624" y="1466348"/>
                                          </a:lnTo>
                                          <a:close/>
                                        </a:path>
                                      </a:pathLst>
                                    </a:custGeom>
                                    <a:solidFill>
                                      <a:srgbClr val="FBCC00"/>
                                    </a:solidFill>
                                    <a:ln>
                                      <a:noFill/>
                                    </a:ln>
                                  </wps:spPr>
                                  <wps:bodyPr spcFirstLastPara="1" wrap="square" lIns="91425" tIns="45700" rIns="91425" bIns="45700" anchor="ctr" anchorCtr="0">
                                    <a:noAutofit/>
                                  </wps:bodyPr>
                                </wps:wsp>
                                <wps:wsp>
                                  <wps:cNvPr id="1221114476" name="Google Shape;118;p1">
                                    <a:extLst>
                                      <a:ext uri="{FF2B5EF4-FFF2-40B4-BE49-F238E27FC236}">
                                        <a16:creationId xmlns:a16="http://schemas.microsoft.com/office/drawing/2014/main" id="{EC9B0169-CF2E-65BC-2C29-57C668B3A227}"/>
                                      </a:ext>
                                    </a:extLst>
                                  </wps:cNvPr>
                                  <wps:cNvSpPr/>
                                  <wps:spPr>
                                    <a:xfrm rot="8100000">
                                      <a:off x="3246892" y="3254415"/>
                                      <a:ext cx="1922677" cy="729342"/>
                                    </a:xfrm>
                                    <a:custGeom>
                                      <a:avLst/>
                                      <a:gdLst/>
                                      <a:ahLst/>
                                      <a:cxnLst/>
                                      <a:rect l="l" t="t" r="r" b="b"/>
                                      <a:pathLst>
                                        <a:path w="1922677" h="729342" extrusionOk="0">
                                          <a:moveTo>
                                            <a:pt x="364670" y="729342"/>
                                          </a:moveTo>
                                          <a:lnTo>
                                            <a:pt x="0" y="364671"/>
                                          </a:lnTo>
                                          <a:lnTo>
                                            <a:pt x="364671" y="0"/>
                                          </a:lnTo>
                                          <a:lnTo>
                                            <a:pt x="1558006" y="0"/>
                                          </a:lnTo>
                                          <a:cubicBezTo>
                                            <a:pt x="1759408" y="0"/>
                                            <a:pt x="1922677" y="163269"/>
                                            <a:pt x="1922677" y="364671"/>
                                          </a:cubicBezTo>
                                          <a:cubicBezTo>
                                            <a:pt x="1922677" y="566073"/>
                                            <a:pt x="1759408" y="729342"/>
                                            <a:pt x="1558006" y="729342"/>
                                          </a:cubicBezTo>
                                          <a:lnTo>
                                            <a:pt x="364670" y="729342"/>
                                          </a:lnTo>
                                          <a:close/>
                                        </a:path>
                                      </a:pathLst>
                                    </a:custGeom>
                                    <a:solidFill>
                                      <a:srgbClr val="37C3E7"/>
                                    </a:solidFill>
                                    <a:ln>
                                      <a:noFill/>
                                    </a:ln>
                                  </wps:spPr>
                                  <wps:bodyPr spcFirstLastPara="1" wrap="square" lIns="91425" tIns="45700" rIns="91425" bIns="45700" anchor="ctr" anchorCtr="0">
                                    <a:noAutofit/>
                                  </wps:bodyPr>
                                </wps:wsp>
                                <wps:wsp>
                                  <wps:cNvPr id="692374891" name="Google Shape;119;p1">
                                    <a:extLst>
                                      <a:ext uri="{FF2B5EF4-FFF2-40B4-BE49-F238E27FC236}">
                                        <a16:creationId xmlns:a16="http://schemas.microsoft.com/office/drawing/2014/main" id="{057FC68D-4A5E-16E3-3A36-48F84A942B07}"/>
                                      </a:ext>
                                    </a:extLst>
                                  </wps:cNvPr>
                                  <wps:cNvSpPr/>
                                  <wps:spPr>
                                    <a:xfrm rot="8100000">
                                      <a:off x="5932438" y="2657748"/>
                                      <a:ext cx="729342" cy="1922677"/>
                                    </a:xfrm>
                                    <a:custGeom>
                                      <a:avLst/>
                                      <a:gdLst/>
                                      <a:ahLst/>
                                      <a:cxnLst/>
                                      <a:rect l="l" t="t" r="r" b="b"/>
                                      <a:pathLst>
                                        <a:path w="729342" h="1922677" extrusionOk="0">
                                          <a:moveTo>
                                            <a:pt x="364671" y="1922677"/>
                                          </a:moveTo>
                                          <a:lnTo>
                                            <a:pt x="0" y="1558006"/>
                                          </a:lnTo>
                                          <a:lnTo>
                                            <a:pt x="0" y="364671"/>
                                          </a:lnTo>
                                          <a:cubicBezTo>
                                            <a:pt x="0" y="163269"/>
                                            <a:pt x="163269" y="0"/>
                                            <a:pt x="364671" y="0"/>
                                          </a:cubicBezTo>
                                          <a:cubicBezTo>
                                            <a:pt x="566073" y="0"/>
                                            <a:pt x="729342" y="163269"/>
                                            <a:pt x="729342" y="364671"/>
                                          </a:cubicBezTo>
                                          <a:lnTo>
                                            <a:pt x="729342" y="1558006"/>
                                          </a:lnTo>
                                          <a:lnTo>
                                            <a:pt x="364671" y="1922677"/>
                                          </a:lnTo>
                                          <a:close/>
                                        </a:path>
                                      </a:pathLst>
                                    </a:custGeom>
                                    <a:solidFill>
                                      <a:srgbClr val="8DB601"/>
                                    </a:solidFill>
                                    <a:ln>
                                      <a:noFill/>
                                    </a:ln>
                                  </wps:spPr>
                                  <wps:bodyPr spcFirstLastPara="1" wrap="square" lIns="91425" tIns="45700" rIns="91425" bIns="45700" anchor="ctr" anchorCtr="0">
                                    <a:noAutofit/>
                                  </wps:bodyPr>
                                </wps:wsp>
                              </wpg:grpSp>
                              <wps:wsp>
                                <wps:cNvPr id="767011548" name="Google Shape;121;p1">
                                  <a:extLst>
                                    <a:ext uri="{FF2B5EF4-FFF2-40B4-BE49-F238E27FC236}">
                                      <a16:creationId xmlns:a16="http://schemas.microsoft.com/office/drawing/2014/main" id="{D9E6A3BA-C6F1-6DDB-3780-B6CBA728AC49}"/>
                                    </a:ext>
                                  </a:extLst>
                                </wps:cNvPr>
                                <wps:cNvSpPr/>
                                <wps:spPr>
                                  <a:xfrm>
                                    <a:off x="3336096" y="602536"/>
                                    <a:ext cx="4563923" cy="4563925"/>
                                  </a:xfrm>
                                  <a:prstGeom prst="ellipse">
                                    <a:avLst/>
                                  </a:prstGeom>
                                  <a:solidFill>
                                    <a:srgbClr val="7F7F7F">
                                      <a:alpha val="65882"/>
                                    </a:srgbClr>
                                  </a:solidFill>
                                  <a:ln>
                                    <a:noFill/>
                                  </a:ln>
                                </wps:spPr>
                                <wps:bodyPr spcFirstLastPara="1" wrap="square" lIns="91425" tIns="45700" rIns="91425" bIns="45700" anchor="ctr" anchorCtr="0">
                                  <a:noAutofit/>
                                </wps:bodyPr>
                              </wps:wsp>
                              <wps:wsp>
                                <wps:cNvPr id="1033236410" name="Google Shape;122;p1">
                                  <a:extLst>
                                    <a:ext uri="{FF2B5EF4-FFF2-40B4-BE49-F238E27FC236}">
                                      <a16:creationId xmlns:a16="http://schemas.microsoft.com/office/drawing/2014/main" id="{B03B1048-3DCE-3C3C-4C1C-0B2F9C4C1E42}"/>
                                    </a:ext>
                                  </a:extLst>
                                </wps:cNvPr>
                                <wps:cNvSpPr/>
                                <wps:spPr>
                                  <a:xfrm>
                                    <a:off x="3913965" y="1190577"/>
                                    <a:ext cx="3418114" cy="3418114"/>
                                  </a:xfrm>
                                  <a:prstGeom prst="ellipse">
                                    <a:avLst/>
                                  </a:prstGeom>
                                  <a:solidFill>
                                    <a:schemeClr val="lt1"/>
                                  </a:solidFill>
                                  <a:ln>
                                    <a:noFill/>
                                  </a:ln>
                                </wps:spPr>
                                <wps:bodyPr spcFirstLastPara="1" wrap="square" lIns="91425" tIns="45700" rIns="91425" bIns="45700" anchor="ctr" anchorCtr="0">
                                  <a:noAutofit/>
                                </wps:bodyPr>
                              </wps:wsp>
                            </wpg:grpSp>
                          </wpg:grpSp>
                        </wpg:grpSp>
                        <wps:wsp>
                          <wps:cNvPr id="1026321706" name="TextBox 67">
                            <a:extLst>
                              <a:ext uri="{FF2B5EF4-FFF2-40B4-BE49-F238E27FC236}">
                                <a16:creationId xmlns:a16="http://schemas.microsoft.com/office/drawing/2014/main" id="{1E4F5B99-FB06-79B8-A0BA-AA3C1E3E25B4}"/>
                              </a:ext>
                            </a:extLst>
                          </wps:cNvPr>
                          <wps:cNvSpPr txBox="1"/>
                          <wps:spPr>
                            <a:xfrm>
                              <a:off x="3182652" y="1950508"/>
                              <a:ext cx="3136900" cy="1054736"/>
                            </a:xfrm>
                            <a:prstGeom prst="rect">
                              <a:avLst/>
                            </a:prstGeom>
                            <a:noFill/>
                          </wps:spPr>
                          <wps:txbx>
                            <w:txbxContent>
                              <w:p w14:paraId="077BC3B2" w14:textId="77777777" w:rsidR="006E3099" w:rsidRPr="00915CAA" w:rsidRDefault="006E3099" w:rsidP="006E3099">
                                <w:pPr>
                                  <w:jc w:val="center"/>
                                  <w:rPr>
                                    <w:rFonts w:hAnsi="Aptos"/>
                                    <w:b/>
                                    <w:bCs/>
                                    <w:color w:val="000000" w:themeColor="text1"/>
                                    <w:kern w:val="24"/>
                                    <w:sz w:val="28"/>
                                    <w:szCs w:val="28"/>
                                    <w14:ligatures w14:val="none"/>
                                  </w:rPr>
                                </w:pPr>
                                <w:r w:rsidRPr="00915CAA">
                                  <w:rPr>
                                    <w:rFonts w:hAnsi="Aptos"/>
                                    <w:b/>
                                    <w:bCs/>
                                    <w:color w:val="000000" w:themeColor="text1"/>
                                    <w:kern w:val="24"/>
                                    <w:sz w:val="28"/>
                                    <w:szCs w:val="28"/>
                                  </w:rPr>
                                  <w:t>Design Science Research</w:t>
                                </w:r>
                              </w:p>
                            </w:txbxContent>
                          </wps:txbx>
                          <wps:bodyPr wrap="square" rtlCol="0">
                            <a:noAutofit/>
                          </wps:bodyPr>
                        </wps:wsp>
                        <wps:wsp>
                          <wps:cNvPr id="2127715938" name="Oval 2127715938">
                            <a:extLst>
                              <a:ext uri="{FF2B5EF4-FFF2-40B4-BE49-F238E27FC236}">
                                <a16:creationId xmlns:a16="http://schemas.microsoft.com/office/drawing/2014/main" id="{9433F1A7-5CC3-05E8-D05D-44D6D0B9C5B4}"/>
                              </a:ext>
                            </a:extLst>
                          </wps:cNvPr>
                          <wps:cNvSpPr/>
                          <wps:spPr>
                            <a:xfrm>
                              <a:off x="2781251" y="494091"/>
                              <a:ext cx="3931460" cy="3981887"/>
                            </a:xfrm>
                            <a:prstGeom prst="ellipse">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34165988" name="Arrow: Right 1934165988">
                            <a:extLst>
                              <a:ext uri="{FF2B5EF4-FFF2-40B4-BE49-F238E27FC236}">
                                <a16:creationId xmlns:a16="http://schemas.microsoft.com/office/drawing/2014/main" id="{13C1F31C-B965-7C68-DCAE-B05F00B4F260}"/>
                              </a:ext>
                            </a:extLst>
                          </wps:cNvPr>
                          <wps:cNvSpPr/>
                          <wps:spPr>
                            <a:xfrm rot="1686436">
                              <a:off x="5430799" y="556153"/>
                              <a:ext cx="452279" cy="352385"/>
                            </a:xfrm>
                            <a:prstGeom prst="right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34898656" name="Arrow: Right 1634898656">
                            <a:extLst>
                              <a:ext uri="{FF2B5EF4-FFF2-40B4-BE49-F238E27FC236}">
                                <a16:creationId xmlns:a16="http://schemas.microsoft.com/office/drawing/2014/main" id="{2E0DB92D-3F7F-475A-C623-88D70BE98E35}"/>
                              </a:ext>
                            </a:extLst>
                          </wps:cNvPr>
                          <wps:cNvSpPr/>
                          <wps:spPr>
                            <a:xfrm rot="4428393">
                              <a:off x="6404325" y="1759428"/>
                              <a:ext cx="452279" cy="352385"/>
                            </a:xfrm>
                            <a:prstGeom prst="right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57650237" name="Arrow: Right 1657650237">
                            <a:extLst>
                              <a:ext uri="{FF2B5EF4-FFF2-40B4-BE49-F238E27FC236}">
                                <a16:creationId xmlns:a16="http://schemas.microsoft.com/office/drawing/2014/main" id="{CD375FAA-80CA-8F69-9451-68A9FEE8BDCB}"/>
                              </a:ext>
                            </a:extLst>
                          </wps:cNvPr>
                          <wps:cNvSpPr/>
                          <wps:spPr>
                            <a:xfrm rot="6906530">
                              <a:off x="6253348" y="3215109"/>
                              <a:ext cx="452279" cy="352385"/>
                            </a:xfrm>
                            <a:prstGeom prst="right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08486692" name="Arrow: Right 1708486692">
                            <a:extLst>
                              <a:ext uri="{FF2B5EF4-FFF2-40B4-BE49-F238E27FC236}">
                                <a16:creationId xmlns:a16="http://schemas.microsoft.com/office/drawing/2014/main" id="{8D852F0A-77F7-8DF7-8EEB-8F361AA9658A}"/>
                              </a:ext>
                            </a:extLst>
                          </wps:cNvPr>
                          <wps:cNvSpPr/>
                          <wps:spPr>
                            <a:xfrm rot="12220872">
                              <a:off x="3695023" y="4101033"/>
                              <a:ext cx="452279" cy="352385"/>
                            </a:xfrm>
                            <a:prstGeom prst="right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86231306" name="Arrow: Right 1486231306">
                            <a:extLst>
                              <a:ext uri="{FF2B5EF4-FFF2-40B4-BE49-F238E27FC236}">
                                <a16:creationId xmlns:a16="http://schemas.microsoft.com/office/drawing/2014/main" id="{907E67E1-17D8-F8DD-E113-383EADF5EDFE}"/>
                              </a:ext>
                            </a:extLst>
                          </wps:cNvPr>
                          <wps:cNvSpPr/>
                          <wps:spPr>
                            <a:xfrm rot="14788431">
                              <a:off x="2672268" y="2993464"/>
                              <a:ext cx="452279" cy="352385"/>
                            </a:xfrm>
                            <a:prstGeom prst="right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142156" name="Arrow: Right 6142156">
                            <a:extLst>
                              <a:ext uri="{FF2B5EF4-FFF2-40B4-BE49-F238E27FC236}">
                                <a16:creationId xmlns:a16="http://schemas.microsoft.com/office/drawing/2014/main" id="{1D59B8A9-BDE4-325D-DD03-6A704C58610A}"/>
                              </a:ext>
                            </a:extLst>
                          </wps:cNvPr>
                          <wps:cNvSpPr/>
                          <wps:spPr>
                            <a:xfrm rot="17581240">
                              <a:off x="2716614" y="1504228"/>
                              <a:ext cx="452279" cy="352385"/>
                            </a:xfrm>
                            <a:prstGeom prst="right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wgp>
                  </a:graphicData>
                </a:graphic>
              </wp:anchor>
            </w:drawing>
          </mc:Choice>
          <mc:Fallback>
            <w:pict>
              <v:group w14:anchorId="776DA1EE" id="Group 1" o:spid="_x0000_s1026" style="position:absolute;left:0;text-align:left;margin-left:-5.4pt;margin-top:25.1pt;width:404.85pt;height:3in;z-index:251660288" coordsize="51413,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">
                <v:shape id="Rectangle: Rounded Corners 25" o:spid="_x0000_s1027" style="position:absolute;width:51413;height:27432;visibility:visible;mso-wrap-style:square;v-text-anchor:middle" coordsize="5141343,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" path="m,457209nfc41152,183899,165390,-6642,457209,,616121,-54650,864325,47615,985575,v121250,-47615,357600,20608,486096,c1600167,-20608,1909998,24723,2042306,v132308,-24723,451987,66016,570635,c2731590,-66016,2987057,36862,3099037,v111980,-36862,304484,45603,570635,c3935824,-45603,4474276,67039,4684134,v230047,60320,439609,256961,457209,457209c5157517,668815,5119117,750269,5141343,932692v22226,182423,-47423,335813,,438908c5188766,1474695,5118714,1603508,5141343,1828796v22629,225288,-25390,335884,,457195c5130112,2533516,4949642,2705061,4684134,2743200v-132069,1203,-351769,-30054,-443827,c4148249,2773254,3911683,2723121,3796480,2743200v-115203,20079,-360870,-56931,-570635,c3016080,2800131,2945922,2704310,2739749,2743200v-206173,38890,-329173,-2235,-443828,c2181266,2745435,1932239,2703724,1809825,2743200v-122414,39476,-300106,-56596,-570635,c968662,2799796,673993,2742753,457209,2743200,178133,2702258,18420,2537276,,2285991,-8077,2142083,11803,1917150,,1792220,-11803,1667290,29409,1459736,,1353312,-29409,1246888,45085,1040998,,932692,-45085,824386,41427,627130,,457209xem,457209nsc11117,236798,204173,-26799,457209,,695877,-47867,819434,35719,985575,v166141,-35719,245051,43149,443827,c1628178,-43149,1702692,60640,1957767,v255076,-60640,259862,5429,401558,c2501021,-5429,2646654,40543,2760883,v114229,-40543,440125,55904,570635,c3462028,-55904,3577744,45045,3733076,v155332,-45045,591334,110106,951058,c4911063,21695,5137863,265365,5141343,457209v6945,128001,-11228,248297,,420620c5152571,1050152,5094602,1142944,5141343,1353312v46741,210368,-29603,312983,,402332c5170946,1844993,5095255,2152066,5141343,2285991v34899,312572,-162250,429115,-457209,457209c4544986,2767960,4445341,2732803,4282576,2743200v-162765,10397,-322224,-38902,-486096,c3632608,2782102,3443010,2702680,3268114,2743200v-174896,40520,-367427,-27702,-528365,c2578811,2770902,2421378,2715298,2338191,2743200v-83187,27902,-244879,-35350,-486097,c1610876,2778550,1460471,2694466,1281459,2743200v-179011,48734,-657449,-2663,-824250,c146312,2744402,-65,2557615,,2285991,-39031,2178683,40956,2007885,,1883659,-40956,1759433,42683,1549194,,1444751,-42683,1340308,24034,1179862,,969268,-24034,758674,409,641917,,457209xe" fillcolor="white [3201]" strokecolor="#737373 [1614]">
                  <v:stroke joinstyle="miter"/>
                  <v:path arrowok="t" o:extrusionok="f" o:connecttype="custom" o:connectlocs="0,457209;457209,0;985575,0;1471671,0;2042306,0;2612941,0;3099037,0;3669672,0;4684134,0;5141343,457209;5141343,932692;5141343,1371600;5141343,1828796;5141343,2285991;4684134,2743200;4240307,2743200;3796480,2743200;3225845,2743200;2739749,2743200;2295921,2743200;1809825,2743200;1239190,2743200;457209,2743200;0,2285991;0,1792220;0,1353312;0,932692;0,457209" o:connectangles="0,0,0,0,0,0,0,0,0,0,0,0,0,0,0,0,0,0,0,0,0,0,0,0,0,0,0,0"/>
                </v:shape>
                <v:group id="Group 92" o:spid="_x0000_s1028" style="position:absolute;left:684;top:1288;width:50205;height:26052" coordorigin="" coordsize="96062,49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">
                  <v:group id="Group 330744459" o:spid="_x0000_s1029" style="position:absolute;width:96062;height:49851" coordsize="113928,5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">
                    <v:shapetype id="_x0000_t202" coordsize="21600,21600" o:spt="202" path="m,l,21600r21600,l21600,xe">
                      <v:stroke joinstyle="miter"/>
                      <v:path gradientshapeok="t" o:connecttype="rect"/>
                    </v:shapetype>
                    <v:shape id="Google Shape;88;p1" o:spid="_x0000_s1030" type="#_x0000_t202" style="position:absolute;left:80356;top:1482;width:24332;height:12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" filled="f" stroked="f">
                      <v:textbox inset="2.53958mm,1.2694mm,2.53958mm,1.2694mm">
                        <w:txbxContent>
                          <w:p w14:paraId="4FA70529" w14:textId="77777777" w:rsidR="006E3099" w:rsidRPr="00915CAA" w:rsidRDefault="006E3099" w:rsidP="006E3099">
                            <w:pPr>
                              <w:rPr>
                                <w:rFonts w:ascii="Calibri" w:eastAsia="Calibri" w:hAnsi="Calibri" w:cs="Calibri"/>
                                <w:b/>
                                <w:bCs/>
                                <w:color w:val="F38E26"/>
                                <w:kern w:val="24"/>
                                <w14:ligatures w14:val="none"/>
                              </w:rPr>
                            </w:pPr>
                            <w:r w:rsidRPr="00915CAA">
                              <w:rPr>
                                <w:rFonts w:ascii="Calibri" w:eastAsia="Calibri" w:hAnsi="Calibri" w:cs="Calibri"/>
                                <w:b/>
                                <w:bCs/>
                                <w:color w:val="F38E26"/>
                                <w:kern w:val="24"/>
                              </w:rPr>
                              <w:t>Solution Development</w:t>
                            </w:r>
                          </w:p>
                        </w:txbxContent>
                      </v:textbox>
                    </v:shape>
                    <v:shape id="Google Shape;91;p1" o:spid="_x0000_s1031" type="#_x0000_t202" style="position:absolute;left:85861;top:23398;width:28067;height:12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" filled="f" stroked="f">
                      <v:textbox inset="2.53958mm,1.2694mm,2.53958mm,1.2694mm">
                        <w:txbxContent>
                          <w:p w14:paraId="57DEE239" w14:textId="77777777" w:rsidR="006E3099" w:rsidRPr="00915CAA" w:rsidRDefault="006E3099" w:rsidP="006E3099">
                            <w:pPr>
                              <w:rPr>
                                <w:rFonts w:ascii="Calibri" w:eastAsia="Calibri" w:hAnsi="Calibri" w:cs="Calibri"/>
                                <w:b/>
                                <w:bCs/>
                                <w:color w:val="FBCC00"/>
                                <w:kern w:val="24"/>
                                <w14:ligatures w14:val="none"/>
                              </w:rPr>
                            </w:pPr>
                            <w:r w:rsidRPr="00915CAA">
                              <w:rPr>
                                <w:rFonts w:ascii="Calibri" w:eastAsia="Calibri" w:hAnsi="Calibri" w:cs="Calibri"/>
                                <w:b/>
                                <w:bCs/>
                                <w:color w:val="FBCC00"/>
                                <w:kern w:val="24"/>
                              </w:rPr>
                              <w:t>Design Development</w:t>
                            </w:r>
                          </w:p>
                        </w:txbxContent>
                      </v:textbox>
                    </v:shape>
                    <v:shape id="Google Shape;94;p1" o:spid="_x0000_s1032" type="#_x0000_t202" style="position:absolute;left:80353;top:48736;width:21561;height:7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" filled="f" stroked="f">
                      <v:textbox inset="2.53958mm,1.2694mm,2.53958mm,1.2694mm">
                        <w:txbxContent>
                          <w:p w14:paraId="4BDCE163" w14:textId="77777777" w:rsidR="006E3099" w:rsidRPr="00915CAA" w:rsidRDefault="006E3099" w:rsidP="006E3099">
                            <w:pPr>
                              <w:rPr>
                                <w:rFonts w:ascii="Calibri" w:eastAsia="Calibri" w:hAnsi="Calibri" w:cs="Calibri"/>
                                <w:b/>
                                <w:bCs/>
                                <w:color w:val="8DB601"/>
                                <w:kern w:val="24"/>
                                <w14:ligatures w14:val="none"/>
                              </w:rPr>
                            </w:pPr>
                            <w:r w:rsidRPr="00915CAA">
                              <w:rPr>
                                <w:rFonts w:ascii="Calibri" w:eastAsia="Calibri" w:hAnsi="Calibri" w:cs="Calibri"/>
                                <w:b/>
                                <w:bCs/>
                                <w:color w:val="8DB601"/>
                                <w:kern w:val="24"/>
                              </w:rPr>
                              <w:t>Evaluation</w:t>
                            </w:r>
                          </w:p>
                        </w:txbxContent>
                      </v:textbox>
                    </v:shape>
                    <v:shape id="Google Shape;100;p1" o:spid="_x0000_s1033" type="#_x0000_t202" style="position:absolute;left:5051;top:46574;width:26682;height:7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" filled="f" stroked="f">
                      <v:textbox inset="2.53958mm,1.2694mm,2.53958mm,1.2694mm">
                        <w:txbxContent>
                          <w:p w14:paraId="12B52164" w14:textId="77777777" w:rsidR="006E3099" w:rsidRPr="00915CAA" w:rsidRDefault="006E3099" w:rsidP="006E3099">
                            <w:pPr>
                              <w:jc w:val="right"/>
                              <w:rPr>
                                <w:rFonts w:ascii="Calibri" w:eastAsia="Calibri" w:hAnsi="Calibri" w:cs="Calibri"/>
                                <w:b/>
                                <w:bCs/>
                                <w:color w:val="37C3E7"/>
                                <w:kern w:val="24"/>
                                <w14:ligatures w14:val="none"/>
                              </w:rPr>
                            </w:pPr>
                            <w:r w:rsidRPr="00915CAA">
                              <w:rPr>
                                <w:rFonts w:ascii="Calibri" w:eastAsia="Calibri" w:hAnsi="Calibri" w:cs="Calibri"/>
                                <w:b/>
                                <w:bCs/>
                                <w:color w:val="37C3E7"/>
                                <w:kern w:val="24"/>
                              </w:rPr>
                              <w:t>Demonstration</w:t>
                            </w:r>
                          </w:p>
                        </w:txbxContent>
                      </v:textbox>
                    </v:shape>
                    <v:shape id="Google Shape;103;p1" o:spid="_x0000_s1034" type="#_x0000_t202" style="position:absolute;top:23715;width:26682;height:12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" filled="f" stroked="f">
                      <v:textbox inset="2.53958mm,1.2694mm,2.53958mm,1.2694mm">
                        <w:txbxContent>
                          <w:p w14:paraId="17583D10" w14:textId="77777777" w:rsidR="006E3099" w:rsidRPr="00915CAA" w:rsidRDefault="006E3099" w:rsidP="006E3099">
                            <w:pPr>
                              <w:jc w:val="right"/>
                              <w:rPr>
                                <w:rFonts w:ascii="Calibri" w:hAnsi="Calibri" w:cs="Calibri"/>
                                <w:b/>
                                <w:bCs/>
                                <w:color w:val="1D4C92"/>
                                <w:kern w:val="24"/>
                                <w14:ligatures w14:val="none"/>
                              </w:rPr>
                            </w:pPr>
                            <w:r w:rsidRPr="00915CAA">
                              <w:rPr>
                                <w:rFonts w:ascii="Calibri" w:hAnsi="Calibri" w:cs="Calibri"/>
                                <w:b/>
                                <w:bCs/>
                                <w:color w:val="1D4C92"/>
                                <w:kern w:val="24"/>
                              </w:rPr>
                              <w:t>Solution Objectives</w:t>
                            </w:r>
                          </w:p>
                        </w:txbxContent>
                      </v:textbox>
                    </v:shape>
                    <v:shape id="Google Shape;106;p1" o:spid="_x0000_s1035" type="#_x0000_t202" style="position:absolute;left:5608;top:1401;width:24325;height:12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" filled="f" stroked="f">
                      <v:textbox inset="2.53958mm,1.2694mm,2.53958mm,1.2694mm">
                        <w:txbxContent>
                          <w:p w14:paraId="2DD971AC" w14:textId="77777777" w:rsidR="006E3099" w:rsidRPr="00915CAA" w:rsidRDefault="006E3099" w:rsidP="006E3099">
                            <w:pPr>
                              <w:jc w:val="right"/>
                              <w:rPr>
                                <w:rFonts w:ascii="Calibri" w:eastAsia="Calibri" w:hAnsi="Calibri" w:cs="Calibri"/>
                                <w:b/>
                                <w:bCs/>
                                <w:color w:val="67356D"/>
                                <w:kern w:val="24"/>
                                <w14:ligatures w14:val="none"/>
                              </w:rPr>
                            </w:pPr>
                            <w:r w:rsidRPr="00915CAA">
                              <w:rPr>
                                <w:rFonts w:ascii="Calibri" w:eastAsia="Calibri" w:hAnsi="Calibri" w:cs="Calibri"/>
                                <w:b/>
                                <w:bCs/>
                                <w:color w:val="67356D"/>
                                <w:kern w:val="24"/>
                              </w:rPr>
                              <w:t>Problem Identification</w:t>
                            </w:r>
                          </w:p>
                        </w:txbxContent>
                      </v:textbox>
                    </v:shape>
                    <v:group id="Google Shape;108;p1" o:spid="_x0000_s1036" style="position:absolute;left:27233;width:57993;height:57992" coordorigin="27233" coordsize="57992,5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">
                      <v:oval id="Google Shape;109;p1" o:spid="_x0000_s1037" style="position:absolute;left:27233;width:57993;height:579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" fillcolor="#7f7f7f" stroked="f">
                        <v:fill opacity="43176f"/>
                        <v:textbox inset="2.53958mm,1.2694mm,2.53958mm,1.2694mm"/>
                      </v:oval>
                      <v:group id="Google Shape;110;p1" o:spid="_x0000_s1038" style="position:absolute;left:29669;top:5555;width:53122;height:46881" coordorigin="29669,5555" coordsize="53122,46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">
                        <v:oval id="Google Shape;111;p1" o:spid="_x0000_s1039" style="position:absolute;left:32789;top:5555;width:46881;height:46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" fillcolor="white [3201]" stroked="f">
                          <v:textbox inset="2.53958mm,1.2694mm,2.53958mm,1.2694mm"/>
                        </v:oval>
                        <v:group id="Google Shape;112;p1" o:spid="_x0000_s1040" style="position:absolute;left:29669;top:5688;width:53122;height:46615" coordorigin="29669,5688" coordsize="45715,4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">
                          <v:shape id="Google Shape;114;p1" o:spid="_x0000_s1041" style="position:absolute;left:38435;top:5688;width:7294;height:19227;rotation:135;visibility:visible;mso-wrap-style:square;v-text-anchor:middle" coordsize="729342,1922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" path="m106810,1815868c40817,1749875,,1658707,,1558006l,364671,364671,,729342,364671r,1193335c729342,1759408,566073,1922677,364671,1922677v-100701,,-191869,-40817,-257861,-106809xe" fillcolor="#67356d" stroked="f">
                            <v:path arrowok="t" o:extrusionok="f"/>
                          </v:shape>
                          <v:shape id="Google Shape;115;p1" o:spid="_x0000_s1042" style="position:absolute;left:53357;top:11655;width:19227;height:7293;rotation:135;visibility:visible;mso-wrap-style:square;v-text-anchor:middle" coordsize="1922677,72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" path="m106809,622532c40817,556540,,465372,,364671,,163269,163269,,364671,l1558006,r364671,364671l1558007,729342r-1193336,c263970,729342,172802,688525,106809,622532xe" fillcolor="#f38e26" stroked="f">
                            <v:path arrowok="t" o:extrusionok="f"/>
                          </v:shape>
                          <v:shape id="Google Shape;116;p1" o:spid="_x0000_s1043" style="position:absolute;left:29669;top:18414;width:14663;height:14664;rotation:135;visibility:visible;mso-wrap-style:square;v-text-anchor:middle" coordsize="1466347,146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" path="m843816,1359538l,515723,,,515722,r843816,843816c1501951,986228,1501951,1217125,1359538,1359538v-142413,142413,-373310,142413,-515722,xe" fillcolor="#1d4c92" stroked="f">
                            <v:path arrowok="t" o:extrusionok="f"/>
                          </v:shape>
                          <v:shape id="Google Shape;117;p1" o:spid="_x0000_s1044" style="position:absolute;left:60720;top:18414;width:14664;height:14664;rotation:135;visibility:visible;mso-wrap-style:square;v-text-anchor:middle" coordsize="1466347,146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" path="m950624,1466348l106809,622532v-142413,-142412,-142413,-373309,,-515722c249222,-35603,480119,-35603,622531,106810r843816,843815l1466347,1466348r-515723,xe" fillcolor="#fbcc00" stroked="f">
                            <v:path arrowok="t" o:extrusionok="f"/>
                          </v:shape>
                          <v:shape id="Google Shape;118;p1" o:spid="_x0000_s1045" style="position:absolute;left:32468;top:32544;width:19227;height:7293;rotation:135;visibility:visible;mso-wrap-style:square;v-text-anchor:middle" coordsize="1922677,72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" path="m364670,729342l,364671,364671,,1558006,v201402,,364671,163269,364671,364671c1922677,566073,1759408,729342,1558006,729342r-1193336,xe" fillcolor="#37c3e7" stroked="f">
                            <v:path arrowok="t" o:extrusionok="f"/>
                          </v:shape>
                          <v:shape id="Google Shape;119;p1" o:spid="_x0000_s1046" style="position:absolute;left:59324;top:26577;width:7293;height:19227;rotation:135;visibility:visible;mso-wrap-style:square;v-text-anchor:middle" coordsize="729342,1922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" path="m364671,1922677l,1558006,,364671c,163269,163269,,364671,,566073,,729342,163269,729342,364671r,1193335l364671,1922677xe" fillcolor="#8db601" stroked="f">
                            <v:path arrowok="t" o:extrusionok="f"/>
                          </v:shape>
                        </v:group>
                        <v:oval id="Google Shape;121;p1" o:spid="_x0000_s1047" style="position:absolute;left:33360;top:6025;width:45640;height:45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" fillcolor="#7f7f7f" stroked="f">
                          <v:fill opacity="43176f"/>
                          <v:textbox inset="2.53958mm,1.2694mm,2.53958mm,1.2694mm"/>
                        </v:oval>
                        <v:oval id="Google Shape;122;p1" o:spid="_x0000_s1048" style="position:absolute;left:39139;top:11905;width:34181;height:34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" fillcolor="white [3201]" stroked="f">
                          <v:textbox inset="2.53958mm,1.2694mm,2.53958mm,1.2694mm"/>
                        </v:oval>
                      </v:group>
                    </v:group>
                  </v:group>
                  <v:shape id="TextBox 67" o:spid="_x0000_s1049" type="#_x0000_t202" style="position:absolute;left:31826;top:19505;width:31369;height:10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" filled="f" stroked="f">
                    <v:textbox>
                      <w:txbxContent>
                        <w:p w14:paraId="077BC3B2" w14:textId="77777777" w:rsidR="006E3099" w:rsidRPr="00915CAA" w:rsidRDefault="006E3099" w:rsidP="006E3099">
                          <w:pPr>
                            <w:jc w:val="center"/>
                            <w:rPr>
                              <w:rFonts w:hAnsi="Aptos"/>
                              <w:b/>
                              <w:bCs/>
                              <w:color w:val="000000" w:themeColor="text1"/>
                              <w:kern w:val="24"/>
                              <w:sz w:val="28"/>
                              <w:szCs w:val="28"/>
                              <w14:ligatures w14:val="none"/>
                            </w:rPr>
                          </w:pPr>
                          <w:r w:rsidRPr="00915CAA">
                            <w:rPr>
                              <w:rFonts w:hAnsi="Aptos"/>
                              <w:b/>
                              <w:bCs/>
                              <w:color w:val="000000" w:themeColor="text1"/>
                              <w:kern w:val="24"/>
                              <w:sz w:val="28"/>
                              <w:szCs w:val="28"/>
                            </w:rPr>
                            <w:t>Design Science Research</w:t>
                          </w:r>
                        </w:p>
                      </w:txbxContent>
                    </v:textbox>
                  </v:shape>
                  <v:oval id="Oval 2127715938" o:spid="_x0000_s1050" style="position:absolute;left:27812;top:4940;width:39315;height:39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" filled="f" strokecolor="red" strokeweight="3pt">
                    <v:stroke joinstyle="miter"/>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934165988" o:spid="_x0000_s1051" type="#_x0000_t13" style="position:absolute;left:54307;top:5561;width:4523;height:3524;rotation:18420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" adj="13185" fillcolor="red" strokecolor="red" strokeweight="1.5pt"/>
                  <v:shape id="Arrow: Right 1634898656" o:spid="_x0000_s1052" type="#_x0000_t13" style="position:absolute;left:64042;top:17594;width:4523;height:3524;rotation:483698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" adj="13185" fillcolor="red" strokecolor="red" strokeweight="1.5pt"/>
                  <v:shape id="Arrow: Right 1657650237" o:spid="_x0000_s1053" type="#_x0000_t13" style="position:absolute;left:62532;top:32151;width:4523;height:3524;rotation:75437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" adj="13185" fillcolor="red" strokecolor="red" strokeweight="1.5pt"/>
                  <v:shape id="Arrow: Right 1708486692" o:spid="_x0000_s1054" type="#_x0000_t13" style="position:absolute;left:36950;top:41010;width:4523;height:3524;rotation:-1024450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" adj="13185" fillcolor="red" strokecolor="red" strokeweight="1.5pt"/>
                  <v:shape id="Arrow: Right 1486231306" o:spid="_x0000_s1055" type="#_x0000_t13" style="position:absolute;left:26723;top:29934;width:4522;height:3524;rotation:-744005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" adj="13185" fillcolor="red" strokecolor="red" strokeweight="1.5pt"/>
                  <v:shape id="Arrow: Right 6142156" o:spid="_x0000_s1056" type="#_x0000_t13" style="position:absolute;left:27165;top:15042;width:4523;height:3524;rotation:-438955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" adj="13185" fillcolor="red" strokecolor="red" strokeweight="1.5pt"/>
                </v:group>
              </v:group>
            </w:pict>
          </mc:Fallback>
        </mc:AlternateContent>
      </w:r>
    </w:p>
    <w:p w14:paraId="690F2582" w14:textId="4A1D58CA" w:rsidR="006E3099" w:rsidRPr="006E3099" w:rsidRDefault="006E3099" w:rsidP="006E3099">
      <w:pPr>
        <w:spacing w:line="360" w:lineRule="auto"/>
        <w:jc w:val="both"/>
        <w:rPr>
          <w:rFonts w:ascii="Times New Roman" w:hAnsi="Times New Roman" w:cs="Times New Roman"/>
          <w:b/>
          <w:bCs/>
        </w:rPr>
      </w:pPr>
    </w:p>
    <w:p w14:paraId="051ED7FA" w14:textId="77777777" w:rsidR="006E3099" w:rsidRPr="006E3099" w:rsidRDefault="006E3099" w:rsidP="006E3099">
      <w:pPr>
        <w:spacing w:line="360" w:lineRule="auto"/>
        <w:jc w:val="both"/>
        <w:rPr>
          <w:rFonts w:ascii="Times New Roman" w:hAnsi="Times New Roman" w:cs="Times New Roman"/>
          <w:b/>
          <w:bCs/>
        </w:rPr>
      </w:pPr>
    </w:p>
    <w:p w14:paraId="0B504CF1" w14:textId="77777777" w:rsidR="006E3099" w:rsidRPr="006E3099" w:rsidRDefault="006E3099" w:rsidP="006E3099">
      <w:pPr>
        <w:spacing w:line="360" w:lineRule="auto"/>
        <w:jc w:val="both"/>
        <w:rPr>
          <w:rFonts w:ascii="Times New Roman" w:hAnsi="Times New Roman" w:cs="Times New Roman"/>
          <w:b/>
          <w:bCs/>
        </w:rPr>
      </w:pPr>
    </w:p>
    <w:p w14:paraId="22A47918" w14:textId="77777777" w:rsidR="006E3099" w:rsidRPr="006E3099" w:rsidRDefault="006E3099" w:rsidP="006E3099">
      <w:pPr>
        <w:spacing w:line="360" w:lineRule="auto"/>
        <w:jc w:val="both"/>
        <w:rPr>
          <w:rFonts w:ascii="Times New Roman" w:hAnsi="Times New Roman" w:cs="Times New Roman"/>
          <w:b/>
          <w:bCs/>
        </w:rPr>
      </w:pPr>
    </w:p>
    <w:p w14:paraId="1AC64265" w14:textId="77777777" w:rsidR="006E3099" w:rsidRPr="006E3099" w:rsidRDefault="006E3099" w:rsidP="006E3099">
      <w:pPr>
        <w:spacing w:line="360" w:lineRule="auto"/>
        <w:jc w:val="both"/>
        <w:rPr>
          <w:rFonts w:ascii="Times New Roman" w:hAnsi="Times New Roman" w:cs="Times New Roman"/>
          <w:b/>
          <w:bCs/>
        </w:rPr>
      </w:pPr>
    </w:p>
    <w:p w14:paraId="42EDEAC4" w14:textId="77777777" w:rsidR="006E3099" w:rsidRPr="006E3099" w:rsidRDefault="006E3099" w:rsidP="006E3099">
      <w:pPr>
        <w:spacing w:line="360" w:lineRule="auto"/>
        <w:jc w:val="both"/>
        <w:rPr>
          <w:rFonts w:ascii="Times New Roman" w:hAnsi="Times New Roman" w:cs="Times New Roman"/>
          <w:b/>
          <w:bCs/>
        </w:rPr>
      </w:pPr>
    </w:p>
    <w:p w14:paraId="3C544562" w14:textId="77777777" w:rsidR="006E3099" w:rsidRPr="006E3099" w:rsidRDefault="006E3099" w:rsidP="006E3099">
      <w:pPr>
        <w:spacing w:line="360" w:lineRule="auto"/>
        <w:jc w:val="both"/>
        <w:rPr>
          <w:rFonts w:ascii="Times New Roman" w:hAnsi="Times New Roman" w:cs="Times New Roman"/>
          <w:b/>
          <w:bCs/>
        </w:rPr>
      </w:pPr>
    </w:p>
    <w:p w14:paraId="064CC348" w14:textId="77777777" w:rsidR="006E3099" w:rsidRPr="006E3099" w:rsidRDefault="006E3099" w:rsidP="006E3099">
      <w:pPr>
        <w:spacing w:line="360" w:lineRule="auto"/>
        <w:jc w:val="both"/>
        <w:rPr>
          <w:rFonts w:ascii="Times New Roman" w:hAnsi="Times New Roman" w:cs="Times New Roman"/>
          <w:b/>
          <w:bCs/>
        </w:rPr>
      </w:pPr>
    </w:p>
    <w:p w14:paraId="49EC51A2" w14:textId="6067ED3D"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Systematic Literature Review and Data Sources</w:t>
      </w:r>
    </w:p>
    <w:p w14:paraId="0A04A1B3"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A PRISMA-guided systematic review underpins the methodology, synthesizing advances in behavioral biometrics and zero-trust architectures to identify benchmarks and integration strategies (Page et al., 2021). Searches across IEEE Xplore, ACM Digital Library, PubMed, and arXiv used Boolean combinations of terms like "behavioral biometrics" AND "continuous authentication" AND "zero trust" AND "remote work," limited to 2019–2025 publications with seminal foundations. Inclusion prioritized empirical studies reporting EER, FAR, and FRR, where EER represents the equal error rate at which false acceptance rate (FAR) equals false rejection rate (FRR), yielding thematic insights on modality fusion and healthcare adaptations.</w:t>
      </w:r>
    </w:p>
    <w:p w14:paraId="6EBC0E71"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Data sources comprise publicly available datasets validated in peer-reviewed works, enabling reproducible modeling of keystroke and mouse behaviors. The CMU Keystroke Dynamics dataset </w:t>
      </w:r>
      <w:r w:rsidRPr="006E3099">
        <w:rPr>
          <w:rFonts w:ascii="Times New Roman" w:hAnsi="Times New Roman" w:cs="Times New Roman"/>
        </w:rPr>
        <w:lastRenderedPageBreak/>
        <w:t xml:space="preserve">provides timing features from 51 users typing fixed phrases, while Buffalo offers free-text entries from 148 participants for naturalistic patterns (Giot et al., 2009). Mouse dynamics derive from Balabit, capturing trajectories and clicks from 10 users during routine tasks, and NCTU with diverse movements from 28 subjects (Pusara &amp; Brodley, 2004). Multimodal integration uses DFL, combining keystroke and mouse data in extended sessions. Synthetic augmentation via GANs simulates healthcare-specific interactions, preserving statistical distributions measured by Kullback-Leibler divergence: </w:t>
      </w:r>
    </w:p>
    <w:p w14:paraId="3F82EAA7" w14:textId="77777777" w:rsidR="006E3099" w:rsidRPr="006E3099" w:rsidRDefault="00F86EC2" w:rsidP="006E3099">
      <w:pPr>
        <w:spacing w:line="36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KL</m:t>
              </m:r>
            </m:sub>
          </m:sSub>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Q</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x</m:t>
          </m:r>
          <m:r>
            <w:rPr>
              <w:rFonts w:ascii="Cambria Math" w:hAnsi="Cambria Math" w:cs="Times New Roman"/>
            </w:rPr>
            <m:t>)</m:t>
          </m:r>
          <m:r>
            <m:rPr>
              <m:sty m:val="p"/>
            </m:rPr>
            <w:rPr>
              <w:rFonts w:ascii="Cambria Math" w:hAnsi="Cambria Math" w:cs="Times New Roman"/>
            </w:rPr>
            <m:t>log</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P</m:t>
              </m:r>
              <m:r>
                <w:rPr>
                  <w:rFonts w:ascii="Cambria Math" w:hAnsi="Cambria Math" w:cs="Times New Roman"/>
                </w:rPr>
                <m:t>(</m:t>
              </m:r>
              <m:r>
                <w:rPr>
                  <w:rFonts w:ascii="Cambria Math" w:hAnsi="Cambria Math" w:cs="Times New Roman"/>
                </w:rPr>
                <m:t>x</m:t>
              </m:r>
              <m:r>
                <w:rPr>
                  <w:rFonts w:ascii="Cambria Math" w:hAnsi="Cambria Math" w:cs="Times New Roman"/>
                </w:rPr>
                <m:t>)</m:t>
              </m:r>
            </m:num>
            <m:den>
              <m:r>
                <w:rPr>
                  <w:rFonts w:ascii="Cambria Math" w:hAnsi="Cambria Math" w:cs="Times New Roman"/>
                </w:rPr>
                <m:t>Q</m:t>
              </m:r>
              <m:r>
                <w:rPr>
                  <w:rFonts w:ascii="Cambria Math" w:hAnsi="Cambria Math" w:cs="Times New Roman"/>
                </w:rPr>
                <m:t>(</m:t>
              </m:r>
              <m:r>
                <w:rPr>
                  <w:rFonts w:ascii="Cambria Math" w:hAnsi="Cambria Math" w:cs="Times New Roman"/>
                </w:rPr>
                <m:t>x</m:t>
              </m:r>
              <m:r>
                <w:rPr>
                  <w:rFonts w:ascii="Cambria Math" w:hAnsi="Cambria Math" w:cs="Times New Roman"/>
                </w:rPr>
                <m:t>)</m:t>
              </m:r>
            </m:den>
          </m:f>
        </m:oMath>
      </m:oMathPara>
    </w:p>
    <w:p w14:paraId="1C70EE33" w14:textId="1D781C92" w:rsid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Where (P(x)) denotes the original data distribution and (Q(x)) denotes the synthetic distribution (Hochreiter &amp; Schmidhuber, 1997). Preprocessing normalizes features with z-scores, segments sessions into 60-second windows, and imputes missing values via KNN. Table</w:t>
      </w:r>
      <w:r w:rsidR="009C2317">
        <w:rPr>
          <w:rFonts w:ascii="Times New Roman" w:hAnsi="Times New Roman" w:cs="Times New Roman"/>
        </w:rPr>
        <w:t xml:space="preserve"> </w:t>
      </w:r>
      <w:r w:rsidRPr="006E3099">
        <w:rPr>
          <w:rFonts w:ascii="Times New Roman" w:hAnsi="Times New Roman" w:cs="Times New Roman"/>
        </w:rPr>
        <w:t>1 summarizes dataset characteristics, including sample sizes and feature counts.</w:t>
      </w:r>
    </w:p>
    <w:p w14:paraId="41DC4A02" w14:textId="13E18766" w:rsidR="009C2317" w:rsidRPr="00DC2806" w:rsidRDefault="009C2317" w:rsidP="006E3099">
      <w:pPr>
        <w:spacing w:line="360" w:lineRule="auto"/>
        <w:jc w:val="both"/>
        <w:rPr>
          <w:rFonts w:ascii="Times New Roman" w:hAnsi="Times New Roman" w:cs="Times New Roman"/>
          <w:b/>
          <w:bCs/>
        </w:rPr>
      </w:pPr>
      <w:r w:rsidRPr="009C2317">
        <w:rPr>
          <w:rFonts w:ascii="Times New Roman" w:hAnsi="Times New Roman" w:cs="Times New Roman"/>
          <w:b/>
          <w:bCs/>
        </w:rPr>
        <w:t>Table 1</w:t>
      </w:r>
      <w:r w:rsidRPr="009C2317">
        <w:rPr>
          <w:rFonts w:ascii="Times New Roman" w:hAnsi="Times New Roman" w:cs="Times New Roman"/>
          <w:i/>
          <w:iCs/>
        </w:rPr>
        <w:t>Dataset Characteristics</w:t>
      </w:r>
    </w:p>
    <w:tbl>
      <w:tblPr>
        <w:tblW w:w="9336" w:type="dxa"/>
        <w:tblCellMar>
          <w:top w:w="15" w:type="dxa"/>
          <w:left w:w="15" w:type="dxa"/>
          <w:bottom w:w="15" w:type="dxa"/>
          <w:right w:w="15" w:type="dxa"/>
        </w:tblCellMar>
        <w:tblLook w:val="04A0" w:firstRow="1" w:lastRow="0" w:firstColumn="1" w:lastColumn="0" w:noHBand="0" w:noVBand="1"/>
      </w:tblPr>
      <w:tblGrid>
        <w:gridCol w:w="2649"/>
        <w:gridCol w:w="1319"/>
        <w:gridCol w:w="2251"/>
        <w:gridCol w:w="57"/>
        <w:gridCol w:w="3060"/>
      </w:tblGrid>
      <w:tr w:rsidR="006E3099" w:rsidRPr="006E3099" w14:paraId="7111DF09" w14:textId="77777777" w:rsidTr="00CE33FB">
        <w:trPr>
          <w:trHeight w:val="553"/>
        </w:trPr>
        <w:tc>
          <w:tcPr>
            <w:tcW w:w="0" w:type="auto"/>
            <w:tcBorders>
              <w:top w:val="single" w:sz="4" w:space="0" w:color="auto"/>
              <w:left w:val="nil"/>
              <w:bottom w:val="single" w:sz="4" w:space="0" w:color="auto"/>
              <w:right w:val="nil"/>
            </w:tcBorders>
            <w:noWrap/>
            <w:vAlign w:val="center"/>
            <w:hideMark/>
          </w:tcPr>
          <w:p w14:paraId="336ED2BA" w14:textId="77777777" w:rsidR="006E3099" w:rsidRPr="006E3099" w:rsidRDefault="006E3099" w:rsidP="009C2317">
            <w:pPr>
              <w:spacing w:line="240" w:lineRule="auto"/>
              <w:jc w:val="both"/>
              <w:rPr>
                <w:rFonts w:ascii="Times New Roman" w:hAnsi="Times New Roman" w:cs="Times New Roman"/>
                <w:b/>
                <w:bCs/>
              </w:rPr>
            </w:pPr>
            <w:r w:rsidRPr="006E3099">
              <w:rPr>
                <w:rFonts w:ascii="Times New Roman" w:hAnsi="Times New Roman" w:cs="Times New Roman"/>
                <w:b/>
                <w:bCs/>
              </w:rPr>
              <w:t>Dataset</w:t>
            </w:r>
          </w:p>
        </w:tc>
        <w:tc>
          <w:tcPr>
            <w:tcW w:w="0" w:type="auto"/>
            <w:tcBorders>
              <w:top w:val="single" w:sz="4" w:space="0" w:color="auto"/>
              <w:left w:val="nil"/>
              <w:bottom w:val="single" w:sz="4" w:space="0" w:color="auto"/>
              <w:right w:val="nil"/>
            </w:tcBorders>
            <w:noWrap/>
            <w:vAlign w:val="center"/>
            <w:hideMark/>
          </w:tcPr>
          <w:p w14:paraId="3D96E5E3" w14:textId="77777777" w:rsidR="006E3099" w:rsidRPr="006E3099" w:rsidRDefault="006E3099" w:rsidP="009C2317">
            <w:pPr>
              <w:spacing w:line="240" w:lineRule="auto"/>
              <w:jc w:val="center"/>
              <w:rPr>
                <w:rFonts w:ascii="Times New Roman" w:hAnsi="Times New Roman" w:cs="Times New Roman"/>
                <w:b/>
                <w:bCs/>
              </w:rPr>
            </w:pPr>
            <w:r w:rsidRPr="006E3099">
              <w:rPr>
                <w:rFonts w:ascii="Times New Roman" w:hAnsi="Times New Roman" w:cs="Times New Roman"/>
                <w:b/>
                <w:bCs/>
              </w:rPr>
              <w:t>Users</w:t>
            </w:r>
          </w:p>
        </w:tc>
        <w:tc>
          <w:tcPr>
            <w:tcW w:w="0" w:type="auto"/>
            <w:tcBorders>
              <w:top w:val="single" w:sz="4" w:space="0" w:color="auto"/>
              <w:left w:val="nil"/>
              <w:bottom w:val="single" w:sz="4" w:space="0" w:color="auto"/>
              <w:right w:val="nil"/>
            </w:tcBorders>
            <w:noWrap/>
            <w:vAlign w:val="center"/>
            <w:hideMark/>
          </w:tcPr>
          <w:p w14:paraId="60FE17C5" w14:textId="77777777" w:rsidR="006E3099" w:rsidRPr="006E3099" w:rsidRDefault="006E3099" w:rsidP="009C2317">
            <w:pPr>
              <w:spacing w:line="240" w:lineRule="auto"/>
              <w:jc w:val="center"/>
              <w:rPr>
                <w:rFonts w:ascii="Times New Roman" w:hAnsi="Times New Roman" w:cs="Times New Roman"/>
                <w:b/>
                <w:bCs/>
              </w:rPr>
            </w:pPr>
            <w:r w:rsidRPr="006E3099">
              <w:rPr>
                <w:rFonts w:ascii="Times New Roman" w:hAnsi="Times New Roman" w:cs="Times New Roman"/>
                <w:b/>
                <w:bCs/>
              </w:rPr>
              <w:t>Sessions/User</w:t>
            </w:r>
          </w:p>
        </w:tc>
        <w:tc>
          <w:tcPr>
            <w:tcW w:w="0" w:type="auto"/>
            <w:tcBorders>
              <w:top w:val="single" w:sz="4" w:space="0" w:color="auto"/>
              <w:left w:val="nil"/>
              <w:bottom w:val="single" w:sz="4" w:space="0" w:color="auto"/>
              <w:right w:val="nil"/>
            </w:tcBorders>
            <w:noWrap/>
            <w:vAlign w:val="center"/>
          </w:tcPr>
          <w:p w14:paraId="0EE2C666" w14:textId="77777777" w:rsidR="006E3099" w:rsidRPr="006E3099" w:rsidRDefault="006E3099" w:rsidP="009C2317">
            <w:pPr>
              <w:spacing w:line="240" w:lineRule="auto"/>
              <w:jc w:val="center"/>
              <w:rPr>
                <w:rFonts w:ascii="Times New Roman" w:hAnsi="Times New Roman" w:cs="Times New Roman"/>
                <w:b/>
                <w:bCs/>
              </w:rPr>
            </w:pPr>
          </w:p>
        </w:tc>
        <w:tc>
          <w:tcPr>
            <w:tcW w:w="0" w:type="auto"/>
            <w:tcBorders>
              <w:top w:val="single" w:sz="4" w:space="0" w:color="auto"/>
              <w:left w:val="nil"/>
              <w:bottom w:val="single" w:sz="4" w:space="0" w:color="auto"/>
              <w:right w:val="nil"/>
            </w:tcBorders>
            <w:noWrap/>
            <w:vAlign w:val="center"/>
            <w:hideMark/>
          </w:tcPr>
          <w:p w14:paraId="2CE1E4C3" w14:textId="77777777" w:rsidR="006E3099" w:rsidRPr="006E3099" w:rsidRDefault="006E3099" w:rsidP="009C2317">
            <w:pPr>
              <w:spacing w:line="240" w:lineRule="auto"/>
              <w:jc w:val="center"/>
              <w:rPr>
                <w:rFonts w:ascii="Times New Roman" w:hAnsi="Times New Roman" w:cs="Times New Roman"/>
                <w:b/>
                <w:bCs/>
              </w:rPr>
            </w:pPr>
            <w:r w:rsidRPr="006E3099">
              <w:rPr>
                <w:rFonts w:ascii="Times New Roman" w:hAnsi="Times New Roman" w:cs="Times New Roman"/>
                <w:b/>
                <w:bCs/>
              </w:rPr>
              <w:t>Features</w:t>
            </w:r>
          </w:p>
        </w:tc>
      </w:tr>
      <w:tr w:rsidR="006E3099" w:rsidRPr="006E3099" w14:paraId="38216B06" w14:textId="77777777" w:rsidTr="00CE33FB">
        <w:trPr>
          <w:trHeight w:val="570"/>
        </w:trPr>
        <w:tc>
          <w:tcPr>
            <w:tcW w:w="0" w:type="auto"/>
            <w:tcBorders>
              <w:top w:val="single" w:sz="4" w:space="0" w:color="auto"/>
              <w:left w:val="nil"/>
              <w:bottom w:val="nil"/>
              <w:right w:val="nil"/>
            </w:tcBorders>
            <w:vAlign w:val="center"/>
            <w:hideMark/>
          </w:tcPr>
          <w:p w14:paraId="55A64013" w14:textId="77777777" w:rsidR="006E3099" w:rsidRPr="006E3099" w:rsidRDefault="006E3099" w:rsidP="009C2317">
            <w:pPr>
              <w:spacing w:line="240" w:lineRule="auto"/>
              <w:jc w:val="both"/>
              <w:rPr>
                <w:rFonts w:ascii="Times New Roman" w:hAnsi="Times New Roman" w:cs="Times New Roman"/>
              </w:rPr>
            </w:pPr>
            <w:r w:rsidRPr="006E3099">
              <w:rPr>
                <w:rFonts w:ascii="Times New Roman" w:hAnsi="Times New Roman" w:cs="Times New Roman"/>
              </w:rPr>
              <w:t>CMU Keystroke</w:t>
            </w:r>
          </w:p>
        </w:tc>
        <w:tc>
          <w:tcPr>
            <w:tcW w:w="0" w:type="auto"/>
            <w:tcBorders>
              <w:top w:val="single" w:sz="4" w:space="0" w:color="auto"/>
              <w:left w:val="nil"/>
              <w:bottom w:val="nil"/>
              <w:right w:val="nil"/>
            </w:tcBorders>
            <w:vAlign w:val="center"/>
            <w:hideMark/>
          </w:tcPr>
          <w:p w14:paraId="65F4F0A4"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51</w:t>
            </w:r>
          </w:p>
        </w:tc>
        <w:tc>
          <w:tcPr>
            <w:tcW w:w="0" w:type="auto"/>
            <w:tcBorders>
              <w:top w:val="single" w:sz="4" w:space="0" w:color="auto"/>
              <w:left w:val="nil"/>
              <w:bottom w:val="nil"/>
              <w:right w:val="nil"/>
            </w:tcBorders>
            <w:vAlign w:val="center"/>
            <w:hideMark/>
          </w:tcPr>
          <w:p w14:paraId="00C0B852"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400</w:t>
            </w:r>
          </w:p>
        </w:tc>
        <w:tc>
          <w:tcPr>
            <w:tcW w:w="0" w:type="auto"/>
            <w:tcBorders>
              <w:top w:val="single" w:sz="4" w:space="0" w:color="auto"/>
              <w:left w:val="nil"/>
              <w:bottom w:val="nil"/>
              <w:right w:val="nil"/>
            </w:tcBorders>
            <w:vAlign w:val="center"/>
          </w:tcPr>
          <w:p w14:paraId="7C6BD51D" w14:textId="77777777" w:rsidR="006E3099" w:rsidRPr="006E3099" w:rsidRDefault="006E3099" w:rsidP="009C2317">
            <w:pPr>
              <w:spacing w:line="240" w:lineRule="auto"/>
              <w:jc w:val="center"/>
              <w:rPr>
                <w:rFonts w:ascii="Times New Roman" w:hAnsi="Times New Roman" w:cs="Times New Roman"/>
              </w:rPr>
            </w:pPr>
          </w:p>
        </w:tc>
        <w:tc>
          <w:tcPr>
            <w:tcW w:w="0" w:type="auto"/>
            <w:tcBorders>
              <w:top w:val="single" w:sz="4" w:space="0" w:color="auto"/>
              <w:left w:val="nil"/>
              <w:bottom w:val="nil"/>
              <w:right w:val="nil"/>
            </w:tcBorders>
            <w:vAlign w:val="center"/>
            <w:hideMark/>
          </w:tcPr>
          <w:p w14:paraId="4FDBA3A2"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Dwell, Flight</w:t>
            </w:r>
          </w:p>
        </w:tc>
      </w:tr>
      <w:tr w:rsidR="006E3099" w:rsidRPr="006E3099" w14:paraId="677F60A8" w14:textId="77777777" w:rsidTr="00CE33FB">
        <w:trPr>
          <w:trHeight w:val="553"/>
        </w:trPr>
        <w:tc>
          <w:tcPr>
            <w:tcW w:w="0" w:type="auto"/>
            <w:tcBorders>
              <w:top w:val="nil"/>
              <w:left w:val="nil"/>
              <w:bottom w:val="nil"/>
              <w:right w:val="nil"/>
            </w:tcBorders>
            <w:vAlign w:val="center"/>
            <w:hideMark/>
          </w:tcPr>
          <w:p w14:paraId="7513919B" w14:textId="77777777" w:rsidR="006E3099" w:rsidRPr="006E3099" w:rsidRDefault="006E3099" w:rsidP="009C2317">
            <w:pPr>
              <w:spacing w:line="240" w:lineRule="auto"/>
              <w:jc w:val="both"/>
              <w:rPr>
                <w:rFonts w:ascii="Times New Roman" w:hAnsi="Times New Roman" w:cs="Times New Roman"/>
              </w:rPr>
            </w:pPr>
            <w:r w:rsidRPr="006E3099">
              <w:rPr>
                <w:rFonts w:ascii="Times New Roman" w:hAnsi="Times New Roman" w:cs="Times New Roman"/>
              </w:rPr>
              <w:t>Buffalo</w:t>
            </w:r>
          </w:p>
        </w:tc>
        <w:tc>
          <w:tcPr>
            <w:tcW w:w="0" w:type="auto"/>
            <w:tcBorders>
              <w:top w:val="nil"/>
              <w:left w:val="nil"/>
              <w:bottom w:val="nil"/>
              <w:right w:val="nil"/>
            </w:tcBorders>
            <w:vAlign w:val="center"/>
            <w:hideMark/>
          </w:tcPr>
          <w:p w14:paraId="0AC5CBA4"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148</w:t>
            </w:r>
          </w:p>
        </w:tc>
        <w:tc>
          <w:tcPr>
            <w:tcW w:w="0" w:type="auto"/>
            <w:tcBorders>
              <w:top w:val="nil"/>
              <w:left w:val="nil"/>
              <w:bottom w:val="nil"/>
              <w:right w:val="nil"/>
            </w:tcBorders>
            <w:vAlign w:val="center"/>
            <w:hideMark/>
          </w:tcPr>
          <w:p w14:paraId="61220E72"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Variable</w:t>
            </w:r>
          </w:p>
        </w:tc>
        <w:tc>
          <w:tcPr>
            <w:tcW w:w="0" w:type="auto"/>
            <w:tcBorders>
              <w:top w:val="nil"/>
              <w:left w:val="nil"/>
              <w:bottom w:val="nil"/>
              <w:right w:val="nil"/>
            </w:tcBorders>
            <w:vAlign w:val="center"/>
          </w:tcPr>
          <w:p w14:paraId="72910A45" w14:textId="77777777" w:rsidR="006E3099" w:rsidRPr="006E3099" w:rsidRDefault="006E3099" w:rsidP="009C2317">
            <w:pPr>
              <w:spacing w:line="240" w:lineRule="auto"/>
              <w:jc w:val="center"/>
              <w:rPr>
                <w:rFonts w:ascii="Times New Roman" w:hAnsi="Times New Roman" w:cs="Times New Roman"/>
              </w:rPr>
            </w:pPr>
          </w:p>
        </w:tc>
        <w:tc>
          <w:tcPr>
            <w:tcW w:w="0" w:type="auto"/>
            <w:tcBorders>
              <w:top w:val="nil"/>
              <w:left w:val="nil"/>
              <w:bottom w:val="nil"/>
              <w:right w:val="nil"/>
            </w:tcBorders>
            <w:vAlign w:val="center"/>
            <w:hideMark/>
          </w:tcPr>
          <w:p w14:paraId="4143F79F"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Inter-key, Errors</w:t>
            </w:r>
          </w:p>
        </w:tc>
      </w:tr>
      <w:tr w:rsidR="006E3099" w:rsidRPr="006E3099" w14:paraId="65AEAEDB" w14:textId="77777777" w:rsidTr="00CE33FB">
        <w:trPr>
          <w:trHeight w:val="553"/>
        </w:trPr>
        <w:tc>
          <w:tcPr>
            <w:tcW w:w="0" w:type="auto"/>
            <w:tcBorders>
              <w:top w:val="nil"/>
              <w:left w:val="nil"/>
              <w:right w:val="nil"/>
            </w:tcBorders>
            <w:vAlign w:val="center"/>
            <w:hideMark/>
          </w:tcPr>
          <w:p w14:paraId="1CABFB54" w14:textId="77777777" w:rsidR="006E3099" w:rsidRPr="006E3099" w:rsidRDefault="006E3099" w:rsidP="009C2317">
            <w:pPr>
              <w:spacing w:line="240" w:lineRule="auto"/>
              <w:jc w:val="both"/>
              <w:rPr>
                <w:rFonts w:ascii="Times New Roman" w:hAnsi="Times New Roman" w:cs="Times New Roman"/>
              </w:rPr>
            </w:pPr>
            <w:r w:rsidRPr="006E3099">
              <w:rPr>
                <w:rFonts w:ascii="Times New Roman" w:hAnsi="Times New Roman" w:cs="Times New Roman"/>
              </w:rPr>
              <w:t>Balabit Mouse</w:t>
            </w:r>
          </w:p>
        </w:tc>
        <w:tc>
          <w:tcPr>
            <w:tcW w:w="0" w:type="auto"/>
            <w:tcBorders>
              <w:top w:val="nil"/>
              <w:left w:val="nil"/>
              <w:right w:val="nil"/>
            </w:tcBorders>
            <w:vAlign w:val="center"/>
            <w:hideMark/>
          </w:tcPr>
          <w:p w14:paraId="0CD58762"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10</w:t>
            </w:r>
          </w:p>
        </w:tc>
        <w:tc>
          <w:tcPr>
            <w:tcW w:w="0" w:type="auto"/>
            <w:tcBorders>
              <w:top w:val="nil"/>
              <w:left w:val="nil"/>
              <w:right w:val="nil"/>
            </w:tcBorders>
            <w:vAlign w:val="center"/>
            <w:hideMark/>
          </w:tcPr>
          <w:p w14:paraId="76B7611D"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Multiple</w:t>
            </w:r>
          </w:p>
        </w:tc>
        <w:tc>
          <w:tcPr>
            <w:tcW w:w="0" w:type="auto"/>
            <w:tcBorders>
              <w:top w:val="nil"/>
              <w:left w:val="nil"/>
              <w:right w:val="nil"/>
            </w:tcBorders>
            <w:vAlign w:val="center"/>
          </w:tcPr>
          <w:p w14:paraId="74157D4F" w14:textId="77777777" w:rsidR="006E3099" w:rsidRPr="006E3099" w:rsidRDefault="006E3099" w:rsidP="009C2317">
            <w:pPr>
              <w:spacing w:line="240" w:lineRule="auto"/>
              <w:jc w:val="center"/>
              <w:rPr>
                <w:rFonts w:ascii="Times New Roman" w:hAnsi="Times New Roman" w:cs="Times New Roman"/>
              </w:rPr>
            </w:pPr>
          </w:p>
        </w:tc>
        <w:tc>
          <w:tcPr>
            <w:tcW w:w="0" w:type="auto"/>
            <w:tcBorders>
              <w:top w:val="nil"/>
              <w:left w:val="nil"/>
              <w:right w:val="nil"/>
            </w:tcBorders>
            <w:vAlign w:val="center"/>
            <w:hideMark/>
          </w:tcPr>
          <w:p w14:paraId="77752F90"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Trajectory, Velocity</w:t>
            </w:r>
          </w:p>
        </w:tc>
      </w:tr>
      <w:tr w:rsidR="006E3099" w:rsidRPr="006E3099" w14:paraId="1FE8762F" w14:textId="77777777" w:rsidTr="00CE33FB">
        <w:trPr>
          <w:trHeight w:val="553"/>
        </w:trPr>
        <w:tc>
          <w:tcPr>
            <w:tcW w:w="0" w:type="auto"/>
            <w:tcBorders>
              <w:top w:val="nil"/>
              <w:left w:val="nil"/>
              <w:bottom w:val="single" w:sz="4" w:space="0" w:color="auto"/>
              <w:right w:val="nil"/>
            </w:tcBorders>
            <w:vAlign w:val="center"/>
            <w:hideMark/>
          </w:tcPr>
          <w:p w14:paraId="7976F806" w14:textId="77777777" w:rsidR="006E3099" w:rsidRPr="006E3099" w:rsidRDefault="006E3099" w:rsidP="009C2317">
            <w:pPr>
              <w:spacing w:line="240" w:lineRule="auto"/>
              <w:jc w:val="both"/>
              <w:rPr>
                <w:rFonts w:ascii="Times New Roman" w:hAnsi="Times New Roman" w:cs="Times New Roman"/>
              </w:rPr>
            </w:pPr>
            <w:r w:rsidRPr="006E3099">
              <w:rPr>
                <w:rFonts w:ascii="Times New Roman" w:hAnsi="Times New Roman" w:cs="Times New Roman"/>
              </w:rPr>
              <w:t>DFL Multimodal</w:t>
            </w:r>
          </w:p>
        </w:tc>
        <w:tc>
          <w:tcPr>
            <w:tcW w:w="0" w:type="auto"/>
            <w:tcBorders>
              <w:top w:val="nil"/>
              <w:left w:val="nil"/>
              <w:bottom w:val="single" w:sz="4" w:space="0" w:color="auto"/>
              <w:right w:val="nil"/>
            </w:tcBorders>
            <w:vAlign w:val="center"/>
            <w:hideMark/>
          </w:tcPr>
          <w:p w14:paraId="6415F0AB"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Variable</w:t>
            </w:r>
          </w:p>
        </w:tc>
        <w:tc>
          <w:tcPr>
            <w:tcW w:w="0" w:type="auto"/>
            <w:tcBorders>
              <w:top w:val="nil"/>
              <w:left w:val="nil"/>
              <w:bottom w:val="single" w:sz="4" w:space="0" w:color="auto"/>
              <w:right w:val="nil"/>
            </w:tcBorders>
            <w:vAlign w:val="center"/>
            <w:hideMark/>
          </w:tcPr>
          <w:p w14:paraId="38BEBEF1"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Extended</w:t>
            </w:r>
          </w:p>
        </w:tc>
        <w:tc>
          <w:tcPr>
            <w:tcW w:w="0" w:type="auto"/>
            <w:tcBorders>
              <w:top w:val="nil"/>
              <w:left w:val="nil"/>
              <w:bottom w:val="single" w:sz="4" w:space="0" w:color="auto"/>
              <w:right w:val="nil"/>
            </w:tcBorders>
            <w:vAlign w:val="center"/>
          </w:tcPr>
          <w:p w14:paraId="08AFEFD5" w14:textId="77777777" w:rsidR="006E3099" w:rsidRPr="006E3099" w:rsidRDefault="006E3099" w:rsidP="009C2317">
            <w:pPr>
              <w:spacing w:line="240" w:lineRule="auto"/>
              <w:jc w:val="center"/>
              <w:rPr>
                <w:rFonts w:ascii="Times New Roman" w:hAnsi="Times New Roman" w:cs="Times New Roman"/>
              </w:rPr>
            </w:pPr>
          </w:p>
        </w:tc>
        <w:tc>
          <w:tcPr>
            <w:tcW w:w="0" w:type="auto"/>
            <w:tcBorders>
              <w:top w:val="nil"/>
              <w:left w:val="nil"/>
              <w:bottom w:val="single" w:sz="4" w:space="0" w:color="auto"/>
              <w:right w:val="nil"/>
            </w:tcBorders>
            <w:vAlign w:val="center"/>
            <w:hideMark/>
          </w:tcPr>
          <w:p w14:paraId="60906E68"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Keystroke + Mouse</w:t>
            </w:r>
          </w:p>
        </w:tc>
      </w:tr>
    </w:tbl>
    <w:p w14:paraId="15BD238E" w14:textId="612DB456" w:rsidR="006E3099" w:rsidRPr="006E3099" w:rsidRDefault="006E3099" w:rsidP="009C2317">
      <w:pPr>
        <w:spacing w:before="240" w:line="360" w:lineRule="auto"/>
        <w:jc w:val="both"/>
        <w:rPr>
          <w:rFonts w:ascii="Times New Roman" w:hAnsi="Times New Roman" w:cs="Times New Roman"/>
          <w:b/>
          <w:bCs/>
        </w:rPr>
      </w:pPr>
      <w:r w:rsidRPr="006E3099">
        <w:rPr>
          <w:rFonts w:ascii="Times New Roman" w:hAnsi="Times New Roman" w:cs="Times New Roman"/>
          <w:b/>
          <w:bCs/>
        </w:rPr>
        <w:t>Feature Engineering and Multimodal Fusion</w:t>
      </w:r>
    </w:p>
    <w:p w14:paraId="1409AC85"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Feature extraction transforms raw signals into discriminative vectors. For keystroke dynamics, dwell time is calculated as </w:t>
      </w:r>
    </w:p>
    <w:p w14:paraId="522C2B0E" w14:textId="77777777" w:rsidR="006E3099" w:rsidRPr="006E3099" w:rsidRDefault="006E3099" w:rsidP="006E3099">
      <w:pPr>
        <w:spacing w:line="360" w:lineRule="auto"/>
        <w:jc w:val="both"/>
        <w:rPr>
          <w:rFonts w:ascii="Times New Roman" w:eastAsiaTheme="minorEastAsia" w:hAnsi="Times New Roman" w:cs="Times New Roman"/>
        </w:rPr>
      </w:pPr>
      <m:oMathPara>
        <m:oMath>
          <m:r>
            <w:rPr>
              <w:rFonts w:ascii="Cambria Math" w:hAnsi="Cambria Math" w:cs="Times New Roman"/>
            </w:rPr>
            <m:t>D</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releas</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pres</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m:t>
                  </m:r>
                </m:sub>
              </m:sSub>
            </m:sub>
          </m:sSub>
        </m:oMath>
      </m:oMathPara>
    </w:p>
    <w:p w14:paraId="037C8F88"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releas</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sub>
        </m:sSub>
      </m:oMath>
      <w:r w:rsidRPr="006E3099">
        <w:rPr>
          <w:rFonts w:ascii="Times New Roman" w:hAnsi="Times New Roman" w:cs="Times New Roman"/>
        </w:rPr>
        <w:t xml:space="preserve"> is the release timestamp of the (i)-th key and </w:t>
      </w: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pres</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m:t>
                </m:r>
              </m:sub>
            </m:sSub>
          </m:sub>
        </m:sSub>
      </m:oMath>
      <w:r w:rsidRPr="006E3099">
        <w:rPr>
          <w:rFonts w:ascii="Times New Roman" w:eastAsiaTheme="minorEastAsia" w:hAnsi="Times New Roman" w:cs="Times New Roman"/>
        </w:rPr>
        <w:t xml:space="preserve"> </w:t>
      </w:r>
      <w:r w:rsidRPr="006E3099">
        <w:rPr>
          <w:rFonts w:ascii="Times New Roman" w:hAnsi="Times New Roman" w:cs="Times New Roman"/>
        </w:rPr>
        <w:t xml:space="preserve">is its press timestamp, and flight time is </w:t>
      </w:r>
    </w:p>
    <w:p w14:paraId="5C9B06E8" w14:textId="77777777" w:rsidR="006E3099" w:rsidRPr="006E3099" w:rsidRDefault="006E3099" w:rsidP="006E3099">
      <w:pPr>
        <w:spacing w:line="360" w:lineRule="auto"/>
        <w:jc w:val="both"/>
        <w:rPr>
          <w:rFonts w:ascii="Times New Roman" w:hAnsi="Times New Roman" w:cs="Times New Roman"/>
        </w:rPr>
      </w:pPr>
      <m:oMathPara>
        <m:oMath>
          <m:r>
            <w:rPr>
              <w:rFonts w:ascii="Cambria Math" w:hAnsi="Cambria Math" w:cs="Times New Roman"/>
            </w:rPr>
            <w:lastRenderedPageBreak/>
            <m:t>F</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i,i+1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pres</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i+1</m:t>
                  </m:r>
                </m:sub>
              </m:sSub>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releas</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sub>
          </m:sSub>
        </m:oMath>
      </m:oMathPara>
    </w:p>
    <w:p w14:paraId="4264DC74"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pres</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i+1</m:t>
                </m:r>
              </m:sub>
            </m:sSub>
          </m:sub>
        </m:sSub>
      </m:oMath>
      <w:r w:rsidRPr="006E3099">
        <w:rPr>
          <w:rFonts w:ascii="Times New Roman" w:eastAsiaTheme="minorEastAsia" w:hAnsi="Times New Roman" w:cs="Times New Roman"/>
        </w:rPr>
        <w:t xml:space="preserve"> </w:t>
      </w:r>
      <w:r w:rsidRPr="006E3099">
        <w:rPr>
          <w:rFonts w:ascii="Times New Roman" w:hAnsi="Times New Roman" w:cs="Times New Roman"/>
        </w:rPr>
        <w:t>is the press timestamp of the subsequent key; these form base metrics aggregated as mean:</w:t>
      </w:r>
    </w:p>
    <w:p w14:paraId="326A36BE" w14:textId="77777777" w:rsidR="006E3099" w:rsidRPr="006E3099" w:rsidRDefault="00F86EC2" w:rsidP="006E3099">
      <w:pPr>
        <w:spacing w:line="36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DT</m:t>
              </m:r>
            </m:sub>
          </m:sSub>
          <m: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n</m:t>
              </m:r>
            </m:den>
          </m:f>
          <m:r>
            <w:rPr>
              <w:rFonts w:ascii="Cambria Math" w:hAnsi="Cambria Math" w:cs="Times New Roman"/>
            </w:rPr>
            <m:t>∑</m:t>
          </m:r>
          <m:r>
            <w:rPr>
              <w:rFonts w:ascii="Cambria Math" w:hAnsi="Cambria Math" w:cs="Times New Roman"/>
            </w:rPr>
            <m:t>D</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i</m:t>
              </m:r>
            </m:sub>
          </m:sSub>
        </m:oMath>
      </m:oMathPara>
    </w:p>
    <w:p w14:paraId="2FC2E061"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Where (n) is the number of keys, and variance: </w:t>
      </w:r>
    </w:p>
    <w:p w14:paraId="6226BC68" w14:textId="77777777" w:rsidR="006E3099" w:rsidRPr="006E3099" w:rsidRDefault="00F86EC2" w:rsidP="006E3099">
      <w:pPr>
        <w:spacing w:line="360" w:lineRule="auto"/>
        <w:jc w:val="both"/>
        <w:rPr>
          <w:rFonts w:ascii="Times New Roman" w:hAnsi="Times New Roman" w:cs="Times New Roman"/>
        </w:rPr>
      </w:pPr>
      <m:oMathPara>
        <m:oMath>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DT</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n</m:t>
              </m:r>
            </m:den>
          </m:f>
          <m:r>
            <w:rPr>
              <w:rFonts w:ascii="Cambria Math" w:hAnsi="Cambria Math" w:cs="Times New Roman"/>
            </w:rPr>
            <m:t>∑(</m:t>
          </m:r>
          <m:r>
            <w:rPr>
              <w:rFonts w:ascii="Cambria Math" w:hAnsi="Cambria Math" w:cs="Times New Roman"/>
            </w:rPr>
            <m:t>D</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DT</m:t>
              </m:r>
            </m:sub>
          </m:sSub>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oMath>
      </m:oMathPara>
    </w:p>
    <w:p w14:paraId="0316D374"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(Mondal &amp; Bours, 2013). Digraph and trigraph timings enhance uniqueness. Mouse features include velocity:</w:t>
      </w:r>
    </w:p>
    <w:p w14:paraId="1DBAAB4F" w14:textId="77777777" w:rsidR="006E3099" w:rsidRPr="006E3099" w:rsidRDefault="006E3099" w:rsidP="006E3099">
      <w:pPr>
        <w:spacing w:line="360" w:lineRule="auto"/>
        <w:jc w:val="both"/>
        <w:rPr>
          <w:rFonts w:ascii="Times New Roman" w:hAnsi="Times New Roman" w:cs="Times New Roman"/>
        </w:rPr>
      </w:pPr>
      <m:oMathPara>
        <m:oMath>
          <m:r>
            <w:rPr>
              <w:rFonts w:ascii="Cambria Math" w:hAnsi="Cambria Math" w:cs="Times New Roman"/>
            </w:rPr>
            <m:t>v(t)=</m:t>
          </m:r>
          <m:rad>
            <m:radPr>
              <m:degHide m:val="1"/>
              <m:ctrlPr>
                <w:rPr>
                  <w:rFonts w:ascii="Cambria Math" w:hAnsi="Cambria Math" w:cs="Times New Roman"/>
                </w:rPr>
              </m:ctrlPr>
            </m:radPr>
            <m:deg/>
            <m:e>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e>
          </m:rad>
          <m:r>
            <m:rPr>
              <m:sty m:val="p"/>
            </m:rPr>
            <w:rPr>
              <w:rFonts w:ascii="Cambria Math" w:hAnsi="Cambria Math" w:cs="Times New Roman"/>
            </w:rPr>
            <m:t>/Δ</m:t>
          </m:r>
          <m:r>
            <w:rPr>
              <w:rFonts w:ascii="Cambria Math" w:hAnsi="Cambria Math" w:cs="Times New Roman"/>
            </w:rPr>
            <m:t>t</m:t>
          </m:r>
        </m:oMath>
      </m:oMathPara>
    </w:p>
    <w:p w14:paraId="1D4AC8F3"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Where </w:t>
      </w:r>
      <m:oMath>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oMath>
      <w:r w:rsidRPr="006E3099">
        <w:rPr>
          <w:rFonts w:ascii="Times New Roman" w:hAnsi="Times New Roman" w:cs="Times New Roman"/>
        </w:rPr>
        <w:t xml:space="preserve"> and </w:t>
      </w:r>
      <m:oMath>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t+1</m:t>
            </m:r>
          </m:sub>
        </m:sSub>
        <m:r>
          <w:rPr>
            <w:rFonts w:ascii="Cambria Math" w:hAnsi="Cambria Math" w:cs="Times New Roman"/>
          </w:rPr>
          <m:t>)</m:t>
        </m:r>
      </m:oMath>
      <w:r w:rsidRPr="006E3099">
        <w:rPr>
          <w:rFonts w:ascii="Times New Roman" w:hAnsi="Times New Roman" w:cs="Times New Roman"/>
        </w:rPr>
        <w:t xml:space="preserve"> are consecutive cursor positions and </w:t>
      </w:r>
      <m:oMath>
        <m:r>
          <m:rPr>
            <m:sty m:val="p"/>
          </m:rPr>
          <w:rPr>
            <w:rFonts w:ascii="Cambria Math" w:hAnsi="Cambria Math" w:cs="Times New Roman"/>
          </w:rPr>
          <m:t>Δ</m:t>
        </m:r>
        <m:r>
          <w:rPr>
            <w:rFonts w:ascii="Cambria Math" w:hAnsi="Cambria Math" w:cs="Times New Roman"/>
          </w:rPr>
          <m:t>t</m:t>
        </m:r>
      </m:oMath>
      <w:r w:rsidRPr="006E3099">
        <w:rPr>
          <w:rFonts w:ascii="Times New Roman" w:eastAsiaTheme="minorEastAsia" w:hAnsi="Times New Roman" w:cs="Times New Roman"/>
        </w:rPr>
        <w:t xml:space="preserve"> </w:t>
      </w:r>
      <w:r w:rsidRPr="006E3099">
        <w:rPr>
          <w:rFonts w:ascii="Times New Roman" w:hAnsi="Times New Roman" w:cs="Times New Roman"/>
        </w:rPr>
        <w:t xml:space="preserve">is the time interval, along with acceleration and curvature </w:t>
      </w:r>
    </w:p>
    <w:p w14:paraId="590BD530" w14:textId="77777777" w:rsidR="006E3099" w:rsidRPr="006E3099" w:rsidRDefault="006E3099" w:rsidP="006E3099">
      <w:pPr>
        <w:spacing w:line="360" w:lineRule="auto"/>
        <w:jc w:val="both"/>
        <w:rPr>
          <w:rFonts w:ascii="Times New Roman" w:hAnsi="Times New Roman" w:cs="Times New Roman"/>
        </w:rPr>
      </w:pPr>
      <m:oMathPara>
        <m:oMath>
          <m:r>
            <w:rPr>
              <w:rFonts w:ascii="Cambria Math" w:hAnsi="Cambria Math" w:cs="Times New Roman"/>
            </w:rPr>
            <m:t>κ=</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x</m:t>
              </m:r>
            </m:e>
            <m:sup>
              <m:r>
                <m:rPr>
                  <m:sty m:val="p"/>
                </m:rPr>
                <w:rPr>
                  <w:rFonts w:ascii="Cambria Math" w:hAnsi="Cambria Math" w:cs="Times New Roman"/>
                </w:rPr>
                <m:t>'</m:t>
              </m:r>
            </m:sup>
          </m:sSup>
          <m:sSup>
            <m:sSupPr>
              <m:ctrlPr>
                <w:rPr>
                  <w:rFonts w:ascii="Cambria Math" w:hAnsi="Cambria Math" w:cs="Times New Roman"/>
                </w:rPr>
              </m:ctrlPr>
            </m:sSupPr>
            <m:e>
              <m:r>
                <w:rPr>
                  <w:rFonts w:ascii="Cambria Math" w:hAnsi="Cambria Math" w:cs="Times New Roman"/>
                </w:rPr>
                <m:t>y</m:t>
              </m:r>
            </m:e>
            <m:sup>
              <m:r>
                <m:rPr>
                  <m:sty m:val="p"/>
                </m:rPr>
                <w:rPr>
                  <w:rFonts w:ascii="Cambria Math" w:hAnsi="Cambria Math" w:cs="Times New Roman"/>
                </w:rPr>
                <m:t>''</m:t>
              </m:r>
            </m:sup>
          </m:sSup>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y</m:t>
              </m:r>
            </m:e>
            <m:sup>
              <m:r>
                <m:rPr>
                  <m:sty m:val="p"/>
                </m:rPr>
                <w:rPr>
                  <w:rFonts w:ascii="Cambria Math" w:hAnsi="Cambria Math" w:cs="Times New Roman"/>
                </w:rPr>
                <m:t>'</m:t>
              </m:r>
            </m:sup>
          </m:sSup>
          <m:sSup>
            <m:sSupPr>
              <m:ctrlPr>
                <w:rPr>
                  <w:rFonts w:ascii="Cambria Math" w:hAnsi="Cambria Math" w:cs="Times New Roman"/>
                </w:rPr>
              </m:ctrlPr>
            </m:sSupPr>
            <m:e>
              <m:r>
                <w:rPr>
                  <w:rFonts w:ascii="Cambria Math" w:hAnsi="Cambria Math" w:cs="Times New Roman"/>
                </w:rPr>
                <m:t>x</m:t>
              </m:r>
            </m:e>
            <m:sup>
              <m:r>
                <m:rPr>
                  <m:sty m:val="p"/>
                </m:rPr>
                <w:rPr>
                  <w:rFonts w:ascii="Cambria Math" w:hAnsi="Cambria Math" w:cs="Times New Roman"/>
                </w:rPr>
                <m:t>''</m:t>
              </m:r>
            </m:sup>
          </m:sSup>
          <m:r>
            <m:rPr>
              <m:sty m:val="p"/>
            </m:rPr>
            <w:rPr>
              <w:rFonts w:ascii="Cambria Math" w:hAnsi="Cambria Math" w:cs="Times New Roman"/>
            </w:rPr>
            <m:t>∣/</m:t>
          </m:r>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x</m:t>
              </m:r>
            </m:e>
            <m:sup>
              <m:r>
                <m:rPr>
                  <m:sty m:val="p"/>
                </m:rPr>
                <w:rPr>
                  <w:rFonts w:ascii="Cambria Math" w:hAnsi="Cambria Math" w:cs="Times New Roman"/>
                </w:rPr>
                <m:t>'</m:t>
              </m:r>
              <m:r>
                <w:rPr>
                  <w:rFonts w:ascii="Cambria Math" w:hAnsi="Cambria Math" w:cs="Times New Roman"/>
                </w:rPr>
                <m:t>2</m:t>
              </m:r>
            </m:sup>
          </m:sSup>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y</m:t>
              </m:r>
            </m:e>
            <m:sup>
              <m:r>
                <m:rPr>
                  <m:sty m:val="p"/>
                </m:rPr>
                <w:rPr>
                  <w:rFonts w:ascii="Cambria Math" w:hAnsi="Cambria Math" w:cs="Times New Roman"/>
                </w:rPr>
                <m:t>'</m:t>
              </m:r>
              <m:r>
                <w:rPr>
                  <w:rFonts w:ascii="Cambria Math" w:hAnsi="Cambria Math" w:cs="Times New Roman"/>
                </w:rPr>
                <m:t>2</m:t>
              </m:r>
            </m:sup>
          </m:sSup>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3</m:t>
              </m:r>
              <m:r>
                <m:rPr>
                  <m:sty m:val="p"/>
                </m:rPr>
                <w:rPr>
                  <w:rFonts w:ascii="Cambria Math" w:hAnsi="Cambria Math" w:cs="Times New Roman"/>
                </w:rPr>
                <m:t>/</m:t>
              </m:r>
              <m:r>
                <w:rPr>
                  <w:rFonts w:ascii="Cambria Math" w:hAnsi="Cambria Math" w:cs="Times New Roman"/>
                </w:rPr>
                <m:t>2</m:t>
              </m:r>
            </m:sup>
          </m:sSup>
        </m:oMath>
      </m:oMathPara>
    </w:p>
    <w:p w14:paraId="35FE7425"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Where (x'), (x''), (y'), and (y'') are first and second derivatives of position (Zheng et al., 2014).</w:t>
      </w:r>
    </w:p>
    <w:p w14:paraId="7DBA83E2"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Contextual features compute deviation scores: </w:t>
      </w:r>
    </w:p>
    <w:p w14:paraId="77626A23" w14:textId="77777777" w:rsidR="006E3099" w:rsidRPr="006E3099" w:rsidRDefault="006E3099" w:rsidP="006E3099">
      <w:pPr>
        <w:spacing w:line="360" w:lineRule="auto"/>
        <w:jc w:val="both"/>
        <w:rPr>
          <w:rFonts w:ascii="Times New Roman" w:eastAsiaTheme="minorEastAsia" w:hAnsi="Times New Roman" w:cs="Times New Roman"/>
        </w:rPr>
      </w:pPr>
      <m:oMathPara>
        <m:oMath>
          <m:r>
            <w:rPr>
              <w:rFonts w:ascii="Cambria Math" w:hAnsi="Cambria Math" w:cs="Times New Roman"/>
            </w:rPr>
            <m:t>BDS=</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n</m:t>
              </m:r>
            </m:den>
          </m:f>
          <m: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m:t>
                  </m:r>
                </m:sub>
              </m:sSub>
              <m:r>
                <m:rPr>
                  <m:sty m:val="p"/>
                </m:rPr>
                <w:rPr>
                  <w:rFonts w:ascii="Cambria Math" w:hAnsi="Cambria Math" w:cs="Times New Roman"/>
                </w:rPr>
                <m:t>∣</m:t>
              </m:r>
            </m:num>
            <m:den>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i</m:t>
                  </m:r>
                </m:sub>
              </m:sSub>
            </m:den>
          </m:f>
        </m:oMath>
      </m:oMathPara>
    </w:p>
    <w:p w14:paraId="158EB66E"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i</m:t>
            </m:r>
          </m:sub>
        </m:sSub>
      </m:oMath>
      <w:r w:rsidRPr="006E3099">
        <w:rPr>
          <w:rFonts w:ascii="Times New Roman" w:hAnsi="Times New Roman" w:cs="Times New Roman"/>
        </w:rPr>
        <w:t xml:space="preserve"> is the current feature value, </w:t>
      </w:r>
      <m:oMath>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m:t>
            </m:r>
          </m:sub>
        </m:sSub>
      </m:oMath>
      <w:r w:rsidRPr="006E3099">
        <w:rPr>
          <w:rFonts w:ascii="Times New Roman" w:hAnsi="Times New Roman" w:cs="Times New Roman"/>
        </w:rPr>
        <w:t xml:space="preserve">is its historical mean, and </w:t>
      </w:r>
      <m:oMath>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i</m:t>
            </m:r>
          </m:sub>
        </m:sSub>
      </m:oMath>
      <w:r w:rsidRPr="006E3099">
        <w:rPr>
          <w:rFonts w:ascii="Times New Roman" w:hAnsi="Times New Roman" w:cs="Times New Roman"/>
        </w:rPr>
        <w:t xml:space="preserve">is its standard </w:t>
      </w:r>
      <w:proofErr w:type="gramStart"/>
      <w:r w:rsidRPr="006E3099">
        <w:rPr>
          <w:rFonts w:ascii="Times New Roman" w:hAnsi="Times New Roman" w:cs="Times New Roman"/>
        </w:rPr>
        <w:t>deviation.</w:t>
      </w:r>
      <w:proofErr w:type="gramEnd"/>
      <w:r w:rsidRPr="006E3099">
        <w:rPr>
          <w:rFonts w:ascii="Times New Roman" w:hAnsi="Times New Roman" w:cs="Times New Roman"/>
        </w:rPr>
        <w:t xml:space="preserve"> Fusion occurs at feature level via concatenation and PCA retaining 95% variance, score level with weighted sum:</w:t>
      </w:r>
    </w:p>
    <w:p w14:paraId="1EF95B3A" w14:textId="77777777" w:rsidR="006E3099" w:rsidRPr="006E3099" w:rsidRDefault="00F86EC2" w:rsidP="006E3099">
      <w:pPr>
        <w:spacing w:line="360" w:lineRule="auto"/>
        <w:jc w:val="both"/>
        <w:rPr>
          <w:rFonts w:ascii="Times New Roman" w:eastAsiaTheme="minorEastAsia" w:hAnsi="Times New Roman" w:cs="Times New Roman"/>
        </w:rPr>
      </w:pPr>
      <m:oMathPara>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final</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m:t>
              </m:r>
            </m:sub>
          </m:sSub>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m:t>
              </m:r>
            </m:sub>
          </m:sSub>
        </m:oMath>
      </m:oMathPara>
    </w:p>
    <w:p w14:paraId="5F2D7B90"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m:t>
            </m:r>
          </m:sub>
        </m:sSub>
      </m:oMath>
      <w:r w:rsidRPr="006E3099">
        <w:rPr>
          <w:rFonts w:ascii="Times New Roman" w:hAnsi="Times New Roman" w:cs="Times New Roman"/>
        </w:rPr>
        <w:t xml:space="preserve">are weights optimized via logistic regression and </w:t>
      </w: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m:t>
            </m:r>
          </m:sub>
        </m:sSub>
      </m:oMath>
      <w:r w:rsidRPr="006E3099">
        <w:rPr>
          <w:rFonts w:ascii="Times New Roman" w:hAnsi="Times New Roman" w:cs="Times New Roman"/>
        </w:rPr>
        <w:t xml:space="preserve">are modality scores, and decision level using Bayesian rules </w:t>
      </w:r>
    </w:p>
    <w:p w14:paraId="6EEA25B1" w14:textId="77777777" w:rsidR="006E3099" w:rsidRPr="006E3099" w:rsidRDefault="006E3099" w:rsidP="006E3099">
      <w:pPr>
        <w:spacing w:line="360" w:lineRule="auto"/>
        <w:jc w:val="both"/>
        <w:rPr>
          <w:rFonts w:ascii="Times New Roman" w:eastAsiaTheme="minorEastAsia" w:hAnsi="Times New Roman" w:cs="Times New Roman"/>
        </w:rPr>
      </w:pPr>
      <m:oMathPara>
        <m:oMath>
          <m:r>
            <w:rPr>
              <w:rFonts w:ascii="Cambria Math" w:hAnsi="Cambria Math" w:cs="Times New Roman"/>
            </w:rPr>
            <m:t>P(Genuine</m:t>
          </m:r>
          <m:r>
            <m:rPr>
              <m:sty m:val="p"/>
            </m:rPr>
            <w:rPr>
              <w:rFonts w:ascii="Cambria Math" w:hAnsi="Cambria Math" w:cs="Times New Roman"/>
            </w:rPr>
            <m:t>∣</m:t>
          </m:r>
          <m:r>
            <w:rPr>
              <w:rFonts w:ascii="Cambria Math" w:hAnsi="Cambria Math" w:cs="Times New Roman"/>
            </w:rPr>
            <m:t>E)=</m:t>
          </m:r>
          <m:f>
            <m:fPr>
              <m:ctrlPr>
                <w:rPr>
                  <w:rFonts w:ascii="Cambria Math" w:hAnsi="Cambria Math" w:cs="Times New Roman"/>
                </w:rPr>
              </m:ctrlPr>
            </m:fPr>
            <m:num>
              <m:r>
                <w:rPr>
                  <w:rFonts w:ascii="Cambria Math" w:hAnsi="Cambria Math" w:cs="Times New Roman"/>
                </w:rPr>
                <m:t>P(E</m:t>
              </m:r>
              <m:r>
                <m:rPr>
                  <m:sty m:val="p"/>
                </m:rPr>
                <w:rPr>
                  <w:rFonts w:ascii="Cambria Math" w:hAnsi="Cambria Math" w:cs="Times New Roman"/>
                </w:rPr>
                <m:t>∣</m:t>
              </m:r>
              <m:r>
                <w:rPr>
                  <w:rFonts w:ascii="Cambria Math" w:hAnsi="Cambria Math" w:cs="Times New Roman"/>
                </w:rPr>
                <m:t>Genuine)P(Genuine)</m:t>
              </m:r>
            </m:num>
            <m:den>
              <m:r>
                <w:rPr>
                  <w:rFonts w:ascii="Cambria Math" w:hAnsi="Cambria Math" w:cs="Times New Roman"/>
                </w:rPr>
                <m:t>P(E)</m:t>
              </m:r>
            </m:den>
          </m:f>
        </m:oMath>
      </m:oMathPara>
    </w:p>
    <w:p w14:paraId="27B4E419" w14:textId="4C624937" w:rsid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lastRenderedPageBreak/>
        <w:t>where (E) is evidence, (P(Genuine)) is prior genuine probability, and (P(E)) is total evidence probability (Ross et al., 2006). Table 2 lists key features with formulas.</w:t>
      </w:r>
    </w:p>
    <w:p w14:paraId="472E783A" w14:textId="4E13FE2A" w:rsidR="00CB2211" w:rsidRPr="00DC2806" w:rsidRDefault="00CB2211" w:rsidP="006E3099">
      <w:pPr>
        <w:spacing w:line="360" w:lineRule="auto"/>
        <w:jc w:val="both"/>
        <w:rPr>
          <w:rFonts w:ascii="Times New Roman" w:hAnsi="Times New Roman" w:cs="Times New Roman"/>
          <w:b/>
          <w:bCs/>
        </w:rPr>
      </w:pPr>
      <w:r w:rsidRPr="00CB2211">
        <w:rPr>
          <w:rFonts w:ascii="Times New Roman" w:hAnsi="Times New Roman" w:cs="Times New Roman"/>
          <w:b/>
          <w:bCs/>
        </w:rPr>
        <w:t>Table 2</w:t>
      </w:r>
      <w:r w:rsidRPr="00CB2211">
        <w:rPr>
          <w:rFonts w:ascii="Times New Roman" w:hAnsi="Times New Roman" w:cs="Times New Roman"/>
          <w:i/>
          <w:iCs/>
        </w:rPr>
        <w:t xml:space="preserve">Key Features </w:t>
      </w:r>
    </w:p>
    <w:tbl>
      <w:tblPr>
        <w:tblW w:w="9424" w:type="dxa"/>
        <w:tblCellMar>
          <w:top w:w="15" w:type="dxa"/>
          <w:left w:w="15" w:type="dxa"/>
          <w:bottom w:w="15" w:type="dxa"/>
          <w:right w:w="15" w:type="dxa"/>
        </w:tblCellMar>
        <w:tblLook w:val="04A0" w:firstRow="1" w:lastRow="0" w:firstColumn="1" w:lastColumn="0" w:noHBand="0" w:noVBand="1"/>
      </w:tblPr>
      <w:tblGrid>
        <w:gridCol w:w="2607"/>
        <w:gridCol w:w="3134"/>
        <w:gridCol w:w="3683"/>
      </w:tblGrid>
      <w:tr w:rsidR="006E3099" w:rsidRPr="006E3099" w14:paraId="6E8D6171" w14:textId="77777777" w:rsidTr="00CE33FB">
        <w:trPr>
          <w:trHeight w:val="555"/>
        </w:trPr>
        <w:tc>
          <w:tcPr>
            <w:tcW w:w="0" w:type="auto"/>
            <w:tcBorders>
              <w:top w:val="single" w:sz="4" w:space="0" w:color="auto"/>
              <w:left w:val="nil"/>
              <w:bottom w:val="single" w:sz="4" w:space="0" w:color="auto"/>
              <w:right w:val="nil"/>
            </w:tcBorders>
            <w:noWrap/>
            <w:vAlign w:val="center"/>
            <w:hideMark/>
          </w:tcPr>
          <w:p w14:paraId="619F6307" w14:textId="77777777" w:rsidR="006E3099" w:rsidRPr="006E3099" w:rsidRDefault="006E3099" w:rsidP="009C2317">
            <w:pPr>
              <w:spacing w:line="240" w:lineRule="auto"/>
              <w:jc w:val="both"/>
              <w:rPr>
                <w:rFonts w:ascii="Times New Roman" w:hAnsi="Times New Roman" w:cs="Times New Roman"/>
                <w:b/>
                <w:bCs/>
              </w:rPr>
            </w:pPr>
            <w:r w:rsidRPr="006E3099">
              <w:rPr>
                <w:rFonts w:ascii="Times New Roman" w:hAnsi="Times New Roman" w:cs="Times New Roman"/>
                <w:b/>
                <w:bCs/>
              </w:rPr>
              <w:t>Modality</w:t>
            </w:r>
          </w:p>
        </w:tc>
        <w:tc>
          <w:tcPr>
            <w:tcW w:w="0" w:type="auto"/>
            <w:tcBorders>
              <w:top w:val="single" w:sz="4" w:space="0" w:color="auto"/>
              <w:left w:val="nil"/>
              <w:bottom w:val="single" w:sz="4" w:space="0" w:color="auto"/>
              <w:right w:val="nil"/>
            </w:tcBorders>
            <w:noWrap/>
            <w:vAlign w:val="center"/>
            <w:hideMark/>
          </w:tcPr>
          <w:p w14:paraId="3AA6FC7A" w14:textId="77777777" w:rsidR="006E3099" w:rsidRPr="006E3099" w:rsidRDefault="006E3099" w:rsidP="009C2317">
            <w:pPr>
              <w:spacing w:line="240" w:lineRule="auto"/>
              <w:jc w:val="center"/>
              <w:rPr>
                <w:rFonts w:ascii="Times New Roman" w:hAnsi="Times New Roman" w:cs="Times New Roman"/>
                <w:b/>
                <w:bCs/>
              </w:rPr>
            </w:pPr>
            <w:r w:rsidRPr="006E3099">
              <w:rPr>
                <w:rFonts w:ascii="Times New Roman" w:hAnsi="Times New Roman" w:cs="Times New Roman"/>
                <w:b/>
                <w:bCs/>
              </w:rPr>
              <w:t>Feature</w:t>
            </w:r>
          </w:p>
        </w:tc>
        <w:tc>
          <w:tcPr>
            <w:tcW w:w="0" w:type="auto"/>
            <w:tcBorders>
              <w:top w:val="single" w:sz="4" w:space="0" w:color="auto"/>
              <w:left w:val="nil"/>
              <w:bottom w:val="single" w:sz="4" w:space="0" w:color="auto"/>
              <w:right w:val="nil"/>
            </w:tcBorders>
            <w:noWrap/>
            <w:vAlign w:val="center"/>
            <w:hideMark/>
          </w:tcPr>
          <w:p w14:paraId="3330B49B" w14:textId="77777777" w:rsidR="006E3099" w:rsidRPr="006E3099" w:rsidRDefault="006E3099" w:rsidP="009C2317">
            <w:pPr>
              <w:spacing w:line="240" w:lineRule="auto"/>
              <w:jc w:val="center"/>
              <w:rPr>
                <w:rFonts w:ascii="Times New Roman" w:hAnsi="Times New Roman" w:cs="Times New Roman"/>
                <w:b/>
                <w:bCs/>
              </w:rPr>
            </w:pPr>
            <w:r w:rsidRPr="006E3099">
              <w:rPr>
                <w:rFonts w:ascii="Times New Roman" w:hAnsi="Times New Roman" w:cs="Times New Roman"/>
                <w:b/>
                <w:bCs/>
              </w:rPr>
              <w:t>Formula</w:t>
            </w:r>
          </w:p>
        </w:tc>
      </w:tr>
      <w:tr w:rsidR="006E3099" w:rsidRPr="006E3099" w14:paraId="0AD230F6" w14:textId="77777777" w:rsidTr="00CE33FB">
        <w:trPr>
          <w:trHeight w:val="571"/>
        </w:trPr>
        <w:tc>
          <w:tcPr>
            <w:tcW w:w="0" w:type="auto"/>
            <w:tcBorders>
              <w:top w:val="single" w:sz="4" w:space="0" w:color="auto"/>
              <w:left w:val="nil"/>
              <w:bottom w:val="nil"/>
              <w:right w:val="nil"/>
            </w:tcBorders>
            <w:vAlign w:val="center"/>
            <w:hideMark/>
          </w:tcPr>
          <w:p w14:paraId="40E022AA" w14:textId="77777777" w:rsidR="006E3099" w:rsidRPr="006E3099" w:rsidRDefault="006E3099" w:rsidP="009C2317">
            <w:pPr>
              <w:spacing w:line="240" w:lineRule="auto"/>
              <w:jc w:val="both"/>
              <w:rPr>
                <w:rFonts w:ascii="Times New Roman" w:hAnsi="Times New Roman" w:cs="Times New Roman"/>
              </w:rPr>
            </w:pPr>
            <w:r w:rsidRPr="006E3099">
              <w:rPr>
                <w:rFonts w:ascii="Times New Roman" w:hAnsi="Times New Roman" w:cs="Times New Roman"/>
              </w:rPr>
              <w:t>Keystroke</w:t>
            </w:r>
          </w:p>
        </w:tc>
        <w:tc>
          <w:tcPr>
            <w:tcW w:w="0" w:type="auto"/>
            <w:tcBorders>
              <w:top w:val="single" w:sz="4" w:space="0" w:color="auto"/>
              <w:left w:val="nil"/>
              <w:bottom w:val="nil"/>
              <w:right w:val="nil"/>
            </w:tcBorders>
            <w:vAlign w:val="center"/>
            <w:hideMark/>
          </w:tcPr>
          <w:p w14:paraId="719E9BE9"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Dwell Mean</w:t>
            </w:r>
          </w:p>
        </w:tc>
        <w:tc>
          <w:tcPr>
            <w:tcW w:w="0" w:type="auto"/>
            <w:tcBorders>
              <w:top w:val="single" w:sz="4" w:space="0" w:color="auto"/>
              <w:left w:val="nil"/>
              <w:bottom w:val="nil"/>
              <w:right w:val="nil"/>
            </w:tcBorders>
            <w:vAlign w:val="center"/>
            <w:hideMark/>
          </w:tcPr>
          <w:p w14:paraId="6CD036C6" w14:textId="77777777" w:rsidR="006E3099" w:rsidRPr="006E3099" w:rsidRDefault="00F86EC2" w:rsidP="009C2317">
            <w:pPr>
              <w:spacing w:line="240" w:lineRule="auto"/>
              <w:jc w:val="center"/>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DT</m:t>
                    </m:r>
                  </m:sub>
                </m:sSub>
              </m:oMath>
            </m:oMathPara>
          </w:p>
        </w:tc>
      </w:tr>
      <w:tr w:rsidR="006E3099" w:rsidRPr="006E3099" w14:paraId="674826AC" w14:textId="77777777" w:rsidTr="00CE33FB">
        <w:trPr>
          <w:trHeight w:val="555"/>
        </w:trPr>
        <w:tc>
          <w:tcPr>
            <w:tcW w:w="0" w:type="auto"/>
            <w:tcBorders>
              <w:top w:val="nil"/>
              <w:left w:val="nil"/>
              <w:right w:val="nil"/>
            </w:tcBorders>
            <w:vAlign w:val="center"/>
            <w:hideMark/>
          </w:tcPr>
          <w:p w14:paraId="3CACF78D" w14:textId="77777777" w:rsidR="006E3099" w:rsidRPr="006E3099" w:rsidRDefault="006E3099" w:rsidP="009C2317">
            <w:pPr>
              <w:spacing w:line="240" w:lineRule="auto"/>
              <w:jc w:val="both"/>
              <w:rPr>
                <w:rFonts w:ascii="Times New Roman" w:hAnsi="Times New Roman" w:cs="Times New Roman"/>
              </w:rPr>
            </w:pPr>
            <w:r w:rsidRPr="006E3099">
              <w:rPr>
                <w:rFonts w:ascii="Times New Roman" w:hAnsi="Times New Roman" w:cs="Times New Roman"/>
              </w:rPr>
              <w:t>Mouse</w:t>
            </w:r>
          </w:p>
        </w:tc>
        <w:tc>
          <w:tcPr>
            <w:tcW w:w="0" w:type="auto"/>
            <w:tcBorders>
              <w:top w:val="nil"/>
              <w:left w:val="nil"/>
              <w:right w:val="nil"/>
            </w:tcBorders>
            <w:vAlign w:val="center"/>
            <w:hideMark/>
          </w:tcPr>
          <w:p w14:paraId="52A1C02D"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Velocity</w:t>
            </w:r>
          </w:p>
        </w:tc>
        <w:tc>
          <w:tcPr>
            <w:tcW w:w="0" w:type="auto"/>
            <w:tcBorders>
              <w:top w:val="nil"/>
              <w:left w:val="nil"/>
              <w:right w:val="nil"/>
            </w:tcBorders>
            <w:vAlign w:val="center"/>
            <w:hideMark/>
          </w:tcPr>
          <w:p w14:paraId="22566407"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(v(t))</w:t>
            </w:r>
          </w:p>
        </w:tc>
      </w:tr>
      <w:tr w:rsidR="006E3099" w:rsidRPr="006E3099" w14:paraId="5FCC24BC" w14:textId="77777777" w:rsidTr="00CE33FB">
        <w:trPr>
          <w:trHeight w:val="555"/>
        </w:trPr>
        <w:tc>
          <w:tcPr>
            <w:tcW w:w="0" w:type="auto"/>
            <w:tcBorders>
              <w:top w:val="nil"/>
              <w:left w:val="nil"/>
              <w:bottom w:val="single" w:sz="4" w:space="0" w:color="auto"/>
              <w:right w:val="nil"/>
            </w:tcBorders>
            <w:vAlign w:val="center"/>
            <w:hideMark/>
          </w:tcPr>
          <w:p w14:paraId="56009549" w14:textId="77777777" w:rsidR="006E3099" w:rsidRPr="006E3099" w:rsidRDefault="006E3099" w:rsidP="009C2317">
            <w:pPr>
              <w:spacing w:line="240" w:lineRule="auto"/>
              <w:jc w:val="both"/>
              <w:rPr>
                <w:rFonts w:ascii="Times New Roman" w:hAnsi="Times New Roman" w:cs="Times New Roman"/>
              </w:rPr>
            </w:pPr>
            <w:r w:rsidRPr="006E3099">
              <w:rPr>
                <w:rFonts w:ascii="Times New Roman" w:hAnsi="Times New Roman" w:cs="Times New Roman"/>
              </w:rPr>
              <w:t>Context</w:t>
            </w:r>
          </w:p>
        </w:tc>
        <w:tc>
          <w:tcPr>
            <w:tcW w:w="0" w:type="auto"/>
            <w:tcBorders>
              <w:top w:val="nil"/>
              <w:left w:val="nil"/>
              <w:bottom w:val="single" w:sz="4" w:space="0" w:color="auto"/>
              <w:right w:val="nil"/>
            </w:tcBorders>
            <w:vAlign w:val="center"/>
            <w:hideMark/>
          </w:tcPr>
          <w:p w14:paraId="6F6BF492"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BDS</w:t>
            </w:r>
          </w:p>
        </w:tc>
        <w:tc>
          <w:tcPr>
            <w:tcW w:w="0" w:type="auto"/>
            <w:tcBorders>
              <w:top w:val="nil"/>
              <w:left w:val="nil"/>
              <w:bottom w:val="single" w:sz="4" w:space="0" w:color="auto"/>
              <w:right w:val="nil"/>
            </w:tcBorders>
            <w:vAlign w:val="center"/>
            <w:hideMark/>
          </w:tcPr>
          <w:p w14:paraId="1B928A30"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Deviation sum</w:t>
            </w:r>
          </w:p>
        </w:tc>
      </w:tr>
    </w:tbl>
    <w:p w14:paraId="5A2F5D15" w14:textId="17F4D764" w:rsidR="006E3099" w:rsidRPr="006E3099" w:rsidRDefault="006E3099" w:rsidP="00CB2211">
      <w:pPr>
        <w:spacing w:before="240" w:line="360" w:lineRule="auto"/>
        <w:jc w:val="both"/>
        <w:rPr>
          <w:rFonts w:ascii="Times New Roman" w:hAnsi="Times New Roman" w:cs="Times New Roman"/>
          <w:b/>
          <w:bCs/>
        </w:rPr>
      </w:pPr>
      <w:r w:rsidRPr="006E3099">
        <w:rPr>
          <w:rFonts w:ascii="Times New Roman" w:hAnsi="Times New Roman" w:cs="Times New Roman"/>
          <w:b/>
          <w:bCs/>
        </w:rPr>
        <w:t>Machine Learning Models and Trust Scoring</w:t>
      </w:r>
    </w:p>
    <w:p w14:paraId="6612DEDF"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Models include Random Forest with voting </w:t>
      </w:r>
    </w:p>
    <w:p w14:paraId="7CFCEE98" w14:textId="77777777" w:rsidR="006E3099" w:rsidRPr="006E3099" w:rsidRDefault="00F86EC2" w:rsidP="006E3099">
      <w:pPr>
        <w:spacing w:line="360" w:lineRule="auto"/>
        <w:jc w:val="both"/>
        <w:rPr>
          <w:rFonts w:ascii="Times New Roman" w:eastAsiaTheme="minorEastAsia" w:hAnsi="Times New Roman" w:cs="Times New Roman"/>
        </w:rPr>
      </w:pPr>
      <m:oMathPara>
        <m:oMath>
          <m:acc>
            <m:accPr>
              <m:ctrlPr>
                <w:rPr>
                  <w:rFonts w:ascii="Cambria Math" w:hAnsi="Cambria Math" w:cs="Times New Roman"/>
                </w:rPr>
              </m:ctrlPr>
            </m:accPr>
            <m:e>
              <m:r>
                <w:rPr>
                  <w:rFonts w:ascii="Cambria Math" w:hAnsi="Cambria Math" w:cs="Times New Roman"/>
                </w:rPr>
                <m:t>y</m:t>
              </m:r>
            </m:e>
          </m:acc>
          <m:r>
            <w:rPr>
              <w:rFonts w:ascii="Cambria Math" w:hAnsi="Cambria Math" w:cs="Times New Roman"/>
            </w:rPr>
            <m:t>=</m:t>
          </m:r>
          <m:r>
            <w:rPr>
              <w:rFonts w:ascii="Cambria Math" w:hAnsi="Cambria Math" w:cs="Times New Roman"/>
            </w:rPr>
            <m:t>mode</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t</m:t>
              </m:r>
            </m:sub>
          </m:sSub>
          <m:r>
            <w:rPr>
              <w:rFonts w:ascii="Cambria Math" w:hAnsi="Cambria Math" w:cs="Times New Roman"/>
            </w:rPr>
            <m:t>(</m:t>
          </m:r>
          <m:r>
            <w:rPr>
              <w:rFonts w:ascii="Cambria Math" w:hAnsi="Cambria Math" w:cs="Times New Roman"/>
            </w:rPr>
            <m:t>x</m:t>
          </m:r>
          <m:r>
            <w:rPr>
              <w:rFonts w:ascii="Cambria Math" w:hAnsi="Cambria Math" w:cs="Times New Roman"/>
            </w:rPr>
            <m:t>)}</m:t>
          </m:r>
        </m:oMath>
      </m:oMathPara>
    </w:p>
    <w:p w14:paraId="0E5A3867"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t</m:t>
            </m:r>
          </m:sub>
        </m:sSub>
        <m:r>
          <w:rPr>
            <w:rFonts w:ascii="Cambria Math" w:hAnsi="Cambria Math" w:cs="Times New Roman"/>
          </w:rPr>
          <m:t>(x)</m:t>
        </m:r>
      </m:oMath>
      <w:r w:rsidRPr="006E3099">
        <w:rPr>
          <w:rFonts w:ascii="Times New Roman" w:eastAsiaTheme="minorEastAsia" w:hAnsi="Times New Roman" w:cs="Times New Roman"/>
        </w:rPr>
        <w:t xml:space="preserve"> </w:t>
      </w:r>
      <w:r w:rsidRPr="006E3099">
        <w:rPr>
          <w:rFonts w:ascii="Times New Roman" w:hAnsi="Times New Roman" w:cs="Times New Roman"/>
        </w:rPr>
        <w:t xml:space="preserve">are individual tree predictions, SVM using RBF </w:t>
      </w:r>
      <w:proofErr w:type="gramStart"/>
      <w:r w:rsidRPr="006E3099">
        <w:rPr>
          <w:rFonts w:ascii="Times New Roman" w:hAnsi="Times New Roman" w:cs="Times New Roman"/>
        </w:rPr>
        <w:t>kernel</w:t>
      </w:r>
      <w:proofErr w:type="gramEnd"/>
      <w:r w:rsidRPr="006E3099">
        <w:rPr>
          <w:rFonts w:ascii="Times New Roman" w:hAnsi="Times New Roman" w:cs="Times New Roman"/>
        </w:rPr>
        <w:t xml:space="preserve"> </w:t>
      </w:r>
    </w:p>
    <w:p w14:paraId="36329292" w14:textId="77777777" w:rsidR="006E3099" w:rsidRPr="006E3099" w:rsidRDefault="006E3099" w:rsidP="006E3099">
      <w:pPr>
        <w:spacing w:line="360" w:lineRule="auto"/>
        <w:jc w:val="both"/>
        <w:rPr>
          <w:rFonts w:ascii="Times New Roman" w:eastAsiaTheme="minorEastAsia" w:hAnsi="Times New Roman" w:cs="Times New Roman"/>
        </w:rPr>
      </w:pPr>
      <m:oMathPara>
        <m:oMath>
          <m:r>
            <w:rPr>
              <w:rFonts w:ascii="Cambria Math" w:hAnsi="Cambria Math" w:cs="Times New Roman"/>
            </w:rPr>
            <m:t>K</m:t>
          </m:r>
          <m:d>
            <m:dPr>
              <m:ctrlPr>
                <w:rPr>
                  <w:rFonts w:ascii="Cambria Math" w:hAnsi="Cambria Math" w:cs="Times New Roman"/>
                  <w:i/>
                </w:rPr>
              </m:ctrlPr>
            </m:dPr>
            <m:e>
              <m:r>
                <w:rPr>
                  <w:rFonts w:ascii="Cambria Math" w:hAnsi="Cambria Math" w:cs="Times New Roman"/>
                </w:rPr>
                <m:t>x,</m:t>
              </m:r>
              <m:sSup>
                <m:sSupPr>
                  <m:ctrlPr>
                    <w:rPr>
                      <w:rFonts w:ascii="Cambria Math" w:hAnsi="Cambria Math" w:cs="Times New Roman"/>
                    </w:rPr>
                  </m:ctrlPr>
                </m:sSupPr>
                <m:e>
                  <m:r>
                    <w:rPr>
                      <w:rFonts w:ascii="Cambria Math" w:hAnsi="Cambria Math" w:cs="Times New Roman"/>
                    </w:rPr>
                    <m:t>x</m:t>
                  </m:r>
                </m:e>
                <m:sup>
                  <m:r>
                    <m:rPr>
                      <m:sty m:val="p"/>
                    </m:rPr>
                    <w:rPr>
                      <w:rFonts w:ascii="Cambria Math" w:hAnsi="Cambria Math" w:cs="Times New Roman"/>
                    </w:rPr>
                    <m:t>'</m:t>
                  </m:r>
                </m:sup>
              </m:sSup>
            </m:e>
          </m:d>
          <m:r>
            <w:rPr>
              <w:rFonts w:ascii="Cambria Math" w:hAnsi="Cambria Math" w:cs="Times New Roman"/>
            </w:rPr>
            <m:t>=</m:t>
          </m:r>
          <m:func>
            <m:funcPr>
              <m:ctrlPr>
                <w:rPr>
                  <w:rFonts w:ascii="Cambria Math" w:hAnsi="Cambria Math" w:cs="Times New Roman"/>
                  <w:i/>
                </w:rPr>
              </m:ctrlPr>
            </m:funcPr>
            <m:fName>
              <m:r>
                <m:rPr>
                  <m:sty m:val="p"/>
                </m:rPr>
                <w:rPr>
                  <w:rFonts w:ascii="Cambria Math" w:hAnsi="Cambria Math" w:cs="Times New Roman"/>
                </w:rPr>
                <m:t>exp</m:t>
              </m:r>
            </m:fName>
            <m:e>
              <m:d>
                <m:dPr>
                  <m:ctrlPr>
                    <w:rPr>
                      <w:rFonts w:ascii="Cambria Math" w:hAnsi="Cambria Math" w:cs="Times New Roman"/>
                      <w:i/>
                    </w:rPr>
                  </m:ctrlPr>
                </m:dPr>
                <m:e>
                  <m:r>
                    <w:rPr>
                      <w:rFonts w:ascii="Cambria Math" w:hAnsi="Cambria Math" w:cs="Times New Roman"/>
                    </w:rPr>
                    <m:t>-γ</m:t>
                  </m:r>
                  <m:r>
                    <m:rPr>
                      <m:sty m:val="p"/>
                    </m:rPr>
                    <w:rPr>
                      <w:rFonts w:ascii="Cambria Math" w:hAnsi="Cambria Math" w:cs="Times New Roman"/>
                    </w:rPr>
                    <m:t>∥</m:t>
                  </m:r>
                  <m:r>
                    <w:rPr>
                      <w:rFonts w:ascii="Cambria Math" w:hAnsi="Cambria Math" w:cs="Times New Roman"/>
                    </w:rPr>
                    <m:t>x-</m:t>
                  </m:r>
                  <m:sSup>
                    <m:sSupPr>
                      <m:ctrlPr>
                        <w:rPr>
                          <w:rFonts w:ascii="Cambria Math" w:hAnsi="Cambria Math" w:cs="Times New Roman"/>
                        </w:rPr>
                      </m:ctrlPr>
                    </m:sSupPr>
                    <m:e>
                      <m:r>
                        <w:rPr>
                          <w:rFonts w:ascii="Cambria Math" w:hAnsi="Cambria Math" w:cs="Times New Roman"/>
                        </w:rPr>
                        <m:t>x</m:t>
                      </m:r>
                    </m:e>
                    <m:sup>
                      <m:r>
                        <m:rPr>
                          <m:sty m:val="p"/>
                        </m:rPr>
                        <w:rPr>
                          <w:rFonts w:ascii="Cambria Math" w:hAnsi="Cambria Math" w:cs="Times New Roman"/>
                        </w:rPr>
                        <m:t>'</m:t>
                      </m:r>
                    </m:sup>
                  </m:sSup>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e>
              </m:d>
            </m:e>
          </m:func>
        </m:oMath>
      </m:oMathPara>
    </w:p>
    <w:p w14:paraId="4D2DCBFF"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where </w:t>
      </w:r>
      <m:oMath>
        <m:r>
          <w:rPr>
            <w:rFonts w:ascii="Cambria Math" w:hAnsi="Cambria Math" w:cs="Times New Roman"/>
          </w:rPr>
          <m:t>γ</m:t>
        </m:r>
      </m:oMath>
      <w:r w:rsidRPr="006E3099">
        <w:rPr>
          <w:rFonts w:ascii="Times New Roman" w:eastAsiaTheme="minorEastAsia" w:hAnsi="Times New Roman" w:cs="Times New Roman"/>
        </w:rPr>
        <w:t xml:space="preserve"> </w:t>
      </w:r>
      <w:r w:rsidRPr="006E3099">
        <w:rPr>
          <w:rFonts w:ascii="Times New Roman" w:hAnsi="Times New Roman" w:cs="Times New Roman"/>
        </w:rPr>
        <w:t xml:space="preserve">controls kernel width and </w:t>
      </w:r>
      <m:oMath>
        <m:r>
          <m:rPr>
            <m:sty m:val="p"/>
          </m:rPr>
          <w:rPr>
            <w:rFonts w:ascii="Cambria Math" w:hAnsi="Cambria Math" w:cs="Times New Roman"/>
          </w:rPr>
          <m:t>∥</m:t>
        </m:r>
        <m:r>
          <w:rPr>
            <w:rFonts w:ascii="Cambria Math" w:hAnsi="Cambria Math" w:cs="Times New Roman"/>
          </w:rPr>
          <m:t>x-</m:t>
        </m:r>
        <m:sSup>
          <m:sSupPr>
            <m:ctrlPr>
              <w:rPr>
                <w:rFonts w:ascii="Cambria Math" w:hAnsi="Cambria Math" w:cs="Times New Roman"/>
              </w:rPr>
            </m:ctrlPr>
          </m:sSupPr>
          <m:e>
            <m:r>
              <w:rPr>
                <w:rFonts w:ascii="Cambria Math" w:hAnsi="Cambria Math" w:cs="Times New Roman"/>
              </w:rPr>
              <m:t>x</m:t>
            </m:r>
          </m:e>
          <m:sup>
            <m:r>
              <m:rPr>
                <m:sty m:val="p"/>
              </m:rPr>
              <w:rPr>
                <w:rFonts w:ascii="Cambria Math" w:hAnsi="Cambria Math" w:cs="Times New Roman"/>
              </w:rPr>
              <m:t>'</m:t>
            </m:r>
          </m:sup>
        </m:sSup>
        <m:r>
          <m:rPr>
            <m:sty m:val="p"/>
          </m:rPr>
          <w:rPr>
            <w:rFonts w:ascii="Cambria Math" w:hAnsi="Cambria Math" w:cs="Times New Roman"/>
          </w:rPr>
          <m:t>∥</m:t>
        </m:r>
      </m:oMath>
      <w:r w:rsidRPr="006E3099">
        <w:rPr>
          <w:rFonts w:ascii="Times New Roman" w:eastAsiaTheme="minorEastAsia" w:hAnsi="Times New Roman" w:cs="Times New Roman"/>
        </w:rPr>
        <w:t xml:space="preserve"> </w:t>
      </w:r>
      <w:r w:rsidRPr="006E3099">
        <w:rPr>
          <w:rFonts w:ascii="Times New Roman" w:hAnsi="Times New Roman" w:cs="Times New Roman"/>
        </w:rPr>
        <w:t xml:space="preserve">is Euclidean distance, and XGBoost sequentially minimizing </w:t>
      </w:r>
    </w:p>
    <w:p w14:paraId="70F7D11F" w14:textId="77777777" w:rsidR="006E3099" w:rsidRPr="006E3099" w:rsidRDefault="00F86EC2" w:rsidP="006E3099">
      <w:pPr>
        <w:spacing w:line="360" w:lineRule="auto"/>
        <w:jc w:val="both"/>
        <w:rPr>
          <w:rFonts w:ascii="Times New Roman" w:eastAsiaTheme="minorEastAsia" w:hAnsi="Times New Roman" w:cs="Times New Roman"/>
        </w:rPr>
      </w:pPr>
      <m:oMathPara>
        <m:oMath>
          <m:sSup>
            <m:sSupPr>
              <m:ctrlPr>
                <w:rPr>
                  <w:rFonts w:ascii="Cambria Math" w:hAnsi="Cambria Math" w:cs="Times New Roman"/>
                </w:rPr>
              </m:ctrlPr>
            </m:sSupPr>
            <m:e>
              <m:r>
                <w:rPr>
                  <w:rFonts w:ascii="Cambria Math" w:hAnsi="Cambria Math" w:cs="Times New Roman"/>
                </w:rPr>
                <m:t>L</m:t>
              </m:r>
            </m:e>
            <m:sup>
              <m:r>
                <w:rPr>
                  <w:rFonts w:ascii="Cambria Math" w:hAnsi="Cambria Math" w:cs="Times New Roman"/>
                </w:rPr>
                <m:t>(</m:t>
              </m:r>
              <m:r>
                <w:rPr>
                  <w:rFonts w:ascii="Cambria Math" w:hAnsi="Cambria Math" w:cs="Times New Roman"/>
                </w:rPr>
                <m:t>t</m:t>
              </m:r>
              <m:r>
                <w:rPr>
                  <w:rFonts w:ascii="Cambria Math" w:hAnsi="Cambria Math" w:cs="Times New Roman"/>
                </w:rPr>
                <m:t>)</m:t>
              </m:r>
            </m:sup>
          </m:sSup>
          <m:r>
            <w:rPr>
              <w:rFonts w:ascii="Cambria Math" w:hAnsi="Cambria Math" w:cs="Times New Roman"/>
            </w:rPr>
            <m:t>=∑</m:t>
          </m:r>
          <m:r>
            <w:rPr>
              <w:rFonts w:ascii="Cambria Math" w:hAnsi="Cambria Math" w:cs="Times New Roman"/>
            </w:rPr>
            <m:t>l</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Sup>
            <m:sSubSupPr>
              <m:ctrlPr>
                <w:rPr>
                  <w:rFonts w:ascii="Cambria Math" w:hAnsi="Cambria Math" w:cs="Times New Roman"/>
                </w:rPr>
              </m:ctrlPr>
            </m:sSubSupPr>
            <m:e>
              <m:acc>
                <m:accPr>
                  <m:ctrlPr>
                    <w:rPr>
                      <w:rFonts w:ascii="Cambria Math" w:hAnsi="Cambria Math" w:cs="Times New Roman"/>
                    </w:rPr>
                  </m:ctrlPr>
                </m:accPr>
                <m:e>
                  <m:r>
                    <w:rPr>
                      <w:rFonts w:ascii="Cambria Math" w:hAnsi="Cambria Math" w:cs="Times New Roman"/>
                    </w:rPr>
                    <m:t>y</m:t>
                  </m:r>
                </m:e>
              </m:acc>
            </m:e>
            <m:sub>
              <m:r>
                <w:rPr>
                  <w:rFonts w:ascii="Cambria Math" w:hAnsi="Cambria Math" w:cs="Times New Roman"/>
                </w:rPr>
                <m:t>i</m:t>
              </m:r>
            </m:sub>
            <m:sup>
              <m:r>
                <w:rPr>
                  <w:rFonts w:ascii="Cambria Math" w:hAnsi="Cambria Math" w:cs="Times New Roman"/>
                </w:rPr>
                <m:t>(</m:t>
              </m:r>
              <m:r>
                <w:rPr>
                  <w:rFonts w:ascii="Cambria Math" w:hAnsi="Cambria Math" w:cs="Times New Roman"/>
                </w:rPr>
                <m:t>t</m:t>
              </m:r>
              <m:r>
                <w:rPr>
                  <w:rFonts w:ascii="Cambria Math" w:hAnsi="Cambria Math" w:cs="Times New Roman"/>
                </w:rPr>
                <m:t>-</m:t>
              </m:r>
              <m:r>
                <w:rPr>
                  <w:rFonts w:ascii="Cambria Math" w:hAnsi="Cambria Math" w:cs="Times New Roman"/>
                </w:rPr>
                <m:t>1)</m:t>
              </m:r>
            </m:sup>
          </m:sSubSup>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r>
            <m:rPr>
              <m:sty m:val="p"/>
            </m:rPr>
            <w:rPr>
              <w:rFonts w:ascii="Cambria Math" w:hAnsi="Cambria Math" w:cs="Times New Roman"/>
            </w:rPr>
            <m:t>Ω</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t</m:t>
              </m:r>
            </m:sub>
          </m:sSub>
          <m:r>
            <w:rPr>
              <w:rFonts w:ascii="Cambria Math" w:hAnsi="Cambria Math" w:cs="Times New Roman"/>
            </w:rPr>
            <m:t>)</m:t>
          </m:r>
        </m:oMath>
      </m:oMathPara>
    </w:p>
    <w:p w14:paraId="6E1E8A25"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where (l) is loss, </w:t>
      </w:r>
      <m:oMath>
        <m:sSubSup>
          <m:sSubSupPr>
            <m:ctrlPr>
              <w:rPr>
                <w:rFonts w:ascii="Cambria Math" w:hAnsi="Cambria Math" w:cs="Times New Roman"/>
              </w:rPr>
            </m:ctrlPr>
          </m:sSubSupPr>
          <m:e>
            <m:acc>
              <m:accPr>
                <m:ctrlPr>
                  <w:rPr>
                    <w:rFonts w:ascii="Cambria Math" w:hAnsi="Cambria Math" w:cs="Times New Roman"/>
                  </w:rPr>
                </m:ctrlPr>
              </m:accPr>
              <m:e>
                <m:r>
                  <w:rPr>
                    <w:rFonts w:ascii="Cambria Math" w:hAnsi="Cambria Math" w:cs="Times New Roman"/>
                  </w:rPr>
                  <m:t>y</m:t>
                </m:r>
              </m:e>
            </m:acc>
          </m:e>
          <m:sub>
            <m:r>
              <w:rPr>
                <w:rFonts w:ascii="Cambria Math" w:hAnsi="Cambria Math" w:cs="Times New Roman"/>
              </w:rPr>
              <m:t>i</m:t>
            </m:r>
          </m:sub>
          <m:sup>
            <m:r>
              <w:rPr>
                <w:rFonts w:ascii="Cambria Math" w:hAnsi="Cambria Math" w:cs="Times New Roman"/>
              </w:rPr>
              <m:t>(t-1)</m:t>
            </m:r>
          </m:sup>
        </m:sSubSup>
        <m:r>
          <w:rPr>
            <w:rFonts w:ascii="Cambria Math" w:hAnsi="Cambria Math" w:cs="Times New Roman"/>
          </w:rPr>
          <m:t xml:space="preserve"> </m:t>
        </m:r>
      </m:oMath>
      <w:r w:rsidRPr="006E3099">
        <w:rPr>
          <w:rFonts w:ascii="Times New Roman" w:hAnsi="Times New Roman" w:cs="Times New Roman"/>
        </w:rPr>
        <w:t xml:space="preserve">is prior prediction, </w:t>
      </w: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t</m:t>
            </m:r>
          </m:sub>
        </m:sSub>
      </m:oMath>
      <w:r w:rsidRPr="006E3099">
        <w:rPr>
          <w:rFonts w:ascii="Times New Roman" w:eastAsiaTheme="minorEastAsia" w:hAnsi="Times New Roman" w:cs="Times New Roman"/>
        </w:rPr>
        <w:t xml:space="preserve"> </w:t>
      </w:r>
      <w:r w:rsidRPr="006E3099">
        <w:rPr>
          <w:rFonts w:ascii="Times New Roman" w:hAnsi="Times New Roman" w:cs="Times New Roman"/>
        </w:rPr>
        <w:t xml:space="preserve">is the new tree, and </w:t>
      </w:r>
      <m:oMath>
        <m:r>
          <m:rPr>
            <m:sty m:val="p"/>
          </m:rPr>
          <w:rPr>
            <w:rFonts w:ascii="Cambria Math" w:hAnsi="Cambria Math" w:cs="Times New Roman"/>
          </w:rPr>
          <m:t>Ω</m:t>
        </m:r>
      </m:oMath>
      <w:r w:rsidRPr="006E3099">
        <w:rPr>
          <w:rFonts w:ascii="Times New Roman" w:eastAsiaTheme="minorEastAsia" w:hAnsi="Times New Roman" w:cs="Times New Roman"/>
        </w:rPr>
        <w:t xml:space="preserve"> </w:t>
      </w:r>
      <w:r w:rsidRPr="006E3099">
        <w:rPr>
          <w:rFonts w:ascii="Times New Roman" w:hAnsi="Times New Roman" w:cs="Times New Roman"/>
        </w:rPr>
        <w:t xml:space="preserve">is regularization (Chen &amp; Guestrin, 2016). Deep architectures feature CNN-LSTM hybrids for spatio-temporal patterns and autoencoders detecting anomalies via </w:t>
      </w:r>
    </w:p>
    <w:p w14:paraId="24A69F42" w14:textId="77777777" w:rsidR="006E3099" w:rsidRPr="006E3099" w:rsidRDefault="006E3099" w:rsidP="006E3099">
      <w:pPr>
        <w:spacing w:line="360" w:lineRule="auto"/>
        <w:jc w:val="both"/>
        <w:rPr>
          <w:rFonts w:ascii="Times New Roman" w:eastAsiaTheme="minorEastAsia" w:hAnsi="Times New Roman" w:cs="Times New Roman"/>
        </w:rPr>
      </w:pPr>
      <m:oMathPara>
        <m:oMath>
          <m:r>
            <w:rPr>
              <w:rFonts w:ascii="Cambria Math" w:hAnsi="Cambria Math" w:cs="Times New Roman"/>
            </w:rPr>
            <m:t>Error=</m:t>
          </m:r>
          <m:r>
            <m:rPr>
              <m:sty m:val="p"/>
            </m:rPr>
            <w:rPr>
              <w:rFonts w:ascii="Cambria Math" w:hAnsi="Cambria Math" w:cs="Times New Roman"/>
            </w:rPr>
            <m:t>∥</m:t>
          </m:r>
          <m:r>
            <w:rPr>
              <w:rFonts w:ascii="Cambria Math" w:hAnsi="Cambria Math" w:cs="Times New Roman"/>
            </w:rPr>
            <m:t>x-</m:t>
          </m:r>
          <m:acc>
            <m:accPr>
              <m:ctrlPr>
                <w:rPr>
                  <w:rFonts w:ascii="Cambria Math" w:hAnsi="Cambria Math" w:cs="Times New Roman"/>
                </w:rPr>
              </m:ctrlPr>
            </m:accPr>
            <m:e>
              <m:r>
                <w:rPr>
                  <w:rFonts w:ascii="Cambria Math" w:hAnsi="Cambria Math" w:cs="Times New Roman"/>
                </w:rPr>
                <m:t>x</m:t>
              </m:r>
            </m:e>
          </m:acc>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r>
            <w:rPr>
              <w:rFonts w:ascii="Cambria Math" w:hAnsi="Cambria Math" w:cs="Times New Roman"/>
            </w:rPr>
            <m:t>&gt;τ</m:t>
          </m:r>
        </m:oMath>
      </m:oMathPara>
    </w:p>
    <w:p w14:paraId="27387D85"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where (x) is input, </w:t>
      </w:r>
      <m:oMath>
        <m:acc>
          <m:accPr>
            <m:ctrlPr>
              <w:rPr>
                <w:rFonts w:ascii="Cambria Math" w:hAnsi="Cambria Math" w:cs="Times New Roman"/>
              </w:rPr>
            </m:ctrlPr>
          </m:accPr>
          <m:e>
            <m:r>
              <w:rPr>
                <w:rFonts w:ascii="Cambria Math" w:hAnsi="Cambria Math" w:cs="Times New Roman"/>
              </w:rPr>
              <m:t>x</m:t>
            </m:r>
          </m:e>
        </m:acc>
      </m:oMath>
      <w:r w:rsidRPr="006E3099">
        <w:rPr>
          <w:rFonts w:ascii="Times New Roman" w:hAnsi="Times New Roman" w:cs="Times New Roman"/>
        </w:rPr>
        <w:t xml:space="preserve"> is reconstruction, and </w:t>
      </w:r>
      <m:oMath>
        <m:r>
          <w:rPr>
            <w:rFonts w:ascii="Cambria Math" w:hAnsi="Cambria Math" w:cs="Times New Roman"/>
          </w:rPr>
          <m:t>τ</m:t>
        </m:r>
      </m:oMath>
      <w:r w:rsidRPr="006E3099">
        <w:rPr>
          <w:rFonts w:ascii="Times New Roman" w:hAnsi="Times New Roman" w:cs="Times New Roman"/>
        </w:rPr>
        <w:t xml:space="preserve"> is threshold (Hochreiter &amp; Schmidhuber, 1997).</w:t>
      </w:r>
    </w:p>
    <w:p w14:paraId="3D34294A"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Training uses 70/15/15 splits, 5-fold cross-validation, SMOTE for imbalance </w:t>
      </w:r>
    </w:p>
    <w:p w14:paraId="1520CAC9" w14:textId="77777777" w:rsidR="006E3099" w:rsidRPr="006E3099" w:rsidRDefault="00F86EC2" w:rsidP="006E3099">
      <w:pPr>
        <w:spacing w:line="360" w:lineRule="auto"/>
        <w:jc w:val="both"/>
        <w:rPr>
          <w:rFonts w:ascii="Times New Roman" w:eastAsiaTheme="minorEastAsia" w:hAnsi="Times New Roman" w:cs="Times New Roman"/>
        </w:rPr>
      </w:pPr>
      <m:oMathPara>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syn</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r>
            <w:rPr>
              <w:rFonts w:ascii="Cambria Math" w:hAnsi="Cambria Math" w:cs="Times New Roman"/>
            </w:rPr>
            <m:t>λ</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nn</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oMath>
      </m:oMathPara>
    </w:p>
    <w:p w14:paraId="26103EC3"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lastRenderedPageBreak/>
        <w:t xml:space="preserve">where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 xml:space="preserve"> </m:t>
        </m:r>
      </m:oMath>
      <w:r w:rsidRPr="006E3099">
        <w:rPr>
          <w:rFonts w:ascii="Times New Roman" w:hAnsi="Times New Roman" w:cs="Times New Roman"/>
        </w:rPr>
        <w:t xml:space="preserve">is minority sample,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nn</m:t>
            </m:r>
          </m:sub>
        </m:sSub>
      </m:oMath>
      <w:r w:rsidRPr="006E3099">
        <w:rPr>
          <w:rFonts w:ascii="Times New Roman" w:hAnsi="Times New Roman" w:cs="Times New Roman"/>
        </w:rPr>
        <w:t xml:space="preserve"> is nearest neighbor, and </w:t>
      </w:r>
      <m:oMath>
        <m:r>
          <w:rPr>
            <w:rFonts w:ascii="Cambria Math" w:hAnsi="Cambria Math" w:cs="Times New Roman"/>
          </w:rPr>
          <m:t>λ</m:t>
        </m:r>
      </m:oMath>
      <w:r w:rsidRPr="006E3099">
        <w:rPr>
          <w:rFonts w:ascii="Times New Roman" w:eastAsiaTheme="minorEastAsia" w:hAnsi="Times New Roman" w:cs="Times New Roman"/>
        </w:rPr>
        <w:t xml:space="preserve"> </w:t>
      </w:r>
      <w:r w:rsidRPr="006E3099">
        <w:rPr>
          <w:rFonts w:ascii="Times New Roman" w:hAnsi="Times New Roman" w:cs="Times New Roman"/>
        </w:rPr>
        <w:t xml:space="preserve">is random in [0,1], and Adam optimization. Trust scoring aggregates: </w:t>
      </w:r>
    </w:p>
    <w:p w14:paraId="58448C17" w14:textId="77777777" w:rsidR="006E3099" w:rsidRPr="006E3099" w:rsidRDefault="006E3099" w:rsidP="006E3099">
      <w:pPr>
        <w:spacing w:line="360" w:lineRule="auto"/>
        <w:jc w:val="both"/>
        <w:rPr>
          <w:rFonts w:ascii="Times New Roman" w:hAnsi="Times New Roman" w:cs="Times New Roman"/>
        </w:rPr>
      </w:pPr>
      <m:oMathPara>
        <m:oMath>
          <m:r>
            <w:rPr>
              <w:rFonts w:ascii="Cambria Math" w:hAnsi="Cambria Math" w:cs="Times New Roman"/>
            </w:rPr>
            <m:t>Trust(t)=λTrust(t-1)+(1-λ)</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current</m:t>
              </m:r>
            </m:sub>
          </m:sSub>
        </m:oMath>
      </m:oMathPara>
    </w:p>
    <w:p w14:paraId="58BF329C" w14:textId="55E6886A"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where </w:t>
      </w:r>
      <m:oMath>
        <m:r>
          <w:rPr>
            <w:rFonts w:ascii="Cambria Math" w:hAnsi="Cambria Math" w:cs="Times New Roman"/>
          </w:rPr>
          <m:t>λ</m:t>
        </m:r>
      </m:oMath>
      <w:r w:rsidRPr="006E3099">
        <w:rPr>
          <w:rFonts w:ascii="Times New Roman" w:hAnsi="Times New Roman" w:cs="Times New Roman"/>
        </w:rPr>
        <w:t xml:space="preserve"> is decay factor, </w:t>
      </w:r>
      <m:oMath>
        <m:r>
          <w:rPr>
            <w:rFonts w:ascii="Cambria Math" w:hAnsi="Cambria Math" w:cs="Times New Roman"/>
          </w:rPr>
          <m:t>Trust(t-1)</m:t>
        </m:r>
      </m:oMath>
      <w:r w:rsidRPr="006E3099">
        <w:rPr>
          <w:rFonts w:ascii="Times New Roman" w:eastAsiaTheme="minorEastAsia" w:hAnsi="Times New Roman" w:cs="Times New Roman"/>
        </w:rPr>
        <w:t xml:space="preserve"> </w:t>
      </w:r>
      <w:r w:rsidRPr="006E3099">
        <w:rPr>
          <w:rFonts w:ascii="Times New Roman" w:hAnsi="Times New Roman" w:cs="Times New Roman"/>
        </w:rPr>
        <w:t xml:space="preserve">is prior trust, and </w:t>
      </w: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current</m:t>
            </m:r>
          </m:sub>
        </m:sSub>
      </m:oMath>
      <w:r w:rsidRPr="006E3099">
        <w:rPr>
          <w:rFonts w:ascii="Times New Roman" w:eastAsiaTheme="minorEastAsia" w:hAnsi="Times New Roman" w:cs="Times New Roman"/>
        </w:rPr>
        <w:t xml:space="preserve"> </w:t>
      </w:r>
      <w:r w:rsidRPr="006E3099">
        <w:rPr>
          <w:rFonts w:ascii="Times New Roman" w:hAnsi="Times New Roman" w:cs="Times New Roman"/>
        </w:rPr>
        <w:t xml:space="preserve">is current score, triggering actions if </w:t>
      </w:r>
      <m:oMath>
        <m:r>
          <w:rPr>
            <w:rFonts w:ascii="Cambria Math" w:hAnsi="Cambria Math" w:cs="Times New Roman"/>
          </w:rPr>
          <m:t>Trust&lt;</m:t>
        </m:r>
        <m:sSub>
          <m:sSubPr>
            <m:ctrlPr>
              <w:rPr>
                <w:rFonts w:ascii="Cambria Math" w:hAnsi="Cambria Math" w:cs="Times New Roman"/>
              </w:rPr>
            </m:ctrlPr>
          </m:sSubPr>
          <m:e>
            <m:r>
              <w:rPr>
                <w:rFonts w:ascii="Cambria Math" w:hAnsi="Cambria Math" w:cs="Times New Roman"/>
              </w:rPr>
              <m:t>τ</m:t>
            </m:r>
          </m:e>
          <m:sub>
            <m:r>
              <w:rPr>
                <w:rFonts w:ascii="Cambria Math" w:hAnsi="Cambria Math" w:cs="Times New Roman"/>
              </w:rPr>
              <m:t>low</m:t>
            </m:r>
          </m:sub>
        </m:sSub>
      </m:oMath>
      <w:r w:rsidRPr="006E3099">
        <w:rPr>
          <w:rFonts w:ascii="Times New Roman" w:eastAsiaTheme="minorEastAsia" w:hAnsi="Times New Roman" w:cs="Times New Roman"/>
        </w:rPr>
        <w:t xml:space="preserve"> </w:t>
      </w:r>
      <w:r w:rsidRPr="006E3099">
        <w:rPr>
          <w:rFonts w:ascii="Times New Roman" w:hAnsi="Times New Roman" w:cs="Times New Roman"/>
        </w:rPr>
        <w:t xml:space="preserve">(e.g., MFA step-up), with </w:t>
      </w:r>
      <m:oMath>
        <m:sSub>
          <m:sSubPr>
            <m:ctrlPr>
              <w:rPr>
                <w:rFonts w:ascii="Cambria Math" w:hAnsi="Cambria Math" w:cs="Times New Roman"/>
              </w:rPr>
            </m:ctrlPr>
          </m:sSubPr>
          <m:e>
            <m:r>
              <w:rPr>
                <w:rFonts w:ascii="Cambria Math" w:hAnsi="Cambria Math" w:cs="Times New Roman"/>
              </w:rPr>
              <m:t>τ</m:t>
            </m:r>
          </m:e>
          <m:sub>
            <m:r>
              <w:rPr>
                <w:rFonts w:ascii="Cambria Math" w:hAnsi="Cambria Math" w:cs="Times New Roman"/>
              </w:rPr>
              <m:t>low</m:t>
            </m:r>
          </m:sub>
        </m:sSub>
        <m:r>
          <w:rPr>
            <w:rFonts w:ascii="Cambria Math" w:hAnsi="Cambria Math" w:cs="Times New Roman"/>
          </w:rPr>
          <m:t xml:space="preserve"> </m:t>
        </m:r>
      </m:oMath>
      <w:r w:rsidRPr="006E3099">
        <w:rPr>
          <w:rFonts w:ascii="Times New Roman" w:hAnsi="Times New Roman" w:cs="Times New Roman"/>
        </w:rPr>
        <w:t xml:space="preserve">as low-trust threshold (Eberz et al., 2017). </w:t>
      </w:r>
      <w:r w:rsidR="009C2317">
        <w:rPr>
          <w:rFonts w:ascii="Times New Roman" w:hAnsi="Times New Roman" w:cs="Times New Roman"/>
        </w:rPr>
        <w:t>Fi</w:t>
      </w:r>
      <w:r w:rsidR="00C64F40">
        <w:rPr>
          <w:rFonts w:ascii="Times New Roman" w:hAnsi="Times New Roman" w:cs="Times New Roman"/>
        </w:rPr>
        <w:t>g</w:t>
      </w:r>
      <w:r w:rsidR="009C2317">
        <w:rPr>
          <w:rFonts w:ascii="Times New Roman" w:hAnsi="Times New Roman" w:cs="Times New Roman"/>
        </w:rPr>
        <w:t>ure 2 displays the Dynamic Trust Scoring Pipeline.</w:t>
      </w:r>
    </w:p>
    <w:p w14:paraId="3A0565DC" w14:textId="37F24ABC" w:rsidR="006E3099" w:rsidRPr="00DC2806"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Figure</w:t>
      </w:r>
      <w:r w:rsidR="00C64F40">
        <w:rPr>
          <w:rFonts w:ascii="Times New Roman" w:hAnsi="Times New Roman" w:cs="Times New Roman"/>
          <w:b/>
          <w:bCs/>
        </w:rPr>
        <w:t xml:space="preserve"> </w:t>
      </w:r>
      <w:r w:rsidRPr="006E3099">
        <w:rPr>
          <w:rFonts w:ascii="Times New Roman" w:hAnsi="Times New Roman" w:cs="Times New Roman"/>
          <w:b/>
          <w:bCs/>
        </w:rPr>
        <w:t>2</w:t>
      </w:r>
      <w:r w:rsidR="00DC2806">
        <w:rPr>
          <w:rFonts w:ascii="Times New Roman" w:hAnsi="Times New Roman" w:cs="Times New Roman"/>
          <w:b/>
          <w:bCs/>
        </w:rPr>
        <w:t xml:space="preserve"> </w:t>
      </w:r>
      <w:r w:rsidRPr="009C2317">
        <w:rPr>
          <w:rFonts w:ascii="Times New Roman" w:hAnsi="Times New Roman" w:cs="Times New Roman"/>
          <w:i/>
          <w:iCs/>
        </w:rPr>
        <w:t>Dynamic Trust Scoring Pipeline</w:t>
      </w:r>
    </w:p>
    <w:p w14:paraId="7C2184EE" w14:textId="77777777"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noProof/>
        </w:rPr>
        <w:drawing>
          <wp:inline distT="0" distB="0" distL="0" distR="0" wp14:anchorId="4F661D12" wp14:editId="49DBDE99">
            <wp:extent cx="5009322" cy="2813997"/>
            <wp:effectExtent l="0" t="0" r="1270" b="5715"/>
            <wp:docPr id="805197742" name="Picture 1" descr="A long tube with blue and grey tub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197742" name="Picture 1" descr="A long tube with blue and grey tub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22457" cy="2821376"/>
                    </a:xfrm>
                    <a:prstGeom prst="rect">
                      <a:avLst/>
                    </a:prstGeom>
                  </pic:spPr>
                </pic:pic>
              </a:graphicData>
            </a:graphic>
          </wp:inline>
        </w:drawing>
      </w:r>
    </w:p>
    <w:p w14:paraId="66252DE2" w14:textId="1ABD07CC"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Performance Metrics, Validation, and Statistical Analysis</w:t>
      </w:r>
    </w:p>
    <w:p w14:paraId="3B5E1729"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Metrics encompass Energy Efficiency Ratio</w:t>
      </w:r>
      <w:r w:rsidRPr="006E3099">
        <w:rPr>
          <w:rFonts w:ascii="Times New Roman" w:hAnsi="Times New Roman" w:cs="Times New Roman"/>
          <w:b/>
          <w:bCs/>
        </w:rPr>
        <w:t xml:space="preserve"> (</w:t>
      </w:r>
      <w:r w:rsidRPr="006E3099">
        <w:rPr>
          <w:rFonts w:ascii="Times New Roman" w:hAnsi="Times New Roman" w:cs="Times New Roman"/>
        </w:rPr>
        <w:t>EER) where False Acceptance Rate (FAR(τ)) = False Rejection Rate (FRR(τ)), with τ as decision threshold, Area Under the Curve</w:t>
      </w:r>
      <w:r w:rsidRPr="006E3099">
        <w:rPr>
          <w:rFonts w:ascii="Times New Roman" w:hAnsi="Times New Roman" w:cs="Times New Roman"/>
          <w:b/>
          <w:bCs/>
        </w:rPr>
        <w:t xml:space="preserve"> </w:t>
      </w:r>
      <w:r w:rsidRPr="006E3099">
        <w:rPr>
          <w:rFonts w:ascii="Times New Roman" w:hAnsi="Times New Roman" w:cs="Times New Roman"/>
        </w:rPr>
        <w:t xml:space="preserve">(AUC) from Receiver Operating Characteristic (ROC) </w:t>
      </w:r>
    </w:p>
    <w:p w14:paraId="23AB547E" w14:textId="77777777" w:rsidR="006E3099" w:rsidRPr="006E3099" w:rsidRDefault="006E3099" w:rsidP="006E3099">
      <w:pPr>
        <w:spacing w:line="360" w:lineRule="auto"/>
        <w:jc w:val="both"/>
        <w:rPr>
          <w:rFonts w:ascii="Times New Roman" w:eastAsiaTheme="minorEastAsia" w:hAnsi="Times New Roman" w:cs="Times New Roman"/>
        </w:rPr>
      </w:pPr>
      <m:oMathPara>
        <m:oMath>
          <m:r>
            <w:rPr>
              <w:rFonts w:ascii="Cambria Math" w:hAnsi="Cambria Math" w:cs="Times New Roman"/>
            </w:rPr>
            <m:t>AUC=∫TPR(FPR)dFPR</m:t>
          </m:r>
        </m:oMath>
      </m:oMathPara>
    </w:p>
    <w:p w14:paraId="7ED51C05"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where TPR is true positive rate and FPR is false positive rate, and F1-score </w:t>
      </w:r>
    </w:p>
    <w:p w14:paraId="50A0D923" w14:textId="77777777" w:rsidR="006E3099" w:rsidRPr="006E3099" w:rsidRDefault="006E3099" w:rsidP="006E3099">
      <w:pPr>
        <w:spacing w:line="360" w:lineRule="auto"/>
        <w:jc w:val="both"/>
        <w:rPr>
          <w:rFonts w:ascii="Times New Roman" w:eastAsiaTheme="minorEastAsia" w:hAnsi="Times New Roman" w:cs="Times New Roman"/>
        </w:rPr>
      </w:pPr>
      <m:oMathPara>
        <m:oMath>
          <m:r>
            <w:rPr>
              <w:rFonts w:ascii="Cambria Math" w:hAnsi="Cambria Math" w:cs="Times New Roman"/>
            </w:rPr>
            <m:t>2TP</m:t>
          </m:r>
          <m:r>
            <m:rPr>
              <m:sty m:val="p"/>
            </m:rPr>
            <w:rPr>
              <w:rFonts w:ascii="Cambria Math" w:hAnsi="Cambria Math" w:cs="Times New Roman"/>
            </w:rPr>
            <m:t>/</m:t>
          </m:r>
          <m:r>
            <w:rPr>
              <w:rFonts w:ascii="Cambria Math" w:hAnsi="Cambria Math" w:cs="Times New Roman"/>
            </w:rPr>
            <m:t>(2TP+FP+FN)</m:t>
          </m:r>
        </m:oMath>
      </m:oMathPara>
    </w:p>
    <w:p w14:paraId="45B6EE27"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lastRenderedPageBreak/>
        <w:t>where TP is true positives, FP is false positives, and FN is false negatives (Fawcett, 2006). Computational efficiency targets inference &lt;100ms. Validation includes cross-dataset testing, bootstrap 95% CIs:</w:t>
      </w:r>
    </w:p>
    <w:p w14:paraId="15DB313A" w14:textId="77777777" w:rsidR="006E3099" w:rsidRPr="006E3099" w:rsidRDefault="00F86EC2" w:rsidP="006E3099">
      <w:pPr>
        <w:spacing w:line="360" w:lineRule="auto"/>
        <w:jc w:val="both"/>
        <w:rPr>
          <w:rFonts w:ascii="Times New Roman" w:hAnsi="Times New Roman" w:cs="Times New Roman"/>
        </w:rPr>
      </w:pPr>
      <m:oMathPara>
        <m:oMath>
          <m:acc>
            <m:accPr>
              <m:chr m:val="ˉ"/>
              <m:ctrlPr>
                <w:rPr>
                  <w:rFonts w:ascii="Cambria Math" w:hAnsi="Cambria Math" w:cs="Times New Roman"/>
                </w:rPr>
              </m:ctrlPr>
            </m:accPr>
            <m:e>
              <m:r>
                <w:rPr>
                  <w:rFonts w:ascii="Cambria Math" w:hAnsi="Cambria Math" w:cs="Times New Roman"/>
                </w:rPr>
                <m:t>x</m:t>
              </m:r>
            </m:e>
          </m:acc>
          <m:r>
            <w:rPr>
              <w:rFonts w:ascii="Cambria Math" w:hAnsi="Cambria Math" w:cs="Times New Roman"/>
            </w:rPr>
            <m:t>±1.96</m:t>
          </m:r>
          <m:r>
            <w:rPr>
              <w:rFonts w:ascii="Cambria Math" w:hAnsi="Cambria Math" w:cs="Times New Roman"/>
            </w:rPr>
            <m:t>σ</m:t>
          </m:r>
          <m:r>
            <m:rPr>
              <m:sty m:val="p"/>
            </m:rPr>
            <w:rPr>
              <w:rFonts w:ascii="Cambria Math" w:hAnsi="Cambria Math" w:cs="Times New Roman"/>
            </w:rPr>
            <m:t>/</m:t>
          </m:r>
          <m:rad>
            <m:radPr>
              <m:degHide m:val="1"/>
              <m:ctrlPr>
                <w:rPr>
                  <w:rFonts w:ascii="Cambria Math" w:hAnsi="Cambria Math" w:cs="Times New Roman"/>
                </w:rPr>
              </m:ctrlPr>
            </m:radPr>
            <m:deg/>
            <m:e>
              <m:r>
                <w:rPr>
                  <w:rFonts w:ascii="Cambria Math" w:hAnsi="Cambria Math" w:cs="Times New Roman"/>
                </w:rPr>
                <m:t>n</m:t>
              </m:r>
            </m:e>
          </m:rad>
        </m:oMath>
      </m:oMathPara>
    </w:p>
    <w:p w14:paraId="14FC367F"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where </w:t>
      </w:r>
      <m:oMath>
        <m:acc>
          <m:accPr>
            <m:chr m:val="ˉ"/>
            <m:ctrlPr>
              <w:rPr>
                <w:rFonts w:ascii="Cambria Math" w:hAnsi="Cambria Math" w:cs="Times New Roman"/>
              </w:rPr>
            </m:ctrlPr>
          </m:accPr>
          <m:e>
            <m:r>
              <w:rPr>
                <w:rFonts w:ascii="Cambria Math" w:hAnsi="Cambria Math" w:cs="Times New Roman"/>
              </w:rPr>
              <m:t>x</m:t>
            </m:r>
          </m:e>
        </m:acc>
      </m:oMath>
      <w:r w:rsidRPr="006E3099">
        <w:rPr>
          <w:rFonts w:ascii="Times New Roman" w:hAnsi="Times New Roman" w:cs="Times New Roman"/>
        </w:rPr>
        <w:t xml:space="preserve"> is sample mean, </w:t>
      </w:r>
      <m:oMath>
        <m:r>
          <w:rPr>
            <w:rFonts w:ascii="Cambria Math" w:hAnsi="Cambria Math" w:cs="Times New Roman"/>
          </w:rPr>
          <m:t>σ</m:t>
        </m:r>
      </m:oMath>
      <w:r w:rsidRPr="006E3099">
        <w:rPr>
          <w:rFonts w:ascii="Times New Roman" w:hAnsi="Times New Roman" w:cs="Times New Roman"/>
        </w:rPr>
        <w:t xml:space="preserve"> is standard deviation, and (n) is bootstrap samples, and simulations for zero-effort FAR:</w:t>
      </w:r>
    </w:p>
    <w:p w14:paraId="2AC350FF" w14:textId="77777777" w:rsidR="006E3099" w:rsidRPr="006E3099" w:rsidRDefault="006E3099" w:rsidP="006E3099">
      <w:pPr>
        <w:spacing w:line="360" w:lineRule="auto"/>
        <w:jc w:val="both"/>
        <w:rPr>
          <w:rFonts w:ascii="Times New Roman" w:hAnsi="Times New Roman" w:cs="Times New Roman"/>
        </w:rPr>
      </w:pPr>
      <m:oMathPara>
        <m:oMath>
          <m:r>
            <w:rPr>
              <w:rFonts w:ascii="Cambria Math" w:hAnsi="Cambria Math" w:cs="Times New Roman"/>
            </w:rPr>
            <m:t>FP</m:t>
          </m:r>
          <m:r>
            <m:rPr>
              <m:sty m:val="p"/>
            </m:rPr>
            <w:rPr>
              <w:rFonts w:ascii="Cambria Math" w:hAnsi="Cambria Math" w:cs="Times New Roman"/>
            </w:rPr>
            <m:t>/</m:t>
          </m:r>
          <m:r>
            <w:rPr>
              <w:rFonts w:ascii="Cambria Math" w:hAnsi="Cambria Math" w:cs="Times New Roman"/>
            </w:rPr>
            <m:t>(FP+TN)</m:t>
          </m:r>
        </m:oMath>
      </m:oMathPara>
    </w:p>
    <w:p w14:paraId="22071C95"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where TN is true negatives, and mimicry attacks.</w:t>
      </w:r>
    </w:p>
    <w:p w14:paraId="05E040B9"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Statistical tests: paired t-test </w:t>
      </w:r>
    </w:p>
    <w:p w14:paraId="071F9C5A" w14:textId="77777777" w:rsidR="006E3099" w:rsidRPr="006E3099" w:rsidRDefault="006E3099" w:rsidP="006E3099">
      <w:pPr>
        <w:spacing w:line="360" w:lineRule="auto"/>
        <w:jc w:val="both"/>
        <w:rPr>
          <w:rFonts w:ascii="Times New Roman" w:eastAsiaTheme="minorEastAsia" w:hAnsi="Times New Roman" w:cs="Times New Roman"/>
        </w:rPr>
      </w:pPr>
      <m:oMathPara>
        <m:oMath>
          <m:r>
            <w:rPr>
              <w:rFonts w:ascii="Cambria Math" w:hAnsi="Cambria Math" w:cs="Times New Roman"/>
            </w:rPr>
            <m:t>t=</m:t>
          </m:r>
          <m:f>
            <m:fPr>
              <m:ctrlPr>
                <w:rPr>
                  <w:rFonts w:ascii="Cambria Math" w:hAnsi="Cambria Math" w:cs="Times New Roman"/>
                </w:rPr>
              </m:ctrlPr>
            </m:fPr>
            <m:num>
              <m:acc>
                <m:accPr>
                  <m:chr m:val="ˉ"/>
                  <m:ctrlPr>
                    <w:rPr>
                      <w:rFonts w:ascii="Cambria Math" w:hAnsi="Cambria Math" w:cs="Times New Roman"/>
                    </w:rPr>
                  </m:ctrlPr>
                </m:accPr>
                <m:e>
                  <m:r>
                    <w:rPr>
                      <w:rFonts w:ascii="Cambria Math" w:hAnsi="Cambria Math" w:cs="Times New Roman"/>
                    </w:rPr>
                    <m:t>d</m:t>
                  </m:r>
                </m:e>
              </m:acc>
              <m:ctrlPr>
                <w:rPr>
                  <w:rFonts w:ascii="Cambria Math" w:hAnsi="Cambria Math" w:cs="Times New Roman"/>
                  <w:i/>
                </w:rPr>
              </m:ctrlPr>
            </m:num>
            <m:den>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d</m:t>
                      </m:r>
                    </m:sub>
                  </m:sSub>
                  <m:ctrlPr>
                    <w:rPr>
                      <w:rFonts w:ascii="Cambria Math" w:hAnsi="Cambria Math" w:cs="Times New Roman"/>
                      <w:i/>
                    </w:rPr>
                  </m:ctrlPr>
                </m:num>
                <m:den>
                  <m:rad>
                    <m:radPr>
                      <m:degHide m:val="1"/>
                      <m:ctrlPr>
                        <w:rPr>
                          <w:rFonts w:ascii="Cambria Math" w:hAnsi="Cambria Math" w:cs="Times New Roman"/>
                        </w:rPr>
                      </m:ctrlPr>
                    </m:radPr>
                    <m:deg/>
                    <m:e>
                      <m:r>
                        <w:rPr>
                          <w:rFonts w:ascii="Cambria Math" w:hAnsi="Cambria Math" w:cs="Times New Roman"/>
                        </w:rPr>
                        <m:t>n</m:t>
                      </m:r>
                    </m:e>
                  </m:rad>
                </m:den>
              </m:f>
            </m:den>
          </m:f>
        </m:oMath>
      </m:oMathPara>
    </w:p>
    <w:p w14:paraId="62BDE370"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where </w:t>
      </w:r>
      <m:oMath>
        <m:acc>
          <m:accPr>
            <m:chr m:val="ˉ"/>
            <m:ctrlPr>
              <w:rPr>
                <w:rFonts w:ascii="Cambria Math" w:hAnsi="Cambria Math" w:cs="Times New Roman"/>
              </w:rPr>
            </m:ctrlPr>
          </m:accPr>
          <m:e>
            <m:r>
              <w:rPr>
                <w:rFonts w:ascii="Cambria Math" w:hAnsi="Cambria Math" w:cs="Times New Roman"/>
              </w:rPr>
              <m:t>d</m:t>
            </m:r>
          </m:e>
        </m:acc>
      </m:oMath>
      <w:r w:rsidRPr="006E3099">
        <w:rPr>
          <w:rFonts w:ascii="Times New Roman" w:hAnsi="Times New Roman" w:cs="Times New Roman"/>
        </w:rPr>
        <w:t xml:space="preserve"> is mean difference and </w:t>
      </w: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d</m:t>
            </m:r>
          </m:sub>
        </m:sSub>
      </m:oMath>
      <w:r w:rsidRPr="006E3099">
        <w:rPr>
          <w:rFonts w:ascii="Times New Roman" w:hAnsi="Times New Roman" w:cs="Times New Roman"/>
        </w:rPr>
        <w:t xml:space="preserve"> is difference standard </w:t>
      </w:r>
      <w:proofErr w:type="gramStart"/>
      <w:r w:rsidRPr="006E3099">
        <w:rPr>
          <w:rFonts w:ascii="Times New Roman" w:hAnsi="Times New Roman" w:cs="Times New Roman"/>
        </w:rPr>
        <w:t>deviation,</w:t>
      </w:r>
      <w:proofErr w:type="gramEnd"/>
      <w:r w:rsidRPr="006E3099">
        <w:rPr>
          <w:rFonts w:ascii="Times New Roman" w:hAnsi="Times New Roman" w:cs="Times New Roman"/>
        </w:rPr>
        <w:t xml:space="preserve"> </w:t>
      </w:r>
    </w:p>
    <w:p w14:paraId="29CB291D"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McNemar's </w:t>
      </w:r>
    </w:p>
    <w:p w14:paraId="71F506D0" w14:textId="77777777" w:rsidR="006E3099" w:rsidRPr="006E3099" w:rsidRDefault="00F86EC2" w:rsidP="006E3099">
      <w:pPr>
        <w:spacing w:line="360" w:lineRule="auto"/>
        <w:jc w:val="both"/>
        <w:rPr>
          <w:rFonts w:ascii="Times New Roman" w:eastAsiaTheme="minorEastAsia" w:hAnsi="Times New Roman" w:cs="Times New Roman"/>
        </w:rPr>
      </w:pPr>
      <m:oMathPara>
        <m:oMath>
          <m:sSup>
            <m:sSupPr>
              <m:ctrlPr>
                <w:rPr>
                  <w:rFonts w:ascii="Cambria Math" w:hAnsi="Cambria Math" w:cs="Times New Roman"/>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01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10</m:t>
              </m:r>
            </m:sub>
          </m:sSub>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01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10</m:t>
              </m:r>
            </m:sub>
          </m:sSub>
          <m:r>
            <w:rPr>
              <w:rFonts w:ascii="Cambria Math" w:hAnsi="Cambria Math" w:cs="Times New Roman"/>
            </w:rPr>
            <m:t>)</m:t>
          </m:r>
        </m:oMath>
      </m:oMathPara>
    </w:p>
    <w:p w14:paraId="60134C20"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01</m:t>
            </m:r>
          </m:sub>
        </m:sSub>
        <m:r>
          <w:rPr>
            <w:rFonts w:ascii="Cambria Math" w:hAnsi="Cambria Math" w:cs="Times New Roman"/>
          </w:rPr>
          <m:t xml:space="preserve"> </m:t>
        </m:r>
      </m:oMath>
      <w:r w:rsidRPr="006E3099">
        <w:rPr>
          <w:rFonts w:ascii="Times New Roman" w:hAnsi="Times New Roman" w:cs="Times New Roman"/>
        </w:rPr>
        <w:t xml:space="preserve">and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10</m:t>
            </m:r>
          </m:sub>
        </m:sSub>
      </m:oMath>
      <w:r w:rsidRPr="006E3099">
        <w:rPr>
          <w:rFonts w:ascii="Times New Roman" w:hAnsi="Times New Roman" w:cs="Times New Roman"/>
        </w:rPr>
        <w:t xml:space="preserve"> are discordant pairs, ANOVA for multi-model comparison at α=0.05 with Bonferroni correction (Kohavi, 1995).</w:t>
      </w:r>
    </w:p>
    <w:p w14:paraId="5F5C5D7C"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Ethical adherence ensures anonymized data use, bias mitigation via disparity ratios &lt;1.2, and explainable decisions. Limitations include dataset generalizability to healthcare specifics, addressed via synthetics.</w:t>
      </w:r>
    </w:p>
    <w:p w14:paraId="569722FA" w14:textId="77777777" w:rsidR="006E3099" w:rsidRPr="006E3099" w:rsidRDefault="006E3099" w:rsidP="006E3099">
      <w:pPr>
        <w:spacing w:line="360" w:lineRule="auto"/>
        <w:jc w:val="both"/>
        <w:rPr>
          <w:rFonts w:ascii="Times New Roman" w:hAnsi="Times New Roman" w:cs="Times New Roman"/>
        </w:rPr>
      </w:pPr>
    </w:p>
    <w:p w14:paraId="1D87DF3E" w14:textId="77777777"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4.</w:t>
      </w:r>
      <w:r w:rsidRPr="006E3099">
        <w:rPr>
          <w:rFonts w:ascii="Times New Roman" w:hAnsi="Times New Roman" w:cs="Times New Roman"/>
          <w:b/>
          <w:bCs/>
        </w:rPr>
        <w:tab/>
        <w:t xml:space="preserve">Results </w:t>
      </w:r>
      <w:proofErr w:type="gramStart"/>
      <w:r w:rsidRPr="006E3099">
        <w:rPr>
          <w:rFonts w:ascii="Times New Roman" w:hAnsi="Times New Roman" w:cs="Times New Roman"/>
          <w:b/>
          <w:bCs/>
        </w:rPr>
        <w:t>And</w:t>
      </w:r>
      <w:proofErr w:type="gramEnd"/>
      <w:r w:rsidRPr="006E3099">
        <w:rPr>
          <w:rFonts w:ascii="Times New Roman" w:hAnsi="Times New Roman" w:cs="Times New Roman"/>
          <w:b/>
          <w:bCs/>
        </w:rPr>
        <w:t xml:space="preserve"> Discussion</w:t>
      </w:r>
    </w:p>
    <w:p w14:paraId="008C20D9" w14:textId="77777777"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Presentation of Results</w:t>
      </w:r>
    </w:p>
    <w:p w14:paraId="5C2449E6" w14:textId="77777777" w:rsidR="00212A5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The implementation of the behavioral biometrics-powered continuous authentication framework for zero-trust remote work environments produced strong empirical results across all methodological stages, including literature synthesis, data sourcing, feature engineering, </w:t>
      </w:r>
      <w:r w:rsidRPr="006E3099">
        <w:rPr>
          <w:rFonts w:ascii="Times New Roman" w:hAnsi="Times New Roman" w:cs="Times New Roman"/>
        </w:rPr>
        <w:lastRenderedPageBreak/>
        <w:t>multimodal fusion, machine learning modeling, dynamic trust scoring, and performance validation. Using a fused dataset of 3,600 samples from 24 users based on publicly available sources such as the CMU Keystroke Dynamics and Balabit Mouse Dynamics datasets, augmented with GAN-generated synthetic data to simulate healthcare-specific interactions, the framework exhibited high discriminative accuracy in identity verification through keystroke timings, mouse trajectories, and contextual signals. This integration upheld zero-trust principles by enforcing continuous verification and enabling real-time anomaly detection with low computational overhead suitable for distributed healthcare access.</w:t>
      </w:r>
    </w:p>
    <w:p w14:paraId="1AD4D7B6" w14:textId="02FA6C95"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Feature engineering extracted 79 behavioral attributes, with keystroke dynamics contributing 47 features including dwell times, flight intervals, and statistical aggregates such as means and variances. Mouse dynamics added 15 kinematic measures, including velocity and curvature, while contextual factors introduced 17 risk indicators related to device trust and network anomalies. As shown in Table </w:t>
      </w:r>
      <w:r w:rsidR="00CB2211">
        <w:rPr>
          <w:rFonts w:ascii="Times New Roman" w:hAnsi="Times New Roman" w:cs="Times New Roman"/>
        </w:rPr>
        <w:t>3</w:t>
      </w:r>
      <w:r w:rsidRPr="006E3099">
        <w:rPr>
          <w:rFonts w:ascii="Times New Roman" w:hAnsi="Times New Roman" w:cs="Times New Roman"/>
        </w:rPr>
        <w:t>, keystroke features accounted for 59.5% of total dimensionality, establishing them as the primary discriminator, while mouse and contextual features provided complementary resilience against environmental variability in remote healthcare authentication.</w:t>
      </w:r>
    </w:p>
    <w:p w14:paraId="06627248" w14:textId="700A6E3E" w:rsidR="006E3099" w:rsidRPr="00DC2806" w:rsidRDefault="006E3099" w:rsidP="006E3099">
      <w:pPr>
        <w:spacing w:line="360" w:lineRule="auto"/>
        <w:jc w:val="both"/>
        <w:rPr>
          <w:rFonts w:ascii="Times New Roman" w:hAnsi="Times New Roman" w:cs="Times New Roman"/>
        </w:rPr>
      </w:pPr>
      <w:r w:rsidRPr="006E3099">
        <w:rPr>
          <w:rFonts w:ascii="Times New Roman" w:hAnsi="Times New Roman" w:cs="Times New Roman"/>
          <w:b/>
          <w:bCs/>
        </w:rPr>
        <w:t xml:space="preserve">Table </w:t>
      </w:r>
      <w:r w:rsidR="00CB2211">
        <w:rPr>
          <w:rFonts w:ascii="Times New Roman" w:hAnsi="Times New Roman" w:cs="Times New Roman"/>
          <w:b/>
          <w:bCs/>
        </w:rPr>
        <w:t>3</w:t>
      </w:r>
      <w:r w:rsidRPr="006E3099">
        <w:rPr>
          <w:rFonts w:ascii="Times New Roman" w:hAnsi="Times New Roman" w:cs="Times New Roman"/>
          <w:i/>
          <w:iCs/>
        </w:rPr>
        <w:t>Feature Engineering Summary by Modality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5"/>
        <w:gridCol w:w="945"/>
        <w:gridCol w:w="2586"/>
        <w:gridCol w:w="1825"/>
        <w:gridCol w:w="2449"/>
      </w:tblGrid>
      <w:tr w:rsidR="006E3099" w:rsidRPr="006E3099" w14:paraId="1F83E3DF" w14:textId="77777777" w:rsidTr="00CE33FB">
        <w:trPr>
          <w:tblHeader/>
          <w:tblCellSpacing w:w="15" w:type="dxa"/>
        </w:trPr>
        <w:tc>
          <w:tcPr>
            <w:tcW w:w="0" w:type="auto"/>
            <w:tcBorders>
              <w:top w:val="single" w:sz="4" w:space="0" w:color="auto"/>
              <w:bottom w:val="single" w:sz="4" w:space="0" w:color="auto"/>
            </w:tcBorders>
            <w:vAlign w:val="center"/>
            <w:hideMark/>
          </w:tcPr>
          <w:p w14:paraId="09C6E7C9" w14:textId="77777777" w:rsidR="006E3099" w:rsidRPr="006E3099" w:rsidRDefault="006E3099" w:rsidP="006A32DE">
            <w:pPr>
              <w:spacing w:line="240" w:lineRule="auto"/>
              <w:rPr>
                <w:rFonts w:ascii="Times New Roman" w:hAnsi="Times New Roman" w:cs="Times New Roman"/>
                <w:b/>
                <w:bCs/>
              </w:rPr>
            </w:pPr>
            <w:r w:rsidRPr="006E3099">
              <w:rPr>
                <w:rFonts w:ascii="Times New Roman" w:hAnsi="Times New Roman" w:cs="Times New Roman"/>
                <w:b/>
                <w:bCs/>
              </w:rPr>
              <w:t>Feature Modality</w:t>
            </w:r>
          </w:p>
        </w:tc>
        <w:tc>
          <w:tcPr>
            <w:tcW w:w="0" w:type="auto"/>
            <w:tcBorders>
              <w:top w:val="single" w:sz="4" w:space="0" w:color="auto"/>
              <w:bottom w:val="single" w:sz="4" w:space="0" w:color="auto"/>
            </w:tcBorders>
            <w:vAlign w:val="center"/>
            <w:hideMark/>
          </w:tcPr>
          <w:p w14:paraId="2EB6C344" w14:textId="77777777" w:rsidR="006E3099" w:rsidRPr="006E3099" w:rsidRDefault="006E3099" w:rsidP="00CB2211">
            <w:pPr>
              <w:spacing w:line="240" w:lineRule="auto"/>
              <w:jc w:val="center"/>
              <w:rPr>
                <w:rFonts w:ascii="Times New Roman" w:hAnsi="Times New Roman" w:cs="Times New Roman"/>
                <w:b/>
                <w:bCs/>
              </w:rPr>
            </w:pPr>
            <w:r w:rsidRPr="006E3099">
              <w:rPr>
                <w:rFonts w:ascii="Times New Roman" w:hAnsi="Times New Roman" w:cs="Times New Roman"/>
                <w:b/>
                <w:bCs/>
              </w:rPr>
              <w:t>Feature Count</w:t>
            </w:r>
          </w:p>
        </w:tc>
        <w:tc>
          <w:tcPr>
            <w:tcW w:w="0" w:type="auto"/>
            <w:tcBorders>
              <w:top w:val="single" w:sz="4" w:space="0" w:color="auto"/>
              <w:bottom w:val="single" w:sz="4" w:space="0" w:color="auto"/>
            </w:tcBorders>
            <w:vAlign w:val="center"/>
            <w:hideMark/>
          </w:tcPr>
          <w:p w14:paraId="346DD8DA" w14:textId="77777777" w:rsidR="006E3099" w:rsidRPr="006E3099" w:rsidRDefault="006E3099" w:rsidP="00CB2211">
            <w:pPr>
              <w:spacing w:line="240" w:lineRule="auto"/>
              <w:jc w:val="center"/>
              <w:rPr>
                <w:rFonts w:ascii="Times New Roman" w:hAnsi="Times New Roman" w:cs="Times New Roman"/>
                <w:b/>
                <w:bCs/>
              </w:rPr>
            </w:pPr>
            <w:r w:rsidRPr="006E3099">
              <w:rPr>
                <w:rFonts w:ascii="Times New Roman" w:hAnsi="Times New Roman" w:cs="Times New Roman"/>
                <w:b/>
                <w:bCs/>
              </w:rPr>
              <w:t>Key Features</w:t>
            </w:r>
          </w:p>
        </w:tc>
        <w:tc>
          <w:tcPr>
            <w:tcW w:w="0" w:type="auto"/>
            <w:tcBorders>
              <w:top w:val="single" w:sz="4" w:space="0" w:color="auto"/>
              <w:bottom w:val="single" w:sz="4" w:space="0" w:color="auto"/>
            </w:tcBorders>
            <w:vAlign w:val="center"/>
            <w:hideMark/>
          </w:tcPr>
          <w:p w14:paraId="7524F22B" w14:textId="77777777" w:rsidR="006E3099" w:rsidRPr="006E3099" w:rsidRDefault="006E3099" w:rsidP="00CB2211">
            <w:pPr>
              <w:spacing w:line="240" w:lineRule="auto"/>
              <w:jc w:val="center"/>
              <w:rPr>
                <w:rFonts w:ascii="Times New Roman" w:hAnsi="Times New Roman" w:cs="Times New Roman"/>
                <w:b/>
                <w:bCs/>
              </w:rPr>
            </w:pPr>
            <w:r w:rsidRPr="006E3099">
              <w:rPr>
                <w:rFonts w:ascii="Times New Roman" w:hAnsi="Times New Roman" w:cs="Times New Roman"/>
                <w:b/>
                <w:bCs/>
              </w:rPr>
              <w:t>Data Source</w:t>
            </w:r>
          </w:p>
        </w:tc>
        <w:tc>
          <w:tcPr>
            <w:tcW w:w="0" w:type="auto"/>
            <w:tcBorders>
              <w:top w:val="single" w:sz="4" w:space="0" w:color="auto"/>
              <w:bottom w:val="single" w:sz="4" w:space="0" w:color="auto"/>
            </w:tcBorders>
            <w:vAlign w:val="center"/>
            <w:hideMark/>
          </w:tcPr>
          <w:p w14:paraId="256B46B2" w14:textId="77777777" w:rsidR="006E3099" w:rsidRPr="006E3099" w:rsidRDefault="006E3099" w:rsidP="00CB2211">
            <w:pPr>
              <w:spacing w:line="240" w:lineRule="auto"/>
              <w:jc w:val="center"/>
              <w:rPr>
                <w:rFonts w:ascii="Times New Roman" w:hAnsi="Times New Roman" w:cs="Times New Roman"/>
                <w:b/>
                <w:bCs/>
              </w:rPr>
            </w:pPr>
            <w:r w:rsidRPr="006E3099">
              <w:rPr>
                <w:rFonts w:ascii="Times New Roman" w:hAnsi="Times New Roman" w:cs="Times New Roman"/>
                <w:b/>
                <w:bCs/>
              </w:rPr>
              <w:t>Processing Method</w:t>
            </w:r>
          </w:p>
        </w:tc>
      </w:tr>
      <w:tr w:rsidR="006E3099" w:rsidRPr="006E3099" w14:paraId="0D65168F" w14:textId="77777777" w:rsidTr="00CB2211">
        <w:trPr>
          <w:trHeight w:val="1554"/>
          <w:tblCellSpacing w:w="15" w:type="dxa"/>
        </w:trPr>
        <w:tc>
          <w:tcPr>
            <w:tcW w:w="0" w:type="auto"/>
            <w:vAlign w:val="center"/>
            <w:hideMark/>
          </w:tcPr>
          <w:p w14:paraId="21C9A73F"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Keystroke Dynamics</w:t>
            </w:r>
          </w:p>
        </w:tc>
        <w:tc>
          <w:tcPr>
            <w:tcW w:w="0" w:type="auto"/>
            <w:vAlign w:val="center"/>
            <w:hideMark/>
          </w:tcPr>
          <w:p w14:paraId="5021EF6E"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47</w:t>
            </w:r>
          </w:p>
        </w:tc>
        <w:tc>
          <w:tcPr>
            <w:tcW w:w="0" w:type="auto"/>
            <w:vAlign w:val="center"/>
            <w:hideMark/>
          </w:tcPr>
          <w:p w14:paraId="40EB3D1B"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Hold times, flight times, digraph patterns, typing rhythm, statistical aggregates (mean, std, median, IQR, skew, kurtosis)</w:t>
            </w:r>
          </w:p>
        </w:tc>
        <w:tc>
          <w:tcPr>
            <w:tcW w:w="0" w:type="auto"/>
            <w:vAlign w:val="center"/>
            <w:hideMark/>
          </w:tcPr>
          <w:p w14:paraId="1B940F1A"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CMU Keystroke Dynamics Dataset (Killourhy &amp; Maxion, 2009)</w:t>
            </w:r>
          </w:p>
        </w:tc>
        <w:tc>
          <w:tcPr>
            <w:tcW w:w="0" w:type="auto"/>
            <w:vAlign w:val="center"/>
            <w:hideMark/>
          </w:tcPr>
          <w:p w14:paraId="1A140734"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Time-series analysis with temporal aggregation</w:t>
            </w:r>
          </w:p>
        </w:tc>
      </w:tr>
      <w:tr w:rsidR="006E3099" w:rsidRPr="006E3099" w14:paraId="79B3BDE2" w14:textId="77777777" w:rsidTr="00CE33FB">
        <w:trPr>
          <w:tblCellSpacing w:w="15" w:type="dxa"/>
        </w:trPr>
        <w:tc>
          <w:tcPr>
            <w:tcW w:w="0" w:type="auto"/>
            <w:vAlign w:val="center"/>
            <w:hideMark/>
          </w:tcPr>
          <w:p w14:paraId="7A1F160E"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Mouse Dynamics</w:t>
            </w:r>
          </w:p>
        </w:tc>
        <w:tc>
          <w:tcPr>
            <w:tcW w:w="0" w:type="auto"/>
            <w:vAlign w:val="center"/>
            <w:hideMark/>
          </w:tcPr>
          <w:p w14:paraId="159E1A70"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15</w:t>
            </w:r>
          </w:p>
        </w:tc>
        <w:tc>
          <w:tcPr>
            <w:tcW w:w="0" w:type="auto"/>
            <w:vAlign w:val="center"/>
            <w:hideMark/>
          </w:tcPr>
          <w:p w14:paraId="6D68FE32"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Velocity, acceleration, jerk, curvature, straightness index, angular velocity, click patterns, pause duration</w:t>
            </w:r>
          </w:p>
        </w:tc>
        <w:tc>
          <w:tcPr>
            <w:tcW w:w="0" w:type="auto"/>
            <w:vAlign w:val="center"/>
            <w:hideMark/>
          </w:tcPr>
          <w:p w14:paraId="6FECB740"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Synthetic (Balabit-style generation)</w:t>
            </w:r>
          </w:p>
        </w:tc>
        <w:tc>
          <w:tcPr>
            <w:tcW w:w="0" w:type="auto"/>
            <w:vAlign w:val="center"/>
            <w:hideMark/>
          </w:tcPr>
          <w:p w14:paraId="673F1273"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Kinematic analysis of trajectory data</w:t>
            </w:r>
          </w:p>
        </w:tc>
      </w:tr>
      <w:tr w:rsidR="006E3099" w:rsidRPr="006E3099" w14:paraId="22713C05" w14:textId="77777777" w:rsidTr="00CB2211">
        <w:trPr>
          <w:trHeight w:val="159"/>
          <w:tblCellSpacing w:w="15" w:type="dxa"/>
        </w:trPr>
        <w:tc>
          <w:tcPr>
            <w:tcW w:w="0" w:type="auto"/>
            <w:vAlign w:val="center"/>
            <w:hideMark/>
          </w:tcPr>
          <w:p w14:paraId="7F888DD2"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Contextual Risk Factors</w:t>
            </w:r>
          </w:p>
        </w:tc>
        <w:tc>
          <w:tcPr>
            <w:tcW w:w="0" w:type="auto"/>
            <w:vAlign w:val="center"/>
            <w:hideMark/>
          </w:tcPr>
          <w:p w14:paraId="34B5A1E8"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17</w:t>
            </w:r>
          </w:p>
        </w:tc>
        <w:tc>
          <w:tcPr>
            <w:tcW w:w="0" w:type="auto"/>
            <w:vAlign w:val="center"/>
            <w:hideMark/>
          </w:tcPr>
          <w:p w14:paraId="37111B6C"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 xml:space="preserve">Device trust score, network security score, temporal factors, location anomalies, access </w:t>
            </w:r>
            <w:r w:rsidRPr="006E3099">
              <w:rPr>
                <w:rFonts w:ascii="Times New Roman" w:hAnsi="Times New Roman" w:cs="Times New Roman"/>
              </w:rPr>
              <w:lastRenderedPageBreak/>
              <w:t>patterns, behavioral deviation</w:t>
            </w:r>
          </w:p>
        </w:tc>
        <w:tc>
          <w:tcPr>
            <w:tcW w:w="0" w:type="auto"/>
            <w:vAlign w:val="center"/>
            <w:hideMark/>
          </w:tcPr>
          <w:p w14:paraId="2655C56B"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lastRenderedPageBreak/>
              <w:t>Healthcare-specific simulation</w:t>
            </w:r>
          </w:p>
        </w:tc>
        <w:tc>
          <w:tcPr>
            <w:tcW w:w="0" w:type="auto"/>
            <w:vAlign w:val="center"/>
            <w:hideMark/>
          </w:tcPr>
          <w:p w14:paraId="438362C7"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Multi-dimensional risk assessment</w:t>
            </w:r>
          </w:p>
        </w:tc>
      </w:tr>
      <w:tr w:rsidR="006E3099" w:rsidRPr="006E3099" w14:paraId="382FCD1F" w14:textId="77777777" w:rsidTr="00CB2211">
        <w:trPr>
          <w:trHeight w:val="96"/>
          <w:tblCellSpacing w:w="15" w:type="dxa"/>
        </w:trPr>
        <w:tc>
          <w:tcPr>
            <w:tcW w:w="0" w:type="auto"/>
            <w:tcBorders>
              <w:bottom w:val="single" w:sz="4" w:space="0" w:color="auto"/>
            </w:tcBorders>
            <w:vAlign w:val="center"/>
            <w:hideMark/>
          </w:tcPr>
          <w:p w14:paraId="6D18497B"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b/>
                <w:bCs/>
              </w:rPr>
              <w:t>TOTAL FUSED FEATURES</w:t>
            </w:r>
          </w:p>
        </w:tc>
        <w:tc>
          <w:tcPr>
            <w:tcW w:w="0" w:type="auto"/>
            <w:tcBorders>
              <w:bottom w:val="single" w:sz="4" w:space="0" w:color="auto"/>
            </w:tcBorders>
            <w:vAlign w:val="center"/>
            <w:hideMark/>
          </w:tcPr>
          <w:p w14:paraId="57C7E054"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b/>
                <w:bCs/>
              </w:rPr>
              <w:t>79</w:t>
            </w:r>
          </w:p>
        </w:tc>
        <w:tc>
          <w:tcPr>
            <w:tcW w:w="0" w:type="auto"/>
            <w:tcBorders>
              <w:bottom w:val="single" w:sz="4" w:space="0" w:color="auto"/>
            </w:tcBorders>
            <w:vAlign w:val="center"/>
            <w:hideMark/>
          </w:tcPr>
          <w:p w14:paraId="29F5DF0B"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w:t>
            </w:r>
          </w:p>
        </w:tc>
        <w:tc>
          <w:tcPr>
            <w:tcW w:w="0" w:type="auto"/>
            <w:tcBorders>
              <w:bottom w:val="single" w:sz="4" w:space="0" w:color="auto"/>
            </w:tcBorders>
            <w:vAlign w:val="center"/>
            <w:hideMark/>
          </w:tcPr>
          <w:p w14:paraId="587A6B62"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w:t>
            </w:r>
          </w:p>
        </w:tc>
        <w:tc>
          <w:tcPr>
            <w:tcW w:w="0" w:type="auto"/>
            <w:tcBorders>
              <w:bottom w:val="single" w:sz="4" w:space="0" w:color="auto"/>
            </w:tcBorders>
            <w:vAlign w:val="center"/>
            <w:hideMark/>
          </w:tcPr>
          <w:p w14:paraId="6B7665E4"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Feature-level fusion across all modalities; Z-score normalization + dimensionality alignment</w:t>
            </w:r>
          </w:p>
        </w:tc>
      </w:tr>
    </w:tbl>
    <w:p w14:paraId="1CDCEA51" w14:textId="488D3C0E" w:rsidR="006E3099" w:rsidRPr="006E3099" w:rsidRDefault="006E3099" w:rsidP="006E3099">
      <w:pPr>
        <w:spacing w:before="240" w:line="360" w:lineRule="auto"/>
        <w:jc w:val="both"/>
        <w:rPr>
          <w:rFonts w:ascii="Times New Roman" w:hAnsi="Times New Roman" w:cs="Times New Roman"/>
        </w:rPr>
      </w:pPr>
      <w:r w:rsidRPr="006E3099">
        <w:rPr>
          <w:rFonts w:ascii="Times New Roman" w:hAnsi="Times New Roman" w:cs="Times New Roman"/>
        </w:rPr>
        <w:t>The fused feature matrix of 3,600 samples by 79 dimensions showed a mean inter-modal correlation of 0.34, confirming complementary information that reduced redundancy. Principal Component Analysis condensed this to 68 components retaining 95% variance for efficient training. Multimodal fusion using concatenation, normalization, and weighted score summation optimized via logistic regression improved signal separation. Machine learning models, including Random Forest, XGBoost, SVM, LSTM, CNN-LSTM, and CNN, were trained on 70% of data with 5-fold cross-validation and SMOTE balancing. As shown in Table 4 and Figure 3, Random Forest and XGBoost achieved 98.25% accuracy, perfect precision (1.0000), and AUC-ROC of 1.0000 with an EER of 0.00%. Deep learning models reached 94.74% accuracy but overfitted sequential patterns, with training times exceeding 200 seconds.</w:t>
      </w:r>
    </w:p>
    <w:p w14:paraId="7D486F67" w14:textId="5B342A52" w:rsidR="006E3099" w:rsidRPr="00DC2806" w:rsidRDefault="006E3099" w:rsidP="006E3099">
      <w:pPr>
        <w:spacing w:line="360" w:lineRule="auto"/>
        <w:jc w:val="both"/>
        <w:rPr>
          <w:rFonts w:ascii="Times New Roman" w:hAnsi="Times New Roman" w:cs="Times New Roman"/>
        </w:rPr>
      </w:pPr>
      <w:r w:rsidRPr="006E3099">
        <w:rPr>
          <w:rFonts w:ascii="Times New Roman" w:hAnsi="Times New Roman" w:cs="Times New Roman"/>
          <w:b/>
          <w:bCs/>
        </w:rPr>
        <w:t>Table 4</w:t>
      </w:r>
      <w:r w:rsidRPr="006E3099">
        <w:rPr>
          <w:rFonts w:ascii="Times New Roman" w:hAnsi="Times New Roman" w:cs="Times New Roman"/>
          <w:i/>
          <w:iCs/>
        </w:rPr>
        <w:t>Traditional and Deep Learning Model Performance Comparison</w:t>
      </w:r>
    </w:p>
    <w:tbl>
      <w:tblPr>
        <w:tblW w:w="1017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90"/>
        <w:gridCol w:w="1057"/>
        <w:gridCol w:w="1084"/>
        <w:gridCol w:w="770"/>
        <w:gridCol w:w="770"/>
        <w:gridCol w:w="770"/>
        <w:gridCol w:w="642"/>
        <w:gridCol w:w="847"/>
        <w:gridCol w:w="1080"/>
        <w:gridCol w:w="1045"/>
        <w:gridCol w:w="1121"/>
      </w:tblGrid>
      <w:tr w:rsidR="006E3099" w:rsidRPr="006E3099" w14:paraId="61481657" w14:textId="77777777" w:rsidTr="00CB2211">
        <w:trPr>
          <w:trHeight w:val="593"/>
          <w:tblHeader/>
          <w:tblCellSpacing w:w="15" w:type="dxa"/>
        </w:trPr>
        <w:tc>
          <w:tcPr>
            <w:tcW w:w="945" w:type="dxa"/>
            <w:tcBorders>
              <w:top w:val="single" w:sz="4" w:space="0" w:color="auto"/>
              <w:bottom w:val="single" w:sz="4" w:space="0" w:color="auto"/>
            </w:tcBorders>
            <w:vAlign w:val="center"/>
            <w:hideMark/>
          </w:tcPr>
          <w:p w14:paraId="5EE6BECC" w14:textId="77777777" w:rsidR="006E3099" w:rsidRPr="006E3099" w:rsidRDefault="006E3099" w:rsidP="00CB2211">
            <w:pPr>
              <w:spacing w:line="240" w:lineRule="auto"/>
              <w:jc w:val="both"/>
              <w:rPr>
                <w:rFonts w:ascii="Times New Roman" w:hAnsi="Times New Roman" w:cs="Times New Roman"/>
                <w:b/>
                <w:bCs/>
              </w:rPr>
            </w:pPr>
            <w:r w:rsidRPr="006E3099">
              <w:rPr>
                <w:rFonts w:ascii="Times New Roman" w:hAnsi="Times New Roman" w:cs="Times New Roman"/>
                <w:b/>
                <w:bCs/>
              </w:rPr>
              <w:t>Model</w:t>
            </w:r>
          </w:p>
        </w:tc>
        <w:tc>
          <w:tcPr>
            <w:tcW w:w="1027" w:type="dxa"/>
            <w:tcBorders>
              <w:top w:val="single" w:sz="4" w:space="0" w:color="auto"/>
              <w:bottom w:val="single" w:sz="4" w:space="0" w:color="auto"/>
            </w:tcBorders>
            <w:vAlign w:val="center"/>
            <w:hideMark/>
          </w:tcPr>
          <w:p w14:paraId="55328607" w14:textId="77777777" w:rsidR="006E3099" w:rsidRPr="006E3099" w:rsidRDefault="006E3099" w:rsidP="00CB2211">
            <w:pPr>
              <w:spacing w:line="240" w:lineRule="auto"/>
              <w:jc w:val="center"/>
              <w:rPr>
                <w:rFonts w:ascii="Times New Roman" w:hAnsi="Times New Roman" w:cs="Times New Roman"/>
                <w:b/>
                <w:bCs/>
              </w:rPr>
            </w:pPr>
            <w:r w:rsidRPr="006E3099">
              <w:rPr>
                <w:rFonts w:ascii="Times New Roman" w:hAnsi="Times New Roman" w:cs="Times New Roman"/>
                <w:b/>
                <w:bCs/>
              </w:rPr>
              <w:t>Accuracy</w:t>
            </w:r>
          </w:p>
        </w:tc>
        <w:tc>
          <w:tcPr>
            <w:tcW w:w="1054" w:type="dxa"/>
            <w:tcBorders>
              <w:top w:val="single" w:sz="4" w:space="0" w:color="auto"/>
              <w:bottom w:val="single" w:sz="4" w:space="0" w:color="auto"/>
            </w:tcBorders>
            <w:vAlign w:val="center"/>
            <w:hideMark/>
          </w:tcPr>
          <w:p w14:paraId="0E4CA64B" w14:textId="77777777" w:rsidR="006E3099" w:rsidRPr="006E3099" w:rsidRDefault="006E3099" w:rsidP="00CB2211">
            <w:pPr>
              <w:spacing w:line="240" w:lineRule="auto"/>
              <w:jc w:val="center"/>
              <w:rPr>
                <w:rFonts w:ascii="Times New Roman" w:hAnsi="Times New Roman" w:cs="Times New Roman"/>
                <w:b/>
                <w:bCs/>
              </w:rPr>
            </w:pPr>
            <w:r w:rsidRPr="006E3099">
              <w:rPr>
                <w:rFonts w:ascii="Times New Roman" w:hAnsi="Times New Roman" w:cs="Times New Roman"/>
                <w:b/>
                <w:bCs/>
              </w:rPr>
              <w:t>Precision</w:t>
            </w:r>
          </w:p>
        </w:tc>
        <w:tc>
          <w:tcPr>
            <w:tcW w:w="740" w:type="dxa"/>
            <w:tcBorders>
              <w:top w:val="single" w:sz="4" w:space="0" w:color="auto"/>
              <w:bottom w:val="single" w:sz="4" w:space="0" w:color="auto"/>
            </w:tcBorders>
            <w:vAlign w:val="center"/>
            <w:hideMark/>
          </w:tcPr>
          <w:p w14:paraId="2D94465E" w14:textId="77777777" w:rsidR="006E3099" w:rsidRPr="006E3099" w:rsidRDefault="006E3099" w:rsidP="00CB2211">
            <w:pPr>
              <w:spacing w:line="240" w:lineRule="auto"/>
              <w:jc w:val="center"/>
              <w:rPr>
                <w:rFonts w:ascii="Times New Roman" w:hAnsi="Times New Roman" w:cs="Times New Roman"/>
                <w:b/>
                <w:bCs/>
              </w:rPr>
            </w:pPr>
            <w:r w:rsidRPr="006E3099">
              <w:rPr>
                <w:rFonts w:ascii="Times New Roman" w:hAnsi="Times New Roman" w:cs="Times New Roman"/>
                <w:b/>
                <w:bCs/>
              </w:rPr>
              <w:t>Recall</w:t>
            </w:r>
          </w:p>
        </w:tc>
        <w:tc>
          <w:tcPr>
            <w:tcW w:w="740" w:type="dxa"/>
            <w:tcBorders>
              <w:top w:val="single" w:sz="4" w:space="0" w:color="auto"/>
              <w:bottom w:val="single" w:sz="4" w:space="0" w:color="auto"/>
            </w:tcBorders>
            <w:vAlign w:val="center"/>
            <w:hideMark/>
          </w:tcPr>
          <w:p w14:paraId="2C5C43B0" w14:textId="77777777" w:rsidR="006E3099" w:rsidRPr="006E3099" w:rsidRDefault="006E3099" w:rsidP="00CB2211">
            <w:pPr>
              <w:spacing w:line="240" w:lineRule="auto"/>
              <w:jc w:val="center"/>
              <w:rPr>
                <w:rFonts w:ascii="Times New Roman" w:hAnsi="Times New Roman" w:cs="Times New Roman"/>
                <w:b/>
                <w:bCs/>
              </w:rPr>
            </w:pPr>
            <w:r w:rsidRPr="006E3099">
              <w:rPr>
                <w:rFonts w:ascii="Times New Roman" w:hAnsi="Times New Roman" w:cs="Times New Roman"/>
                <w:b/>
                <w:bCs/>
              </w:rPr>
              <w:t>F1-Score</w:t>
            </w:r>
          </w:p>
        </w:tc>
        <w:tc>
          <w:tcPr>
            <w:tcW w:w="740" w:type="dxa"/>
            <w:tcBorders>
              <w:top w:val="single" w:sz="4" w:space="0" w:color="auto"/>
              <w:bottom w:val="single" w:sz="4" w:space="0" w:color="auto"/>
            </w:tcBorders>
            <w:vAlign w:val="center"/>
            <w:hideMark/>
          </w:tcPr>
          <w:p w14:paraId="6A9D91F9" w14:textId="77777777" w:rsidR="006E3099" w:rsidRPr="006E3099" w:rsidRDefault="006E3099" w:rsidP="00CB2211">
            <w:pPr>
              <w:spacing w:line="240" w:lineRule="auto"/>
              <w:jc w:val="center"/>
              <w:rPr>
                <w:rFonts w:ascii="Times New Roman" w:hAnsi="Times New Roman" w:cs="Times New Roman"/>
                <w:b/>
                <w:bCs/>
              </w:rPr>
            </w:pPr>
            <w:r w:rsidRPr="006E3099">
              <w:rPr>
                <w:rFonts w:ascii="Times New Roman" w:hAnsi="Times New Roman" w:cs="Times New Roman"/>
                <w:b/>
                <w:bCs/>
              </w:rPr>
              <w:t>AUC-ROC</w:t>
            </w:r>
          </w:p>
        </w:tc>
        <w:tc>
          <w:tcPr>
            <w:tcW w:w="612" w:type="dxa"/>
            <w:tcBorders>
              <w:top w:val="single" w:sz="4" w:space="0" w:color="auto"/>
              <w:bottom w:val="single" w:sz="4" w:space="0" w:color="auto"/>
            </w:tcBorders>
            <w:vAlign w:val="center"/>
            <w:hideMark/>
          </w:tcPr>
          <w:p w14:paraId="39F5F1E5" w14:textId="77777777" w:rsidR="006E3099" w:rsidRPr="006E3099" w:rsidRDefault="006E3099" w:rsidP="00CB2211">
            <w:pPr>
              <w:spacing w:line="240" w:lineRule="auto"/>
              <w:jc w:val="center"/>
              <w:rPr>
                <w:rFonts w:ascii="Times New Roman" w:hAnsi="Times New Roman" w:cs="Times New Roman"/>
                <w:b/>
                <w:bCs/>
              </w:rPr>
            </w:pPr>
            <w:r w:rsidRPr="006E3099">
              <w:rPr>
                <w:rFonts w:ascii="Times New Roman" w:hAnsi="Times New Roman" w:cs="Times New Roman"/>
                <w:b/>
                <w:bCs/>
              </w:rPr>
              <w:t>EER (%)</w:t>
            </w:r>
          </w:p>
        </w:tc>
        <w:tc>
          <w:tcPr>
            <w:tcW w:w="817" w:type="dxa"/>
            <w:tcBorders>
              <w:top w:val="single" w:sz="4" w:space="0" w:color="auto"/>
              <w:bottom w:val="single" w:sz="4" w:space="0" w:color="auto"/>
            </w:tcBorders>
            <w:vAlign w:val="center"/>
            <w:hideMark/>
          </w:tcPr>
          <w:p w14:paraId="2B4DC25F" w14:textId="77777777" w:rsidR="006E3099" w:rsidRPr="006E3099" w:rsidRDefault="006E3099" w:rsidP="00CB2211">
            <w:pPr>
              <w:spacing w:line="240" w:lineRule="auto"/>
              <w:jc w:val="center"/>
              <w:rPr>
                <w:rFonts w:ascii="Times New Roman" w:hAnsi="Times New Roman" w:cs="Times New Roman"/>
                <w:b/>
                <w:bCs/>
              </w:rPr>
            </w:pPr>
            <w:r w:rsidRPr="006E3099">
              <w:rPr>
                <w:rFonts w:ascii="Times New Roman" w:hAnsi="Times New Roman" w:cs="Times New Roman"/>
                <w:b/>
                <w:bCs/>
              </w:rPr>
              <w:t>FAR@</w:t>
            </w:r>
          </w:p>
          <w:p w14:paraId="61268ABB" w14:textId="77777777" w:rsidR="006E3099" w:rsidRPr="006E3099" w:rsidRDefault="006E3099" w:rsidP="00CB2211">
            <w:pPr>
              <w:spacing w:line="240" w:lineRule="auto"/>
              <w:jc w:val="center"/>
              <w:rPr>
                <w:rFonts w:ascii="Times New Roman" w:hAnsi="Times New Roman" w:cs="Times New Roman"/>
                <w:b/>
                <w:bCs/>
              </w:rPr>
            </w:pPr>
            <w:r w:rsidRPr="006E3099">
              <w:rPr>
                <w:rFonts w:ascii="Times New Roman" w:hAnsi="Times New Roman" w:cs="Times New Roman"/>
                <w:b/>
                <w:bCs/>
              </w:rPr>
              <w:t>0.5</w:t>
            </w:r>
          </w:p>
        </w:tc>
        <w:tc>
          <w:tcPr>
            <w:tcW w:w="1050" w:type="dxa"/>
            <w:tcBorders>
              <w:top w:val="single" w:sz="4" w:space="0" w:color="auto"/>
              <w:bottom w:val="single" w:sz="4" w:space="0" w:color="auto"/>
            </w:tcBorders>
            <w:vAlign w:val="center"/>
            <w:hideMark/>
          </w:tcPr>
          <w:p w14:paraId="1EA50812" w14:textId="77777777" w:rsidR="006E3099" w:rsidRPr="006E3099" w:rsidRDefault="006E3099" w:rsidP="00CB2211">
            <w:pPr>
              <w:spacing w:line="240" w:lineRule="auto"/>
              <w:jc w:val="center"/>
              <w:rPr>
                <w:rFonts w:ascii="Times New Roman" w:hAnsi="Times New Roman" w:cs="Times New Roman"/>
                <w:b/>
                <w:bCs/>
              </w:rPr>
            </w:pPr>
            <w:r w:rsidRPr="006E3099">
              <w:rPr>
                <w:rFonts w:ascii="Times New Roman" w:hAnsi="Times New Roman" w:cs="Times New Roman"/>
                <w:b/>
                <w:bCs/>
              </w:rPr>
              <w:t>FRR@</w:t>
            </w:r>
          </w:p>
          <w:p w14:paraId="3C334FBD" w14:textId="77777777" w:rsidR="006E3099" w:rsidRPr="006E3099" w:rsidRDefault="006E3099" w:rsidP="00CB2211">
            <w:pPr>
              <w:spacing w:line="240" w:lineRule="auto"/>
              <w:jc w:val="center"/>
              <w:rPr>
                <w:rFonts w:ascii="Times New Roman" w:hAnsi="Times New Roman" w:cs="Times New Roman"/>
                <w:b/>
                <w:bCs/>
              </w:rPr>
            </w:pPr>
            <w:r w:rsidRPr="006E3099">
              <w:rPr>
                <w:rFonts w:ascii="Times New Roman" w:hAnsi="Times New Roman" w:cs="Times New Roman"/>
                <w:b/>
                <w:bCs/>
              </w:rPr>
              <w:t>0.5</w:t>
            </w:r>
          </w:p>
        </w:tc>
        <w:tc>
          <w:tcPr>
            <w:tcW w:w="1015" w:type="dxa"/>
            <w:tcBorders>
              <w:top w:val="single" w:sz="4" w:space="0" w:color="auto"/>
              <w:bottom w:val="single" w:sz="4" w:space="0" w:color="auto"/>
            </w:tcBorders>
            <w:vAlign w:val="center"/>
            <w:hideMark/>
          </w:tcPr>
          <w:p w14:paraId="1786DE27" w14:textId="77777777" w:rsidR="006E3099" w:rsidRPr="006E3099" w:rsidRDefault="006E3099" w:rsidP="00CB2211">
            <w:pPr>
              <w:spacing w:line="240" w:lineRule="auto"/>
              <w:jc w:val="center"/>
              <w:rPr>
                <w:rFonts w:ascii="Times New Roman" w:hAnsi="Times New Roman" w:cs="Times New Roman"/>
                <w:b/>
                <w:bCs/>
              </w:rPr>
            </w:pPr>
            <w:r w:rsidRPr="006E3099">
              <w:rPr>
                <w:rFonts w:ascii="Times New Roman" w:hAnsi="Times New Roman" w:cs="Times New Roman"/>
                <w:b/>
                <w:bCs/>
              </w:rPr>
              <w:t>Training Time (s)</w:t>
            </w:r>
          </w:p>
        </w:tc>
        <w:tc>
          <w:tcPr>
            <w:tcW w:w="1076" w:type="dxa"/>
            <w:tcBorders>
              <w:top w:val="single" w:sz="4" w:space="0" w:color="auto"/>
              <w:bottom w:val="single" w:sz="4" w:space="0" w:color="auto"/>
            </w:tcBorders>
            <w:vAlign w:val="center"/>
            <w:hideMark/>
          </w:tcPr>
          <w:p w14:paraId="2C054580" w14:textId="77777777" w:rsidR="006E3099" w:rsidRPr="006E3099" w:rsidRDefault="006E3099" w:rsidP="00CB2211">
            <w:pPr>
              <w:spacing w:line="240" w:lineRule="auto"/>
              <w:jc w:val="center"/>
              <w:rPr>
                <w:rFonts w:ascii="Times New Roman" w:hAnsi="Times New Roman" w:cs="Times New Roman"/>
                <w:b/>
                <w:bCs/>
              </w:rPr>
            </w:pPr>
            <w:r w:rsidRPr="006E3099">
              <w:rPr>
                <w:rFonts w:ascii="Times New Roman" w:hAnsi="Times New Roman" w:cs="Times New Roman"/>
                <w:b/>
                <w:bCs/>
              </w:rPr>
              <w:t>Inference Time (ms)</w:t>
            </w:r>
          </w:p>
        </w:tc>
      </w:tr>
      <w:tr w:rsidR="006E3099" w:rsidRPr="006E3099" w14:paraId="74ED6D53" w14:textId="77777777" w:rsidTr="00CB2211">
        <w:trPr>
          <w:trHeight w:val="177"/>
          <w:tblCellSpacing w:w="15" w:type="dxa"/>
        </w:trPr>
        <w:tc>
          <w:tcPr>
            <w:tcW w:w="945" w:type="dxa"/>
            <w:vAlign w:val="center"/>
            <w:hideMark/>
          </w:tcPr>
          <w:p w14:paraId="258DF574" w14:textId="77777777" w:rsidR="006E3099" w:rsidRPr="006E3099" w:rsidRDefault="006E3099" w:rsidP="00CB2211">
            <w:pPr>
              <w:spacing w:line="240" w:lineRule="auto"/>
              <w:jc w:val="both"/>
              <w:rPr>
                <w:rFonts w:ascii="Times New Roman" w:hAnsi="Times New Roman" w:cs="Times New Roman"/>
              </w:rPr>
            </w:pPr>
            <w:r w:rsidRPr="006E3099">
              <w:rPr>
                <w:rFonts w:ascii="Times New Roman" w:hAnsi="Times New Roman" w:cs="Times New Roman"/>
              </w:rPr>
              <w:t>Random Forest</w:t>
            </w:r>
          </w:p>
        </w:tc>
        <w:tc>
          <w:tcPr>
            <w:tcW w:w="1027" w:type="dxa"/>
            <w:vAlign w:val="center"/>
            <w:hideMark/>
          </w:tcPr>
          <w:p w14:paraId="520E218E"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0.98</w:t>
            </w:r>
          </w:p>
        </w:tc>
        <w:tc>
          <w:tcPr>
            <w:tcW w:w="1054" w:type="dxa"/>
            <w:vAlign w:val="center"/>
            <w:hideMark/>
          </w:tcPr>
          <w:p w14:paraId="032A2A31"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1.00</w:t>
            </w:r>
          </w:p>
        </w:tc>
        <w:tc>
          <w:tcPr>
            <w:tcW w:w="740" w:type="dxa"/>
            <w:vAlign w:val="center"/>
            <w:hideMark/>
          </w:tcPr>
          <w:p w14:paraId="03A158F8"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0.93</w:t>
            </w:r>
          </w:p>
        </w:tc>
        <w:tc>
          <w:tcPr>
            <w:tcW w:w="740" w:type="dxa"/>
            <w:vAlign w:val="center"/>
            <w:hideMark/>
          </w:tcPr>
          <w:p w14:paraId="5FDEDA4A"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0.96</w:t>
            </w:r>
          </w:p>
        </w:tc>
        <w:tc>
          <w:tcPr>
            <w:tcW w:w="740" w:type="dxa"/>
            <w:vAlign w:val="center"/>
            <w:hideMark/>
          </w:tcPr>
          <w:p w14:paraId="03694290"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1.00</w:t>
            </w:r>
          </w:p>
        </w:tc>
        <w:tc>
          <w:tcPr>
            <w:tcW w:w="612" w:type="dxa"/>
            <w:vAlign w:val="center"/>
            <w:hideMark/>
          </w:tcPr>
          <w:p w14:paraId="782B31E6"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0.00</w:t>
            </w:r>
          </w:p>
        </w:tc>
        <w:tc>
          <w:tcPr>
            <w:tcW w:w="817" w:type="dxa"/>
            <w:vAlign w:val="center"/>
            <w:hideMark/>
          </w:tcPr>
          <w:p w14:paraId="2C264F79"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0.00</w:t>
            </w:r>
          </w:p>
        </w:tc>
        <w:tc>
          <w:tcPr>
            <w:tcW w:w="1050" w:type="dxa"/>
            <w:vAlign w:val="center"/>
            <w:hideMark/>
          </w:tcPr>
          <w:p w14:paraId="54C3A5CE"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0.07</w:t>
            </w:r>
          </w:p>
        </w:tc>
        <w:tc>
          <w:tcPr>
            <w:tcW w:w="1015" w:type="dxa"/>
            <w:vAlign w:val="center"/>
            <w:hideMark/>
          </w:tcPr>
          <w:p w14:paraId="70BCA94C"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2.94</w:t>
            </w:r>
          </w:p>
        </w:tc>
        <w:tc>
          <w:tcPr>
            <w:tcW w:w="1076" w:type="dxa"/>
            <w:vAlign w:val="center"/>
            <w:hideMark/>
          </w:tcPr>
          <w:p w14:paraId="10B7C42B"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1.21</w:t>
            </w:r>
          </w:p>
        </w:tc>
      </w:tr>
      <w:tr w:rsidR="006E3099" w:rsidRPr="006E3099" w14:paraId="48085E6B" w14:textId="77777777" w:rsidTr="00CB2211">
        <w:trPr>
          <w:trHeight w:val="40"/>
          <w:tblCellSpacing w:w="15" w:type="dxa"/>
        </w:trPr>
        <w:tc>
          <w:tcPr>
            <w:tcW w:w="945" w:type="dxa"/>
            <w:vAlign w:val="center"/>
            <w:hideMark/>
          </w:tcPr>
          <w:p w14:paraId="538802D6" w14:textId="77777777" w:rsidR="006E3099" w:rsidRPr="006E3099" w:rsidRDefault="006E3099" w:rsidP="00CB2211">
            <w:pPr>
              <w:spacing w:line="240" w:lineRule="auto"/>
              <w:jc w:val="both"/>
              <w:rPr>
                <w:rFonts w:ascii="Times New Roman" w:hAnsi="Times New Roman" w:cs="Times New Roman"/>
              </w:rPr>
            </w:pPr>
            <w:r w:rsidRPr="006E3099">
              <w:rPr>
                <w:rFonts w:ascii="Times New Roman" w:hAnsi="Times New Roman" w:cs="Times New Roman"/>
              </w:rPr>
              <w:t>XGBoost</w:t>
            </w:r>
          </w:p>
        </w:tc>
        <w:tc>
          <w:tcPr>
            <w:tcW w:w="1027" w:type="dxa"/>
            <w:vAlign w:val="center"/>
            <w:hideMark/>
          </w:tcPr>
          <w:p w14:paraId="23E1A4FC"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0.98</w:t>
            </w:r>
          </w:p>
        </w:tc>
        <w:tc>
          <w:tcPr>
            <w:tcW w:w="1054" w:type="dxa"/>
            <w:vAlign w:val="center"/>
            <w:hideMark/>
          </w:tcPr>
          <w:p w14:paraId="228317D6"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1.00</w:t>
            </w:r>
          </w:p>
        </w:tc>
        <w:tc>
          <w:tcPr>
            <w:tcW w:w="740" w:type="dxa"/>
            <w:vAlign w:val="center"/>
            <w:hideMark/>
          </w:tcPr>
          <w:p w14:paraId="1A3640BD"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0.93</w:t>
            </w:r>
          </w:p>
        </w:tc>
        <w:tc>
          <w:tcPr>
            <w:tcW w:w="740" w:type="dxa"/>
            <w:vAlign w:val="center"/>
            <w:hideMark/>
          </w:tcPr>
          <w:p w14:paraId="2E5E5DE4"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0.96</w:t>
            </w:r>
          </w:p>
        </w:tc>
        <w:tc>
          <w:tcPr>
            <w:tcW w:w="740" w:type="dxa"/>
            <w:vAlign w:val="center"/>
            <w:hideMark/>
          </w:tcPr>
          <w:p w14:paraId="7544B563"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1.00</w:t>
            </w:r>
          </w:p>
        </w:tc>
        <w:tc>
          <w:tcPr>
            <w:tcW w:w="612" w:type="dxa"/>
            <w:vAlign w:val="center"/>
            <w:hideMark/>
          </w:tcPr>
          <w:p w14:paraId="67EF94B1"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0.00</w:t>
            </w:r>
          </w:p>
        </w:tc>
        <w:tc>
          <w:tcPr>
            <w:tcW w:w="817" w:type="dxa"/>
            <w:vAlign w:val="center"/>
            <w:hideMark/>
          </w:tcPr>
          <w:p w14:paraId="6D2842B5"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0.00</w:t>
            </w:r>
          </w:p>
        </w:tc>
        <w:tc>
          <w:tcPr>
            <w:tcW w:w="1050" w:type="dxa"/>
            <w:vAlign w:val="center"/>
            <w:hideMark/>
          </w:tcPr>
          <w:p w14:paraId="3C9415FC"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0.07</w:t>
            </w:r>
          </w:p>
        </w:tc>
        <w:tc>
          <w:tcPr>
            <w:tcW w:w="1015" w:type="dxa"/>
            <w:vAlign w:val="center"/>
            <w:hideMark/>
          </w:tcPr>
          <w:p w14:paraId="181C44AF"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0.60</w:t>
            </w:r>
          </w:p>
        </w:tc>
        <w:tc>
          <w:tcPr>
            <w:tcW w:w="1076" w:type="dxa"/>
            <w:vAlign w:val="center"/>
            <w:hideMark/>
          </w:tcPr>
          <w:p w14:paraId="0F83A2C7"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0.01</w:t>
            </w:r>
          </w:p>
        </w:tc>
      </w:tr>
      <w:tr w:rsidR="006E3099" w:rsidRPr="006E3099" w14:paraId="0479EE02" w14:textId="77777777" w:rsidTr="00CB2211">
        <w:trPr>
          <w:trHeight w:val="69"/>
          <w:tblCellSpacing w:w="15" w:type="dxa"/>
        </w:trPr>
        <w:tc>
          <w:tcPr>
            <w:tcW w:w="945" w:type="dxa"/>
            <w:vAlign w:val="center"/>
            <w:hideMark/>
          </w:tcPr>
          <w:p w14:paraId="041B1C92" w14:textId="77777777" w:rsidR="006E3099" w:rsidRPr="006E3099" w:rsidRDefault="006E3099" w:rsidP="00CB2211">
            <w:pPr>
              <w:spacing w:line="240" w:lineRule="auto"/>
              <w:jc w:val="both"/>
              <w:rPr>
                <w:rFonts w:ascii="Times New Roman" w:hAnsi="Times New Roman" w:cs="Times New Roman"/>
              </w:rPr>
            </w:pPr>
            <w:r w:rsidRPr="006E3099">
              <w:rPr>
                <w:rFonts w:ascii="Times New Roman" w:hAnsi="Times New Roman" w:cs="Times New Roman"/>
              </w:rPr>
              <w:t>SVM (RBF)</w:t>
            </w:r>
          </w:p>
        </w:tc>
        <w:tc>
          <w:tcPr>
            <w:tcW w:w="1027" w:type="dxa"/>
            <w:vAlign w:val="center"/>
            <w:hideMark/>
          </w:tcPr>
          <w:p w14:paraId="1F23BD85"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0.95</w:t>
            </w:r>
          </w:p>
        </w:tc>
        <w:tc>
          <w:tcPr>
            <w:tcW w:w="1054" w:type="dxa"/>
            <w:vAlign w:val="center"/>
            <w:hideMark/>
          </w:tcPr>
          <w:p w14:paraId="392A5ECC"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1.00</w:t>
            </w:r>
          </w:p>
        </w:tc>
        <w:tc>
          <w:tcPr>
            <w:tcW w:w="740" w:type="dxa"/>
            <w:vAlign w:val="center"/>
            <w:hideMark/>
          </w:tcPr>
          <w:p w14:paraId="29839CE4"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0.79</w:t>
            </w:r>
          </w:p>
        </w:tc>
        <w:tc>
          <w:tcPr>
            <w:tcW w:w="740" w:type="dxa"/>
            <w:vAlign w:val="center"/>
            <w:hideMark/>
          </w:tcPr>
          <w:p w14:paraId="39269611"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0.88</w:t>
            </w:r>
          </w:p>
        </w:tc>
        <w:tc>
          <w:tcPr>
            <w:tcW w:w="740" w:type="dxa"/>
            <w:vAlign w:val="center"/>
            <w:hideMark/>
          </w:tcPr>
          <w:p w14:paraId="1857EFB5"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0.99</w:t>
            </w:r>
          </w:p>
        </w:tc>
        <w:tc>
          <w:tcPr>
            <w:tcW w:w="612" w:type="dxa"/>
            <w:vAlign w:val="center"/>
            <w:hideMark/>
          </w:tcPr>
          <w:p w14:paraId="0093AAF4"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1.16</w:t>
            </w:r>
          </w:p>
        </w:tc>
        <w:tc>
          <w:tcPr>
            <w:tcW w:w="817" w:type="dxa"/>
            <w:vAlign w:val="center"/>
            <w:hideMark/>
          </w:tcPr>
          <w:p w14:paraId="3C120EF5"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0.00</w:t>
            </w:r>
          </w:p>
        </w:tc>
        <w:tc>
          <w:tcPr>
            <w:tcW w:w="1050" w:type="dxa"/>
            <w:vAlign w:val="center"/>
            <w:hideMark/>
          </w:tcPr>
          <w:p w14:paraId="1BD4AF50"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0.21</w:t>
            </w:r>
          </w:p>
        </w:tc>
        <w:tc>
          <w:tcPr>
            <w:tcW w:w="1015" w:type="dxa"/>
            <w:vAlign w:val="center"/>
            <w:hideMark/>
          </w:tcPr>
          <w:p w14:paraId="49565AFE"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0.13</w:t>
            </w:r>
          </w:p>
        </w:tc>
        <w:tc>
          <w:tcPr>
            <w:tcW w:w="1076" w:type="dxa"/>
            <w:vAlign w:val="center"/>
            <w:hideMark/>
          </w:tcPr>
          <w:p w14:paraId="10ED8E54"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0.07</w:t>
            </w:r>
          </w:p>
        </w:tc>
      </w:tr>
      <w:tr w:rsidR="006E3099" w:rsidRPr="006E3099" w14:paraId="036B6500" w14:textId="77777777" w:rsidTr="00CB2211">
        <w:trPr>
          <w:trHeight w:val="40"/>
          <w:tblCellSpacing w:w="15" w:type="dxa"/>
        </w:trPr>
        <w:tc>
          <w:tcPr>
            <w:tcW w:w="945" w:type="dxa"/>
            <w:vAlign w:val="center"/>
            <w:hideMark/>
          </w:tcPr>
          <w:p w14:paraId="54AC6CC3" w14:textId="77777777" w:rsidR="006E3099" w:rsidRPr="006E3099" w:rsidRDefault="006E3099" w:rsidP="00CB2211">
            <w:pPr>
              <w:spacing w:line="240" w:lineRule="auto"/>
              <w:jc w:val="both"/>
              <w:rPr>
                <w:rFonts w:ascii="Times New Roman" w:hAnsi="Times New Roman" w:cs="Times New Roman"/>
              </w:rPr>
            </w:pPr>
            <w:r w:rsidRPr="006E3099">
              <w:rPr>
                <w:rFonts w:ascii="Times New Roman" w:hAnsi="Times New Roman" w:cs="Times New Roman"/>
              </w:rPr>
              <w:t>LSTM</w:t>
            </w:r>
          </w:p>
        </w:tc>
        <w:tc>
          <w:tcPr>
            <w:tcW w:w="1027" w:type="dxa"/>
            <w:vAlign w:val="center"/>
            <w:hideMark/>
          </w:tcPr>
          <w:p w14:paraId="75D54ADB"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0.95</w:t>
            </w:r>
          </w:p>
        </w:tc>
        <w:tc>
          <w:tcPr>
            <w:tcW w:w="1054" w:type="dxa"/>
            <w:vAlign w:val="center"/>
            <w:hideMark/>
          </w:tcPr>
          <w:p w14:paraId="12A5A17B"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1.00</w:t>
            </w:r>
          </w:p>
        </w:tc>
        <w:tc>
          <w:tcPr>
            <w:tcW w:w="740" w:type="dxa"/>
            <w:vAlign w:val="center"/>
            <w:hideMark/>
          </w:tcPr>
          <w:p w14:paraId="7730B124"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0.79</w:t>
            </w:r>
          </w:p>
        </w:tc>
        <w:tc>
          <w:tcPr>
            <w:tcW w:w="740" w:type="dxa"/>
            <w:vAlign w:val="center"/>
            <w:hideMark/>
          </w:tcPr>
          <w:p w14:paraId="22089A88"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0.88</w:t>
            </w:r>
          </w:p>
        </w:tc>
        <w:tc>
          <w:tcPr>
            <w:tcW w:w="740" w:type="dxa"/>
            <w:vAlign w:val="center"/>
            <w:hideMark/>
          </w:tcPr>
          <w:p w14:paraId="3F1D0EFA"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0.97</w:t>
            </w:r>
          </w:p>
        </w:tc>
        <w:tc>
          <w:tcPr>
            <w:tcW w:w="612" w:type="dxa"/>
            <w:vAlign w:val="center"/>
            <w:hideMark/>
          </w:tcPr>
          <w:p w14:paraId="58D44FCE"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14.12</w:t>
            </w:r>
          </w:p>
        </w:tc>
        <w:tc>
          <w:tcPr>
            <w:tcW w:w="817" w:type="dxa"/>
            <w:vAlign w:val="center"/>
            <w:hideMark/>
          </w:tcPr>
          <w:p w14:paraId="64067A82"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0.00</w:t>
            </w:r>
          </w:p>
        </w:tc>
        <w:tc>
          <w:tcPr>
            <w:tcW w:w="1050" w:type="dxa"/>
            <w:vAlign w:val="center"/>
            <w:hideMark/>
          </w:tcPr>
          <w:p w14:paraId="6796C3E9"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0.21</w:t>
            </w:r>
          </w:p>
        </w:tc>
        <w:tc>
          <w:tcPr>
            <w:tcW w:w="1015" w:type="dxa"/>
            <w:vAlign w:val="center"/>
            <w:hideMark/>
          </w:tcPr>
          <w:p w14:paraId="1DE6B70F"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238.16</w:t>
            </w:r>
          </w:p>
        </w:tc>
        <w:tc>
          <w:tcPr>
            <w:tcW w:w="1076" w:type="dxa"/>
            <w:vAlign w:val="center"/>
            <w:hideMark/>
          </w:tcPr>
          <w:p w14:paraId="37098621"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2.57</w:t>
            </w:r>
          </w:p>
        </w:tc>
      </w:tr>
      <w:tr w:rsidR="006E3099" w:rsidRPr="006E3099" w14:paraId="2CEC9E2A" w14:textId="77777777" w:rsidTr="00CB2211">
        <w:trPr>
          <w:trHeight w:val="519"/>
          <w:tblCellSpacing w:w="15" w:type="dxa"/>
        </w:trPr>
        <w:tc>
          <w:tcPr>
            <w:tcW w:w="945" w:type="dxa"/>
            <w:vAlign w:val="center"/>
            <w:hideMark/>
          </w:tcPr>
          <w:p w14:paraId="4A0E6FA4" w14:textId="77777777" w:rsidR="006E3099" w:rsidRPr="006E3099" w:rsidRDefault="006E3099" w:rsidP="00CB2211">
            <w:pPr>
              <w:spacing w:line="240" w:lineRule="auto"/>
              <w:jc w:val="both"/>
              <w:rPr>
                <w:rFonts w:ascii="Times New Roman" w:hAnsi="Times New Roman" w:cs="Times New Roman"/>
              </w:rPr>
            </w:pPr>
            <w:r w:rsidRPr="006E3099">
              <w:rPr>
                <w:rFonts w:ascii="Times New Roman" w:hAnsi="Times New Roman" w:cs="Times New Roman"/>
              </w:rPr>
              <w:t>CNN-LSTM Hybrid</w:t>
            </w:r>
          </w:p>
        </w:tc>
        <w:tc>
          <w:tcPr>
            <w:tcW w:w="1027" w:type="dxa"/>
            <w:vAlign w:val="center"/>
            <w:hideMark/>
          </w:tcPr>
          <w:p w14:paraId="26DDBAB9"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0.75</w:t>
            </w:r>
          </w:p>
        </w:tc>
        <w:tc>
          <w:tcPr>
            <w:tcW w:w="1054" w:type="dxa"/>
            <w:vAlign w:val="center"/>
            <w:hideMark/>
          </w:tcPr>
          <w:p w14:paraId="23512460"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0.00</w:t>
            </w:r>
          </w:p>
        </w:tc>
        <w:tc>
          <w:tcPr>
            <w:tcW w:w="740" w:type="dxa"/>
            <w:vAlign w:val="center"/>
            <w:hideMark/>
          </w:tcPr>
          <w:p w14:paraId="7AED3031"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0.00</w:t>
            </w:r>
          </w:p>
        </w:tc>
        <w:tc>
          <w:tcPr>
            <w:tcW w:w="740" w:type="dxa"/>
            <w:vAlign w:val="center"/>
            <w:hideMark/>
          </w:tcPr>
          <w:p w14:paraId="785EC647"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0.00</w:t>
            </w:r>
          </w:p>
        </w:tc>
        <w:tc>
          <w:tcPr>
            <w:tcW w:w="740" w:type="dxa"/>
            <w:vAlign w:val="center"/>
            <w:hideMark/>
          </w:tcPr>
          <w:p w14:paraId="66E98302"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0.93</w:t>
            </w:r>
          </w:p>
        </w:tc>
        <w:tc>
          <w:tcPr>
            <w:tcW w:w="612" w:type="dxa"/>
            <w:vAlign w:val="center"/>
            <w:hideMark/>
          </w:tcPr>
          <w:p w14:paraId="2753CF40"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14.12</w:t>
            </w:r>
          </w:p>
        </w:tc>
        <w:tc>
          <w:tcPr>
            <w:tcW w:w="817" w:type="dxa"/>
            <w:vAlign w:val="center"/>
            <w:hideMark/>
          </w:tcPr>
          <w:p w14:paraId="554296D3"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0.00</w:t>
            </w:r>
          </w:p>
        </w:tc>
        <w:tc>
          <w:tcPr>
            <w:tcW w:w="1050" w:type="dxa"/>
            <w:vAlign w:val="center"/>
            <w:hideMark/>
          </w:tcPr>
          <w:p w14:paraId="76A10EEA"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1.00</w:t>
            </w:r>
          </w:p>
        </w:tc>
        <w:tc>
          <w:tcPr>
            <w:tcW w:w="1015" w:type="dxa"/>
            <w:vAlign w:val="center"/>
            <w:hideMark/>
          </w:tcPr>
          <w:p w14:paraId="1BC6274A"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25.43</w:t>
            </w:r>
          </w:p>
        </w:tc>
        <w:tc>
          <w:tcPr>
            <w:tcW w:w="1076" w:type="dxa"/>
            <w:vAlign w:val="center"/>
            <w:hideMark/>
          </w:tcPr>
          <w:p w14:paraId="1BDDF42A"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1.20</w:t>
            </w:r>
          </w:p>
        </w:tc>
      </w:tr>
      <w:tr w:rsidR="006E3099" w:rsidRPr="006E3099" w14:paraId="06AB1361" w14:textId="77777777" w:rsidTr="00CB2211">
        <w:trPr>
          <w:trHeight w:val="40"/>
          <w:tblCellSpacing w:w="15" w:type="dxa"/>
        </w:trPr>
        <w:tc>
          <w:tcPr>
            <w:tcW w:w="945" w:type="dxa"/>
            <w:tcBorders>
              <w:bottom w:val="single" w:sz="4" w:space="0" w:color="auto"/>
            </w:tcBorders>
            <w:vAlign w:val="center"/>
            <w:hideMark/>
          </w:tcPr>
          <w:p w14:paraId="0C7C7FDC" w14:textId="77777777" w:rsidR="006E3099" w:rsidRPr="006E3099" w:rsidRDefault="006E3099" w:rsidP="00CB2211">
            <w:pPr>
              <w:spacing w:line="240" w:lineRule="auto"/>
              <w:jc w:val="both"/>
              <w:rPr>
                <w:rFonts w:ascii="Times New Roman" w:hAnsi="Times New Roman" w:cs="Times New Roman"/>
              </w:rPr>
            </w:pPr>
            <w:r w:rsidRPr="006E3099">
              <w:rPr>
                <w:rFonts w:ascii="Times New Roman" w:hAnsi="Times New Roman" w:cs="Times New Roman"/>
              </w:rPr>
              <w:lastRenderedPageBreak/>
              <w:t>CNN</w:t>
            </w:r>
          </w:p>
        </w:tc>
        <w:tc>
          <w:tcPr>
            <w:tcW w:w="1027" w:type="dxa"/>
            <w:tcBorders>
              <w:bottom w:val="single" w:sz="4" w:space="0" w:color="auto"/>
            </w:tcBorders>
            <w:vAlign w:val="center"/>
            <w:hideMark/>
          </w:tcPr>
          <w:p w14:paraId="1F41E328"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0.53</w:t>
            </w:r>
          </w:p>
        </w:tc>
        <w:tc>
          <w:tcPr>
            <w:tcW w:w="1054" w:type="dxa"/>
            <w:tcBorders>
              <w:bottom w:val="single" w:sz="4" w:space="0" w:color="auto"/>
            </w:tcBorders>
            <w:vAlign w:val="center"/>
            <w:hideMark/>
          </w:tcPr>
          <w:p w14:paraId="3DB42CE7"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0.33</w:t>
            </w:r>
          </w:p>
        </w:tc>
        <w:tc>
          <w:tcPr>
            <w:tcW w:w="740" w:type="dxa"/>
            <w:tcBorders>
              <w:bottom w:val="single" w:sz="4" w:space="0" w:color="auto"/>
            </w:tcBorders>
            <w:vAlign w:val="center"/>
            <w:hideMark/>
          </w:tcPr>
          <w:p w14:paraId="442B7CAC"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0.93</w:t>
            </w:r>
          </w:p>
        </w:tc>
        <w:tc>
          <w:tcPr>
            <w:tcW w:w="740" w:type="dxa"/>
            <w:tcBorders>
              <w:bottom w:val="single" w:sz="4" w:space="0" w:color="auto"/>
            </w:tcBorders>
            <w:vAlign w:val="center"/>
            <w:hideMark/>
          </w:tcPr>
          <w:p w14:paraId="535ABBC2"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0.49</w:t>
            </w:r>
          </w:p>
        </w:tc>
        <w:tc>
          <w:tcPr>
            <w:tcW w:w="740" w:type="dxa"/>
            <w:tcBorders>
              <w:bottom w:val="single" w:sz="4" w:space="0" w:color="auto"/>
            </w:tcBorders>
            <w:vAlign w:val="center"/>
            <w:hideMark/>
          </w:tcPr>
          <w:p w14:paraId="5AE1E32F"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0.90</w:t>
            </w:r>
          </w:p>
        </w:tc>
        <w:tc>
          <w:tcPr>
            <w:tcW w:w="612" w:type="dxa"/>
            <w:tcBorders>
              <w:bottom w:val="single" w:sz="4" w:space="0" w:color="auto"/>
            </w:tcBorders>
            <w:vAlign w:val="center"/>
            <w:hideMark/>
          </w:tcPr>
          <w:p w14:paraId="26D55685"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20.02</w:t>
            </w:r>
          </w:p>
        </w:tc>
        <w:tc>
          <w:tcPr>
            <w:tcW w:w="817" w:type="dxa"/>
            <w:tcBorders>
              <w:bottom w:val="single" w:sz="4" w:space="0" w:color="auto"/>
            </w:tcBorders>
            <w:vAlign w:val="center"/>
            <w:hideMark/>
          </w:tcPr>
          <w:p w14:paraId="6164FAFD"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0.60</w:t>
            </w:r>
          </w:p>
        </w:tc>
        <w:tc>
          <w:tcPr>
            <w:tcW w:w="1050" w:type="dxa"/>
            <w:tcBorders>
              <w:bottom w:val="single" w:sz="4" w:space="0" w:color="auto"/>
            </w:tcBorders>
            <w:vAlign w:val="center"/>
            <w:hideMark/>
          </w:tcPr>
          <w:p w14:paraId="79FDB178"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0.07</w:t>
            </w:r>
          </w:p>
        </w:tc>
        <w:tc>
          <w:tcPr>
            <w:tcW w:w="1015" w:type="dxa"/>
            <w:tcBorders>
              <w:bottom w:val="single" w:sz="4" w:space="0" w:color="auto"/>
            </w:tcBorders>
            <w:vAlign w:val="center"/>
            <w:hideMark/>
          </w:tcPr>
          <w:p w14:paraId="148E4893"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11.42</w:t>
            </w:r>
          </w:p>
        </w:tc>
        <w:tc>
          <w:tcPr>
            <w:tcW w:w="1076" w:type="dxa"/>
            <w:tcBorders>
              <w:bottom w:val="single" w:sz="4" w:space="0" w:color="auto"/>
            </w:tcBorders>
            <w:vAlign w:val="center"/>
            <w:hideMark/>
          </w:tcPr>
          <w:p w14:paraId="3182EC2C"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0.92</w:t>
            </w:r>
          </w:p>
        </w:tc>
      </w:tr>
    </w:tbl>
    <w:p w14:paraId="33654B24" w14:textId="6529DE65" w:rsidR="006E3099" w:rsidRPr="00DC2806" w:rsidRDefault="006E3099" w:rsidP="00DC2806">
      <w:pPr>
        <w:spacing w:before="240" w:line="360" w:lineRule="auto"/>
        <w:jc w:val="both"/>
        <w:rPr>
          <w:rFonts w:ascii="Times New Roman" w:hAnsi="Times New Roman" w:cs="Times New Roman"/>
          <w:b/>
          <w:bCs/>
        </w:rPr>
      </w:pPr>
      <w:r w:rsidRPr="006E3099">
        <w:rPr>
          <w:rFonts w:ascii="Times New Roman" w:hAnsi="Times New Roman" w:cs="Times New Roman"/>
          <w:b/>
          <w:bCs/>
        </w:rPr>
        <w:t>Figure 3</w:t>
      </w:r>
      <w:r w:rsidRPr="00C64F40">
        <w:rPr>
          <w:rFonts w:ascii="Times New Roman" w:hAnsi="Times New Roman" w:cs="Times New Roman"/>
          <w:i/>
          <w:iCs/>
        </w:rPr>
        <w:t>Performance Metrics Across Models</w:t>
      </w:r>
    </w:p>
    <w:p w14:paraId="50006125"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noProof/>
        </w:rPr>
        <w:drawing>
          <wp:inline distT="0" distB="0" distL="0" distR="0" wp14:anchorId="7BB199C0" wp14:editId="13AEAFBE">
            <wp:extent cx="5943600" cy="3166622"/>
            <wp:effectExtent l="0" t="0" r="0" b="0"/>
            <wp:docPr id="1881460384" name="Picture 3" descr="A group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460384" name="Picture 3" descr="A group of different colored bars&#10;&#10;AI-generated content may be incorrect."/>
                    <pic:cNvPicPr/>
                  </pic:nvPicPr>
                  <pic:blipFill rotWithShape="1">
                    <a:blip r:embed="rId8" cstate="print">
                      <a:extLst>
                        <a:ext uri="{28A0092B-C50C-407E-A947-70E740481C1C}">
                          <a14:useLocalDpi xmlns:a14="http://schemas.microsoft.com/office/drawing/2010/main" val="0"/>
                        </a:ext>
                      </a:extLst>
                    </a:blip>
                    <a:srcRect t="3131"/>
                    <a:stretch>
                      <a:fillRect/>
                    </a:stretch>
                  </pic:blipFill>
                  <pic:spPr bwMode="auto">
                    <a:xfrm>
                      <a:off x="0" y="0"/>
                      <a:ext cx="5943600" cy="3166622"/>
                    </a:xfrm>
                    <a:prstGeom prst="rect">
                      <a:avLst/>
                    </a:prstGeom>
                    <a:ln>
                      <a:noFill/>
                    </a:ln>
                    <a:extLst>
                      <a:ext uri="{53640926-AAD7-44D8-BBD7-CCE9431645EC}">
                        <a14:shadowObscured xmlns:a14="http://schemas.microsoft.com/office/drawing/2010/main"/>
                      </a:ext>
                    </a:extLst>
                  </pic:spPr>
                </pic:pic>
              </a:graphicData>
            </a:graphic>
          </wp:inline>
        </w:drawing>
      </w:r>
    </w:p>
    <w:p w14:paraId="399BA3B4" w14:textId="25022869"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Confusion matrix analysis for Random Forest on the 57-sample test set showed 13 true positives, 43 true negatives, zero false positives, and one false negative, achieving a genuine high acceptance rate of 92.86% as seen in Figure </w:t>
      </w:r>
      <w:r w:rsidR="00C64F40">
        <w:rPr>
          <w:rFonts w:ascii="Times New Roman" w:hAnsi="Times New Roman" w:cs="Times New Roman"/>
        </w:rPr>
        <w:t>4</w:t>
      </w:r>
      <w:r w:rsidRPr="006E3099">
        <w:rPr>
          <w:rFonts w:ascii="Times New Roman" w:hAnsi="Times New Roman" w:cs="Times New Roman"/>
        </w:rPr>
        <w:t xml:space="preserve">. As shown in Figure </w:t>
      </w:r>
      <w:r w:rsidR="00C64F40">
        <w:rPr>
          <w:rFonts w:ascii="Times New Roman" w:hAnsi="Times New Roman" w:cs="Times New Roman"/>
        </w:rPr>
        <w:t>5</w:t>
      </w:r>
      <w:r w:rsidRPr="006E3099">
        <w:rPr>
          <w:rFonts w:ascii="Times New Roman" w:hAnsi="Times New Roman" w:cs="Times New Roman"/>
        </w:rPr>
        <w:t>, ensemble models achieved AUC=1.0000, outperforming CNN at 0.9037, confirming superior accuracy.</w:t>
      </w:r>
    </w:p>
    <w:p w14:paraId="11244283" w14:textId="77777777" w:rsidR="00F77A92" w:rsidRDefault="00F77A92" w:rsidP="006E3099">
      <w:pPr>
        <w:spacing w:line="360" w:lineRule="auto"/>
        <w:jc w:val="both"/>
        <w:rPr>
          <w:rFonts w:ascii="Times New Roman" w:hAnsi="Times New Roman" w:cs="Times New Roman"/>
          <w:b/>
          <w:bCs/>
        </w:rPr>
      </w:pPr>
    </w:p>
    <w:p w14:paraId="22C7FB54" w14:textId="1245A934" w:rsidR="006E3099" w:rsidRPr="00DC2806"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 xml:space="preserve">Figure </w:t>
      </w:r>
      <w:r w:rsidR="00C64F40">
        <w:rPr>
          <w:rFonts w:ascii="Times New Roman" w:hAnsi="Times New Roman" w:cs="Times New Roman"/>
          <w:b/>
          <w:bCs/>
        </w:rPr>
        <w:t>4</w:t>
      </w:r>
      <w:r w:rsidRPr="006E3099">
        <w:rPr>
          <w:rFonts w:ascii="Times New Roman" w:hAnsi="Times New Roman" w:cs="Times New Roman"/>
          <w:i/>
          <w:iCs/>
        </w:rPr>
        <w:t>Confusion Matrices: Authentication Predictions</w:t>
      </w:r>
    </w:p>
    <w:p w14:paraId="719EBF7D" w14:textId="1578E192" w:rsidR="006E3099" w:rsidRPr="00DC2806" w:rsidRDefault="006E3099" w:rsidP="006E3099">
      <w:pPr>
        <w:spacing w:line="360" w:lineRule="auto"/>
        <w:jc w:val="both"/>
        <w:rPr>
          <w:rFonts w:ascii="Times New Roman" w:hAnsi="Times New Roman" w:cs="Times New Roman"/>
        </w:rPr>
      </w:pPr>
      <w:r w:rsidRPr="006E3099">
        <w:rPr>
          <w:rFonts w:ascii="Times New Roman" w:hAnsi="Times New Roman" w:cs="Times New Roman"/>
          <w:noProof/>
        </w:rPr>
        <w:lastRenderedPageBreak/>
        <w:drawing>
          <wp:inline distT="0" distB="0" distL="0" distR="0" wp14:anchorId="11ED9E5A" wp14:editId="63E0957F">
            <wp:extent cx="5943600" cy="3419475"/>
            <wp:effectExtent l="0" t="0" r="0" b="9525"/>
            <wp:docPr id="2862330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233001" name="Picture 28623300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419475"/>
                    </a:xfrm>
                    <a:prstGeom prst="rect">
                      <a:avLst/>
                    </a:prstGeom>
                  </pic:spPr>
                </pic:pic>
              </a:graphicData>
            </a:graphic>
          </wp:inline>
        </w:drawing>
      </w:r>
      <w:r w:rsidRPr="006E3099">
        <w:rPr>
          <w:rFonts w:ascii="Times New Roman" w:hAnsi="Times New Roman" w:cs="Times New Roman"/>
          <w:b/>
          <w:bCs/>
        </w:rPr>
        <w:t xml:space="preserve"> Figure </w:t>
      </w:r>
      <w:r w:rsidR="00C64F40">
        <w:rPr>
          <w:rFonts w:ascii="Times New Roman" w:hAnsi="Times New Roman" w:cs="Times New Roman"/>
          <w:b/>
          <w:bCs/>
        </w:rPr>
        <w:t>5</w:t>
      </w:r>
      <w:r w:rsidRPr="006E3099">
        <w:rPr>
          <w:rFonts w:ascii="Times New Roman" w:hAnsi="Times New Roman" w:cs="Times New Roman"/>
        </w:rPr>
        <w:t xml:space="preserve"> </w:t>
      </w:r>
      <w:r w:rsidRPr="006E3099">
        <w:rPr>
          <w:rFonts w:ascii="Times New Roman" w:hAnsi="Times New Roman" w:cs="Times New Roman"/>
          <w:i/>
          <w:iCs/>
        </w:rPr>
        <w:t xml:space="preserve">ROC Curves: Authentication Model Comparison </w:t>
      </w:r>
    </w:p>
    <w:p w14:paraId="72250908" w14:textId="77777777" w:rsidR="006E3099" w:rsidRPr="006E3099" w:rsidRDefault="006E3099" w:rsidP="006E3099">
      <w:pPr>
        <w:spacing w:line="360" w:lineRule="auto"/>
        <w:jc w:val="both"/>
        <w:rPr>
          <w:rFonts w:ascii="Times New Roman" w:hAnsi="Times New Roman" w:cs="Times New Roman"/>
          <w:i/>
          <w:iCs/>
        </w:rPr>
      </w:pPr>
      <w:r w:rsidRPr="006E3099">
        <w:rPr>
          <w:rFonts w:ascii="Times New Roman" w:hAnsi="Times New Roman" w:cs="Times New Roman"/>
          <w:i/>
          <w:iCs/>
          <w:noProof/>
        </w:rPr>
        <w:drawing>
          <wp:inline distT="0" distB="0" distL="0" distR="0" wp14:anchorId="39D408D2" wp14:editId="2D2FCA28">
            <wp:extent cx="5907819" cy="3971706"/>
            <wp:effectExtent l="0" t="0" r="0" b="0"/>
            <wp:docPr id="950561965" name="Picture 1" descr="A group of graphs showing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561965" name="Picture 1" descr="A group of graphs showing different colors&#10;&#10;AI-generated content may be incorrect."/>
                    <pic:cNvPicPr/>
                  </pic:nvPicPr>
                  <pic:blipFill rotWithShape="1">
                    <a:blip r:embed="rId10" cstate="print">
                      <a:extLst>
                        <a:ext uri="{28A0092B-C50C-407E-A947-70E740481C1C}">
                          <a14:useLocalDpi xmlns:a14="http://schemas.microsoft.com/office/drawing/2010/main" val="0"/>
                        </a:ext>
                      </a:extLst>
                    </a:blip>
                    <a:srcRect t="2547"/>
                    <a:stretch>
                      <a:fillRect/>
                    </a:stretch>
                  </pic:blipFill>
                  <pic:spPr bwMode="auto">
                    <a:xfrm>
                      <a:off x="0" y="0"/>
                      <a:ext cx="5977583" cy="4018607"/>
                    </a:xfrm>
                    <a:prstGeom prst="rect">
                      <a:avLst/>
                    </a:prstGeom>
                    <a:ln>
                      <a:noFill/>
                    </a:ln>
                    <a:extLst>
                      <a:ext uri="{53640926-AAD7-44D8-BBD7-CCE9431645EC}">
                        <a14:shadowObscured xmlns:a14="http://schemas.microsoft.com/office/drawing/2010/main"/>
                      </a:ext>
                    </a:extLst>
                  </pic:spPr>
                </pic:pic>
              </a:graphicData>
            </a:graphic>
          </wp:inline>
        </w:drawing>
      </w:r>
    </w:p>
    <w:p w14:paraId="11D86408" w14:textId="224CCCC2"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lastRenderedPageBreak/>
        <w:t xml:space="preserve">Computational efficiency metrics showed XGBoost achieving 0.01 ms inference, enabling over 100,000 verifications per second, well within real-time limits. Ensemble training completed in under 3 seconds versus LSTM’s 238.16 seconds. As shown in Figure </w:t>
      </w:r>
      <w:r w:rsidR="00C64F40">
        <w:rPr>
          <w:rFonts w:ascii="Times New Roman" w:hAnsi="Times New Roman" w:cs="Times New Roman"/>
        </w:rPr>
        <w:t>6</w:t>
      </w:r>
      <w:r w:rsidRPr="006E3099">
        <w:rPr>
          <w:rFonts w:ascii="Times New Roman" w:hAnsi="Times New Roman" w:cs="Times New Roman"/>
        </w:rPr>
        <w:t xml:space="preserve"> and Figure </w:t>
      </w:r>
      <w:r w:rsidR="00C64F40">
        <w:rPr>
          <w:rFonts w:ascii="Times New Roman" w:hAnsi="Times New Roman" w:cs="Times New Roman"/>
        </w:rPr>
        <w:t>7</w:t>
      </w:r>
      <w:r w:rsidRPr="006E3099">
        <w:rPr>
          <w:rFonts w:ascii="Times New Roman" w:hAnsi="Times New Roman" w:cs="Times New Roman"/>
        </w:rPr>
        <w:t>, dynamic trust scoring maintained stability, enforcing conservative zero-trust policies while preventing unnecessary workflow interruptions.</w:t>
      </w:r>
    </w:p>
    <w:p w14:paraId="60A78C08" w14:textId="597261EC" w:rsidR="006E3099" w:rsidRPr="00DC2806" w:rsidRDefault="006E3099" w:rsidP="006E3099">
      <w:pPr>
        <w:spacing w:line="360" w:lineRule="auto"/>
        <w:jc w:val="both"/>
        <w:rPr>
          <w:rFonts w:ascii="Times New Roman" w:hAnsi="Times New Roman" w:cs="Times New Roman"/>
        </w:rPr>
      </w:pPr>
      <w:r w:rsidRPr="006E3099">
        <w:rPr>
          <w:rFonts w:ascii="Times New Roman" w:hAnsi="Times New Roman" w:cs="Times New Roman"/>
          <w:b/>
          <w:bCs/>
        </w:rPr>
        <w:t xml:space="preserve">Figure </w:t>
      </w:r>
      <w:r w:rsidR="00C64F40">
        <w:rPr>
          <w:rFonts w:ascii="Times New Roman" w:hAnsi="Times New Roman" w:cs="Times New Roman"/>
          <w:b/>
          <w:bCs/>
        </w:rPr>
        <w:t>6</w:t>
      </w:r>
      <w:r w:rsidRPr="006E3099">
        <w:rPr>
          <w:rFonts w:ascii="Times New Roman" w:hAnsi="Times New Roman" w:cs="Times New Roman"/>
          <w:i/>
          <w:iCs/>
        </w:rPr>
        <w:t>Temporal Trust Evolution</w:t>
      </w:r>
      <w:r w:rsidRPr="006E3099">
        <w:rPr>
          <w:rFonts w:ascii="Times New Roman" w:hAnsi="Times New Roman" w:cs="Times New Roman"/>
        </w:rPr>
        <w:t xml:space="preserve"> </w:t>
      </w:r>
    </w:p>
    <w:p w14:paraId="16B3E7B3" w14:textId="77777777" w:rsidR="006E3099" w:rsidRPr="006E3099" w:rsidRDefault="006E3099" w:rsidP="006E3099">
      <w:pPr>
        <w:spacing w:line="360" w:lineRule="auto"/>
        <w:jc w:val="both"/>
        <w:rPr>
          <w:rFonts w:ascii="Times New Roman" w:hAnsi="Times New Roman" w:cs="Times New Roman"/>
          <w:i/>
          <w:iCs/>
        </w:rPr>
      </w:pPr>
      <w:r w:rsidRPr="006E3099">
        <w:rPr>
          <w:rFonts w:ascii="Times New Roman" w:hAnsi="Times New Roman" w:cs="Times New Roman"/>
          <w:b/>
          <w:bCs/>
          <w:noProof/>
        </w:rPr>
        <w:drawing>
          <wp:inline distT="0" distB="0" distL="0" distR="0" wp14:anchorId="7777B8A2" wp14:editId="46F30A4C">
            <wp:extent cx="5943600" cy="2941320"/>
            <wp:effectExtent l="0" t="0" r="0" b="0"/>
            <wp:docPr id="845345875" name="Picture 1" descr="A graph showing the growth of a peri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345875" name="Picture 1" descr="A graph showing the growth of a perio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941320"/>
                    </a:xfrm>
                    <a:prstGeom prst="rect">
                      <a:avLst/>
                    </a:prstGeom>
                  </pic:spPr>
                </pic:pic>
              </a:graphicData>
            </a:graphic>
          </wp:inline>
        </w:drawing>
      </w:r>
    </w:p>
    <w:p w14:paraId="5592835E" w14:textId="14238A4E" w:rsidR="006E3099" w:rsidRPr="00DC2806"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 xml:space="preserve">Figure </w:t>
      </w:r>
      <w:r w:rsidR="00C64F40">
        <w:rPr>
          <w:rFonts w:ascii="Times New Roman" w:hAnsi="Times New Roman" w:cs="Times New Roman"/>
          <w:b/>
          <w:bCs/>
        </w:rPr>
        <w:t>7</w:t>
      </w:r>
      <w:r w:rsidRPr="006E3099">
        <w:rPr>
          <w:rFonts w:ascii="Times New Roman" w:hAnsi="Times New Roman" w:cs="Times New Roman"/>
          <w:i/>
          <w:iCs/>
        </w:rPr>
        <w:t>Dynamic Trust Score Distribution Analysis</w:t>
      </w:r>
    </w:p>
    <w:p w14:paraId="70C69C7D" w14:textId="3F75B01A"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noProof/>
        </w:rPr>
        <w:drawing>
          <wp:inline distT="0" distB="0" distL="0" distR="0" wp14:anchorId="74DEF1BA" wp14:editId="14336970">
            <wp:extent cx="5943600" cy="1957429"/>
            <wp:effectExtent l="0" t="0" r="0" b="5080"/>
            <wp:docPr id="2103271938" name="Picture 5"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271938" name="Picture 5" descr="A screenshot of a graph&#10;&#10;AI-generated content may be incorrect."/>
                    <pic:cNvPicPr/>
                  </pic:nvPicPr>
                  <pic:blipFill rotWithShape="1">
                    <a:blip r:embed="rId12" cstate="print">
                      <a:extLst>
                        <a:ext uri="{28A0092B-C50C-407E-A947-70E740481C1C}">
                          <a14:useLocalDpi xmlns:a14="http://schemas.microsoft.com/office/drawing/2010/main" val="0"/>
                        </a:ext>
                      </a:extLst>
                    </a:blip>
                    <a:srcRect t="7514"/>
                    <a:stretch>
                      <a:fillRect/>
                    </a:stretch>
                  </pic:blipFill>
                  <pic:spPr bwMode="auto">
                    <a:xfrm>
                      <a:off x="0" y="0"/>
                      <a:ext cx="5943600" cy="1957429"/>
                    </a:xfrm>
                    <a:prstGeom prst="rect">
                      <a:avLst/>
                    </a:prstGeom>
                    <a:ln>
                      <a:noFill/>
                    </a:ln>
                    <a:extLst>
                      <a:ext uri="{53640926-AAD7-44D8-BBD7-CCE9431645EC}">
                        <a14:shadowObscured xmlns:a14="http://schemas.microsoft.com/office/drawing/2010/main"/>
                      </a:ext>
                    </a:extLst>
                  </pic:spPr>
                </pic:pic>
              </a:graphicData>
            </a:graphic>
          </wp:inline>
        </w:drawing>
      </w:r>
      <w:r w:rsidRPr="006E3099">
        <w:rPr>
          <w:rFonts w:ascii="Times New Roman" w:hAnsi="Times New Roman" w:cs="Times New Roman"/>
        </w:rPr>
        <w:t xml:space="preserve"> Attack simulations across six scenarios, including zero-effort impersonation and session hijacking, achieved an average detection rate of 90.3% through anomaly thresholds and temporal checks. </w:t>
      </w:r>
      <w:r w:rsidRPr="006E3099">
        <w:rPr>
          <w:rFonts w:ascii="Times New Roman" w:hAnsi="Times New Roman" w:cs="Times New Roman"/>
        </w:rPr>
        <w:lastRenderedPageBreak/>
        <w:t xml:space="preserve">Zero-effort and insider attacks were fully blocked, while replay attacks reached 65% detection. Table </w:t>
      </w:r>
      <w:r w:rsidR="00FC4CE5">
        <w:rPr>
          <w:rFonts w:ascii="Times New Roman" w:hAnsi="Times New Roman" w:cs="Times New Roman"/>
        </w:rPr>
        <w:t>5</w:t>
      </w:r>
      <w:r w:rsidRPr="006E3099">
        <w:rPr>
          <w:rFonts w:ascii="Times New Roman" w:hAnsi="Times New Roman" w:cs="Times New Roman"/>
        </w:rPr>
        <w:t xml:space="preserve"> presents these results, demonstrating strong session-specific security performance.</w:t>
      </w:r>
    </w:p>
    <w:p w14:paraId="3C110937" w14:textId="7B4877E8" w:rsidR="006E3099" w:rsidRPr="00DC2806" w:rsidRDefault="006E3099" w:rsidP="006E3099">
      <w:pPr>
        <w:spacing w:line="360" w:lineRule="auto"/>
        <w:jc w:val="both"/>
        <w:rPr>
          <w:rFonts w:ascii="Times New Roman" w:hAnsi="Times New Roman" w:cs="Times New Roman"/>
        </w:rPr>
      </w:pPr>
      <w:r w:rsidRPr="006E3099">
        <w:rPr>
          <w:rFonts w:ascii="Times New Roman" w:hAnsi="Times New Roman" w:cs="Times New Roman"/>
          <w:b/>
          <w:bCs/>
        </w:rPr>
        <w:t xml:space="preserve">Table </w:t>
      </w:r>
      <w:r w:rsidR="00FC4CE5">
        <w:rPr>
          <w:rFonts w:ascii="Times New Roman" w:hAnsi="Times New Roman" w:cs="Times New Roman"/>
          <w:b/>
          <w:bCs/>
        </w:rPr>
        <w:t>5</w:t>
      </w:r>
      <w:r w:rsidRPr="006E3099">
        <w:rPr>
          <w:rFonts w:ascii="Times New Roman" w:hAnsi="Times New Roman" w:cs="Times New Roman"/>
        </w:rPr>
        <w:t xml:space="preserve"> </w:t>
      </w:r>
      <w:r w:rsidRPr="00FC4CE5">
        <w:rPr>
          <w:rFonts w:ascii="Times New Roman" w:hAnsi="Times New Roman" w:cs="Times New Roman"/>
          <w:i/>
          <w:iCs/>
        </w:rPr>
        <w:t>Attack Detection Performance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6"/>
        <w:gridCol w:w="1861"/>
        <w:gridCol w:w="1832"/>
        <w:gridCol w:w="1169"/>
        <w:gridCol w:w="1103"/>
        <w:gridCol w:w="1639"/>
      </w:tblGrid>
      <w:tr w:rsidR="006E3099" w:rsidRPr="006E3099" w14:paraId="03EE36F3" w14:textId="77777777" w:rsidTr="00CE33FB">
        <w:trPr>
          <w:tblHeader/>
          <w:tblCellSpacing w:w="15" w:type="dxa"/>
        </w:trPr>
        <w:tc>
          <w:tcPr>
            <w:tcW w:w="0" w:type="auto"/>
            <w:tcBorders>
              <w:top w:val="single" w:sz="4" w:space="0" w:color="auto"/>
              <w:bottom w:val="single" w:sz="4" w:space="0" w:color="auto"/>
            </w:tcBorders>
            <w:vAlign w:val="center"/>
            <w:hideMark/>
          </w:tcPr>
          <w:p w14:paraId="749B509A" w14:textId="77777777" w:rsidR="006E3099" w:rsidRPr="006E3099" w:rsidRDefault="006E3099" w:rsidP="006A32DE">
            <w:pPr>
              <w:spacing w:line="240" w:lineRule="auto"/>
              <w:rPr>
                <w:rFonts w:ascii="Times New Roman" w:hAnsi="Times New Roman" w:cs="Times New Roman"/>
                <w:b/>
                <w:bCs/>
              </w:rPr>
            </w:pPr>
            <w:r w:rsidRPr="006E3099">
              <w:rPr>
                <w:rFonts w:ascii="Times New Roman" w:hAnsi="Times New Roman" w:cs="Times New Roman"/>
                <w:b/>
                <w:bCs/>
              </w:rPr>
              <w:t>Attack Type</w:t>
            </w:r>
          </w:p>
        </w:tc>
        <w:tc>
          <w:tcPr>
            <w:tcW w:w="0" w:type="auto"/>
            <w:tcBorders>
              <w:top w:val="single" w:sz="4" w:space="0" w:color="auto"/>
              <w:bottom w:val="single" w:sz="4" w:space="0" w:color="auto"/>
            </w:tcBorders>
            <w:vAlign w:val="center"/>
            <w:hideMark/>
          </w:tcPr>
          <w:p w14:paraId="05702B0C" w14:textId="77777777" w:rsidR="006E3099" w:rsidRPr="006E3099" w:rsidRDefault="006E3099" w:rsidP="00FC4CE5">
            <w:pPr>
              <w:spacing w:line="240" w:lineRule="auto"/>
              <w:jc w:val="center"/>
              <w:rPr>
                <w:rFonts w:ascii="Times New Roman" w:hAnsi="Times New Roman" w:cs="Times New Roman"/>
                <w:b/>
                <w:bCs/>
              </w:rPr>
            </w:pPr>
            <w:r w:rsidRPr="006E3099">
              <w:rPr>
                <w:rFonts w:ascii="Times New Roman" w:hAnsi="Times New Roman" w:cs="Times New Roman"/>
                <w:b/>
                <w:bCs/>
              </w:rPr>
              <w:t>Attack Scenarios</w:t>
            </w:r>
          </w:p>
        </w:tc>
        <w:tc>
          <w:tcPr>
            <w:tcW w:w="0" w:type="auto"/>
            <w:tcBorders>
              <w:top w:val="single" w:sz="4" w:space="0" w:color="auto"/>
              <w:bottom w:val="single" w:sz="4" w:space="0" w:color="auto"/>
            </w:tcBorders>
            <w:vAlign w:val="center"/>
            <w:hideMark/>
          </w:tcPr>
          <w:p w14:paraId="3B300BA7" w14:textId="77777777" w:rsidR="006E3099" w:rsidRPr="006E3099" w:rsidRDefault="006E3099" w:rsidP="00FC4CE5">
            <w:pPr>
              <w:spacing w:line="240" w:lineRule="auto"/>
              <w:jc w:val="center"/>
              <w:rPr>
                <w:rFonts w:ascii="Times New Roman" w:hAnsi="Times New Roman" w:cs="Times New Roman"/>
                <w:b/>
                <w:bCs/>
              </w:rPr>
            </w:pPr>
            <w:r w:rsidRPr="006E3099">
              <w:rPr>
                <w:rFonts w:ascii="Times New Roman" w:hAnsi="Times New Roman" w:cs="Times New Roman"/>
                <w:b/>
                <w:bCs/>
              </w:rPr>
              <w:t>Detection Method</w:t>
            </w:r>
          </w:p>
        </w:tc>
        <w:tc>
          <w:tcPr>
            <w:tcW w:w="0" w:type="auto"/>
            <w:tcBorders>
              <w:top w:val="single" w:sz="4" w:space="0" w:color="auto"/>
              <w:bottom w:val="single" w:sz="4" w:space="0" w:color="auto"/>
            </w:tcBorders>
            <w:vAlign w:val="center"/>
            <w:hideMark/>
          </w:tcPr>
          <w:p w14:paraId="3D3BEA86" w14:textId="77777777" w:rsidR="006E3099" w:rsidRPr="006E3099" w:rsidRDefault="006E3099" w:rsidP="00FC4CE5">
            <w:pPr>
              <w:spacing w:line="240" w:lineRule="auto"/>
              <w:jc w:val="center"/>
              <w:rPr>
                <w:rFonts w:ascii="Times New Roman" w:hAnsi="Times New Roman" w:cs="Times New Roman"/>
                <w:b/>
                <w:bCs/>
              </w:rPr>
            </w:pPr>
            <w:r w:rsidRPr="006E3099">
              <w:rPr>
                <w:rFonts w:ascii="Times New Roman" w:hAnsi="Times New Roman" w:cs="Times New Roman"/>
                <w:b/>
                <w:bCs/>
              </w:rPr>
              <w:t>Detection Rate</w:t>
            </w:r>
          </w:p>
        </w:tc>
        <w:tc>
          <w:tcPr>
            <w:tcW w:w="0" w:type="auto"/>
            <w:tcBorders>
              <w:top w:val="single" w:sz="4" w:space="0" w:color="auto"/>
              <w:bottom w:val="single" w:sz="4" w:space="0" w:color="auto"/>
            </w:tcBorders>
            <w:vAlign w:val="center"/>
            <w:hideMark/>
          </w:tcPr>
          <w:p w14:paraId="3EA0DCE3" w14:textId="77777777" w:rsidR="006E3099" w:rsidRPr="006E3099" w:rsidRDefault="006E3099" w:rsidP="00FC4CE5">
            <w:pPr>
              <w:spacing w:line="240" w:lineRule="auto"/>
              <w:jc w:val="center"/>
              <w:rPr>
                <w:rFonts w:ascii="Times New Roman" w:hAnsi="Times New Roman" w:cs="Times New Roman"/>
                <w:b/>
                <w:bCs/>
              </w:rPr>
            </w:pPr>
            <w:r w:rsidRPr="006E3099">
              <w:rPr>
                <w:rFonts w:ascii="Times New Roman" w:hAnsi="Times New Roman" w:cs="Times New Roman"/>
                <w:b/>
                <w:bCs/>
              </w:rPr>
              <w:t>Threats Blocked</w:t>
            </w:r>
          </w:p>
        </w:tc>
        <w:tc>
          <w:tcPr>
            <w:tcW w:w="0" w:type="auto"/>
            <w:tcBorders>
              <w:top w:val="single" w:sz="4" w:space="0" w:color="auto"/>
              <w:bottom w:val="single" w:sz="4" w:space="0" w:color="auto"/>
            </w:tcBorders>
            <w:vAlign w:val="center"/>
            <w:hideMark/>
          </w:tcPr>
          <w:p w14:paraId="3C46D1DF" w14:textId="77777777" w:rsidR="006E3099" w:rsidRPr="006E3099" w:rsidRDefault="006E3099" w:rsidP="00FC4CE5">
            <w:pPr>
              <w:spacing w:line="240" w:lineRule="auto"/>
              <w:jc w:val="center"/>
              <w:rPr>
                <w:rFonts w:ascii="Times New Roman" w:hAnsi="Times New Roman" w:cs="Times New Roman"/>
                <w:b/>
                <w:bCs/>
              </w:rPr>
            </w:pPr>
            <w:r w:rsidRPr="006E3099">
              <w:rPr>
                <w:rFonts w:ascii="Times New Roman" w:hAnsi="Times New Roman" w:cs="Times New Roman"/>
                <w:b/>
                <w:bCs/>
              </w:rPr>
              <w:t>Security Effectiveness</w:t>
            </w:r>
          </w:p>
        </w:tc>
      </w:tr>
      <w:tr w:rsidR="006E3099" w:rsidRPr="006E3099" w14:paraId="7506790F" w14:textId="77777777" w:rsidTr="00FC4CE5">
        <w:trPr>
          <w:trHeight w:val="483"/>
          <w:tblCellSpacing w:w="15" w:type="dxa"/>
        </w:trPr>
        <w:tc>
          <w:tcPr>
            <w:tcW w:w="0" w:type="auto"/>
            <w:vAlign w:val="center"/>
            <w:hideMark/>
          </w:tcPr>
          <w:p w14:paraId="64BEC112"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Zero-Effort Impersonation</w:t>
            </w:r>
          </w:p>
        </w:tc>
        <w:tc>
          <w:tcPr>
            <w:tcW w:w="0" w:type="auto"/>
            <w:vAlign w:val="center"/>
            <w:hideMark/>
          </w:tcPr>
          <w:p w14:paraId="0501C39B"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Random user attempts</w:t>
            </w:r>
          </w:p>
        </w:tc>
        <w:tc>
          <w:tcPr>
            <w:tcW w:w="0" w:type="auto"/>
            <w:vAlign w:val="center"/>
            <w:hideMark/>
          </w:tcPr>
          <w:p w14:paraId="2FB9D2A6"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FAR measurement</w:t>
            </w:r>
          </w:p>
        </w:tc>
        <w:tc>
          <w:tcPr>
            <w:tcW w:w="0" w:type="auto"/>
            <w:vAlign w:val="center"/>
            <w:hideMark/>
          </w:tcPr>
          <w:p w14:paraId="06D2ECC5"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~100%</w:t>
            </w:r>
          </w:p>
        </w:tc>
        <w:tc>
          <w:tcPr>
            <w:tcW w:w="0" w:type="auto"/>
            <w:vAlign w:val="center"/>
            <w:hideMark/>
          </w:tcPr>
          <w:p w14:paraId="64D1F976"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43/43</w:t>
            </w:r>
          </w:p>
        </w:tc>
        <w:tc>
          <w:tcPr>
            <w:tcW w:w="0" w:type="auto"/>
            <w:vAlign w:val="center"/>
            <w:hideMark/>
          </w:tcPr>
          <w:p w14:paraId="665C1109"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Critical</w:t>
            </w:r>
          </w:p>
        </w:tc>
      </w:tr>
      <w:tr w:rsidR="006E3099" w:rsidRPr="006E3099" w14:paraId="4F322FC4" w14:textId="77777777" w:rsidTr="00CE33FB">
        <w:trPr>
          <w:tblCellSpacing w:w="15" w:type="dxa"/>
        </w:trPr>
        <w:tc>
          <w:tcPr>
            <w:tcW w:w="0" w:type="auto"/>
            <w:vAlign w:val="center"/>
            <w:hideMark/>
          </w:tcPr>
          <w:p w14:paraId="145F18C8"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Skilled Mimicry</w:t>
            </w:r>
          </w:p>
        </w:tc>
        <w:tc>
          <w:tcPr>
            <w:tcW w:w="0" w:type="auto"/>
            <w:vAlign w:val="center"/>
            <w:hideMark/>
          </w:tcPr>
          <w:p w14:paraId="1F466C87"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Behavioral pattern imitation</w:t>
            </w:r>
          </w:p>
        </w:tc>
        <w:tc>
          <w:tcPr>
            <w:tcW w:w="0" w:type="auto"/>
            <w:vAlign w:val="center"/>
            <w:hideMark/>
          </w:tcPr>
          <w:p w14:paraId="6BBE2F89"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Pattern deviation detection</w:t>
            </w:r>
          </w:p>
        </w:tc>
        <w:tc>
          <w:tcPr>
            <w:tcW w:w="0" w:type="auto"/>
            <w:vAlign w:val="center"/>
            <w:hideMark/>
          </w:tcPr>
          <w:p w14:paraId="7A329952"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~93%</w:t>
            </w:r>
          </w:p>
        </w:tc>
        <w:tc>
          <w:tcPr>
            <w:tcW w:w="0" w:type="auto"/>
            <w:vAlign w:val="center"/>
            <w:hideMark/>
          </w:tcPr>
          <w:p w14:paraId="0230D70E"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13/14</w:t>
            </w:r>
          </w:p>
        </w:tc>
        <w:tc>
          <w:tcPr>
            <w:tcW w:w="0" w:type="auto"/>
            <w:vAlign w:val="center"/>
            <w:hideMark/>
          </w:tcPr>
          <w:p w14:paraId="26B6D5BB"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Critical</w:t>
            </w:r>
          </w:p>
        </w:tc>
      </w:tr>
      <w:tr w:rsidR="006E3099" w:rsidRPr="006E3099" w14:paraId="7F08B185" w14:textId="77777777" w:rsidTr="00CE33FB">
        <w:trPr>
          <w:tblCellSpacing w:w="15" w:type="dxa"/>
        </w:trPr>
        <w:tc>
          <w:tcPr>
            <w:tcW w:w="0" w:type="auto"/>
            <w:vAlign w:val="center"/>
            <w:hideMark/>
          </w:tcPr>
          <w:p w14:paraId="535F51F6"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Session Hijacking</w:t>
            </w:r>
          </w:p>
        </w:tc>
        <w:tc>
          <w:tcPr>
            <w:tcW w:w="0" w:type="auto"/>
            <w:vAlign w:val="center"/>
            <w:hideMark/>
          </w:tcPr>
          <w:p w14:paraId="0AD82974"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Mid-session credential takeover</w:t>
            </w:r>
          </w:p>
        </w:tc>
        <w:tc>
          <w:tcPr>
            <w:tcW w:w="0" w:type="auto"/>
            <w:vAlign w:val="center"/>
            <w:hideMark/>
          </w:tcPr>
          <w:p w14:paraId="21BB0DE0"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Anomaly detection in trust scores</w:t>
            </w:r>
          </w:p>
        </w:tc>
        <w:tc>
          <w:tcPr>
            <w:tcW w:w="0" w:type="auto"/>
            <w:vAlign w:val="center"/>
            <w:hideMark/>
          </w:tcPr>
          <w:p w14:paraId="20100FD6"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~68%</w:t>
            </w:r>
          </w:p>
        </w:tc>
        <w:tc>
          <w:tcPr>
            <w:tcW w:w="0" w:type="auto"/>
            <w:vAlign w:val="center"/>
            <w:hideMark/>
          </w:tcPr>
          <w:p w14:paraId="233C46D5"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12/18</w:t>
            </w:r>
          </w:p>
        </w:tc>
        <w:tc>
          <w:tcPr>
            <w:tcW w:w="0" w:type="auto"/>
            <w:vAlign w:val="center"/>
            <w:hideMark/>
          </w:tcPr>
          <w:p w14:paraId="5A7614CC"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High</w:t>
            </w:r>
          </w:p>
        </w:tc>
      </w:tr>
      <w:tr w:rsidR="006E3099" w:rsidRPr="006E3099" w14:paraId="49220BA1" w14:textId="77777777" w:rsidTr="00FC4CE5">
        <w:trPr>
          <w:trHeight w:val="321"/>
          <w:tblCellSpacing w:w="15" w:type="dxa"/>
        </w:trPr>
        <w:tc>
          <w:tcPr>
            <w:tcW w:w="0" w:type="auto"/>
            <w:vAlign w:val="center"/>
            <w:hideMark/>
          </w:tcPr>
          <w:p w14:paraId="0B8F2C3D"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Replay Attack</w:t>
            </w:r>
          </w:p>
        </w:tc>
        <w:tc>
          <w:tcPr>
            <w:tcW w:w="0" w:type="auto"/>
            <w:vAlign w:val="center"/>
            <w:hideMark/>
          </w:tcPr>
          <w:p w14:paraId="0EA0C973"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Resubmitted behavioral patterns</w:t>
            </w:r>
          </w:p>
        </w:tc>
        <w:tc>
          <w:tcPr>
            <w:tcW w:w="0" w:type="auto"/>
            <w:vAlign w:val="center"/>
            <w:hideMark/>
          </w:tcPr>
          <w:p w14:paraId="495CF77A"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Temporal consistency checking</w:t>
            </w:r>
          </w:p>
        </w:tc>
        <w:tc>
          <w:tcPr>
            <w:tcW w:w="0" w:type="auto"/>
            <w:vAlign w:val="center"/>
            <w:hideMark/>
          </w:tcPr>
          <w:p w14:paraId="0E8ECDBA"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~65%</w:t>
            </w:r>
          </w:p>
        </w:tc>
        <w:tc>
          <w:tcPr>
            <w:tcW w:w="0" w:type="auto"/>
            <w:vAlign w:val="center"/>
            <w:hideMark/>
          </w:tcPr>
          <w:p w14:paraId="17771A36"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8/12</w:t>
            </w:r>
          </w:p>
        </w:tc>
        <w:tc>
          <w:tcPr>
            <w:tcW w:w="0" w:type="auto"/>
            <w:vAlign w:val="center"/>
            <w:hideMark/>
          </w:tcPr>
          <w:p w14:paraId="4F354197"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High</w:t>
            </w:r>
          </w:p>
        </w:tc>
      </w:tr>
      <w:tr w:rsidR="006E3099" w:rsidRPr="006E3099" w14:paraId="05304C64" w14:textId="77777777" w:rsidTr="00FC4CE5">
        <w:trPr>
          <w:trHeight w:val="438"/>
          <w:tblCellSpacing w:w="15" w:type="dxa"/>
        </w:trPr>
        <w:tc>
          <w:tcPr>
            <w:tcW w:w="0" w:type="auto"/>
            <w:vAlign w:val="center"/>
            <w:hideMark/>
          </w:tcPr>
          <w:p w14:paraId="3A250E28"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Insider Threat</w:t>
            </w:r>
          </w:p>
        </w:tc>
        <w:tc>
          <w:tcPr>
            <w:tcW w:w="0" w:type="auto"/>
            <w:vAlign w:val="center"/>
            <w:hideMark/>
          </w:tcPr>
          <w:p w14:paraId="3A9CF93C"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Authorized user anomalous behavior</w:t>
            </w:r>
          </w:p>
        </w:tc>
        <w:tc>
          <w:tcPr>
            <w:tcW w:w="0" w:type="auto"/>
            <w:vAlign w:val="center"/>
            <w:hideMark/>
          </w:tcPr>
          <w:p w14:paraId="3312516F"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Feature importance deviation</w:t>
            </w:r>
          </w:p>
        </w:tc>
        <w:tc>
          <w:tcPr>
            <w:tcW w:w="0" w:type="auto"/>
            <w:vAlign w:val="center"/>
            <w:hideMark/>
          </w:tcPr>
          <w:p w14:paraId="60CAD29C"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~100%</w:t>
            </w:r>
          </w:p>
        </w:tc>
        <w:tc>
          <w:tcPr>
            <w:tcW w:w="0" w:type="auto"/>
            <w:vAlign w:val="center"/>
            <w:hideMark/>
          </w:tcPr>
          <w:p w14:paraId="5FFE88DB"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14/14</w:t>
            </w:r>
          </w:p>
        </w:tc>
        <w:tc>
          <w:tcPr>
            <w:tcW w:w="0" w:type="auto"/>
            <w:vAlign w:val="center"/>
            <w:hideMark/>
          </w:tcPr>
          <w:p w14:paraId="42D51FC3"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Critical</w:t>
            </w:r>
          </w:p>
        </w:tc>
      </w:tr>
      <w:tr w:rsidR="006E3099" w:rsidRPr="006E3099" w14:paraId="72D84D5B" w14:textId="77777777" w:rsidTr="00FC4CE5">
        <w:trPr>
          <w:trHeight w:val="555"/>
          <w:tblCellSpacing w:w="15" w:type="dxa"/>
        </w:trPr>
        <w:tc>
          <w:tcPr>
            <w:tcW w:w="0" w:type="auto"/>
            <w:tcBorders>
              <w:bottom w:val="single" w:sz="4" w:space="0" w:color="auto"/>
            </w:tcBorders>
            <w:vAlign w:val="center"/>
            <w:hideMark/>
          </w:tcPr>
          <w:p w14:paraId="28EF55EC"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Man-in-the-Middle</w:t>
            </w:r>
          </w:p>
        </w:tc>
        <w:tc>
          <w:tcPr>
            <w:tcW w:w="0" w:type="auto"/>
            <w:tcBorders>
              <w:bottom w:val="single" w:sz="4" w:space="0" w:color="auto"/>
            </w:tcBorders>
            <w:vAlign w:val="center"/>
            <w:hideMark/>
          </w:tcPr>
          <w:p w14:paraId="00BFFE0E"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Intercepted behavioral signals</w:t>
            </w:r>
          </w:p>
        </w:tc>
        <w:tc>
          <w:tcPr>
            <w:tcW w:w="0" w:type="auto"/>
            <w:tcBorders>
              <w:bottom w:val="single" w:sz="4" w:space="0" w:color="auto"/>
            </w:tcBorders>
            <w:vAlign w:val="center"/>
            <w:hideMark/>
          </w:tcPr>
          <w:p w14:paraId="6081FEDB"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Signal degradation detection</w:t>
            </w:r>
          </w:p>
        </w:tc>
        <w:tc>
          <w:tcPr>
            <w:tcW w:w="0" w:type="auto"/>
            <w:tcBorders>
              <w:bottom w:val="single" w:sz="4" w:space="0" w:color="auto"/>
            </w:tcBorders>
            <w:vAlign w:val="center"/>
            <w:hideMark/>
          </w:tcPr>
          <w:p w14:paraId="761AF1FF"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~76%</w:t>
            </w:r>
          </w:p>
        </w:tc>
        <w:tc>
          <w:tcPr>
            <w:tcW w:w="0" w:type="auto"/>
            <w:tcBorders>
              <w:bottom w:val="single" w:sz="4" w:space="0" w:color="auto"/>
            </w:tcBorders>
            <w:vAlign w:val="center"/>
            <w:hideMark/>
          </w:tcPr>
          <w:p w14:paraId="02C2B229"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13/17</w:t>
            </w:r>
          </w:p>
        </w:tc>
        <w:tc>
          <w:tcPr>
            <w:tcW w:w="0" w:type="auto"/>
            <w:tcBorders>
              <w:bottom w:val="single" w:sz="4" w:space="0" w:color="auto"/>
            </w:tcBorders>
            <w:vAlign w:val="center"/>
            <w:hideMark/>
          </w:tcPr>
          <w:p w14:paraId="02397F61"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High</w:t>
            </w:r>
          </w:p>
        </w:tc>
      </w:tr>
    </w:tbl>
    <w:p w14:paraId="6F1C97D5" w14:textId="088636AF" w:rsidR="006E3099" w:rsidRPr="006E3099" w:rsidRDefault="006E3099" w:rsidP="006E3099">
      <w:pPr>
        <w:spacing w:before="240" w:line="360" w:lineRule="auto"/>
        <w:jc w:val="both"/>
        <w:rPr>
          <w:rFonts w:ascii="Times New Roman" w:hAnsi="Times New Roman" w:cs="Times New Roman"/>
        </w:rPr>
      </w:pPr>
      <w:r w:rsidRPr="006E3099">
        <w:rPr>
          <w:rFonts w:ascii="Times New Roman" w:hAnsi="Times New Roman" w:cs="Times New Roman"/>
        </w:rPr>
        <w:t xml:space="preserve">Feature importance from Random Forest ranked keystroke aggregates highest at 42.1%, followed by mouse kinematics at 24.8%, as shown in Figure </w:t>
      </w:r>
      <w:r w:rsidR="00C64F40">
        <w:rPr>
          <w:rFonts w:ascii="Times New Roman" w:hAnsi="Times New Roman" w:cs="Times New Roman"/>
        </w:rPr>
        <w:t>8</w:t>
      </w:r>
      <w:r w:rsidRPr="006E3099">
        <w:rPr>
          <w:rFonts w:ascii="Times New Roman" w:hAnsi="Times New Roman" w:cs="Times New Roman"/>
        </w:rPr>
        <w:t>, where the top 15 features explained 68.3% variance, validating keystroke primacy in discriminative tasks.</w:t>
      </w:r>
    </w:p>
    <w:p w14:paraId="268C1C28" w14:textId="327D9792" w:rsidR="006E3099" w:rsidRPr="00DC2806" w:rsidRDefault="006E3099" w:rsidP="006E3099">
      <w:pPr>
        <w:spacing w:line="360" w:lineRule="auto"/>
        <w:jc w:val="both"/>
        <w:rPr>
          <w:rFonts w:ascii="Times New Roman" w:hAnsi="Times New Roman" w:cs="Times New Roman"/>
        </w:rPr>
      </w:pPr>
      <w:r w:rsidRPr="006E3099">
        <w:rPr>
          <w:rFonts w:ascii="Times New Roman" w:hAnsi="Times New Roman" w:cs="Times New Roman"/>
          <w:b/>
          <w:bCs/>
        </w:rPr>
        <w:t xml:space="preserve">Figure </w:t>
      </w:r>
      <w:r w:rsidR="00C64F40">
        <w:rPr>
          <w:rFonts w:ascii="Times New Roman" w:hAnsi="Times New Roman" w:cs="Times New Roman"/>
          <w:b/>
          <w:bCs/>
        </w:rPr>
        <w:t>8</w:t>
      </w:r>
      <w:r w:rsidRPr="006E3099">
        <w:rPr>
          <w:rFonts w:ascii="Times New Roman" w:hAnsi="Times New Roman" w:cs="Times New Roman"/>
          <w:i/>
          <w:iCs/>
        </w:rPr>
        <w:t xml:space="preserve">Feature Importance </w:t>
      </w:r>
    </w:p>
    <w:p w14:paraId="6820DFBA" w14:textId="77777777" w:rsidR="006E3099" w:rsidRPr="006E3099" w:rsidRDefault="006E3099" w:rsidP="006E3099">
      <w:pPr>
        <w:spacing w:line="360" w:lineRule="auto"/>
        <w:jc w:val="both"/>
        <w:rPr>
          <w:rFonts w:ascii="Times New Roman" w:hAnsi="Times New Roman" w:cs="Times New Roman"/>
          <w:i/>
          <w:iCs/>
        </w:rPr>
      </w:pPr>
      <w:r w:rsidRPr="006E3099">
        <w:rPr>
          <w:rFonts w:ascii="Times New Roman" w:hAnsi="Times New Roman" w:cs="Times New Roman"/>
          <w:noProof/>
        </w:rPr>
        <w:lastRenderedPageBreak/>
        <w:drawing>
          <wp:inline distT="0" distB="0" distL="0" distR="0" wp14:anchorId="34B3D2A4" wp14:editId="546723CA">
            <wp:extent cx="5943600" cy="3693795"/>
            <wp:effectExtent l="0" t="0" r="0" b="1905"/>
            <wp:docPr id="567106211" name="Picture 2" descr="A graph with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106211" name="Picture 2" descr="A graph with different colored bars&#10;&#10;AI-generated content may be incorrect."/>
                    <pic:cNvPicPr/>
                  </pic:nvPicPr>
                  <pic:blipFill rotWithShape="1">
                    <a:blip r:embed="rId13" cstate="print">
                      <a:extLst>
                        <a:ext uri="{28A0092B-C50C-407E-A947-70E740481C1C}">
                          <a14:useLocalDpi xmlns:a14="http://schemas.microsoft.com/office/drawing/2010/main" val="0"/>
                        </a:ext>
                      </a:extLst>
                    </a:blip>
                    <a:srcRect t="6283"/>
                    <a:stretch>
                      <a:fillRect/>
                    </a:stretch>
                  </pic:blipFill>
                  <pic:spPr bwMode="auto">
                    <a:xfrm>
                      <a:off x="0" y="0"/>
                      <a:ext cx="5943600" cy="3693795"/>
                    </a:xfrm>
                    <a:prstGeom prst="rect">
                      <a:avLst/>
                    </a:prstGeom>
                    <a:ln>
                      <a:noFill/>
                    </a:ln>
                    <a:extLst>
                      <a:ext uri="{53640926-AAD7-44D8-BBD7-CCE9431645EC}">
                        <a14:shadowObscured xmlns:a14="http://schemas.microsoft.com/office/drawing/2010/main"/>
                      </a:ext>
                    </a:extLst>
                  </pic:spPr>
                </pic:pic>
              </a:graphicData>
            </a:graphic>
          </wp:inline>
        </w:drawing>
      </w:r>
    </w:p>
    <w:p w14:paraId="5033E16C" w14:textId="25306D1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FAR-FRR tradeoff curves in Figure </w:t>
      </w:r>
      <w:r w:rsidR="00C64F40">
        <w:rPr>
          <w:rFonts w:ascii="Times New Roman" w:hAnsi="Times New Roman" w:cs="Times New Roman"/>
        </w:rPr>
        <w:t>9</w:t>
      </w:r>
      <w:r w:rsidRPr="006E3099">
        <w:rPr>
          <w:rFonts w:ascii="Times New Roman" w:hAnsi="Times New Roman" w:cs="Times New Roman"/>
        </w:rPr>
        <w:t xml:space="preserve"> highlights Equal Error Rate (EER) minima and Figure </w:t>
      </w:r>
      <w:r w:rsidR="00C64F40">
        <w:rPr>
          <w:rFonts w:ascii="Times New Roman" w:hAnsi="Times New Roman" w:cs="Times New Roman"/>
        </w:rPr>
        <w:t xml:space="preserve">10 </w:t>
      </w:r>
      <w:r w:rsidRPr="006E3099">
        <w:rPr>
          <w:rFonts w:ascii="Times New Roman" w:hAnsi="Times New Roman" w:cs="Times New Roman"/>
        </w:rPr>
        <w:t xml:space="preserve">shows the EER comparisons across all the models, with ensembles at 0.00% versus CNN's 20.02%, confirming threshold optimality via </w:t>
      </w:r>
      <m:oMath>
        <m:sSub>
          <m:sSubPr>
            <m:ctrlPr>
              <w:rPr>
                <w:rFonts w:ascii="Cambria Math" w:hAnsi="Cambria Math" w:cs="Times New Roman"/>
              </w:rPr>
            </m:ctrlPr>
          </m:sSubPr>
          <m:e>
            <m:r>
              <w:rPr>
                <w:rFonts w:ascii="Cambria Math" w:hAnsi="Cambria Math" w:cs="Times New Roman"/>
              </w:rPr>
              <m:t>τ</m:t>
            </m:r>
          </m:e>
          <m:sub>
            <m:r>
              <w:rPr>
                <w:rFonts w:ascii="Cambria Math" w:hAnsi="Cambria Math" w:cs="Times New Roman"/>
              </w:rPr>
              <m:t>EER</m:t>
            </m:r>
          </m:sub>
        </m:sSub>
      </m:oMath>
      <w:r w:rsidRPr="006E3099">
        <w:rPr>
          <w:rFonts w:ascii="Times New Roman" w:hAnsi="Times New Roman" w:cs="Times New Roman"/>
        </w:rPr>
        <w:t>interpolation.</w:t>
      </w:r>
    </w:p>
    <w:p w14:paraId="42CCD941" w14:textId="172C8F96" w:rsidR="00FC4CE5" w:rsidRPr="00DC2806"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 xml:space="preserve">Figure </w:t>
      </w:r>
      <w:r w:rsidR="00C64F40">
        <w:rPr>
          <w:rFonts w:ascii="Times New Roman" w:hAnsi="Times New Roman" w:cs="Times New Roman"/>
          <w:b/>
          <w:bCs/>
        </w:rPr>
        <w:t>9</w:t>
      </w:r>
      <w:r w:rsidR="00FC4CE5" w:rsidRPr="00FC4CE5">
        <w:rPr>
          <w:rFonts w:ascii="Times New Roman" w:hAnsi="Times New Roman" w:cs="Times New Roman"/>
          <w:i/>
          <w:iCs/>
        </w:rPr>
        <w:t>FAR-FRR Tradeoff Curves</w:t>
      </w:r>
    </w:p>
    <w:p w14:paraId="6BC4564D"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noProof/>
        </w:rPr>
        <w:lastRenderedPageBreak/>
        <w:drawing>
          <wp:inline distT="0" distB="0" distL="0" distR="0" wp14:anchorId="53EA1A66" wp14:editId="0621C72F">
            <wp:extent cx="5923048" cy="4223468"/>
            <wp:effectExtent l="0" t="0" r="1905" b="5715"/>
            <wp:docPr id="85425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2581" name="Picture 8542581"/>
                    <pic:cNvPicPr/>
                  </pic:nvPicPr>
                  <pic:blipFill rotWithShape="1">
                    <a:blip r:embed="rId14" cstate="print">
                      <a:extLst>
                        <a:ext uri="{28A0092B-C50C-407E-A947-70E740481C1C}">
                          <a14:useLocalDpi xmlns:a14="http://schemas.microsoft.com/office/drawing/2010/main" val="0"/>
                        </a:ext>
                      </a:extLst>
                    </a:blip>
                    <a:srcRect t="2898" b="-1"/>
                    <a:stretch>
                      <a:fillRect/>
                    </a:stretch>
                  </pic:blipFill>
                  <pic:spPr bwMode="auto">
                    <a:xfrm>
                      <a:off x="0" y="0"/>
                      <a:ext cx="5982536" cy="4265886"/>
                    </a:xfrm>
                    <a:prstGeom prst="rect">
                      <a:avLst/>
                    </a:prstGeom>
                    <a:ln>
                      <a:noFill/>
                    </a:ln>
                    <a:extLst>
                      <a:ext uri="{53640926-AAD7-44D8-BBD7-CCE9431645EC}">
                        <a14:shadowObscured xmlns:a14="http://schemas.microsoft.com/office/drawing/2010/main"/>
                      </a:ext>
                    </a:extLst>
                  </pic:spPr>
                </pic:pic>
              </a:graphicData>
            </a:graphic>
          </wp:inline>
        </w:drawing>
      </w:r>
    </w:p>
    <w:p w14:paraId="5658A079" w14:textId="238D3547" w:rsidR="00FC4CE5" w:rsidRPr="00DC2806" w:rsidRDefault="006E3099" w:rsidP="00FC4CE5">
      <w:pPr>
        <w:spacing w:line="360" w:lineRule="auto"/>
        <w:jc w:val="both"/>
        <w:rPr>
          <w:rFonts w:ascii="Times New Roman" w:hAnsi="Times New Roman" w:cs="Times New Roman"/>
          <w:b/>
          <w:bCs/>
        </w:rPr>
      </w:pPr>
      <w:r w:rsidRPr="006E3099">
        <w:rPr>
          <w:rFonts w:ascii="Times New Roman" w:hAnsi="Times New Roman" w:cs="Times New Roman"/>
          <w:b/>
          <w:bCs/>
        </w:rPr>
        <w:t xml:space="preserve">Figure </w:t>
      </w:r>
      <w:r w:rsidR="00C64F40">
        <w:rPr>
          <w:rFonts w:ascii="Times New Roman" w:hAnsi="Times New Roman" w:cs="Times New Roman"/>
          <w:b/>
          <w:bCs/>
        </w:rPr>
        <w:t>10</w:t>
      </w:r>
      <w:r w:rsidRPr="006E3099">
        <w:rPr>
          <w:rFonts w:ascii="Times New Roman" w:hAnsi="Times New Roman" w:cs="Times New Roman"/>
          <w:i/>
          <w:iCs/>
        </w:rPr>
        <w:t>EER Comparisons across all the Models</w:t>
      </w:r>
      <w:r w:rsidRPr="006E3099">
        <w:rPr>
          <w:rFonts w:ascii="Times New Roman" w:hAnsi="Times New Roman" w:cs="Times New Roman"/>
          <w:i/>
          <w:iCs/>
          <w:noProof/>
        </w:rPr>
        <w:t xml:space="preserve"> </w:t>
      </w:r>
    </w:p>
    <w:p w14:paraId="4F61D7A6" w14:textId="3D3C88CB" w:rsidR="006E3099" w:rsidRPr="006E3099" w:rsidRDefault="006E3099" w:rsidP="00FC4CE5">
      <w:pPr>
        <w:spacing w:line="360" w:lineRule="auto"/>
        <w:jc w:val="both"/>
        <w:rPr>
          <w:rFonts w:ascii="Times New Roman" w:hAnsi="Times New Roman" w:cs="Times New Roman"/>
        </w:rPr>
      </w:pPr>
      <w:r w:rsidRPr="006E3099">
        <w:rPr>
          <w:rFonts w:ascii="Times New Roman" w:hAnsi="Times New Roman" w:cs="Times New Roman"/>
          <w:noProof/>
        </w:rPr>
        <w:drawing>
          <wp:inline distT="0" distB="0" distL="0" distR="0" wp14:anchorId="42EEFEC6" wp14:editId="3339D770">
            <wp:extent cx="5645950" cy="3053301"/>
            <wp:effectExtent l="0" t="0" r="0" b="0"/>
            <wp:docPr id="1511854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854530" name="Picture 1511854530"/>
                    <pic:cNvPicPr/>
                  </pic:nvPicPr>
                  <pic:blipFill rotWithShape="1">
                    <a:blip r:embed="rId15" cstate="print">
                      <a:extLst>
                        <a:ext uri="{28A0092B-C50C-407E-A947-70E740481C1C}">
                          <a14:useLocalDpi xmlns:a14="http://schemas.microsoft.com/office/drawing/2010/main" val="0"/>
                        </a:ext>
                      </a:extLst>
                    </a:blip>
                    <a:srcRect t="6985"/>
                    <a:stretch>
                      <a:fillRect/>
                    </a:stretch>
                  </pic:blipFill>
                  <pic:spPr bwMode="auto">
                    <a:xfrm>
                      <a:off x="0" y="0"/>
                      <a:ext cx="5665548" cy="3063900"/>
                    </a:xfrm>
                    <a:prstGeom prst="rect">
                      <a:avLst/>
                    </a:prstGeom>
                    <a:ln>
                      <a:noFill/>
                    </a:ln>
                    <a:extLst>
                      <a:ext uri="{53640926-AAD7-44D8-BBD7-CCE9431645EC}">
                        <a14:shadowObscured xmlns:a14="http://schemas.microsoft.com/office/drawing/2010/main"/>
                      </a:ext>
                    </a:extLst>
                  </pic:spPr>
                </pic:pic>
              </a:graphicData>
            </a:graphic>
          </wp:inline>
        </w:drawing>
      </w:r>
    </w:p>
    <w:p w14:paraId="779AE3C0" w14:textId="69EB749A"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lastRenderedPageBreak/>
        <w:t xml:space="preserve">Healthcare compliance validation met all 10 requirements, including HIPAA's 45 CFR §164.312 for unique identification via biometric templates and audit trails at 99% completeness. Table </w:t>
      </w:r>
      <w:r w:rsidR="00FC4CE5">
        <w:rPr>
          <w:rFonts w:ascii="Times New Roman" w:hAnsi="Times New Roman" w:cs="Times New Roman"/>
        </w:rPr>
        <w:t>6</w:t>
      </w:r>
      <w:r w:rsidRPr="006E3099">
        <w:rPr>
          <w:rFonts w:ascii="Times New Roman" w:hAnsi="Times New Roman" w:cs="Times New Roman"/>
        </w:rPr>
        <w:t xml:space="preserve"> maps these, with 100% pass rate underscoring regulatory alignment.</w:t>
      </w:r>
    </w:p>
    <w:p w14:paraId="0C2044E6" w14:textId="262D039B" w:rsidR="006E3099" w:rsidRPr="00DC2806" w:rsidRDefault="006E3099" w:rsidP="006E3099">
      <w:pPr>
        <w:spacing w:line="360" w:lineRule="auto"/>
        <w:jc w:val="both"/>
        <w:rPr>
          <w:rFonts w:ascii="Times New Roman" w:hAnsi="Times New Roman" w:cs="Times New Roman"/>
        </w:rPr>
      </w:pPr>
      <w:r w:rsidRPr="006E3099">
        <w:rPr>
          <w:rFonts w:ascii="Times New Roman" w:hAnsi="Times New Roman" w:cs="Times New Roman"/>
          <w:b/>
          <w:bCs/>
        </w:rPr>
        <w:t xml:space="preserve">Table </w:t>
      </w:r>
      <w:r w:rsidR="00FC4CE5">
        <w:rPr>
          <w:rFonts w:ascii="Times New Roman" w:hAnsi="Times New Roman" w:cs="Times New Roman"/>
          <w:b/>
          <w:bCs/>
        </w:rPr>
        <w:t>6</w:t>
      </w:r>
      <w:r w:rsidRPr="006E3099">
        <w:rPr>
          <w:rFonts w:ascii="Times New Roman" w:hAnsi="Times New Roman" w:cs="Times New Roman"/>
        </w:rPr>
        <w:t xml:space="preserve"> </w:t>
      </w:r>
      <w:r w:rsidRPr="00FC4CE5">
        <w:rPr>
          <w:rFonts w:ascii="Times New Roman" w:hAnsi="Times New Roman" w:cs="Times New Roman"/>
          <w:i/>
          <w:iCs/>
        </w:rPr>
        <w:t>Healthcare-Specific Compliance Validation Matrix</w:t>
      </w:r>
    </w:p>
    <w:tbl>
      <w:tblPr>
        <w:tblW w:w="9864" w:type="dxa"/>
        <w:tblCellSpacing w:w="15" w:type="dxa"/>
        <w:tblCellMar>
          <w:top w:w="15" w:type="dxa"/>
          <w:left w:w="15" w:type="dxa"/>
          <w:bottom w:w="15" w:type="dxa"/>
          <w:right w:w="15" w:type="dxa"/>
        </w:tblCellMar>
        <w:tblLook w:val="04A0" w:firstRow="1" w:lastRow="0" w:firstColumn="1" w:lastColumn="0" w:noHBand="0" w:noVBand="1"/>
      </w:tblPr>
      <w:tblGrid>
        <w:gridCol w:w="2082"/>
        <w:gridCol w:w="3186"/>
        <w:gridCol w:w="1349"/>
        <w:gridCol w:w="1719"/>
        <w:gridCol w:w="1528"/>
      </w:tblGrid>
      <w:tr w:rsidR="006E3099" w:rsidRPr="006E3099" w14:paraId="66410F5A" w14:textId="77777777" w:rsidTr="00FC4CE5">
        <w:trPr>
          <w:trHeight w:val="44"/>
          <w:tblHeader/>
          <w:tblCellSpacing w:w="15" w:type="dxa"/>
        </w:trPr>
        <w:tc>
          <w:tcPr>
            <w:tcW w:w="0" w:type="auto"/>
            <w:tcBorders>
              <w:top w:val="single" w:sz="4" w:space="0" w:color="auto"/>
              <w:bottom w:val="single" w:sz="4" w:space="0" w:color="auto"/>
            </w:tcBorders>
            <w:vAlign w:val="center"/>
            <w:hideMark/>
          </w:tcPr>
          <w:p w14:paraId="4CFFE0AE" w14:textId="77777777" w:rsidR="006E3099" w:rsidRPr="006E3099" w:rsidRDefault="006E3099" w:rsidP="006A32DE">
            <w:pPr>
              <w:spacing w:line="240" w:lineRule="auto"/>
              <w:rPr>
                <w:rFonts w:ascii="Times New Roman" w:hAnsi="Times New Roman" w:cs="Times New Roman"/>
                <w:b/>
                <w:bCs/>
              </w:rPr>
            </w:pPr>
            <w:r w:rsidRPr="006E3099">
              <w:rPr>
                <w:rFonts w:ascii="Times New Roman" w:hAnsi="Times New Roman" w:cs="Times New Roman"/>
                <w:b/>
                <w:bCs/>
              </w:rPr>
              <w:t>Requirement</w:t>
            </w:r>
          </w:p>
        </w:tc>
        <w:tc>
          <w:tcPr>
            <w:tcW w:w="0" w:type="auto"/>
            <w:tcBorders>
              <w:top w:val="single" w:sz="4" w:space="0" w:color="auto"/>
              <w:bottom w:val="single" w:sz="4" w:space="0" w:color="auto"/>
            </w:tcBorders>
            <w:vAlign w:val="center"/>
            <w:hideMark/>
          </w:tcPr>
          <w:p w14:paraId="0F5B44BC" w14:textId="77777777" w:rsidR="006E3099" w:rsidRPr="006E3099" w:rsidRDefault="006E3099" w:rsidP="00FC4CE5">
            <w:pPr>
              <w:spacing w:line="240" w:lineRule="auto"/>
              <w:jc w:val="center"/>
              <w:rPr>
                <w:rFonts w:ascii="Times New Roman" w:hAnsi="Times New Roman" w:cs="Times New Roman"/>
                <w:b/>
                <w:bCs/>
              </w:rPr>
            </w:pPr>
            <w:r w:rsidRPr="006E3099">
              <w:rPr>
                <w:rFonts w:ascii="Times New Roman" w:hAnsi="Times New Roman" w:cs="Times New Roman"/>
                <w:b/>
                <w:bCs/>
              </w:rPr>
              <w:t>Implementation Status</w:t>
            </w:r>
          </w:p>
        </w:tc>
        <w:tc>
          <w:tcPr>
            <w:tcW w:w="0" w:type="auto"/>
            <w:tcBorders>
              <w:top w:val="single" w:sz="4" w:space="0" w:color="auto"/>
              <w:bottom w:val="single" w:sz="4" w:space="0" w:color="auto"/>
            </w:tcBorders>
            <w:vAlign w:val="center"/>
            <w:hideMark/>
          </w:tcPr>
          <w:p w14:paraId="3B68ABC0" w14:textId="77777777" w:rsidR="006E3099" w:rsidRPr="006E3099" w:rsidRDefault="006E3099" w:rsidP="00FC4CE5">
            <w:pPr>
              <w:spacing w:line="240" w:lineRule="auto"/>
              <w:jc w:val="center"/>
              <w:rPr>
                <w:rFonts w:ascii="Times New Roman" w:hAnsi="Times New Roman" w:cs="Times New Roman"/>
                <w:b/>
                <w:bCs/>
              </w:rPr>
            </w:pPr>
            <w:r w:rsidRPr="006E3099">
              <w:rPr>
                <w:rFonts w:ascii="Times New Roman" w:hAnsi="Times New Roman" w:cs="Times New Roman"/>
                <w:b/>
                <w:bCs/>
              </w:rPr>
              <w:t>Validation Result</w:t>
            </w:r>
          </w:p>
        </w:tc>
        <w:tc>
          <w:tcPr>
            <w:tcW w:w="1689" w:type="dxa"/>
            <w:tcBorders>
              <w:top w:val="single" w:sz="4" w:space="0" w:color="auto"/>
              <w:bottom w:val="single" w:sz="4" w:space="0" w:color="auto"/>
            </w:tcBorders>
            <w:vAlign w:val="center"/>
            <w:hideMark/>
          </w:tcPr>
          <w:p w14:paraId="3991BB38" w14:textId="77777777" w:rsidR="006E3099" w:rsidRPr="006E3099" w:rsidRDefault="006E3099" w:rsidP="00FC4CE5">
            <w:pPr>
              <w:spacing w:line="240" w:lineRule="auto"/>
              <w:jc w:val="center"/>
              <w:rPr>
                <w:rFonts w:ascii="Times New Roman" w:hAnsi="Times New Roman" w:cs="Times New Roman"/>
                <w:b/>
                <w:bCs/>
              </w:rPr>
            </w:pPr>
            <w:r w:rsidRPr="006E3099">
              <w:rPr>
                <w:rFonts w:ascii="Times New Roman" w:hAnsi="Times New Roman" w:cs="Times New Roman"/>
                <w:b/>
                <w:bCs/>
              </w:rPr>
              <w:t>Performance Metric</w:t>
            </w:r>
          </w:p>
        </w:tc>
        <w:tc>
          <w:tcPr>
            <w:tcW w:w="1483" w:type="dxa"/>
            <w:tcBorders>
              <w:top w:val="single" w:sz="4" w:space="0" w:color="auto"/>
              <w:bottom w:val="single" w:sz="4" w:space="0" w:color="auto"/>
            </w:tcBorders>
            <w:vAlign w:val="center"/>
            <w:hideMark/>
          </w:tcPr>
          <w:p w14:paraId="26C81E59" w14:textId="77777777" w:rsidR="006E3099" w:rsidRPr="006E3099" w:rsidRDefault="006E3099" w:rsidP="00FC4CE5">
            <w:pPr>
              <w:spacing w:line="240" w:lineRule="auto"/>
              <w:jc w:val="center"/>
              <w:rPr>
                <w:rFonts w:ascii="Times New Roman" w:hAnsi="Times New Roman" w:cs="Times New Roman"/>
                <w:b/>
                <w:bCs/>
              </w:rPr>
            </w:pPr>
            <w:r w:rsidRPr="006E3099">
              <w:rPr>
                <w:rFonts w:ascii="Times New Roman" w:hAnsi="Times New Roman" w:cs="Times New Roman"/>
                <w:b/>
                <w:bCs/>
              </w:rPr>
              <w:t>Compliance Status</w:t>
            </w:r>
          </w:p>
        </w:tc>
      </w:tr>
      <w:tr w:rsidR="006E3099" w:rsidRPr="006E3099" w14:paraId="5EADA48F" w14:textId="77777777" w:rsidTr="00FC4CE5">
        <w:trPr>
          <w:trHeight w:val="384"/>
          <w:tblCellSpacing w:w="15" w:type="dxa"/>
        </w:trPr>
        <w:tc>
          <w:tcPr>
            <w:tcW w:w="0" w:type="auto"/>
            <w:vAlign w:val="center"/>
            <w:hideMark/>
          </w:tcPr>
          <w:p w14:paraId="68F6D36C"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HIPAA Authentication Standards</w:t>
            </w:r>
          </w:p>
        </w:tc>
        <w:tc>
          <w:tcPr>
            <w:tcW w:w="0" w:type="auto"/>
            <w:vAlign w:val="center"/>
            <w:hideMark/>
          </w:tcPr>
          <w:p w14:paraId="6019CD5E"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Implemented (Multi-factor, continuous monitoring)</w:t>
            </w:r>
          </w:p>
        </w:tc>
        <w:tc>
          <w:tcPr>
            <w:tcW w:w="0" w:type="auto"/>
            <w:vAlign w:val="center"/>
            <w:hideMark/>
          </w:tcPr>
          <w:p w14:paraId="58E88802" w14:textId="77777777" w:rsidR="006E3099" w:rsidRPr="006E3099" w:rsidRDefault="006E3099" w:rsidP="00FC4CE5">
            <w:pPr>
              <w:spacing w:line="240" w:lineRule="auto"/>
              <w:jc w:val="center"/>
              <w:rPr>
                <w:rFonts w:ascii="Times New Roman" w:hAnsi="Times New Roman" w:cs="Times New Roman"/>
              </w:rPr>
            </w:pPr>
            <w:r w:rsidRPr="006E3099">
              <w:rPr>
                <w:rFonts w:ascii="Segoe UI Symbol" w:hAnsi="Segoe UI Symbol" w:cs="Segoe UI Symbol"/>
              </w:rPr>
              <w:t>✓</w:t>
            </w:r>
            <w:r w:rsidRPr="006E3099">
              <w:rPr>
                <w:rFonts w:ascii="Times New Roman" w:hAnsi="Times New Roman" w:cs="Times New Roman"/>
              </w:rPr>
              <w:t xml:space="preserve"> Validated</w:t>
            </w:r>
          </w:p>
        </w:tc>
        <w:tc>
          <w:tcPr>
            <w:tcW w:w="1689" w:type="dxa"/>
            <w:vAlign w:val="center"/>
            <w:hideMark/>
          </w:tcPr>
          <w:p w14:paraId="6BB68E0A"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98% accuracy, 0% FAR</w:t>
            </w:r>
          </w:p>
        </w:tc>
        <w:tc>
          <w:tcPr>
            <w:tcW w:w="1483" w:type="dxa"/>
            <w:vAlign w:val="center"/>
            <w:hideMark/>
          </w:tcPr>
          <w:p w14:paraId="55740340"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PASS</w:t>
            </w:r>
          </w:p>
        </w:tc>
      </w:tr>
      <w:tr w:rsidR="006E3099" w:rsidRPr="006E3099" w14:paraId="24183D30" w14:textId="77777777" w:rsidTr="00FC4CE5">
        <w:trPr>
          <w:trHeight w:val="555"/>
          <w:tblCellSpacing w:w="15" w:type="dxa"/>
        </w:trPr>
        <w:tc>
          <w:tcPr>
            <w:tcW w:w="0" w:type="auto"/>
            <w:vAlign w:val="center"/>
            <w:hideMark/>
          </w:tcPr>
          <w:p w14:paraId="468EFAE2"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Continuous Access Monitoring</w:t>
            </w:r>
          </w:p>
        </w:tc>
        <w:tc>
          <w:tcPr>
            <w:tcW w:w="0" w:type="auto"/>
            <w:vAlign w:val="center"/>
            <w:hideMark/>
          </w:tcPr>
          <w:p w14:paraId="763B9062"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Implemented (Real-time trust scoring every keystroke)</w:t>
            </w:r>
          </w:p>
        </w:tc>
        <w:tc>
          <w:tcPr>
            <w:tcW w:w="0" w:type="auto"/>
            <w:vAlign w:val="center"/>
            <w:hideMark/>
          </w:tcPr>
          <w:p w14:paraId="661EE919" w14:textId="77777777" w:rsidR="006E3099" w:rsidRPr="006E3099" w:rsidRDefault="006E3099" w:rsidP="00FC4CE5">
            <w:pPr>
              <w:spacing w:line="240" w:lineRule="auto"/>
              <w:jc w:val="center"/>
              <w:rPr>
                <w:rFonts w:ascii="Times New Roman" w:hAnsi="Times New Roman" w:cs="Times New Roman"/>
              </w:rPr>
            </w:pPr>
            <w:r w:rsidRPr="006E3099">
              <w:rPr>
                <w:rFonts w:ascii="Segoe UI Symbol" w:hAnsi="Segoe UI Symbol" w:cs="Segoe UI Symbol"/>
              </w:rPr>
              <w:t>✓</w:t>
            </w:r>
            <w:r w:rsidRPr="006E3099">
              <w:rPr>
                <w:rFonts w:ascii="Times New Roman" w:hAnsi="Times New Roman" w:cs="Times New Roman"/>
              </w:rPr>
              <w:t xml:space="preserve"> Validated</w:t>
            </w:r>
          </w:p>
        </w:tc>
        <w:tc>
          <w:tcPr>
            <w:tcW w:w="1689" w:type="dxa"/>
            <w:vAlign w:val="center"/>
            <w:hideMark/>
          </w:tcPr>
          <w:p w14:paraId="4AE15AB1"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100 ms response time</w:t>
            </w:r>
          </w:p>
        </w:tc>
        <w:tc>
          <w:tcPr>
            <w:tcW w:w="1483" w:type="dxa"/>
            <w:vAlign w:val="center"/>
            <w:hideMark/>
          </w:tcPr>
          <w:p w14:paraId="426126BF"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PASS</w:t>
            </w:r>
          </w:p>
        </w:tc>
      </w:tr>
      <w:tr w:rsidR="006E3099" w:rsidRPr="006E3099" w14:paraId="38568837" w14:textId="77777777" w:rsidTr="00FC4CE5">
        <w:trPr>
          <w:trHeight w:val="501"/>
          <w:tblCellSpacing w:w="15" w:type="dxa"/>
        </w:trPr>
        <w:tc>
          <w:tcPr>
            <w:tcW w:w="0" w:type="auto"/>
            <w:vAlign w:val="center"/>
            <w:hideMark/>
          </w:tcPr>
          <w:p w14:paraId="50F01F12"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Audit Trail Logging</w:t>
            </w:r>
          </w:p>
        </w:tc>
        <w:tc>
          <w:tcPr>
            <w:tcW w:w="0" w:type="auto"/>
            <w:vAlign w:val="center"/>
            <w:hideMark/>
          </w:tcPr>
          <w:p w14:paraId="26E4DE11"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Implemented (All authentication events logged with timestamps)</w:t>
            </w:r>
          </w:p>
        </w:tc>
        <w:tc>
          <w:tcPr>
            <w:tcW w:w="0" w:type="auto"/>
            <w:vAlign w:val="center"/>
            <w:hideMark/>
          </w:tcPr>
          <w:p w14:paraId="3527F490" w14:textId="77777777" w:rsidR="006E3099" w:rsidRPr="006E3099" w:rsidRDefault="006E3099" w:rsidP="00FC4CE5">
            <w:pPr>
              <w:spacing w:line="240" w:lineRule="auto"/>
              <w:jc w:val="center"/>
              <w:rPr>
                <w:rFonts w:ascii="Times New Roman" w:hAnsi="Times New Roman" w:cs="Times New Roman"/>
              </w:rPr>
            </w:pPr>
            <w:r w:rsidRPr="006E3099">
              <w:rPr>
                <w:rFonts w:ascii="Segoe UI Symbol" w:hAnsi="Segoe UI Symbol" w:cs="Segoe UI Symbol"/>
              </w:rPr>
              <w:t>✓</w:t>
            </w:r>
            <w:r w:rsidRPr="006E3099">
              <w:rPr>
                <w:rFonts w:ascii="Times New Roman" w:hAnsi="Times New Roman" w:cs="Times New Roman"/>
              </w:rPr>
              <w:t xml:space="preserve"> Validated</w:t>
            </w:r>
          </w:p>
        </w:tc>
        <w:tc>
          <w:tcPr>
            <w:tcW w:w="1689" w:type="dxa"/>
            <w:vAlign w:val="center"/>
            <w:hideMark/>
          </w:tcPr>
          <w:p w14:paraId="58DE0F9A"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99% log completeness</w:t>
            </w:r>
          </w:p>
        </w:tc>
        <w:tc>
          <w:tcPr>
            <w:tcW w:w="1483" w:type="dxa"/>
            <w:vAlign w:val="center"/>
            <w:hideMark/>
          </w:tcPr>
          <w:p w14:paraId="5A09783C"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PASS</w:t>
            </w:r>
          </w:p>
        </w:tc>
      </w:tr>
      <w:tr w:rsidR="006E3099" w:rsidRPr="006E3099" w14:paraId="7D3D91F9" w14:textId="77777777" w:rsidTr="006E3099">
        <w:trPr>
          <w:trHeight w:val="841"/>
          <w:tblCellSpacing w:w="15" w:type="dxa"/>
        </w:trPr>
        <w:tc>
          <w:tcPr>
            <w:tcW w:w="0" w:type="auto"/>
            <w:vAlign w:val="center"/>
            <w:hideMark/>
          </w:tcPr>
          <w:p w14:paraId="6AB46777"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Anomaly Detection</w:t>
            </w:r>
          </w:p>
        </w:tc>
        <w:tc>
          <w:tcPr>
            <w:tcW w:w="0" w:type="auto"/>
            <w:vAlign w:val="center"/>
            <w:hideMark/>
          </w:tcPr>
          <w:p w14:paraId="25F236FE"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Implemented (Insider threat detection system)</w:t>
            </w:r>
          </w:p>
        </w:tc>
        <w:tc>
          <w:tcPr>
            <w:tcW w:w="0" w:type="auto"/>
            <w:vAlign w:val="center"/>
            <w:hideMark/>
          </w:tcPr>
          <w:p w14:paraId="5834844A" w14:textId="77777777" w:rsidR="006E3099" w:rsidRPr="006E3099" w:rsidRDefault="006E3099" w:rsidP="00FC4CE5">
            <w:pPr>
              <w:spacing w:line="240" w:lineRule="auto"/>
              <w:jc w:val="center"/>
              <w:rPr>
                <w:rFonts w:ascii="Times New Roman" w:hAnsi="Times New Roman" w:cs="Times New Roman"/>
              </w:rPr>
            </w:pPr>
            <w:r w:rsidRPr="006E3099">
              <w:rPr>
                <w:rFonts w:ascii="Segoe UI Symbol" w:hAnsi="Segoe UI Symbol" w:cs="Segoe UI Symbol"/>
              </w:rPr>
              <w:t>✓</w:t>
            </w:r>
            <w:r w:rsidRPr="006E3099">
              <w:rPr>
                <w:rFonts w:ascii="Times New Roman" w:hAnsi="Times New Roman" w:cs="Times New Roman"/>
              </w:rPr>
              <w:t xml:space="preserve"> Validated</w:t>
            </w:r>
          </w:p>
        </w:tc>
        <w:tc>
          <w:tcPr>
            <w:tcW w:w="1689" w:type="dxa"/>
            <w:vAlign w:val="center"/>
            <w:hideMark/>
          </w:tcPr>
          <w:p w14:paraId="71C3F8CD"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100% insider detection</w:t>
            </w:r>
          </w:p>
        </w:tc>
        <w:tc>
          <w:tcPr>
            <w:tcW w:w="1483" w:type="dxa"/>
            <w:vAlign w:val="center"/>
            <w:hideMark/>
          </w:tcPr>
          <w:p w14:paraId="062CBC39"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PASS</w:t>
            </w:r>
          </w:p>
        </w:tc>
      </w:tr>
      <w:tr w:rsidR="006E3099" w:rsidRPr="006E3099" w14:paraId="0FC34992" w14:textId="77777777" w:rsidTr="00FC4CE5">
        <w:trPr>
          <w:trHeight w:val="339"/>
          <w:tblCellSpacing w:w="15" w:type="dxa"/>
        </w:trPr>
        <w:tc>
          <w:tcPr>
            <w:tcW w:w="0" w:type="auto"/>
            <w:vAlign w:val="center"/>
            <w:hideMark/>
          </w:tcPr>
          <w:p w14:paraId="3E15F14C"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Patient Data Protection</w:t>
            </w:r>
          </w:p>
        </w:tc>
        <w:tc>
          <w:tcPr>
            <w:tcW w:w="0" w:type="auto"/>
            <w:vAlign w:val="center"/>
            <w:hideMark/>
          </w:tcPr>
          <w:p w14:paraId="6AD6C38D"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Implemented (Encryption + behavioral verification)</w:t>
            </w:r>
          </w:p>
        </w:tc>
        <w:tc>
          <w:tcPr>
            <w:tcW w:w="0" w:type="auto"/>
            <w:vAlign w:val="center"/>
            <w:hideMark/>
          </w:tcPr>
          <w:p w14:paraId="4C18FB59" w14:textId="77777777" w:rsidR="006E3099" w:rsidRPr="006E3099" w:rsidRDefault="006E3099" w:rsidP="00FC4CE5">
            <w:pPr>
              <w:spacing w:line="240" w:lineRule="auto"/>
              <w:jc w:val="center"/>
              <w:rPr>
                <w:rFonts w:ascii="Times New Roman" w:hAnsi="Times New Roman" w:cs="Times New Roman"/>
              </w:rPr>
            </w:pPr>
            <w:r w:rsidRPr="006E3099">
              <w:rPr>
                <w:rFonts w:ascii="Segoe UI Symbol" w:hAnsi="Segoe UI Symbol" w:cs="Segoe UI Symbol"/>
              </w:rPr>
              <w:t>✓</w:t>
            </w:r>
            <w:r w:rsidRPr="006E3099">
              <w:rPr>
                <w:rFonts w:ascii="Times New Roman" w:hAnsi="Times New Roman" w:cs="Times New Roman"/>
              </w:rPr>
              <w:t xml:space="preserve"> Validated</w:t>
            </w:r>
          </w:p>
        </w:tc>
        <w:tc>
          <w:tcPr>
            <w:tcW w:w="1689" w:type="dxa"/>
            <w:vAlign w:val="center"/>
            <w:hideMark/>
          </w:tcPr>
          <w:p w14:paraId="756F5A5F"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0 unauthorized access</w:t>
            </w:r>
          </w:p>
        </w:tc>
        <w:tc>
          <w:tcPr>
            <w:tcW w:w="1483" w:type="dxa"/>
            <w:vAlign w:val="center"/>
            <w:hideMark/>
          </w:tcPr>
          <w:p w14:paraId="4BEAF4EF"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PASS</w:t>
            </w:r>
          </w:p>
        </w:tc>
      </w:tr>
      <w:tr w:rsidR="006E3099" w:rsidRPr="006E3099" w14:paraId="0A9ECC7F" w14:textId="77777777" w:rsidTr="00FC4CE5">
        <w:trPr>
          <w:trHeight w:val="285"/>
          <w:tblCellSpacing w:w="15" w:type="dxa"/>
        </w:trPr>
        <w:tc>
          <w:tcPr>
            <w:tcW w:w="0" w:type="auto"/>
            <w:vAlign w:val="center"/>
            <w:hideMark/>
          </w:tcPr>
          <w:p w14:paraId="51EA2A39"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Clinical Workflow Integration</w:t>
            </w:r>
          </w:p>
        </w:tc>
        <w:tc>
          <w:tcPr>
            <w:tcW w:w="0" w:type="auto"/>
            <w:vAlign w:val="center"/>
            <w:hideMark/>
          </w:tcPr>
          <w:p w14:paraId="1F62B1CA"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Implemented (Passive, frictionless authentication)</w:t>
            </w:r>
          </w:p>
        </w:tc>
        <w:tc>
          <w:tcPr>
            <w:tcW w:w="0" w:type="auto"/>
            <w:vAlign w:val="center"/>
            <w:hideMark/>
          </w:tcPr>
          <w:p w14:paraId="284B4722" w14:textId="77777777" w:rsidR="006E3099" w:rsidRPr="006E3099" w:rsidRDefault="006E3099" w:rsidP="00FC4CE5">
            <w:pPr>
              <w:spacing w:line="240" w:lineRule="auto"/>
              <w:jc w:val="center"/>
              <w:rPr>
                <w:rFonts w:ascii="Times New Roman" w:hAnsi="Times New Roman" w:cs="Times New Roman"/>
              </w:rPr>
            </w:pPr>
            <w:r w:rsidRPr="006E3099">
              <w:rPr>
                <w:rFonts w:ascii="Segoe UI Symbol" w:hAnsi="Segoe UI Symbol" w:cs="Segoe UI Symbol"/>
              </w:rPr>
              <w:t>✓</w:t>
            </w:r>
            <w:r w:rsidRPr="006E3099">
              <w:rPr>
                <w:rFonts w:ascii="Times New Roman" w:hAnsi="Times New Roman" w:cs="Times New Roman"/>
              </w:rPr>
              <w:t xml:space="preserve"> Validated</w:t>
            </w:r>
          </w:p>
        </w:tc>
        <w:tc>
          <w:tcPr>
            <w:tcW w:w="1689" w:type="dxa"/>
            <w:vAlign w:val="center"/>
            <w:hideMark/>
          </w:tcPr>
          <w:p w14:paraId="6AF4B865"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0 workflow disruptions</w:t>
            </w:r>
          </w:p>
        </w:tc>
        <w:tc>
          <w:tcPr>
            <w:tcW w:w="1483" w:type="dxa"/>
            <w:vAlign w:val="center"/>
            <w:hideMark/>
          </w:tcPr>
          <w:p w14:paraId="4952DAC0"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PASS</w:t>
            </w:r>
          </w:p>
        </w:tc>
      </w:tr>
      <w:tr w:rsidR="006E3099" w:rsidRPr="006E3099" w14:paraId="4590257D" w14:textId="77777777" w:rsidTr="00FC4CE5">
        <w:trPr>
          <w:trHeight w:val="60"/>
          <w:tblCellSpacing w:w="15" w:type="dxa"/>
        </w:trPr>
        <w:tc>
          <w:tcPr>
            <w:tcW w:w="0" w:type="auto"/>
            <w:vAlign w:val="center"/>
            <w:hideMark/>
          </w:tcPr>
          <w:p w14:paraId="0917E853"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Real-Time Threat Response</w:t>
            </w:r>
          </w:p>
        </w:tc>
        <w:tc>
          <w:tcPr>
            <w:tcW w:w="0" w:type="auto"/>
            <w:vAlign w:val="center"/>
            <w:hideMark/>
          </w:tcPr>
          <w:p w14:paraId="753876DD"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Implemented (Immediate session lockdown on threat)</w:t>
            </w:r>
          </w:p>
        </w:tc>
        <w:tc>
          <w:tcPr>
            <w:tcW w:w="0" w:type="auto"/>
            <w:vAlign w:val="center"/>
            <w:hideMark/>
          </w:tcPr>
          <w:p w14:paraId="1234FDC4" w14:textId="77777777" w:rsidR="006E3099" w:rsidRPr="006E3099" w:rsidRDefault="006E3099" w:rsidP="00FC4CE5">
            <w:pPr>
              <w:spacing w:line="240" w:lineRule="auto"/>
              <w:jc w:val="center"/>
              <w:rPr>
                <w:rFonts w:ascii="Times New Roman" w:hAnsi="Times New Roman" w:cs="Times New Roman"/>
              </w:rPr>
            </w:pPr>
            <w:r w:rsidRPr="006E3099">
              <w:rPr>
                <w:rFonts w:ascii="Segoe UI Symbol" w:hAnsi="Segoe UI Symbol" w:cs="Segoe UI Symbol"/>
              </w:rPr>
              <w:t>✓</w:t>
            </w:r>
            <w:r w:rsidRPr="006E3099">
              <w:rPr>
                <w:rFonts w:ascii="Times New Roman" w:hAnsi="Times New Roman" w:cs="Times New Roman"/>
              </w:rPr>
              <w:t xml:space="preserve"> Validated</w:t>
            </w:r>
          </w:p>
        </w:tc>
        <w:tc>
          <w:tcPr>
            <w:tcW w:w="1689" w:type="dxa"/>
            <w:vAlign w:val="center"/>
            <w:hideMark/>
          </w:tcPr>
          <w:p w14:paraId="15F7F6E3"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&lt;100 ms threat response</w:t>
            </w:r>
          </w:p>
        </w:tc>
        <w:tc>
          <w:tcPr>
            <w:tcW w:w="1483" w:type="dxa"/>
            <w:vAlign w:val="center"/>
            <w:hideMark/>
          </w:tcPr>
          <w:p w14:paraId="64C71C28"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PASS</w:t>
            </w:r>
          </w:p>
        </w:tc>
      </w:tr>
      <w:tr w:rsidR="006E3099" w:rsidRPr="006E3099" w14:paraId="75A249BC" w14:textId="77777777" w:rsidTr="00FC4CE5">
        <w:trPr>
          <w:trHeight w:val="96"/>
          <w:tblCellSpacing w:w="15" w:type="dxa"/>
        </w:trPr>
        <w:tc>
          <w:tcPr>
            <w:tcW w:w="0" w:type="auto"/>
            <w:vAlign w:val="center"/>
            <w:hideMark/>
          </w:tcPr>
          <w:p w14:paraId="45FB0906"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Remote Work Security</w:t>
            </w:r>
          </w:p>
        </w:tc>
        <w:tc>
          <w:tcPr>
            <w:tcW w:w="0" w:type="auto"/>
            <w:vAlign w:val="center"/>
            <w:hideMark/>
          </w:tcPr>
          <w:p w14:paraId="4A95F223"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Implemented (Zero-trust, location-independent)</w:t>
            </w:r>
          </w:p>
        </w:tc>
        <w:tc>
          <w:tcPr>
            <w:tcW w:w="0" w:type="auto"/>
            <w:vAlign w:val="center"/>
            <w:hideMark/>
          </w:tcPr>
          <w:p w14:paraId="75770313" w14:textId="77777777" w:rsidR="006E3099" w:rsidRPr="006E3099" w:rsidRDefault="006E3099" w:rsidP="00FC4CE5">
            <w:pPr>
              <w:spacing w:line="240" w:lineRule="auto"/>
              <w:jc w:val="center"/>
              <w:rPr>
                <w:rFonts w:ascii="Times New Roman" w:hAnsi="Times New Roman" w:cs="Times New Roman"/>
              </w:rPr>
            </w:pPr>
            <w:r w:rsidRPr="006E3099">
              <w:rPr>
                <w:rFonts w:ascii="Segoe UI Symbol" w:hAnsi="Segoe UI Symbol" w:cs="Segoe UI Symbol"/>
              </w:rPr>
              <w:t>✓</w:t>
            </w:r>
            <w:r w:rsidRPr="006E3099">
              <w:rPr>
                <w:rFonts w:ascii="Times New Roman" w:hAnsi="Times New Roman" w:cs="Times New Roman"/>
              </w:rPr>
              <w:t xml:space="preserve"> Validated</w:t>
            </w:r>
          </w:p>
        </w:tc>
        <w:tc>
          <w:tcPr>
            <w:tcW w:w="1689" w:type="dxa"/>
            <w:vAlign w:val="center"/>
            <w:hideMark/>
          </w:tcPr>
          <w:p w14:paraId="71BDF25A"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93% attack detection</w:t>
            </w:r>
          </w:p>
        </w:tc>
        <w:tc>
          <w:tcPr>
            <w:tcW w:w="1483" w:type="dxa"/>
            <w:vAlign w:val="center"/>
            <w:hideMark/>
          </w:tcPr>
          <w:p w14:paraId="1F0749AE"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PASS</w:t>
            </w:r>
          </w:p>
        </w:tc>
      </w:tr>
      <w:tr w:rsidR="006E3099" w:rsidRPr="006E3099" w14:paraId="1BCC389F" w14:textId="77777777" w:rsidTr="00FC4CE5">
        <w:trPr>
          <w:trHeight w:val="123"/>
          <w:tblCellSpacing w:w="15" w:type="dxa"/>
        </w:trPr>
        <w:tc>
          <w:tcPr>
            <w:tcW w:w="0" w:type="auto"/>
            <w:vAlign w:val="center"/>
            <w:hideMark/>
          </w:tcPr>
          <w:p w14:paraId="6DF3B3F8"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Multi-Factor Identity Verification</w:t>
            </w:r>
          </w:p>
        </w:tc>
        <w:tc>
          <w:tcPr>
            <w:tcW w:w="0" w:type="auto"/>
            <w:vAlign w:val="center"/>
            <w:hideMark/>
          </w:tcPr>
          <w:p w14:paraId="394C28E8"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Implemented (3 modalities: keystroke, mouse, context)</w:t>
            </w:r>
          </w:p>
        </w:tc>
        <w:tc>
          <w:tcPr>
            <w:tcW w:w="0" w:type="auto"/>
            <w:vAlign w:val="center"/>
            <w:hideMark/>
          </w:tcPr>
          <w:p w14:paraId="39CA10D7" w14:textId="77777777" w:rsidR="006E3099" w:rsidRPr="006E3099" w:rsidRDefault="006E3099" w:rsidP="00FC4CE5">
            <w:pPr>
              <w:spacing w:line="240" w:lineRule="auto"/>
              <w:jc w:val="center"/>
              <w:rPr>
                <w:rFonts w:ascii="Times New Roman" w:hAnsi="Times New Roman" w:cs="Times New Roman"/>
              </w:rPr>
            </w:pPr>
            <w:r w:rsidRPr="006E3099">
              <w:rPr>
                <w:rFonts w:ascii="Segoe UI Symbol" w:hAnsi="Segoe UI Symbol" w:cs="Segoe UI Symbol"/>
              </w:rPr>
              <w:t>✓</w:t>
            </w:r>
            <w:r w:rsidRPr="006E3099">
              <w:rPr>
                <w:rFonts w:ascii="Times New Roman" w:hAnsi="Times New Roman" w:cs="Times New Roman"/>
              </w:rPr>
              <w:t xml:space="preserve"> Validated</w:t>
            </w:r>
          </w:p>
        </w:tc>
        <w:tc>
          <w:tcPr>
            <w:tcW w:w="1689" w:type="dxa"/>
            <w:vAlign w:val="center"/>
            <w:hideMark/>
          </w:tcPr>
          <w:p w14:paraId="17F4E9AA"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AUC-ROC = 1.0000</w:t>
            </w:r>
          </w:p>
        </w:tc>
        <w:tc>
          <w:tcPr>
            <w:tcW w:w="1483" w:type="dxa"/>
            <w:vAlign w:val="center"/>
            <w:hideMark/>
          </w:tcPr>
          <w:p w14:paraId="29B4E544"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PASS</w:t>
            </w:r>
          </w:p>
        </w:tc>
      </w:tr>
      <w:tr w:rsidR="006E3099" w:rsidRPr="006E3099" w14:paraId="463382CC" w14:textId="77777777" w:rsidTr="006E3099">
        <w:trPr>
          <w:trHeight w:val="841"/>
          <w:tblCellSpacing w:w="15" w:type="dxa"/>
        </w:trPr>
        <w:tc>
          <w:tcPr>
            <w:tcW w:w="0" w:type="auto"/>
            <w:tcBorders>
              <w:bottom w:val="single" w:sz="4" w:space="0" w:color="auto"/>
            </w:tcBorders>
            <w:vAlign w:val="center"/>
            <w:hideMark/>
          </w:tcPr>
          <w:p w14:paraId="04A4FA37"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Zero-Trust Compliance</w:t>
            </w:r>
          </w:p>
        </w:tc>
        <w:tc>
          <w:tcPr>
            <w:tcW w:w="0" w:type="auto"/>
            <w:tcBorders>
              <w:bottom w:val="single" w:sz="4" w:space="0" w:color="auto"/>
            </w:tcBorders>
            <w:vAlign w:val="center"/>
            <w:hideMark/>
          </w:tcPr>
          <w:p w14:paraId="481FCA46"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Implemented (Never trust, always verify principle)</w:t>
            </w:r>
          </w:p>
        </w:tc>
        <w:tc>
          <w:tcPr>
            <w:tcW w:w="0" w:type="auto"/>
            <w:tcBorders>
              <w:bottom w:val="single" w:sz="4" w:space="0" w:color="auto"/>
            </w:tcBorders>
            <w:vAlign w:val="center"/>
            <w:hideMark/>
          </w:tcPr>
          <w:p w14:paraId="069FC569" w14:textId="77777777" w:rsidR="006E3099" w:rsidRPr="006E3099" w:rsidRDefault="006E3099" w:rsidP="00FC4CE5">
            <w:pPr>
              <w:spacing w:line="240" w:lineRule="auto"/>
              <w:jc w:val="center"/>
              <w:rPr>
                <w:rFonts w:ascii="Times New Roman" w:hAnsi="Times New Roman" w:cs="Times New Roman"/>
              </w:rPr>
            </w:pPr>
            <w:r w:rsidRPr="006E3099">
              <w:rPr>
                <w:rFonts w:ascii="Segoe UI Symbol" w:hAnsi="Segoe UI Symbol" w:cs="Segoe UI Symbol"/>
              </w:rPr>
              <w:t>✓</w:t>
            </w:r>
            <w:r w:rsidRPr="006E3099">
              <w:rPr>
                <w:rFonts w:ascii="Times New Roman" w:hAnsi="Times New Roman" w:cs="Times New Roman"/>
              </w:rPr>
              <w:t xml:space="preserve"> Validated</w:t>
            </w:r>
          </w:p>
        </w:tc>
        <w:tc>
          <w:tcPr>
            <w:tcW w:w="1689" w:type="dxa"/>
            <w:tcBorders>
              <w:bottom w:val="single" w:sz="4" w:space="0" w:color="auto"/>
            </w:tcBorders>
            <w:vAlign w:val="center"/>
            <w:hideMark/>
          </w:tcPr>
          <w:p w14:paraId="3A6508CA"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100% of access verified</w:t>
            </w:r>
          </w:p>
        </w:tc>
        <w:tc>
          <w:tcPr>
            <w:tcW w:w="1483" w:type="dxa"/>
            <w:tcBorders>
              <w:bottom w:val="single" w:sz="4" w:space="0" w:color="auto"/>
            </w:tcBorders>
            <w:vAlign w:val="center"/>
            <w:hideMark/>
          </w:tcPr>
          <w:p w14:paraId="510EF756"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PASS</w:t>
            </w:r>
          </w:p>
        </w:tc>
      </w:tr>
    </w:tbl>
    <w:p w14:paraId="412D9CCF" w14:textId="77777777" w:rsidR="006E3099" w:rsidRPr="006E3099" w:rsidRDefault="006E3099" w:rsidP="00FC4CE5">
      <w:pPr>
        <w:spacing w:before="240" w:line="360" w:lineRule="auto"/>
        <w:jc w:val="both"/>
        <w:rPr>
          <w:rFonts w:ascii="Times New Roman" w:hAnsi="Times New Roman" w:cs="Times New Roman"/>
        </w:rPr>
      </w:pPr>
      <w:r w:rsidRPr="006E3099">
        <w:rPr>
          <w:rFonts w:ascii="Times New Roman" w:hAnsi="Times New Roman" w:cs="Times New Roman"/>
        </w:rPr>
        <w:t>These results affirm the framework's viability for zero-trust remote healthcare, achieving sub-millisecond verifications with near-zero error rates across modalities.</w:t>
      </w:r>
    </w:p>
    <w:p w14:paraId="0DE57CBB" w14:textId="77777777"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Discussion</w:t>
      </w:r>
    </w:p>
    <w:p w14:paraId="37EEC902" w14:textId="77777777" w:rsidR="006E3099" w:rsidRPr="0025749B" w:rsidRDefault="006E3099" w:rsidP="006E3099">
      <w:pPr>
        <w:spacing w:line="360" w:lineRule="auto"/>
        <w:jc w:val="both"/>
        <w:rPr>
          <w:rFonts w:ascii="Times New Roman" w:hAnsi="Times New Roman" w:cs="Times New Roman"/>
        </w:rPr>
      </w:pPr>
      <w:r w:rsidRPr="0025749B">
        <w:rPr>
          <w:rFonts w:ascii="Times New Roman" w:hAnsi="Times New Roman" w:cs="Times New Roman"/>
        </w:rPr>
        <w:lastRenderedPageBreak/>
        <w:t>The empirical outcomes from the behavioral biometrics-powered continuous authentication framework demonstrate its effectiveness in strengthening zero-trust remote work environments, particularly within healthcare’s strict security ecosystem. Ensemble models such as Random Forest and XGBoost achieved 98.25% accuracy and 0.00% EER, outperforming unimodal keystroke systems, which typically report 2–10% EER (Shadman et al., 2025). This improvement stems from multimodal fusion, where keystroke temporal aggregates (42.1% feature importance) complemented mouse kinematics and contextual deviations, aligning with findings from multimodal studies reporting 5–15% accuracy gains through signal integration (Manju et al., 2014). Continuous verification in zero-trust environments mitigates session hijacking risks during remote access, aligning with NIST SP 800-207’s context-aware security principles (Rose et al., 2020). In healthcare, where insider threats cause 60% of breaches (Verizon, 2024), the framework’s 100% detection via behavioral deviation scoring enhances HIPAA §164.312 compliance through auditable, multi-factor verification without disrupting workflows.</w:t>
      </w:r>
    </w:p>
    <w:p w14:paraId="5EA2189B" w14:textId="77777777" w:rsidR="006E3099" w:rsidRPr="0025749B" w:rsidRDefault="006E3099" w:rsidP="006E3099">
      <w:pPr>
        <w:spacing w:line="360" w:lineRule="auto"/>
        <w:jc w:val="both"/>
        <w:rPr>
          <w:rFonts w:ascii="Times New Roman" w:hAnsi="Times New Roman" w:cs="Times New Roman"/>
        </w:rPr>
      </w:pPr>
      <w:r w:rsidRPr="0025749B">
        <w:rPr>
          <w:rFonts w:ascii="Times New Roman" w:hAnsi="Times New Roman" w:cs="Times New Roman"/>
        </w:rPr>
        <w:t xml:space="preserve">Computational performance confirmed practical scalability. XGBoost’s 0.01 ms inference allowed over 100,000 verifications per second, significantly outperforming 10–50 ms baselines (Boshoff &amp; Hancke, 2025). The sub-100 ms latency ensures frictionless authentication, preventing the 12–18% productivity losses seen in traditional MFA (Trewin, 2006). Dynamic trust evolution with smoothed </w:t>
      </w:r>
      <w:proofErr w:type="gramStart"/>
      <w:r w:rsidRPr="0025749B">
        <w:rPr>
          <w:rFonts w:ascii="Times New Roman" w:hAnsi="Times New Roman" w:cs="Times New Roman"/>
        </w:rPr>
        <w:t>weighting maintained</w:t>
      </w:r>
      <w:proofErr w:type="gramEnd"/>
      <w:r w:rsidRPr="0025749B">
        <w:rPr>
          <w:rFonts w:ascii="Times New Roman" w:hAnsi="Times New Roman" w:cs="Times New Roman"/>
        </w:rPr>
        <w:t xml:space="preserve"> responsiveness while reducing false alarms in fluctuating network conditions, addressing limitations of static ZTA thresholds (Wu et al., 2025). In healthcare simulations, 75.4% denial rates below conservative trust levels enforced strict security while maintaining uninterrupted workflows, supporting adaptive access essential for telemedicine scalability.</w:t>
      </w:r>
    </w:p>
    <w:p w14:paraId="0B96EC12" w14:textId="77777777" w:rsidR="006E3099" w:rsidRPr="0025749B" w:rsidRDefault="006E3099" w:rsidP="006E3099">
      <w:pPr>
        <w:spacing w:line="360" w:lineRule="auto"/>
        <w:jc w:val="both"/>
        <w:rPr>
          <w:rFonts w:ascii="Times New Roman" w:hAnsi="Times New Roman" w:cs="Times New Roman"/>
        </w:rPr>
      </w:pPr>
      <w:r w:rsidRPr="0025749B">
        <w:rPr>
          <w:rFonts w:ascii="Times New Roman" w:hAnsi="Times New Roman" w:cs="Times New Roman"/>
        </w:rPr>
        <w:t xml:space="preserve">Attack simulations validated the framework’s resilience, achieving 90.3% average detection, exceeding 70–85% in related studies (Liang et al., 2020). Insider threats were detected at 100%, and zero-effort impersonations were fully blocked, consistent with behavioral entropy’s resistance to mimicry (Yampolskiy &amp; Govindaraju, 2008). Replay attacks achieved 65% detection, demonstrating the value of temporal hashing for preventing signal reuse, a known limitation in swipe-based systems (Baig et al., 2023). Compared to physiological biometrics’ 0.01–2% EER (Jain et al., 2004), this approach offers comparable precision with superior non-intrusiveness, </w:t>
      </w:r>
      <w:r w:rsidRPr="0025749B">
        <w:rPr>
          <w:rFonts w:ascii="Times New Roman" w:hAnsi="Times New Roman" w:cs="Times New Roman"/>
        </w:rPr>
        <w:lastRenderedPageBreak/>
        <w:t>meeting HIPAA usability standards for clinical environments (U.S. Department of Health and Human Services, 2014).</w:t>
      </w:r>
    </w:p>
    <w:p w14:paraId="37EB2862" w14:textId="77777777" w:rsidR="006E3099" w:rsidRPr="0025749B" w:rsidRDefault="006E3099" w:rsidP="006E3099">
      <w:pPr>
        <w:spacing w:line="360" w:lineRule="auto"/>
        <w:jc w:val="both"/>
        <w:rPr>
          <w:rFonts w:ascii="Times New Roman" w:hAnsi="Times New Roman" w:cs="Times New Roman"/>
        </w:rPr>
      </w:pPr>
      <w:r w:rsidRPr="0025749B">
        <w:rPr>
          <w:rFonts w:ascii="Times New Roman" w:hAnsi="Times New Roman" w:cs="Times New Roman"/>
        </w:rPr>
        <w:t>The framework integrates zero-trust with HIPAA compliance, addressing</w:t>
      </w:r>
      <w:r w:rsidRPr="006E3099">
        <w:rPr>
          <w:rFonts w:ascii="Times New Roman" w:hAnsi="Times New Roman" w:cs="Times New Roman"/>
        </w:rPr>
        <w:t xml:space="preserve"> </w:t>
      </w:r>
      <w:r w:rsidRPr="0025749B">
        <w:rPr>
          <w:rFonts w:ascii="Times New Roman" w:hAnsi="Times New Roman" w:cs="Times New Roman"/>
        </w:rPr>
        <w:t>continuous logoff and encryption requirements (Gupta et al., 2023), reducing average breach costs estimated at $10.93 million (IBM, 2025). By embedding behavioral trust as a foundational ZTA pillar, it advances design science research principles (Peffers et al., 2007) and delivers practical deployment guidelines through client-side monitoring, cloud-based scoring, and fallback MFA for secure, adaptive remote healthcare systems.</w:t>
      </w:r>
    </w:p>
    <w:p w14:paraId="53791A22" w14:textId="77777777"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Limitations</w:t>
      </w:r>
    </w:p>
    <w:p w14:paraId="67EC5EB8"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Limitations include reliance on public datasets, potentially underrepresenting healthcare-specific patterns like shift-induced drifts, and a 24-user sample constraining demographic generalizability, though synthetics mitigated sparsity via KL-divergence preservation (Goodfellow et al., 2016). Simulated attacks approximated threats but overlooked adaptive adversaries, and static baselines ignored long-term evolution, warranting 6-12 month longitudinal.</w:t>
      </w:r>
    </w:p>
    <w:p w14:paraId="71FAA6E9" w14:textId="77777777"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Future considerations</w:t>
      </w:r>
    </w:p>
    <w:p w14:paraId="37E23254"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Future considerations involve field trials with clinicians for ecological validity, bias audits across demographics using disparity ratios, and adversarial hardening via GAN defenses (Frank et al., 2013). Integrating wearables for gait fusion could enhance mobility, while XAI for trust explainability boosts adoption.</w:t>
      </w:r>
    </w:p>
    <w:p w14:paraId="01C834EB" w14:textId="77777777" w:rsidR="006E3099" w:rsidRPr="006E3099" w:rsidRDefault="006E3099" w:rsidP="006E3099">
      <w:pPr>
        <w:spacing w:line="360" w:lineRule="auto"/>
        <w:jc w:val="both"/>
        <w:rPr>
          <w:rFonts w:ascii="Times New Roman" w:hAnsi="Times New Roman" w:cs="Times New Roman"/>
        </w:rPr>
      </w:pPr>
    </w:p>
    <w:p w14:paraId="7DB27461" w14:textId="77777777"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5.</w:t>
      </w:r>
      <w:r w:rsidRPr="006E3099">
        <w:rPr>
          <w:rFonts w:ascii="Times New Roman" w:hAnsi="Times New Roman" w:cs="Times New Roman"/>
          <w:b/>
          <w:bCs/>
        </w:rPr>
        <w:tab/>
        <w:t xml:space="preserve"> Conclusions and Recommendations</w:t>
      </w:r>
    </w:p>
    <w:p w14:paraId="4227B2FC" w14:textId="77777777"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Conclusions</w:t>
      </w:r>
    </w:p>
    <w:p w14:paraId="080A503B"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This study developed an integrated behavioral biometrics framework combining keystroke dynamics, mouse movements, and contextual risk factors for continuous authentication, achieving 98.25% accuracy and 0% EER. The system operated transparently in simulated healthcare scenarios with inference under 2.6 ms, ensuring zero workflow disruption. Validation through biometric metrics and attack simulations demonstrated 90.3% threat detection, outperforming </w:t>
      </w:r>
      <w:r w:rsidRPr="006E3099">
        <w:rPr>
          <w:rFonts w:ascii="Times New Roman" w:hAnsi="Times New Roman" w:cs="Times New Roman"/>
        </w:rPr>
        <w:lastRenderedPageBreak/>
        <w:t>existing systems. Despite robust performance, challenges include limited user diversity, and potential behavioral drift over time, necessitating further refinement for broader deployment.</w:t>
      </w:r>
    </w:p>
    <w:p w14:paraId="0EB4A361" w14:textId="77777777"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Recommendations</w:t>
      </w:r>
    </w:p>
    <w:p w14:paraId="42EC7FB4" w14:textId="77777777" w:rsid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Future researchers should collect longitudinal healthcare-specific datasets to capture real-world behavioral variations and enhance generalizability. Integration of lightweight edge computing is advised to reduce latency in resource-constrained environments. Field trials in clinical settings are essential to validate usability and compliance under operational conditions. Industry collaboration is recommended to standardize behavioral biometric benchmarks for zero-trust frameworks. Exploration of adaptive models resilient to concept drift will ensure sustained effectiveness against evolving insider and external threats.</w:t>
      </w:r>
    </w:p>
    <w:p w14:paraId="7E4E5D54" w14:textId="77777777" w:rsidR="006E3099" w:rsidRDefault="006E3099" w:rsidP="006E3099">
      <w:pPr>
        <w:spacing w:line="360" w:lineRule="auto"/>
        <w:jc w:val="both"/>
        <w:rPr>
          <w:rFonts w:ascii="Times New Roman" w:hAnsi="Times New Roman" w:cs="Times New Roman"/>
          <w:b/>
          <w:bCs/>
        </w:rPr>
      </w:pPr>
    </w:p>
    <w:p w14:paraId="4AAFFE5D" w14:textId="77777777" w:rsidR="006E3099" w:rsidRDefault="006E3099" w:rsidP="006E3099">
      <w:pPr>
        <w:spacing w:line="360" w:lineRule="auto"/>
        <w:jc w:val="both"/>
        <w:rPr>
          <w:rFonts w:ascii="Times New Roman" w:hAnsi="Times New Roman" w:cs="Times New Roman"/>
          <w:b/>
          <w:bCs/>
        </w:rPr>
      </w:pPr>
    </w:p>
    <w:p w14:paraId="48BD1374" w14:textId="77777777" w:rsidR="006E3099" w:rsidRDefault="006E3099" w:rsidP="006E3099">
      <w:pPr>
        <w:rPr>
          <w:rFonts w:ascii="Times New Roman" w:hAnsi="Times New Roman" w:cs="Times New Roman"/>
        </w:rPr>
      </w:pPr>
      <w:r>
        <w:rPr>
          <w:rFonts w:ascii="Times New Roman" w:hAnsi="Times New Roman" w:cs="Times New Roman"/>
        </w:rPr>
        <w:t>Disclaimer (Artificial intelligence)</w:t>
      </w:r>
    </w:p>
    <w:p w14:paraId="18A01FD6" w14:textId="77777777" w:rsidR="006E3099" w:rsidRDefault="006E3099" w:rsidP="006E3099">
      <w:pPr>
        <w:rPr>
          <w:rFonts w:ascii="Times New Roman" w:hAnsi="Times New Roman" w:cs="Times New Roman"/>
        </w:rPr>
      </w:pPr>
    </w:p>
    <w:p w14:paraId="51F20E49" w14:textId="77777777" w:rsidR="006E3099" w:rsidRDefault="006E3099" w:rsidP="006E3099">
      <w:pPr>
        <w:spacing w:line="360" w:lineRule="auto"/>
        <w:jc w:val="both"/>
        <w:rPr>
          <w:rFonts w:ascii="Times New Roman" w:hAnsi="Times New Roman" w:cs="Times New Roman"/>
        </w:rPr>
      </w:pPr>
      <w:r>
        <w:rPr>
          <w:rFonts w:ascii="Times New Roman" w:hAnsi="Times New Roman" w:cs="Times New Roman"/>
        </w:rPr>
        <w:t>Author(s) hereby declare that NO generative AI technologies such as Large Language Models (ChatGPT, COPILOT, etc.) and text-to-image generators have been used during the writing or editing of this manuscript.</w:t>
      </w:r>
    </w:p>
    <w:p w14:paraId="44083D54" w14:textId="77777777" w:rsidR="006E3099" w:rsidRDefault="006E3099" w:rsidP="006E3099">
      <w:pPr>
        <w:spacing w:line="360" w:lineRule="auto"/>
        <w:jc w:val="both"/>
        <w:rPr>
          <w:rFonts w:ascii="Times New Roman" w:hAnsi="Times New Roman" w:cs="Times New Roman"/>
          <w:b/>
          <w:bCs/>
        </w:rPr>
      </w:pPr>
    </w:p>
    <w:p w14:paraId="27191C7D" w14:textId="77777777" w:rsidR="006E3099" w:rsidRDefault="006E3099" w:rsidP="006E3099">
      <w:pPr>
        <w:spacing w:line="360" w:lineRule="auto"/>
        <w:jc w:val="both"/>
        <w:rPr>
          <w:rFonts w:ascii="Times New Roman" w:hAnsi="Times New Roman" w:cs="Times New Roman"/>
          <w:b/>
          <w:bCs/>
        </w:rPr>
      </w:pPr>
    </w:p>
    <w:p w14:paraId="72F794F8" w14:textId="1F5F53A8"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References</w:t>
      </w:r>
    </w:p>
    <w:p w14:paraId="637F8696"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Almohamade, S. S., Clark, J. A., &amp; Law, J. (2021). Behaviour-Based Biometrics for Continuous User Authentication to Industrial Collaborative Robots. </w:t>
      </w:r>
      <w:r w:rsidRPr="003156FD">
        <w:rPr>
          <w:rFonts w:ascii="Times New Roman" w:hAnsi="Times New Roman" w:cs="Times New Roman"/>
          <w:i/>
          <w:iCs/>
        </w:rPr>
        <w:t>Lecture Notes in Computer Science</w:t>
      </w:r>
      <w:r w:rsidRPr="003156FD">
        <w:rPr>
          <w:rFonts w:ascii="Times New Roman" w:hAnsi="Times New Roman" w:cs="Times New Roman"/>
        </w:rPr>
        <w:t>, 185–197. https://doi.org/10.1007/978-3-030-69255-1_12</w:t>
      </w:r>
    </w:p>
    <w:p w14:paraId="2E5B1B0F"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Altinok, A., &amp; Turk, M. (2010). </w:t>
      </w:r>
      <w:r w:rsidRPr="003156FD">
        <w:rPr>
          <w:rFonts w:ascii="Times New Roman" w:hAnsi="Times New Roman" w:cs="Times New Roman"/>
          <w:i/>
          <w:iCs/>
        </w:rPr>
        <w:t>Temporal integration for continuous multimodal biometrics</w:t>
      </w:r>
      <w:r w:rsidRPr="003156FD">
        <w:rPr>
          <w:rFonts w:ascii="Times New Roman" w:hAnsi="Times New Roman" w:cs="Times New Roman"/>
        </w:rPr>
        <w:t>. https://www.researchgate.net/publication/228538190_Temporal_integration_for_continuous_multimodal_biometrics</w:t>
      </w:r>
    </w:p>
    <w:p w14:paraId="7829DDDF"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Amin, R., Islam, S. K. H., Kumar, N., &amp; Choo, K.-K. R. (2018). An untraceable and anonymous password authentication protocol for heterogeneous wireless sensor networks. </w:t>
      </w:r>
      <w:r w:rsidRPr="003156FD">
        <w:rPr>
          <w:rFonts w:ascii="Times New Roman" w:hAnsi="Times New Roman" w:cs="Times New Roman"/>
          <w:i/>
          <w:iCs/>
        </w:rPr>
        <w:t xml:space="preserve">Journal of </w:t>
      </w:r>
      <w:r w:rsidRPr="003156FD">
        <w:rPr>
          <w:rFonts w:ascii="Times New Roman" w:hAnsi="Times New Roman" w:cs="Times New Roman"/>
          <w:i/>
          <w:iCs/>
        </w:rPr>
        <w:lastRenderedPageBreak/>
        <w:t>Network and Computer Applications</w:t>
      </w:r>
      <w:r w:rsidRPr="003156FD">
        <w:rPr>
          <w:rFonts w:ascii="Times New Roman" w:hAnsi="Times New Roman" w:cs="Times New Roman"/>
        </w:rPr>
        <w:t xml:space="preserve">, </w:t>
      </w:r>
      <w:r w:rsidRPr="003156FD">
        <w:rPr>
          <w:rFonts w:ascii="Times New Roman" w:hAnsi="Times New Roman" w:cs="Times New Roman"/>
          <w:i/>
          <w:iCs/>
        </w:rPr>
        <w:t>104</w:t>
      </w:r>
      <w:r w:rsidRPr="003156FD">
        <w:rPr>
          <w:rFonts w:ascii="Times New Roman" w:hAnsi="Times New Roman" w:cs="Times New Roman"/>
        </w:rPr>
        <w:t>, 133–144. https://doi.org/10.1016/j.jnca.2017.12.012</w:t>
      </w:r>
    </w:p>
    <w:p w14:paraId="7931A287"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Baig, A. F., Eskeland, S., &amp; Yang, B. (2023). Privacy-preserving continuous authentication using behavioral biometrics. </w:t>
      </w:r>
      <w:r w:rsidRPr="003156FD">
        <w:rPr>
          <w:rFonts w:ascii="Times New Roman" w:hAnsi="Times New Roman" w:cs="Times New Roman"/>
          <w:i/>
          <w:iCs/>
        </w:rPr>
        <w:t>International Journal of Information Security</w:t>
      </w:r>
      <w:r w:rsidRPr="003156FD">
        <w:rPr>
          <w:rFonts w:ascii="Times New Roman" w:hAnsi="Times New Roman" w:cs="Times New Roman"/>
        </w:rPr>
        <w:t>. https://doi.org/10.1007/s10207-023-00721-y</w:t>
      </w:r>
    </w:p>
    <w:p w14:paraId="00351241"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Boshoff, D., &amp; Hancke, G. P. (2025). A classifications framework for continuous biometric authentication (2018–2024). </w:t>
      </w:r>
      <w:r w:rsidRPr="003156FD">
        <w:rPr>
          <w:rFonts w:ascii="Times New Roman" w:hAnsi="Times New Roman" w:cs="Times New Roman"/>
          <w:i/>
          <w:iCs/>
        </w:rPr>
        <w:t>Computers &amp; Security</w:t>
      </w:r>
      <w:r w:rsidRPr="003156FD">
        <w:rPr>
          <w:rFonts w:ascii="Times New Roman" w:hAnsi="Times New Roman" w:cs="Times New Roman"/>
        </w:rPr>
        <w:t xml:space="preserve">, </w:t>
      </w:r>
      <w:r w:rsidRPr="003156FD">
        <w:rPr>
          <w:rFonts w:ascii="Times New Roman" w:hAnsi="Times New Roman" w:cs="Times New Roman"/>
          <w:i/>
          <w:iCs/>
        </w:rPr>
        <w:t>150</w:t>
      </w:r>
      <w:r w:rsidRPr="003156FD">
        <w:rPr>
          <w:rFonts w:ascii="Times New Roman" w:hAnsi="Times New Roman" w:cs="Times New Roman"/>
        </w:rPr>
        <w:t>, 104285. https://doi.org/10.1016/j.cose.2024.104285</w:t>
      </w:r>
    </w:p>
    <w:p w14:paraId="0F09E8CF"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Buriro, A., Crispo, B., &amp; Conti, M. (2019). AnswerAuth: A bimodal behavioral biometric-based user authentication scheme for smartphones. </w:t>
      </w:r>
      <w:r w:rsidRPr="003156FD">
        <w:rPr>
          <w:rFonts w:ascii="Times New Roman" w:hAnsi="Times New Roman" w:cs="Times New Roman"/>
          <w:i/>
          <w:iCs/>
        </w:rPr>
        <w:t>Journal of Information Security and Applications</w:t>
      </w:r>
      <w:r w:rsidRPr="003156FD">
        <w:rPr>
          <w:rFonts w:ascii="Times New Roman" w:hAnsi="Times New Roman" w:cs="Times New Roman"/>
        </w:rPr>
        <w:t xml:space="preserve">, </w:t>
      </w:r>
      <w:r w:rsidRPr="003156FD">
        <w:rPr>
          <w:rFonts w:ascii="Times New Roman" w:hAnsi="Times New Roman" w:cs="Times New Roman"/>
          <w:i/>
          <w:iCs/>
        </w:rPr>
        <w:t>44</w:t>
      </w:r>
      <w:r w:rsidRPr="003156FD">
        <w:rPr>
          <w:rFonts w:ascii="Times New Roman" w:hAnsi="Times New Roman" w:cs="Times New Roman"/>
        </w:rPr>
        <w:t>, 89–103. https://doi.org/10.1016/j.jisa.2018.11.008</w:t>
      </w:r>
    </w:p>
    <w:p w14:paraId="0A351297"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Cao, H., &amp; Chang, K. C.-C. (2018). </w:t>
      </w:r>
      <w:r w:rsidRPr="003156FD">
        <w:rPr>
          <w:rFonts w:ascii="Times New Roman" w:hAnsi="Times New Roman" w:cs="Times New Roman"/>
          <w:i/>
          <w:iCs/>
        </w:rPr>
        <w:t>Nonintrusive Smartphone User Verification Using Anonymized Multimodal Data</w:t>
      </w:r>
      <w:r w:rsidRPr="003156FD">
        <w:rPr>
          <w:rFonts w:ascii="Times New Roman" w:hAnsi="Times New Roman" w:cs="Times New Roman"/>
        </w:rPr>
        <w:t>. https://doi.org/10.13140/rg.2.2.20069.09442</w:t>
      </w:r>
    </w:p>
    <w:p w14:paraId="3116CDFB"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Centeno, M. P., Moorsel, A. van, &amp; Castruccio, S. (2017). Smartphone Continuous Authentication Using Deep Learning Autoencoders. </w:t>
      </w:r>
      <w:r w:rsidRPr="003156FD">
        <w:rPr>
          <w:rFonts w:ascii="Times New Roman" w:hAnsi="Times New Roman" w:cs="Times New Roman"/>
          <w:i/>
          <w:iCs/>
        </w:rPr>
        <w:t>2017 15th Annual Conference on Privacy, Security and Trust (PST)</w:t>
      </w:r>
      <w:r w:rsidRPr="003156FD">
        <w:rPr>
          <w:rFonts w:ascii="Times New Roman" w:hAnsi="Times New Roman" w:cs="Times New Roman"/>
        </w:rPr>
        <w:t>. https://doi.org/10.1109/pst.2017.00026</w:t>
      </w:r>
    </w:p>
    <w:p w14:paraId="52E8D8C6"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Chauhan, J., Kwon, Y. D., Hui, P., &amp; Mascolo, C. (2020). ContAuth. </w:t>
      </w:r>
      <w:r w:rsidRPr="003156FD">
        <w:rPr>
          <w:rFonts w:ascii="Times New Roman" w:hAnsi="Times New Roman" w:cs="Times New Roman"/>
          <w:i/>
          <w:iCs/>
        </w:rPr>
        <w:t>Proceedings of the ACM on Interactive, Mobile, Wearable and Ubiquitous Technologies</w:t>
      </w:r>
      <w:r w:rsidRPr="003156FD">
        <w:rPr>
          <w:rFonts w:ascii="Times New Roman" w:hAnsi="Times New Roman" w:cs="Times New Roman"/>
        </w:rPr>
        <w:t xml:space="preserve">, </w:t>
      </w:r>
      <w:r w:rsidRPr="003156FD">
        <w:rPr>
          <w:rFonts w:ascii="Times New Roman" w:hAnsi="Times New Roman" w:cs="Times New Roman"/>
          <w:i/>
          <w:iCs/>
        </w:rPr>
        <w:t>4</w:t>
      </w:r>
      <w:r w:rsidRPr="003156FD">
        <w:rPr>
          <w:rFonts w:ascii="Times New Roman" w:hAnsi="Times New Roman" w:cs="Times New Roman"/>
        </w:rPr>
        <w:t>(4), 1–23. https://doi.org/10.1145/3432203</w:t>
      </w:r>
    </w:p>
    <w:p w14:paraId="49D117FE"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Chen, T., &amp; Guestrin, C. (2016). XGBoost: </w:t>
      </w:r>
      <w:proofErr w:type="gramStart"/>
      <w:r w:rsidRPr="003156FD">
        <w:rPr>
          <w:rFonts w:ascii="Times New Roman" w:hAnsi="Times New Roman" w:cs="Times New Roman"/>
        </w:rPr>
        <w:t>a</w:t>
      </w:r>
      <w:proofErr w:type="gramEnd"/>
      <w:r w:rsidRPr="003156FD">
        <w:rPr>
          <w:rFonts w:ascii="Times New Roman" w:hAnsi="Times New Roman" w:cs="Times New Roman"/>
        </w:rPr>
        <w:t xml:space="preserve"> Scalable Tree Boosting System. </w:t>
      </w:r>
      <w:r w:rsidRPr="003156FD">
        <w:rPr>
          <w:rFonts w:ascii="Times New Roman" w:hAnsi="Times New Roman" w:cs="Times New Roman"/>
          <w:i/>
          <w:iCs/>
        </w:rPr>
        <w:t>Proceedings of the 22nd ACM SIGKDD International Conference on Knowledge Discovery and Data Mining - KDD ’16</w:t>
      </w:r>
      <w:r w:rsidRPr="003156FD">
        <w:rPr>
          <w:rFonts w:ascii="Times New Roman" w:hAnsi="Times New Roman" w:cs="Times New Roman"/>
        </w:rPr>
        <w:t xml:space="preserve">, </w:t>
      </w:r>
      <w:r w:rsidRPr="003156FD">
        <w:rPr>
          <w:rFonts w:ascii="Times New Roman" w:hAnsi="Times New Roman" w:cs="Times New Roman"/>
          <w:i/>
          <w:iCs/>
        </w:rPr>
        <w:t>1</w:t>
      </w:r>
      <w:r w:rsidRPr="003156FD">
        <w:rPr>
          <w:rFonts w:ascii="Times New Roman" w:hAnsi="Times New Roman" w:cs="Times New Roman"/>
        </w:rPr>
        <w:t>(1), 785–794. https://doi.org/10.1145/2939672.2939785</w:t>
      </w:r>
    </w:p>
    <w:p w14:paraId="759252F9"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de-Marcos, L., Cilleruelo, C., Junquera-Sánchez, J., &amp; José-Javier Martínez-Herráiz. (2020). A Framework for BYOD Continuous Authentication: Case Study with Soft-Keyboard Metrics for Healthcare Environment. </w:t>
      </w:r>
      <w:r w:rsidRPr="003156FD">
        <w:rPr>
          <w:rFonts w:ascii="Times New Roman" w:hAnsi="Times New Roman" w:cs="Times New Roman"/>
          <w:i/>
          <w:iCs/>
        </w:rPr>
        <w:t>Communications in Computer and Information Science</w:t>
      </w:r>
      <w:r w:rsidRPr="003156FD">
        <w:rPr>
          <w:rFonts w:ascii="Times New Roman" w:hAnsi="Times New Roman" w:cs="Times New Roman"/>
        </w:rPr>
        <w:t>, 347–358. https://doi.org/10.1007/978-3-030-61702-8_24</w:t>
      </w:r>
    </w:p>
    <w:p w14:paraId="09860349"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Eberz, S., Rasmussen, K. B., Lenders, V., &amp; Martinovic, I. (2017). Evaluating Behavioral Biometrics for Continuous Authentication. </w:t>
      </w:r>
      <w:r w:rsidRPr="003156FD">
        <w:rPr>
          <w:rFonts w:ascii="Times New Roman" w:hAnsi="Times New Roman" w:cs="Times New Roman"/>
          <w:i/>
          <w:iCs/>
        </w:rPr>
        <w:t>Proceedings of the 2017 ACM on Asia Conference on Computer and Communications Security</w:t>
      </w:r>
      <w:r w:rsidRPr="003156FD">
        <w:rPr>
          <w:rFonts w:ascii="Times New Roman" w:hAnsi="Times New Roman" w:cs="Times New Roman"/>
        </w:rPr>
        <w:t>. https://doi.org/10.1145/3052973.3053032</w:t>
      </w:r>
    </w:p>
    <w:p w14:paraId="7538BF7D"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Edo, O. C., Ang, D., Billakota, P., &amp; Ho, J. C. (2023). A </w:t>
      </w:r>
      <w:proofErr w:type="gramStart"/>
      <w:r w:rsidRPr="003156FD">
        <w:rPr>
          <w:rFonts w:ascii="Times New Roman" w:hAnsi="Times New Roman" w:cs="Times New Roman"/>
        </w:rPr>
        <w:t>zero trust</w:t>
      </w:r>
      <w:proofErr w:type="gramEnd"/>
      <w:r w:rsidRPr="003156FD">
        <w:rPr>
          <w:rFonts w:ascii="Times New Roman" w:hAnsi="Times New Roman" w:cs="Times New Roman"/>
        </w:rPr>
        <w:t xml:space="preserve"> architecture for health information systems. </w:t>
      </w:r>
      <w:r w:rsidRPr="003156FD">
        <w:rPr>
          <w:rFonts w:ascii="Times New Roman" w:hAnsi="Times New Roman" w:cs="Times New Roman"/>
          <w:i/>
          <w:iCs/>
        </w:rPr>
        <w:t>Health and Technology</w:t>
      </w:r>
      <w:r w:rsidRPr="003156FD">
        <w:rPr>
          <w:rFonts w:ascii="Times New Roman" w:hAnsi="Times New Roman" w:cs="Times New Roman"/>
        </w:rPr>
        <w:t>. https://doi.org/10.1007/s12553-023-00809-4</w:t>
      </w:r>
    </w:p>
    <w:p w14:paraId="1D17128D"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Fawcett, T. (2006). An introduction to ROC analysis. </w:t>
      </w:r>
      <w:r w:rsidRPr="003156FD">
        <w:rPr>
          <w:rFonts w:ascii="Times New Roman" w:hAnsi="Times New Roman" w:cs="Times New Roman"/>
          <w:i/>
          <w:iCs/>
        </w:rPr>
        <w:t>Pattern Recognition Letters</w:t>
      </w:r>
      <w:r w:rsidRPr="003156FD">
        <w:rPr>
          <w:rFonts w:ascii="Times New Roman" w:hAnsi="Times New Roman" w:cs="Times New Roman"/>
        </w:rPr>
        <w:t xml:space="preserve">, </w:t>
      </w:r>
      <w:r w:rsidRPr="003156FD">
        <w:rPr>
          <w:rFonts w:ascii="Times New Roman" w:hAnsi="Times New Roman" w:cs="Times New Roman"/>
          <w:i/>
          <w:iCs/>
        </w:rPr>
        <w:t>27</w:t>
      </w:r>
      <w:r w:rsidRPr="003156FD">
        <w:rPr>
          <w:rFonts w:ascii="Times New Roman" w:hAnsi="Times New Roman" w:cs="Times New Roman"/>
        </w:rPr>
        <w:t>(8), 861–874. https://doi.org/10.1016/j.patrec.2005.10.010</w:t>
      </w:r>
    </w:p>
    <w:p w14:paraId="192F73AE"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lastRenderedPageBreak/>
        <w:t xml:space="preserve">Frank, M., Biedert, R., Ma, E., Martinovic, I., &amp; Song, D. (2013). Touchalytics: On the Applicability of Touchscreen Input as a Behavioral Biometric for Continuous Authentication. </w:t>
      </w:r>
      <w:r w:rsidRPr="003156FD">
        <w:rPr>
          <w:rFonts w:ascii="Times New Roman" w:hAnsi="Times New Roman" w:cs="Times New Roman"/>
          <w:i/>
          <w:iCs/>
        </w:rPr>
        <w:t>IEEE Transactions on Information Forensics and Security</w:t>
      </w:r>
      <w:r w:rsidRPr="003156FD">
        <w:rPr>
          <w:rFonts w:ascii="Times New Roman" w:hAnsi="Times New Roman" w:cs="Times New Roman"/>
        </w:rPr>
        <w:t xml:space="preserve">, </w:t>
      </w:r>
      <w:r w:rsidRPr="003156FD">
        <w:rPr>
          <w:rFonts w:ascii="Times New Roman" w:hAnsi="Times New Roman" w:cs="Times New Roman"/>
          <w:i/>
          <w:iCs/>
        </w:rPr>
        <w:t>8</w:t>
      </w:r>
      <w:r w:rsidRPr="003156FD">
        <w:rPr>
          <w:rFonts w:ascii="Times New Roman" w:hAnsi="Times New Roman" w:cs="Times New Roman"/>
        </w:rPr>
        <w:t>(1), 136–148. https://doi.org/10.1109/tifs.2012.2225048</w:t>
      </w:r>
    </w:p>
    <w:p w14:paraId="4C75A67D"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Fridman, L., Stolerman, A., Acharya, S., Brennan, P., Juola, P., Greenstadt, R., &amp; Kam, M. (2015). Multi-modal decision fusion for continuous authentication. </w:t>
      </w:r>
      <w:r w:rsidRPr="003156FD">
        <w:rPr>
          <w:rFonts w:ascii="Times New Roman" w:hAnsi="Times New Roman" w:cs="Times New Roman"/>
          <w:i/>
          <w:iCs/>
        </w:rPr>
        <w:t>Computers &amp; Electrical Engineering</w:t>
      </w:r>
      <w:r w:rsidRPr="003156FD">
        <w:rPr>
          <w:rFonts w:ascii="Times New Roman" w:hAnsi="Times New Roman" w:cs="Times New Roman"/>
        </w:rPr>
        <w:t xml:space="preserve">, </w:t>
      </w:r>
      <w:r w:rsidRPr="003156FD">
        <w:rPr>
          <w:rFonts w:ascii="Times New Roman" w:hAnsi="Times New Roman" w:cs="Times New Roman"/>
          <w:i/>
          <w:iCs/>
        </w:rPr>
        <w:t>41</w:t>
      </w:r>
      <w:r w:rsidRPr="003156FD">
        <w:rPr>
          <w:rFonts w:ascii="Times New Roman" w:hAnsi="Times New Roman" w:cs="Times New Roman"/>
        </w:rPr>
        <w:t>, 142–156. https://doi.org/10.1016/j.compeleceng.2014.10.018</w:t>
      </w:r>
    </w:p>
    <w:p w14:paraId="5880DFCD"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Gascon, H., Uellenbeck, S., Wolf, C., &amp; Rieck, K. (2014). </w:t>
      </w:r>
      <w:r w:rsidRPr="003156FD">
        <w:rPr>
          <w:rFonts w:ascii="Times New Roman" w:hAnsi="Times New Roman" w:cs="Times New Roman"/>
          <w:i/>
          <w:iCs/>
        </w:rPr>
        <w:t>Continuous Authentication on Mobile Devices by Analysis of Typing Motion Behavior</w:t>
      </w:r>
      <w:r w:rsidRPr="003156FD">
        <w:rPr>
          <w:rFonts w:ascii="Times New Roman" w:hAnsi="Times New Roman" w:cs="Times New Roman"/>
        </w:rPr>
        <w:t>. ResearchGate; unknown. https://www.researchgate.net/publication/264785878_Continuous_Authentication_on_Mobile_Devices_by_Analysis_of_Typing_Motion_Behavior</w:t>
      </w:r>
    </w:p>
    <w:p w14:paraId="6316A5DE"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Giot, R., El-Abed, M., &amp; Rosenberger, C. (2009). </w:t>
      </w:r>
      <w:r w:rsidRPr="003156FD">
        <w:rPr>
          <w:rFonts w:ascii="Times New Roman" w:hAnsi="Times New Roman" w:cs="Times New Roman"/>
          <w:i/>
          <w:iCs/>
        </w:rPr>
        <w:t>GREYC keystroke: A benchmark for keystroke dynamics biometric systems</w:t>
      </w:r>
      <w:r w:rsidRPr="003156FD">
        <w:rPr>
          <w:rFonts w:ascii="Times New Roman" w:hAnsi="Times New Roman" w:cs="Times New Roman"/>
        </w:rPr>
        <w:t>. https://doi.org/10.1109/btas.2009.5339051</w:t>
      </w:r>
    </w:p>
    <w:p w14:paraId="76E63326"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Goodfellow, I., Bengio, Y., &amp; Courville, A. (2016). </w:t>
      </w:r>
      <w:r w:rsidRPr="003156FD">
        <w:rPr>
          <w:rFonts w:ascii="Times New Roman" w:hAnsi="Times New Roman" w:cs="Times New Roman"/>
          <w:i/>
          <w:iCs/>
        </w:rPr>
        <w:t>Deep Learning</w:t>
      </w:r>
      <w:r w:rsidRPr="003156FD">
        <w:rPr>
          <w:rFonts w:ascii="Times New Roman" w:hAnsi="Times New Roman" w:cs="Times New Roman"/>
        </w:rPr>
        <w:t>. MIT Press. https://mitpress.mit.edu/9780262035613/deep-learning/</w:t>
      </w:r>
    </w:p>
    <w:p w14:paraId="78454285"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Gopi, A., Aravinth, S. S., Charishma, N., Sravani, B., Gayatri, N., &amp; Gowtham, K. (2024). </w:t>
      </w:r>
      <w:r w:rsidRPr="003156FD">
        <w:rPr>
          <w:rFonts w:ascii="Times New Roman" w:hAnsi="Times New Roman" w:cs="Times New Roman"/>
          <w:i/>
          <w:iCs/>
        </w:rPr>
        <w:t>A Holistic Approach with Behavioral Anomaly Detection (BAD) for Mitigating Insider Threats in Cloud Environments</w:t>
      </w:r>
      <w:r w:rsidRPr="003156FD">
        <w:rPr>
          <w:rFonts w:ascii="Times New Roman" w:hAnsi="Times New Roman" w:cs="Times New Roman"/>
        </w:rPr>
        <w:t>. https://doi.org/10.1109/iccds60734.2024.10560376</w:t>
      </w:r>
    </w:p>
    <w:p w14:paraId="1415E320"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Grassi, P. A., Garcia, M. E., &amp; Fenton, J. L. (2017). Digital Identity Guidelines. </w:t>
      </w:r>
      <w:r w:rsidRPr="003156FD">
        <w:rPr>
          <w:rFonts w:ascii="Times New Roman" w:hAnsi="Times New Roman" w:cs="Times New Roman"/>
          <w:i/>
          <w:iCs/>
        </w:rPr>
        <w:t>NIST Special Publication 800-63-3</w:t>
      </w:r>
      <w:r w:rsidRPr="003156FD">
        <w:rPr>
          <w:rFonts w:ascii="Times New Roman" w:hAnsi="Times New Roman" w:cs="Times New Roman"/>
        </w:rPr>
        <w:t>. https://doi.org/10.6028/nist.sp.800-63-3</w:t>
      </w:r>
    </w:p>
    <w:p w14:paraId="26B71160"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Gupta, B. B., Gaurav, A., &amp; Kumar Panigrahi, P. (2023). Analysis of security and privacy issues of information management of big data in B2B based healthcare systems. </w:t>
      </w:r>
      <w:r w:rsidRPr="003156FD">
        <w:rPr>
          <w:rFonts w:ascii="Times New Roman" w:hAnsi="Times New Roman" w:cs="Times New Roman"/>
          <w:i/>
          <w:iCs/>
        </w:rPr>
        <w:t>Journal of Business Research</w:t>
      </w:r>
      <w:r w:rsidRPr="003156FD">
        <w:rPr>
          <w:rFonts w:ascii="Times New Roman" w:hAnsi="Times New Roman" w:cs="Times New Roman"/>
        </w:rPr>
        <w:t xml:space="preserve">, </w:t>
      </w:r>
      <w:r w:rsidRPr="003156FD">
        <w:rPr>
          <w:rFonts w:ascii="Times New Roman" w:hAnsi="Times New Roman" w:cs="Times New Roman"/>
          <w:i/>
          <w:iCs/>
        </w:rPr>
        <w:t>162</w:t>
      </w:r>
      <w:r w:rsidRPr="003156FD">
        <w:rPr>
          <w:rFonts w:ascii="Times New Roman" w:hAnsi="Times New Roman" w:cs="Times New Roman"/>
        </w:rPr>
        <w:t>, 113859. https://doi.org/10.1016/j.jbusres.2023.113859</w:t>
      </w:r>
    </w:p>
    <w:p w14:paraId="5822660B"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Hochreiter, S., &amp; Schmidhuber, J. (1997). Long Short-Term Memory. </w:t>
      </w:r>
      <w:r w:rsidRPr="003156FD">
        <w:rPr>
          <w:rFonts w:ascii="Times New Roman" w:hAnsi="Times New Roman" w:cs="Times New Roman"/>
          <w:i/>
          <w:iCs/>
        </w:rPr>
        <w:t>Neural Computation</w:t>
      </w:r>
      <w:r w:rsidRPr="003156FD">
        <w:rPr>
          <w:rFonts w:ascii="Times New Roman" w:hAnsi="Times New Roman" w:cs="Times New Roman"/>
        </w:rPr>
        <w:t xml:space="preserve">, </w:t>
      </w:r>
      <w:r w:rsidRPr="003156FD">
        <w:rPr>
          <w:rFonts w:ascii="Times New Roman" w:hAnsi="Times New Roman" w:cs="Times New Roman"/>
          <w:i/>
          <w:iCs/>
        </w:rPr>
        <w:t>9</w:t>
      </w:r>
      <w:r w:rsidRPr="003156FD">
        <w:rPr>
          <w:rFonts w:ascii="Times New Roman" w:hAnsi="Times New Roman" w:cs="Times New Roman"/>
        </w:rPr>
        <w:t>(8), 1735–1780. https://doi.org/10.1162/neco.1997.9.8.1735</w:t>
      </w:r>
    </w:p>
    <w:p w14:paraId="3AB1897D"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Hoppe, S., Loetscher, T., Morey, S. A., &amp; Bulling, A. (2018). Eye Movements During Everyday Behavior Predict Personality Traits. </w:t>
      </w:r>
      <w:r w:rsidRPr="003156FD">
        <w:rPr>
          <w:rFonts w:ascii="Times New Roman" w:hAnsi="Times New Roman" w:cs="Times New Roman"/>
          <w:i/>
          <w:iCs/>
        </w:rPr>
        <w:t>Frontiers in Human Neuroscience</w:t>
      </w:r>
      <w:r w:rsidRPr="003156FD">
        <w:rPr>
          <w:rFonts w:ascii="Times New Roman" w:hAnsi="Times New Roman" w:cs="Times New Roman"/>
        </w:rPr>
        <w:t xml:space="preserve">, </w:t>
      </w:r>
      <w:r w:rsidRPr="003156FD">
        <w:rPr>
          <w:rFonts w:ascii="Times New Roman" w:hAnsi="Times New Roman" w:cs="Times New Roman"/>
          <w:i/>
          <w:iCs/>
        </w:rPr>
        <w:t>12</w:t>
      </w:r>
      <w:r w:rsidRPr="003156FD">
        <w:rPr>
          <w:rFonts w:ascii="Times New Roman" w:hAnsi="Times New Roman" w:cs="Times New Roman"/>
        </w:rPr>
        <w:t>. https://doi.org/10.3389/fnhum.2018.00105</w:t>
      </w:r>
    </w:p>
    <w:p w14:paraId="47F463EA"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IBM. (2025). </w:t>
      </w:r>
      <w:r w:rsidRPr="003156FD">
        <w:rPr>
          <w:rFonts w:ascii="Times New Roman" w:hAnsi="Times New Roman" w:cs="Times New Roman"/>
          <w:i/>
          <w:iCs/>
        </w:rPr>
        <w:t>Cost of a data breach report 2025</w:t>
      </w:r>
      <w:r w:rsidRPr="003156FD">
        <w:rPr>
          <w:rFonts w:ascii="Times New Roman" w:hAnsi="Times New Roman" w:cs="Times New Roman"/>
        </w:rPr>
        <w:t>. IBM. https://www.ibm.com/reports/data-breach</w:t>
      </w:r>
    </w:p>
    <w:p w14:paraId="05A9EA3E"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Identity Management Institute. (2019). </w:t>
      </w:r>
      <w:r w:rsidRPr="003156FD">
        <w:rPr>
          <w:rFonts w:ascii="Times New Roman" w:hAnsi="Times New Roman" w:cs="Times New Roman"/>
          <w:i/>
          <w:iCs/>
        </w:rPr>
        <w:t>Biometric Authentication Benefits and Risks</w:t>
      </w:r>
      <w:r w:rsidRPr="003156FD">
        <w:rPr>
          <w:rFonts w:ascii="Times New Roman" w:hAnsi="Times New Roman" w:cs="Times New Roman"/>
        </w:rPr>
        <w:t>. Identity Management Institute®. https://identitymanagementinstitute.org/biometric-authentication-benefits-and-risks/</w:t>
      </w:r>
    </w:p>
    <w:p w14:paraId="628C0505"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lastRenderedPageBreak/>
        <w:t xml:space="preserve">Jain, A. K., Ross, A., &amp; Prabhakar, S. (2004). An Introduction to Biometric Recognition. </w:t>
      </w:r>
      <w:r w:rsidRPr="003156FD">
        <w:rPr>
          <w:rFonts w:ascii="Times New Roman" w:hAnsi="Times New Roman" w:cs="Times New Roman"/>
          <w:i/>
          <w:iCs/>
        </w:rPr>
        <w:t>IEEE Transactions on Circuits and Systems for Video Technology</w:t>
      </w:r>
      <w:r w:rsidRPr="003156FD">
        <w:rPr>
          <w:rFonts w:ascii="Times New Roman" w:hAnsi="Times New Roman" w:cs="Times New Roman"/>
        </w:rPr>
        <w:t xml:space="preserve">, </w:t>
      </w:r>
      <w:r w:rsidRPr="003156FD">
        <w:rPr>
          <w:rFonts w:ascii="Times New Roman" w:hAnsi="Times New Roman" w:cs="Times New Roman"/>
          <w:i/>
          <w:iCs/>
        </w:rPr>
        <w:t>14</w:t>
      </w:r>
      <w:r w:rsidRPr="003156FD">
        <w:rPr>
          <w:rFonts w:ascii="Times New Roman" w:hAnsi="Times New Roman" w:cs="Times New Roman"/>
        </w:rPr>
        <w:t>(1), 4–20. https://doi.org/10.1109/tcsvt.2003.818349</w:t>
      </w:r>
    </w:p>
    <w:p w14:paraId="30A96902"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Kadena, E., Cecilia, L., &amp; Rajnai, Z. (2022). </w:t>
      </w:r>
      <w:r w:rsidRPr="003156FD">
        <w:rPr>
          <w:rFonts w:ascii="Times New Roman" w:hAnsi="Times New Roman" w:cs="Times New Roman"/>
          <w:i/>
          <w:iCs/>
        </w:rPr>
        <w:t>Behavioral Biometrics for more (dis) trust and security</w:t>
      </w:r>
      <w:r w:rsidRPr="003156FD">
        <w:rPr>
          <w:rFonts w:ascii="Times New Roman" w:hAnsi="Times New Roman" w:cs="Times New Roman"/>
        </w:rPr>
        <w:t>. https://doi.org/10.1109/saci55618.2022.9919558</w:t>
      </w:r>
    </w:p>
    <w:p w14:paraId="6E2E438C"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Khalil, M. (2025). </w:t>
      </w:r>
      <w:r w:rsidRPr="003156FD">
        <w:rPr>
          <w:rFonts w:ascii="Times New Roman" w:hAnsi="Times New Roman" w:cs="Times New Roman"/>
          <w:i/>
          <w:iCs/>
        </w:rPr>
        <w:t>Remote Work Security Risks 2025: Protecting Distributed Teams</w:t>
      </w:r>
      <w:r w:rsidRPr="003156FD">
        <w:rPr>
          <w:rFonts w:ascii="Times New Roman" w:hAnsi="Times New Roman" w:cs="Times New Roman"/>
        </w:rPr>
        <w:t>. DeepStrike. https://deepstrike.io/blog/Remote-Work-Security-Risks-2025</w:t>
      </w:r>
    </w:p>
    <w:p w14:paraId="7FE2392F"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Killourhy, K. S., &amp; Maxion, R. A. (2009). Comparing anomaly-detection algorithms for keystroke dynamics. </w:t>
      </w:r>
      <w:r w:rsidRPr="003156FD">
        <w:rPr>
          <w:rFonts w:ascii="Times New Roman" w:hAnsi="Times New Roman" w:cs="Times New Roman"/>
          <w:i/>
          <w:iCs/>
        </w:rPr>
        <w:t>2009 IEEE/IFIP International Conference on Dependable Systems &amp; Networks</w:t>
      </w:r>
      <w:r w:rsidRPr="003156FD">
        <w:rPr>
          <w:rFonts w:ascii="Times New Roman" w:hAnsi="Times New Roman" w:cs="Times New Roman"/>
        </w:rPr>
        <w:t>. https://doi.org/10.1109/dsn.2009.5270346</w:t>
      </w:r>
    </w:p>
    <w:p w14:paraId="24B8AC7F"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Kohavi, R. (1995). </w:t>
      </w:r>
      <w:r w:rsidRPr="003156FD">
        <w:rPr>
          <w:rFonts w:ascii="Times New Roman" w:hAnsi="Times New Roman" w:cs="Times New Roman"/>
          <w:i/>
          <w:iCs/>
        </w:rPr>
        <w:t>A Study of Cross-Validation and Bootstrap for Accuracy Estimation and Model Selection</w:t>
      </w:r>
      <w:r w:rsidRPr="003156FD">
        <w:rPr>
          <w:rFonts w:ascii="Times New Roman" w:hAnsi="Times New Roman" w:cs="Times New Roman"/>
        </w:rPr>
        <w:t>. https://www.ijcai.org/Proceedings/95-2/Papers/016.pdf</w:t>
      </w:r>
    </w:p>
    <w:p w14:paraId="5BBE57AE"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Kong, K., Liu, D., Jin, X., Li, Z., &amp; Geng, G. (2025). Log2Sig: Frequency-Aware Insider Threat Detection via Multivariate Behavioral Signal Decomposition. </w:t>
      </w:r>
      <w:r w:rsidRPr="003156FD">
        <w:rPr>
          <w:rFonts w:ascii="Times New Roman" w:hAnsi="Times New Roman" w:cs="Times New Roman"/>
          <w:i/>
          <w:iCs/>
        </w:rPr>
        <w:t>ArXiv (Cornell University)</w:t>
      </w:r>
      <w:r w:rsidRPr="003156FD">
        <w:rPr>
          <w:rFonts w:ascii="Times New Roman" w:hAnsi="Times New Roman" w:cs="Times New Roman"/>
        </w:rPr>
        <w:t>. https://doi.org/10.48550/arxiv.2508.05696</w:t>
      </w:r>
    </w:p>
    <w:p w14:paraId="30369C5B"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LeCun, Y., Bengio, Y., &amp; Hinton, G. (2015). Deep Learning. </w:t>
      </w:r>
      <w:r w:rsidRPr="003156FD">
        <w:rPr>
          <w:rFonts w:ascii="Times New Roman" w:hAnsi="Times New Roman" w:cs="Times New Roman"/>
          <w:i/>
          <w:iCs/>
        </w:rPr>
        <w:t>Nature</w:t>
      </w:r>
      <w:r w:rsidRPr="003156FD">
        <w:rPr>
          <w:rFonts w:ascii="Times New Roman" w:hAnsi="Times New Roman" w:cs="Times New Roman"/>
        </w:rPr>
        <w:t xml:space="preserve">, </w:t>
      </w:r>
      <w:r w:rsidRPr="003156FD">
        <w:rPr>
          <w:rFonts w:ascii="Times New Roman" w:hAnsi="Times New Roman" w:cs="Times New Roman"/>
          <w:i/>
          <w:iCs/>
        </w:rPr>
        <w:t>521</w:t>
      </w:r>
      <w:r w:rsidRPr="003156FD">
        <w:rPr>
          <w:rFonts w:ascii="Times New Roman" w:hAnsi="Times New Roman" w:cs="Times New Roman"/>
        </w:rPr>
        <w:t>(7553), 436–444. https://doi.org/10.1038/nature14539</w:t>
      </w:r>
    </w:p>
    <w:p w14:paraId="3A192959"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Li, C.-T., &amp; Hwang, M.-S. (2010). An efficient biometrics-based remote user authentication scheme using smart cards. </w:t>
      </w:r>
      <w:r w:rsidRPr="003156FD">
        <w:rPr>
          <w:rFonts w:ascii="Times New Roman" w:hAnsi="Times New Roman" w:cs="Times New Roman"/>
          <w:i/>
          <w:iCs/>
        </w:rPr>
        <w:t>Journal of Network and Computer Applications</w:t>
      </w:r>
      <w:r w:rsidRPr="003156FD">
        <w:rPr>
          <w:rFonts w:ascii="Times New Roman" w:hAnsi="Times New Roman" w:cs="Times New Roman"/>
        </w:rPr>
        <w:t xml:space="preserve">, </w:t>
      </w:r>
      <w:r w:rsidRPr="003156FD">
        <w:rPr>
          <w:rFonts w:ascii="Times New Roman" w:hAnsi="Times New Roman" w:cs="Times New Roman"/>
          <w:i/>
          <w:iCs/>
        </w:rPr>
        <w:t>33</w:t>
      </w:r>
      <w:r w:rsidRPr="003156FD">
        <w:rPr>
          <w:rFonts w:ascii="Times New Roman" w:hAnsi="Times New Roman" w:cs="Times New Roman"/>
        </w:rPr>
        <w:t>(1), 1–5. https://doi.org/10.1016/j.jnca.2009.08.001</w:t>
      </w:r>
    </w:p>
    <w:p w14:paraId="72541073"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Liang, Y., Samtani, S., Guo, B., &amp; Yu, Z. (2020). Behavioral Biometrics for Continuous Authentication in the Internet-of-Things Era: An Artificial Intelligence Perspective. </w:t>
      </w:r>
      <w:r w:rsidRPr="003156FD">
        <w:rPr>
          <w:rFonts w:ascii="Times New Roman" w:hAnsi="Times New Roman" w:cs="Times New Roman"/>
          <w:i/>
          <w:iCs/>
        </w:rPr>
        <w:t>IEEE Internet of Things Journal</w:t>
      </w:r>
      <w:r w:rsidRPr="003156FD">
        <w:rPr>
          <w:rFonts w:ascii="Times New Roman" w:hAnsi="Times New Roman" w:cs="Times New Roman"/>
        </w:rPr>
        <w:t xml:space="preserve">, </w:t>
      </w:r>
      <w:r w:rsidRPr="003156FD">
        <w:rPr>
          <w:rFonts w:ascii="Times New Roman" w:hAnsi="Times New Roman" w:cs="Times New Roman"/>
          <w:i/>
          <w:iCs/>
        </w:rPr>
        <w:t>7</w:t>
      </w:r>
      <w:r w:rsidRPr="003156FD">
        <w:rPr>
          <w:rFonts w:ascii="Times New Roman" w:hAnsi="Times New Roman" w:cs="Times New Roman"/>
        </w:rPr>
        <w:t>(9), 9128–9143. https://doi.org/10.1109/jiot.2020.3004077</w:t>
      </w:r>
    </w:p>
    <w:p w14:paraId="1E07F2CE"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LoginRadius. (2025). </w:t>
      </w:r>
      <w:r w:rsidRPr="003156FD">
        <w:rPr>
          <w:rFonts w:ascii="Times New Roman" w:hAnsi="Times New Roman" w:cs="Times New Roman"/>
          <w:i/>
          <w:iCs/>
        </w:rPr>
        <w:t>Risk-based/Adaptive Authentication | LoginRadius Docs</w:t>
      </w:r>
      <w:r w:rsidRPr="003156FD">
        <w:rPr>
          <w:rFonts w:ascii="Times New Roman" w:hAnsi="Times New Roman" w:cs="Times New Roman"/>
        </w:rPr>
        <w:t>. Loginradius.com. https://www.loginradius.com/docs/security/user-security/risk-based-auth/</w:t>
      </w:r>
    </w:p>
    <w:p w14:paraId="31FA9963"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Manju, R., Nargunam, A. S., &amp; Rajendran, A. (2014). Multimodal biometric authentication </w:t>
      </w:r>
      <w:proofErr w:type="gramStart"/>
      <w:r w:rsidRPr="003156FD">
        <w:rPr>
          <w:rFonts w:ascii="Times New Roman" w:hAnsi="Times New Roman" w:cs="Times New Roman"/>
        </w:rPr>
        <w:t>system based</w:t>
      </w:r>
      <w:proofErr w:type="gramEnd"/>
      <w:r w:rsidRPr="003156FD">
        <w:rPr>
          <w:rFonts w:ascii="Times New Roman" w:hAnsi="Times New Roman" w:cs="Times New Roman"/>
        </w:rPr>
        <w:t xml:space="preserve"> performance scrutiny. </w:t>
      </w:r>
      <w:r w:rsidRPr="003156FD">
        <w:rPr>
          <w:rFonts w:ascii="Times New Roman" w:hAnsi="Times New Roman" w:cs="Times New Roman"/>
          <w:i/>
          <w:iCs/>
        </w:rPr>
        <w:t>International Journal of Soft Computing</w:t>
      </w:r>
      <w:r w:rsidRPr="003156FD">
        <w:rPr>
          <w:rFonts w:ascii="Times New Roman" w:hAnsi="Times New Roman" w:cs="Times New Roman"/>
        </w:rPr>
        <w:t xml:space="preserve">, </w:t>
      </w:r>
      <w:r w:rsidRPr="003156FD">
        <w:rPr>
          <w:rFonts w:ascii="Times New Roman" w:hAnsi="Times New Roman" w:cs="Times New Roman"/>
          <w:i/>
          <w:iCs/>
        </w:rPr>
        <w:t>9</w:t>
      </w:r>
      <w:r w:rsidRPr="003156FD">
        <w:rPr>
          <w:rFonts w:ascii="Times New Roman" w:hAnsi="Times New Roman" w:cs="Times New Roman"/>
        </w:rPr>
        <w:t>(4), 246–254. https://www.researchgate.net/publication/287185262_Multimodal_biometric_authentication_system_based_performance_scrutiny</w:t>
      </w:r>
    </w:p>
    <w:p w14:paraId="75DB288E"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Martha, S. (2025). </w:t>
      </w:r>
      <w:r w:rsidRPr="003156FD">
        <w:rPr>
          <w:rFonts w:ascii="Times New Roman" w:hAnsi="Times New Roman" w:cs="Times New Roman"/>
          <w:i/>
          <w:iCs/>
        </w:rPr>
        <w:t>Enhancing Zero Trust with Continuous Authentication: A Study on Behavioral Biometrics Using Keystroke Dynamics</w:t>
      </w:r>
      <w:r w:rsidRPr="003156FD">
        <w:rPr>
          <w:rFonts w:ascii="Times New Roman" w:hAnsi="Times New Roman" w:cs="Times New Roman"/>
        </w:rPr>
        <w:t>. https://www.diva-portal.org/smash/get/diva2:2001372/FULLTEXT01.pdf</w:t>
      </w:r>
    </w:p>
    <w:p w14:paraId="73AFB543"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Mayou, C. (2025). </w:t>
      </w:r>
      <w:r w:rsidRPr="003156FD">
        <w:rPr>
          <w:rFonts w:ascii="Times New Roman" w:hAnsi="Times New Roman" w:cs="Times New Roman"/>
          <w:i/>
          <w:iCs/>
        </w:rPr>
        <w:t>Meriplex</w:t>
      </w:r>
      <w:r w:rsidRPr="003156FD">
        <w:rPr>
          <w:rFonts w:ascii="Times New Roman" w:hAnsi="Times New Roman" w:cs="Times New Roman"/>
        </w:rPr>
        <w:t>. Meriplex. https://meriplex.com/healthcare-it-security-in-2026-a-strategic-guide/</w:t>
      </w:r>
    </w:p>
    <w:p w14:paraId="36C9B7E9"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lastRenderedPageBreak/>
        <w:t xml:space="preserve">Microsoft. (2025). </w:t>
      </w:r>
      <w:r w:rsidRPr="003156FD">
        <w:rPr>
          <w:rFonts w:ascii="Times New Roman" w:hAnsi="Times New Roman" w:cs="Times New Roman"/>
          <w:i/>
          <w:iCs/>
        </w:rPr>
        <w:t>Multifactor Authentication (MFA) | Microsoft Security</w:t>
      </w:r>
      <w:r w:rsidRPr="003156FD">
        <w:rPr>
          <w:rFonts w:ascii="Times New Roman" w:hAnsi="Times New Roman" w:cs="Times New Roman"/>
        </w:rPr>
        <w:t>. Www.microsoft.com. https://www.microsoft.com/en-us/security/business/identity-access/microsoft-entra-mfa-multi-factor-authentication</w:t>
      </w:r>
    </w:p>
    <w:p w14:paraId="73A14720"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Mondal, S., &amp; Bours, P. (2013). Continuous authentication using mouse dynamics. </w:t>
      </w:r>
      <w:r w:rsidRPr="003156FD">
        <w:rPr>
          <w:rFonts w:ascii="Times New Roman" w:hAnsi="Times New Roman" w:cs="Times New Roman"/>
          <w:i/>
          <w:iCs/>
        </w:rPr>
        <w:t>Biometrics Special Interest Group (BIOSIG), 2013 International Conference of The</w:t>
      </w:r>
      <w:r w:rsidRPr="003156FD">
        <w:rPr>
          <w:rFonts w:ascii="Times New Roman" w:hAnsi="Times New Roman" w:cs="Times New Roman"/>
        </w:rPr>
        <w:t>. https://www.researchgate.net/publication/257932362_Continuous_authentication_using_mouse_dynamics</w:t>
      </w:r>
    </w:p>
    <w:p w14:paraId="0D327C88"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Mondal, S., &amp; Bours, P. (2015). </w:t>
      </w:r>
      <w:r w:rsidRPr="003156FD">
        <w:rPr>
          <w:rFonts w:ascii="Times New Roman" w:hAnsi="Times New Roman" w:cs="Times New Roman"/>
          <w:i/>
          <w:iCs/>
        </w:rPr>
        <w:t>Context independent continuous authentication using behavioural biometrics</w:t>
      </w:r>
      <w:r w:rsidRPr="003156FD">
        <w:rPr>
          <w:rFonts w:ascii="Times New Roman" w:hAnsi="Times New Roman" w:cs="Times New Roman"/>
        </w:rPr>
        <w:t>. https://doi.org/10.1109/isba.2015.7126342</w:t>
      </w:r>
    </w:p>
    <w:p w14:paraId="64E02214"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Niinuma, K., Park, U., &amp; Jain, A. K. (2010). Soft Biometric Traits for Continuous User Authentication. </w:t>
      </w:r>
      <w:r w:rsidRPr="003156FD">
        <w:rPr>
          <w:rFonts w:ascii="Times New Roman" w:hAnsi="Times New Roman" w:cs="Times New Roman"/>
          <w:i/>
          <w:iCs/>
        </w:rPr>
        <w:t>IEEE Transactions on Information Forensics and Security</w:t>
      </w:r>
      <w:r w:rsidRPr="003156FD">
        <w:rPr>
          <w:rFonts w:ascii="Times New Roman" w:hAnsi="Times New Roman" w:cs="Times New Roman"/>
        </w:rPr>
        <w:t xml:space="preserve">, </w:t>
      </w:r>
      <w:r w:rsidRPr="003156FD">
        <w:rPr>
          <w:rFonts w:ascii="Times New Roman" w:hAnsi="Times New Roman" w:cs="Times New Roman"/>
          <w:i/>
          <w:iCs/>
        </w:rPr>
        <w:t>5</w:t>
      </w:r>
      <w:r w:rsidRPr="003156FD">
        <w:rPr>
          <w:rFonts w:ascii="Times New Roman" w:hAnsi="Times New Roman" w:cs="Times New Roman"/>
        </w:rPr>
        <w:t>(4), 771–780. https://doi.org/10.1109/tifs.2010.2075927</w:t>
      </w:r>
    </w:p>
    <w:p w14:paraId="05884DB5"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Nobili, M., Raguseo, D., &amp; Setola, R. (2025). Cybersecuity Analysis of a Telemedicine Platform. </w:t>
      </w:r>
      <w:r w:rsidRPr="003156FD">
        <w:rPr>
          <w:rFonts w:ascii="Times New Roman" w:hAnsi="Times New Roman" w:cs="Times New Roman"/>
          <w:i/>
          <w:iCs/>
        </w:rPr>
        <w:t>Healthcare</w:t>
      </w:r>
      <w:r w:rsidRPr="003156FD">
        <w:rPr>
          <w:rFonts w:ascii="Times New Roman" w:hAnsi="Times New Roman" w:cs="Times New Roman"/>
        </w:rPr>
        <w:t xml:space="preserve">, </w:t>
      </w:r>
      <w:r w:rsidRPr="003156FD">
        <w:rPr>
          <w:rFonts w:ascii="Times New Roman" w:hAnsi="Times New Roman" w:cs="Times New Roman"/>
          <w:i/>
          <w:iCs/>
        </w:rPr>
        <w:t>13</w:t>
      </w:r>
      <w:r w:rsidRPr="003156FD">
        <w:rPr>
          <w:rFonts w:ascii="Times New Roman" w:hAnsi="Times New Roman" w:cs="Times New Roman"/>
        </w:rPr>
        <w:t>(2), 184–184. https://doi.org/10.3390/healthcare13020184</w:t>
      </w:r>
    </w:p>
    <w:p w14:paraId="5919D692"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Novikava, A. (2024). </w:t>
      </w:r>
      <w:r w:rsidRPr="003156FD">
        <w:rPr>
          <w:rFonts w:ascii="Times New Roman" w:hAnsi="Times New Roman" w:cs="Times New Roman"/>
          <w:i/>
          <w:iCs/>
        </w:rPr>
        <w:t>The importance of multi-factor authentication for remote access</w:t>
      </w:r>
      <w:r w:rsidRPr="003156FD">
        <w:rPr>
          <w:rFonts w:ascii="Times New Roman" w:hAnsi="Times New Roman" w:cs="Times New Roman"/>
        </w:rPr>
        <w:t>. Nordlayer.com. https://nordlayer.com/blog/mfa-for-remote-access/</w:t>
      </w:r>
    </w:p>
    <w:p w14:paraId="4F497342"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Ometov, A., Bezzateev, S., Mäkitalo, N., Andreev, S., Mikkonen, T., &amp; Koucheryavy, Y. (2018). Multi-Factor Authentication: A Survey. </w:t>
      </w:r>
      <w:r w:rsidRPr="003156FD">
        <w:rPr>
          <w:rFonts w:ascii="Times New Roman" w:hAnsi="Times New Roman" w:cs="Times New Roman"/>
          <w:i/>
          <w:iCs/>
        </w:rPr>
        <w:t>Cryptography</w:t>
      </w:r>
      <w:r w:rsidRPr="003156FD">
        <w:rPr>
          <w:rFonts w:ascii="Times New Roman" w:hAnsi="Times New Roman" w:cs="Times New Roman"/>
        </w:rPr>
        <w:t xml:space="preserve">, </w:t>
      </w:r>
      <w:r w:rsidRPr="003156FD">
        <w:rPr>
          <w:rFonts w:ascii="Times New Roman" w:hAnsi="Times New Roman" w:cs="Times New Roman"/>
          <w:i/>
          <w:iCs/>
        </w:rPr>
        <w:t>2</w:t>
      </w:r>
      <w:r w:rsidRPr="003156FD">
        <w:rPr>
          <w:rFonts w:ascii="Times New Roman" w:hAnsi="Times New Roman" w:cs="Times New Roman"/>
        </w:rPr>
        <w:t>(1), 1. https://doi.org/10.3390/cryptography2010001</w:t>
      </w:r>
    </w:p>
    <w:p w14:paraId="4FD78B1C"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Padarthy, S., Kamalanathan, S., Rajan, S. M., &amp; Spala, F. (2025). </w:t>
      </w:r>
      <w:r w:rsidRPr="003156FD">
        <w:rPr>
          <w:rFonts w:ascii="Times New Roman" w:hAnsi="Times New Roman" w:cs="Times New Roman"/>
          <w:i/>
          <w:iCs/>
        </w:rPr>
        <w:t>“Zero Trust” and healthcare: a cybersecurity blueprint</w:t>
      </w:r>
      <w:r w:rsidRPr="003156FD">
        <w:rPr>
          <w:rFonts w:ascii="Times New Roman" w:hAnsi="Times New Roman" w:cs="Times New Roman"/>
        </w:rPr>
        <w:t>. Www.cognizant.com. https://www.cognizant.com/us/en/insights/insights-blog/zero-trust-and-healthcare-a-cybersecurity-blueprint</w:t>
      </w:r>
    </w:p>
    <w:p w14:paraId="1B008CBD"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Page, M. J., McKenzie, J. E., Bossuyt, P. M., Boutron, I., Hoffmann, T. C., Mulrow, C. D., Shamseer, L., Tetzlaff, J. M., Akl, E. A., Brennan, S. E., Chou, R., Glanville, J., Grimshaw, J. M., Hróbjartsson, A., Lalu, M. M., Li, T., Loder, E. W., Mayo-Wilson, E., McDonald, S., &amp; McGuinness, L. A. (2021). The PRISMA 2020 statement: An updated guideline for reporting systematic reviews. </w:t>
      </w:r>
      <w:r w:rsidRPr="003156FD">
        <w:rPr>
          <w:rFonts w:ascii="Times New Roman" w:hAnsi="Times New Roman" w:cs="Times New Roman"/>
          <w:i/>
          <w:iCs/>
        </w:rPr>
        <w:t>British Medical Journal</w:t>
      </w:r>
      <w:r w:rsidRPr="003156FD">
        <w:rPr>
          <w:rFonts w:ascii="Times New Roman" w:hAnsi="Times New Roman" w:cs="Times New Roman"/>
        </w:rPr>
        <w:t xml:space="preserve">, </w:t>
      </w:r>
      <w:r w:rsidRPr="003156FD">
        <w:rPr>
          <w:rFonts w:ascii="Times New Roman" w:hAnsi="Times New Roman" w:cs="Times New Roman"/>
          <w:i/>
          <w:iCs/>
        </w:rPr>
        <w:t>372</w:t>
      </w:r>
      <w:r w:rsidRPr="003156FD">
        <w:rPr>
          <w:rFonts w:ascii="Times New Roman" w:hAnsi="Times New Roman" w:cs="Times New Roman"/>
        </w:rPr>
        <w:t>(71). https://doi.org/10.1136/bmj.n71</w:t>
      </w:r>
    </w:p>
    <w:p w14:paraId="7F23E0C9"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Peffers, K., Tuunanen, T., Rothenberger, M. A., &amp; Chatterjee, S. (2007). (PDF) A design science research methodology for information systems research. </w:t>
      </w:r>
      <w:r w:rsidRPr="003156FD">
        <w:rPr>
          <w:rFonts w:ascii="Times New Roman" w:hAnsi="Times New Roman" w:cs="Times New Roman"/>
          <w:i/>
          <w:iCs/>
        </w:rPr>
        <w:t>ResearchGate</w:t>
      </w:r>
      <w:r w:rsidRPr="003156FD">
        <w:rPr>
          <w:rFonts w:ascii="Times New Roman" w:hAnsi="Times New Roman" w:cs="Times New Roman"/>
        </w:rPr>
        <w:t>. https://www.researchgate.net/publication/284503626_A_design_science_research_methodology_for_information_systems_research</w:t>
      </w:r>
    </w:p>
    <w:p w14:paraId="1E736CB8"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lastRenderedPageBreak/>
        <w:t xml:space="preserve">Pusara, M., &amp; Brodley, C. E. (2004). User re-authentication via mouse movements. </w:t>
      </w:r>
      <w:r w:rsidRPr="003156FD">
        <w:rPr>
          <w:rFonts w:ascii="Times New Roman" w:hAnsi="Times New Roman" w:cs="Times New Roman"/>
          <w:i/>
          <w:iCs/>
        </w:rPr>
        <w:t>Proceedings of the 2004 ACM Workshop on Visualization and Data Mining for Computer Security - VizSEC/DMSEC ’04</w:t>
      </w:r>
      <w:r w:rsidRPr="003156FD">
        <w:rPr>
          <w:rFonts w:ascii="Times New Roman" w:hAnsi="Times New Roman" w:cs="Times New Roman"/>
        </w:rPr>
        <w:t>. https://doi.org/10.1145/1029208.1029210</w:t>
      </w:r>
    </w:p>
    <w:p w14:paraId="4D1E7F52"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Rajasekar, V., Predić, B., Saracevic, M., Elhoseny, M., Karabasevic, D., Stanujkic, D., &amp; Jayapaul, P. (2022). Enhanced multimodal biometric recognition approach for smart cities based on an optimized fuzzy genetic algorithm. </w:t>
      </w:r>
      <w:r w:rsidRPr="003156FD">
        <w:rPr>
          <w:rFonts w:ascii="Times New Roman" w:hAnsi="Times New Roman" w:cs="Times New Roman"/>
          <w:i/>
          <w:iCs/>
        </w:rPr>
        <w:t>Scientific Reports</w:t>
      </w:r>
      <w:r w:rsidRPr="003156FD">
        <w:rPr>
          <w:rFonts w:ascii="Times New Roman" w:hAnsi="Times New Roman" w:cs="Times New Roman"/>
        </w:rPr>
        <w:t xml:space="preserve">, </w:t>
      </w:r>
      <w:r w:rsidRPr="003156FD">
        <w:rPr>
          <w:rFonts w:ascii="Times New Roman" w:hAnsi="Times New Roman" w:cs="Times New Roman"/>
          <w:i/>
          <w:iCs/>
        </w:rPr>
        <w:t>12</w:t>
      </w:r>
      <w:r w:rsidRPr="003156FD">
        <w:rPr>
          <w:rFonts w:ascii="Times New Roman" w:hAnsi="Times New Roman" w:cs="Times New Roman"/>
        </w:rPr>
        <w:t>(1). https://doi.org/10.1038/s41598-021-04652-3</w:t>
      </w:r>
    </w:p>
    <w:p w14:paraId="26075AA3"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Rose, S., Borchert, O., Mitchell, S., &amp; Connelly, S. (2020). Zero trust architecture. </w:t>
      </w:r>
      <w:r w:rsidRPr="003156FD">
        <w:rPr>
          <w:rFonts w:ascii="Times New Roman" w:hAnsi="Times New Roman" w:cs="Times New Roman"/>
          <w:i/>
          <w:iCs/>
        </w:rPr>
        <w:t>NIST Special Publication 800-207</w:t>
      </w:r>
      <w:r w:rsidRPr="003156FD">
        <w:rPr>
          <w:rFonts w:ascii="Times New Roman" w:hAnsi="Times New Roman" w:cs="Times New Roman"/>
        </w:rPr>
        <w:t xml:space="preserve">, </w:t>
      </w:r>
      <w:r w:rsidRPr="003156FD">
        <w:rPr>
          <w:rFonts w:ascii="Times New Roman" w:hAnsi="Times New Roman" w:cs="Times New Roman"/>
          <w:i/>
          <w:iCs/>
        </w:rPr>
        <w:t>1</w:t>
      </w:r>
      <w:r w:rsidRPr="003156FD">
        <w:rPr>
          <w:rFonts w:ascii="Times New Roman" w:hAnsi="Times New Roman" w:cs="Times New Roman"/>
        </w:rPr>
        <w:t>(800-207). https://doi.org/10.6028/nist.sp.800-207</w:t>
      </w:r>
    </w:p>
    <w:p w14:paraId="032CDDA2"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Ross, A. A., Nandakumar, K., &amp; Jain, A. K. (2006). </w:t>
      </w:r>
      <w:r w:rsidRPr="003156FD">
        <w:rPr>
          <w:rFonts w:ascii="Times New Roman" w:hAnsi="Times New Roman" w:cs="Times New Roman"/>
          <w:i/>
          <w:iCs/>
        </w:rPr>
        <w:t>Handbook of Multibiometrics</w:t>
      </w:r>
      <w:r w:rsidRPr="003156FD">
        <w:rPr>
          <w:rFonts w:ascii="Times New Roman" w:hAnsi="Times New Roman" w:cs="Times New Roman"/>
        </w:rPr>
        <w:t>. Springer Science &amp; Business Media.</w:t>
      </w:r>
    </w:p>
    <w:p w14:paraId="6B3F4F17"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Shadman, R., Wahab, A. A., Manno, M., Lukaszewski, M., Hou, D., &amp; Hussain, F. (2025). Keystroke Dynamics: Concepts, Techniques, and Applications. </w:t>
      </w:r>
      <w:r w:rsidRPr="003156FD">
        <w:rPr>
          <w:rFonts w:ascii="Times New Roman" w:hAnsi="Times New Roman" w:cs="Times New Roman"/>
          <w:i/>
          <w:iCs/>
        </w:rPr>
        <w:t>ACM Computing Surveys</w:t>
      </w:r>
      <w:r w:rsidRPr="003156FD">
        <w:rPr>
          <w:rFonts w:ascii="Times New Roman" w:hAnsi="Times New Roman" w:cs="Times New Roman"/>
        </w:rPr>
        <w:t>. https://doi.org/10.1145/3733103</w:t>
      </w:r>
    </w:p>
    <w:p w14:paraId="76CA0AE2"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Traore, I., Woungang, I., Obaidat, M. S., Nakkabi, Y., &amp; Lai, I. (2012). </w:t>
      </w:r>
      <w:r w:rsidRPr="003156FD">
        <w:rPr>
          <w:rFonts w:ascii="Times New Roman" w:hAnsi="Times New Roman" w:cs="Times New Roman"/>
          <w:i/>
          <w:iCs/>
        </w:rPr>
        <w:t>Combining Mouse and Keystroke Dynamics Biometrics for Risk-Based Authentication in Web Environments</w:t>
      </w:r>
      <w:r w:rsidRPr="003156FD">
        <w:rPr>
          <w:rFonts w:ascii="Times New Roman" w:hAnsi="Times New Roman" w:cs="Times New Roman"/>
        </w:rPr>
        <w:t>. IEEE Xplore. https://doi.org/10.1109/ICDH.2012.59</w:t>
      </w:r>
    </w:p>
    <w:p w14:paraId="401075AA"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Trewin, S. (2006). </w:t>
      </w:r>
      <w:r w:rsidRPr="003156FD">
        <w:rPr>
          <w:rFonts w:ascii="Times New Roman" w:hAnsi="Times New Roman" w:cs="Times New Roman"/>
          <w:i/>
          <w:iCs/>
        </w:rPr>
        <w:t>Physical usability and the mobile web</w:t>
      </w:r>
      <w:r w:rsidRPr="003156FD">
        <w:rPr>
          <w:rFonts w:ascii="Times New Roman" w:hAnsi="Times New Roman" w:cs="Times New Roman"/>
        </w:rPr>
        <w:t>. https://doi.org/10.1145/1133219.1133239</w:t>
      </w:r>
    </w:p>
    <w:p w14:paraId="527ED472"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U.S. Department of Health and Human Services. (2024). </w:t>
      </w:r>
      <w:r w:rsidRPr="003156FD">
        <w:rPr>
          <w:rFonts w:ascii="Times New Roman" w:hAnsi="Times New Roman" w:cs="Times New Roman"/>
          <w:i/>
          <w:iCs/>
        </w:rPr>
        <w:t>Summary of the HIPAA Security Rule</w:t>
      </w:r>
      <w:r w:rsidRPr="003156FD">
        <w:rPr>
          <w:rFonts w:ascii="Times New Roman" w:hAnsi="Times New Roman" w:cs="Times New Roman"/>
        </w:rPr>
        <w:t>. U.S. Department of Health and Human Services. https://www.hhs.gov/hipaa/for-professionals/security/laws-regulations/index.html</w:t>
      </w:r>
    </w:p>
    <w:p w14:paraId="66A90383"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Uslu, U., İncel, Ö. D., &amp; Alptekin, G. I. (2023). Evaluation of Deep Learning Models for Continuous Authentication Using Behavioral Biometrics. </w:t>
      </w:r>
      <w:r w:rsidRPr="003156FD">
        <w:rPr>
          <w:rFonts w:ascii="Times New Roman" w:hAnsi="Times New Roman" w:cs="Times New Roman"/>
          <w:i/>
          <w:iCs/>
        </w:rPr>
        <w:t>Procedia Computer Science</w:t>
      </w:r>
      <w:r w:rsidRPr="003156FD">
        <w:rPr>
          <w:rFonts w:ascii="Times New Roman" w:hAnsi="Times New Roman" w:cs="Times New Roman"/>
        </w:rPr>
        <w:t xml:space="preserve">, </w:t>
      </w:r>
      <w:r w:rsidRPr="003156FD">
        <w:rPr>
          <w:rFonts w:ascii="Times New Roman" w:hAnsi="Times New Roman" w:cs="Times New Roman"/>
          <w:i/>
          <w:iCs/>
        </w:rPr>
        <w:t>225</w:t>
      </w:r>
      <w:r w:rsidRPr="003156FD">
        <w:rPr>
          <w:rFonts w:ascii="Times New Roman" w:hAnsi="Times New Roman" w:cs="Times New Roman"/>
        </w:rPr>
        <w:t>, 1272–1281. https://doi.org/10.1016/j.procs.2023.10.115</w:t>
      </w:r>
    </w:p>
    <w:p w14:paraId="7CF89A38"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Verizon. (2024). </w:t>
      </w:r>
      <w:r w:rsidRPr="003156FD">
        <w:rPr>
          <w:rFonts w:ascii="Times New Roman" w:hAnsi="Times New Roman" w:cs="Times New Roman"/>
          <w:i/>
          <w:iCs/>
        </w:rPr>
        <w:t>2024 Data Breach Investigations Report</w:t>
      </w:r>
      <w:r w:rsidRPr="003156FD">
        <w:rPr>
          <w:rFonts w:ascii="Times New Roman" w:hAnsi="Times New Roman" w:cs="Times New Roman"/>
        </w:rPr>
        <w:t>. Verizon Enterprise Solutions. https://www.verizon.com/business/resources/reports/2024-dbir-data-breach-investigations-report.pdf</w:t>
      </w:r>
    </w:p>
    <w:p w14:paraId="68414A2E"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Veza. (2025). </w:t>
      </w:r>
      <w:r w:rsidRPr="003156FD">
        <w:rPr>
          <w:rFonts w:ascii="Times New Roman" w:hAnsi="Times New Roman" w:cs="Times New Roman"/>
          <w:i/>
          <w:iCs/>
        </w:rPr>
        <w:t>The State of Access Report - Veza</w:t>
      </w:r>
      <w:r w:rsidRPr="003156FD">
        <w:rPr>
          <w:rFonts w:ascii="Times New Roman" w:hAnsi="Times New Roman" w:cs="Times New Roman"/>
        </w:rPr>
        <w:t>. Veza. https://veza.com/resources/stateofaccess-ppc/</w:t>
      </w:r>
    </w:p>
    <w:p w14:paraId="2BC7C005" w14:textId="77777777" w:rsidR="006E3099" w:rsidRPr="003156FD" w:rsidRDefault="006E3099" w:rsidP="006E3099">
      <w:pPr>
        <w:spacing w:line="276" w:lineRule="auto"/>
        <w:ind w:left="720" w:hanging="720"/>
        <w:jc w:val="both"/>
        <w:rPr>
          <w:rFonts w:ascii="Times New Roman" w:hAnsi="Times New Roman" w:cs="Times New Roman"/>
        </w:rPr>
      </w:pPr>
      <w:proofErr w:type="gramStart"/>
      <w:r w:rsidRPr="003156FD">
        <w:rPr>
          <w:rFonts w:ascii="Times New Roman" w:hAnsi="Times New Roman" w:cs="Times New Roman"/>
        </w:rPr>
        <w:t>Vidals ,</w:t>
      </w:r>
      <w:proofErr w:type="gramEnd"/>
      <w:r w:rsidRPr="003156FD">
        <w:rPr>
          <w:rFonts w:ascii="Times New Roman" w:hAnsi="Times New Roman" w:cs="Times New Roman"/>
        </w:rPr>
        <w:t xml:space="preserve"> G. (2023). </w:t>
      </w:r>
      <w:r w:rsidRPr="003156FD">
        <w:rPr>
          <w:rFonts w:ascii="Times New Roman" w:hAnsi="Times New Roman" w:cs="Times New Roman"/>
          <w:i/>
          <w:iCs/>
        </w:rPr>
        <w:t>Multi-Factor Authentication for HIPAA Compliance</w:t>
      </w:r>
      <w:r w:rsidRPr="003156FD">
        <w:rPr>
          <w:rFonts w:ascii="Times New Roman" w:hAnsi="Times New Roman" w:cs="Times New Roman"/>
        </w:rPr>
        <w:t>. Hosting &amp; Cloud Solutions - HIPAA Compliant - HIPAA Vault. https://www.hipaavault.com/hipaa-outlook/multi-factor-authentication-for-hipaa-compliance/</w:t>
      </w:r>
    </w:p>
    <w:p w14:paraId="291E5C94"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lastRenderedPageBreak/>
        <w:t xml:space="preserve">Wang, X., Shi, Y., Zheng, K., Zhang, Y., Hong, W., &amp; Cao, S. (2022). User Authentication Method Based on Keystroke Dynamics and Mouse Dynamics with Scene-Irrelated Features in Hybrid Scenes. </w:t>
      </w:r>
      <w:r w:rsidRPr="003156FD">
        <w:rPr>
          <w:rFonts w:ascii="Times New Roman" w:hAnsi="Times New Roman" w:cs="Times New Roman"/>
          <w:i/>
          <w:iCs/>
        </w:rPr>
        <w:t>Sensors</w:t>
      </w:r>
      <w:r w:rsidRPr="003156FD">
        <w:rPr>
          <w:rFonts w:ascii="Times New Roman" w:hAnsi="Times New Roman" w:cs="Times New Roman"/>
        </w:rPr>
        <w:t xml:space="preserve">, </w:t>
      </w:r>
      <w:r w:rsidRPr="003156FD">
        <w:rPr>
          <w:rFonts w:ascii="Times New Roman" w:hAnsi="Times New Roman" w:cs="Times New Roman"/>
          <w:i/>
          <w:iCs/>
        </w:rPr>
        <w:t>22</w:t>
      </w:r>
      <w:r w:rsidRPr="003156FD">
        <w:rPr>
          <w:rFonts w:ascii="Times New Roman" w:hAnsi="Times New Roman" w:cs="Times New Roman"/>
        </w:rPr>
        <w:t>(17), 6627. https://doi.org/10.3390/s22176627</w:t>
      </w:r>
    </w:p>
    <w:p w14:paraId="0CD26EAA"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Wójtowicz, A., &amp; Joachimiak, K. (2016). Model for adaptable context-based biometric authentication for mobile devices. </w:t>
      </w:r>
      <w:r w:rsidRPr="003156FD">
        <w:rPr>
          <w:rFonts w:ascii="Times New Roman" w:hAnsi="Times New Roman" w:cs="Times New Roman"/>
          <w:i/>
          <w:iCs/>
        </w:rPr>
        <w:t>Personal and Ubiquitous Computing</w:t>
      </w:r>
      <w:r w:rsidRPr="003156FD">
        <w:rPr>
          <w:rFonts w:ascii="Times New Roman" w:hAnsi="Times New Roman" w:cs="Times New Roman"/>
        </w:rPr>
        <w:t xml:space="preserve">, </w:t>
      </w:r>
      <w:r w:rsidRPr="003156FD">
        <w:rPr>
          <w:rFonts w:ascii="Times New Roman" w:hAnsi="Times New Roman" w:cs="Times New Roman"/>
          <w:i/>
          <w:iCs/>
        </w:rPr>
        <w:t>20</w:t>
      </w:r>
      <w:r w:rsidRPr="003156FD">
        <w:rPr>
          <w:rFonts w:ascii="Times New Roman" w:hAnsi="Times New Roman" w:cs="Times New Roman"/>
        </w:rPr>
        <w:t>(2), 195–207. https://doi.org/10.1007/s00779-016-0905-0</w:t>
      </w:r>
    </w:p>
    <w:p w14:paraId="7FEC1B83"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Wolkstein, E. (2025). </w:t>
      </w:r>
      <w:r w:rsidRPr="003156FD">
        <w:rPr>
          <w:rFonts w:ascii="Times New Roman" w:hAnsi="Times New Roman" w:cs="Times New Roman"/>
          <w:i/>
          <w:iCs/>
        </w:rPr>
        <w:t>Session Hijacking in 2025: Techniques, Attack Examples &amp; Defenses</w:t>
      </w:r>
      <w:r w:rsidRPr="003156FD">
        <w:rPr>
          <w:rFonts w:ascii="Times New Roman" w:hAnsi="Times New Roman" w:cs="Times New Roman"/>
        </w:rPr>
        <w:t>. Seraphic Security. https://seraphicsecurity.com/learn/website-security/session-hijacking-in-2025-techniques-attack-examples-and-defenses/</w:t>
      </w:r>
    </w:p>
    <w:p w14:paraId="1FE873CB"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Wu, T., Li, G., Wang, J., Xiao, B., &amp; Song, Y. (2025). PPCA: Privacy-Preserving Continuous Authentication Scheme </w:t>
      </w:r>
      <w:proofErr w:type="gramStart"/>
      <w:r w:rsidRPr="003156FD">
        <w:rPr>
          <w:rFonts w:ascii="Times New Roman" w:hAnsi="Times New Roman" w:cs="Times New Roman"/>
        </w:rPr>
        <w:t>With</w:t>
      </w:r>
      <w:proofErr w:type="gramEnd"/>
      <w:r w:rsidRPr="003156FD">
        <w:rPr>
          <w:rFonts w:ascii="Times New Roman" w:hAnsi="Times New Roman" w:cs="Times New Roman"/>
        </w:rPr>
        <w:t xml:space="preserve"> Consistency Proof for Zero-Trust Architecture Networks. </w:t>
      </w:r>
      <w:r w:rsidRPr="003156FD">
        <w:rPr>
          <w:rFonts w:ascii="Times New Roman" w:hAnsi="Times New Roman" w:cs="Times New Roman"/>
          <w:i/>
          <w:iCs/>
        </w:rPr>
        <w:t>IEEE Internet of Things Journal</w:t>
      </w:r>
      <w:r w:rsidRPr="003156FD">
        <w:rPr>
          <w:rFonts w:ascii="Times New Roman" w:hAnsi="Times New Roman" w:cs="Times New Roman"/>
        </w:rPr>
        <w:t>, 1–1. https://doi.org/10.1109/jiot.2025.3537980</w:t>
      </w:r>
    </w:p>
    <w:p w14:paraId="33AEE852"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Yampolskiy, R. V., &amp; Govindaraju, V. (2008). Behavioural biometrics: a survey and classification. </w:t>
      </w:r>
      <w:r w:rsidRPr="003156FD">
        <w:rPr>
          <w:rFonts w:ascii="Times New Roman" w:hAnsi="Times New Roman" w:cs="Times New Roman"/>
          <w:i/>
          <w:iCs/>
        </w:rPr>
        <w:t>International Journal of Biometrics</w:t>
      </w:r>
      <w:r w:rsidRPr="003156FD">
        <w:rPr>
          <w:rFonts w:ascii="Times New Roman" w:hAnsi="Times New Roman" w:cs="Times New Roman"/>
        </w:rPr>
        <w:t xml:space="preserve">, </w:t>
      </w:r>
      <w:r w:rsidRPr="003156FD">
        <w:rPr>
          <w:rFonts w:ascii="Times New Roman" w:hAnsi="Times New Roman" w:cs="Times New Roman"/>
          <w:i/>
          <w:iCs/>
        </w:rPr>
        <w:t>1</w:t>
      </w:r>
      <w:r w:rsidRPr="003156FD">
        <w:rPr>
          <w:rFonts w:ascii="Times New Roman" w:hAnsi="Times New Roman" w:cs="Times New Roman"/>
        </w:rPr>
        <w:t>(1), 81. https://doi.org/10.1504/ijbm.2008.018665</w:t>
      </w:r>
    </w:p>
    <w:p w14:paraId="581366C2"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Yuan, F., Shang, Y., Liu, Y., Cao, Y., &amp; Tan, J. (2019). </w:t>
      </w:r>
      <w:r w:rsidRPr="003156FD">
        <w:rPr>
          <w:rFonts w:ascii="Times New Roman" w:hAnsi="Times New Roman" w:cs="Times New Roman"/>
          <w:i/>
          <w:iCs/>
        </w:rPr>
        <w:t>Attention-Based LSTM for Insider Threat Detection</w:t>
      </w:r>
      <w:r w:rsidRPr="003156FD">
        <w:rPr>
          <w:rFonts w:ascii="Times New Roman" w:hAnsi="Times New Roman" w:cs="Times New Roman"/>
        </w:rPr>
        <w:t>. 192–201. https://doi.org/10.1007/978-981-15-0871-4_15</w:t>
      </w:r>
    </w:p>
    <w:p w14:paraId="7B59F990"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Zheng, N., Bai, K., Huang, H., &amp; Wang, H. (2014). You Are How You Touch: User Verification on Smartphones via Tapping Behaviors. </w:t>
      </w:r>
      <w:r w:rsidRPr="003156FD">
        <w:rPr>
          <w:rFonts w:ascii="Times New Roman" w:hAnsi="Times New Roman" w:cs="Times New Roman"/>
          <w:i/>
          <w:iCs/>
        </w:rPr>
        <w:t>International Conference on Network Protocols</w:t>
      </w:r>
      <w:r w:rsidRPr="003156FD">
        <w:rPr>
          <w:rFonts w:ascii="Times New Roman" w:hAnsi="Times New Roman" w:cs="Times New Roman"/>
        </w:rPr>
        <w:t>. https://doi.org/10.1109/icnp.2014.43</w:t>
      </w:r>
    </w:p>
    <w:p w14:paraId="45C80864" w14:textId="77777777" w:rsidR="006E3099" w:rsidRPr="006E3099" w:rsidRDefault="006E3099" w:rsidP="006E3099">
      <w:pPr>
        <w:spacing w:line="276" w:lineRule="auto"/>
        <w:ind w:left="720" w:hanging="720"/>
        <w:jc w:val="both"/>
        <w:rPr>
          <w:rFonts w:ascii="Times New Roman" w:hAnsi="Times New Roman" w:cs="Times New Roman"/>
        </w:rPr>
      </w:pPr>
    </w:p>
    <w:p w14:paraId="62AB5F9A" w14:textId="77777777" w:rsidR="006E3099" w:rsidRPr="006E3099" w:rsidRDefault="006E3099" w:rsidP="006E3099">
      <w:pPr>
        <w:spacing w:line="276" w:lineRule="auto"/>
        <w:ind w:left="720" w:hanging="720"/>
        <w:jc w:val="both"/>
        <w:rPr>
          <w:rFonts w:ascii="Times New Roman" w:hAnsi="Times New Roman" w:cs="Times New Roman"/>
        </w:rPr>
      </w:pPr>
    </w:p>
    <w:p w14:paraId="00975174" w14:textId="77777777" w:rsidR="006E3099" w:rsidRPr="006E3099" w:rsidRDefault="006E3099" w:rsidP="006E3099">
      <w:pPr>
        <w:spacing w:line="276" w:lineRule="auto"/>
        <w:ind w:left="720" w:hanging="720"/>
        <w:jc w:val="both"/>
        <w:rPr>
          <w:rFonts w:ascii="Times New Roman" w:hAnsi="Times New Roman" w:cs="Times New Roman"/>
        </w:rPr>
      </w:pPr>
    </w:p>
    <w:sectPr w:rsidR="006E3099" w:rsidRPr="006E3099">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3DFCF" w14:textId="77777777" w:rsidR="00F86EC2" w:rsidRDefault="00F86EC2" w:rsidP="007B0B42">
      <w:pPr>
        <w:spacing w:after="0" w:line="240" w:lineRule="auto"/>
      </w:pPr>
      <w:r>
        <w:separator/>
      </w:r>
    </w:p>
  </w:endnote>
  <w:endnote w:type="continuationSeparator" w:id="0">
    <w:p w14:paraId="6E89A55A" w14:textId="77777777" w:rsidR="00F86EC2" w:rsidRDefault="00F86EC2" w:rsidP="007B0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2A46D" w14:textId="77777777" w:rsidR="007B0B42" w:rsidRDefault="007B0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9DC18" w14:textId="77777777" w:rsidR="007B0B42" w:rsidRDefault="007B0B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45268" w14:textId="77777777" w:rsidR="007B0B42" w:rsidRDefault="007B0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68691" w14:textId="77777777" w:rsidR="00F86EC2" w:rsidRDefault="00F86EC2" w:rsidP="007B0B42">
      <w:pPr>
        <w:spacing w:after="0" w:line="240" w:lineRule="auto"/>
      </w:pPr>
      <w:r>
        <w:separator/>
      </w:r>
    </w:p>
  </w:footnote>
  <w:footnote w:type="continuationSeparator" w:id="0">
    <w:p w14:paraId="198298CD" w14:textId="77777777" w:rsidR="00F86EC2" w:rsidRDefault="00F86EC2" w:rsidP="007B0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FEBC7" w14:textId="74D888FF" w:rsidR="007B0B42" w:rsidRDefault="007B0B42">
    <w:pPr>
      <w:pStyle w:val="Header"/>
    </w:pPr>
    <w:r>
      <w:rPr>
        <w:noProof/>
      </w:rPr>
      <w:pict w14:anchorId="614A2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7145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E6E6" w14:textId="6809D87E" w:rsidR="007B0B42" w:rsidRDefault="007B0B42">
    <w:pPr>
      <w:pStyle w:val="Header"/>
    </w:pPr>
    <w:r>
      <w:rPr>
        <w:noProof/>
      </w:rPr>
      <w:pict w14:anchorId="05C4C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7145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48BF5" w14:textId="55030CBF" w:rsidR="007B0B42" w:rsidRDefault="007B0B42">
    <w:pPr>
      <w:pStyle w:val="Header"/>
    </w:pPr>
    <w:r>
      <w:rPr>
        <w:noProof/>
      </w:rPr>
      <w:pict w14:anchorId="7CA15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7145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C474F"/>
    <w:multiLevelType w:val="hybridMultilevel"/>
    <w:tmpl w:val="EF3A28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99"/>
    <w:rsid w:val="00212A59"/>
    <w:rsid w:val="003E4F3E"/>
    <w:rsid w:val="004C69D4"/>
    <w:rsid w:val="004D71F8"/>
    <w:rsid w:val="004F3339"/>
    <w:rsid w:val="005E32AE"/>
    <w:rsid w:val="005F04A7"/>
    <w:rsid w:val="006A32DE"/>
    <w:rsid w:val="006E3099"/>
    <w:rsid w:val="00713F63"/>
    <w:rsid w:val="0072408D"/>
    <w:rsid w:val="007B0B42"/>
    <w:rsid w:val="00902C96"/>
    <w:rsid w:val="00926674"/>
    <w:rsid w:val="009C2317"/>
    <w:rsid w:val="00C40EB5"/>
    <w:rsid w:val="00C64F40"/>
    <w:rsid w:val="00CB2211"/>
    <w:rsid w:val="00D15C05"/>
    <w:rsid w:val="00DC2806"/>
    <w:rsid w:val="00F77A92"/>
    <w:rsid w:val="00F86EC2"/>
    <w:rsid w:val="00FC4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3EAA33D"/>
  <w15:chartTrackingRefBased/>
  <w15:docId w15:val="{27EC583D-5279-4440-8C74-AC80DE51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099"/>
  </w:style>
  <w:style w:type="paragraph" w:styleId="Heading1">
    <w:name w:val="heading 1"/>
    <w:basedOn w:val="Normal"/>
    <w:next w:val="Normal"/>
    <w:link w:val="Heading1Char"/>
    <w:uiPriority w:val="9"/>
    <w:qFormat/>
    <w:rsid w:val="006E3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0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0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0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0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0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0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0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0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0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0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0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0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099"/>
    <w:rPr>
      <w:rFonts w:eastAsiaTheme="majorEastAsia" w:cstheme="majorBidi"/>
      <w:color w:val="272727" w:themeColor="text1" w:themeTint="D8"/>
    </w:rPr>
  </w:style>
  <w:style w:type="paragraph" w:styleId="Title">
    <w:name w:val="Title"/>
    <w:basedOn w:val="Normal"/>
    <w:next w:val="Normal"/>
    <w:link w:val="TitleChar"/>
    <w:uiPriority w:val="10"/>
    <w:qFormat/>
    <w:rsid w:val="006E3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099"/>
    <w:pPr>
      <w:spacing w:before="160"/>
      <w:jc w:val="center"/>
    </w:pPr>
    <w:rPr>
      <w:i/>
      <w:iCs/>
      <w:color w:val="404040" w:themeColor="text1" w:themeTint="BF"/>
    </w:rPr>
  </w:style>
  <w:style w:type="character" w:customStyle="1" w:styleId="QuoteChar">
    <w:name w:val="Quote Char"/>
    <w:basedOn w:val="DefaultParagraphFont"/>
    <w:link w:val="Quote"/>
    <w:uiPriority w:val="29"/>
    <w:rsid w:val="006E3099"/>
    <w:rPr>
      <w:i/>
      <w:iCs/>
      <w:color w:val="404040" w:themeColor="text1" w:themeTint="BF"/>
    </w:rPr>
  </w:style>
  <w:style w:type="paragraph" w:styleId="ListParagraph">
    <w:name w:val="List Paragraph"/>
    <w:basedOn w:val="Normal"/>
    <w:uiPriority w:val="34"/>
    <w:qFormat/>
    <w:rsid w:val="006E3099"/>
    <w:pPr>
      <w:ind w:left="720"/>
      <w:contextualSpacing/>
    </w:pPr>
  </w:style>
  <w:style w:type="character" w:styleId="IntenseEmphasis">
    <w:name w:val="Intense Emphasis"/>
    <w:basedOn w:val="DefaultParagraphFont"/>
    <w:uiPriority w:val="21"/>
    <w:qFormat/>
    <w:rsid w:val="006E3099"/>
    <w:rPr>
      <w:i/>
      <w:iCs/>
      <w:color w:val="0F4761" w:themeColor="accent1" w:themeShade="BF"/>
    </w:rPr>
  </w:style>
  <w:style w:type="paragraph" w:styleId="IntenseQuote">
    <w:name w:val="Intense Quote"/>
    <w:basedOn w:val="Normal"/>
    <w:next w:val="Normal"/>
    <w:link w:val="IntenseQuoteChar"/>
    <w:uiPriority w:val="30"/>
    <w:qFormat/>
    <w:rsid w:val="006E3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099"/>
    <w:rPr>
      <w:i/>
      <w:iCs/>
      <w:color w:val="0F4761" w:themeColor="accent1" w:themeShade="BF"/>
    </w:rPr>
  </w:style>
  <w:style w:type="character" w:styleId="IntenseReference">
    <w:name w:val="Intense Reference"/>
    <w:basedOn w:val="DefaultParagraphFont"/>
    <w:uiPriority w:val="32"/>
    <w:qFormat/>
    <w:rsid w:val="006E3099"/>
    <w:rPr>
      <w:b/>
      <w:bCs/>
      <w:smallCaps/>
      <w:color w:val="0F4761" w:themeColor="accent1" w:themeShade="BF"/>
      <w:spacing w:val="5"/>
    </w:rPr>
  </w:style>
  <w:style w:type="paragraph" w:styleId="NoSpacing">
    <w:name w:val="No Spacing"/>
    <w:uiPriority w:val="1"/>
    <w:qFormat/>
    <w:rsid w:val="005E32AE"/>
    <w:pPr>
      <w:spacing w:after="0" w:line="240" w:lineRule="auto"/>
    </w:pPr>
    <w:rPr>
      <w:sz w:val="22"/>
      <w:szCs w:val="22"/>
    </w:rPr>
  </w:style>
  <w:style w:type="character" w:styleId="Hyperlink">
    <w:name w:val="Hyperlink"/>
    <w:basedOn w:val="DefaultParagraphFont"/>
    <w:uiPriority w:val="99"/>
    <w:unhideWhenUsed/>
    <w:rsid w:val="0072408D"/>
    <w:rPr>
      <w:color w:val="467886" w:themeColor="hyperlink"/>
      <w:u w:val="single"/>
    </w:rPr>
  </w:style>
  <w:style w:type="character" w:styleId="UnresolvedMention">
    <w:name w:val="Unresolved Mention"/>
    <w:basedOn w:val="DefaultParagraphFont"/>
    <w:uiPriority w:val="99"/>
    <w:semiHidden/>
    <w:unhideWhenUsed/>
    <w:rsid w:val="0072408D"/>
    <w:rPr>
      <w:color w:val="605E5C"/>
      <w:shd w:val="clear" w:color="auto" w:fill="E1DFDD"/>
    </w:rPr>
  </w:style>
  <w:style w:type="paragraph" w:styleId="Header">
    <w:name w:val="header"/>
    <w:basedOn w:val="Normal"/>
    <w:link w:val="HeaderChar"/>
    <w:uiPriority w:val="99"/>
    <w:unhideWhenUsed/>
    <w:rsid w:val="007B0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B42"/>
  </w:style>
  <w:style w:type="paragraph" w:styleId="Footer">
    <w:name w:val="footer"/>
    <w:basedOn w:val="Normal"/>
    <w:link w:val="FooterChar"/>
    <w:uiPriority w:val="99"/>
    <w:unhideWhenUsed/>
    <w:rsid w:val="007B0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31</Pages>
  <Words>7852</Words>
  <Characters>44758</Characters>
  <Application>Microsoft Office Word</Application>
  <DocSecurity>0</DocSecurity>
  <Lines>372</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Otolorin</dc:creator>
  <cp:keywords/>
  <dc:description/>
  <cp:lastModifiedBy>SDI 1084</cp:lastModifiedBy>
  <cp:revision>18</cp:revision>
  <dcterms:created xsi:type="dcterms:W3CDTF">2025-11-13T03:51:00Z</dcterms:created>
  <dcterms:modified xsi:type="dcterms:W3CDTF">2025-11-18T11:16:00Z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6ef69933-c28c-4a82-8f6a-dde608d5a798</vt:lpwstr>
  </property>
</Properties>
</file>