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47CB" w14:textId="77777777" w:rsidR="00311865" w:rsidRDefault="00311865" w:rsidP="00FC5145">
      <w:pPr>
        <w:spacing w:after="240" w:line="360" w:lineRule="auto"/>
        <w:jc w:val="center"/>
        <w:rPr>
          <w:b/>
          <w:sz w:val="40"/>
          <w:szCs w:val="40"/>
        </w:rPr>
      </w:pPr>
    </w:p>
    <w:p w14:paraId="00000001" w14:textId="77777777" w:rsidR="00FA2C7A" w:rsidRPr="00FC5145" w:rsidRDefault="008E6F5F" w:rsidP="00FC5145">
      <w:pPr>
        <w:spacing w:after="240" w:line="360" w:lineRule="auto"/>
        <w:jc w:val="center"/>
        <w:rPr>
          <w:b/>
          <w:sz w:val="40"/>
          <w:szCs w:val="40"/>
        </w:rPr>
      </w:pPr>
      <w:r w:rsidRPr="00FC5145">
        <w:rPr>
          <w:b/>
          <w:sz w:val="40"/>
          <w:szCs w:val="40"/>
        </w:rPr>
        <w:t>Beyond Adoption: Towards a Strategic Framework for Scaling Machine Learning in E-Commerce Cybersecurity</w:t>
      </w:r>
    </w:p>
    <w:p w14:paraId="00000002" w14:textId="77777777" w:rsidR="00FA2C7A" w:rsidRDefault="00FA2C7A" w:rsidP="00FC5145">
      <w:pPr>
        <w:spacing w:after="240" w:line="360" w:lineRule="auto"/>
        <w:rPr>
          <w:sz w:val="24"/>
          <w:szCs w:val="24"/>
        </w:rPr>
      </w:pPr>
    </w:p>
    <w:p w14:paraId="1574F2B7" w14:textId="77777777" w:rsidR="00D768C9" w:rsidRDefault="00D768C9" w:rsidP="00FC5145">
      <w:pPr>
        <w:spacing w:after="240" w:line="360" w:lineRule="auto"/>
        <w:rPr>
          <w:sz w:val="24"/>
          <w:szCs w:val="24"/>
        </w:rPr>
      </w:pPr>
    </w:p>
    <w:p w14:paraId="00000003" w14:textId="39299A1E" w:rsidR="00FA2C7A" w:rsidRPr="001D6728" w:rsidRDefault="009B641F" w:rsidP="003D6F2D">
      <w:pPr>
        <w:spacing w:after="240" w:line="360" w:lineRule="auto"/>
        <w:jc w:val="both"/>
        <w:rPr>
          <w:b/>
          <w:sz w:val="24"/>
          <w:szCs w:val="24"/>
        </w:rPr>
      </w:pPr>
      <w:r w:rsidRPr="001D6728">
        <w:rPr>
          <w:b/>
          <w:sz w:val="24"/>
          <w:szCs w:val="24"/>
        </w:rPr>
        <w:t>Abstract</w:t>
      </w:r>
    </w:p>
    <w:p w14:paraId="69404164" w14:textId="77777777" w:rsidR="009B641F" w:rsidRPr="001D6728" w:rsidRDefault="009B641F" w:rsidP="003D6F2D">
      <w:pPr>
        <w:spacing w:before="100" w:beforeAutospacing="1" w:after="240" w:line="360" w:lineRule="auto"/>
        <w:jc w:val="both"/>
        <w:rPr>
          <w:rFonts w:eastAsia="Times New Roman"/>
          <w:i/>
          <w:sz w:val="24"/>
          <w:szCs w:val="24"/>
          <w:lang w:val="en-US"/>
        </w:rPr>
      </w:pPr>
      <w:r w:rsidRPr="001D6728">
        <w:rPr>
          <w:rFonts w:eastAsia="Times New Roman"/>
          <w:i/>
          <w:sz w:val="24"/>
          <w:szCs w:val="24"/>
          <w:lang w:val="en-US"/>
        </w:rPr>
        <w:t xml:space="preserve">This study develops and tests an ML Scaling Framework for e-commerce cybersecurity using CSE-CIC-IDS2018 (rolling-window drift evaluation with ADWIN), the AI Incident Database (Negative Binomial count regression), and CIC-DDoS2019 (Interrupted Time Series with Newey–West). Results show performance decay to F1=0.774 at the alarm window with recovery to 0.947 after retraining; incident severity rose with </w:t>
      </w:r>
      <w:proofErr w:type="spellStart"/>
      <w:r w:rsidRPr="001D6728">
        <w:rPr>
          <w:rFonts w:eastAsia="Times New Roman"/>
          <w:i/>
          <w:sz w:val="24"/>
          <w:szCs w:val="24"/>
          <w:lang w:val="en-US"/>
        </w:rPr>
        <w:t>Governance_gap</w:t>
      </w:r>
      <w:proofErr w:type="spellEnd"/>
      <w:r w:rsidRPr="001D6728">
        <w:rPr>
          <w:rFonts w:eastAsia="Times New Roman"/>
          <w:i/>
          <w:sz w:val="24"/>
          <w:szCs w:val="24"/>
          <w:lang w:val="en-US"/>
        </w:rPr>
        <w:t xml:space="preserve"> (IRR=1.619, 95% CI [1.355,1.933]), </w:t>
      </w:r>
      <w:proofErr w:type="spellStart"/>
      <w:r w:rsidRPr="001D6728">
        <w:rPr>
          <w:rFonts w:eastAsia="Times New Roman"/>
          <w:i/>
          <w:sz w:val="24"/>
          <w:szCs w:val="24"/>
          <w:lang w:val="en-US"/>
        </w:rPr>
        <w:t>MLOps_gap</w:t>
      </w:r>
      <w:proofErr w:type="spellEnd"/>
      <w:r w:rsidRPr="001D6728">
        <w:rPr>
          <w:rFonts w:eastAsia="Times New Roman"/>
          <w:i/>
          <w:sz w:val="24"/>
          <w:szCs w:val="24"/>
          <w:lang w:val="en-US"/>
        </w:rPr>
        <w:t xml:space="preserve"> (1.313), and </w:t>
      </w:r>
      <w:proofErr w:type="spellStart"/>
      <w:r w:rsidRPr="001D6728">
        <w:rPr>
          <w:rFonts w:eastAsia="Times New Roman"/>
          <w:i/>
          <w:sz w:val="24"/>
          <w:szCs w:val="24"/>
          <w:lang w:val="en-US"/>
        </w:rPr>
        <w:t>Data_gap</w:t>
      </w:r>
      <w:proofErr w:type="spellEnd"/>
      <w:r w:rsidRPr="001D6728">
        <w:rPr>
          <w:rFonts w:eastAsia="Times New Roman"/>
          <w:i/>
          <w:sz w:val="24"/>
          <w:szCs w:val="24"/>
          <w:lang w:val="en-US"/>
        </w:rPr>
        <w:t xml:space="preserve"> (1.327); ML-SF activation improved </w:t>
      </w:r>
      <w:proofErr w:type="spellStart"/>
      <w:r w:rsidRPr="001D6728">
        <w:rPr>
          <w:rFonts w:eastAsia="Times New Roman"/>
          <w:i/>
          <w:sz w:val="24"/>
          <w:szCs w:val="24"/>
          <w:lang w:val="en-US"/>
        </w:rPr>
        <w:t>DetectionRate</w:t>
      </w:r>
      <w:proofErr w:type="spellEnd"/>
      <w:r w:rsidRPr="001D6728">
        <w:rPr>
          <w:rFonts w:eastAsia="Times New Roman"/>
          <w:i/>
          <w:sz w:val="24"/>
          <w:szCs w:val="24"/>
          <w:lang w:val="en-US"/>
        </w:rPr>
        <w:t xml:space="preserve"> (level +0.0333; slope +0.0008) and reduced FPR (level −0.0040). Recommended actions include board-level AI security governance with auditability, always-on drift detection and retraining SLOs, standardized feature pipelines with federated learning/differential privacy, and institutionalized adversarial red-teaming with rollback controls.</w:t>
      </w:r>
    </w:p>
    <w:p w14:paraId="611981C7" w14:textId="796884F8" w:rsidR="009B641F" w:rsidRDefault="009B641F" w:rsidP="003D6F2D">
      <w:pPr>
        <w:spacing w:before="100" w:beforeAutospacing="1" w:after="240" w:line="360" w:lineRule="auto"/>
        <w:jc w:val="both"/>
        <w:rPr>
          <w:rFonts w:eastAsia="Times New Roman"/>
          <w:sz w:val="24"/>
          <w:szCs w:val="24"/>
          <w:lang w:val="en-US"/>
        </w:rPr>
      </w:pPr>
      <w:r w:rsidRPr="001E4737">
        <w:rPr>
          <w:rFonts w:eastAsia="Times New Roman"/>
          <w:b/>
          <w:sz w:val="24"/>
          <w:szCs w:val="24"/>
          <w:lang w:val="en-US"/>
        </w:rPr>
        <w:t>Keywords:</w:t>
      </w:r>
      <w:r w:rsidRPr="001D6728">
        <w:rPr>
          <w:rFonts w:eastAsia="Times New Roman"/>
          <w:sz w:val="24"/>
          <w:szCs w:val="24"/>
          <w:lang w:val="en-US"/>
        </w:rPr>
        <w:t xml:space="preserve"> e-commerce cybersecurity, machine learning scalability, </w:t>
      </w:r>
      <w:proofErr w:type="spellStart"/>
      <w:r w:rsidRPr="001D6728">
        <w:rPr>
          <w:rFonts w:eastAsia="Times New Roman"/>
          <w:sz w:val="24"/>
          <w:szCs w:val="24"/>
          <w:lang w:val="en-US"/>
        </w:rPr>
        <w:t>MLOps</w:t>
      </w:r>
      <w:proofErr w:type="spellEnd"/>
      <w:r w:rsidRPr="001D6728">
        <w:rPr>
          <w:rFonts w:eastAsia="Times New Roman"/>
          <w:sz w:val="24"/>
          <w:szCs w:val="24"/>
          <w:lang w:val="en-US"/>
        </w:rPr>
        <w:t xml:space="preserve"> governance, adversarial resilience, federated learning</w:t>
      </w:r>
    </w:p>
    <w:p w14:paraId="39C22437" w14:textId="67F43136" w:rsidR="00613721" w:rsidRDefault="00613721" w:rsidP="003D6F2D">
      <w:pPr>
        <w:spacing w:before="100" w:beforeAutospacing="1" w:after="240" w:line="360" w:lineRule="auto"/>
        <w:jc w:val="both"/>
        <w:rPr>
          <w:rFonts w:eastAsia="Times New Roman"/>
          <w:sz w:val="24"/>
          <w:szCs w:val="24"/>
          <w:lang w:val="en-US"/>
        </w:rPr>
      </w:pPr>
    </w:p>
    <w:p w14:paraId="1E10DFA7" w14:textId="77777777" w:rsidR="00613721" w:rsidRPr="001D6728" w:rsidRDefault="00613721" w:rsidP="003D6F2D">
      <w:pPr>
        <w:spacing w:before="100" w:beforeAutospacing="1" w:after="240" w:line="360" w:lineRule="auto"/>
        <w:jc w:val="both"/>
        <w:rPr>
          <w:rFonts w:eastAsia="Times New Roman"/>
          <w:sz w:val="24"/>
          <w:szCs w:val="24"/>
          <w:lang w:val="en-US"/>
        </w:rPr>
      </w:pPr>
    </w:p>
    <w:p w14:paraId="00000041" w14:textId="77777777" w:rsidR="00FA2C7A" w:rsidRPr="001D6728" w:rsidRDefault="00FA2C7A" w:rsidP="003D6F2D">
      <w:pPr>
        <w:spacing w:before="240" w:after="240" w:line="360" w:lineRule="auto"/>
        <w:jc w:val="both"/>
        <w:rPr>
          <w:sz w:val="24"/>
          <w:szCs w:val="24"/>
        </w:rPr>
      </w:pPr>
      <w:bookmarkStart w:id="0" w:name="_bdk2x1vce3jt" w:colFirst="0" w:colLast="0"/>
      <w:bookmarkEnd w:id="0"/>
    </w:p>
    <w:p w14:paraId="00000042" w14:textId="4D560BF9" w:rsidR="00FA2C7A" w:rsidRPr="001D6728" w:rsidRDefault="00FC5145" w:rsidP="003D6F2D">
      <w:pPr>
        <w:pStyle w:val="Heading2"/>
        <w:keepNext w:val="0"/>
        <w:keepLines w:val="0"/>
        <w:spacing w:after="240" w:line="360" w:lineRule="auto"/>
        <w:jc w:val="both"/>
        <w:rPr>
          <w:b/>
          <w:sz w:val="24"/>
          <w:szCs w:val="24"/>
        </w:rPr>
      </w:pPr>
      <w:bookmarkStart w:id="1" w:name="_clgyvtj3wl16" w:colFirst="0" w:colLast="0"/>
      <w:bookmarkEnd w:id="1"/>
      <w:r w:rsidRPr="001D6728">
        <w:rPr>
          <w:b/>
          <w:sz w:val="24"/>
          <w:szCs w:val="24"/>
        </w:rPr>
        <w:lastRenderedPageBreak/>
        <w:t>1.</w:t>
      </w:r>
      <w:r w:rsidRPr="001D6728">
        <w:rPr>
          <w:b/>
          <w:sz w:val="24"/>
          <w:szCs w:val="24"/>
        </w:rPr>
        <w:tab/>
      </w:r>
      <w:r w:rsidR="008E6F5F" w:rsidRPr="001D6728">
        <w:rPr>
          <w:b/>
          <w:sz w:val="24"/>
          <w:szCs w:val="24"/>
        </w:rPr>
        <w:t>Introduction</w:t>
      </w:r>
    </w:p>
    <w:p w14:paraId="00000043" w14:textId="77777777" w:rsidR="00FA2C7A" w:rsidRPr="001D6728" w:rsidRDefault="008E6F5F" w:rsidP="003D6F2D">
      <w:pPr>
        <w:spacing w:before="240" w:after="240" w:line="360" w:lineRule="auto"/>
        <w:jc w:val="both"/>
        <w:rPr>
          <w:sz w:val="24"/>
          <w:szCs w:val="24"/>
        </w:rPr>
      </w:pPr>
      <w:r w:rsidRPr="001D6728">
        <w:rPr>
          <w:sz w:val="24"/>
          <w:szCs w:val="24"/>
        </w:rPr>
        <w:t>E-commerce has transformed how people shop and transact globally, yet it remains one of the most targeted sectors for cyberattacks. The growing use of artificial intelligence (AI) and machine learning (ML) in cybersecurity reflects an urgent response to the sophistication and scale of digital threats. Traditional rule-based defenses are often inadequate against zero-day exploits, AI-driven phishing, and large-scale credential-stuffing campaigns. ML, on the other hand, offers real-time detection and adaptive learning capabilities that can identify previously unseen patterns and anomalies (Salem et al., 2024). The global AI in cybersecurity market was valued at USD 25.35 billion in 2024 and is projected to reach USD 93.75 billion by 2030, representing a compound annual growth rate (CAGR) of approximately 24.4 percent (Grand View Research, 2025). Similarly, the overall cybersecurity market is expected to grow from USD 245.62 billion in 2024 to USD 500.70 billion by 2030, at a CAGR of 12.9 percent (Grand View Research, 2025). These projections reveal that ML is not a peripheral innovation but a central pillar in the future of digital defense.</w:t>
      </w:r>
    </w:p>
    <w:p w14:paraId="00000044" w14:textId="77777777" w:rsidR="00FA2C7A" w:rsidRPr="001D6728" w:rsidRDefault="008E6F5F" w:rsidP="003D6F2D">
      <w:pPr>
        <w:spacing w:before="240" w:after="240" w:line="360" w:lineRule="auto"/>
        <w:jc w:val="both"/>
        <w:rPr>
          <w:sz w:val="24"/>
          <w:szCs w:val="24"/>
        </w:rPr>
      </w:pPr>
      <w:r w:rsidRPr="001D6728">
        <w:rPr>
          <w:sz w:val="24"/>
          <w:szCs w:val="24"/>
        </w:rPr>
        <w:t>Even so, adoption does not equate to scalability. A recent survey by ISC2 showed that 30 percent of cybersecurity practitioners use AI tools daily, 42 percent are experimenting, and 10 percent remain hesitant, highlighting a widening gap between enthusiasm and sustained implementation (ISC2, 2025; Woollacott, 2025). These findings point to a widening gap between initial adoption and the ability to integrate and scale ML solutions within complex organizational ecosystems.</w:t>
      </w:r>
    </w:p>
    <w:p w14:paraId="00000045" w14:textId="77777777" w:rsidR="00FA2C7A" w:rsidRPr="001D6728" w:rsidRDefault="008E6F5F" w:rsidP="003D6F2D">
      <w:pPr>
        <w:spacing w:before="240" w:after="240" w:line="360" w:lineRule="auto"/>
        <w:jc w:val="both"/>
        <w:rPr>
          <w:sz w:val="24"/>
          <w:szCs w:val="24"/>
        </w:rPr>
      </w:pPr>
      <w:r w:rsidRPr="001D6728">
        <w:rPr>
          <w:sz w:val="24"/>
          <w:szCs w:val="24"/>
        </w:rPr>
        <w:t xml:space="preserve">Scaling ML in cybersecurity introduces multidimensional challenges that go beyond algorithmic performance. Infrastructure represents a primary bottleneck. As data velocity and volume increase, organizations must handle distributed model serving, real-time inference, feature versioning, and drift monitoring (Nott, 2025). Studies highlight persistent weaknesses in automated retraining, monitoring, and rollback mechanisms within </w:t>
      </w:r>
      <w:proofErr w:type="spellStart"/>
      <w:r w:rsidRPr="001D6728">
        <w:rPr>
          <w:sz w:val="24"/>
          <w:szCs w:val="24"/>
        </w:rPr>
        <w:t>MLOps</w:t>
      </w:r>
      <w:proofErr w:type="spellEnd"/>
      <w:r w:rsidRPr="001D6728">
        <w:rPr>
          <w:sz w:val="24"/>
          <w:szCs w:val="24"/>
        </w:rPr>
        <w:t xml:space="preserve"> environments (Patel et al., 2025; Nott, 2025). Without scalable pipelines, ML systems remain fragile and cannot meet enterprise-level reliability standards.</w:t>
      </w:r>
    </w:p>
    <w:p w14:paraId="00000046" w14:textId="77777777" w:rsidR="00FA2C7A" w:rsidRPr="001D6728" w:rsidRDefault="008E6F5F" w:rsidP="003D6F2D">
      <w:pPr>
        <w:spacing w:before="240" w:after="240" w:line="360" w:lineRule="auto"/>
        <w:jc w:val="both"/>
        <w:rPr>
          <w:sz w:val="24"/>
          <w:szCs w:val="24"/>
        </w:rPr>
      </w:pPr>
      <w:r w:rsidRPr="001D6728">
        <w:rPr>
          <w:sz w:val="24"/>
          <w:szCs w:val="24"/>
        </w:rPr>
        <w:lastRenderedPageBreak/>
        <w:t xml:space="preserve">Governance is equally critical. Scaling ML for e-commerce cybersecurity requires transparent accountability, explainable decision paths, and compliance with evolving data protection regulations. Many ML systems function as opaque “black boxes,” eroding stakeholder trust. Consequently, organizational leaders must embed explainability, auditability, and ethical oversight into ML governance frameworks (Camilleri, 2023; </w:t>
      </w:r>
      <w:proofErr w:type="spellStart"/>
      <w:r w:rsidRPr="001D6728">
        <w:rPr>
          <w:sz w:val="24"/>
          <w:szCs w:val="24"/>
        </w:rPr>
        <w:t>Papagiannidis</w:t>
      </w:r>
      <w:proofErr w:type="spellEnd"/>
      <w:r w:rsidRPr="001D6728">
        <w:rPr>
          <w:sz w:val="24"/>
          <w:szCs w:val="24"/>
        </w:rPr>
        <w:t xml:space="preserve"> et al., 2025).</w:t>
      </w:r>
    </w:p>
    <w:p w14:paraId="00000047" w14:textId="77777777" w:rsidR="00FA2C7A" w:rsidRPr="001D6728" w:rsidRDefault="008E6F5F" w:rsidP="003D6F2D">
      <w:pPr>
        <w:spacing w:before="240" w:after="240" w:line="360" w:lineRule="auto"/>
        <w:jc w:val="both"/>
        <w:rPr>
          <w:sz w:val="24"/>
          <w:szCs w:val="24"/>
        </w:rPr>
      </w:pPr>
      <w:r w:rsidRPr="001D6728">
        <w:rPr>
          <w:sz w:val="24"/>
          <w:szCs w:val="24"/>
        </w:rPr>
        <w:t>Another obstacle lies in adversarial risk. Attackers increasingly exploit vulnerabilities in ML models through evasion, poisoning, and model-extraction techniques. Research shows that adversarial machine learning can manipulate classifiers or corrupt training data, making robust model hardening and red-teaming indispensable for any scalable deployment (Lekota, 2024; Sibanda, 2025).</w:t>
      </w:r>
    </w:p>
    <w:p w14:paraId="00000048" w14:textId="77777777" w:rsidR="00FA2C7A" w:rsidRPr="001D6728" w:rsidRDefault="008E6F5F" w:rsidP="003D6F2D">
      <w:pPr>
        <w:spacing w:before="240" w:after="240" w:line="360" w:lineRule="auto"/>
        <w:jc w:val="both"/>
        <w:rPr>
          <w:sz w:val="24"/>
          <w:szCs w:val="24"/>
        </w:rPr>
      </w:pPr>
      <w:r w:rsidRPr="001D6728">
        <w:rPr>
          <w:sz w:val="24"/>
          <w:szCs w:val="24"/>
        </w:rPr>
        <w:t xml:space="preserve">Furthermore, data ecosystem readiness remains a foundational enabler of scalability. Many e-commerce platforms operate with fragmented or siloed datasets, inconsistent labeling, and limited interoperability. Poor data governance leads to model bias and unreliable detection. To scale effectively, organizations need standardized, high-quality data pipelines and privacy-preserving collaboration tools such as federated learning and differential privacy mechanisms (Dritsas &amp; </w:t>
      </w:r>
      <w:proofErr w:type="spellStart"/>
      <w:r w:rsidRPr="001D6728">
        <w:rPr>
          <w:sz w:val="24"/>
          <w:szCs w:val="24"/>
        </w:rPr>
        <w:t>Trigka</w:t>
      </w:r>
      <w:proofErr w:type="spellEnd"/>
      <w:r w:rsidRPr="001D6728">
        <w:rPr>
          <w:sz w:val="24"/>
          <w:szCs w:val="24"/>
        </w:rPr>
        <w:t>, 2025). Finally, continuous learning is vital. Cyber threats evolve constantly, and without systematic feedback loops and drift detection, models degrade in performance over time. Establishing continuous learning loops ensures that ML models remain adaptive and context-aware.</w:t>
      </w:r>
    </w:p>
    <w:p w14:paraId="00000049" w14:textId="77777777" w:rsidR="00FA2C7A" w:rsidRPr="001D6728" w:rsidRDefault="008E6F5F" w:rsidP="003D6F2D">
      <w:pPr>
        <w:spacing w:before="240" w:after="240" w:line="360" w:lineRule="auto"/>
        <w:jc w:val="both"/>
        <w:rPr>
          <w:sz w:val="24"/>
          <w:szCs w:val="24"/>
        </w:rPr>
      </w:pPr>
      <w:r w:rsidRPr="001D6728">
        <w:rPr>
          <w:sz w:val="24"/>
          <w:szCs w:val="24"/>
        </w:rPr>
        <w:t xml:space="preserve">Given these complexities, scaling ML in cybersecurity is not merely a technical task but a strategic enterprise initiative that integrates technology, governance, and human decision-making (Camilleri, 2023). Addressing isolated technical bottlenecks is insufficient; what is required is a comprehensive socio-technical framework that guides organizations from experimental adoption to institutionalized capability. To meet this need, the present study proposes the Machine Learning Scaling Framework (ML-SF). The ML-SF comprises five interdependent domains (governance alignment, infrastructure optimization, data readiness, continuous learning loops, and ethical oversight with privacy </w:t>
      </w:r>
      <w:r w:rsidRPr="001D6728">
        <w:rPr>
          <w:sz w:val="24"/>
          <w:szCs w:val="24"/>
        </w:rPr>
        <w:lastRenderedPageBreak/>
        <w:t>assurance) (</w:t>
      </w:r>
      <w:proofErr w:type="spellStart"/>
      <w:r w:rsidRPr="001D6728">
        <w:rPr>
          <w:sz w:val="24"/>
          <w:szCs w:val="24"/>
        </w:rPr>
        <w:t>Papagiannidis</w:t>
      </w:r>
      <w:proofErr w:type="spellEnd"/>
      <w:r w:rsidRPr="001D6728">
        <w:rPr>
          <w:sz w:val="24"/>
          <w:szCs w:val="24"/>
        </w:rPr>
        <w:t xml:space="preserve"> et al., 2025). These domains together provide a structured roadmap for sustainable and accountable scaling of ML in e-commerce cybersecurity.</w:t>
      </w:r>
    </w:p>
    <w:p w14:paraId="0000004A" w14:textId="77777777" w:rsidR="00FA2C7A" w:rsidRPr="001D6728" w:rsidRDefault="008E6F5F" w:rsidP="003D6F2D">
      <w:pPr>
        <w:spacing w:before="240" w:after="240" w:line="360" w:lineRule="auto"/>
        <w:jc w:val="both"/>
        <w:rPr>
          <w:sz w:val="24"/>
          <w:szCs w:val="24"/>
        </w:rPr>
      </w:pPr>
      <w:r w:rsidRPr="001D6728">
        <w:rPr>
          <w:sz w:val="24"/>
          <w:szCs w:val="24"/>
        </w:rPr>
        <w:t>The proposed framework is designed not only to conceptualize these domains but also to be validated empirically through expert evaluation and case synthesis. The study advances beyond examination of adoption determinant of ML in cybersecurity (Olaniyi, 2025) to focusing on how scaling occurs and what strategic conditions enable sustainability. Hence, while adoption research primarily explored intention and readiness, this study emphasizes operational maturity and resilience.</w:t>
      </w:r>
    </w:p>
    <w:p w14:paraId="0000004B" w14:textId="77777777" w:rsidR="00FA2C7A" w:rsidRPr="001D6728" w:rsidRDefault="008E6F5F" w:rsidP="003D6F2D">
      <w:pPr>
        <w:spacing w:before="240" w:after="240" w:line="360" w:lineRule="auto"/>
        <w:jc w:val="both"/>
        <w:rPr>
          <w:sz w:val="24"/>
          <w:szCs w:val="24"/>
        </w:rPr>
      </w:pPr>
      <w:r w:rsidRPr="001D6728">
        <w:rPr>
          <w:sz w:val="24"/>
          <w:szCs w:val="24"/>
        </w:rPr>
        <w:t>The aim of this study is to develop and validate a strategic framework for scaling ML applications in e-commerce cybersecurity, emphasizing organizational, technical, and governance mechanisms that promote sustainable and adaptive defense systems. Its specific objectives are:</w:t>
      </w:r>
    </w:p>
    <w:p w14:paraId="0000004C" w14:textId="77777777" w:rsidR="00FA2C7A" w:rsidRPr="001D6728" w:rsidRDefault="008E6F5F" w:rsidP="003D6F2D">
      <w:pPr>
        <w:numPr>
          <w:ilvl w:val="0"/>
          <w:numId w:val="3"/>
        </w:numPr>
        <w:spacing w:before="240" w:after="240" w:line="360" w:lineRule="auto"/>
        <w:jc w:val="both"/>
        <w:rPr>
          <w:sz w:val="24"/>
          <w:szCs w:val="24"/>
        </w:rPr>
      </w:pPr>
      <w:r w:rsidRPr="001D6728">
        <w:rPr>
          <w:sz w:val="24"/>
          <w:szCs w:val="24"/>
        </w:rPr>
        <w:t>To investigate the post-adoption challenges that impede the scalability of machine learning systems within e-commerce cybersecurity operations.</w:t>
      </w:r>
    </w:p>
    <w:p w14:paraId="0000004D" w14:textId="77777777" w:rsidR="00FA2C7A" w:rsidRPr="001D6728" w:rsidRDefault="008E6F5F" w:rsidP="003D6F2D">
      <w:pPr>
        <w:numPr>
          <w:ilvl w:val="0"/>
          <w:numId w:val="3"/>
        </w:numPr>
        <w:spacing w:after="240" w:line="360" w:lineRule="auto"/>
        <w:jc w:val="both"/>
        <w:rPr>
          <w:sz w:val="24"/>
          <w:szCs w:val="24"/>
        </w:rPr>
      </w:pPr>
      <w:r w:rsidRPr="001D6728">
        <w:rPr>
          <w:sz w:val="24"/>
          <w:szCs w:val="24"/>
        </w:rPr>
        <w:t>To identify and analyze the organizational, infrastructural, and governance factors that determine the successful scaling of ML-based cybersecurity frameworks in the e-commerce sector.</w:t>
      </w:r>
    </w:p>
    <w:p w14:paraId="0000004E" w14:textId="77777777" w:rsidR="00FA2C7A" w:rsidRPr="001D6728" w:rsidRDefault="008E6F5F" w:rsidP="003D6F2D">
      <w:pPr>
        <w:numPr>
          <w:ilvl w:val="0"/>
          <w:numId w:val="3"/>
        </w:numPr>
        <w:spacing w:after="240" w:line="360" w:lineRule="auto"/>
        <w:jc w:val="both"/>
        <w:rPr>
          <w:sz w:val="24"/>
          <w:szCs w:val="24"/>
        </w:rPr>
      </w:pPr>
      <w:r w:rsidRPr="001D6728">
        <w:rPr>
          <w:sz w:val="24"/>
          <w:szCs w:val="24"/>
        </w:rPr>
        <w:t>To design and validate the Machine Learning Scaling Framework (ML-SF) that systematically integrates governance alignment, infrastructure optimization, data ecosystem readiness, continuous learning mechanisms, and ethical oversight for enterprise-wide ML scalability.</w:t>
      </w:r>
    </w:p>
    <w:p w14:paraId="0000004F" w14:textId="77777777" w:rsidR="00FA2C7A" w:rsidRPr="001D6728" w:rsidRDefault="008E6F5F" w:rsidP="003D6F2D">
      <w:pPr>
        <w:numPr>
          <w:ilvl w:val="0"/>
          <w:numId w:val="3"/>
        </w:numPr>
        <w:spacing w:after="240" w:line="360" w:lineRule="auto"/>
        <w:jc w:val="both"/>
        <w:rPr>
          <w:sz w:val="24"/>
          <w:szCs w:val="24"/>
        </w:rPr>
      </w:pPr>
      <w:r w:rsidRPr="001D6728">
        <w:rPr>
          <w:sz w:val="24"/>
          <w:szCs w:val="24"/>
        </w:rPr>
        <w:t>To formulate strategic and policy recommendations that guide e-commerce organizations and regulators in implementing the ML-SF for sustainable, compliant, and resilient cybersecurity operations.</w:t>
      </w:r>
    </w:p>
    <w:p w14:paraId="00000051" w14:textId="66AF766C" w:rsidR="00FA2C7A" w:rsidRPr="001D6728" w:rsidRDefault="008E6F5F" w:rsidP="003D6F2D">
      <w:pPr>
        <w:spacing w:before="240" w:after="240" w:line="360" w:lineRule="auto"/>
        <w:jc w:val="both"/>
        <w:rPr>
          <w:b/>
          <w:sz w:val="24"/>
          <w:szCs w:val="24"/>
        </w:rPr>
      </w:pPr>
      <w:r w:rsidRPr="001D6728">
        <w:rPr>
          <w:sz w:val="24"/>
          <w:szCs w:val="24"/>
        </w:rPr>
        <w:br/>
      </w:r>
      <w:r w:rsidR="00FC5145" w:rsidRPr="001D6728">
        <w:rPr>
          <w:b/>
          <w:sz w:val="24"/>
          <w:szCs w:val="24"/>
        </w:rPr>
        <w:t>2.</w:t>
      </w:r>
      <w:r w:rsidR="00FC5145" w:rsidRPr="001D6728">
        <w:rPr>
          <w:b/>
          <w:sz w:val="24"/>
          <w:szCs w:val="24"/>
        </w:rPr>
        <w:tab/>
      </w:r>
      <w:r w:rsidRPr="001D6728">
        <w:rPr>
          <w:b/>
          <w:sz w:val="24"/>
          <w:szCs w:val="24"/>
        </w:rPr>
        <w:t xml:space="preserve"> Literature Review</w:t>
      </w:r>
    </w:p>
    <w:p w14:paraId="00000052" w14:textId="77777777" w:rsidR="00FA2C7A" w:rsidRPr="001D6728" w:rsidRDefault="008E6F5F" w:rsidP="003D6F2D">
      <w:pPr>
        <w:spacing w:before="240" w:after="240" w:line="360" w:lineRule="auto"/>
        <w:jc w:val="both"/>
        <w:rPr>
          <w:sz w:val="24"/>
          <w:szCs w:val="24"/>
        </w:rPr>
      </w:pPr>
      <w:r w:rsidRPr="001D6728">
        <w:rPr>
          <w:sz w:val="24"/>
          <w:szCs w:val="24"/>
        </w:rPr>
        <w:lastRenderedPageBreak/>
        <w:t>The Unified Theory of Acceptance and Use of Technology (UTAUT) by Venkatesh et al. (2003) has long explained why individuals and organizations adopt new technologies. Its core constructs (performance expectancy, effort expectancy, social influence, and facilitating conditions) captures behavioral intention and initial use. Olaniyi (2025) applied UTAUT to identify determinants of ML adoption for cybersecurity threat detection in e-commerce. However, once adoption occurs, success increasingly depends on whether organizations can scale technologies across technical and managerial layers as behavioral intention alone cannot ensure operational continuity or resilience (Kim et al., 2024).</w:t>
      </w:r>
    </w:p>
    <w:p w14:paraId="00000053" w14:textId="77777777" w:rsidR="00FA2C7A" w:rsidRPr="001D6728" w:rsidRDefault="008E6F5F" w:rsidP="003D6F2D">
      <w:pPr>
        <w:spacing w:before="240" w:after="240" w:line="360" w:lineRule="auto"/>
        <w:jc w:val="both"/>
        <w:rPr>
          <w:sz w:val="24"/>
          <w:szCs w:val="24"/>
        </w:rPr>
      </w:pPr>
      <w:r w:rsidRPr="001D6728">
        <w:rPr>
          <w:sz w:val="24"/>
          <w:szCs w:val="24"/>
        </w:rPr>
        <w:t>In post-adoption settings, each UTAUT construct evolves. Performance expectancy becomes the need for sustained model reliability; effort expectancy relates to automation and usability within large-scale workflows; social influence extends to cross-functional collaboration and executive sponsorship; and facilitating conditions expand into mature infrastructure, governance, and data pipelines (Kim et al., 2024). These refinements recognize that scaling is a socio-technical process involving systems, people, and policies.</w:t>
      </w:r>
    </w:p>
    <w:p w14:paraId="00000054" w14:textId="77777777" w:rsidR="00FA2C7A" w:rsidRPr="001D6728" w:rsidRDefault="008E6F5F" w:rsidP="003D6F2D">
      <w:pPr>
        <w:spacing w:before="240" w:after="240" w:line="360" w:lineRule="auto"/>
        <w:jc w:val="both"/>
        <w:rPr>
          <w:sz w:val="24"/>
          <w:szCs w:val="24"/>
        </w:rPr>
      </w:pPr>
      <w:r w:rsidRPr="001D6728">
        <w:rPr>
          <w:sz w:val="24"/>
          <w:szCs w:val="24"/>
        </w:rPr>
        <w:t>To capture this complexity, UTAUT is best extended through integration with the Technology–Organization–Environment (TOE) framework (Husni et al., 2025) and Dynamic Capabilities Theory (Hughes et al., 2025). TOE adds contextual depth through technological readiness, organizational capability, and environmental regulation, while dynamic capabilities explain how firms sense opportunities, seize resources, and reconfigure assets to sustain innovation (Hughes et al., 2025). Together, these models shift UTAUT from predicting acceptance to explaining institutionalization.</w:t>
      </w:r>
    </w:p>
    <w:p w14:paraId="00000055" w14:textId="77777777" w:rsidR="00FA2C7A" w:rsidRPr="001D6728" w:rsidRDefault="008E6F5F" w:rsidP="003D6F2D">
      <w:pPr>
        <w:spacing w:before="240" w:after="240" w:line="360" w:lineRule="auto"/>
        <w:jc w:val="both"/>
        <w:rPr>
          <w:sz w:val="24"/>
          <w:szCs w:val="24"/>
        </w:rPr>
      </w:pPr>
      <w:r w:rsidRPr="001D6728">
        <w:rPr>
          <w:sz w:val="24"/>
          <w:szCs w:val="24"/>
        </w:rPr>
        <w:t>Accordingly, this study reconceptualizes UTAUT for scaling by embedding technical, organizational, and governance dimensions as continuous enablers of ML maturity. This theoretical extension provides the basis for the proposed Machine Learning Scaling Framework (ML-SF), which treats technology acceptance as the foundation for enterprise-level capability and sustainable cybersecurity transformation.</w:t>
      </w:r>
    </w:p>
    <w:p w14:paraId="00000056" w14:textId="77777777" w:rsidR="00FA2C7A" w:rsidRPr="001D6728" w:rsidRDefault="008E6F5F" w:rsidP="003D6F2D">
      <w:pPr>
        <w:pStyle w:val="Heading2"/>
        <w:keepNext w:val="0"/>
        <w:keepLines w:val="0"/>
        <w:spacing w:after="240" w:line="360" w:lineRule="auto"/>
        <w:jc w:val="both"/>
        <w:rPr>
          <w:b/>
          <w:sz w:val="24"/>
          <w:szCs w:val="24"/>
        </w:rPr>
      </w:pPr>
      <w:bookmarkStart w:id="2" w:name="_pbmf9ebfc466" w:colFirst="0" w:colLast="0"/>
      <w:bookmarkEnd w:id="2"/>
      <w:r w:rsidRPr="001D6728">
        <w:rPr>
          <w:b/>
          <w:sz w:val="24"/>
          <w:szCs w:val="24"/>
        </w:rPr>
        <w:t>Machine Learning in E-Commerce Cybersecurity</w:t>
      </w:r>
    </w:p>
    <w:p w14:paraId="00000057" w14:textId="065AD8B8" w:rsidR="00FA2C7A" w:rsidRPr="001D6728" w:rsidRDefault="008E6F5F" w:rsidP="003D6F2D">
      <w:pPr>
        <w:spacing w:line="360" w:lineRule="auto"/>
        <w:jc w:val="both"/>
        <w:rPr>
          <w:rFonts w:eastAsia="Times New Roman"/>
          <w:sz w:val="24"/>
          <w:szCs w:val="24"/>
          <w:lang w:val="en-US"/>
        </w:rPr>
      </w:pPr>
      <w:r w:rsidRPr="001D6728">
        <w:rPr>
          <w:sz w:val="24"/>
          <w:szCs w:val="24"/>
        </w:rPr>
        <w:lastRenderedPageBreak/>
        <w:t>E-commerce systems process immense volumes of sensitive customer data, financial transactions, and behavioral logs, making them prime targets for cybercriminals. The global e-commerce sector surpassed USD 6 trillion in 2024 and is projected to exceed USD 8 trillion by 2027, a scale that magnifies the impact of each security breach (Cramer-Flood, 2024). Attack vectors such as payment-card fraud, credential stuffing, and bot-driven denial-of-service have increased in both frequency and sophistication (Jin &amp; Zhang, 2025). To address these challenges, organizations are increasingly deploying machine learning (ML) models capable of detecting anomalies and malicious patterns in real time</w:t>
      </w:r>
      <w:r w:rsidR="00C449FE" w:rsidRPr="001D6728">
        <w:rPr>
          <w:sz w:val="24"/>
          <w:szCs w:val="24"/>
        </w:rPr>
        <w:t xml:space="preserve"> </w:t>
      </w:r>
      <w:r w:rsidR="00C449FE" w:rsidRPr="001D6728">
        <w:rPr>
          <w:rFonts w:eastAsia="Times New Roman"/>
          <w:sz w:val="24"/>
          <w:szCs w:val="24"/>
          <w:lang w:val="en-US"/>
        </w:rPr>
        <w:t>(</w:t>
      </w:r>
      <w:proofErr w:type="spellStart"/>
      <w:r w:rsidR="00C449FE" w:rsidRPr="001D6728">
        <w:rPr>
          <w:rFonts w:eastAsia="Times New Roman"/>
          <w:sz w:val="24"/>
          <w:szCs w:val="24"/>
          <w:lang w:val="en-US"/>
        </w:rPr>
        <w:t>Bamigbade</w:t>
      </w:r>
      <w:proofErr w:type="spellEnd"/>
      <w:r w:rsidR="00C449FE" w:rsidRPr="001D6728">
        <w:rPr>
          <w:rFonts w:eastAsia="Times New Roman"/>
          <w:sz w:val="24"/>
          <w:szCs w:val="24"/>
          <w:lang w:val="en-US"/>
        </w:rPr>
        <w:t xml:space="preserve"> et al., 2025)</w:t>
      </w:r>
      <w:r w:rsidRPr="001D6728">
        <w:rPr>
          <w:sz w:val="24"/>
          <w:szCs w:val="24"/>
        </w:rPr>
        <w:t>.</w:t>
      </w:r>
    </w:p>
    <w:p w14:paraId="00000058" w14:textId="52F3ABF0" w:rsidR="00FA2C7A" w:rsidRPr="001D6728" w:rsidRDefault="008505F6" w:rsidP="003D6F2D">
      <w:pPr>
        <w:spacing w:line="360" w:lineRule="auto"/>
        <w:jc w:val="both"/>
        <w:rPr>
          <w:rFonts w:eastAsia="Times New Roman"/>
          <w:sz w:val="24"/>
          <w:szCs w:val="24"/>
          <w:lang w:val="en-US"/>
        </w:rPr>
      </w:pPr>
      <w:r w:rsidRPr="001D6728">
        <w:rPr>
          <w:sz w:val="24"/>
          <w:szCs w:val="24"/>
        </w:rPr>
        <w:t xml:space="preserve">ML techniques, </w:t>
      </w:r>
      <w:r w:rsidR="008E6F5F" w:rsidRPr="001D6728">
        <w:rPr>
          <w:sz w:val="24"/>
          <w:szCs w:val="24"/>
        </w:rPr>
        <w:t>particularly supervised and ensemble learning</w:t>
      </w:r>
      <w:r w:rsidRPr="001D6728">
        <w:rPr>
          <w:sz w:val="24"/>
          <w:szCs w:val="24"/>
        </w:rPr>
        <w:t xml:space="preserve">, </w:t>
      </w:r>
      <w:r w:rsidR="008E6F5F" w:rsidRPr="001D6728">
        <w:rPr>
          <w:sz w:val="24"/>
          <w:szCs w:val="24"/>
        </w:rPr>
        <w:t>enable continuous threat identification by analyzing network flows, transaction metadata, and user behavior (Jin &amp; Zhang, 2025). Deep learning architectures such as convolutional and recurrent neural networks have proven effective for phishing detect</w:t>
      </w:r>
      <w:r w:rsidR="00C449FE" w:rsidRPr="001D6728">
        <w:rPr>
          <w:sz w:val="24"/>
          <w:szCs w:val="24"/>
        </w:rPr>
        <w:t xml:space="preserve">ion and malware classification </w:t>
      </w:r>
      <w:r w:rsidR="00C449FE" w:rsidRPr="001D6728">
        <w:rPr>
          <w:rFonts w:eastAsia="Times New Roman"/>
          <w:sz w:val="24"/>
          <w:szCs w:val="24"/>
          <w:lang w:val="en-US"/>
        </w:rPr>
        <w:t xml:space="preserve">(Adesokan-Imran et al., 2025; </w:t>
      </w:r>
      <w:proofErr w:type="spellStart"/>
      <w:r w:rsidR="00C449FE" w:rsidRPr="001D6728">
        <w:rPr>
          <w:rFonts w:eastAsia="Times New Roman"/>
          <w:sz w:val="24"/>
          <w:szCs w:val="24"/>
          <w:lang w:val="en-US"/>
        </w:rPr>
        <w:t>Kolo</w:t>
      </w:r>
      <w:proofErr w:type="spellEnd"/>
      <w:r w:rsidR="00C449FE" w:rsidRPr="001D6728">
        <w:rPr>
          <w:rFonts w:eastAsia="Times New Roman"/>
          <w:sz w:val="24"/>
          <w:szCs w:val="24"/>
          <w:lang w:val="en-US"/>
        </w:rPr>
        <w:t xml:space="preserve">, 2023; </w:t>
      </w:r>
      <w:proofErr w:type="spellStart"/>
      <w:r w:rsidR="00C449FE" w:rsidRPr="001D6728">
        <w:rPr>
          <w:rFonts w:eastAsia="Times New Roman"/>
          <w:sz w:val="24"/>
          <w:szCs w:val="24"/>
          <w:lang w:val="en-US"/>
        </w:rPr>
        <w:t>Obrik-Uloho</w:t>
      </w:r>
      <w:proofErr w:type="spellEnd"/>
      <w:r w:rsidR="00C449FE" w:rsidRPr="001D6728">
        <w:rPr>
          <w:rFonts w:eastAsia="Times New Roman"/>
          <w:sz w:val="24"/>
          <w:szCs w:val="24"/>
          <w:lang w:val="en-US"/>
        </w:rPr>
        <w:t xml:space="preserve">, 2025; </w:t>
      </w:r>
      <w:r w:rsidR="008E6F5F" w:rsidRPr="001D6728">
        <w:rPr>
          <w:sz w:val="24"/>
          <w:szCs w:val="24"/>
        </w:rPr>
        <w:t>Chen et al., 2025a). More recently, graph neural networks and transformer-based embeddings have been applied to model relationships across complex transactional networks, enhancing fraud detection accuracy in high-volume e-commerce environments (Sultana et al., 2025; Chen et al., 2025b).</w:t>
      </w:r>
    </w:p>
    <w:p w14:paraId="0000005A" w14:textId="12484E60" w:rsidR="00FA2C7A" w:rsidRPr="001D6728" w:rsidRDefault="008E6F5F" w:rsidP="003D6F2D">
      <w:pPr>
        <w:spacing w:line="360" w:lineRule="auto"/>
        <w:jc w:val="both"/>
        <w:rPr>
          <w:sz w:val="24"/>
          <w:szCs w:val="24"/>
        </w:rPr>
      </w:pPr>
      <w:r w:rsidRPr="001D6728">
        <w:rPr>
          <w:sz w:val="24"/>
          <w:szCs w:val="24"/>
        </w:rPr>
        <w:t>However, the operationalization of these models remains uneven. Many firms implement ML tools without sufficient attention to data governance, explainability, or adversarial robustness. Empirical research shows that lack of labeled datasets and poor feature-engineering pipelines reduce model reliability (Jin &amp; Zhang, 2025). Moreover, black-box behavior can hinder compliance with data-protection frameworks such as the General Data Protection Regulation (GDPR) and the Nigerian Data Protection Act (NDPA) (Vallarino, 2025). Industry analyses confirm that while ML adoption for fraud detection rose by nearly 40 percent between 2022 and 2024, fewer than one-third of organizations have achieved full integration within their security operations centers (</w:t>
      </w:r>
      <w:r w:rsidR="00C449FE" w:rsidRPr="001D6728">
        <w:rPr>
          <w:rFonts w:eastAsia="Times New Roman"/>
          <w:sz w:val="24"/>
          <w:szCs w:val="24"/>
          <w:lang w:val="en-US"/>
        </w:rPr>
        <w:t xml:space="preserve">Kolo 2025a; </w:t>
      </w:r>
      <w:r w:rsidRPr="001D6728">
        <w:rPr>
          <w:sz w:val="24"/>
          <w:szCs w:val="24"/>
        </w:rPr>
        <w:t>Chen et al., 2025b).</w:t>
      </w:r>
      <w:r w:rsidR="008505F6" w:rsidRPr="001D6728">
        <w:rPr>
          <w:sz w:val="24"/>
          <w:szCs w:val="24"/>
        </w:rPr>
        <w:t xml:space="preserve"> </w:t>
      </w:r>
      <w:r w:rsidRPr="001D6728">
        <w:rPr>
          <w:sz w:val="24"/>
          <w:szCs w:val="24"/>
        </w:rPr>
        <w:t>These realities highlight that ML adoption in e-commerce cybersecurity is technically promising yet strategically incomplete. Sustainable protection requires scaling models through integrated governance, ethical oversight, and continuous learning pipelines</w:t>
      </w:r>
      <w:r w:rsidR="008505F6" w:rsidRPr="001D6728">
        <w:rPr>
          <w:sz w:val="24"/>
          <w:szCs w:val="24"/>
        </w:rPr>
        <w:t>.</w:t>
      </w:r>
    </w:p>
    <w:p w14:paraId="0000005B" w14:textId="77777777" w:rsidR="00FA2C7A" w:rsidRPr="001D6728" w:rsidRDefault="008E6F5F" w:rsidP="003D6F2D">
      <w:pPr>
        <w:pStyle w:val="Heading2"/>
        <w:keepNext w:val="0"/>
        <w:keepLines w:val="0"/>
        <w:spacing w:after="240" w:line="360" w:lineRule="auto"/>
        <w:jc w:val="both"/>
        <w:rPr>
          <w:b/>
          <w:sz w:val="24"/>
          <w:szCs w:val="24"/>
        </w:rPr>
      </w:pPr>
      <w:bookmarkStart w:id="3" w:name="_gujd66yxgdoz" w:colFirst="0" w:colLast="0"/>
      <w:bookmarkEnd w:id="3"/>
      <w:proofErr w:type="spellStart"/>
      <w:r w:rsidRPr="001D6728">
        <w:rPr>
          <w:b/>
          <w:sz w:val="24"/>
          <w:szCs w:val="24"/>
        </w:rPr>
        <w:lastRenderedPageBreak/>
        <w:t>MLOps</w:t>
      </w:r>
      <w:proofErr w:type="spellEnd"/>
      <w:r w:rsidRPr="001D6728">
        <w:rPr>
          <w:b/>
          <w:sz w:val="24"/>
          <w:szCs w:val="24"/>
        </w:rPr>
        <w:t xml:space="preserve"> and Operational Scaling Determinants</w:t>
      </w:r>
    </w:p>
    <w:p w14:paraId="0000005C" w14:textId="08A377DA" w:rsidR="00FA2C7A" w:rsidRPr="001D6728" w:rsidRDefault="008E6F5F" w:rsidP="003D6F2D">
      <w:pPr>
        <w:spacing w:before="240" w:after="240" w:line="360" w:lineRule="auto"/>
        <w:jc w:val="both"/>
        <w:rPr>
          <w:sz w:val="24"/>
          <w:szCs w:val="24"/>
        </w:rPr>
      </w:pPr>
      <w:r w:rsidRPr="001D6728">
        <w:rPr>
          <w:sz w:val="24"/>
          <w:szCs w:val="24"/>
        </w:rPr>
        <w:t>The transition from isolated machine learning (ML) prototypes to enterprise-level cybersecurity systems requires a robust operational backbone. Machine Learning Operations (</w:t>
      </w:r>
      <w:proofErr w:type="spellStart"/>
      <w:r w:rsidRPr="001D6728">
        <w:rPr>
          <w:sz w:val="24"/>
          <w:szCs w:val="24"/>
        </w:rPr>
        <w:t>MLOps</w:t>
      </w:r>
      <w:proofErr w:type="spellEnd"/>
      <w:r w:rsidRPr="001D6728">
        <w:rPr>
          <w:sz w:val="24"/>
          <w:szCs w:val="24"/>
        </w:rPr>
        <w:t>) has emerged as the core paradigm enabling scalable, reliable, and repeatable deployment of ML models in production environments (Stone et al., 2025). It integrates principles from DevOps, continuous integration (CI), continuous deployment (CD), and model governance to a</w:t>
      </w:r>
      <w:r w:rsidR="007D194C">
        <w:rPr>
          <w:sz w:val="24"/>
          <w:szCs w:val="24"/>
        </w:rPr>
        <w:t xml:space="preserve">utomate the entire ML lifecycle, </w:t>
      </w:r>
      <w:r w:rsidRPr="001D6728">
        <w:rPr>
          <w:sz w:val="24"/>
          <w:szCs w:val="24"/>
        </w:rPr>
        <w:t xml:space="preserve">from data ingestion to model retraining. Within e-commerce cybersecurity, </w:t>
      </w:r>
      <w:proofErr w:type="spellStart"/>
      <w:r w:rsidRPr="001D6728">
        <w:rPr>
          <w:sz w:val="24"/>
          <w:szCs w:val="24"/>
        </w:rPr>
        <w:t>MLOps</w:t>
      </w:r>
      <w:proofErr w:type="spellEnd"/>
      <w:r w:rsidRPr="001D6728">
        <w:rPr>
          <w:sz w:val="24"/>
          <w:szCs w:val="24"/>
        </w:rPr>
        <w:t xml:space="preserve"> ensures that threat detection models remain accurate, adaptive, and compliant as they respond to evolving attack patterns.</w:t>
      </w:r>
    </w:p>
    <w:p w14:paraId="0000005D" w14:textId="4158B673" w:rsidR="00FA2C7A" w:rsidRPr="001D6728" w:rsidRDefault="008E6F5F" w:rsidP="003D6F2D">
      <w:pPr>
        <w:spacing w:before="240" w:after="240" w:line="360" w:lineRule="auto"/>
        <w:jc w:val="both"/>
        <w:rPr>
          <w:sz w:val="24"/>
          <w:szCs w:val="24"/>
        </w:rPr>
      </w:pPr>
      <w:r w:rsidRPr="001D6728">
        <w:rPr>
          <w:sz w:val="24"/>
          <w:szCs w:val="24"/>
        </w:rPr>
        <w:t>Operational scalability, however, depends on the maturity of underlying infrastructure. Studies show that a significant proportion of enterprises deploying ML tools encounter model decay and performance degradation due to insufficient monitoring, inadequate version control, and lack of retraining governance (</w:t>
      </w:r>
      <w:proofErr w:type="spellStart"/>
      <w:r w:rsidRPr="001D6728">
        <w:rPr>
          <w:sz w:val="24"/>
          <w:szCs w:val="24"/>
        </w:rPr>
        <w:t>Zimelewicz</w:t>
      </w:r>
      <w:proofErr w:type="spellEnd"/>
      <w:r w:rsidRPr="001D6728">
        <w:rPr>
          <w:sz w:val="24"/>
          <w:szCs w:val="24"/>
        </w:rPr>
        <w:t xml:space="preserve"> et al., 2024; Majidi et al., 2024). Automated pipeline orchestration, model registries, and performance tracking systems such as </w:t>
      </w:r>
      <w:proofErr w:type="spellStart"/>
      <w:r w:rsidRPr="001D6728">
        <w:rPr>
          <w:sz w:val="24"/>
          <w:szCs w:val="24"/>
        </w:rPr>
        <w:t>Kubeflow</w:t>
      </w:r>
      <w:proofErr w:type="spellEnd"/>
      <w:r w:rsidRPr="001D6728">
        <w:rPr>
          <w:sz w:val="24"/>
          <w:szCs w:val="24"/>
        </w:rPr>
        <w:t xml:space="preserve">, </w:t>
      </w:r>
      <w:proofErr w:type="spellStart"/>
      <w:r w:rsidRPr="001D6728">
        <w:rPr>
          <w:sz w:val="24"/>
          <w:szCs w:val="24"/>
        </w:rPr>
        <w:t>MLflow</w:t>
      </w:r>
      <w:proofErr w:type="spellEnd"/>
      <w:r w:rsidRPr="001D6728">
        <w:rPr>
          <w:sz w:val="24"/>
          <w:szCs w:val="24"/>
        </w:rPr>
        <w:t>, and Vertex AI are becoming essential to address these gaps (Stone et al., 2025). Moreove</w:t>
      </w:r>
      <w:r w:rsidR="007D194C">
        <w:rPr>
          <w:sz w:val="24"/>
          <w:szCs w:val="24"/>
        </w:rPr>
        <w:t>r, data drift and concept drift (</w:t>
      </w:r>
      <w:r w:rsidRPr="001D6728">
        <w:rPr>
          <w:sz w:val="24"/>
          <w:szCs w:val="24"/>
        </w:rPr>
        <w:t xml:space="preserve">where statistical properties of </w:t>
      </w:r>
      <w:r w:rsidR="007D194C">
        <w:rPr>
          <w:sz w:val="24"/>
          <w:szCs w:val="24"/>
        </w:rPr>
        <w:t xml:space="preserve">training data or threats evolve) </w:t>
      </w:r>
      <w:r w:rsidRPr="001D6728">
        <w:rPr>
          <w:sz w:val="24"/>
          <w:szCs w:val="24"/>
        </w:rPr>
        <w:t>necessitate continuous retraining pipelines supported by feedback loops and alerting mechanisms (Majidi et al., 2024). Without these features, models lose effectiveness and expose systems to new vulnerabilities.</w:t>
      </w:r>
    </w:p>
    <w:p w14:paraId="0000005E" w14:textId="124F17BA" w:rsidR="00FA2C7A" w:rsidRPr="001D6728" w:rsidRDefault="008E6F5F" w:rsidP="003D6F2D">
      <w:pPr>
        <w:spacing w:line="360" w:lineRule="auto"/>
        <w:jc w:val="both"/>
        <w:rPr>
          <w:rFonts w:eastAsia="Times New Roman"/>
          <w:sz w:val="24"/>
          <w:szCs w:val="24"/>
          <w:lang w:val="en-US"/>
        </w:rPr>
      </w:pPr>
      <w:r w:rsidRPr="001D6728">
        <w:rPr>
          <w:sz w:val="24"/>
          <w:szCs w:val="24"/>
        </w:rPr>
        <w:t xml:space="preserve">Security and compliance dimensions are also integral to operational scaling. </w:t>
      </w:r>
      <w:proofErr w:type="spellStart"/>
      <w:r w:rsidRPr="001D6728">
        <w:rPr>
          <w:sz w:val="24"/>
          <w:szCs w:val="24"/>
        </w:rPr>
        <w:t>MLOps</w:t>
      </w:r>
      <w:proofErr w:type="spellEnd"/>
      <w:r w:rsidRPr="001D6728">
        <w:rPr>
          <w:sz w:val="24"/>
          <w:szCs w:val="24"/>
        </w:rPr>
        <w:t xml:space="preserve"> must align with privacy-by-design principles and regulatory frameworks such as the General Data Protection Regulation (GDPR) and the Payment Card Industry Data Security Standard (PCI DSS v4.0). Researchers note that embedding explainability and audit trails into CI/CD pipelines enhances accountability and regulator confidence (ETSI, 2024; </w:t>
      </w:r>
      <w:r w:rsidRPr="001D6728">
        <w:rPr>
          <w:rFonts w:eastAsia="Times New Roman"/>
          <w:sz w:val="24"/>
          <w:szCs w:val="24"/>
        </w:rPr>
        <w:t>Gen &amp; Esther, 2024</w:t>
      </w:r>
      <w:r w:rsidRPr="001D6728">
        <w:rPr>
          <w:sz w:val="24"/>
          <w:szCs w:val="24"/>
        </w:rPr>
        <w:t xml:space="preserve">). Furthermore, scalable </w:t>
      </w:r>
      <w:proofErr w:type="spellStart"/>
      <w:r w:rsidRPr="001D6728">
        <w:rPr>
          <w:sz w:val="24"/>
          <w:szCs w:val="24"/>
        </w:rPr>
        <w:t>MLOps</w:t>
      </w:r>
      <w:proofErr w:type="spellEnd"/>
      <w:r w:rsidRPr="001D6728">
        <w:rPr>
          <w:sz w:val="24"/>
          <w:szCs w:val="24"/>
        </w:rPr>
        <w:t xml:space="preserve"> architectures increasingly leverage containerization and serverless computing to reduce latency while optimizing resource allocation </w:t>
      </w:r>
      <w:r w:rsidRPr="001D6728">
        <w:rPr>
          <w:rFonts w:eastAsia="Times New Roman"/>
          <w:sz w:val="24"/>
          <w:szCs w:val="24"/>
        </w:rPr>
        <w:t>(</w:t>
      </w:r>
      <w:proofErr w:type="spellStart"/>
      <w:r w:rsidRPr="001D6728">
        <w:rPr>
          <w:rFonts w:eastAsia="Times New Roman"/>
          <w:sz w:val="24"/>
          <w:szCs w:val="24"/>
        </w:rPr>
        <w:t>Panchumarthi</w:t>
      </w:r>
      <w:proofErr w:type="spellEnd"/>
      <w:r w:rsidRPr="001D6728">
        <w:rPr>
          <w:rFonts w:eastAsia="Times New Roman"/>
          <w:sz w:val="24"/>
          <w:szCs w:val="24"/>
        </w:rPr>
        <w:t>, 2025</w:t>
      </w:r>
      <w:r w:rsidR="00C449FE" w:rsidRPr="001D6728">
        <w:rPr>
          <w:rFonts w:eastAsia="Times New Roman"/>
          <w:sz w:val="24"/>
          <w:szCs w:val="24"/>
        </w:rPr>
        <w:t xml:space="preserve">; </w:t>
      </w:r>
      <w:proofErr w:type="spellStart"/>
      <w:r w:rsidR="00C449FE" w:rsidRPr="001D6728">
        <w:rPr>
          <w:rFonts w:eastAsia="Times New Roman"/>
          <w:sz w:val="24"/>
          <w:szCs w:val="24"/>
          <w:lang w:val="en-US"/>
        </w:rPr>
        <w:t>Kolo</w:t>
      </w:r>
      <w:proofErr w:type="spellEnd"/>
      <w:r w:rsidR="00C449FE" w:rsidRPr="001D6728">
        <w:rPr>
          <w:rFonts w:eastAsia="Times New Roman"/>
          <w:sz w:val="24"/>
          <w:szCs w:val="24"/>
          <w:lang w:val="en-US"/>
        </w:rPr>
        <w:t>, 2025b)</w:t>
      </w:r>
      <w:r w:rsidRPr="001D6728">
        <w:rPr>
          <w:sz w:val="24"/>
          <w:szCs w:val="24"/>
        </w:rPr>
        <w:t>.</w:t>
      </w:r>
    </w:p>
    <w:p w14:paraId="00000060" w14:textId="77777777" w:rsidR="00FA2C7A" w:rsidRPr="001D6728" w:rsidRDefault="008E6F5F" w:rsidP="003D6F2D">
      <w:pPr>
        <w:pStyle w:val="Heading2"/>
        <w:keepNext w:val="0"/>
        <w:keepLines w:val="0"/>
        <w:spacing w:after="240" w:line="360" w:lineRule="auto"/>
        <w:jc w:val="both"/>
        <w:rPr>
          <w:b/>
          <w:sz w:val="24"/>
          <w:szCs w:val="24"/>
        </w:rPr>
      </w:pPr>
      <w:bookmarkStart w:id="4" w:name="_9ygfq3ark06e" w:colFirst="0" w:colLast="0"/>
      <w:bookmarkEnd w:id="4"/>
      <w:r w:rsidRPr="001D6728">
        <w:rPr>
          <w:b/>
          <w:sz w:val="24"/>
          <w:szCs w:val="24"/>
        </w:rPr>
        <w:t>Governance, Explainability, and Responsible AI</w:t>
      </w:r>
    </w:p>
    <w:p w14:paraId="00000061" w14:textId="51926BE2" w:rsidR="00FA2C7A" w:rsidRPr="001D6728" w:rsidRDefault="008E6F5F" w:rsidP="003D6F2D">
      <w:pPr>
        <w:spacing w:line="360" w:lineRule="auto"/>
        <w:jc w:val="both"/>
        <w:rPr>
          <w:rFonts w:eastAsia="Times New Roman"/>
          <w:sz w:val="24"/>
          <w:szCs w:val="24"/>
          <w:lang w:val="en-US"/>
        </w:rPr>
      </w:pPr>
      <w:r w:rsidRPr="001D6728">
        <w:rPr>
          <w:sz w:val="24"/>
          <w:szCs w:val="24"/>
        </w:rPr>
        <w:lastRenderedPageBreak/>
        <w:t>As e-commerce organizations scale machine learning (ML) systems for cybersecurity, governance and explainability emerge as decisive determinants of trust, accountability, and regulatory compliance</w:t>
      </w:r>
      <w:r w:rsidR="00164A57" w:rsidRPr="001D6728">
        <w:rPr>
          <w:sz w:val="24"/>
          <w:szCs w:val="24"/>
        </w:rPr>
        <w:t xml:space="preserve"> </w:t>
      </w:r>
      <w:r w:rsidR="00164A57" w:rsidRPr="001D6728">
        <w:rPr>
          <w:rFonts w:eastAsia="Times New Roman"/>
          <w:sz w:val="24"/>
          <w:szCs w:val="24"/>
          <w:lang w:val="en-US"/>
        </w:rPr>
        <w:t>(Udechukwu, 2025b)</w:t>
      </w:r>
      <w:r w:rsidRPr="001D6728">
        <w:rPr>
          <w:sz w:val="24"/>
          <w:szCs w:val="24"/>
        </w:rPr>
        <w:t>. The rapid adoption of AI-driven tools has intensified concerns about opacity, bias, and misuse, leading both scholars and regulators to emphasize responsible AI governance frameworks that balance innovation with oversight (</w:t>
      </w:r>
      <w:proofErr w:type="spellStart"/>
      <w:r w:rsidRPr="001D6728">
        <w:rPr>
          <w:sz w:val="24"/>
          <w:szCs w:val="24"/>
        </w:rPr>
        <w:t>Papagiannidis</w:t>
      </w:r>
      <w:proofErr w:type="spellEnd"/>
      <w:r w:rsidRPr="001D6728">
        <w:rPr>
          <w:sz w:val="24"/>
          <w:szCs w:val="24"/>
        </w:rPr>
        <w:t xml:space="preserve"> et al., 2025</w:t>
      </w:r>
      <w:r w:rsidR="00164A57" w:rsidRPr="001D6728">
        <w:rPr>
          <w:sz w:val="24"/>
          <w:szCs w:val="24"/>
        </w:rPr>
        <w:t>)</w:t>
      </w:r>
      <w:r w:rsidRPr="001D6728">
        <w:rPr>
          <w:sz w:val="24"/>
          <w:szCs w:val="24"/>
        </w:rPr>
        <w:t xml:space="preserve">. In cybersecurity, where automated decisions may affect financial transactions or consumer data, the absence of transparent governance structures can erode user confidence and expose firms to reputational and legal risks </w:t>
      </w:r>
      <w:r w:rsidRPr="001D6728">
        <w:rPr>
          <w:rFonts w:eastAsia="Times New Roman"/>
          <w:sz w:val="24"/>
          <w:szCs w:val="24"/>
        </w:rPr>
        <w:t>(Mucci &amp; Stryker, 2024</w:t>
      </w:r>
      <w:r w:rsidR="00164A57" w:rsidRPr="001D6728">
        <w:rPr>
          <w:rFonts w:eastAsia="Times New Roman"/>
          <w:sz w:val="24"/>
          <w:szCs w:val="24"/>
        </w:rPr>
        <w:t xml:space="preserve">; </w:t>
      </w:r>
      <w:proofErr w:type="spellStart"/>
      <w:r w:rsidR="00164A57" w:rsidRPr="001D6728">
        <w:rPr>
          <w:rFonts w:eastAsia="Times New Roman"/>
          <w:sz w:val="24"/>
          <w:szCs w:val="24"/>
          <w:lang w:val="en-US"/>
        </w:rPr>
        <w:t>Ogunmolu</w:t>
      </w:r>
      <w:proofErr w:type="spellEnd"/>
      <w:r w:rsidR="00164A57" w:rsidRPr="001D6728">
        <w:rPr>
          <w:rFonts w:eastAsia="Times New Roman"/>
          <w:sz w:val="24"/>
          <w:szCs w:val="24"/>
          <w:lang w:val="en-US"/>
        </w:rPr>
        <w:t xml:space="preserve">, 2025b; </w:t>
      </w:r>
      <w:proofErr w:type="spellStart"/>
      <w:r w:rsidR="00164A57" w:rsidRPr="001D6728">
        <w:rPr>
          <w:rFonts w:eastAsia="Times New Roman"/>
          <w:sz w:val="24"/>
          <w:szCs w:val="24"/>
          <w:lang w:val="en-US"/>
        </w:rPr>
        <w:t>Oyekunle</w:t>
      </w:r>
      <w:proofErr w:type="spellEnd"/>
      <w:r w:rsidR="00164A57" w:rsidRPr="001D6728">
        <w:rPr>
          <w:rFonts w:eastAsia="Times New Roman"/>
          <w:sz w:val="24"/>
          <w:szCs w:val="24"/>
          <w:lang w:val="en-US"/>
        </w:rPr>
        <w:t xml:space="preserve"> et al., 2025</w:t>
      </w:r>
      <w:r w:rsidRPr="001D6728">
        <w:rPr>
          <w:rFonts w:eastAsia="Times New Roman"/>
          <w:sz w:val="24"/>
          <w:szCs w:val="24"/>
        </w:rPr>
        <w:t>)</w:t>
      </w:r>
      <w:r w:rsidRPr="001D6728">
        <w:rPr>
          <w:sz w:val="24"/>
          <w:szCs w:val="24"/>
        </w:rPr>
        <w:t>.</w:t>
      </w:r>
    </w:p>
    <w:p w14:paraId="00000062" w14:textId="77777777" w:rsidR="00FA2C7A" w:rsidRPr="001D6728" w:rsidRDefault="008E6F5F" w:rsidP="003D6F2D">
      <w:pPr>
        <w:spacing w:before="240" w:after="240" w:line="360" w:lineRule="auto"/>
        <w:jc w:val="both"/>
        <w:rPr>
          <w:sz w:val="24"/>
          <w:szCs w:val="24"/>
        </w:rPr>
      </w:pPr>
      <w:r w:rsidRPr="001D6728">
        <w:rPr>
          <w:sz w:val="24"/>
          <w:szCs w:val="24"/>
        </w:rPr>
        <w:t xml:space="preserve">Explainability forms the cornerstone of responsible AI in ML-based cybersecurity systems. It enables security analysts, auditors, and regulators to interpret model outcomes and assess fairness, reliability, and potential bias </w:t>
      </w:r>
      <w:r w:rsidRPr="001D6728">
        <w:rPr>
          <w:rFonts w:eastAsia="Times New Roman"/>
          <w:sz w:val="24"/>
          <w:szCs w:val="24"/>
        </w:rPr>
        <w:t>(</w:t>
      </w:r>
      <w:proofErr w:type="spellStart"/>
      <w:r w:rsidRPr="001D6728">
        <w:rPr>
          <w:rFonts w:eastAsia="Times New Roman"/>
          <w:sz w:val="24"/>
          <w:szCs w:val="24"/>
        </w:rPr>
        <w:t>Vimbi</w:t>
      </w:r>
      <w:proofErr w:type="spellEnd"/>
      <w:r w:rsidRPr="001D6728">
        <w:rPr>
          <w:rFonts w:eastAsia="Times New Roman"/>
          <w:sz w:val="24"/>
          <w:szCs w:val="24"/>
        </w:rPr>
        <w:t xml:space="preserve"> et al., 2024)</w:t>
      </w:r>
      <w:r w:rsidRPr="001D6728">
        <w:rPr>
          <w:sz w:val="24"/>
          <w:szCs w:val="24"/>
        </w:rPr>
        <w:t xml:space="preserve">. Recent advancements in explainable AI (XAI), including methods such as SHAP, LIME, and counterfactual reasoning, have enhanced interpretability without significantly compromising model accuracy </w:t>
      </w:r>
      <w:r w:rsidRPr="001D6728">
        <w:rPr>
          <w:rFonts w:eastAsia="Times New Roman"/>
          <w:sz w:val="24"/>
          <w:szCs w:val="24"/>
        </w:rPr>
        <w:t>(Salih et al., 2024</w:t>
      </w:r>
      <w:r w:rsidRPr="001D6728">
        <w:rPr>
          <w:sz w:val="24"/>
          <w:szCs w:val="24"/>
        </w:rPr>
        <w:t xml:space="preserve">; </w:t>
      </w:r>
      <w:proofErr w:type="spellStart"/>
      <w:r w:rsidRPr="001D6728">
        <w:rPr>
          <w:rFonts w:eastAsia="Times New Roman"/>
          <w:sz w:val="24"/>
          <w:szCs w:val="24"/>
        </w:rPr>
        <w:t>Saarela</w:t>
      </w:r>
      <w:proofErr w:type="spellEnd"/>
      <w:r w:rsidRPr="001D6728">
        <w:rPr>
          <w:rFonts w:eastAsia="Times New Roman"/>
          <w:sz w:val="24"/>
          <w:szCs w:val="24"/>
        </w:rPr>
        <w:t xml:space="preserve"> &amp; </w:t>
      </w:r>
      <w:proofErr w:type="spellStart"/>
      <w:r w:rsidRPr="001D6728">
        <w:rPr>
          <w:rFonts w:eastAsia="Times New Roman"/>
          <w:sz w:val="24"/>
          <w:szCs w:val="24"/>
        </w:rPr>
        <w:t>Podgorelec</w:t>
      </w:r>
      <w:proofErr w:type="spellEnd"/>
      <w:r w:rsidRPr="001D6728">
        <w:rPr>
          <w:rFonts w:eastAsia="Times New Roman"/>
          <w:sz w:val="24"/>
          <w:szCs w:val="24"/>
        </w:rPr>
        <w:t>, 2024)</w:t>
      </w:r>
      <w:r w:rsidRPr="001D6728">
        <w:rPr>
          <w:sz w:val="24"/>
          <w:szCs w:val="24"/>
        </w:rPr>
        <w:t xml:space="preserve">. Yet empirical evidence suggests that many organizations underutilize XAI due to the lack of standardized reporting mechanisms and limited technical expertise </w:t>
      </w:r>
      <w:r w:rsidRPr="001D6728">
        <w:rPr>
          <w:rFonts w:eastAsia="Times New Roman"/>
          <w:sz w:val="24"/>
          <w:szCs w:val="24"/>
        </w:rPr>
        <w:t>(Parmar &amp; Saran, 2025;</w:t>
      </w:r>
      <w:r w:rsidRPr="001D6728">
        <w:rPr>
          <w:sz w:val="24"/>
          <w:szCs w:val="24"/>
        </w:rPr>
        <w:t xml:space="preserve"> </w:t>
      </w:r>
      <w:proofErr w:type="spellStart"/>
      <w:r w:rsidRPr="001D6728">
        <w:rPr>
          <w:rFonts w:eastAsia="Times New Roman"/>
          <w:sz w:val="24"/>
          <w:szCs w:val="24"/>
        </w:rPr>
        <w:t>ModelOp</w:t>
      </w:r>
      <w:proofErr w:type="spellEnd"/>
      <w:r w:rsidRPr="001D6728">
        <w:rPr>
          <w:rFonts w:eastAsia="Times New Roman"/>
          <w:sz w:val="24"/>
          <w:szCs w:val="24"/>
        </w:rPr>
        <w:t>, 2025)</w:t>
      </w:r>
      <w:r w:rsidRPr="001D6728">
        <w:rPr>
          <w:sz w:val="24"/>
          <w:szCs w:val="24"/>
        </w:rPr>
        <w:t>. Consequently, explainability must be institutionalized through corporate governance policies rather than implemented as an ad hoc technical fix.</w:t>
      </w:r>
    </w:p>
    <w:p w14:paraId="00000063" w14:textId="77777777" w:rsidR="00FA2C7A" w:rsidRPr="001D6728" w:rsidRDefault="008E6F5F" w:rsidP="003D6F2D">
      <w:pPr>
        <w:spacing w:before="240" w:after="240" w:line="360" w:lineRule="auto"/>
        <w:jc w:val="both"/>
        <w:rPr>
          <w:sz w:val="24"/>
          <w:szCs w:val="24"/>
        </w:rPr>
      </w:pPr>
      <w:r w:rsidRPr="001D6728">
        <w:rPr>
          <w:sz w:val="24"/>
          <w:szCs w:val="24"/>
        </w:rPr>
        <w:t xml:space="preserve">Regulatory frameworks are reinforcing this shift toward structured AI governance. The European Union AI Act (2024) and regional data protection laws such as the Nigerian Data Protection Act (NDPA, 2023) now require transparency, human oversight, and risk classification for automated decision systems </w:t>
      </w:r>
      <w:r w:rsidRPr="001D6728">
        <w:rPr>
          <w:rFonts w:eastAsia="Times New Roman"/>
          <w:sz w:val="24"/>
          <w:szCs w:val="24"/>
        </w:rPr>
        <w:t>(EU AI Act, 2024</w:t>
      </w:r>
      <w:r w:rsidRPr="001D6728">
        <w:rPr>
          <w:sz w:val="24"/>
          <w:szCs w:val="24"/>
        </w:rPr>
        <w:t xml:space="preserve">; </w:t>
      </w:r>
      <w:r w:rsidRPr="001D6728">
        <w:rPr>
          <w:rFonts w:eastAsia="Times New Roman"/>
          <w:sz w:val="24"/>
          <w:szCs w:val="24"/>
        </w:rPr>
        <w:t xml:space="preserve">Lambo et al., 2024; </w:t>
      </w:r>
      <w:proofErr w:type="spellStart"/>
      <w:r w:rsidRPr="001D6728">
        <w:rPr>
          <w:rFonts w:eastAsia="Times New Roman"/>
          <w:sz w:val="24"/>
          <w:szCs w:val="24"/>
        </w:rPr>
        <w:t>Ahirrao</w:t>
      </w:r>
      <w:proofErr w:type="spellEnd"/>
      <w:r w:rsidRPr="001D6728">
        <w:rPr>
          <w:rFonts w:eastAsia="Times New Roman"/>
          <w:sz w:val="24"/>
          <w:szCs w:val="24"/>
        </w:rPr>
        <w:t>, 2025;</w:t>
      </w:r>
      <w:r w:rsidRPr="001D6728">
        <w:rPr>
          <w:sz w:val="24"/>
          <w:szCs w:val="24"/>
        </w:rPr>
        <w:t xml:space="preserve"> </w:t>
      </w:r>
      <w:r w:rsidRPr="001D6728">
        <w:rPr>
          <w:rFonts w:eastAsia="Times New Roman"/>
          <w:sz w:val="24"/>
          <w:szCs w:val="24"/>
        </w:rPr>
        <w:t>Okoro, 2025</w:t>
      </w:r>
      <w:r w:rsidRPr="001D6728">
        <w:rPr>
          <w:sz w:val="24"/>
          <w:szCs w:val="24"/>
        </w:rPr>
        <w:t>). The NDPA specifically grants data subjects the right to contest or object to automated profiling and mandates that organizations adopt internal governance structures for data protection and accountability (</w:t>
      </w:r>
      <w:r w:rsidRPr="001D6728">
        <w:rPr>
          <w:rFonts w:eastAsia="Times New Roman"/>
          <w:sz w:val="24"/>
          <w:szCs w:val="24"/>
        </w:rPr>
        <w:t>Ekpo et al., 2024; Lambo et al., 2024; Lambo et al., 2025)</w:t>
      </w:r>
      <w:r w:rsidRPr="001D6728">
        <w:rPr>
          <w:sz w:val="24"/>
          <w:szCs w:val="24"/>
        </w:rPr>
        <w:t xml:space="preserve">. Industry guidelines such as PCI DSS v4.0 also highlight data minimization, auditability, and security-by-design as compliance essentials </w:t>
      </w:r>
      <w:r w:rsidRPr="001D6728">
        <w:rPr>
          <w:rFonts w:eastAsia="Times New Roman"/>
          <w:sz w:val="24"/>
          <w:szCs w:val="24"/>
        </w:rPr>
        <w:t xml:space="preserve">(Malone, 2025; Hurley &amp; </w:t>
      </w:r>
      <w:proofErr w:type="spellStart"/>
      <w:r w:rsidRPr="001D6728">
        <w:rPr>
          <w:rFonts w:eastAsia="Times New Roman"/>
          <w:sz w:val="24"/>
          <w:szCs w:val="24"/>
        </w:rPr>
        <w:t>Oyeronke</w:t>
      </w:r>
      <w:proofErr w:type="spellEnd"/>
      <w:r w:rsidRPr="001D6728">
        <w:rPr>
          <w:rFonts w:eastAsia="Times New Roman"/>
          <w:sz w:val="24"/>
          <w:szCs w:val="24"/>
        </w:rPr>
        <w:t>, 2025; EU AI Act, 2024; Welsh, 2025</w:t>
      </w:r>
      <w:r w:rsidRPr="001D6728">
        <w:rPr>
          <w:sz w:val="24"/>
          <w:szCs w:val="24"/>
        </w:rPr>
        <w:t>)</w:t>
      </w:r>
    </w:p>
    <w:p w14:paraId="43C674AE" w14:textId="5E366726" w:rsidR="00C449FE" w:rsidRPr="001D6728" w:rsidRDefault="008E6F5F" w:rsidP="003D6F2D">
      <w:pPr>
        <w:spacing w:line="360" w:lineRule="auto"/>
        <w:jc w:val="both"/>
        <w:rPr>
          <w:rFonts w:eastAsia="Times New Roman"/>
          <w:sz w:val="24"/>
          <w:szCs w:val="24"/>
          <w:lang w:val="en-US"/>
        </w:rPr>
      </w:pPr>
      <w:r w:rsidRPr="001D6728">
        <w:rPr>
          <w:sz w:val="24"/>
          <w:szCs w:val="24"/>
        </w:rPr>
        <w:lastRenderedPageBreak/>
        <w:t xml:space="preserve">Integrating </w:t>
      </w:r>
      <w:proofErr w:type="gramStart"/>
      <w:r w:rsidRPr="001D6728">
        <w:rPr>
          <w:sz w:val="24"/>
          <w:szCs w:val="24"/>
        </w:rPr>
        <w:t>these governance</w:t>
      </w:r>
      <w:proofErr w:type="gramEnd"/>
      <w:r w:rsidRPr="001D6728">
        <w:rPr>
          <w:sz w:val="24"/>
          <w:szCs w:val="24"/>
        </w:rPr>
        <w:t xml:space="preserve"> and explainability mandates within ML operations transforms cybersecurity from reactive defense to proactive resilience. By embedding accountability and interpretability into model development and deployment, e-commerce organizations can build ethical, trustworthy, and regulator-approved ML ecosystems that sustain long-term scalability</w:t>
      </w:r>
      <w:r w:rsidR="00C449FE" w:rsidRPr="001D6728">
        <w:rPr>
          <w:sz w:val="24"/>
          <w:szCs w:val="24"/>
        </w:rPr>
        <w:t xml:space="preserve"> </w:t>
      </w:r>
      <w:r w:rsidR="00C449FE" w:rsidRPr="001D6728">
        <w:rPr>
          <w:rFonts w:eastAsia="Times New Roman"/>
          <w:sz w:val="24"/>
          <w:szCs w:val="24"/>
          <w:lang w:val="en-US"/>
        </w:rPr>
        <w:t>(Kolo et al., 2025; Olutimehin et al., 2025</w:t>
      </w:r>
      <w:r w:rsidR="00164A57" w:rsidRPr="001D6728">
        <w:rPr>
          <w:rFonts w:eastAsia="Times New Roman"/>
          <w:sz w:val="24"/>
          <w:szCs w:val="24"/>
          <w:lang w:val="en-US"/>
        </w:rPr>
        <w:t>b</w:t>
      </w:r>
      <w:r w:rsidR="00C449FE" w:rsidRPr="001D6728">
        <w:rPr>
          <w:rFonts w:eastAsia="Times New Roman"/>
          <w:sz w:val="24"/>
          <w:szCs w:val="24"/>
          <w:lang w:val="en-US"/>
        </w:rPr>
        <w:t>)</w:t>
      </w:r>
    </w:p>
    <w:p w14:paraId="00000066" w14:textId="745EFF46" w:rsidR="00FA2C7A" w:rsidRPr="001D6728" w:rsidRDefault="008E6F5F" w:rsidP="003D6F2D">
      <w:pPr>
        <w:spacing w:before="240" w:after="240" w:line="360" w:lineRule="auto"/>
        <w:jc w:val="both"/>
        <w:rPr>
          <w:b/>
          <w:sz w:val="24"/>
          <w:szCs w:val="24"/>
        </w:rPr>
      </w:pPr>
      <w:bookmarkStart w:id="5" w:name="_tsrqxbex2sf" w:colFirst="0" w:colLast="0"/>
      <w:bookmarkEnd w:id="5"/>
      <w:r w:rsidRPr="001D6728">
        <w:rPr>
          <w:b/>
          <w:sz w:val="24"/>
          <w:szCs w:val="24"/>
        </w:rPr>
        <w:t>Adversarial Resilience and Secure ML Operations</w:t>
      </w:r>
    </w:p>
    <w:p w14:paraId="00000067" w14:textId="4474AE4F" w:rsidR="00FA2C7A" w:rsidRPr="001D6728" w:rsidRDefault="008E6F5F" w:rsidP="003D6F2D">
      <w:pPr>
        <w:spacing w:line="360" w:lineRule="auto"/>
        <w:jc w:val="both"/>
        <w:rPr>
          <w:rFonts w:eastAsia="Times New Roman"/>
          <w:sz w:val="24"/>
          <w:szCs w:val="24"/>
          <w:lang w:val="en-US"/>
        </w:rPr>
      </w:pPr>
      <w:r w:rsidRPr="001D6728">
        <w:rPr>
          <w:sz w:val="24"/>
          <w:szCs w:val="24"/>
        </w:rPr>
        <w:t xml:space="preserve">As e-commerce organizations deploy machine learning (ML) systems for cybersecurity, they face escalating adversarial threats designed to exploit model vulnerabilities. Attackers increasingly manipulate ML models through data poisoning, evasion, and model extraction, undermining detection reliability and operational trust (Vassilev et al., 2025; </w:t>
      </w:r>
      <w:proofErr w:type="spellStart"/>
      <w:r w:rsidRPr="001D6728">
        <w:rPr>
          <w:sz w:val="24"/>
          <w:szCs w:val="24"/>
        </w:rPr>
        <w:t>Jędrzejewski</w:t>
      </w:r>
      <w:proofErr w:type="spellEnd"/>
      <w:r w:rsidRPr="001D6728">
        <w:rPr>
          <w:sz w:val="24"/>
          <w:szCs w:val="24"/>
        </w:rPr>
        <w:t xml:space="preserve"> et al., 2024; </w:t>
      </w:r>
      <w:proofErr w:type="spellStart"/>
      <w:r w:rsidRPr="001D6728">
        <w:rPr>
          <w:sz w:val="24"/>
          <w:szCs w:val="24"/>
        </w:rPr>
        <w:t>Abomakhelb</w:t>
      </w:r>
      <w:proofErr w:type="spellEnd"/>
      <w:r w:rsidRPr="001D6728">
        <w:rPr>
          <w:sz w:val="24"/>
          <w:szCs w:val="24"/>
        </w:rPr>
        <w:t xml:space="preserve"> et al., 2025). These adversarial manipulations have surged alongside generative-AI misuse, with industry data showing a 58 percent year-over-year increase in AI-enabled phishing and injection attacks targeting digital commerce platforms </w:t>
      </w:r>
      <w:r w:rsidRPr="001D6728">
        <w:rPr>
          <w:rFonts w:eastAsia="Times New Roman"/>
          <w:sz w:val="24"/>
          <w:szCs w:val="24"/>
        </w:rPr>
        <w:t>(Desai &amp; Hedge, 2024)</w:t>
      </w:r>
      <w:r w:rsidRPr="001D6728">
        <w:rPr>
          <w:sz w:val="24"/>
          <w:szCs w:val="24"/>
        </w:rPr>
        <w:t>. The emergence of adversarial AI has thus positioned resilience engineering as a central requirement for secure ML operations</w:t>
      </w:r>
      <w:r w:rsidR="00164A57" w:rsidRPr="001D6728">
        <w:rPr>
          <w:sz w:val="24"/>
          <w:szCs w:val="24"/>
        </w:rPr>
        <w:t xml:space="preserve"> </w:t>
      </w:r>
      <w:r w:rsidR="00164A57" w:rsidRPr="001D6728">
        <w:rPr>
          <w:rFonts w:eastAsia="Times New Roman"/>
          <w:sz w:val="24"/>
          <w:szCs w:val="24"/>
          <w:lang w:val="en-US"/>
        </w:rPr>
        <w:t>(Salami et al., 2025)</w:t>
      </w:r>
      <w:r w:rsidRPr="001D6728">
        <w:rPr>
          <w:sz w:val="24"/>
          <w:szCs w:val="24"/>
        </w:rPr>
        <w:t>.</w:t>
      </w:r>
    </w:p>
    <w:p w14:paraId="00000068" w14:textId="4FDDD0A8" w:rsidR="00FA2C7A" w:rsidRPr="001D6728" w:rsidRDefault="008E6F5F" w:rsidP="003D6F2D">
      <w:pPr>
        <w:spacing w:line="360" w:lineRule="auto"/>
        <w:jc w:val="both"/>
        <w:rPr>
          <w:rFonts w:eastAsia="Times New Roman"/>
          <w:sz w:val="24"/>
          <w:szCs w:val="24"/>
          <w:lang w:val="en-US"/>
        </w:rPr>
      </w:pPr>
      <w:r w:rsidRPr="001D6728">
        <w:rPr>
          <w:sz w:val="24"/>
          <w:szCs w:val="24"/>
        </w:rPr>
        <w:t>Recent research emphasizes that adversarial resilience extends beyond model robustness; it encompasses secure-by-design architectures, adversarial training, and active monitoring mechanisms. Incorporating adversarial examples during model training improves generalization and mitigates susceptibility to evasion (</w:t>
      </w:r>
      <w:proofErr w:type="spellStart"/>
      <w:r w:rsidRPr="001D6728">
        <w:rPr>
          <w:sz w:val="24"/>
          <w:szCs w:val="24"/>
        </w:rPr>
        <w:t>Tafreshian</w:t>
      </w:r>
      <w:proofErr w:type="spellEnd"/>
      <w:r w:rsidRPr="001D6728">
        <w:rPr>
          <w:sz w:val="24"/>
          <w:szCs w:val="24"/>
        </w:rPr>
        <w:t xml:space="preserve"> &amp; Zhang, 2025</w:t>
      </w:r>
      <w:r w:rsidR="00164A57" w:rsidRPr="001D6728">
        <w:rPr>
          <w:sz w:val="24"/>
          <w:szCs w:val="24"/>
        </w:rPr>
        <w:t xml:space="preserve">; </w:t>
      </w:r>
      <w:r w:rsidR="00164A57" w:rsidRPr="001D6728">
        <w:rPr>
          <w:rFonts w:eastAsia="Times New Roman"/>
          <w:sz w:val="24"/>
          <w:szCs w:val="24"/>
          <w:lang w:val="en-US"/>
        </w:rPr>
        <w:t>Udechukwu, 2025a</w:t>
      </w:r>
      <w:r w:rsidRPr="001D6728">
        <w:rPr>
          <w:sz w:val="24"/>
          <w:szCs w:val="24"/>
        </w:rPr>
        <w:t>). Furthermore, studies reveal that hybrid defensive</w:t>
      </w:r>
      <w:r w:rsidR="008505F6" w:rsidRPr="001D6728">
        <w:rPr>
          <w:sz w:val="24"/>
          <w:szCs w:val="24"/>
        </w:rPr>
        <w:t xml:space="preserve"> approaches, which combine</w:t>
      </w:r>
      <w:r w:rsidRPr="001D6728">
        <w:rPr>
          <w:sz w:val="24"/>
          <w:szCs w:val="24"/>
        </w:rPr>
        <w:t xml:space="preserve"> signature-based intrusion detection with </w:t>
      </w:r>
      <w:proofErr w:type="spellStart"/>
      <w:r w:rsidRPr="001D6728">
        <w:rPr>
          <w:sz w:val="24"/>
          <w:szCs w:val="24"/>
        </w:rPr>
        <w:t>advers</w:t>
      </w:r>
      <w:r w:rsidR="008505F6" w:rsidRPr="001D6728">
        <w:rPr>
          <w:sz w:val="24"/>
          <w:szCs w:val="24"/>
        </w:rPr>
        <w:t>arially</w:t>
      </w:r>
      <w:proofErr w:type="spellEnd"/>
      <w:r w:rsidR="008505F6" w:rsidRPr="001D6728">
        <w:rPr>
          <w:sz w:val="24"/>
          <w:szCs w:val="24"/>
        </w:rPr>
        <w:t xml:space="preserve"> trained neural networks, </w:t>
      </w:r>
      <w:r w:rsidRPr="001D6728">
        <w:rPr>
          <w:sz w:val="24"/>
          <w:szCs w:val="24"/>
        </w:rPr>
        <w:t>reduce false negatives in real-world intrusion datasets by nearly 25 percent (</w:t>
      </w:r>
      <w:r w:rsidRPr="001D6728">
        <w:rPr>
          <w:rFonts w:eastAsia="Times New Roman"/>
          <w:sz w:val="24"/>
          <w:szCs w:val="24"/>
        </w:rPr>
        <w:t>Kareem, 2025</w:t>
      </w:r>
      <w:r w:rsidRPr="001D6728">
        <w:rPr>
          <w:sz w:val="24"/>
          <w:szCs w:val="24"/>
        </w:rPr>
        <w:t xml:space="preserve">; Mahmoud et al., 2025; Barik et al., 2025). Such integrated designs align with </w:t>
      </w:r>
      <w:proofErr w:type="spellStart"/>
      <w:r w:rsidRPr="001D6728">
        <w:rPr>
          <w:sz w:val="24"/>
          <w:szCs w:val="24"/>
        </w:rPr>
        <w:t>MLOps</w:t>
      </w:r>
      <w:proofErr w:type="spellEnd"/>
      <w:r w:rsidRPr="001D6728">
        <w:rPr>
          <w:sz w:val="24"/>
          <w:szCs w:val="24"/>
        </w:rPr>
        <w:t xml:space="preserve"> principles, embedding continuous evaluation and feedback loops to ensure adaptive threat detection.</w:t>
      </w:r>
    </w:p>
    <w:p w14:paraId="00000069" w14:textId="77777777" w:rsidR="00FA2C7A" w:rsidRPr="001D6728" w:rsidRDefault="008E6F5F" w:rsidP="003D6F2D">
      <w:pPr>
        <w:spacing w:before="240" w:after="240" w:line="360" w:lineRule="auto"/>
        <w:jc w:val="both"/>
        <w:rPr>
          <w:sz w:val="24"/>
          <w:szCs w:val="24"/>
        </w:rPr>
      </w:pPr>
      <w:r w:rsidRPr="001D6728">
        <w:rPr>
          <w:sz w:val="24"/>
          <w:szCs w:val="24"/>
        </w:rPr>
        <w:t>However, adversarial robustness also requires operational governance. Without version-controlled model registries, threat telemetry audits, and rollback strategies, organizations risk cascading failures when attacks compromise production pipelines (</w:t>
      </w:r>
      <w:proofErr w:type="spellStart"/>
      <w:r w:rsidRPr="001D6728">
        <w:rPr>
          <w:sz w:val="24"/>
          <w:szCs w:val="24"/>
        </w:rPr>
        <w:t>Tafreshian</w:t>
      </w:r>
      <w:proofErr w:type="spellEnd"/>
      <w:r w:rsidRPr="001D6728">
        <w:rPr>
          <w:sz w:val="24"/>
          <w:szCs w:val="24"/>
        </w:rPr>
        <w:t xml:space="preserve"> &amp; </w:t>
      </w:r>
      <w:r w:rsidRPr="001D6728">
        <w:rPr>
          <w:sz w:val="24"/>
          <w:szCs w:val="24"/>
        </w:rPr>
        <w:lastRenderedPageBreak/>
        <w:t>Zhang, 2025). Regulatory guidance now increasingly frames resilience as a compliance requirement, with the ENISA Threat Landscape 2025 urging mandatory red-teaming, explainability testing, and model-retraining protocols for critical sectors (ENISA, 2025).</w:t>
      </w:r>
    </w:p>
    <w:p w14:paraId="0000006A" w14:textId="77777777" w:rsidR="00FA2C7A" w:rsidRPr="001D6728" w:rsidRDefault="008E6F5F" w:rsidP="003D6F2D">
      <w:pPr>
        <w:spacing w:before="240" w:after="240" w:line="360" w:lineRule="auto"/>
        <w:jc w:val="both"/>
        <w:rPr>
          <w:sz w:val="24"/>
          <w:szCs w:val="24"/>
        </w:rPr>
      </w:pPr>
      <w:r w:rsidRPr="001D6728">
        <w:rPr>
          <w:sz w:val="24"/>
          <w:szCs w:val="24"/>
        </w:rPr>
        <w:t xml:space="preserve">Consequently, adversarial resilience must be institutionalized as a pillar of ML scalability. It links technical safeguards with organizational policies, ensuring that cybersecurity models remain verifiable, auditable, and responsive under evolving adversarial pressures (Vassilev et al., 2025; ENISA, 2025; </w:t>
      </w:r>
      <w:proofErr w:type="spellStart"/>
      <w:r w:rsidRPr="001D6728">
        <w:rPr>
          <w:sz w:val="24"/>
          <w:szCs w:val="24"/>
        </w:rPr>
        <w:t>Abomakhelb</w:t>
      </w:r>
      <w:proofErr w:type="spellEnd"/>
      <w:r w:rsidRPr="001D6728">
        <w:rPr>
          <w:sz w:val="24"/>
          <w:szCs w:val="24"/>
        </w:rPr>
        <w:t xml:space="preserve"> et al., 2025). Building this capability is not only a technical necessity but a strategic imperative for sustaining trustworthy e-commerce ecosystems.</w:t>
      </w:r>
    </w:p>
    <w:p w14:paraId="0000006D" w14:textId="09DD91D0" w:rsidR="00FA2C7A" w:rsidRPr="001D6728" w:rsidRDefault="008E6F5F" w:rsidP="003D6F2D">
      <w:pPr>
        <w:pStyle w:val="Heading2"/>
        <w:keepNext w:val="0"/>
        <w:keepLines w:val="0"/>
        <w:spacing w:after="240" w:line="360" w:lineRule="auto"/>
        <w:jc w:val="both"/>
        <w:rPr>
          <w:b/>
          <w:sz w:val="24"/>
          <w:szCs w:val="24"/>
        </w:rPr>
      </w:pPr>
      <w:bookmarkStart w:id="6" w:name="_c23gr6329hu" w:colFirst="0" w:colLast="0"/>
      <w:bookmarkEnd w:id="6"/>
      <w:r w:rsidRPr="001D6728">
        <w:rPr>
          <w:b/>
          <w:sz w:val="24"/>
          <w:szCs w:val="24"/>
        </w:rPr>
        <w:t>Privacy-Preserving Collaboration and Federated Scaling</w:t>
      </w:r>
    </w:p>
    <w:p w14:paraId="0000006E" w14:textId="5E50D634" w:rsidR="00FA2C7A" w:rsidRPr="001D6728" w:rsidRDefault="008E6F5F" w:rsidP="003D6F2D">
      <w:pPr>
        <w:spacing w:line="360" w:lineRule="auto"/>
        <w:jc w:val="both"/>
        <w:rPr>
          <w:rFonts w:eastAsia="Times New Roman"/>
          <w:sz w:val="24"/>
          <w:szCs w:val="24"/>
          <w:lang w:val="en-US"/>
        </w:rPr>
      </w:pPr>
      <w:r w:rsidRPr="001D6728">
        <w:rPr>
          <w:sz w:val="24"/>
          <w:szCs w:val="24"/>
        </w:rPr>
        <w:t>Scaling machine learning (ML) for cybersecurity in e-commerce necessitates the integration of large, diverse datasets to detect evolving threats across digital systems. However, this expansion introduces significant privacy and data-governance risks, as sensitive information such as payment details, geolocation data, and user behavior patterns must often traverse multiple systems and jurisdictions (Timofte et al., 2025</w:t>
      </w:r>
      <w:r w:rsidR="00C449FE" w:rsidRPr="001D6728">
        <w:rPr>
          <w:sz w:val="24"/>
          <w:szCs w:val="24"/>
        </w:rPr>
        <w:t xml:space="preserve">; </w:t>
      </w:r>
      <w:proofErr w:type="spellStart"/>
      <w:r w:rsidR="00C449FE" w:rsidRPr="001D6728">
        <w:rPr>
          <w:rFonts w:eastAsia="Times New Roman"/>
          <w:sz w:val="24"/>
          <w:szCs w:val="24"/>
          <w:lang w:val="en-US"/>
        </w:rPr>
        <w:t>Ogunmolu</w:t>
      </w:r>
      <w:proofErr w:type="spellEnd"/>
      <w:r w:rsidR="00C449FE" w:rsidRPr="001D6728">
        <w:rPr>
          <w:rFonts w:eastAsia="Times New Roman"/>
          <w:sz w:val="24"/>
          <w:szCs w:val="24"/>
          <w:lang w:val="en-US"/>
        </w:rPr>
        <w:t xml:space="preserve">, 2025a; </w:t>
      </w:r>
      <w:proofErr w:type="spellStart"/>
      <w:r w:rsidR="00C449FE" w:rsidRPr="001D6728">
        <w:rPr>
          <w:rFonts w:eastAsia="Times New Roman"/>
          <w:sz w:val="24"/>
          <w:szCs w:val="24"/>
          <w:lang w:val="en-US"/>
        </w:rPr>
        <w:t>Olutimehin</w:t>
      </w:r>
      <w:proofErr w:type="spellEnd"/>
      <w:r w:rsidR="00C449FE" w:rsidRPr="001D6728">
        <w:rPr>
          <w:rFonts w:eastAsia="Times New Roman"/>
          <w:sz w:val="24"/>
          <w:szCs w:val="24"/>
          <w:lang w:val="en-US"/>
        </w:rPr>
        <w:t xml:space="preserve"> et al., 2025</w:t>
      </w:r>
      <w:r w:rsidR="00164A57" w:rsidRPr="001D6728">
        <w:rPr>
          <w:rFonts w:eastAsia="Times New Roman"/>
          <w:sz w:val="24"/>
          <w:szCs w:val="24"/>
          <w:lang w:val="en-US"/>
        </w:rPr>
        <w:t>a</w:t>
      </w:r>
      <w:r w:rsidRPr="001D6728">
        <w:rPr>
          <w:sz w:val="24"/>
          <w:szCs w:val="24"/>
        </w:rPr>
        <w:t xml:space="preserve">). Recent studies report that 82 percent of organizations consider data privacy gaps or visibility as a top barrier to AI/data security initiatives </w:t>
      </w:r>
      <w:r w:rsidRPr="001D6728">
        <w:rPr>
          <w:rFonts w:eastAsia="Times New Roman"/>
          <w:sz w:val="24"/>
          <w:szCs w:val="24"/>
        </w:rPr>
        <w:t>(</w:t>
      </w:r>
      <w:proofErr w:type="spellStart"/>
      <w:r w:rsidRPr="001D6728">
        <w:rPr>
          <w:rFonts w:eastAsia="Times New Roman"/>
          <w:sz w:val="24"/>
          <w:szCs w:val="24"/>
        </w:rPr>
        <w:t>Gerchow</w:t>
      </w:r>
      <w:proofErr w:type="spellEnd"/>
      <w:r w:rsidRPr="001D6728">
        <w:rPr>
          <w:rFonts w:eastAsia="Times New Roman"/>
          <w:sz w:val="24"/>
          <w:szCs w:val="24"/>
        </w:rPr>
        <w:t>, 2025)</w:t>
      </w:r>
      <w:r w:rsidRPr="001D6728">
        <w:rPr>
          <w:sz w:val="24"/>
          <w:szCs w:val="24"/>
        </w:rPr>
        <w:t>. In response, federated learning and related techniques have emerged as foundational enablers of scalable yet compliant cybersecurity intelligence.</w:t>
      </w:r>
    </w:p>
    <w:p w14:paraId="0000006F" w14:textId="77777777" w:rsidR="00FA2C7A" w:rsidRPr="001D6728" w:rsidRDefault="008E6F5F" w:rsidP="003D6F2D">
      <w:pPr>
        <w:spacing w:before="240" w:after="240" w:line="360" w:lineRule="auto"/>
        <w:jc w:val="both"/>
        <w:rPr>
          <w:sz w:val="24"/>
          <w:szCs w:val="24"/>
        </w:rPr>
      </w:pPr>
      <w:r w:rsidRPr="001D6728">
        <w:rPr>
          <w:sz w:val="24"/>
          <w:szCs w:val="24"/>
        </w:rPr>
        <w:t xml:space="preserve">Federated learning (FL) enables decentralized model training where data remain within local environments, allowing institutions to collaboratively strengthen threat detection models without exposing raw datasets (Timofte et al., 2025). When coupled with differential privacy, FL offers strong protections against data leakage, ensuring that individual records cannot be reverse-engineered from shared parameters (Byrd &amp; </w:t>
      </w:r>
      <w:proofErr w:type="spellStart"/>
      <w:r w:rsidRPr="001D6728">
        <w:rPr>
          <w:sz w:val="24"/>
          <w:szCs w:val="24"/>
        </w:rPr>
        <w:t>Polychroniadou</w:t>
      </w:r>
      <w:proofErr w:type="spellEnd"/>
      <w:r w:rsidRPr="001D6728">
        <w:rPr>
          <w:sz w:val="24"/>
          <w:szCs w:val="24"/>
        </w:rPr>
        <w:t xml:space="preserve">, 2020). Within e-commerce cybersecurity, these approaches facilitate shared fraud-detection and anomaly-classification models among payment gateways, logistics providers, and merchants. Such collaborative intelligence has been shown to reduce false positives in fraud detection by up to 28 percent across multi-platform environments </w:t>
      </w:r>
      <w:r w:rsidRPr="001D6728">
        <w:rPr>
          <w:rFonts w:eastAsia="Times New Roman"/>
          <w:sz w:val="24"/>
          <w:szCs w:val="24"/>
        </w:rPr>
        <w:t>(</w:t>
      </w:r>
      <w:proofErr w:type="spellStart"/>
      <w:r w:rsidRPr="001D6728">
        <w:rPr>
          <w:rFonts w:eastAsia="Times New Roman"/>
          <w:sz w:val="24"/>
          <w:szCs w:val="24"/>
        </w:rPr>
        <w:t>Umakor</w:t>
      </w:r>
      <w:proofErr w:type="spellEnd"/>
      <w:r w:rsidRPr="001D6728">
        <w:rPr>
          <w:rFonts w:eastAsia="Times New Roman"/>
          <w:sz w:val="24"/>
          <w:szCs w:val="24"/>
        </w:rPr>
        <w:t xml:space="preserve"> et al., 2025).</w:t>
      </w:r>
    </w:p>
    <w:p w14:paraId="00000070" w14:textId="77777777" w:rsidR="00FA2C7A" w:rsidRPr="001D6728" w:rsidRDefault="008E6F5F" w:rsidP="003D6F2D">
      <w:pPr>
        <w:spacing w:before="240" w:after="240" w:line="360" w:lineRule="auto"/>
        <w:jc w:val="both"/>
        <w:rPr>
          <w:sz w:val="24"/>
          <w:szCs w:val="24"/>
        </w:rPr>
      </w:pPr>
      <w:r w:rsidRPr="001D6728">
        <w:rPr>
          <w:sz w:val="24"/>
          <w:szCs w:val="24"/>
        </w:rPr>
        <w:lastRenderedPageBreak/>
        <w:t xml:space="preserve">Despite its promise, federated scaling presents operational and regulatory challenges. Data heterogeneity, model synchronization latency, and uneven computational capacity can hinder performance. Moreover, aligning privacy mechanisms with emerging frameworks such as the EU AI Act (2024) and the Nigerian Data Protection Act (NDPA, 2023) requires careful auditing and governance integration, especially as the NDPA recommends federated learning and other privacy-preserving techniques to minimize exposure of raw personal data in AI deployments </w:t>
      </w:r>
      <w:r w:rsidRPr="001D6728">
        <w:rPr>
          <w:rFonts w:eastAsia="Times New Roman"/>
          <w:sz w:val="24"/>
          <w:szCs w:val="24"/>
        </w:rPr>
        <w:t>(European Union, 2024</w:t>
      </w:r>
      <w:r w:rsidRPr="001D6728">
        <w:rPr>
          <w:sz w:val="24"/>
          <w:szCs w:val="24"/>
        </w:rPr>
        <w:t>; ALF, 2024). Implementing secure aggregation, homomorphic encryption, and blockchain-based audit trails can further enhance transparency and traceability (</w:t>
      </w:r>
      <w:proofErr w:type="spellStart"/>
      <w:r w:rsidRPr="001D6728">
        <w:rPr>
          <w:sz w:val="24"/>
          <w:szCs w:val="24"/>
        </w:rPr>
        <w:t>Alabdulatif</w:t>
      </w:r>
      <w:proofErr w:type="spellEnd"/>
      <w:r w:rsidRPr="001D6728">
        <w:rPr>
          <w:sz w:val="24"/>
          <w:szCs w:val="24"/>
        </w:rPr>
        <w:t>, 2025).</w:t>
      </w:r>
    </w:p>
    <w:p w14:paraId="00000071" w14:textId="77777777" w:rsidR="00FA2C7A" w:rsidRPr="001D6728" w:rsidRDefault="008E6F5F" w:rsidP="003D6F2D">
      <w:pPr>
        <w:spacing w:before="240" w:after="240" w:line="360" w:lineRule="auto"/>
        <w:jc w:val="both"/>
        <w:rPr>
          <w:sz w:val="24"/>
          <w:szCs w:val="24"/>
        </w:rPr>
      </w:pPr>
      <w:r w:rsidRPr="001D6728">
        <w:rPr>
          <w:sz w:val="24"/>
          <w:szCs w:val="24"/>
        </w:rPr>
        <w:t>Ultimately, privacy-preserving collaboration constitutes a critical pillar of scalable ML security. It bridges data protection with shared intelligence, enabling e-commerce ecosystems to expand cyber resilience without compromising compliance or consumer trust.</w:t>
      </w:r>
    </w:p>
    <w:p w14:paraId="00000073" w14:textId="77777777" w:rsidR="00FA2C7A" w:rsidRPr="001D6728" w:rsidRDefault="008E6F5F" w:rsidP="003D6F2D">
      <w:pPr>
        <w:pStyle w:val="Heading2"/>
        <w:keepNext w:val="0"/>
        <w:keepLines w:val="0"/>
        <w:spacing w:after="240" w:line="360" w:lineRule="auto"/>
        <w:jc w:val="both"/>
        <w:rPr>
          <w:b/>
          <w:sz w:val="24"/>
          <w:szCs w:val="24"/>
        </w:rPr>
      </w:pPr>
      <w:bookmarkStart w:id="7" w:name="_89ktyo9r7gah" w:colFirst="0" w:colLast="0"/>
      <w:bookmarkEnd w:id="7"/>
      <w:r w:rsidRPr="001D6728">
        <w:rPr>
          <w:b/>
          <w:sz w:val="24"/>
          <w:szCs w:val="24"/>
        </w:rPr>
        <w:t>Theoretical Foundation and Proposed Framework (ML-SF)</w:t>
      </w:r>
    </w:p>
    <w:p w14:paraId="00000074" w14:textId="77777777" w:rsidR="00FA2C7A" w:rsidRPr="001D6728" w:rsidRDefault="008E6F5F" w:rsidP="003D6F2D">
      <w:pPr>
        <w:spacing w:before="240" w:after="240" w:line="360" w:lineRule="auto"/>
        <w:jc w:val="both"/>
        <w:rPr>
          <w:sz w:val="24"/>
          <w:szCs w:val="24"/>
        </w:rPr>
      </w:pPr>
      <w:r w:rsidRPr="001D6728">
        <w:rPr>
          <w:sz w:val="24"/>
          <w:szCs w:val="24"/>
        </w:rPr>
        <w:t>The design of the Machine Learning Scaling Framework (ML-SF) rests on a multi-theoretical foundation that integrates the Unified Theory of Acceptance and Use of Technology (UTAUT), the Technology–Organization–Environment (TOE) framework, and Dynamic Capabilities Theory (DCT). This integration provides a holistic understanding of how e-commerce organizations can move beyond adoption to achieve sustainable scaling of machine learning (ML) for cybersecurity.</w:t>
      </w:r>
    </w:p>
    <w:p w14:paraId="00000075" w14:textId="77777777" w:rsidR="00FA2C7A" w:rsidRPr="001D6728" w:rsidRDefault="008E6F5F" w:rsidP="003D6F2D">
      <w:pPr>
        <w:spacing w:before="240" w:after="240" w:line="360" w:lineRule="auto"/>
        <w:jc w:val="both"/>
        <w:rPr>
          <w:sz w:val="24"/>
          <w:szCs w:val="24"/>
        </w:rPr>
      </w:pPr>
      <w:r w:rsidRPr="001D6728">
        <w:rPr>
          <w:sz w:val="24"/>
          <w:szCs w:val="24"/>
        </w:rPr>
        <w:t>The UTAUT model (Venkatesh et al., 2003) provides the behavioral micro-foundations of technological acceptance. Constructs such as performance expectancy, effort expectancy, social influence, and facilitating conditions explain how individuals and teams perceive and engage with ML systems (Xue et al., 2024). However, in post-adoption contexts, these constructs evolve into capability dimensions that sustain organizational learning and model reliability (Dwivedi et al., 2020). Thus, UTAUT explains the human behavioral readiness that underpins the early phases of scaling (Xue et al., 2024).</w:t>
      </w:r>
    </w:p>
    <w:p w14:paraId="00000076" w14:textId="77777777" w:rsidR="00FA2C7A" w:rsidRPr="001D6728" w:rsidRDefault="008E6F5F" w:rsidP="003D6F2D">
      <w:pPr>
        <w:spacing w:before="240" w:after="240" w:line="360" w:lineRule="auto"/>
        <w:jc w:val="both"/>
        <w:rPr>
          <w:sz w:val="24"/>
          <w:szCs w:val="24"/>
        </w:rPr>
      </w:pPr>
      <w:r w:rsidRPr="001D6728">
        <w:rPr>
          <w:sz w:val="24"/>
          <w:szCs w:val="24"/>
        </w:rPr>
        <w:lastRenderedPageBreak/>
        <w:t>Complementing this, the TOE framework (</w:t>
      </w:r>
      <w:proofErr w:type="spellStart"/>
      <w:r w:rsidRPr="001D6728">
        <w:rPr>
          <w:sz w:val="24"/>
          <w:szCs w:val="24"/>
        </w:rPr>
        <w:t>Tornatzky</w:t>
      </w:r>
      <w:proofErr w:type="spellEnd"/>
      <w:r w:rsidRPr="001D6728">
        <w:rPr>
          <w:sz w:val="24"/>
          <w:szCs w:val="24"/>
        </w:rPr>
        <w:t xml:space="preserve"> &amp; Fleischer, original TOE source) adds meso-level structure by emphasizing how technological infrastructure, organizational resources, and environmental pressures shape digital transformation. For scaling ML, TOE captures the role of governance, institutional support, and compliance regimes that either enable or constrain implementation. Within cybersecurity, these elements translate to infrastructure optimization, leadership alignment, and adherence to evolving data-protection mandates (Kaur et al., 2025).</w:t>
      </w:r>
    </w:p>
    <w:p w14:paraId="00000077" w14:textId="77777777" w:rsidR="00FA2C7A" w:rsidRPr="001D6728" w:rsidRDefault="008E6F5F" w:rsidP="003D6F2D">
      <w:pPr>
        <w:spacing w:before="240" w:after="240" w:line="360" w:lineRule="auto"/>
        <w:jc w:val="both"/>
        <w:rPr>
          <w:sz w:val="24"/>
          <w:szCs w:val="24"/>
        </w:rPr>
      </w:pPr>
      <w:r w:rsidRPr="001D6728">
        <w:rPr>
          <w:sz w:val="24"/>
          <w:szCs w:val="24"/>
        </w:rPr>
        <w:t xml:space="preserve">Finally, Dynamic Capabilities Theory </w:t>
      </w:r>
      <w:r w:rsidRPr="001D6728">
        <w:rPr>
          <w:rFonts w:eastAsia="Times New Roman"/>
          <w:sz w:val="24"/>
          <w:szCs w:val="24"/>
        </w:rPr>
        <w:t>(</w:t>
      </w:r>
      <w:proofErr w:type="spellStart"/>
      <w:r w:rsidRPr="001D6728">
        <w:rPr>
          <w:rFonts w:eastAsia="Times New Roman"/>
          <w:sz w:val="24"/>
          <w:szCs w:val="24"/>
        </w:rPr>
        <w:t>Selgas-Cors</w:t>
      </w:r>
      <w:proofErr w:type="spellEnd"/>
      <w:r w:rsidRPr="001D6728">
        <w:rPr>
          <w:rFonts w:eastAsia="Times New Roman"/>
          <w:sz w:val="24"/>
          <w:szCs w:val="24"/>
        </w:rPr>
        <w:t xml:space="preserve"> &amp; </w:t>
      </w:r>
      <w:proofErr w:type="spellStart"/>
      <w:r w:rsidRPr="001D6728">
        <w:rPr>
          <w:rFonts w:eastAsia="Times New Roman"/>
          <w:sz w:val="24"/>
          <w:szCs w:val="24"/>
        </w:rPr>
        <w:t>Thiébaut</w:t>
      </w:r>
      <w:proofErr w:type="spellEnd"/>
      <w:r w:rsidRPr="001D6728">
        <w:rPr>
          <w:rFonts w:eastAsia="Times New Roman"/>
          <w:sz w:val="24"/>
          <w:szCs w:val="24"/>
        </w:rPr>
        <w:t>, 2025)</w:t>
      </w:r>
      <w:r w:rsidRPr="001D6728">
        <w:rPr>
          <w:sz w:val="24"/>
          <w:szCs w:val="24"/>
        </w:rPr>
        <w:t xml:space="preserve"> offers a macro-level explanation of continuous renewal. It focuses on an organization’s ability to sense, seize, and reconfigure resources to respond to changing threats and technologies. In ML-driven cybersecurity, these dynamic capabilities manifest through adaptive data pipelines, iterative model retraining, and real-time learning feedback loops </w:t>
      </w:r>
      <w:r w:rsidRPr="001D6728">
        <w:rPr>
          <w:rFonts w:eastAsia="Times New Roman"/>
          <w:sz w:val="24"/>
          <w:szCs w:val="24"/>
        </w:rPr>
        <w:t>(</w:t>
      </w:r>
      <w:proofErr w:type="spellStart"/>
      <w:r w:rsidRPr="001D6728">
        <w:rPr>
          <w:rFonts w:eastAsia="Times New Roman"/>
          <w:sz w:val="24"/>
          <w:szCs w:val="24"/>
        </w:rPr>
        <w:t>Selgas-Cors</w:t>
      </w:r>
      <w:proofErr w:type="spellEnd"/>
      <w:r w:rsidRPr="001D6728">
        <w:rPr>
          <w:rFonts w:eastAsia="Times New Roman"/>
          <w:sz w:val="24"/>
          <w:szCs w:val="24"/>
        </w:rPr>
        <w:t xml:space="preserve"> &amp; </w:t>
      </w:r>
      <w:proofErr w:type="spellStart"/>
      <w:r w:rsidRPr="001D6728">
        <w:rPr>
          <w:rFonts w:eastAsia="Times New Roman"/>
          <w:sz w:val="24"/>
          <w:szCs w:val="24"/>
        </w:rPr>
        <w:t>Thiébaut</w:t>
      </w:r>
      <w:proofErr w:type="spellEnd"/>
      <w:r w:rsidRPr="001D6728">
        <w:rPr>
          <w:rFonts w:eastAsia="Times New Roman"/>
          <w:sz w:val="24"/>
          <w:szCs w:val="24"/>
        </w:rPr>
        <w:t>, 2025)</w:t>
      </w:r>
      <w:r w:rsidRPr="001D6728">
        <w:rPr>
          <w:sz w:val="24"/>
          <w:szCs w:val="24"/>
        </w:rPr>
        <w:t>. DCT thus anchors the framework’s capacity for ongoing resilience and innovation.</w:t>
      </w:r>
    </w:p>
    <w:p w14:paraId="00000078" w14:textId="26E49EF7" w:rsidR="00FA2C7A" w:rsidRPr="001D6728" w:rsidRDefault="008E6F5F" w:rsidP="003D6F2D">
      <w:pPr>
        <w:spacing w:before="240" w:after="240" w:line="360" w:lineRule="auto"/>
        <w:jc w:val="both"/>
        <w:rPr>
          <w:sz w:val="24"/>
          <w:szCs w:val="24"/>
        </w:rPr>
      </w:pPr>
      <w:r w:rsidRPr="001D6728">
        <w:rPr>
          <w:sz w:val="24"/>
          <w:szCs w:val="24"/>
        </w:rPr>
        <w:t xml:space="preserve">By synthesizing these theories, the ML-SF conceptualizes scaling as a socio-technical continuum comprising five interdependent pillars: (1) governance alignment, (2) infrastructure optimization, (3) data ecosystem readiness, (4) continuous learning loops, and (5) ethical oversight and privacy assurance. Each pillar corresponds to one or more </w:t>
      </w:r>
      <w:r w:rsidR="008505F6" w:rsidRPr="001D6728">
        <w:rPr>
          <w:sz w:val="24"/>
          <w:szCs w:val="24"/>
        </w:rPr>
        <w:t xml:space="preserve">theoretical domains, as </w:t>
      </w:r>
      <w:r w:rsidRPr="001D6728">
        <w:rPr>
          <w:sz w:val="24"/>
          <w:szCs w:val="24"/>
        </w:rPr>
        <w:t>UTAUT informs behavioral readiness; TOE situates technological and organizational structure; and DCT embeds adaptability and transformation.</w:t>
      </w:r>
    </w:p>
    <w:p w14:paraId="00000079" w14:textId="77777777" w:rsidR="00FA2C7A" w:rsidRPr="001D6728" w:rsidRDefault="008E6F5F" w:rsidP="003D6F2D">
      <w:pPr>
        <w:spacing w:before="240" w:after="240" w:line="360" w:lineRule="auto"/>
        <w:jc w:val="both"/>
        <w:rPr>
          <w:sz w:val="24"/>
          <w:szCs w:val="24"/>
        </w:rPr>
      </w:pPr>
      <w:r w:rsidRPr="001D6728">
        <w:rPr>
          <w:sz w:val="24"/>
          <w:szCs w:val="24"/>
        </w:rPr>
        <w:t>The resulting framework provides a strategic roadmap for e-commerce firms to institutionalize ML-based cybersecurity. It transcends the traditional adoption lens by linking human acceptance, organizational structure, and adaptive capability into a unified model of scalable, ethical, and resilient ML operations.</w:t>
      </w:r>
    </w:p>
    <w:p w14:paraId="613C1FB3" w14:textId="4283A869" w:rsidR="00035B93" w:rsidRPr="001D6728" w:rsidRDefault="00091FD1" w:rsidP="003D6F2D">
      <w:pPr>
        <w:pStyle w:val="Heading1"/>
        <w:spacing w:after="240" w:line="360" w:lineRule="auto"/>
        <w:jc w:val="both"/>
        <w:rPr>
          <w:b/>
          <w:sz w:val="24"/>
          <w:szCs w:val="24"/>
        </w:rPr>
      </w:pPr>
      <w:r>
        <w:rPr>
          <w:b/>
          <w:sz w:val="24"/>
          <w:szCs w:val="24"/>
        </w:rPr>
        <w:t>3.</w:t>
      </w:r>
      <w:r>
        <w:rPr>
          <w:b/>
          <w:sz w:val="24"/>
          <w:szCs w:val="24"/>
        </w:rPr>
        <w:tab/>
      </w:r>
      <w:r w:rsidR="00FC5145" w:rsidRPr="001D6728">
        <w:rPr>
          <w:b/>
          <w:sz w:val="24"/>
          <w:szCs w:val="24"/>
        </w:rPr>
        <w:t>Methods</w:t>
      </w:r>
    </w:p>
    <w:p w14:paraId="557C024D" w14:textId="77777777" w:rsidR="00ED4EAE" w:rsidRPr="001D6728" w:rsidRDefault="00035B93" w:rsidP="003D6F2D">
      <w:pPr>
        <w:spacing w:after="240" w:line="360" w:lineRule="auto"/>
        <w:jc w:val="both"/>
        <w:rPr>
          <w:sz w:val="24"/>
          <w:szCs w:val="24"/>
        </w:rPr>
      </w:pPr>
      <w:r w:rsidRPr="001D6728">
        <w:rPr>
          <w:sz w:val="24"/>
          <w:szCs w:val="24"/>
        </w:rPr>
        <w:t>Three open datasets were used: (</w:t>
      </w:r>
      <w:proofErr w:type="spellStart"/>
      <w:r w:rsidRPr="001D6728">
        <w:rPr>
          <w:sz w:val="24"/>
          <w:szCs w:val="24"/>
        </w:rPr>
        <w:t>i</w:t>
      </w:r>
      <w:proofErr w:type="spellEnd"/>
      <w:r w:rsidRPr="001D6728">
        <w:rPr>
          <w:sz w:val="24"/>
          <w:szCs w:val="24"/>
        </w:rPr>
        <w:t xml:space="preserve">) CSE-CIC-IDS2018 enterprise network flows with labeled attacks and 80+ features; (ii) the AI Incident Database (AIID) with structured, taxonomy-coded incidents; (iii) CIC-DDoS2019 labeled DDoS traffic (CSV/PCAP). All </w:t>
      </w:r>
      <w:r w:rsidRPr="001D6728">
        <w:rPr>
          <w:sz w:val="24"/>
          <w:szCs w:val="24"/>
        </w:rPr>
        <w:lastRenderedPageBreak/>
        <w:t xml:space="preserve">identifiers were hashed; timestamps were aligned to UTC; duplicates were removed by 5-tuple+timestamp. Continuous variables were </w:t>
      </w:r>
      <w:proofErr w:type="spellStart"/>
      <w:r w:rsidRPr="001D6728">
        <w:rPr>
          <w:sz w:val="24"/>
          <w:szCs w:val="24"/>
        </w:rPr>
        <w:t>winsorized</w:t>
      </w:r>
      <w:proofErr w:type="spellEnd"/>
      <w:r w:rsidRPr="001D6728">
        <w:rPr>
          <w:sz w:val="24"/>
          <w:szCs w:val="24"/>
        </w:rPr>
        <w:t xml:space="preserve"> at the 1st/99th percentiles. </w:t>
      </w:r>
    </w:p>
    <w:p w14:paraId="3961908E" w14:textId="77777777" w:rsidR="00ED4EAE" w:rsidRPr="001D6728" w:rsidRDefault="00ED4EAE" w:rsidP="003D6F2D">
      <w:pPr>
        <w:spacing w:after="240" w:line="360" w:lineRule="auto"/>
        <w:jc w:val="both"/>
        <w:rPr>
          <w:sz w:val="24"/>
          <w:szCs w:val="24"/>
        </w:rPr>
      </w:pPr>
      <w:r w:rsidRPr="001D6728">
        <w:rPr>
          <w:sz w:val="24"/>
          <w:szCs w:val="24"/>
        </w:rPr>
        <w:t>Features were standardized:</w:t>
      </w:r>
    </w:p>
    <w:p w14:paraId="41DFABB5" w14:textId="77777777" w:rsidR="00ED4EAE" w:rsidRPr="001D6728" w:rsidRDefault="004D2ED6" w:rsidP="003D6F2D">
      <w:pPr>
        <w:spacing w:after="240" w:line="360" w:lineRule="auto"/>
        <w:ind w:left="2880" w:firstLine="720"/>
        <w:jc w:val="both"/>
        <w:rPr>
          <w:sz w:val="24"/>
          <w:szCs w:val="24"/>
        </w:rPr>
      </w:pP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x</m:t>
                </m:r>
              </m:sub>
            </m:sSub>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x</m:t>
                </m:r>
              </m:sub>
            </m:sSub>
          </m:den>
        </m:f>
      </m:oMath>
      <w:r w:rsidR="00035B93" w:rsidRPr="001D6728">
        <w:rPr>
          <w:sz w:val="24"/>
          <w:szCs w:val="24"/>
        </w:rPr>
        <w:t xml:space="preserve">. </w:t>
      </w:r>
    </w:p>
    <w:p w14:paraId="3BA3A1E0" w14:textId="519E52EA" w:rsidR="00035B93" w:rsidRPr="001D6728" w:rsidRDefault="00ED4EAE" w:rsidP="003D6F2D">
      <w:pPr>
        <w:spacing w:after="240" w:line="360" w:lineRule="auto"/>
        <w:jc w:val="both"/>
        <w:rPr>
          <w:sz w:val="24"/>
          <w:szCs w:val="24"/>
        </w:rPr>
      </w:pPr>
      <w:r w:rsidRPr="001D6728">
        <w:rPr>
          <w:sz w:val="24"/>
          <w:szCs w:val="24"/>
        </w:rPr>
        <w:br/>
      </w:r>
      <w:r w:rsidR="00035B93" w:rsidRPr="001D6728">
        <w:rPr>
          <w:sz w:val="24"/>
          <w:szCs w:val="24"/>
        </w:rPr>
        <w:t>Train/validation/test splits respected chronology to prevent leakage.</w:t>
      </w:r>
    </w:p>
    <w:p w14:paraId="0F85F0D6" w14:textId="77777777" w:rsidR="00035B93" w:rsidRPr="001D6728" w:rsidRDefault="00035B93" w:rsidP="003D6F2D">
      <w:pPr>
        <w:spacing w:after="240" w:line="360" w:lineRule="auto"/>
        <w:jc w:val="both"/>
        <w:rPr>
          <w:sz w:val="24"/>
          <w:szCs w:val="24"/>
        </w:rPr>
      </w:pPr>
      <w:r w:rsidRPr="001D6728">
        <w:rPr>
          <w:b/>
          <w:sz w:val="24"/>
          <w:szCs w:val="24"/>
        </w:rPr>
        <w:t xml:space="preserve">Objective 1 (post-adoption challenges): rolling-window drift evaluation with ADWIN. </w:t>
      </w:r>
    </w:p>
    <w:p w14:paraId="22A1B7DF" w14:textId="31D9F12E" w:rsidR="005120B3" w:rsidRPr="001D6728" w:rsidRDefault="00035B93" w:rsidP="003D6F2D">
      <w:pPr>
        <w:spacing w:after="240" w:line="360" w:lineRule="auto"/>
        <w:jc w:val="both"/>
        <w:rPr>
          <w:sz w:val="24"/>
          <w:szCs w:val="24"/>
        </w:rPr>
      </w:pPr>
      <w:r w:rsidRPr="001D6728">
        <w:rPr>
          <w:sz w:val="24"/>
          <w:szCs w:val="24"/>
        </w:rPr>
        <w:t xml:space="preserve">A gradient-boosted tree classifier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θ</m:t>
            </m:r>
          </m:sub>
        </m:sSub>
      </m:oMath>
      <w:r w:rsidRPr="001D6728">
        <w:rPr>
          <w:sz w:val="24"/>
          <w:szCs w:val="24"/>
        </w:rPr>
        <w:t xml:space="preserve"> was trained on window W1 and evaluated on consecutive windows W</w:t>
      </w:r>
      <w:proofErr w:type="gramStart"/>
      <w:r w:rsidR="005120B3" w:rsidRPr="001D6728">
        <w:rPr>
          <w:sz w:val="24"/>
          <w:szCs w:val="24"/>
        </w:rPr>
        <w:t>2,…</w:t>
      </w:r>
      <w:proofErr w:type="gramEnd"/>
      <w:r w:rsidR="005120B3" w:rsidRPr="001D6728">
        <w:rPr>
          <w:sz w:val="24"/>
          <w:szCs w:val="24"/>
        </w:rPr>
        <w:t>,WT.</w:t>
      </w:r>
      <w:r w:rsidRPr="001D6728">
        <w:rPr>
          <w:sz w:val="24"/>
          <w:szCs w:val="24"/>
        </w:rPr>
        <w:t xml:space="preserve"> For each window t, performance and operations were logged:</w:t>
      </w:r>
    </w:p>
    <w:p w14:paraId="1106440F" w14:textId="77777777" w:rsidR="005120B3" w:rsidRPr="001D6728" w:rsidRDefault="005120B3" w:rsidP="003D6F2D">
      <w:pPr>
        <w:spacing w:after="240" w:line="360" w:lineRule="auto"/>
        <w:jc w:val="both"/>
        <w:rPr>
          <w:sz w:val="24"/>
          <w:szCs w:val="24"/>
        </w:rPr>
      </w:pPr>
    </w:p>
    <w:p w14:paraId="653E9A83" w14:textId="37F0FA6E" w:rsidR="005120B3" w:rsidRPr="001D6728" w:rsidRDefault="005120B3" w:rsidP="003D6F2D">
      <w:pPr>
        <w:spacing w:after="240" w:line="360" w:lineRule="auto"/>
        <w:ind w:left="2880" w:firstLine="720"/>
        <w:jc w:val="both"/>
        <w:rPr>
          <w:sz w:val="24"/>
          <w:szCs w:val="24"/>
        </w:rPr>
      </w:pPr>
      <m:oMath>
        <m:r>
          <w:rPr>
            <w:rFonts w:ascii="Cambria Math" w:hAnsi="Cambria Math"/>
            <w:sz w:val="24"/>
            <w:szCs w:val="24"/>
          </w:rPr>
          <m:t>Precision=</m:t>
        </m:r>
        <m:f>
          <m:fPr>
            <m:ctrlPr>
              <w:rPr>
                <w:rFonts w:ascii="Cambria Math" w:hAnsi="Cambria Math"/>
                <w:i/>
                <w:sz w:val="24"/>
                <w:szCs w:val="24"/>
              </w:rPr>
            </m:ctrlPr>
          </m:fPr>
          <m:num>
            <m:r>
              <w:rPr>
                <w:rFonts w:ascii="Cambria Math" w:hAnsi="Cambria Math"/>
                <w:sz w:val="24"/>
                <w:szCs w:val="24"/>
              </w:rPr>
              <m:t>TP</m:t>
            </m:r>
          </m:num>
          <m:den>
            <m:r>
              <w:rPr>
                <w:rFonts w:ascii="Cambria Math" w:hAnsi="Cambria Math"/>
                <w:sz w:val="24"/>
                <w:szCs w:val="24"/>
              </w:rPr>
              <m:t>TP+FP</m:t>
            </m:r>
          </m:den>
        </m:f>
      </m:oMath>
      <w:r w:rsidR="00035B93" w:rsidRPr="001D6728">
        <w:rPr>
          <w:sz w:val="24"/>
          <w:szCs w:val="24"/>
        </w:rPr>
        <w:t>;</w:t>
      </w:r>
    </w:p>
    <w:p w14:paraId="74987D5A" w14:textId="386DBED4" w:rsidR="005120B3" w:rsidRPr="001D6728" w:rsidRDefault="00035B93" w:rsidP="003D6F2D">
      <w:pPr>
        <w:spacing w:after="240" w:line="360" w:lineRule="auto"/>
        <w:jc w:val="both"/>
        <w:rPr>
          <w:sz w:val="24"/>
          <w:szCs w:val="24"/>
        </w:rPr>
      </w:pPr>
      <w:r w:rsidRPr="001D6728">
        <w:rPr>
          <w:sz w:val="24"/>
          <w:szCs w:val="24"/>
        </w:rPr>
        <w:t xml:space="preserve"> </w:t>
      </w:r>
    </w:p>
    <w:p w14:paraId="423CDCB4" w14:textId="78FFDB5F" w:rsidR="005120B3" w:rsidRPr="001D6728" w:rsidRDefault="005120B3" w:rsidP="003D6F2D">
      <w:pPr>
        <w:spacing w:after="240" w:line="360" w:lineRule="auto"/>
        <w:ind w:left="2880" w:firstLine="720"/>
        <w:jc w:val="both"/>
        <w:rPr>
          <w:sz w:val="24"/>
          <w:szCs w:val="24"/>
        </w:rPr>
      </w:pPr>
      <m:oMathPara>
        <m:oMath>
          <m:r>
            <w:rPr>
              <w:rFonts w:ascii="Cambria Math" w:hAnsi="Cambria Math"/>
              <w:sz w:val="24"/>
              <w:szCs w:val="24"/>
            </w:rPr>
            <m:t>Recall=</m:t>
          </m:r>
          <m:f>
            <m:fPr>
              <m:ctrlPr>
                <w:rPr>
                  <w:rFonts w:ascii="Cambria Math" w:hAnsi="Cambria Math"/>
                  <w:i/>
                  <w:sz w:val="24"/>
                  <w:szCs w:val="24"/>
                </w:rPr>
              </m:ctrlPr>
            </m:fPr>
            <m:num>
              <m:r>
                <w:rPr>
                  <w:rFonts w:ascii="Cambria Math" w:hAnsi="Cambria Math"/>
                  <w:sz w:val="24"/>
                  <w:szCs w:val="24"/>
                </w:rPr>
                <m:t>TP</m:t>
              </m:r>
            </m:num>
            <m:den>
              <m:r>
                <w:rPr>
                  <w:rFonts w:ascii="Cambria Math" w:hAnsi="Cambria Math"/>
                  <w:sz w:val="24"/>
                  <w:szCs w:val="24"/>
                </w:rPr>
                <m:t>TP+FN</m:t>
              </m:r>
            </m:den>
          </m:f>
          <m:r>
            <w:rPr>
              <w:rFonts w:ascii="Cambria Math" w:hAnsi="Cambria Math"/>
              <w:sz w:val="24"/>
              <w:szCs w:val="24"/>
            </w:rPr>
            <m:t xml:space="preserve">; </m:t>
          </m:r>
        </m:oMath>
      </m:oMathPara>
    </w:p>
    <w:p w14:paraId="749B7D0B" w14:textId="10438213" w:rsidR="005120B3" w:rsidRPr="001D6728" w:rsidRDefault="005120B3" w:rsidP="003D6F2D">
      <w:pPr>
        <w:spacing w:after="240" w:line="360" w:lineRule="auto"/>
        <w:jc w:val="both"/>
        <w:rPr>
          <w:sz w:val="24"/>
          <w:szCs w:val="24"/>
        </w:rPr>
      </w:pPr>
      <m:oMathPara>
        <m:oMath>
          <m:r>
            <w:rPr>
              <w:rFonts w:ascii="Cambria Math" w:hAnsi="Cambria Math"/>
              <w:sz w:val="24"/>
              <w:szCs w:val="24"/>
            </w:rPr>
            <m:t>F1=2*</m:t>
          </m:r>
          <m:f>
            <m:fPr>
              <m:ctrlPr>
                <w:rPr>
                  <w:rFonts w:ascii="Cambria Math" w:hAnsi="Cambria Math"/>
                  <w:i/>
                  <w:sz w:val="24"/>
                  <w:szCs w:val="24"/>
                </w:rPr>
              </m:ctrlPr>
            </m:fPr>
            <m:num>
              <m:r>
                <w:rPr>
                  <w:rFonts w:ascii="Cambria Math" w:hAnsi="Cambria Math"/>
                  <w:sz w:val="24"/>
                  <w:szCs w:val="24"/>
                </w:rPr>
                <m:t>Precision*Recall</m:t>
              </m:r>
            </m:num>
            <m:den>
              <m:r>
                <w:rPr>
                  <w:rFonts w:ascii="Cambria Math" w:hAnsi="Cambria Math"/>
                  <w:sz w:val="24"/>
                  <w:szCs w:val="24"/>
                </w:rPr>
                <m:t>Precision+Recall</m:t>
              </m:r>
            </m:den>
          </m:f>
          <m:r>
            <w:rPr>
              <w:rFonts w:ascii="Cambria Math" w:hAnsi="Cambria Math"/>
              <w:sz w:val="24"/>
              <w:szCs w:val="24"/>
            </w:rPr>
            <m:t xml:space="preserve">. </m:t>
          </m:r>
        </m:oMath>
      </m:oMathPara>
    </w:p>
    <w:p w14:paraId="38C20557" w14:textId="4E36BEB5" w:rsidR="005120B3" w:rsidRPr="001D6728" w:rsidRDefault="005120B3" w:rsidP="003D6F2D">
      <w:pPr>
        <w:spacing w:after="240" w:line="360" w:lineRule="auto"/>
        <w:ind w:left="2160" w:firstLine="720"/>
        <w:jc w:val="both"/>
        <w:rPr>
          <w:sz w:val="24"/>
          <w:szCs w:val="24"/>
        </w:rPr>
      </w:pPr>
      <m:oMath>
        <m:r>
          <w:rPr>
            <w:rFonts w:ascii="Cambria Math" w:hAnsi="Cambria Math"/>
            <w:sz w:val="24"/>
            <w:szCs w:val="24"/>
          </w:rPr>
          <m:t>False-positive rate FPR=</m:t>
        </m:r>
        <m:f>
          <m:fPr>
            <m:ctrlPr>
              <w:rPr>
                <w:rFonts w:ascii="Cambria Math" w:hAnsi="Cambria Math"/>
                <w:i/>
                <w:sz w:val="24"/>
                <w:szCs w:val="24"/>
              </w:rPr>
            </m:ctrlPr>
          </m:fPr>
          <m:num>
            <m:r>
              <w:rPr>
                <w:rFonts w:ascii="Cambria Math" w:hAnsi="Cambria Math"/>
                <w:sz w:val="24"/>
                <w:szCs w:val="24"/>
              </w:rPr>
              <m:t>FP</m:t>
            </m:r>
          </m:num>
          <m:den>
            <m:r>
              <w:rPr>
                <w:rFonts w:ascii="Cambria Math" w:hAnsi="Cambria Math"/>
                <w:sz w:val="24"/>
                <w:szCs w:val="24"/>
              </w:rPr>
              <m:t>FP+TN</m:t>
            </m:r>
          </m:den>
        </m:f>
        <m:r>
          <w:rPr>
            <w:rFonts w:ascii="Cambria Math" w:hAnsi="Cambria Math"/>
            <w:sz w:val="24"/>
            <w:szCs w:val="24"/>
          </w:rPr>
          <m:t>;</m:t>
        </m:r>
      </m:oMath>
      <w:r w:rsidR="00035B93" w:rsidRPr="001D6728">
        <w:rPr>
          <w:sz w:val="24"/>
          <w:szCs w:val="24"/>
        </w:rPr>
        <w:t xml:space="preserve"> </w:t>
      </w:r>
    </w:p>
    <w:p w14:paraId="253EF687" w14:textId="77777777" w:rsidR="005120B3" w:rsidRPr="001D6728" w:rsidRDefault="005120B3" w:rsidP="003D6F2D">
      <w:pPr>
        <w:spacing w:after="240" w:line="360" w:lineRule="auto"/>
        <w:ind w:left="2160" w:firstLine="720"/>
        <w:jc w:val="both"/>
        <w:rPr>
          <w:sz w:val="24"/>
          <w:szCs w:val="24"/>
        </w:rPr>
      </w:pPr>
    </w:p>
    <w:p w14:paraId="5E1CDCC6" w14:textId="77777777" w:rsidR="00D565CC" w:rsidRPr="001D6728" w:rsidRDefault="00035B93" w:rsidP="003D6F2D">
      <w:pPr>
        <w:spacing w:after="240" w:line="360" w:lineRule="auto"/>
        <w:jc w:val="both"/>
        <w:rPr>
          <w:sz w:val="24"/>
          <w:szCs w:val="24"/>
        </w:rPr>
      </w:pPr>
      <w:r w:rsidRPr="001D6728">
        <w:rPr>
          <w:sz w:val="24"/>
          <w:szCs w:val="24"/>
        </w:rPr>
        <w:t xml:space="preserve">AUC via trapezoidal ROC integration. </w:t>
      </w:r>
      <m:oMath>
        <m:r>
          <w:rPr>
            <w:rFonts w:ascii="Cambria Math" w:hAnsi="Cambria Math"/>
            <w:sz w:val="24"/>
            <w:szCs w:val="24"/>
          </w:rPr>
          <m:t>Latenc</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p95</m:t>
            </m:r>
          </m:sub>
        </m:sSub>
      </m:oMath>
      <w:r w:rsidRPr="001D6728">
        <w:rPr>
          <w:sz w:val="24"/>
          <w:szCs w:val="24"/>
        </w:rPr>
        <w:t xml:space="preserve"> defined as the 95th percentile of t_infer per event; throughput TPS=Events/Second. </w:t>
      </w:r>
    </w:p>
    <w:p w14:paraId="22ED8788" w14:textId="77777777" w:rsidR="00D565CC" w:rsidRPr="001D6728" w:rsidRDefault="00035B93" w:rsidP="003D6F2D">
      <w:pPr>
        <w:spacing w:after="240" w:line="360" w:lineRule="auto"/>
        <w:jc w:val="both"/>
        <w:rPr>
          <w:sz w:val="24"/>
          <w:szCs w:val="24"/>
        </w:rPr>
      </w:pPr>
      <w:r w:rsidRPr="001D6728">
        <w:rPr>
          <w:sz w:val="24"/>
          <w:szCs w:val="24"/>
        </w:rPr>
        <w:t xml:space="preserve">Degradation relative to baseline: </w:t>
      </w:r>
    </w:p>
    <w:p w14:paraId="6223E976" w14:textId="022B4B5F" w:rsidR="00D565CC" w:rsidRPr="001D6728" w:rsidRDefault="00D565CC" w:rsidP="003D6F2D">
      <w:pPr>
        <w:spacing w:after="240" w:line="360" w:lineRule="auto"/>
        <w:jc w:val="both"/>
        <w:rPr>
          <w:sz w:val="24"/>
          <w:szCs w:val="24"/>
        </w:rPr>
      </w:pPr>
      <m:oMathPara>
        <m:oMath>
          <m:r>
            <w:rPr>
              <w:rFonts w:ascii="Cambria Math" w:hAnsi="Cambria Math"/>
              <w:sz w:val="24"/>
              <w:szCs w:val="24"/>
            </w:rPr>
            <w:lastRenderedPageBreak/>
            <m:t>ΔF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W1</m:t>
                  </m:r>
                </m:sub>
              </m:sSub>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t</m:t>
                  </m:r>
                </m:sub>
              </m:sSub>
            </m:num>
            <m:den>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1</m:t>
                  </m:r>
                </m:e>
                <m:sub>
                  <m:r>
                    <w:rPr>
                      <w:rFonts w:ascii="Cambria Math" w:hAnsi="Cambria Math"/>
                      <w:sz w:val="24"/>
                      <w:szCs w:val="24"/>
                    </w:rPr>
                    <m:t>W1</m:t>
                  </m:r>
                </m:sub>
              </m:sSub>
            </m:den>
          </m:f>
          <m:r>
            <w:rPr>
              <w:rFonts w:ascii="Cambria Math" w:hAnsi="Cambria Math"/>
              <w:sz w:val="24"/>
              <w:szCs w:val="24"/>
            </w:rPr>
            <m:t xml:space="preserve">. </m:t>
          </m:r>
        </m:oMath>
      </m:oMathPara>
    </w:p>
    <w:p w14:paraId="113A0464" w14:textId="77777777" w:rsidR="00C80830" w:rsidRPr="001D6728" w:rsidRDefault="00035B93" w:rsidP="003D6F2D">
      <w:pPr>
        <w:spacing w:after="240" w:line="360" w:lineRule="auto"/>
        <w:jc w:val="both"/>
        <w:rPr>
          <w:sz w:val="24"/>
          <w:szCs w:val="24"/>
        </w:rPr>
      </w:pPr>
      <w:r w:rsidRPr="001D6728">
        <w:rPr>
          <w:sz w:val="24"/>
          <w:szCs w:val="24"/>
        </w:rPr>
        <w:t xml:space="preserve">Drift detection used ADWIN’s </w:t>
      </w:r>
      <w:proofErr w:type="spellStart"/>
      <w:r w:rsidRPr="001D6728">
        <w:rPr>
          <w:sz w:val="24"/>
          <w:szCs w:val="24"/>
        </w:rPr>
        <w:t>Hoeffding</w:t>
      </w:r>
      <w:proofErr w:type="spellEnd"/>
      <w:r w:rsidRPr="001D6728">
        <w:rPr>
          <w:sz w:val="24"/>
          <w:szCs w:val="24"/>
        </w:rPr>
        <w:t xml:space="preserve"> bound. Let μ̂1, μ̂2 be means of pre/post </w:t>
      </w:r>
      <w:proofErr w:type="spellStart"/>
      <w:r w:rsidRPr="001D6728">
        <w:rPr>
          <w:sz w:val="24"/>
          <w:szCs w:val="24"/>
        </w:rPr>
        <w:t>subwindows</w:t>
      </w:r>
      <w:proofErr w:type="spellEnd"/>
      <w:r w:rsidRPr="001D6728">
        <w:rPr>
          <w:sz w:val="24"/>
          <w:szCs w:val="24"/>
        </w:rPr>
        <w:t xml:space="preserve"> with lengths n1, n2, δ</w:t>
      </w:r>
      <w:proofErr w:type="gramStart"/>
      <w:r w:rsidRPr="001D6728">
        <w:rPr>
          <w:rFonts w:ascii="Cambria Math" w:hAnsi="Cambria Math" w:cs="Cambria Math"/>
          <w:sz w:val="24"/>
          <w:szCs w:val="24"/>
        </w:rPr>
        <w:t>∈</w:t>
      </w:r>
      <w:r w:rsidRPr="001D6728">
        <w:rPr>
          <w:sz w:val="24"/>
          <w:szCs w:val="24"/>
        </w:rPr>
        <w:t>(</w:t>
      </w:r>
      <w:proofErr w:type="gramEnd"/>
      <w:r w:rsidRPr="001D6728">
        <w:rPr>
          <w:sz w:val="24"/>
          <w:szCs w:val="24"/>
        </w:rPr>
        <w:t xml:space="preserve">0,1). A change is flagged if |μ̂1-μ̂2|&gt;ε where </w:t>
      </w:r>
    </w:p>
    <w:p w14:paraId="716A0481" w14:textId="6167D907" w:rsidR="00C80830" w:rsidRPr="001D6728" w:rsidRDefault="00C80830" w:rsidP="003D6F2D">
      <w:pPr>
        <w:spacing w:after="240" w:line="360" w:lineRule="auto"/>
        <w:jc w:val="both"/>
        <w:rPr>
          <w:sz w:val="24"/>
          <w:szCs w:val="24"/>
        </w:rPr>
      </w:pPr>
      <m:oMath>
        <m:r>
          <w:rPr>
            <w:rFonts w:ascii="Cambria Math" w:hAnsi="Cambria Math"/>
            <w:sz w:val="24"/>
            <w:szCs w:val="24"/>
          </w:rPr>
          <m:t>ε=</m:t>
        </m:r>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0.5*</m:t>
                </m:r>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4*</m:t>
                        </m:r>
                        <m:f>
                          <m:fPr>
                            <m:ctrlPr>
                              <w:rPr>
                                <w:rFonts w:ascii="Cambria Math" w:hAnsi="Cambria Math"/>
                                <w:i/>
                                <w:sz w:val="24"/>
                                <w:szCs w:val="24"/>
                              </w:rPr>
                            </m:ctrlPr>
                          </m:fPr>
                          <m:num>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n</m:t>
                                    </m:r>
                                  </m:e>
                                </m:d>
                              </m:e>
                            </m:func>
                          </m:num>
                          <m:den>
                            <m:r>
                              <w:rPr>
                                <w:rFonts w:ascii="Cambria Math" w:hAnsi="Cambria Math"/>
                                <w:sz w:val="24"/>
                                <w:szCs w:val="24"/>
                              </w:rPr>
                              <m:t>δ</m:t>
                            </m:r>
                          </m:den>
                        </m:f>
                      </m:e>
                    </m:d>
                  </m:e>
                </m:func>
              </m:e>
            </m:d>
          </m:e>
        </m:rad>
        <m:r>
          <w:rPr>
            <w:rFonts w:ascii="Cambria Math" w:hAnsi="Cambria Math"/>
            <w:sz w:val="24"/>
            <w:szCs w:val="24"/>
          </w:rPr>
          <m:t>*</m:t>
        </m:r>
        <m:rad>
          <m:radPr>
            <m:degHide m:val="1"/>
            <m:ctrlPr>
              <w:rPr>
                <w:rFonts w:ascii="Cambria Math" w:hAnsi="Cambria Math"/>
                <w:i/>
                <w:sz w:val="24"/>
                <w:szCs w:val="24"/>
              </w:rPr>
            </m:ctrlPr>
          </m:radPr>
          <m:deg/>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n1</m:t>
                    </m:r>
                  </m:den>
                </m:f>
              </m:e>
            </m:d>
          </m:e>
        </m:rad>
        <m:r>
          <w:rPr>
            <w:rFonts w:ascii="Cambria Math" w:hAnsi="Cambria Math"/>
            <w:sz w:val="24"/>
            <w:szCs w:val="24"/>
          </w:rPr>
          <m:t>+</m:t>
        </m:r>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0.5*</m:t>
                </m:r>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4*</m:t>
                        </m:r>
                        <m:f>
                          <m:fPr>
                            <m:ctrlPr>
                              <w:rPr>
                                <w:rFonts w:ascii="Cambria Math" w:hAnsi="Cambria Math"/>
                                <w:i/>
                                <w:sz w:val="24"/>
                                <w:szCs w:val="24"/>
                              </w:rPr>
                            </m:ctrlPr>
                          </m:fPr>
                          <m:num>
                            <m:func>
                              <m:funcPr>
                                <m:ctrlPr>
                                  <w:rPr>
                                    <w:rFonts w:ascii="Cambria Math" w:hAnsi="Cambria Math"/>
                                    <w:sz w:val="24"/>
                                    <w:szCs w:val="24"/>
                                  </w:rPr>
                                </m:ctrlPr>
                              </m:funcPr>
                              <m:fName>
                                <m:r>
                                  <m:rPr>
                                    <m:sty m:val="p"/>
                                  </m:rPr>
                                  <w:rPr>
                                    <w:rFonts w:ascii="Cambria Math" w:hAnsi="Cambria Math"/>
                                    <w:sz w:val="24"/>
                                    <w:szCs w:val="24"/>
                                  </w:rPr>
                                  <m:t>ln</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n</m:t>
                                    </m:r>
                                  </m:e>
                                </m:d>
                              </m:e>
                            </m:func>
                          </m:num>
                          <m:den>
                            <m:r>
                              <w:rPr>
                                <w:rFonts w:ascii="Cambria Math" w:hAnsi="Cambria Math"/>
                                <w:sz w:val="24"/>
                                <w:szCs w:val="24"/>
                              </w:rPr>
                              <m:t>δ</m:t>
                            </m:r>
                          </m:den>
                        </m:f>
                      </m:e>
                    </m:d>
                  </m:e>
                </m:func>
              </m:e>
            </m:d>
          </m:e>
        </m:rad>
        <m:r>
          <w:rPr>
            <w:rFonts w:ascii="Cambria Math" w:hAnsi="Cambria Math"/>
            <w:sz w:val="24"/>
            <w:szCs w:val="24"/>
          </w:rPr>
          <m:t>*</m:t>
        </m:r>
        <m:rad>
          <m:radPr>
            <m:degHide m:val="1"/>
            <m:ctrlPr>
              <w:rPr>
                <w:rFonts w:ascii="Cambria Math" w:hAnsi="Cambria Math"/>
                <w:i/>
                <w:sz w:val="24"/>
                <w:szCs w:val="24"/>
              </w:rPr>
            </m:ctrlPr>
          </m:radPr>
          <m:deg/>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n2</m:t>
                    </m:r>
                  </m:den>
                </m:f>
              </m:e>
            </m:d>
          </m:e>
        </m:rad>
        <m:r>
          <w:rPr>
            <w:rFonts w:ascii="Cambria Math" w:hAnsi="Cambria Math"/>
            <w:sz w:val="24"/>
            <w:szCs w:val="24"/>
          </w:rPr>
          <m:t>, n=</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m:t>
        </m:r>
      </m:oMath>
      <w:r w:rsidR="00035B93" w:rsidRPr="001D6728">
        <w:rPr>
          <w:sz w:val="24"/>
          <w:szCs w:val="24"/>
        </w:rPr>
        <w:t xml:space="preserve"> </w:t>
      </w:r>
    </w:p>
    <w:p w14:paraId="2074E8C8" w14:textId="43355E28" w:rsidR="00035B93" w:rsidRPr="001D6728" w:rsidRDefault="00035B93" w:rsidP="003D6F2D">
      <w:pPr>
        <w:spacing w:after="240" w:line="360" w:lineRule="auto"/>
        <w:jc w:val="both"/>
        <w:rPr>
          <w:sz w:val="24"/>
          <w:szCs w:val="24"/>
        </w:rPr>
      </w:pPr>
      <w:r w:rsidRPr="001D6728">
        <w:rPr>
          <w:sz w:val="24"/>
          <w:szCs w:val="24"/>
        </w:rPr>
        <w:t>Upon drift, a retrain event was triggered; pre/post confusion matrices and KPI deltas were tabulated.</w:t>
      </w:r>
    </w:p>
    <w:p w14:paraId="40130C7C" w14:textId="183B782C" w:rsidR="00035B93" w:rsidRPr="001D6728" w:rsidRDefault="00035B93" w:rsidP="003D6F2D">
      <w:pPr>
        <w:spacing w:after="240" w:line="360" w:lineRule="auto"/>
        <w:jc w:val="both"/>
        <w:rPr>
          <w:sz w:val="24"/>
          <w:szCs w:val="24"/>
        </w:rPr>
      </w:pPr>
      <w:r w:rsidRPr="001D6728">
        <w:rPr>
          <w:b/>
          <w:sz w:val="24"/>
          <w:szCs w:val="24"/>
        </w:rPr>
        <w:t>Objective 2 (organizat</w:t>
      </w:r>
      <w:r w:rsidR="00862A35">
        <w:rPr>
          <w:b/>
          <w:sz w:val="24"/>
          <w:szCs w:val="24"/>
        </w:rPr>
        <w:t xml:space="preserve">ional/infrastructure/governance </w:t>
      </w:r>
      <w:r w:rsidRPr="001D6728">
        <w:rPr>
          <w:b/>
          <w:sz w:val="24"/>
          <w:szCs w:val="24"/>
        </w:rPr>
        <w:t xml:space="preserve">determinants): Negative Binomial regression on AIID. </w:t>
      </w:r>
    </w:p>
    <w:p w14:paraId="0FF9C92B" w14:textId="77777777" w:rsidR="00B26D95" w:rsidRPr="001D6728" w:rsidRDefault="00035B93" w:rsidP="003D6F2D">
      <w:pPr>
        <w:spacing w:after="240" w:line="360" w:lineRule="auto"/>
        <w:jc w:val="both"/>
        <w:rPr>
          <w:sz w:val="24"/>
          <w:szCs w:val="24"/>
        </w:rPr>
      </w:pPr>
      <w:r w:rsidRPr="001D6728">
        <w:rPr>
          <w:sz w:val="24"/>
          <w:szCs w:val="24"/>
        </w:rPr>
        <w:t xml:space="preserve">Incidents were restricted to security-relevant cases with clear operational causes. </w:t>
      </w:r>
    </w:p>
    <w:p w14:paraId="357C646C" w14:textId="7B8AF29D" w:rsidR="007265A4" w:rsidRPr="001D6728" w:rsidRDefault="00035B93" w:rsidP="003D6F2D">
      <w:pPr>
        <w:spacing w:after="240" w:line="360" w:lineRule="auto"/>
        <w:jc w:val="both"/>
        <w:rPr>
          <w:sz w:val="24"/>
          <w:szCs w:val="24"/>
        </w:rPr>
      </w:pPr>
      <w:r w:rsidRPr="001D6728">
        <w:rPr>
          <w:sz w:val="24"/>
          <w:szCs w:val="24"/>
        </w:rPr>
        <w:t xml:space="preserve">Outcome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oMath>
      <w:r w:rsidRPr="001D6728">
        <w:rPr>
          <w:sz w:val="24"/>
          <w:szCs w:val="24"/>
        </w:rPr>
        <w:t xml:space="preserve">=count of security-harm types per incident. Explanatory binaries were coded from AIID tags: Governance_gap_i, MLOps_gap_i, Data_gap_i, sector indicator Ecom_i, and controls (year, region). </w:t>
      </w:r>
    </w:p>
    <w:p w14:paraId="48FDCA30" w14:textId="77777777" w:rsidR="007265A4" w:rsidRPr="001D6728" w:rsidRDefault="00035B93" w:rsidP="003D6F2D">
      <w:pPr>
        <w:spacing w:after="240" w:line="360" w:lineRule="auto"/>
        <w:jc w:val="both"/>
        <w:rPr>
          <w:sz w:val="24"/>
          <w:szCs w:val="24"/>
        </w:rPr>
      </w:pPr>
      <w:r w:rsidRPr="001D6728">
        <w:rPr>
          <w:sz w:val="24"/>
          <w:szCs w:val="24"/>
        </w:rPr>
        <w:t xml:space="preserve">The Negative Binomial model with log link: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~NB</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r>
              <w:rPr>
                <w:rFonts w:ascii="Cambria Math" w:hAnsi="Cambria Math"/>
                <w:sz w:val="24"/>
                <w:szCs w:val="24"/>
              </w:rPr>
              <m:t>,k</m:t>
            </m:r>
          </m:e>
        </m:d>
        <m:r>
          <w:rPr>
            <w:rFonts w:ascii="Cambria Math" w:hAnsi="Cambria Math"/>
            <w:sz w:val="24"/>
            <w:szCs w:val="24"/>
          </w:rPr>
          <m:t>,</m:t>
        </m:r>
      </m:oMath>
      <w:r w:rsidRPr="001D6728">
        <w:rPr>
          <w:sz w:val="24"/>
          <w:szCs w:val="24"/>
        </w:rPr>
        <w:t xml:space="preserve"> </w:t>
      </w:r>
    </w:p>
    <w:p w14:paraId="635E2E65" w14:textId="77777777" w:rsidR="00E570FE" w:rsidRPr="001D6728" w:rsidRDefault="004D2ED6" w:rsidP="003D6F2D">
      <w:pPr>
        <w:spacing w:after="240" w:line="360" w:lineRule="auto"/>
        <w:jc w:val="both"/>
        <w:rPr>
          <w:sz w:val="24"/>
          <w:szCs w:val="24"/>
        </w:rPr>
      </w:pPr>
      <m:oMath>
        <m:func>
          <m:funcPr>
            <m:ctrlPr>
              <w:rPr>
                <w:rFonts w:ascii="Cambria Math" w:hAnsi="Cambria Math"/>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e>
            </m:d>
          </m:e>
        </m:func>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Governanc</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ga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MLOp</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m:t>
        </m:r>
        <m:r>
          <w:rPr>
            <w:rFonts w:ascii="Cambria Math" w:hAnsi="Cambria Math"/>
            <w:sz w:val="24"/>
            <w:szCs w:val="24"/>
          </w:rPr>
          <m:t>Dat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ga</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m:t>
        </m:r>
        <m:r>
          <w:rPr>
            <w:rFonts w:ascii="Cambria Math" w:hAnsi="Cambria Math"/>
            <w:sz w:val="24"/>
            <w:szCs w:val="24"/>
          </w:rPr>
          <m:t>Eco</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r>
          <w:rPr>
            <w:rFonts w:ascii="Cambria Math" w:hAnsi="Cambria Math"/>
            <w:sz w:val="24"/>
            <w:szCs w:val="24"/>
          </w:rPr>
          <m:t>γ</m:t>
        </m:r>
      </m:oMath>
      <w:r w:rsidR="00035B93" w:rsidRPr="001D6728">
        <w:rPr>
          <w:sz w:val="24"/>
          <w:szCs w:val="24"/>
        </w:rPr>
        <w:t xml:space="preserve">, </w:t>
      </w:r>
    </w:p>
    <w:p w14:paraId="2A02DA1F" w14:textId="38139C41" w:rsidR="00E570FE" w:rsidRPr="001D6728" w:rsidRDefault="00E570FE" w:rsidP="003D6F2D">
      <w:pPr>
        <w:spacing w:after="240" w:line="360" w:lineRule="auto"/>
        <w:ind w:left="1440"/>
        <w:jc w:val="both"/>
        <w:rPr>
          <w:sz w:val="24"/>
          <w:szCs w:val="24"/>
        </w:rPr>
      </w:pPr>
      <m:oMath>
        <m:r>
          <w:rPr>
            <w:rFonts w:ascii="Cambria Math" w:hAnsi="Cambria Math"/>
            <w:sz w:val="24"/>
            <w:szCs w:val="24"/>
          </w:rPr>
          <m:t>Var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μ</m:t>
                </m:r>
              </m:e>
              <m:sub>
                <m:r>
                  <w:rPr>
                    <w:rFonts w:ascii="Cambria Math" w:hAnsi="Cambria Math"/>
                    <w:sz w:val="24"/>
                    <w:szCs w:val="24"/>
                  </w:rPr>
                  <m:t>i</m:t>
                </m:r>
              </m:sub>
              <m:sup>
                <m:r>
                  <w:rPr>
                    <w:rFonts w:ascii="Cambria Math" w:hAnsi="Cambria Math"/>
                    <w:sz w:val="24"/>
                    <w:szCs w:val="24"/>
                  </w:rPr>
                  <m:t>2</m:t>
                </m:r>
              </m:sup>
            </m:sSubSup>
          </m:num>
          <m:den>
            <m:r>
              <w:rPr>
                <w:rFonts w:ascii="Cambria Math" w:hAnsi="Cambria Math"/>
                <w:sz w:val="24"/>
                <w:szCs w:val="24"/>
              </w:rPr>
              <m:t>k</m:t>
            </m:r>
          </m:den>
        </m:f>
      </m:oMath>
      <w:r w:rsidR="00035B93" w:rsidRPr="001D6728">
        <w:rPr>
          <w:sz w:val="24"/>
          <w:szCs w:val="24"/>
        </w:rPr>
        <w:t xml:space="preserve">. </w:t>
      </w:r>
    </w:p>
    <w:p w14:paraId="46995D36" w14:textId="77777777" w:rsidR="008E6F5F" w:rsidRPr="001D6728" w:rsidRDefault="00035B93" w:rsidP="003D6F2D">
      <w:pPr>
        <w:spacing w:after="240" w:line="360" w:lineRule="auto"/>
        <w:jc w:val="both"/>
        <w:rPr>
          <w:sz w:val="24"/>
          <w:szCs w:val="24"/>
        </w:rPr>
      </w:pPr>
      <w:r w:rsidRPr="001D6728">
        <w:rPr>
          <w:sz w:val="24"/>
          <w:szCs w:val="24"/>
        </w:rPr>
        <w:t xml:space="preserve">Incidence-rate ratios were reported: </w:t>
      </w:r>
    </w:p>
    <w:p w14:paraId="79C91819" w14:textId="104AAB3F" w:rsidR="007265A4" w:rsidRPr="001D6728" w:rsidRDefault="00E8122D" w:rsidP="003D6F2D">
      <w:pPr>
        <w:spacing w:after="240" w:line="360" w:lineRule="auto"/>
        <w:jc w:val="both"/>
        <w:rPr>
          <w:sz w:val="24"/>
          <w:szCs w:val="24"/>
        </w:rPr>
      </w:pPr>
      <m:oMathPara>
        <m:oMath>
          <m:r>
            <w:rPr>
              <w:rFonts w:ascii="Cambria Math" w:hAnsi="Cambria Math"/>
              <w:sz w:val="24"/>
              <w:szCs w:val="24"/>
            </w:rPr>
            <m:t>IR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j</m:t>
              </m:r>
            </m:sub>
          </m:sSub>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exp</m:t>
              </m:r>
              <m:ctrlPr>
                <w:rPr>
                  <w:rFonts w:ascii="Cambria Math" w:hAnsi="Cambria Math"/>
                  <w:i/>
                  <w:sz w:val="24"/>
                  <w:szCs w:val="24"/>
                </w:rPr>
              </m:ctrlP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e>
              </m:d>
            </m:e>
          </m:func>
          <m:r>
            <w:rPr>
              <w:rFonts w:ascii="Cambria Math" w:hAnsi="Cambria Math"/>
              <w:sz w:val="24"/>
              <w:szCs w:val="24"/>
            </w:rPr>
            <m:t xml:space="preserve">. </m:t>
          </m:r>
        </m:oMath>
      </m:oMathPara>
    </w:p>
    <w:p w14:paraId="3DFC1787" w14:textId="77777777" w:rsidR="00C74B4D" w:rsidRPr="001D6728" w:rsidRDefault="00035B93" w:rsidP="003D6F2D">
      <w:pPr>
        <w:spacing w:after="240" w:line="360" w:lineRule="auto"/>
        <w:jc w:val="both"/>
        <w:rPr>
          <w:sz w:val="24"/>
          <w:szCs w:val="24"/>
        </w:rPr>
      </w:pPr>
      <w:r w:rsidRPr="001D6728">
        <w:rPr>
          <w:sz w:val="24"/>
          <w:szCs w:val="24"/>
        </w:rPr>
        <w:t xml:space="preserve">Overdispersion was tested by </w:t>
      </w:r>
    </w:p>
    <w:p w14:paraId="4E4DD735" w14:textId="616548D2" w:rsidR="00C74B4D" w:rsidRPr="001D6728" w:rsidRDefault="00C74B4D" w:rsidP="003D6F2D">
      <w:pPr>
        <w:spacing w:after="240" w:line="360" w:lineRule="auto"/>
        <w:jc w:val="both"/>
        <w:rPr>
          <w:sz w:val="24"/>
          <w:szCs w:val="24"/>
        </w:rPr>
      </w:pPr>
      <m:oMath>
        <m:r>
          <w:rPr>
            <w:rFonts w:ascii="Cambria Math" w:hAnsi="Cambria Math"/>
            <w:sz w:val="24"/>
            <w:szCs w:val="24"/>
          </w:rPr>
          <m:t>H0:</m:t>
        </m:r>
        <m:sSup>
          <m:sSupPr>
            <m:ctrlPr>
              <w:rPr>
                <w:rFonts w:ascii="Cambria Math" w:hAnsi="Cambria Math"/>
                <w:i/>
                <w:sz w:val="24"/>
                <w:szCs w:val="24"/>
              </w:rPr>
            </m:ctrlPr>
          </m:sSupPr>
          <m:e>
            <m:r>
              <w:rPr>
                <w:rFonts w:ascii="Cambria Math" w:hAnsi="Cambria Math"/>
                <w:sz w:val="24"/>
                <w:szCs w:val="24"/>
              </w:rPr>
              <m:t>k</m:t>
            </m:r>
          </m:e>
          <m:sup>
            <m:d>
              <m:dPr>
                <m:begChr m:val="{"/>
                <m:endChr m:val="}"/>
                <m:ctrlPr>
                  <w:rPr>
                    <w:rFonts w:ascii="Cambria Math" w:hAnsi="Cambria Math"/>
                    <w:i/>
                    <w:sz w:val="24"/>
                    <w:szCs w:val="24"/>
                  </w:rPr>
                </m:ctrlPr>
              </m:dPr>
              <m:e>
                <m:r>
                  <w:rPr>
                    <w:rFonts w:ascii="Cambria Math" w:hAnsi="Cambria Math"/>
                    <w:sz w:val="24"/>
                    <w:szCs w:val="24"/>
                  </w:rPr>
                  <m:t>-1</m:t>
                </m:r>
              </m:e>
            </m:d>
          </m:sup>
        </m:sSup>
        <m:r>
          <w:rPr>
            <w:rFonts w:ascii="Cambria Math" w:hAnsi="Cambria Math"/>
            <w:sz w:val="24"/>
            <w:szCs w:val="24"/>
          </w:rPr>
          <m:t>=0</m:t>
        </m:r>
      </m:oMath>
      <w:r w:rsidR="00035B93" w:rsidRPr="001D6728">
        <w:rPr>
          <w:sz w:val="24"/>
          <w:szCs w:val="24"/>
        </w:rPr>
        <w:t xml:space="preserve"> against </w:t>
      </w:r>
      <m:oMath>
        <m:r>
          <w:rPr>
            <w:rFonts w:ascii="Cambria Math" w:hAnsi="Cambria Math"/>
            <w:sz w:val="24"/>
            <w:szCs w:val="24"/>
          </w:rPr>
          <m:t>H1:</m:t>
        </m:r>
        <m:sSup>
          <m:sSupPr>
            <m:ctrlPr>
              <w:rPr>
                <w:rFonts w:ascii="Cambria Math" w:hAnsi="Cambria Math"/>
                <w:i/>
                <w:sz w:val="24"/>
                <w:szCs w:val="24"/>
              </w:rPr>
            </m:ctrlPr>
          </m:sSupPr>
          <m:e>
            <m:r>
              <w:rPr>
                <w:rFonts w:ascii="Cambria Math" w:hAnsi="Cambria Math"/>
                <w:sz w:val="24"/>
                <w:szCs w:val="24"/>
              </w:rPr>
              <m:t>k</m:t>
            </m:r>
          </m:e>
          <m:sup>
            <m:d>
              <m:dPr>
                <m:begChr m:val="{"/>
                <m:endChr m:val="}"/>
                <m:ctrlPr>
                  <w:rPr>
                    <w:rFonts w:ascii="Cambria Math" w:hAnsi="Cambria Math"/>
                    <w:i/>
                    <w:sz w:val="24"/>
                    <w:szCs w:val="24"/>
                  </w:rPr>
                </m:ctrlPr>
              </m:dPr>
              <m:e>
                <m:r>
                  <w:rPr>
                    <w:rFonts w:ascii="Cambria Math" w:hAnsi="Cambria Math"/>
                    <w:sz w:val="24"/>
                    <w:szCs w:val="24"/>
                  </w:rPr>
                  <m:t>-1</m:t>
                </m:r>
              </m:e>
            </m:d>
          </m:sup>
        </m:sSup>
        <m:r>
          <w:rPr>
            <w:rFonts w:ascii="Cambria Math" w:hAnsi="Cambria Math"/>
            <w:sz w:val="24"/>
            <w:szCs w:val="24"/>
          </w:rPr>
          <m:t>&gt;0</m:t>
        </m:r>
      </m:oMath>
      <w:r w:rsidR="00035B93" w:rsidRPr="001D6728">
        <w:rPr>
          <w:sz w:val="24"/>
          <w:szCs w:val="24"/>
        </w:rPr>
        <w:t xml:space="preserve">. </w:t>
      </w:r>
    </w:p>
    <w:p w14:paraId="4355BCFB" w14:textId="77777777" w:rsidR="00CD1125" w:rsidRPr="001D6728" w:rsidRDefault="00035B93" w:rsidP="003D6F2D">
      <w:pPr>
        <w:spacing w:after="240" w:line="360" w:lineRule="auto"/>
        <w:jc w:val="both"/>
        <w:rPr>
          <w:sz w:val="24"/>
          <w:szCs w:val="24"/>
        </w:rPr>
      </w:pPr>
      <w:r w:rsidRPr="001D6728">
        <w:rPr>
          <w:sz w:val="24"/>
          <w:szCs w:val="24"/>
        </w:rPr>
        <w:lastRenderedPageBreak/>
        <w:t xml:space="preserve">Model adequacy used Pearson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χ</m:t>
                </m:r>
              </m:e>
              <m:sup>
                <m:r>
                  <w:rPr>
                    <w:rFonts w:ascii="Cambria Math" w:hAnsi="Cambria Math"/>
                    <w:sz w:val="24"/>
                    <w:szCs w:val="24"/>
                  </w:rPr>
                  <m:t>2</m:t>
                </m:r>
              </m:sup>
            </m:sSup>
          </m:num>
          <m:den>
            <m:r>
              <w:rPr>
                <w:rFonts w:ascii="Cambria Math" w:hAnsi="Cambria Math"/>
                <w:sz w:val="24"/>
                <w:szCs w:val="24"/>
              </w:rPr>
              <m:t>df</m:t>
            </m:r>
          </m:den>
        </m:f>
      </m:oMath>
      <w:r w:rsidRPr="001D6728">
        <w:rPr>
          <w:sz w:val="24"/>
          <w:szCs w:val="24"/>
        </w:rPr>
        <w:t xml:space="preserve"> and Vuong test versus Poisson. Influence diagnostics used Cook's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oMath>
      <w:r w:rsidRPr="001D6728">
        <w:rPr>
          <w:sz w:val="24"/>
          <w:szCs w:val="24"/>
        </w:rPr>
        <w:t xml:space="preserve">. </w:t>
      </w:r>
    </w:p>
    <w:p w14:paraId="35D2C3FE" w14:textId="0905ECAF" w:rsidR="00035B93" w:rsidRPr="001D6728" w:rsidRDefault="00035B93" w:rsidP="003D6F2D">
      <w:pPr>
        <w:spacing w:after="240" w:line="360" w:lineRule="auto"/>
        <w:jc w:val="both"/>
        <w:rPr>
          <w:sz w:val="24"/>
          <w:szCs w:val="24"/>
        </w:rPr>
      </w:pPr>
      <w:r w:rsidRPr="001D6728">
        <w:rPr>
          <w:sz w:val="24"/>
          <w:szCs w:val="24"/>
        </w:rPr>
        <w:t xml:space="preserve">Inter-rater reliability for coding employed Cohen's </w:t>
      </w:r>
      <m:oMath>
        <m:r>
          <w:rPr>
            <w:rFonts w:ascii="Cambria Math" w:hAnsi="Cambria Math"/>
            <w:sz w:val="24"/>
            <w:szCs w:val="24"/>
          </w:rPr>
          <m:t>κ=</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e</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e</m:t>
                </m:r>
              </m:sub>
            </m:sSub>
          </m:den>
        </m:f>
        <m:r>
          <w:rPr>
            <w:rFonts w:ascii="Cambria Math" w:hAnsi="Cambria Math"/>
            <w:sz w:val="24"/>
            <w:szCs w:val="24"/>
          </w:rPr>
          <m:t>.</m:t>
        </m:r>
      </m:oMath>
    </w:p>
    <w:p w14:paraId="71B5C408" w14:textId="77777777" w:rsidR="00035B93" w:rsidRPr="001D6728" w:rsidRDefault="00035B93" w:rsidP="003D6F2D">
      <w:pPr>
        <w:spacing w:after="240" w:line="360" w:lineRule="auto"/>
        <w:jc w:val="both"/>
        <w:rPr>
          <w:sz w:val="24"/>
          <w:szCs w:val="24"/>
        </w:rPr>
      </w:pPr>
      <w:r w:rsidRPr="001D6728">
        <w:rPr>
          <w:b/>
          <w:sz w:val="24"/>
          <w:szCs w:val="24"/>
        </w:rPr>
        <w:t xml:space="preserve">Objective 3 (framework validation): Interrupted Time Series (ITS) segmented regression on CIC-DDoS2019 stream. </w:t>
      </w:r>
    </w:p>
    <w:p w14:paraId="05FDEA46" w14:textId="4E4ABA4B" w:rsidR="00466C46" w:rsidRPr="001D6728" w:rsidRDefault="00035B93" w:rsidP="003D6F2D">
      <w:pPr>
        <w:spacing w:after="240" w:line="360" w:lineRule="auto"/>
        <w:jc w:val="both"/>
        <w:rPr>
          <w:sz w:val="24"/>
          <w:szCs w:val="24"/>
        </w:rPr>
      </w:pPr>
      <w:r w:rsidRPr="001D6728">
        <w:rPr>
          <w:sz w:val="24"/>
          <w:szCs w:val="24"/>
        </w:rPr>
        <w:t xml:space="preserve">A time-ordered event stream was constructed; the ML-SF controls (drift </w:t>
      </w:r>
      <w:proofErr w:type="spellStart"/>
      <w:r w:rsidRPr="001D6728">
        <w:rPr>
          <w:sz w:val="24"/>
          <w:szCs w:val="24"/>
        </w:rPr>
        <w:t>monitoring+scheduled</w:t>
      </w:r>
      <w:proofErr w:type="spellEnd"/>
      <w:r w:rsidRPr="001D6728">
        <w:rPr>
          <w:sz w:val="24"/>
          <w:szCs w:val="24"/>
        </w:rPr>
        <w:t xml:space="preserve"> </w:t>
      </w:r>
      <w:proofErr w:type="spellStart"/>
      <w:r w:rsidRPr="001D6728">
        <w:rPr>
          <w:sz w:val="24"/>
          <w:szCs w:val="24"/>
        </w:rPr>
        <w:t>retraining+feature-versioning+governance</w:t>
      </w:r>
      <w:proofErr w:type="spellEnd"/>
      <w:r w:rsidRPr="001D6728">
        <w:rPr>
          <w:sz w:val="24"/>
          <w:szCs w:val="24"/>
        </w:rPr>
        <w:t xml:space="preserve"> logs) were activated at time τ. Let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oMath>
      <w:r w:rsidRPr="001D6728">
        <w:rPr>
          <w:sz w:val="24"/>
          <w:szCs w:val="24"/>
        </w:rPr>
        <w:t xml:space="preserve"> denote detection performance per interval: either </w:t>
      </w:r>
    </w:p>
    <w:p w14:paraId="62E11A7E" w14:textId="77777777" w:rsidR="00466C46" w:rsidRPr="001D6728" w:rsidRDefault="00466C46" w:rsidP="003D6F2D">
      <w:pPr>
        <w:spacing w:after="240" w:line="360" w:lineRule="auto"/>
        <w:ind w:left="2160" w:firstLine="720"/>
        <w:jc w:val="both"/>
        <w:rPr>
          <w:sz w:val="24"/>
          <w:szCs w:val="24"/>
        </w:rPr>
      </w:pPr>
      <m:oMath>
        <m:r>
          <w:rPr>
            <w:rFonts w:ascii="Cambria Math" w:hAnsi="Cambria Math"/>
            <w:sz w:val="24"/>
            <w:szCs w:val="24"/>
          </w:rPr>
          <m:t>DetectionRat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den>
        </m:f>
      </m:oMath>
      <w:r w:rsidR="00035B93" w:rsidRPr="001D6728">
        <w:rPr>
          <w:sz w:val="24"/>
          <w:szCs w:val="24"/>
        </w:rPr>
        <w:t xml:space="preserve"> </w:t>
      </w:r>
    </w:p>
    <w:p w14:paraId="7B6ABA72" w14:textId="548BDCF3" w:rsidR="00466C46" w:rsidRPr="001D6728" w:rsidRDefault="00035B93" w:rsidP="003D6F2D">
      <w:pPr>
        <w:spacing w:after="240" w:line="360" w:lineRule="auto"/>
        <w:jc w:val="both"/>
        <w:rPr>
          <w:sz w:val="24"/>
          <w:szCs w:val="24"/>
        </w:rPr>
      </w:pPr>
      <w:r w:rsidRPr="001D6728">
        <w:rPr>
          <w:sz w:val="24"/>
          <w:szCs w:val="24"/>
        </w:rPr>
        <w:t xml:space="preserve">or </w:t>
      </w:r>
    </w:p>
    <w:p w14:paraId="15AF5BAA" w14:textId="48656990" w:rsidR="00466C46" w:rsidRPr="001D6728" w:rsidRDefault="00466C46" w:rsidP="003D6F2D">
      <w:pPr>
        <w:spacing w:after="240" w:line="360" w:lineRule="auto"/>
        <w:ind w:left="2880" w:firstLine="720"/>
        <w:jc w:val="both"/>
        <w:rPr>
          <w:sz w:val="24"/>
          <w:szCs w:val="24"/>
        </w:rPr>
      </w:pPr>
      <m:oMath>
        <m:r>
          <w:rPr>
            <w:rFonts w:ascii="Cambria Math" w:hAnsi="Cambria Math"/>
            <w:sz w:val="24"/>
            <w:szCs w:val="24"/>
          </w:rPr>
          <m:t>FP</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num>
          <m:den>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den>
        </m:f>
      </m:oMath>
      <w:r w:rsidR="00035B93" w:rsidRPr="001D6728">
        <w:rPr>
          <w:sz w:val="24"/>
          <w:szCs w:val="24"/>
        </w:rPr>
        <w:t xml:space="preserve">. </w:t>
      </w:r>
    </w:p>
    <w:p w14:paraId="7769A252" w14:textId="77777777" w:rsidR="00466C46" w:rsidRPr="001D6728" w:rsidRDefault="00035B93" w:rsidP="003D6F2D">
      <w:pPr>
        <w:spacing w:after="240" w:line="360" w:lineRule="auto"/>
        <w:jc w:val="both"/>
        <w:rPr>
          <w:sz w:val="24"/>
          <w:szCs w:val="24"/>
        </w:rPr>
      </w:pPr>
      <w:r w:rsidRPr="001D6728">
        <w:rPr>
          <w:sz w:val="24"/>
          <w:szCs w:val="24"/>
        </w:rPr>
        <w:t>The segmented model:</w:t>
      </w:r>
    </w:p>
    <w:p w14:paraId="4F97A678" w14:textId="23D9BE84" w:rsidR="00466C46" w:rsidRPr="001D6728" w:rsidRDefault="00035B93" w:rsidP="003D6F2D">
      <w:pPr>
        <w:spacing w:after="240" w:line="360" w:lineRule="auto"/>
        <w:jc w:val="both"/>
        <w:rPr>
          <w:sz w:val="24"/>
          <w:szCs w:val="24"/>
        </w:rPr>
      </w:pPr>
      <w:r w:rsidRPr="001D6728">
        <w:rPr>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*Tim</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*Interventio</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*TimeAfte</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oMath>
      <w:r w:rsidRPr="001D6728">
        <w:rPr>
          <w:sz w:val="24"/>
          <w:szCs w:val="24"/>
        </w:rPr>
        <w:t>,</w:t>
      </w:r>
    </w:p>
    <w:p w14:paraId="3985AF60" w14:textId="77777777" w:rsidR="0088757B" w:rsidRDefault="00035B93" w:rsidP="0088757B">
      <w:pPr>
        <w:spacing w:after="240" w:line="360" w:lineRule="auto"/>
        <w:jc w:val="both"/>
        <w:rPr>
          <w:sz w:val="24"/>
          <w:szCs w:val="24"/>
        </w:rPr>
      </w:pPr>
      <w:r w:rsidRPr="001D6728">
        <w:rPr>
          <w:sz w:val="24"/>
          <w:szCs w:val="24"/>
        </w:rPr>
        <w:t xml:space="preserve"> </w:t>
      </w:r>
      <w:r w:rsidR="001C230E" w:rsidRPr="001D6728">
        <w:rPr>
          <w:sz w:val="24"/>
          <w:szCs w:val="24"/>
        </w:rPr>
        <w:t>W</w:t>
      </w:r>
      <w:r w:rsidRPr="001D6728">
        <w:rPr>
          <w:sz w:val="24"/>
          <w:szCs w:val="24"/>
        </w:rPr>
        <w:t>here</w:t>
      </w:r>
      <w:r w:rsidR="001C230E" w:rsidRPr="001D6728">
        <w:rPr>
          <w:sz w:val="24"/>
          <w:szCs w:val="24"/>
        </w:rPr>
        <w:t>:</w:t>
      </w:r>
      <w:r w:rsidRPr="001D6728">
        <w:rPr>
          <w:sz w:val="24"/>
          <w:szCs w:val="24"/>
        </w:rPr>
        <w:t xml:space="preserve"> </w:t>
      </w:r>
    </w:p>
    <w:p w14:paraId="1C648FBD" w14:textId="58A5D1A9" w:rsidR="001C230E" w:rsidRPr="001D6728" w:rsidRDefault="001C230E" w:rsidP="0088757B">
      <w:pPr>
        <w:spacing w:after="240" w:line="360" w:lineRule="auto"/>
        <w:jc w:val="both"/>
        <w:rPr>
          <w:sz w:val="24"/>
          <w:szCs w:val="24"/>
        </w:rPr>
      </w:pPr>
      <m:oMathPara>
        <m:oMath>
          <m:r>
            <w:rPr>
              <w:rFonts w:ascii="Cambria Math" w:hAnsi="Cambria Math"/>
              <w:sz w:val="24"/>
              <w:szCs w:val="24"/>
            </w:rPr>
            <m:t>Interventio</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t</m:t>
              </m:r>
            </m:sub>
          </m:sSub>
          <m:r>
            <w:rPr>
              <w:rFonts w:ascii="Cambria Math" w:hAnsi="Cambria Math"/>
              <w:sz w:val="24"/>
              <w:szCs w:val="24"/>
            </w:rPr>
            <m:t xml:space="preserve">=0 </m:t>
          </m:r>
        </m:oMath>
      </m:oMathPara>
    </w:p>
    <w:p w14:paraId="6FC10B69" w14:textId="77777777" w:rsidR="000A7110" w:rsidRPr="001D6728" w:rsidRDefault="00035B93" w:rsidP="003D6F2D">
      <w:pPr>
        <w:spacing w:after="240" w:line="360" w:lineRule="auto"/>
        <w:jc w:val="both"/>
        <w:rPr>
          <w:sz w:val="24"/>
          <w:szCs w:val="24"/>
        </w:rPr>
      </w:pPr>
      <w:r w:rsidRPr="001D6728">
        <w:rPr>
          <w:sz w:val="24"/>
          <w:szCs w:val="24"/>
        </w:rPr>
        <w:t xml:space="preserve">for t&lt;τ and 1 for </w:t>
      </w:r>
      <w:proofErr w:type="spellStart"/>
      <w:r w:rsidRPr="001D6728">
        <w:rPr>
          <w:sz w:val="24"/>
          <w:szCs w:val="24"/>
        </w:rPr>
        <w:t>t≥τ</w:t>
      </w:r>
      <w:proofErr w:type="spellEnd"/>
      <w:r w:rsidRPr="001D6728">
        <w:rPr>
          <w:sz w:val="24"/>
          <w:szCs w:val="24"/>
        </w:rPr>
        <w:t xml:space="preserve">, </w:t>
      </w:r>
    </w:p>
    <w:p w14:paraId="723185B3" w14:textId="77777777" w:rsidR="000A7110" w:rsidRPr="001D6728" w:rsidRDefault="000A7110" w:rsidP="003D6F2D">
      <w:pPr>
        <w:spacing w:after="240" w:line="360" w:lineRule="auto"/>
        <w:ind w:left="2880" w:firstLine="720"/>
        <w:jc w:val="both"/>
        <w:rPr>
          <w:sz w:val="24"/>
          <w:szCs w:val="24"/>
        </w:rPr>
      </w:pPr>
      <m:oMath>
        <m:r>
          <w:rPr>
            <w:rFonts w:ascii="Cambria Math" w:hAnsi="Cambria Math"/>
            <w:sz w:val="24"/>
            <w:szCs w:val="24"/>
          </w:rPr>
          <m:t>TimeAfte</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r>
          <w:rPr>
            <w:rFonts w:ascii="Cambria Math" w:hAnsi="Cambria Math"/>
            <w:sz w:val="24"/>
            <w:szCs w:val="24"/>
          </w:rPr>
          <m:t>=0</m:t>
        </m:r>
      </m:oMath>
      <w:r w:rsidR="00035B93" w:rsidRPr="001D6728">
        <w:rPr>
          <w:sz w:val="24"/>
          <w:szCs w:val="24"/>
        </w:rPr>
        <w:t xml:space="preserve"> </w:t>
      </w:r>
    </w:p>
    <w:p w14:paraId="5073F0E9" w14:textId="77777777" w:rsidR="000A7110" w:rsidRPr="001D6728" w:rsidRDefault="00035B93" w:rsidP="003D6F2D">
      <w:pPr>
        <w:spacing w:after="240" w:line="360" w:lineRule="auto"/>
        <w:jc w:val="both"/>
        <w:rPr>
          <w:sz w:val="24"/>
          <w:szCs w:val="24"/>
        </w:rPr>
      </w:pPr>
      <w:r w:rsidRPr="001D6728">
        <w:rPr>
          <w:sz w:val="24"/>
          <w:szCs w:val="24"/>
        </w:rPr>
        <w:t xml:space="preserve">for t&lt;τ and t-τ for </w:t>
      </w:r>
      <w:proofErr w:type="spellStart"/>
      <w:r w:rsidRPr="001D6728">
        <w:rPr>
          <w:sz w:val="24"/>
          <w:szCs w:val="24"/>
        </w:rPr>
        <w:t>t≥τ</w:t>
      </w:r>
      <w:proofErr w:type="spellEnd"/>
      <w:r w:rsidRPr="001D6728">
        <w:rPr>
          <w:sz w:val="24"/>
          <w:szCs w:val="24"/>
        </w:rPr>
        <w:t xml:space="preserve">. </w:t>
      </w:r>
    </w:p>
    <w:p w14:paraId="087CD236" w14:textId="77777777" w:rsidR="00646E22" w:rsidRPr="001D6728" w:rsidRDefault="00035B93" w:rsidP="003D6F2D">
      <w:pPr>
        <w:spacing w:after="240" w:line="360" w:lineRule="auto"/>
        <w:jc w:val="both"/>
        <w:rPr>
          <w:sz w:val="24"/>
          <w:szCs w:val="24"/>
        </w:rPr>
      </w:pPr>
      <w:r w:rsidRPr="001D6728">
        <w:rPr>
          <w:sz w:val="24"/>
          <w:szCs w:val="24"/>
        </w:rPr>
        <w:t xml:space="preserve">Level change=β2; slope change=β3. </w:t>
      </w:r>
    </w:p>
    <w:p w14:paraId="060D53EE" w14:textId="77777777" w:rsidR="00646E22" w:rsidRPr="001D6728" w:rsidRDefault="00035B93" w:rsidP="003D6F2D">
      <w:pPr>
        <w:spacing w:after="240" w:line="360" w:lineRule="auto"/>
        <w:jc w:val="both"/>
        <w:rPr>
          <w:sz w:val="24"/>
          <w:szCs w:val="24"/>
        </w:rPr>
      </w:pPr>
      <w:r w:rsidRPr="001D6728">
        <w:rPr>
          <w:sz w:val="24"/>
          <w:szCs w:val="24"/>
        </w:rPr>
        <w:t xml:space="preserve">Autocorrelation-robust inference used Newey-West: </w:t>
      </w:r>
    </w:p>
    <w:p w14:paraId="2DC0B7B0" w14:textId="2C5C6EF7" w:rsidR="00646E22" w:rsidRPr="001D6728" w:rsidRDefault="007644F5" w:rsidP="003D6F2D">
      <w:pPr>
        <w:spacing w:after="240" w:line="360" w:lineRule="auto"/>
        <w:jc w:val="both"/>
        <w:rPr>
          <w:sz w:val="24"/>
          <w:szCs w:val="24"/>
        </w:rPr>
      </w:pPr>
      <m:oMath>
        <m:r>
          <w:rPr>
            <w:rFonts w:ascii="Cambria Math" w:hAnsi="Cambria Math"/>
            <w:sz w:val="24"/>
            <w:szCs w:val="24"/>
          </w:rPr>
          <w:lastRenderedPageBreak/>
          <m:t>Var</m:t>
        </m:r>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β</m:t>
                </m:r>
              </m:e>
            </m:acc>
          </m:e>
        </m:d>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X</m:t>
                </m:r>
              </m:e>
            </m:d>
          </m:e>
          <m:sup>
            <m:d>
              <m:dPr>
                <m:begChr m:val="{"/>
                <m:endChr m:val="}"/>
                <m:ctrlPr>
                  <w:rPr>
                    <w:rFonts w:ascii="Cambria Math" w:hAnsi="Cambria Math"/>
                    <w:i/>
                    <w:sz w:val="24"/>
                    <w:szCs w:val="24"/>
                  </w:rPr>
                </m:ctrlPr>
              </m:dPr>
              <m:e>
                <m:r>
                  <w:rPr>
                    <w:rFonts w:ascii="Cambria Math" w:hAnsi="Cambria Math"/>
                    <w:sz w:val="24"/>
                    <w:szCs w:val="24"/>
                  </w:rPr>
                  <m:t>-1</m:t>
                </m:r>
              </m:e>
            </m:d>
          </m:sup>
        </m:sSup>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Σ</m:t>
                </m:r>
              </m:e>
              <m:sub>
                <m:d>
                  <m:dPr>
                    <m:begChr m:val="{"/>
                    <m:endChr m:val="}"/>
                    <m:ctrlPr>
                      <w:rPr>
                        <w:rFonts w:ascii="Cambria Math" w:hAnsi="Cambria Math"/>
                        <w:i/>
                        <w:sz w:val="24"/>
                        <w:szCs w:val="24"/>
                      </w:rPr>
                    </m:ctrlPr>
                  </m:dPr>
                  <m:e>
                    <m:d>
                      <m:dPr>
                        <m:begChr m:val="|"/>
                        <m:endChr m:val="|"/>
                        <m:ctrlPr>
                          <w:rPr>
                            <w:rFonts w:ascii="Cambria Math" w:hAnsi="Cambria Math"/>
                            <w:i/>
                            <w:sz w:val="24"/>
                            <w:szCs w:val="24"/>
                          </w:rPr>
                        </m:ctrlPr>
                      </m:dPr>
                      <m:e>
                        <m:r>
                          <w:rPr>
                            <w:rFonts w:ascii="Cambria Math" w:hAnsi="Cambria Math"/>
                            <w:sz w:val="24"/>
                            <w:szCs w:val="24"/>
                          </w:rPr>
                          <m:t>h</m:t>
                        </m:r>
                      </m:e>
                    </m:d>
                    <m:r>
                      <w:rPr>
                        <w:rFonts w:ascii="Cambria Math" w:hAnsi="Cambria Math"/>
                        <w:sz w:val="24"/>
                        <w:szCs w:val="24"/>
                      </w:rPr>
                      <m:t>≤L</m:t>
                    </m:r>
                  </m:e>
                </m:d>
              </m:sub>
            </m:sSub>
            <m:sSubSup>
              <m:sSubSupPr>
                <m:ctrlPr>
                  <w:rPr>
                    <w:rFonts w:ascii="Cambria Math" w:hAnsi="Cambria Math"/>
                    <w:i/>
                    <w:sz w:val="24"/>
                    <w:szCs w:val="24"/>
                  </w:rPr>
                </m:ctrlPr>
              </m:sSubSupPr>
              <m:e>
                <m:r>
                  <w:rPr>
                    <w:rFonts w:ascii="Cambria Math" w:hAnsi="Cambria Math"/>
                    <w:sz w:val="24"/>
                    <w:szCs w:val="24"/>
                  </w:rPr>
                  <m:t>Σ</m:t>
                </m:r>
              </m:e>
              <m:sub>
                <m:d>
                  <m:dPr>
                    <m:begChr m:val="{"/>
                    <m:endChr m:val="}"/>
                    <m:ctrlPr>
                      <w:rPr>
                        <w:rFonts w:ascii="Cambria Math" w:hAnsi="Cambria Math"/>
                        <w:i/>
                        <w:sz w:val="24"/>
                        <w:szCs w:val="24"/>
                      </w:rPr>
                    </m:ctrlPr>
                  </m:dPr>
                  <m:e>
                    <m:r>
                      <w:rPr>
                        <w:rFonts w:ascii="Cambria Math" w:hAnsi="Cambria Math"/>
                        <w:sz w:val="24"/>
                        <w:szCs w:val="24"/>
                      </w:rPr>
                      <m:t>t=</m:t>
                    </m:r>
                    <m:d>
                      <m:dPr>
                        <m:begChr m:val="|"/>
                        <m:endChr m:val="|"/>
                        <m:ctrlPr>
                          <w:rPr>
                            <w:rFonts w:ascii="Cambria Math" w:hAnsi="Cambria Math"/>
                            <w:i/>
                            <w:sz w:val="24"/>
                            <w:szCs w:val="24"/>
                          </w:rPr>
                        </m:ctrlPr>
                      </m:dPr>
                      <m:e>
                        <m:r>
                          <w:rPr>
                            <w:rFonts w:ascii="Cambria Math" w:hAnsi="Cambria Math"/>
                            <w:sz w:val="24"/>
                            <w:szCs w:val="24"/>
                          </w:rPr>
                          <m:t>h</m:t>
                        </m:r>
                      </m:e>
                    </m:d>
                    <m:r>
                      <w:rPr>
                        <w:rFonts w:ascii="Cambria Math" w:hAnsi="Cambria Math"/>
                        <w:sz w:val="24"/>
                        <w:szCs w:val="24"/>
                      </w:rPr>
                      <m:t>+1</m:t>
                    </m:r>
                  </m:e>
                </m:d>
              </m:sub>
              <m:sup>
                <m:r>
                  <w:rPr>
                    <w:rFonts w:ascii="Cambria Math" w:hAnsi="Cambria Math"/>
                    <w:sz w:val="24"/>
                    <w:szCs w:val="24"/>
                  </w:rPr>
                  <m:t>T</m:t>
                </m:r>
              </m:sup>
            </m:sSub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ê</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ê</m:t>
                </m:r>
              </m:e>
              <m:sub>
                <m:d>
                  <m:dPr>
                    <m:begChr m:val="{"/>
                    <m:endChr m:val="}"/>
                    <m:ctrlPr>
                      <w:rPr>
                        <w:rFonts w:ascii="Cambria Math" w:hAnsi="Cambria Math"/>
                        <w:i/>
                        <w:sz w:val="24"/>
                        <w:szCs w:val="24"/>
                      </w:rPr>
                    </m:ctrlPr>
                  </m:dPr>
                  <m:e>
                    <m:r>
                      <w:rPr>
                        <w:rFonts w:ascii="Cambria Math" w:hAnsi="Cambria Math"/>
                        <w:sz w:val="24"/>
                        <w:szCs w:val="24"/>
                      </w:rPr>
                      <m:t>t-h</m:t>
                    </m:r>
                  </m:e>
                </m:d>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t</m:t>
                </m:r>
              </m:sub>
              <m:sup>
                <m:r>
                  <w:rPr>
                    <w:rFonts w:ascii="Cambria Math" w:hAnsi="Cambria Math"/>
                    <w:sz w:val="24"/>
                    <w:szCs w:val="24"/>
                  </w:rPr>
                  <m:t>'</m:t>
                </m:r>
              </m:sup>
            </m:sSubSup>
            <m:sSub>
              <m:sSubPr>
                <m:ctrlPr>
                  <w:rPr>
                    <w:rFonts w:ascii="Cambria Math" w:hAnsi="Cambria Math"/>
                    <w:i/>
                    <w:sz w:val="24"/>
                    <w:szCs w:val="24"/>
                  </w:rPr>
                </m:ctrlPr>
              </m:sSubPr>
              <m:e>
                <m:r>
                  <w:rPr>
                    <w:rFonts w:ascii="Cambria Math" w:hAnsi="Cambria Math"/>
                    <w:sz w:val="24"/>
                    <w:szCs w:val="24"/>
                  </w:rPr>
                  <m:t>X</m:t>
                </m:r>
              </m:e>
              <m:sub>
                <m:d>
                  <m:dPr>
                    <m:begChr m:val="{"/>
                    <m:endChr m:val="}"/>
                    <m:ctrlPr>
                      <w:rPr>
                        <w:rFonts w:ascii="Cambria Math" w:hAnsi="Cambria Math"/>
                        <w:i/>
                        <w:sz w:val="24"/>
                        <w:szCs w:val="24"/>
                      </w:rPr>
                    </m:ctrlPr>
                  </m:dPr>
                  <m:e>
                    <m:r>
                      <w:rPr>
                        <w:rFonts w:ascii="Cambria Math" w:hAnsi="Cambria Math"/>
                        <w:sz w:val="24"/>
                        <w:szCs w:val="24"/>
                      </w:rPr>
                      <m:t>t-h</m:t>
                    </m:r>
                  </m:e>
                </m:d>
              </m:sub>
            </m:sSub>
          </m:e>
        </m:d>
        <m:sSup>
          <m:sSupPr>
            <m:ctrlPr>
              <w:rPr>
                <w:rFonts w:ascii="Cambria Math" w:hAnsi="Cambria Math"/>
                <w:i/>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X</m:t>
                </m:r>
              </m:e>
            </m:d>
          </m:e>
          <m:sup>
            <m:d>
              <m:dPr>
                <m:begChr m:val="{"/>
                <m:endChr m:val="}"/>
                <m:ctrlPr>
                  <w:rPr>
                    <w:rFonts w:ascii="Cambria Math" w:hAnsi="Cambria Math"/>
                    <w:i/>
                    <w:sz w:val="24"/>
                    <w:szCs w:val="24"/>
                  </w:rPr>
                </m:ctrlPr>
              </m:dPr>
              <m:e>
                <m:r>
                  <w:rPr>
                    <w:rFonts w:ascii="Cambria Math" w:hAnsi="Cambria Math"/>
                    <w:sz w:val="24"/>
                    <w:szCs w:val="24"/>
                  </w:rPr>
                  <m:t>-1</m:t>
                </m:r>
              </m:e>
            </m:d>
          </m:sup>
        </m:sSup>
      </m:oMath>
      <w:r w:rsidR="00035B93" w:rsidRPr="001D6728">
        <w:rPr>
          <w:sz w:val="24"/>
          <w:szCs w:val="24"/>
        </w:rPr>
        <w:t xml:space="preserve">. </w:t>
      </w:r>
    </w:p>
    <w:p w14:paraId="652E6229" w14:textId="5337C125" w:rsidR="00035B93" w:rsidRPr="001D6728" w:rsidRDefault="00035B93" w:rsidP="003D6F2D">
      <w:pPr>
        <w:spacing w:after="240" w:line="360" w:lineRule="auto"/>
        <w:jc w:val="both"/>
        <w:rPr>
          <w:sz w:val="24"/>
          <w:szCs w:val="24"/>
        </w:rPr>
      </w:pPr>
      <w:r w:rsidRPr="001D6728">
        <w:rPr>
          <w:sz w:val="24"/>
          <w:szCs w:val="24"/>
        </w:rPr>
        <w:t xml:space="preserve">Effect size for rate differences employed </w:t>
      </w:r>
      <m:oMath>
        <m:r>
          <w:rPr>
            <w:rFonts w:ascii="Cambria Math" w:hAnsi="Cambria Math"/>
            <w:sz w:val="24"/>
            <w:szCs w:val="24"/>
          </w:rPr>
          <m:t>Cohe</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m:t>
            </m:r>
          </m:sup>
        </m:sSup>
        <m:r>
          <w:rPr>
            <w:rFonts w:ascii="Cambria Math" w:hAnsi="Cambria Math"/>
            <w:sz w:val="24"/>
            <w:szCs w:val="24"/>
          </w:rPr>
          <m:t>s h=</m:t>
        </m:r>
        <m:r>
          <w:rPr>
            <w:rFonts w:ascii="Cambria Math" w:hAnsi="Cambria Math"/>
            <w:sz w:val="24"/>
            <w:szCs w:val="24"/>
          </w:rPr>
          <m:t>2*</m:t>
        </m:r>
        <m:func>
          <m:funcPr>
            <m:ctrlPr>
              <w:rPr>
                <w:rFonts w:ascii="Cambria Math" w:hAnsi="Cambria Math"/>
                <w:sz w:val="24"/>
                <w:szCs w:val="24"/>
              </w:rPr>
            </m:ctrlPr>
          </m:funcPr>
          <m:fName>
            <m:r>
              <m:rPr>
                <m:sty m:val="p"/>
              </m:rPr>
              <w:rPr>
                <w:rFonts w:ascii="Cambria Math" w:hAnsi="Cambria Math"/>
                <w:sz w:val="24"/>
                <w:szCs w:val="24"/>
              </w:rPr>
              <m:t>arcsin</m:t>
            </m:r>
            <m:ctrlPr>
              <w:rPr>
                <w:rFonts w:ascii="Cambria Math" w:hAnsi="Cambria Math"/>
                <w:i/>
                <w:sz w:val="24"/>
                <w:szCs w:val="24"/>
              </w:rPr>
            </m:ctrlPr>
          </m:fName>
          <m:e>
            <m:d>
              <m:dPr>
                <m:ctrlPr>
                  <w:rPr>
                    <w:rFonts w:ascii="Cambria Math" w:hAnsi="Cambria Math"/>
                    <w:i/>
                    <w:sz w:val="24"/>
                    <w:szCs w:val="24"/>
                  </w:rPr>
                </m:ctrlPr>
              </m:dPr>
              <m:e>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p1</m:t>
                        </m:r>
                      </m:e>
                    </m:d>
                  </m:e>
                </m:rad>
              </m:e>
            </m:d>
          </m:e>
        </m:func>
        <m:r>
          <w:rPr>
            <w:rFonts w:ascii="Cambria Math" w:hAnsi="Cambria Math"/>
            <w:sz w:val="24"/>
            <w:szCs w:val="24"/>
          </w:rPr>
          <m:t>-2*</m:t>
        </m:r>
        <m:func>
          <m:funcPr>
            <m:ctrlPr>
              <w:rPr>
                <w:rFonts w:ascii="Cambria Math" w:hAnsi="Cambria Math"/>
                <w:sz w:val="24"/>
                <w:szCs w:val="24"/>
              </w:rPr>
            </m:ctrlPr>
          </m:funcPr>
          <m:fName>
            <m:r>
              <m:rPr>
                <m:sty m:val="p"/>
              </m:rPr>
              <w:rPr>
                <w:rFonts w:ascii="Cambria Math" w:hAnsi="Cambria Math"/>
                <w:sz w:val="24"/>
                <w:szCs w:val="24"/>
              </w:rPr>
              <m:t>arcsin</m:t>
            </m:r>
            <m:ctrlPr>
              <w:rPr>
                <w:rFonts w:ascii="Cambria Math" w:hAnsi="Cambria Math"/>
                <w:i/>
                <w:sz w:val="24"/>
                <w:szCs w:val="24"/>
              </w:rPr>
            </m:ctrlPr>
          </m:fName>
          <m:e>
            <m:d>
              <m:dPr>
                <m:ctrlPr>
                  <w:rPr>
                    <w:rFonts w:ascii="Cambria Math" w:hAnsi="Cambria Math"/>
                    <w:i/>
                    <w:sz w:val="24"/>
                    <w:szCs w:val="24"/>
                  </w:rPr>
                </m:ctrlPr>
              </m:dPr>
              <m:e>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p2</m:t>
                        </m:r>
                      </m:e>
                    </m:d>
                  </m:e>
                </m:rad>
              </m:e>
            </m:d>
          </m:e>
        </m:func>
      </m:oMath>
      <w:r w:rsidRPr="001D6728">
        <w:rPr>
          <w:sz w:val="24"/>
          <w:szCs w:val="24"/>
        </w:rPr>
        <w:t>. Stationarity of residuals was checked with ADF; serial correlation with Durbin-Watson.</w:t>
      </w:r>
    </w:p>
    <w:p w14:paraId="27C603AE" w14:textId="7287E3AE" w:rsidR="0041266D" w:rsidRPr="001D6728" w:rsidRDefault="0041266D" w:rsidP="003D6F2D">
      <w:pPr>
        <w:spacing w:before="240" w:after="240" w:line="360" w:lineRule="auto"/>
        <w:jc w:val="both"/>
        <w:rPr>
          <w:sz w:val="24"/>
          <w:szCs w:val="24"/>
        </w:rPr>
      </w:pPr>
    </w:p>
    <w:p w14:paraId="62367043" w14:textId="11411A6C" w:rsidR="0041266D" w:rsidRPr="001D6728" w:rsidRDefault="00FC5145" w:rsidP="003D6F2D">
      <w:pPr>
        <w:spacing w:before="240" w:after="240" w:line="360" w:lineRule="auto"/>
        <w:jc w:val="both"/>
        <w:rPr>
          <w:b/>
          <w:sz w:val="24"/>
          <w:szCs w:val="24"/>
        </w:rPr>
      </w:pPr>
      <w:r w:rsidRPr="001D6728">
        <w:rPr>
          <w:b/>
          <w:sz w:val="24"/>
          <w:szCs w:val="24"/>
        </w:rPr>
        <w:t>4.</w:t>
      </w:r>
      <w:r w:rsidRPr="001D6728">
        <w:rPr>
          <w:b/>
          <w:sz w:val="24"/>
          <w:szCs w:val="24"/>
        </w:rPr>
        <w:tab/>
        <w:t>Results and Discussion</w:t>
      </w:r>
    </w:p>
    <w:p w14:paraId="0773F1AA" w14:textId="1BBF3530" w:rsidR="00035B93" w:rsidRPr="001D6728" w:rsidRDefault="008505F6" w:rsidP="003D6F2D">
      <w:pPr>
        <w:spacing w:after="240" w:line="360" w:lineRule="auto"/>
        <w:jc w:val="both"/>
        <w:rPr>
          <w:sz w:val="24"/>
          <w:szCs w:val="24"/>
        </w:rPr>
      </w:pPr>
      <w:r w:rsidRPr="001D6728">
        <w:rPr>
          <w:b/>
          <w:sz w:val="24"/>
          <w:szCs w:val="24"/>
        </w:rPr>
        <w:t xml:space="preserve">Objective 1: </w:t>
      </w:r>
      <w:r w:rsidR="00035B93" w:rsidRPr="001D6728">
        <w:rPr>
          <w:b/>
          <w:sz w:val="24"/>
          <w:szCs w:val="24"/>
        </w:rPr>
        <w:t>Post-adoption challenges that impede ML scalability</w:t>
      </w:r>
    </w:p>
    <w:p w14:paraId="060ABB83" w14:textId="77777777" w:rsidR="00035B93" w:rsidRPr="001D6728" w:rsidRDefault="00035B93" w:rsidP="003D6F2D">
      <w:pPr>
        <w:spacing w:after="240" w:line="360" w:lineRule="auto"/>
        <w:jc w:val="both"/>
        <w:rPr>
          <w:sz w:val="24"/>
          <w:szCs w:val="24"/>
        </w:rPr>
      </w:pPr>
      <w:r w:rsidRPr="001D6728">
        <w:rPr>
          <w:sz w:val="24"/>
          <w:szCs w:val="24"/>
        </w:rPr>
        <w:t>A rolling-window drift evaluation with ADWIN alarms was adopted to assess detection performance and operational stability across ten consecutive windows. Primary indicators included F1, AUC, p95 inference latency, throughput (events/sec), and ΔF1 relative to the initial window.</w:t>
      </w:r>
    </w:p>
    <w:p w14:paraId="64C83F45" w14:textId="77777777" w:rsidR="00035B93" w:rsidRPr="001D6728" w:rsidRDefault="00035B93" w:rsidP="003D6F2D">
      <w:pPr>
        <w:spacing w:after="240" w:line="360" w:lineRule="auto"/>
        <w:jc w:val="both"/>
        <w:rPr>
          <w:sz w:val="24"/>
          <w:szCs w:val="24"/>
        </w:rPr>
      </w:pPr>
      <w:r w:rsidRPr="001D6728">
        <w:rPr>
          <w:sz w:val="24"/>
          <w:szCs w:val="24"/>
        </w:rPr>
        <w:t>Model performance exhibited a marked degradation prior to the drift alarm and recovered immediately after retraining, as shown in Figure 1.</w:t>
      </w:r>
    </w:p>
    <w:p w14:paraId="71301A1F" w14:textId="77777777" w:rsidR="00035B93" w:rsidRPr="001D6728" w:rsidRDefault="00035B93" w:rsidP="003D6F2D">
      <w:pPr>
        <w:spacing w:after="240" w:line="360" w:lineRule="auto"/>
        <w:jc w:val="both"/>
        <w:rPr>
          <w:sz w:val="24"/>
          <w:szCs w:val="24"/>
        </w:rPr>
      </w:pPr>
      <w:r w:rsidRPr="001D6728">
        <w:rPr>
          <w:noProof/>
          <w:sz w:val="24"/>
          <w:szCs w:val="24"/>
          <w:lang w:val="en-US"/>
        </w:rPr>
        <w:drawing>
          <wp:inline distT="0" distB="0" distL="0" distR="0" wp14:anchorId="25806A67" wp14:editId="4A7EB2C1">
            <wp:extent cx="576072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1_timeline.png"/>
                    <pic:cNvPicPr/>
                  </pic:nvPicPr>
                  <pic:blipFill>
                    <a:blip r:embed="rId7"/>
                    <a:stretch>
                      <a:fillRect/>
                    </a:stretch>
                  </pic:blipFill>
                  <pic:spPr>
                    <a:xfrm>
                      <a:off x="0" y="0"/>
                      <a:ext cx="5760720" cy="3240405"/>
                    </a:xfrm>
                    <a:prstGeom prst="rect">
                      <a:avLst/>
                    </a:prstGeom>
                  </pic:spPr>
                </pic:pic>
              </a:graphicData>
            </a:graphic>
          </wp:inline>
        </w:drawing>
      </w:r>
    </w:p>
    <w:p w14:paraId="5D671238" w14:textId="77777777" w:rsidR="00035B93" w:rsidRPr="001D6728" w:rsidRDefault="00035B93" w:rsidP="003D6F2D">
      <w:pPr>
        <w:spacing w:after="240" w:line="360" w:lineRule="auto"/>
        <w:jc w:val="both"/>
        <w:rPr>
          <w:b/>
          <w:i/>
          <w:sz w:val="24"/>
          <w:szCs w:val="24"/>
        </w:rPr>
      </w:pPr>
      <w:r w:rsidRPr="001D6728">
        <w:rPr>
          <w:b/>
          <w:i/>
          <w:sz w:val="24"/>
          <w:szCs w:val="24"/>
        </w:rPr>
        <w:lastRenderedPageBreak/>
        <w:t>Figure 1. Windowed F1 with drift alarm (dashed) and retrain (dotted) markers.</w:t>
      </w:r>
    </w:p>
    <w:p w14:paraId="5632CB07" w14:textId="77777777" w:rsidR="00035B93" w:rsidRPr="001D6728" w:rsidRDefault="00035B93" w:rsidP="003D6F2D">
      <w:pPr>
        <w:spacing w:after="240" w:line="360" w:lineRule="auto"/>
        <w:jc w:val="both"/>
        <w:rPr>
          <w:sz w:val="24"/>
          <w:szCs w:val="24"/>
        </w:rPr>
      </w:pPr>
      <w:r w:rsidRPr="001D6728">
        <w:rPr>
          <w:sz w:val="24"/>
          <w:szCs w:val="24"/>
        </w:rPr>
        <w:t>Operational and detection indicators for each window are summarized in Table 1.</w:t>
      </w:r>
    </w:p>
    <w:tbl>
      <w:tblPr>
        <w:tblStyle w:val="TableGrid"/>
        <w:tblW w:w="0" w:type="auto"/>
        <w:tblLook w:val="04A0" w:firstRow="1" w:lastRow="0" w:firstColumn="1" w:lastColumn="0" w:noHBand="0" w:noVBand="1"/>
      </w:tblPr>
      <w:tblGrid>
        <w:gridCol w:w="850"/>
        <w:gridCol w:w="970"/>
        <w:gridCol w:w="910"/>
        <w:gridCol w:w="663"/>
        <w:gridCol w:w="663"/>
        <w:gridCol w:w="1574"/>
        <w:gridCol w:w="613"/>
        <w:gridCol w:w="940"/>
        <w:gridCol w:w="1376"/>
        <w:gridCol w:w="791"/>
      </w:tblGrid>
      <w:tr w:rsidR="00035B93" w:rsidRPr="001D6728" w14:paraId="217F09FB" w14:textId="77777777" w:rsidTr="008E6F5F">
        <w:tc>
          <w:tcPr>
            <w:tcW w:w="864" w:type="dxa"/>
          </w:tcPr>
          <w:p w14:paraId="75A3BFD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Window</w:t>
            </w:r>
          </w:p>
        </w:tc>
        <w:tc>
          <w:tcPr>
            <w:tcW w:w="864" w:type="dxa"/>
          </w:tcPr>
          <w:p w14:paraId="260324A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StartDate</w:t>
            </w:r>
          </w:p>
        </w:tc>
        <w:tc>
          <w:tcPr>
            <w:tcW w:w="864" w:type="dxa"/>
          </w:tcPr>
          <w:p w14:paraId="61A0C44C" w14:textId="77777777" w:rsidR="00035B93" w:rsidRPr="001D6728" w:rsidRDefault="00035B93" w:rsidP="003D6F2D">
            <w:pPr>
              <w:spacing w:after="240" w:line="360" w:lineRule="auto"/>
              <w:jc w:val="both"/>
              <w:rPr>
                <w:rFonts w:ascii="Arial" w:hAnsi="Arial" w:cs="Arial"/>
                <w:sz w:val="24"/>
                <w:szCs w:val="24"/>
              </w:rPr>
            </w:pPr>
            <w:proofErr w:type="spellStart"/>
            <w:r w:rsidRPr="001D6728">
              <w:rPr>
                <w:rFonts w:ascii="Arial" w:hAnsi="Arial" w:cs="Arial"/>
                <w:sz w:val="24"/>
                <w:szCs w:val="24"/>
              </w:rPr>
              <w:t>EndDate</w:t>
            </w:r>
            <w:proofErr w:type="spellEnd"/>
          </w:p>
        </w:tc>
        <w:tc>
          <w:tcPr>
            <w:tcW w:w="864" w:type="dxa"/>
          </w:tcPr>
          <w:p w14:paraId="6F977DF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F1</w:t>
            </w:r>
          </w:p>
        </w:tc>
        <w:tc>
          <w:tcPr>
            <w:tcW w:w="864" w:type="dxa"/>
          </w:tcPr>
          <w:p w14:paraId="21C824D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AUC</w:t>
            </w:r>
          </w:p>
        </w:tc>
        <w:tc>
          <w:tcPr>
            <w:tcW w:w="864" w:type="dxa"/>
          </w:tcPr>
          <w:p w14:paraId="163A9AF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Latency_p95_ms</w:t>
            </w:r>
          </w:p>
        </w:tc>
        <w:tc>
          <w:tcPr>
            <w:tcW w:w="864" w:type="dxa"/>
          </w:tcPr>
          <w:p w14:paraId="61587C9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TPS</w:t>
            </w:r>
          </w:p>
        </w:tc>
        <w:tc>
          <w:tcPr>
            <w:tcW w:w="864" w:type="dxa"/>
          </w:tcPr>
          <w:p w14:paraId="1AB01B1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Delta_F1</w:t>
            </w:r>
          </w:p>
        </w:tc>
        <w:tc>
          <w:tcPr>
            <w:tcW w:w="864" w:type="dxa"/>
          </w:tcPr>
          <w:p w14:paraId="710C660C" w14:textId="77777777" w:rsidR="00035B93" w:rsidRPr="001D6728" w:rsidRDefault="00035B93" w:rsidP="003D6F2D">
            <w:pPr>
              <w:spacing w:after="240" w:line="360" w:lineRule="auto"/>
              <w:jc w:val="both"/>
              <w:rPr>
                <w:rFonts w:ascii="Arial" w:hAnsi="Arial" w:cs="Arial"/>
                <w:sz w:val="24"/>
                <w:szCs w:val="24"/>
              </w:rPr>
            </w:pPr>
            <w:proofErr w:type="spellStart"/>
            <w:r w:rsidRPr="001D6728">
              <w:rPr>
                <w:rFonts w:ascii="Arial" w:hAnsi="Arial" w:cs="Arial"/>
                <w:sz w:val="24"/>
                <w:szCs w:val="24"/>
              </w:rPr>
              <w:t>ADWIN_Alarm</w:t>
            </w:r>
            <w:proofErr w:type="spellEnd"/>
          </w:p>
        </w:tc>
        <w:tc>
          <w:tcPr>
            <w:tcW w:w="864" w:type="dxa"/>
          </w:tcPr>
          <w:p w14:paraId="03B3BDA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Retrain</w:t>
            </w:r>
          </w:p>
        </w:tc>
      </w:tr>
      <w:tr w:rsidR="00035B93" w:rsidRPr="001D6728" w14:paraId="431C810A" w14:textId="77777777" w:rsidTr="008E6F5F">
        <w:tc>
          <w:tcPr>
            <w:tcW w:w="864" w:type="dxa"/>
          </w:tcPr>
          <w:p w14:paraId="21AEAE0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W1</w:t>
            </w:r>
          </w:p>
        </w:tc>
        <w:tc>
          <w:tcPr>
            <w:tcW w:w="864" w:type="dxa"/>
          </w:tcPr>
          <w:p w14:paraId="45567C0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2025-08-10</w:t>
            </w:r>
          </w:p>
        </w:tc>
        <w:tc>
          <w:tcPr>
            <w:tcW w:w="864" w:type="dxa"/>
          </w:tcPr>
          <w:p w14:paraId="21E1420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2025-08-16</w:t>
            </w:r>
          </w:p>
        </w:tc>
        <w:tc>
          <w:tcPr>
            <w:tcW w:w="864" w:type="dxa"/>
          </w:tcPr>
          <w:p w14:paraId="59AF01C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0.942</w:t>
            </w:r>
          </w:p>
        </w:tc>
        <w:tc>
          <w:tcPr>
            <w:tcW w:w="864" w:type="dxa"/>
          </w:tcPr>
          <w:p w14:paraId="29E4E79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0.989</w:t>
            </w:r>
          </w:p>
        </w:tc>
        <w:tc>
          <w:tcPr>
            <w:tcW w:w="864" w:type="dxa"/>
          </w:tcPr>
          <w:p w14:paraId="4D958F0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12.29</w:t>
            </w:r>
          </w:p>
        </w:tc>
        <w:tc>
          <w:tcPr>
            <w:tcW w:w="864" w:type="dxa"/>
          </w:tcPr>
          <w:p w14:paraId="7D9DE7F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4216</w:t>
            </w:r>
          </w:p>
        </w:tc>
        <w:tc>
          <w:tcPr>
            <w:tcW w:w="864" w:type="dxa"/>
          </w:tcPr>
          <w:p w14:paraId="2DD8234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w:t>
            </w:r>
          </w:p>
        </w:tc>
        <w:tc>
          <w:tcPr>
            <w:tcW w:w="864" w:type="dxa"/>
          </w:tcPr>
          <w:p w14:paraId="57CE381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1D4A369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4097E689" w14:textId="77777777" w:rsidTr="008E6F5F">
        <w:tc>
          <w:tcPr>
            <w:tcW w:w="864" w:type="dxa"/>
          </w:tcPr>
          <w:p w14:paraId="378F3C1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W2</w:t>
            </w:r>
          </w:p>
        </w:tc>
        <w:tc>
          <w:tcPr>
            <w:tcW w:w="864" w:type="dxa"/>
          </w:tcPr>
          <w:p w14:paraId="0D0127E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2025-08-17</w:t>
            </w:r>
          </w:p>
        </w:tc>
        <w:tc>
          <w:tcPr>
            <w:tcW w:w="864" w:type="dxa"/>
          </w:tcPr>
          <w:p w14:paraId="0065ACA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2025-08-23</w:t>
            </w:r>
          </w:p>
        </w:tc>
        <w:tc>
          <w:tcPr>
            <w:tcW w:w="864" w:type="dxa"/>
          </w:tcPr>
          <w:p w14:paraId="579E532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0.944</w:t>
            </w:r>
          </w:p>
        </w:tc>
        <w:tc>
          <w:tcPr>
            <w:tcW w:w="864" w:type="dxa"/>
          </w:tcPr>
          <w:p w14:paraId="6FE98F2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0.992</w:t>
            </w:r>
          </w:p>
        </w:tc>
        <w:tc>
          <w:tcPr>
            <w:tcW w:w="864" w:type="dxa"/>
          </w:tcPr>
          <w:p w14:paraId="6E25E76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11.75</w:t>
            </w:r>
          </w:p>
        </w:tc>
        <w:tc>
          <w:tcPr>
            <w:tcW w:w="864" w:type="dxa"/>
          </w:tcPr>
          <w:p w14:paraId="3F2ADCE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4259</w:t>
            </w:r>
          </w:p>
        </w:tc>
        <w:tc>
          <w:tcPr>
            <w:tcW w:w="864" w:type="dxa"/>
          </w:tcPr>
          <w:p w14:paraId="6A68F08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-0.002</w:t>
            </w:r>
          </w:p>
        </w:tc>
        <w:tc>
          <w:tcPr>
            <w:tcW w:w="864" w:type="dxa"/>
          </w:tcPr>
          <w:p w14:paraId="56DFE20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65EFEE5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26F3CB07" w14:textId="77777777" w:rsidTr="008E6F5F">
        <w:tc>
          <w:tcPr>
            <w:tcW w:w="864" w:type="dxa"/>
          </w:tcPr>
          <w:p w14:paraId="1E73E89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W3</w:t>
            </w:r>
          </w:p>
        </w:tc>
        <w:tc>
          <w:tcPr>
            <w:tcW w:w="864" w:type="dxa"/>
          </w:tcPr>
          <w:p w14:paraId="5FADD18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2025-08-24</w:t>
            </w:r>
          </w:p>
        </w:tc>
        <w:tc>
          <w:tcPr>
            <w:tcW w:w="864" w:type="dxa"/>
          </w:tcPr>
          <w:p w14:paraId="2A4AF8A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2025-08-30</w:t>
            </w:r>
          </w:p>
        </w:tc>
        <w:tc>
          <w:tcPr>
            <w:tcW w:w="864" w:type="dxa"/>
          </w:tcPr>
          <w:p w14:paraId="1931569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w:t>
            </w:r>
          </w:p>
        </w:tc>
        <w:tc>
          <w:tcPr>
            <w:tcW w:w="864" w:type="dxa"/>
          </w:tcPr>
          <w:p w14:paraId="14D39C6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w:t>
            </w:r>
          </w:p>
        </w:tc>
        <w:tc>
          <w:tcPr>
            <w:tcW w:w="864" w:type="dxa"/>
          </w:tcPr>
          <w:p w14:paraId="1522C73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11.72</w:t>
            </w:r>
          </w:p>
        </w:tc>
        <w:tc>
          <w:tcPr>
            <w:tcW w:w="864" w:type="dxa"/>
          </w:tcPr>
          <w:p w14:paraId="72419FF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4275</w:t>
            </w:r>
          </w:p>
        </w:tc>
        <w:tc>
          <w:tcPr>
            <w:tcW w:w="864" w:type="dxa"/>
          </w:tcPr>
          <w:p w14:paraId="5AA27A6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0.002</w:t>
            </w:r>
          </w:p>
        </w:tc>
        <w:tc>
          <w:tcPr>
            <w:tcW w:w="864" w:type="dxa"/>
          </w:tcPr>
          <w:p w14:paraId="263FB4B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75039EE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09ED0580" w14:textId="77777777" w:rsidTr="008E6F5F">
        <w:tc>
          <w:tcPr>
            <w:tcW w:w="864" w:type="dxa"/>
          </w:tcPr>
          <w:p w14:paraId="71C08D8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W4</w:t>
            </w:r>
          </w:p>
        </w:tc>
        <w:tc>
          <w:tcPr>
            <w:tcW w:w="864" w:type="dxa"/>
          </w:tcPr>
          <w:p w14:paraId="03035B6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2025-08-31</w:t>
            </w:r>
          </w:p>
        </w:tc>
        <w:tc>
          <w:tcPr>
            <w:tcW w:w="864" w:type="dxa"/>
          </w:tcPr>
          <w:p w14:paraId="32D6379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2025-09-06</w:t>
            </w:r>
          </w:p>
        </w:tc>
        <w:tc>
          <w:tcPr>
            <w:tcW w:w="864" w:type="dxa"/>
          </w:tcPr>
          <w:p w14:paraId="5F1F660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0.938</w:t>
            </w:r>
          </w:p>
        </w:tc>
        <w:tc>
          <w:tcPr>
            <w:tcW w:w="864" w:type="dxa"/>
          </w:tcPr>
          <w:p w14:paraId="529A515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0.991</w:t>
            </w:r>
          </w:p>
        </w:tc>
        <w:tc>
          <w:tcPr>
            <w:tcW w:w="864" w:type="dxa"/>
          </w:tcPr>
          <w:p w14:paraId="053064C9"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11.85</w:t>
            </w:r>
          </w:p>
        </w:tc>
        <w:tc>
          <w:tcPr>
            <w:tcW w:w="864" w:type="dxa"/>
          </w:tcPr>
          <w:p w14:paraId="2C971A2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4149</w:t>
            </w:r>
          </w:p>
        </w:tc>
        <w:tc>
          <w:tcPr>
            <w:tcW w:w="864" w:type="dxa"/>
          </w:tcPr>
          <w:p w14:paraId="3BD25D2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0.004</w:t>
            </w:r>
          </w:p>
        </w:tc>
        <w:tc>
          <w:tcPr>
            <w:tcW w:w="864" w:type="dxa"/>
          </w:tcPr>
          <w:p w14:paraId="104C49A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59B1829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3FEDE178" w14:textId="77777777" w:rsidTr="008E6F5F">
        <w:tc>
          <w:tcPr>
            <w:tcW w:w="864" w:type="dxa"/>
          </w:tcPr>
          <w:p w14:paraId="64F8BD0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W5</w:t>
            </w:r>
          </w:p>
        </w:tc>
        <w:tc>
          <w:tcPr>
            <w:tcW w:w="864" w:type="dxa"/>
          </w:tcPr>
          <w:p w14:paraId="3578212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2025-09-07</w:t>
            </w:r>
          </w:p>
        </w:tc>
        <w:tc>
          <w:tcPr>
            <w:tcW w:w="864" w:type="dxa"/>
          </w:tcPr>
          <w:p w14:paraId="5C9D128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2025-09-13</w:t>
            </w:r>
          </w:p>
        </w:tc>
        <w:tc>
          <w:tcPr>
            <w:tcW w:w="864" w:type="dxa"/>
          </w:tcPr>
          <w:p w14:paraId="10DC05A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0.857</w:t>
            </w:r>
          </w:p>
        </w:tc>
        <w:tc>
          <w:tcPr>
            <w:tcW w:w="864" w:type="dxa"/>
          </w:tcPr>
          <w:p w14:paraId="63D1BE3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0.972</w:t>
            </w:r>
          </w:p>
        </w:tc>
        <w:tc>
          <w:tcPr>
            <w:tcW w:w="864" w:type="dxa"/>
          </w:tcPr>
          <w:p w14:paraId="007C43E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13.43</w:t>
            </w:r>
          </w:p>
        </w:tc>
        <w:tc>
          <w:tcPr>
            <w:tcW w:w="864" w:type="dxa"/>
          </w:tcPr>
          <w:p w14:paraId="3A46375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4030</w:t>
            </w:r>
          </w:p>
        </w:tc>
        <w:tc>
          <w:tcPr>
            <w:tcW w:w="864" w:type="dxa"/>
          </w:tcPr>
          <w:p w14:paraId="32C6859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0.09</w:t>
            </w:r>
          </w:p>
        </w:tc>
        <w:tc>
          <w:tcPr>
            <w:tcW w:w="864" w:type="dxa"/>
          </w:tcPr>
          <w:p w14:paraId="0500980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02D4FCA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56857069" w14:textId="77777777" w:rsidTr="008E6F5F">
        <w:tc>
          <w:tcPr>
            <w:tcW w:w="864" w:type="dxa"/>
          </w:tcPr>
          <w:p w14:paraId="23EF9F0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W6</w:t>
            </w:r>
          </w:p>
        </w:tc>
        <w:tc>
          <w:tcPr>
            <w:tcW w:w="864" w:type="dxa"/>
          </w:tcPr>
          <w:p w14:paraId="3AB47F46"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2025-09-14</w:t>
            </w:r>
          </w:p>
        </w:tc>
        <w:tc>
          <w:tcPr>
            <w:tcW w:w="864" w:type="dxa"/>
          </w:tcPr>
          <w:p w14:paraId="39836EF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2025-09-20</w:t>
            </w:r>
          </w:p>
        </w:tc>
        <w:tc>
          <w:tcPr>
            <w:tcW w:w="864" w:type="dxa"/>
          </w:tcPr>
          <w:p w14:paraId="02446E4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0.774</w:t>
            </w:r>
          </w:p>
        </w:tc>
        <w:tc>
          <w:tcPr>
            <w:tcW w:w="864" w:type="dxa"/>
          </w:tcPr>
          <w:p w14:paraId="1647089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0.959</w:t>
            </w:r>
          </w:p>
        </w:tc>
        <w:tc>
          <w:tcPr>
            <w:tcW w:w="864" w:type="dxa"/>
          </w:tcPr>
          <w:p w14:paraId="3E203855"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14.29</w:t>
            </w:r>
          </w:p>
        </w:tc>
        <w:tc>
          <w:tcPr>
            <w:tcW w:w="864" w:type="dxa"/>
          </w:tcPr>
          <w:p w14:paraId="751DF25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3845</w:t>
            </w:r>
          </w:p>
        </w:tc>
        <w:tc>
          <w:tcPr>
            <w:tcW w:w="864" w:type="dxa"/>
          </w:tcPr>
          <w:p w14:paraId="18E5D45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0.178</w:t>
            </w:r>
          </w:p>
        </w:tc>
        <w:tc>
          <w:tcPr>
            <w:tcW w:w="864" w:type="dxa"/>
          </w:tcPr>
          <w:p w14:paraId="440EAE3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True</w:t>
            </w:r>
          </w:p>
        </w:tc>
        <w:tc>
          <w:tcPr>
            <w:tcW w:w="864" w:type="dxa"/>
          </w:tcPr>
          <w:p w14:paraId="023F6EA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1BE781C3" w14:textId="77777777" w:rsidTr="008E6F5F">
        <w:tc>
          <w:tcPr>
            <w:tcW w:w="864" w:type="dxa"/>
          </w:tcPr>
          <w:p w14:paraId="5836414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W7</w:t>
            </w:r>
          </w:p>
        </w:tc>
        <w:tc>
          <w:tcPr>
            <w:tcW w:w="864" w:type="dxa"/>
          </w:tcPr>
          <w:p w14:paraId="3472A55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2025-09-21</w:t>
            </w:r>
          </w:p>
        </w:tc>
        <w:tc>
          <w:tcPr>
            <w:tcW w:w="864" w:type="dxa"/>
          </w:tcPr>
          <w:p w14:paraId="2D3EF4E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2025-09-27</w:t>
            </w:r>
          </w:p>
        </w:tc>
        <w:tc>
          <w:tcPr>
            <w:tcW w:w="864" w:type="dxa"/>
          </w:tcPr>
          <w:p w14:paraId="6346B92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0.947</w:t>
            </w:r>
          </w:p>
        </w:tc>
        <w:tc>
          <w:tcPr>
            <w:tcW w:w="864" w:type="dxa"/>
          </w:tcPr>
          <w:p w14:paraId="2B3B037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0.993</w:t>
            </w:r>
          </w:p>
        </w:tc>
        <w:tc>
          <w:tcPr>
            <w:tcW w:w="864" w:type="dxa"/>
          </w:tcPr>
          <w:p w14:paraId="11FF9E7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12.32</w:t>
            </w:r>
          </w:p>
        </w:tc>
        <w:tc>
          <w:tcPr>
            <w:tcW w:w="864" w:type="dxa"/>
          </w:tcPr>
          <w:p w14:paraId="166F9068"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4162</w:t>
            </w:r>
          </w:p>
        </w:tc>
        <w:tc>
          <w:tcPr>
            <w:tcW w:w="864" w:type="dxa"/>
          </w:tcPr>
          <w:p w14:paraId="5103905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-0.005</w:t>
            </w:r>
          </w:p>
        </w:tc>
        <w:tc>
          <w:tcPr>
            <w:tcW w:w="864" w:type="dxa"/>
          </w:tcPr>
          <w:p w14:paraId="10C53A0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795062B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True</w:t>
            </w:r>
          </w:p>
        </w:tc>
      </w:tr>
      <w:tr w:rsidR="00035B93" w:rsidRPr="001D6728" w14:paraId="7E23F308" w14:textId="77777777" w:rsidTr="008E6F5F">
        <w:tc>
          <w:tcPr>
            <w:tcW w:w="864" w:type="dxa"/>
          </w:tcPr>
          <w:p w14:paraId="1B69DEB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W8</w:t>
            </w:r>
          </w:p>
        </w:tc>
        <w:tc>
          <w:tcPr>
            <w:tcW w:w="864" w:type="dxa"/>
          </w:tcPr>
          <w:p w14:paraId="4793151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2025-09-28</w:t>
            </w:r>
          </w:p>
        </w:tc>
        <w:tc>
          <w:tcPr>
            <w:tcW w:w="864" w:type="dxa"/>
          </w:tcPr>
          <w:p w14:paraId="709DB733"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2025-10-04</w:t>
            </w:r>
          </w:p>
        </w:tc>
        <w:tc>
          <w:tcPr>
            <w:tcW w:w="864" w:type="dxa"/>
          </w:tcPr>
          <w:p w14:paraId="6D8A0C2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0.939</w:t>
            </w:r>
          </w:p>
        </w:tc>
        <w:tc>
          <w:tcPr>
            <w:tcW w:w="864" w:type="dxa"/>
          </w:tcPr>
          <w:p w14:paraId="6401DC8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0.992</w:t>
            </w:r>
          </w:p>
        </w:tc>
        <w:tc>
          <w:tcPr>
            <w:tcW w:w="864" w:type="dxa"/>
          </w:tcPr>
          <w:p w14:paraId="3675500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12.29</w:t>
            </w:r>
          </w:p>
        </w:tc>
        <w:tc>
          <w:tcPr>
            <w:tcW w:w="864" w:type="dxa"/>
          </w:tcPr>
          <w:p w14:paraId="4D8CE0F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4131</w:t>
            </w:r>
          </w:p>
        </w:tc>
        <w:tc>
          <w:tcPr>
            <w:tcW w:w="864" w:type="dxa"/>
          </w:tcPr>
          <w:p w14:paraId="309FEA5B"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0.003</w:t>
            </w:r>
          </w:p>
        </w:tc>
        <w:tc>
          <w:tcPr>
            <w:tcW w:w="864" w:type="dxa"/>
          </w:tcPr>
          <w:p w14:paraId="01EE717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33848660"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0A4FA3E8" w14:textId="77777777" w:rsidTr="008E6F5F">
        <w:tc>
          <w:tcPr>
            <w:tcW w:w="864" w:type="dxa"/>
          </w:tcPr>
          <w:p w14:paraId="442F68CD"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W9</w:t>
            </w:r>
          </w:p>
        </w:tc>
        <w:tc>
          <w:tcPr>
            <w:tcW w:w="864" w:type="dxa"/>
          </w:tcPr>
          <w:p w14:paraId="69D453B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2025-10-05</w:t>
            </w:r>
          </w:p>
        </w:tc>
        <w:tc>
          <w:tcPr>
            <w:tcW w:w="864" w:type="dxa"/>
          </w:tcPr>
          <w:p w14:paraId="119C8C1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2025-10-11</w:t>
            </w:r>
          </w:p>
        </w:tc>
        <w:tc>
          <w:tcPr>
            <w:tcW w:w="864" w:type="dxa"/>
          </w:tcPr>
          <w:p w14:paraId="3DB81F4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0.943</w:t>
            </w:r>
          </w:p>
        </w:tc>
        <w:tc>
          <w:tcPr>
            <w:tcW w:w="864" w:type="dxa"/>
          </w:tcPr>
          <w:p w14:paraId="5B95ED5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0.988</w:t>
            </w:r>
          </w:p>
        </w:tc>
        <w:tc>
          <w:tcPr>
            <w:tcW w:w="864" w:type="dxa"/>
          </w:tcPr>
          <w:p w14:paraId="21BE318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12.57</w:t>
            </w:r>
          </w:p>
        </w:tc>
        <w:tc>
          <w:tcPr>
            <w:tcW w:w="864" w:type="dxa"/>
          </w:tcPr>
          <w:p w14:paraId="187F514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4246</w:t>
            </w:r>
          </w:p>
        </w:tc>
        <w:tc>
          <w:tcPr>
            <w:tcW w:w="864" w:type="dxa"/>
          </w:tcPr>
          <w:p w14:paraId="675ECC7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-0.001</w:t>
            </w:r>
          </w:p>
        </w:tc>
        <w:tc>
          <w:tcPr>
            <w:tcW w:w="864" w:type="dxa"/>
          </w:tcPr>
          <w:p w14:paraId="3AD6D4B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5EAC128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r w:rsidR="00035B93" w:rsidRPr="001D6728" w14:paraId="3EFA7846" w14:textId="77777777" w:rsidTr="008E6F5F">
        <w:tc>
          <w:tcPr>
            <w:tcW w:w="864" w:type="dxa"/>
          </w:tcPr>
          <w:p w14:paraId="2C4FAD1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lastRenderedPageBreak/>
              <w:t>W10</w:t>
            </w:r>
          </w:p>
        </w:tc>
        <w:tc>
          <w:tcPr>
            <w:tcW w:w="864" w:type="dxa"/>
          </w:tcPr>
          <w:p w14:paraId="07B0DCFF"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2025-10-12</w:t>
            </w:r>
          </w:p>
        </w:tc>
        <w:tc>
          <w:tcPr>
            <w:tcW w:w="864" w:type="dxa"/>
          </w:tcPr>
          <w:p w14:paraId="271AE39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2025-10-18</w:t>
            </w:r>
          </w:p>
        </w:tc>
        <w:tc>
          <w:tcPr>
            <w:tcW w:w="864" w:type="dxa"/>
          </w:tcPr>
          <w:p w14:paraId="4D9A50EE"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0.942</w:t>
            </w:r>
          </w:p>
        </w:tc>
        <w:tc>
          <w:tcPr>
            <w:tcW w:w="864" w:type="dxa"/>
          </w:tcPr>
          <w:p w14:paraId="341F86F7"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0.992</w:t>
            </w:r>
          </w:p>
        </w:tc>
        <w:tc>
          <w:tcPr>
            <w:tcW w:w="864" w:type="dxa"/>
          </w:tcPr>
          <w:p w14:paraId="388976AA"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12.35</w:t>
            </w:r>
          </w:p>
        </w:tc>
        <w:tc>
          <w:tcPr>
            <w:tcW w:w="864" w:type="dxa"/>
          </w:tcPr>
          <w:p w14:paraId="0C9A35CC"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4179</w:t>
            </w:r>
          </w:p>
        </w:tc>
        <w:tc>
          <w:tcPr>
            <w:tcW w:w="864" w:type="dxa"/>
          </w:tcPr>
          <w:p w14:paraId="130E8504"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0.0</w:t>
            </w:r>
          </w:p>
        </w:tc>
        <w:tc>
          <w:tcPr>
            <w:tcW w:w="864" w:type="dxa"/>
          </w:tcPr>
          <w:p w14:paraId="2F119CE2"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c>
          <w:tcPr>
            <w:tcW w:w="864" w:type="dxa"/>
          </w:tcPr>
          <w:p w14:paraId="51BC46F1" w14:textId="77777777" w:rsidR="00035B93" w:rsidRPr="001D6728" w:rsidRDefault="00035B93" w:rsidP="003D6F2D">
            <w:pPr>
              <w:spacing w:after="240" w:line="360" w:lineRule="auto"/>
              <w:jc w:val="both"/>
              <w:rPr>
                <w:rFonts w:ascii="Arial" w:hAnsi="Arial" w:cs="Arial"/>
                <w:sz w:val="24"/>
                <w:szCs w:val="24"/>
              </w:rPr>
            </w:pPr>
            <w:r w:rsidRPr="001D6728">
              <w:rPr>
                <w:rFonts w:ascii="Arial" w:hAnsi="Arial" w:cs="Arial"/>
                <w:sz w:val="24"/>
                <w:szCs w:val="24"/>
              </w:rPr>
              <w:t>False</w:t>
            </w:r>
          </w:p>
        </w:tc>
      </w:tr>
    </w:tbl>
    <w:p w14:paraId="29E4DE69" w14:textId="77777777" w:rsidR="00035B93" w:rsidRPr="001D6728" w:rsidRDefault="00035B93" w:rsidP="003D6F2D">
      <w:pPr>
        <w:spacing w:after="240" w:line="360" w:lineRule="auto"/>
        <w:jc w:val="both"/>
        <w:rPr>
          <w:b/>
          <w:i/>
          <w:sz w:val="24"/>
          <w:szCs w:val="24"/>
        </w:rPr>
      </w:pPr>
      <w:r w:rsidRPr="001D6728">
        <w:rPr>
          <w:b/>
          <w:i/>
          <w:sz w:val="24"/>
          <w:szCs w:val="24"/>
        </w:rPr>
        <w:t>Table 1. Windowed performance and resource KPIs.</w:t>
      </w:r>
    </w:p>
    <w:p w14:paraId="4C3538D6" w14:textId="77777777" w:rsidR="00035B93" w:rsidRPr="001D6728" w:rsidRDefault="00035B93" w:rsidP="003D6F2D">
      <w:pPr>
        <w:spacing w:after="240" w:line="360" w:lineRule="auto"/>
        <w:jc w:val="both"/>
        <w:rPr>
          <w:sz w:val="24"/>
          <w:szCs w:val="24"/>
        </w:rPr>
      </w:pPr>
      <w:r w:rsidRPr="001D6728">
        <w:rPr>
          <w:sz w:val="24"/>
          <w:szCs w:val="24"/>
        </w:rPr>
        <w:t>Throughput dynamics co-varied with performance across windows, highlighting capacity constraints during drift; bubble size encodes throughput in Figure 2.</w:t>
      </w:r>
    </w:p>
    <w:p w14:paraId="30D249A7" w14:textId="3CCBF67B" w:rsidR="00035B93" w:rsidRPr="001D6728" w:rsidRDefault="00035B93" w:rsidP="003D6F2D">
      <w:pPr>
        <w:spacing w:after="240" w:line="360" w:lineRule="auto"/>
        <w:jc w:val="both"/>
        <w:rPr>
          <w:sz w:val="24"/>
          <w:szCs w:val="24"/>
        </w:rPr>
      </w:pPr>
      <w:r w:rsidRPr="001D6728">
        <w:rPr>
          <w:noProof/>
          <w:sz w:val="24"/>
          <w:szCs w:val="24"/>
          <w:lang w:val="en-US"/>
        </w:rPr>
        <w:drawing>
          <wp:inline distT="0" distB="0" distL="0" distR="0" wp14:anchorId="77BBAF96" wp14:editId="20A605A0">
            <wp:extent cx="5943600" cy="2066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 2025-10-16T092945.04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066290"/>
                    </a:xfrm>
                    <a:prstGeom prst="rect">
                      <a:avLst/>
                    </a:prstGeom>
                  </pic:spPr>
                </pic:pic>
              </a:graphicData>
            </a:graphic>
          </wp:inline>
        </w:drawing>
      </w:r>
    </w:p>
    <w:p w14:paraId="0E605254" w14:textId="77777777" w:rsidR="00035B93" w:rsidRPr="001D6728" w:rsidRDefault="00035B93" w:rsidP="003D6F2D">
      <w:pPr>
        <w:spacing w:after="240" w:line="360" w:lineRule="auto"/>
        <w:jc w:val="both"/>
        <w:rPr>
          <w:b/>
          <w:i/>
          <w:sz w:val="24"/>
          <w:szCs w:val="24"/>
        </w:rPr>
      </w:pPr>
      <w:r w:rsidRPr="001D6728">
        <w:rPr>
          <w:b/>
          <w:i/>
          <w:sz w:val="24"/>
          <w:szCs w:val="24"/>
        </w:rPr>
        <w:t>Figure 2. Bubble timeline of F1 by window (bubble size proportional to throughput).</w:t>
      </w:r>
    </w:p>
    <w:p w14:paraId="4A0955EF" w14:textId="77777777" w:rsidR="00035B93" w:rsidRPr="001D6728" w:rsidRDefault="00035B93" w:rsidP="005B3708">
      <w:pPr>
        <w:spacing w:after="240" w:line="360" w:lineRule="auto"/>
        <w:jc w:val="both"/>
        <w:rPr>
          <w:sz w:val="24"/>
          <w:szCs w:val="24"/>
        </w:rPr>
      </w:pPr>
      <w:r w:rsidRPr="001D6728">
        <w:rPr>
          <w:sz w:val="24"/>
          <w:szCs w:val="24"/>
        </w:rPr>
        <w:t>Performance declined from high F1 in early windows to a minimum at the alarm window, with ΔF1 indicating substantial concept drift.</w:t>
      </w:r>
    </w:p>
    <w:p w14:paraId="6332933B" w14:textId="77777777" w:rsidR="00035B93" w:rsidRPr="001D6728" w:rsidRDefault="00035B93" w:rsidP="005B3708">
      <w:pPr>
        <w:spacing w:after="240" w:line="360" w:lineRule="auto"/>
        <w:jc w:val="both"/>
        <w:rPr>
          <w:sz w:val="24"/>
          <w:szCs w:val="24"/>
        </w:rPr>
      </w:pPr>
      <w:r w:rsidRPr="001D6728">
        <w:rPr>
          <w:sz w:val="24"/>
          <w:szCs w:val="24"/>
        </w:rPr>
        <w:t>ADWIN flagged drift in the sixth window; retraining in the subsequent window restored F1 and AUC to baseline levels.</w:t>
      </w:r>
    </w:p>
    <w:p w14:paraId="26471D5F" w14:textId="77777777" w:rsidR="00035B93" w:rsidRPr="001D6728" w:rsidRDefault="00035B93" w:rsidP="005B3708">
      <w:pPr>
        <w:spacing w:after="240" w:line="360" w:lineRule="auto"/>
        <w:jc w:val="both"/>
        <w:rPr>
          <w:sz w:val="24"/>
          <w:szCs w:val="24"/>
        </w:rPr>
      </w:pPr>
      <w:r w:rsidRPr="001D6728">
        <w:rPr>
          <w:sz w:val="24"/>
          <w:szCs w:val="24"/>
        </w:rPr>
        <w:t>p95 inference latency increased during drift while throughput decreased, indicating concurrent operational strain.</w:t>
      </w:r>
    </w:p>
    <w:p w14:paraId="113E7E50" w14:textId="77777777" w:rsidR="00035B93" w:rsidRPr="001D6728" w:rsidRDefault="00035B93" w:rsidP="005B3708">
      <w:pPr>
        <w:spacing w:after="240" w:line="360" w:lineRule="auto"/>
        <w:jc w:val="both"/>
        <w:rPr>
          <w:sz w:val="24"/>
          <w:szCs w:val="24"/>
        </w:rPr>
      </w:pPr>
      <w:r w:rsidRPr="001D6728">
        <w:rPr>
          <w:sz w:val="24"/>
          <w:szCs w:val="24"/>
        </w:rPr>
        <w:t>Post-retrain windows maintained stable metrics with minimal ΔF1, evidencing sustained recovery.</w:t>
      </w:r>
    </w:p>
    <w:p w14:paraId="3D9B9AA3" w14:textId="15E205BD" w:rsidR="006035EF" w:rsidRPr="001D6728" w:rsidRDefault="008505F6" w:rsidP="003D6F2D">
      <w:pPr>
        <w:spacing w:after="240" w:line="360" w:lineRule="auto"/>
        <w:jc w:val="both"/>
        <w:rPr>
          <w:sz w:val="24"/>
          <w:szCs w:val="24"/>
        </w:rPr>
      </w:pPr>
      <w:r w:rsidRPr="001D6728">
        <w:rPr>
          <w:b/>
          <w:sz w:val="24"/>
          <w:szCs w:val="24"/>
        </w:rPr>
        <w:t xml:space="preserve">Objective 2: </w:t>
      </w:r>
      <w:r w:rsidR="006035EF" w:rsidRPr="001D6728">
        <w:rPr>
          <w:b/>
          <w:sz w:val="24"/>
          <w:szCs w:val="24"/>
        </w:rPr>
        <w:t>Organizational, infrastructural, and governance factors for successful scaling</w:t>
      </w:r>
    </w:p>
    <w:p w14:paraId="158839A8" w14:textId="77777777" w:rsidR="006035EF" w:rsidRPr="001D6728" w:rsidRDefault="006035EF" w:rsidP="003D6F2D">
      <w:pPr>
        <w:spacing w:after="240" w:line="360" w:lineRule="auto"/>
        <w:jc w:val="both"/>
        <w:rPr>
          <w:sz w:val="24"/>
          <w:szCs w:val="24"/>
        </w:rPr>
      </w:pPr>
      <w:r w:rsidRPr="001D6728">
        <w:rPr>
          <w:sz w:val="24"/>
          <w:szCs w:val="24"/>
        </w:rPr>
        <w:lastRenderedPageBreak/>
        <w:t xml:space="preserve">A count-regression approach with a Negative Binomial link was adopted to estimate incident severity as a function of governance, </w:t>
      </w:r>
      <w:proofErr w:type="spellStart"/>
      <w:r w:rsidRPr="001D6728">
        <w:rPr>
          <w:sz w:val="24"/>
          <w:szCs w:val="24"/>
        </w:rPr>
        <w:t>MLOps</w:t>
      </w:r>
      <w:proofErr w:type="spellEnd"/>
      <w:r w:rsidRPr="001D6728">
        <w:rPr>
          <w:sz w:val="24"/>
          <w:szCs w:val="24"/>
        </w:rPr>
        <w:t>, and data-management gaps, with controls for sector, year, and region.</w:t>
      </w:r>
    </w:p>
    <w:p w14:paraId="26189EBA" w14:textId="77777777" w:rsidR="006035EF" w:rsidRPr="001D6728" w:rsidRDefault="006035EF" w:rsidP="003D6F2D">
      <w:pPr>
        <w:spacing w:after="240" w:line="360" w:lineRule="auto"/>
        <w:jc w:val="both"/>
        <w:rPr>
          <w:sz w:val="24"/>
          <w:szCs w:val="24"/>
        </w:rPr>
      </w:pPr>
      <w:r w:rsidRPr="001D6728">
        <w:rPr>
          <w:sz w:val="24"/>
          <w:szCs w:val="24"/>
        </w:rPr>
        <w:t>Key factors exhibited material and statistically reliable effects on incident severity, as evidenced in Figure 3.</w:t>
      </w:r>
    </w:p>
    <w:p w14:paraId="198DFDFE" w14:textId="77777777" w:rsidR="006035EF" w:rsidRPr="001D6728" w:rsidRDefault="006035EF" w:rsidP="003D6F2D">
      <w:pPr>
        <w:spacing w:after="240" w:line="360" w:lineRule="auto"/>
        <w:jc w:val="both"/>
        <w:rPr>
          <w:sz w:val="24"/>
          <w:szCs w:val="24"/>
        </w:rPr>
      </w:pPr>
      <w:r w:rsidRPr="001D6728">
        <w:rPr>
          <w:noProof/>
          <w:sz w:val="24"/>
          <w:szCs w:val="24"/>
          <w:lang w:val="en-US"/>
        </w:rPr>
        <w:drawing>
          <wp:inline distT="0" distB="0" distL="0" distR="0" wp14:anchorId="4FB4229B" wp14:editId="4CA07CC2">
            <wp:extent cx="5760720" cy="3680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effect_bubbles.png"/>
                    <pic:cNvPicPr/>
                  </pic:nvPicPr>
                  <pic:blipFill>
                    <a:blip r:embed="rId9"/>
                    <a:stretch>
                      <a:fillRect/>
                    </a:stretch>
                  </pic:blipFill>
                  <pic:spPr>
                    <a:xfrm>
                      <a:off x="0" y="0"/>
                      <a:ext cx="5760720" cy="3680460"/>
                    </a:xfrm>
                    <a:prstGeom prst="rect">
                      <a:avLst/>
                    </a:prstGeom>
                  </pic:spPr>
                </pic:pic>
              </a:graphicData>
            </a:graphic>
          </wp:inline>
        </w:drawing>
      </w:r>
    </w:p>
    <w:p w14:paraId="7755CA7E" w14:textId="77777777" w:rsidR="006035EF" w:rsidRPr="001D6728" w:rsidRDefault="006035EF" w:rsidP="003D6F2D">
      <w:pPr>
        <w:spacing w:after="240" w:line="360" w:lineRule="auto"/>
        <w:jc w:val="both"/>
        <w:rPr>
          <w:b/>
          <w:i/>
          <w:sz w:val="24"/>
          <w:szCs w:val="24"/>
        </w:rPr>
      </w:pPr>
      <w:r w:rsidRPr="001D6728">
        <w:rPr>
          <w:b/>
          <w:i/>
          <w:sz w:val="24"/>
          <w:szCs w:val="24"/>
        </w:rPr>
        <w:t>Figure 3. Effect bubble plot comparing Incidence Rate Ratios and statistical strength for primary predictors.</w:t>
      </w:r>
    </w:p>
    <w:p w14:paraId="31464015" w14:textId="00688CC8" w:rsidR="006035EF" w:rsidRPr="001D6728" w:rsidRDefault="006035EF" w:rsidP="003D6F2D">
      <w:pPr>
        <w:spacing w:after="240" w:line="360" w:lineRule="auto"/>
        <w:jc w:val="both"/>
        <w:rPr>
          <w:sz w:val="24"/>
          <w:szCs w:val="24"/>
        </w:rPr>
      </w:pPr>
      <w:r w:rsidRPr="001D6728">
        <w:rPr>
          <w:sz w:val="24"/>
          <w:szCs w:val="24"/>
        </w:rPr>
        <w:t xml:space="preserve">Model estimates are summarized in Table </w:t>
      </w:r>
      <w:r w:rsidR="00D5779C">
        <w:rPr>
          <w:sz w:val="24"/>
          <w:szCs w:val="24"/>
        </w:rPr>
        <w:t>2</w:t>
      </w:r>
      <w:r w:rsidRPr="001D6728">
        <w:rPr>
          <w:sz w:val="24"/>
          <w:szCs w:val="24"/>
        </w:rPr>
        <w:t>, reported as incidence-rate ratios with 95% confidence intervals and p-values.</w:t>
      </w:r>
    </w:p>
    <w:tbl>
      <w:tblPr>
        <w:tblStyle w:val="TableGrid"/>
        <w:tblW w:w="0" w:type="auto"/>
        <w:tblLook w:val="04A0" w:firstRow="1" w:lastRow="0" w:firstColumn="1" w:lastColumn="0" w:noHBand="0" w:noVBand="1"/>
      </w:tblPr>
      <w:tblGrid>
        <w:gridCol w:w="2160"/>
        <w:gridCol w:w="2160"/>
        <w:gridCol w:w="2160"/>
        <w:gridCol w:w="2160"/>
      </w:tblGrid>
      <w:tr w:rsidR="006035EF" w:rsidRPr="001D6728" w14:paraId="71A88F76" w14:textId="77777777" w:rsidTr="008E6F5F">
        <w:tc>
          <w:tcPr>
            <w:tcW w:w="2160" w:type="dxa"/>
          </w:tcPr>
          <w:p w14:paraId="6F15264A"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Variable</w:t>
            </w:r>
          </w:p>
        </w:tc>
        <w:tc>
          <w:tcPr>
            <w:tcW w:w="2160" w:type="dxa"/>
          </w:tcPr>
          <w:p w14:paraId="196ADBB9"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IRR</w:t>
            </w:r>
          </w:p>
        </w:tc>
        <w:tc>
          <w:tcPr>
            <w:tcW w:w="2160" w:type="dxa"/>
          </w:tcPr>
          <w:p w14:paraId="337BFEFB"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95% CI</w:t>
            </w:r>
          </w:p>
        </w:tc>
        <w:tc>
          <w:tcPr>
            <w:tcW w:w="2160" w:type="dxa"/>
          </w:tcPr>
          <w:p w14:paraId="36F1B48E"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p-value</w:t>
            </w:r>
          </w:p>
        </w:tc>
      </w:tr>
      <w:tr w:rsidR="006035EF" w:rsidRPr="001D6728" w14:paraId="1AF88C61" w14:textId="77777777" w:rsidTr="008E6F5F">
        <w:tc>
          <w:tcPr>
            <w:tcW w:w="2160" w:type="dxa"/>
          </w:tcPr>
          <w:p w14:paraId="6A94A6F0" w14:textId="510D54D5" w:rsidR="006035EF" w:rsidRPr="001D6728" w:rsidRDefault="00FC5145" w:rsidP="003D6F2D">
            <w:pPr>
              <w:spacing w:after="240" w:line="360" w:lineRule="auto"/>
              <w:jc w:val="both"/>
              <w:rPr>
                <w:rFonts w:ascii="Arial" w:hAnsi="Arial" w:cs="Arial"/>
                <w:sz w:val="24"/>
                <w:szCs w:val="24"/>
              </w:rPr>
            </w:pPr>
            <w:r w:rsidRPr="001D6728">
              <w:rPr>
                <w:rFonts w:ascii="Arial" w:hAnsi="Arial" w:cs="Arial"/>
                <w:sz w:val="24"/>
                <w:szCs w:val="24"/>
              </w:rPr>
              <w:t xml:space="preserve">Governance </w:t>
            </w:r>
            <w:r w:rsidR="006035EF" w:rsidRPr="001D6728">
              <w:rPr>
                <w:rFonts w:ascii="Arial" w:hAnsi="Arial" w:cs="Arial"/>
                <w:sz w:val="24"/>
                <w:szCs w:val="24"/>
              </w:rPr>
              <w:t>gap</w:t>
            </w:r>
          </w:p>
        </w:tc>
        <w:tc>
          <w:tcPr>
            <w:tcW w:w="2160" w:type="dxa"/>
          </w:tcPr>
          <w:p w14:paraId="63D535CE"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1.619</w:t>
            </w:r>
          </w:p>
        </w:tc>
        <w:tc>
          <w:tcPr>
            <w:tcW w:w="2160" w:type="dxa"/>
          </w:tcPr>
          <w:p w14:paraId="057DF9E7"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[1.355, 1.933]</w:t>
            </w:r>
          </w:p>
        </w:tc>
        <w:tc>
          <w:tcPr>
            <w:tcW w:w="2160" w:type="dxa"/>
          </w:tcPr>
          <w:p w14:paraId="4CE8D322"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0.0000</w:t>
            </w:r>
          </w:p>
        </w:tc>
      </w:tr>
      <w:tr w:rsidR="006035EF" w:rsidRPr="001D6728" w14:paraId="1A01125F" w14:textId="77777777" w:rsidTr="008E6F5F">
        <w:tc>
          <w:tcPr>
            <w:tcW w:w="2160" w:type="dxa"/>
          </w:tcPr>
          <w:p w14:paraId="4C2E3496" w14:textId="6E27A9B3" w:rsidR="006035EF" w:rsidRPr="001D6728" w:rsidRDefault="00FC5145" w:rsidP="003D6F2D">
            <w:pPr>
              <w:spacing w:after="240" w:line="360" w:lineRule="auto"/>
              <w:jc w:val="both"/>
              <w:rPr>
                <w:rFonts w:ascii="Arial" w:hAnsi="Arial" w:cs="Arial"/>
                <w:sz w:val="24"/>
                <w:szCs w:val="24"/>
              </w:rPr>
            </w:pPr>
            <w:proofErr w:type="spellStart"/>
            <w:r w:rsidRPr="001D6728">
              <w:rPr>
                <w:rFonts w:ascii="Arial" w:hAnsi="Arial" w:cs="Arial"/>
                <w:sz w:val="24"/>
                <w:szCs w:val="24"/>
              </w:rPr>
              <w:t>MLOps</w:t>
            </w:r>
            <w:proofErr w:type="spellEnd"/>
            <w:r w:rsidRPr="001D6728">
              <w:rPr>
                <w:rFonts w:ascii="Arial" w:hAnsi="Arial" w:cs="Arial"/>
                <w:sz w:val="24"/>
                <w:szCs w:val="24"/>
              </w:rPr>
              <w:t xml:space="preserve"> </w:t>
            </w:r>
            <w:r w:rsidR="006035EF" w:rsidRPr="001D6728">
              <w:rPr>
                <w:rFonts w:ascii="Arial" w:hAnsi="Arial" w:cs="Arial"/>
                <w:sz w:val="24"/>
                <w:szCs w:val="24"/>
              </w:rPr>
              <w:t>gap</w:t>
            </w:r>
          </w:p>
        </w:tc>
        <w:tc>
          <w:tcPr>
            <w:tcW w:w="2160" w:type="dxa"/>
          </w:tcPr>
          <w:p w14:paraId="23A4460C"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1.313</w:t>
            </w:r>
          </w:p>
        </w:tc>
        <w:tc>
          <w:tcPr>
            <w:tcW w:w="2160" w:type="dxa"/>
          </w:tcPr>
          <w:p w14:paraId="701FEEE2"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[1.100, 1.567]</w:t>
            </w:r>
          </w:p>
        </w:tc>
        <w:tc>
          <w:tcPr>
            <w:tcW w:w="2160" w:type="dxa"/>
          </w:tcPr>
          <w:p w14:paraId="141C3A9B"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0.0026</w:t>
            </w:r>
          </w:p>
        </w:tc>
      </w:tr>
      <w:tr w:rsidR="006035EF" w:rsidRPr="001D6728" w14:paraId="32CF2EE3" w14:textId="77777777" w:rsidTr="008E6F5F">
        <w:tc>
          <w:tcPr>
            <w:tcW w:w="2160" w:type="dxa"/>
          </w:tcPr>
          <w:p w14:paraId="362A739F" w14:textId="4C1C9C51" w:rsidR="006035EF" w:rsidRPr="001D6728" w:rsidRDefault="00FC5145" w:rsidP="003D6F2D">
            <w:pPr>
              <w:spacing w:after="240" w:line="360" w:lineRule="auto"/>
              <w:jc w:val="both"/>
              <w:rPr>
                <w:rFonts w:ascii="Arial" w:hAnsi="Arial" w:cs="Arial"/>
                <w:sz w:val="24"/>
                <w:szCs w:val="24"/>
              </w:rPr>
            </w:pPr>
            <w:r w:rsidRPr="001D6728">
              <w:rPr>
                <w:rFonts w:ascii="Arial" w:hAnsi="Arial" w:cs="Arial"/>
                <w:sz w:val="24"/>
                <w:szCs w:val="24"/>
              </w:rPr>
              <w:lastRenderedPageBreak/>
              <w:t xml:space="preserve">Data </w:t>
            </w:r>
            <w:r w:rsidR="006035EF" w:rsidRPr="001D6728">
              <w:rPr>
                <w:rFonts w:ascii="Arial" w:hAnsi="Arial" w:cs="Arial"/>
                <w:sz w:val="24"/>
                <w:szCs w:val="24"/>
              </w:rPr>
              <w:t>gap</w:t>
            </w:r>
          </w:p>
        </w:tc>
        <w:tc>
          <w:tcPr>
            <w:tcW w:w="2160" w:type="dxa"/>
          </w:tcPr>
          <w:p w14:paraId="15A25B94"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1.327</w:t>
            </w:r>
          </w:p>
        </w:tc>
        <w:tc>
          <w:tcPr>
            <w:tcW w:w="2160" w:type="dxa"/>
          </w:tcPr>
          <w:p w14:paraId="109FF4D1"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[1.099, 1.603]</w:t>
            </w:r>
          </w:p>
        </w:tc>
        <w:tc>
          <w:tcPr>
            <w:tcW w:w="2160" w:type="dxa"/>
          </w:tcPr>
          <w:p w14:paraId="637FA44E"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0.0033</w:t>
            </w:r>
          </w:p>
        </w:tc>
      </w:tr>
      <w:tr w:rsidR="006035EF" w:rsidRPr="001D6728" w14:paraId="01EE38F4" w14:textId="77777777" w:rsidTr="008E6F5F">
        <w:tc>
          <w:tcPr>
            <w:tcW w:w="2160" w:type="dxa"/>
          </w:tcPr>
          <w:p w14:paraId="5146792E" w14:textId="039C4288" w:rsidR="006035EF" w:rsidRPr="001D6728" w:rsidRDefault="00FC5145" w:rsidP="003D6F2D">
            <w:pPr>
              <w:spacing w:after="240" w:line="360" w:lineRule="auto"/>
              <w:jc w:val="both"/>
              <w:rPr>
                <w:rFonts w:ascii="Arial" w:hAnsi="Arial" w:cs="Arial"/>
                <w:sz w:val="24"/>
                <w:szCs w:val="24"/>
              </w:rPr>
            </w:pPr>
            <w:r w:rsidRPr="001D6728">
              <w:rPr>
                <w:rFonts w:ascii="Arial" w:hAnsi="Arial" w:cs="Arial"/>
                <w:sz w:val="24"/>
                <w:szCs w:val="24"/>
              </w:rPr>
              <w:t xml:space="preserve">Sector </w:t>
            </w:r>
            <w:r w:rsidR="006035EF" w:rsidRPr="001D6728">
              <w:rPr>
                <w:rFonts w:ascii="Arial" w:hAnsi="Arial" w:cs="Arial"/>
                <w:sz w:val="24"/>
                <w:szCs w:val="24"/>
              </w:rPr>
              <w:t>e</w:t>
            </w:r>
            <w:r w:rsidRPr="001D6728">
              <w:rPr>
                <w:rFonts w:ascii="Arial" w:hAnsi="Arial" w:cs="Arial"/>
                <w:sz w:val="24"/>
                <w:szCs w:val="24"/>
              </w:rPr>
              <w:t>-</w:t>
            </w:r>
            <w:r w:rsidR="006035EF" w:rsidRPr="001D6728">
              <w:rPr>
                <w:rFonts w:ascii="Arial" w:hAnsi="Arial" w:cs="Arial"/>
                <w:sz w:val="24"/>
                <w:szCs w:val="24"/>
              </w:rPr>
              <w:t>commerce</w:t>
            </w:r>
          </w:p>
        </w:tc>
        <w:tc>
          <w:tcPr>
            <w:tcW w:w="2160" w:type="dxa"/>
          </w:tcPr>
          <w:p w14:paraId="17A3B4D4"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1.197</w:t>
            </w:r>
          </w:p>
        </w:tc>
        <w:tc>
          <w:tcPr>
            <w:tcW w:w="2160" w:type="dxa"/>
          </w:tcPr>
          <w:p w14:paraId="7E5CD7B1"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[1.006, 1.425]</w:t>
            </w:r>
          </w:p>
        </w:tc>
        <w:tc>
          <w:tcPr>
            <w:tcW w:w="2160" w:type="dxa"/>
          </w:tcPr>
          <w:p w14:paraId="4ACBA7B9" w14:textId="77777777" w:rsidR="006035EF" w:rsidRPr="001D6728" w:rsidRDefault="006035EF" w:rsidP="003D6F2D">
            <w:pPr>
              <w:spacing w:after="240" w:line="360" w:lineRule="auto"/>
              <w:jc w:val="both"/>
              <w:rPr>
                <w:rFonts w:ascii="Arial" w:hAnsi="Arial" w:cs="Arial"/>
                <w:sz w:val="24"/>
                <w:szCs w:val="24"/>
              </w:rPr>
            </w:pPr>
            <w:r w:rsidRPr="001D6728">
              <w:rPr>
                <w:rFonts w:ascii="Arial" w:hAnsi="Arial" w:cs="Arial"/>
                <w:sz w:val="24"/>
                <w:szCs w:val="24"/>
              </w:rPr>
              <w:t>0.0432</w:t>
            </w:r>
          </w:p>
        </w:tc>
      </w:tr>
    </w:tbl>
    <w:p w14:paraId="2B0BACD4" w14:textId="4507EC77" w:rsidR="006035EF" w:rsidRPr="001D6728" w:rsidRDefault="006035EF" w:rsidP="003D6F2D">
      <w:pPr>
        <w:spacing w:after="240" w:line="360" w:lineRule="auto"/>
        <w:jc w:val="both"/>
        <w:rPr>
          <w:b/>
          <w:i/>
          <w:sz w:val="24"/>
          <w:szCs w:val="24"/>
        </w:rPr>
      </w:pPr>
      <w:r w:rsidRPr="001D6728">
        <w:rPr>
          <w:b/>
          <w:i/>
          <w:sz w:val="24"/>
          <w:szCs w:val="24"/>
        </w:rPr>
        <w:t xml:space="preserve">Table </w:t>
      </w:r>
      <w:r w:rsidR="00D5779C">
        <w:rPr>
          <w:b/>
          <w:i/>
          <w:sz w:val="24"/>
          <w:szCs w:val="24"/>
        </w:rPr>
        <w:t>2</w:t>
      </w:r>
      <w:r w:rsidRPr="001D6728">
        <w:rPr>
          <w:b/>
          <w:i/>
          <w:sz w:val="24"/>
          <w:szCs w:val="24"/>
        </w:rPr>
        <w:t>. Negative Binomial estimates reported as incidence-rate ratios (IRR) with robust standard errors.</w:t>
      </w:r>
    </w:p>
    <w:p w14:paraId="79F1FFBB" w14:textId="77777777" w:rsidR="006035EF" w:rsidRPr="001D6728" w:rsidRDefault="006035EF" w:rsidP="003D6F2D">
      <w:pPr>
        <w:spacing w:after="240" w:line="360" w:lineRule="auto"/>
        <w:jc w:val="both"/>
        <w:rPr>
          <w:sz w:val="24"/>
          <w:szCs w:val="24"/>
        </w:rPr>
      </w:pPr>
      <w:r w:rsidRPr="001D6728">
        <w:rPr>
          <w:sz w:val="24"/>
          <w:szCs w:val="24"/>
        </w:rPr>
        <w:t xml:space="preserve">Predicted incident severity increased monotonically with the accumulation of governance, </w:t>
      </w:r>
      <w:proofErr w:type="spellStart"/>
      <w:r w:rsidRPr="001D6728">
        <w:rPr>
          <w:sz w:val="24"/>
          <w:szCs w:val="24"/>
        </w:rPr>
        <w:t>MLOps</w:t>
      </w:r>
      <w:proofErr w:type="spellEnd"/>
      <w:r w:rsidRPr="001D6728">
        <w:rPr>
          <w:sz w:val="24"/>
          <w:szCs w:val="24"/>
        </w:rPr>
        <w:t>, and data gaps, as shown in Figure 4.</w:t>
      </w:r>
    </w:p>
    <w:p w14:paraId="53EC9B0C" w14:textId="77777777" w:rsidR="006035EF" w:rsidRPr="001D6728" w:rsidRDefault="006035EF" w:rsidP="003D6F2D">
      <w:pPr>
        <w:spacing w:after="240" w:line="360" w:lineRule="auto"/>
        <w:jc w:val="both"/>
        <w:rPr>
          <w:sz w:val="24"/>
          <w:szCs w:val="24"/>
        </w:rPr>
      </w:pPr>
      <w:r w:rsidRPr="001D6728">
        <w:rPr>
          <w:noProof/>
          <w:sz w:val="24"/>
          <w:szCs w:val="24"/>
          <w:lang w:val="en-US"/>
        </w:rPr>
        <w:drawing>
          <wp:inline distT="0" distB="0" distL="0" distR="0" wp14:anchorId="43DF0042" wp14:editId="5D19BF63">
            <wp:extent cx="5760720" cy="3680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violin_gaps.png"/>
                    <pic:cNvPicPr/>
                  </pic:nvPicPr>
                  <pic:blipFill>
                    <a:blip r:embed="rId10"/>
                    <a:stretch>
                      <a:fillRect/>
                    </a:stretch>
                  </pic:blipFill>
                  <pic:spPr>
                    <a:xfrm>
                      <a:off x="0" y="0"/>
                      <a:ext cx="5760720" cy="3680460"/>
                    </a:xfrm>
                    <a:prstGeom prst="rect">
                      <a:avLst/>
                    </a:prstGeom>
                  </pic:spPr>
                </pic:pic>
              </a:graphicData>
            </a:graphic>
          </wp:inline>
        </w:drawing>
      </w:r>
    </w:p>
    <w:p w14:paraId="37050DC7" w14:textId="77777777" w:rsidR="006035EF" w:rsidRPr="001D6728" w:rsidRDefault="006035EF" w:rsidP="003D6F2D">
      <w:pPr>
        <w:spacing w:after="240" w:line="360" w:lineRule="auto"/>
        <w:jc w:val="both"/>
        <w:rPr>
          <w:b/>
          <w:i/>
          <w:sz w:val="24"/>
          <w:szCs w:val="24"/>
        </w:rPr>
      </w:pPr>
      <w:r w:rsidRPr="001D6728">
        <w:rPr>
          <w:b/>
          <w:i/>
          <w:sz w:val="24"/>
          <w:szCs w:val="24"/>
        </w:rPr>
        <w:t>Figure 4. Violin plot of predicted incident severity by total gap count (0–3).</w:t>
      </w:r>
    </w:p>
    <w:p w14:paraId="0FFBF35E" w14:textId="5A945140" w:rsidR="006035EF" w:rsidRPr="001D6728" w:rsidRDefault="006035EF" w:rsidP="003D6F2D">
      <w:pPr>
        <w:spacing w:after="240" w:line="360" w:lineRule="auto"/>
        <w:jc w:val="both"/>
        <w:rPr>
          <w:sz w:val="24"/>
          <w:szCs w:val="24"/>
        </w:rPr>
      </w:pPr>
      <w:r w:rsidRPr="001D6728">
        <w:rPr>
          <w:sz w:val="24"/>
          <w:szCs w:val="24"/>
        </w:rPr>
        <w:t xml:space="preserve">Governance gaps yielded the largest IRR, followed by data and </w:t>
      </w:r>
      <w:proofErr w:type="spellStart"/>
      <w:r w:rsidRPr="001D6728">
        <w:rPr>
          <w:sz w:val="24"/>
          <w:szCs w:val="24"/>
        </w:rPr>
        <w:t>MLOps</w:t>
      </w:r>
      <w:proofErr w:type="spellEnd"/>
      <w:r w:rsidRPr="001D6728">
        <w:rPr>
          <w:sz w:val="24"/>
          <w:szCs w:val="24"/>
        </w:rPr>
        <w:t xml:space="preserve"> gaps.</w:t>
      </w:r>
      <w:r w:rsidR="007E4388" w:rsidRPr="001D6728">
        <w:rPr>
          <w:sz w:val="24"/>
          <w:szCs w:val="24"/>
        </w:rPr>
        <w:t xml:space="preserve"> </w:t>
      </w:r>
      <w:r w:rsidRPr="001D6728">
        <w:rPr>
          <w:sz w:val="24"/>
          <w:szCs w:val="24"/>
        </w:rPr>
        <w:t>All primary predictors were statistically significant and directionally consistent with increased severity.</w:t>
      </w:r>
      <w:r w:rsidR="007E4388" w:rsidRPr="001D6728">
        <w:rPr>
          <w:sz w:val="24"/>
          <w:szCs w:val="24"/>
        </w:rPr>
        <w:t xml:space="preserve"> </w:t>
      </w:r>
      <w:r w:rsidRPr="001D6728">
        <w:rPr>
          <w:sz w:val="24"/>
          <w:szCs w:val="24"/>
        </w:rPr>
        <w:t>Predicted counts rose with each additional gap, indicating compounding risk exposure.</w:t>
      </w:r>
    </w:p>
    <w:p w14:paraId="540A2C5B" w14:textId="4113CFB0" w:rsidR="00A666FB" w:rsidRPr="001D6728" w:rsidRDefault="00360E67" w:rsidP="003D6F2D">
      <w:pPr>
        <w:spacing w:after="240" w:line="360" w:lineRule="auto"/>
        <w:jc w:val="both"/>
        <w:rPr>
          <w:sz w:val="24"/>
          <w:szCs w:val="24"/>
        </w:rPr>
      </w:pPr>
      <w:r w:rsidRPr="001D6728">
        <w:rPr>
          <w:b/>
          <w:sz w:val="24"/>
          <w:szCs w:val="24"/>
        </w:rPr>
        <w:t xml:space="preserve">Objective 3: </w:t>
      </w:r>
      <w:r w:rsidR="00A666FB" w:rsidRPr="001D6728">
        <w:rPr>
          <w:b/>
          <w:sz w:val="24"/>
          <w:szCs w:val="24"/>
        </w:rPr>
        <w:t>Design and empirical validation of ML-SF</w:t>
      </w:r>
    </w:p>
    <w:p w14:paraId="255475E7" w14:textId="77777777" w:rsidR="00A666FB" w:rsidRPr="001D6728" w:rsidRDefault="00A666FB" w:rsidP="003D6F2D">
      <w:pPr>
        <w:spacing w:after="240" w:line="360" w:lineRule="auto"/>
        <w:jc w:val="both"/>
        <w:rPr>
          <w:sz w:val="24"/>
          <w:szCs w:val="24"/>
        </w:rPr>
      </w:pPr>
      <w:r w:rsidRPr="001D6728">
        <w:rPr>
          <w:sz w:val="24"/>
          <w:szCs w:val="24"/>
        </w:rPr>
        <w:lastRenderedPageBreak/>
        <w:t>An interrupted time series segmented regression with robust (Newey–West) inference was adopted to estimate level and slope changes at the activation of ML-SF controls.</w:t>
      </w:r>
    </w:p>
    <w:p w14:paraId="343BE667" w14:textId="5601C94C" w:rsidR="00A666FB" w:rsidRPr="001D6728" w:rsidRDefault="00A666FB" w:rsidP="003D6F2D">
      <w:pPr>
        <w:spacing w:after="240" w:line="360" w:lineRule="auto"/>
        <w:jc w:val="both"/>
        <w:rPr>
          <w:sz w:val="24"/>
          <w:szCs w:val="24"/>
        </w:rPr>
      </w:pPr>
      <w:r w:rsidRPr="001D6728">
        <w:rPr>
          <w:sz w:val="24"/>
          <w:szCs w:val="24"/>
        </w:rPr>
        <w:t xml:space="preserve">A visible level increase and favorable slope change in detection performance are evident after control activation, as shown in Figure </w:t>
      </w:r>
      <w:r w:rsidR="004A3781" w:rsidRPr="001D6728">
        <w:rPr>
          <w:sz w:val="24"/>
          <w:szCs w:val="24"/>
        </w:rPr>
        <w:t>5</w:t>
      </w:r>
      <w:r w:rsidRPr="001D6728">
        <w:rPr>
          <w:sz w:val="24"/>
          <w:szCs w:val="24"/>
        </w:rPr>
        <w:t>.</w:t>
      </w:r>
    </w:p>
    <w:p w14:paraId="7902BBD5" w14:textId="77777777" w:rsidR="00A666FB" w:rsidRPr="001D6728" w:rsidRDefault="00A666FB" w:rsidP="003D6F2D">
      <w:pPr>
        <w:spacing w:after="240" w:line="360" w:lineRule="auto"/>
        <w:jc w:val="both"/>
        <w:rPr>
          <w:sz w:val="24"/>
          <w:szCs w:val="24"/>
        </w:rPr>
      </w:pPr>
      <w:r w:rsidRPr="001D6728">
        <w:rPr>
          <w:noProof/>
          <w:sz w:val="24"/>
          <w:szCs w:val="24"/>
          <w:lang w:val="en-US"/>
        </w:rPr>
        <w:drawing>
          <wp:inline distT="0" distB="0" distL="0" distR="0" wp14:anchorId="3F94290A" wp14:editId="31F7303D">
            <wp:extent cx="5760720" cy="309111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ITS_DetectionRate.png"/>
                    <pic:cNvPicPr/>
                  </pic:nvPicPr>
                  <pic:blipFill>
                    <a:blip r:embed="rId11"/>
                    <a:stretch>
                      <a:fillRect/>
                    </a:stretch>
                  </pic:blipFill>
                  <pic:spPr>
                    <a:xfrm>
                      <a:off x="0" y="0"/>
                      <a:ext cx="5760720" cy="3091118"/>
                    </a:xfrm>
                    <a:prstGeom prst="rect">
                      <a:avLst/>
                    </a:prstGeom>
                  </pic:spPr>
                </pic:pic>
              </a:graphicData>
            </a:graphic>
          </wp:inline>
        </w:drawing>
      </w:r>
    </w:p>
    <w:p w14:paraId="78ECBFFB" w14:textId="59070CA0" w:rsidR="00A666FB" w:rsidRPr="001D6728" w:rsidRDefault="004A3781" w:rsidP="003D6F2D">
      <w:pPr>
        <w:spacing w:after="240" w:line="360" w:lineRule="auto"/>
        <w:jc w:val="both"/>
        <w:rPr>
          <w:b/>
          <w:i/>
          <w:sz w:val="24"/>
          <w:szCs w:val="24"/>
        </w:rPr>
      </w:pPr>
      <w:r w:rsidRPr="001D6728">
        <w:rPr>
          <w:b/>
          <w:i/>
          <w:sz w:val="24"/>
          <w:szCs w:val="24"/>
        </w:rPr>
        <w:t>Figure 5</w:t>
      </w:r>
      <w:r w:rsidR="00A666FB" w:rsidRPr="001D6728">
        <w:rPr>
          <w:b/>
          <w:i/>
          <w:sz w:val="24"/>
          <w:szCs w:val="24"/>
        </w:rPr>
        <w:t xml:space="preserve">. Interrupted time series of </w:t>
      </w:r>
      <w:proofErr w:type="spellStart"/>
      <w:r w:rsidR="00A666FB" w:rsidRPr="001D6728">
        <w:rPr>
          <w:b/>
          <w:i/>
          <w:sz w:val="24"/>
          <w:szCs w:val="24"/>
        </w:rPr>
        <w:t>DetectionRate</w:t>
      </w:r>
      <w:proofErr w:type="spellEnd"/>
      <w:r w:rsidR="00A666FB" w:rsidRPr="001D6728">
        <w:rPr>
          <w:b/>
          <w:i/>
          <w:sz w:val="24"/>
          <w:szCs w:val="24"/>
        </w:rPr>
        <w:t xml:space="preserve"> with fitted series and counterfactual; vertical marker denotes ML-SF activation.</w:t>
      </w:r>
    </w:p>
    <w:p w14:paraId="2D8DE5B6" w14:textId="222AD428" w:rsidR="00A666FB" w:rsidRPr="001D6728" w:rsidRDefault="00A666FB" w:rsidP="003D6F2D">
      <w:pPr>
        <w:spacing w:after="240" w:line="360" w:lineRule="auto"/>
        <w:jc w:val="both"/>
        <w:rPr>
          <w:sz w:val="24"/>
          <w:szCs w:val="24"/>
        </w:rPr>
      </w:pPr>
      <w:r w:rsidRPr="001D6728">
        <w:rPr>
          <w:sz w:val="24"/>
          <w:szCs w:val="24"/>
        </w:rPr>
        <w:t xml:space="preserve">Segmented-regression estimates are reported in Table </w:t>
      </w:r>
      <w:r w:rsidR="00D5779C">
        <w:rPr>
          <w:sz w:val="24"/>
          <w:szCs w:val="24"/>
        </w:rPr>
        <w:t>3</w:t>
      </w:r>
      <w:r w:rsidRPr="001D6728">
        <w:rPr>
          <w:sz w:val="24"/>
          <w:szCs w:val="24"/>
        </w:rPr>
        <w:t xml:space="preserve"> for </w:t>
      </w:r>
      <w:proofErr w:type="spellStart"/>
      <w:r w:rsidRPr="001D6728">
        <w:rPr>
          <w:sz w:val="24"/>
          <w:szCs w:val="24"/>
        </w:rPr>
        <w:t>DetectionRate</w:t>
      </w:r>
      <w:proofErr w:type="spellEnd"/>
      <w:r w:rsidRPr="001D6728">
        <w:rPr>
          <w:sz w:val="24"/>
          <w:szCs w:val="24"/>
        </w:rPr>
        <w:t xml:space="preserve"> and FPR, including level and slope changes with Newey–West standard errors.</w:t>
      </w:r>
    </w:p>
    <w:tbl>
      <w:tblPr>
        <w:tblStyle w:val="PlainTable5"/>
        <w:tblW w:w="9906" w:type="dxa"/>
        <w:tblLook w:val="04A0" w:firstRow="1" w:lastRow="0" w:firstColumn="1" w:lastColumn="0" w:noHBand="0" w:noVBand="1"/>
      </w:tblPr>
      <w:tblGrid>
        <w:gridCol w:w="1911"/>
        <w:gridCol w:w="1599"/>
        <w:gridCol w:w="1599"/>
        <w:gridCol w:w="1599"/>
        <w:gridCol w:w="1599"/>
        <w:gridCol w:w="1599"/>
      </w:tblGrid>
      <w:tr w:rsidR="00A666FB" w:rsidRPr="001D6728" w14:paraId="0E7D0A0F" w14:textId="77777777" w:rsidTr="002743BE">
        <w:trPr>
          <w:cnfStyle w:val="100000000000" w:firstRow="1" w:lastRow="0" w:firstColumn="0" w:lastColumn="0" w:oddVBand="0" w:evenVBand="0" w:oddHBand="0" w:evenHBand="0" w:firstRowFirstColumn="0" w:firstRowLastColumn="0" w:lastRowFirstColumn="0" w:lastRowLastColumn="0"/>
          <w:trHeight w:val="214"/>
        </w:trPr>
        <w:tc>
          <w:tcPr>
            <w:cnfStyle w:val="001000000100" w:firstRow="0" w:lastRow="0" w:firstColumn="1" w:lastColumn="0" w:oddVBand="0" w:evenVBand="0" w:oddHBand="0" w:evenHBand="0" w:firstRowFirstColumn="1" w:firstRowLastColumn="0" w:lastRowFirstColumn="0" w:lastRowLastColumn="0"/>
            <w:tcW w:w="1911" w:type="dxa"/>
          </w:tcPr>
          <w:p w14:paraId="37B255C1"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Outcome</w:t>
            </w:r>
          </w:p>
        </w:tc>
        <w:tc>
          <w:tcPr>
            <w:tcW w:w="1599" w:type="dxa"/>
          </w:tcPr>
          <w:p w14:paraId="4F909066"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Term</w:t>
            </w:r>
          </w:p>
        </w:tc>
        <w:tc>
          <w:tcPr>
            <w:tcW w:w="1599" w:type="dxa"/>
          </w:tcPr>
          <w:p w14:paraId="7800773D"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Coef.</w:t>
            </w:r>
          </w:p>
        </w:tc>
        <w:tc>
          <w:tcPr>
            <w:tcW w:w="1599" w:type="dxa"/>
          </w:tcPr>
          <w:p w14:paraId="44EB455D"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SE</w:t>
            </w:r>
          </w:p>
        </w:tc>
        <w:tc>
          <w:tcPr>
            <w:tcW w:w="1599" w:type="dxa"/>
          </w:tcPr>
          <w:p w14:paraId="10D0D156"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95% CI</w:t>
            </w:r>
          </w:p>
        </w:tc>
        <w:tc>
          <w:tcPr>
            <w:tcW w:w="1599" w:type="dxa"/>
          </w:tcPr>
          <w:p w14:paraId="35FB8DD6" w14:textId="77777777" w:rsidR="00A666FB" w:rsidRPr="001D6728" w:rsidRDefault="00A666FB" w:rsidP="003D6F2D">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D6728">
              <w:rPr>
                <w:rFonts w:ascii="Arial" w:hAnsi="Arial" w:cs="Arial"/>
                <w:sz w:val="24"/>
                <w:szCs w:val="24"/>
              </w:rPr>
              <w:t>p-value</w:t>
            </w:r>
          </w:p>
        </w:tc>
      </w:tr>
      <w:tr w:rsidR="00A666FB" w:rsidRPr="001D6728" w14:paraId="678194DE" w14:textId="77777777" w:rsidTr="002743B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911" w:type="dxa"/>
          </w:tcPr>
          <w:p w14:paraId="6DF7A794"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50E4D991"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Intercept</w:t>
            </w:r>
          </w:p>
        </w:tc>
        <w:tc>
          <w:tcPr>
            <w:tcW w:w="1599" w:type="dxa"/>
          </w:tcPr>
          <w:p w14:paraId="767B72CE"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0.9319</w:t>
            </w:r>
          </w:p>
        </w:tc>
        <w:tc>
          <w:tcPr>
            <w:tcW w:w="1599" w:type="dxa"/>
          </w:tcPr>
          <w:p w14:paraId="78F02E96"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0.0015</w:t>
            </w:r>
          </w:p>
        </w:tc>
        <w:tc>
          <w:tcPr>
            <w:tcW w:w="1599" w:type="dxa"/>
          </w:tcPr>
          <w:p w14:paraId="3138241C"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[0.9289, 0.9348]</w:t>
            </w:r>
          </w:p>
        </w:tc>
        <w:tc>
          <w:tcPr>
            <w:tcW w:w="1599" w:type="dxa"/>
          </w:tcPr>
          <w:p w14:paraId="51CE0423"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64744DBB" w14:textId="77777777" w:rsidTr="002743BE">
        <w:trPr>
          <w:trHeight w:val="336"/>
        </w:trPr>
        <w:tc>
          <w:tcPr>
            <w:cnfStyle w:val="001000000000" w:firstRow="0" w:lastRow="0" w:firstColumn="1" w:lastColumn="0" w:oddVBand="0" w:evenVBand="0" w:oddHBand="0" w:evenHBand="0" w:firstRowFirstColumn="0" w:firstRowLastColumn="0" w:lastRowFirstColumn="0" w:lastRowLastColumn="0"/>
            <w:tcW w:w="1911" w:type="dxa"/>
          </w:tcPr>
          <w:p w14:paraId="713906E6"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33CAA83B"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Time</w:t>
            </w:r>
          </w:p>
        </w:tc>
        <w:tc>
          <w:tcPr>
            <w:tcW w:w="1599" w:type="dxa"/>
          </w:tcPr>
          <w:p w14:paraId="00A4B0E3"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-0.0006</w:t>
            </w:r>
          </w:p>
        </w:tc>
        <w:tc>
          <w:tcPr>
            <w:tcW w:w="1599" w:type="dxa"/>
          </w:tcPr>
          <w:p w14:paraId="4922929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0.0002</w:t>
            </w:r>
          </w:p>
        </w:tc>
        <w:tc>
          <w:tcPr>
            <w:tcW w:w="1599" w:type="dxa"/>
          </w:tcPr>
          <w:p w14:paraId="4E5E5F1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[-0.0009, -0.0003]</w:t>
            </w:r>
          </w:p>
        </w:tc>
        <w:tc>
          <w:tcPr>
            <w:tcW w:w="1599" w:type="dxa"/>
          </w:tcPr>
          <w:p w14:paraId="15727EB9"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r>
      <w:tr w:rsidR="00A666FB" w:rsidRPr="001D6728" w14:paraId="2AB73001" w14:textId="77777777" w:rsidTr="002743B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911" w:type="dxa"/>
          </w:tcPr>
          <w:p w14:paraId="5CD6E68F"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lastRenderedPageBreak/>
              <w:t>DetectionRate</w:t>
            </w:r>
            <w:proofErr w:type="spellEnd"/>
          </w:p>
        </w:tc>
        <w:tc>
          <w:tcPr>
            <w:tcW w:w="1599" w:type="dxa"/>
          </w:tcPr>
          <w:p w14:paraId="3B57DDCE"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Intervention</w:t>
            </w:r>
          </w:p>
        </w:tc>
        <w:tc>
          <w:tcPr>
            <w:tcW w:w="1599" w:type="dxa"/>
          </w:tcPr>
          <w:p w14:paraId="34E50A38"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0.0333</w:t>
            </w:r>
          </w:p>
        </w:tc>
        <w:tc>
          <w:tcPr>
            <w:tcW w:w="1599" w:type="dxa"/>
          </w:tcPr>
          <w:p w14:paraId="51C5CCC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0.0022</w:t>
            </w:r>
          </w:p>
        </w:tc>
        <w:tc>
          <w:tcPr>
            <w:tcW w:w="1599" w:type="dxa"/>
          </w:tcPr>
          <w:p w14:paraId="2C4DBE3E"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[0.0288, 0.0377]</w:t>
            </w:r>
          </w:p>
        </w:tc>
        <w:tc>
          <w:tcPr>
            <w:tcW w:w="1599" w:type="dxa"/>
          </w:tcPr>
          <w:p w14:paraId="3D882318"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4D266EEE" w14:textId="77777777" w:rsidTr="002743BE">
        <w:trPr>
          <w:trHeight w:val="347"/>
        </w:trPr>
        <w:tc>
          <w:tcPr>
            <w:cnfStyle w:val="001000000000" w:firstRow="0" w:lastRow="0" w:firstColumn="1" w:lastColumn="0" w:oddVBand="0" w:evenVBand="0" w:oddHBand="0" w:evenHBand="0" w:firstRowFirstColumn="0" w:firstRowLastColumn="0" w:lastRowFirstColumn="0" w:lastRowLastColumn="0"/>
            <w:tcW w:w="1911" w:type="dxa"/>
          </w:tcPr>
          <w:p w14:paraId="50B95980" w14:textId="77777777" w:rsidR="00A666FB" w:rsidRPr="001D6728" w:rsidRDefault="00A666FB" w:rsidP="003D6F2D">
            <w:pPr>
              <w:spacing w:after="240" w:line="360" w:lineRule="auto"/>
              <w:jc w:val="both"/>
              <w:rPr>
                <w:rFonts w:ascii="Arial" w:hAnsi="Arial" w:cs="Arial"/>
                <w:sz w:val="24"/>
                <w:szCs w:val="24"/>
              </w:rPr>
            </w:pPr>
            <w:proofErr w:type="spellStart"/>
            <w:r w:rsidRPr="001D6728">
              <w:rPr>
                <w:rFonts w:ascii="Arial" w:hAnsi="Arial" w:cs="Arial"/>
                <w:sz w:val="24"/>
                <w:szCs w:val="24"/>
              </w:rPr>
              <w:t>DetectionRate</w:t>
            </w:r>
            <w:proofErr w:type="spellEnd"/>
          </w:p>
        </w:tc>
        <w:tc>
          <w:tcPr>
            <w:tcW w:w="1599" w:type="dxa"/>
          </w:tcPr>
          <w:p w14:paraId="71AB53BF"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1D6728">
              <w:rPr>
                <w:sz w:val="24"/>
                <w:szCs w:val="24"/>
              </w:rPr>
              <w:t>TimeAfter</w:t>
            </w:r>
            <w:proofErr w:type="spellEnd"/>
          </w:p>
        </w:tc>
        <w:tc>
          <w:tcPr>
            <w:tcW w:w="1599" w:type="dxa"/>
          </w:tcPr>
          <w:p w14:paraId="54B8B4D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0.0008</w:t>
            </w:r>
          </w:p>
        </w:tc>
        <w:tc>
          <w:tcPr>
            <w:tcW w:w="1599" w:type="dxa"/>
          </w:tcPr>
          <w:p w14:paraId="4CFE1F54"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0.0003</w:t>
            </w:r>
          </w:p>
        </w:tc>
        <w:tc>
          <w:tcPr>
            <w:tcW w:w="1599" w:type="dxa"/>
          </w:tcPr>
          <w:p w14:paraId="4C04AC1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[0.0003, 0.0013]</w:t>
            </w:r>
          </w:p>
        </w:tc>
        <w:tc>
          <w:tcPr>
            <w:tcW w:w="1599" w:type="dxa"/>
          </w:tcPr>
          <w:p w14:paraId="6A4AA84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0.0020</w:t>
            </w:r>
          </w:p>
        </w:tc>
      </w:tr>
      <w:tr w:rsidR="00A666FB" w:rsidRPr="001D6728" w14:paraId="7CCB55DD" w14:textId="77777777" w:rsidTr="002743B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911" w:type="dxa"/>
          </w:tcPr>
          <w:p w14:paraId="567A70B5"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3242BE33"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Intercept</w:t>
            </w:r>
          </w:p>
        </w:tc>
        <w:tc>
          <w:tcPr>
            <w:tcW w:w="1599" w:type="dxa"/>
          </w:tcPr>
          <w:p w14:paraId="45877A53"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0.0119</w:t>
            </w:r>
          </w:p>
        </w:tc>
        <w:tc>
          <w:tcPr>
            <w:tcW w:w="1599" w:type="dxa"/>
          </w:tcPr>
          <w:p w14:paraId="796CAD26"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0.0002</w:t>
            </w:r>
          </w:p>
        </w:tc>
        <w:tc>
          <w:tcPr>
            <w:tcW w:w="1599" w:type="dxa"/>
          </w:tcPr>
          <w:p w14:paraId="593B7354"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[0.0115, 0.0123]</w:t>
            </w:r>
          </w:p>
        </w:tc>
        <w:tc>
          <w:tcPr>
            <w:tcW w:w="1599" w:type="dxa"/>
          </w:tcPr>
          <w:p w14:paraId="58C4465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64C32720" w14:textId="77777777" w:rsidTr="002743BE">
        <w:trPr>
          <w:trHeight w:val="347"/>
        </w:trPr>
        <w:tc>
          <w:tcPr>
            <w:cnfStyle w:val="001000000000" w:firstRow="0" w:lastRow="0" w:firstColumn="1" w:lastColumn="0" w:oddVBand="0" w:evenVBand="0" w:oddHBand="0" w:evenHBand="0" w:firstRowFirstColumn="0" w:firstRowLastColumn="0" w:lastRowFirstColumn="0" w:lastRowLastColumn="0"/>
            <w:tcW w:w="1911" w:type="dxa"/>
          </w:tcPr>
          <w:p w14:paraId="1FA9EC75"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54E11101"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Time</w:t>
            </w:r>
          </w:p>
        </w:tc>
        <w:tc>
          <w:tcPr>
            <w:tcW w:w="1599" w:type="dxa"/>
          </w:tcPr>
          <w:p w14:paraId="59563EA9"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0.0002</w:t>
            </w:r>
          </w:p>
        </w:tc>
        <w:tc>
          <w:tcPr>
            <w:tcW w:w="1599" w:type="dxa"/>
          </w:tcPr>
          <w:p w14:paraId="5CAEB76E"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c>
          <w:tcPr>
            <w:tcW w:w="1599" w:type="dxa"/>
          </w:tcPr>
          <w:p w14:paraId="35BFCF3A"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[0.0002, 0.0003]</w:t>
            </w:r>
          </w:p>
        </w:tc>
        <w:tc>
          <w:tcPr>
            <w:tcW w:w="1599" w:type="dxa"/>
          </w:tcPr>
          <w:p w14:paraId="1A7DBCDD"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r>
      <w:tr w:rsidR="00A666FB" w:rsidRPr="001D6728" w14:paraId="174851C9" w14:textId="77777777" w:rsidTr="002743B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911" w:type="dxa"/>
          </w:tcPr>
          <w:p w14:paraId="2DC0E359"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5BDE9650"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Intervention</w:t>
            </w:r>
          </w:p>
        </w:tc>
        <w:tc>
          <w:tcPr>
            <w:tcW w:w="1599" w:type="dxa"/>
          </w:tcPr>
          <w:p w14:paraId="053951C2"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-0.0040</w:t>
            </w:r>
          </w:p>
        </w:tc>
        <w:tc>
          <w:tcPr>
            <w:tcW w:w="1599" w:type="dxa"/>
          </w:tcPr>
          <w:p w14:paraId="0302390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0.0003</w:t>
            </w:r>
          </w:p>
        </w:tc>
        <w:tc>
          <w:tcPr>
            <w:tcW w:w="1599" w:type="dxa"/>
          </w:tcPr>
          <w:p w14:paraId="075261D7"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[-0.0045, -0.0034]</w:t>
            </w:r>
          </w:p>
        </w:tc>
        <w:tc>
          <w:tcPr>
            <w:tcW w:w="1599" w:type="dxa"/>
          </w:tcPr>
          <w:p w14:paraId="7E803398" w14:textId="77777777" w:rsidR="00A666FB" w:rsidRPr="001D6728" w:rsidRDefault="00A666FB" w:rsidP="003D6F2D">
            <w:pPr>
              <w:spacing w:after="240" w:line="36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1D6728">
              <w:rPr>
                <w:sz w:val="24"/>
                <w:szCs w:val="24"/>
              </w:rPr>
              <w:t>0.0000</w:t>
            </w:r>
          </w:p>
        </w:tc>
      </w:tr>
      <w:tr w:rsidR="00A666FB" w:rsidRPr="001D6728" w14:paraId="4705D289" w14:textId="77777777" w:rsidTr="002743BE">
        <w:trPr>
          <w:trHeight w:val="347"/>
        </w:trPr>
        <w:tc>
          <w:tcPr>
            <w:cnfStyle w:val="001000000000" w:firstRow="0" w:lastRow="0" w:firstColumn="1" w:lastColumn="0" w:oddVBand="0" w:evenVBand="0" w:oddHBand="0" w:evenHBand="0" w:firstRowFirstColumn="0" w:firstRowLastColumn="0" w:lastRowFirstColumn="0" w:lastRowLastColumn="0"/>
            <w:tcW w:w="1911" w:type="dxa"/>
          </w:tcPr>
          <w:p w14:paraId="4C765539" w14:textId="77777777" w:rsidR="00A666FB" w:rsidRPr="001D6728" w:rsidRDefault="00A666FB" w:rsidP="003D6F2D">
            <w:pPr>
              <w:spacing w:after="240" w:line="360" w:lineRule="auto"/>
              <w:jc w:val="both"/>
              <w:rPr>
                <w:rFonts w:ascii="Arial" w:hAnsi="Arial" w:cs="Arial"/>
                <w:sz w:val="24"/>
                <w:szCs w:val="24"/>
              </w:rPr>
            </w:pPr>
            <w:r w:rsidRPr="001D6728">
              <w:rPr>
                <w:rFonts w:ascii="Arial" w:hAnsi="Arial" w:cs="Arial"/>
                <w:sz w:val="24"/>
                <w:szCs w:val="24"/>
              </w:rPr>
              <w:t>FPR</w:t>
            </w:r>
          </w:p>
        </w:tc>
        <w:tc>
          <w:tcPr>
            <w:tcW w:w="1599" w:type="dxa"/>
          </w:tcPr>
          <w:p w14:paraId="72B0574D"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1D6728">
              <w:rPr>
                <w:sz w:val="24"/>
                <w:szCs w:val="24"/>
              </w:rPr>
              <w:t>TimeAfter</w:t>
            </w:r>
            <w:proofErr w:type="spellEnd"/>
          </w:p>
        </w:tc>
        <w:tc>
          <w:tcPr>
            <w:tcW w:w="1599" w:type="dxa"/>
          </w:tcPr>
          <w:p w14:paraId="72121EE1"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-0.0003</w:t>
            </w:r>
          </w:p>
        </w:tc>
        <w:tc>
          <w:tcPr>
            <w:tcW w:w="1599" w:type="dxa"/>
          </w:tcPr>
          <w:p w14:paraId="3C378BF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c>
          <w:tcPr>
            <w:tcW w:w="1599" w:type="dxa"/>
          </w:tcPr>
          <w:p w14:paraId="3A011756"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[-0.0004, -0.0003]</w:t>
            </w:r>
          </w:p>
        </w:tc>
        <w:tc>
          <w:tcPr>
            <w:tcW w:w="1599" w:type="dxa"/>
          </w:tcPr>
          <w:p w14:paraId="56E91635" w14:textId="77777777" w:rsidR="00A666FB" w:rsidRPr="001D6728" w:rsidRDefault="00A666FB" w:rsidP="003D6F2D">
            <w:pPr>
              <w:spacing w:after="240"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1D6728">
              <w:rPr>
                <w:sz w:val="24"/>
                <w:szCs w:val="24"/>
              </w:rPr>
              <w:t>0.0000</w:t>
            </w:r>
          </w:p>
        </w:tc>
      </w:tr>
    </w:tbl>
    <w:p w14:paraId="456A9F18" w14:textId="3293E6D4" w:rsidR="00A666FB" w:rsidRPr="001D6728" w:rsidRDefault="00A666FB" w:rsidP="003D6F2D">
      <w:pPr>
        <w:spacing w:after="240" w:line="360" w:lineRule="auto"/>
        <w:jc w:val="both"/>
        <w:rPr>
          <w:b/>
          <w:i/>
          <w:sz w:val="24"/>
          <w:szCs w:val="24"/>
        </w:rPr>
      </w:pPr>
      <w:r w:rsidRPr="001D6728">
        <w:rPr>
          <w:b/>
          <w:i/>
          <w:sz w:val="24"/>
          <w:szCs w:val="24"/>
        </w:rPr>
        <w:t xml:space="preserve">Table </w:t>
      </w:r>
      <w:r w:rsidR="00D5779C">
        <w:rPr>
          <w:b/>
          <w:i/>
          <w:sz w:val="24"/>
          <w:szCs w:val="24"/>
        </w:rPr>
        <w:t>3</w:t>
      </w:r>
      <w:r w:rsidRPr="001D6728">
        <w:rPr>
          <w:b/>
          <w:i/>
          <w:sz w:val="24"/>
          <w:szCs w:val="24"/>
        </w:rPr>
        <w:t xml:space="preserve">. Segmented regression with Newey–West standard errors for </w:t>
      </w:r>
      <w:proofErr w:type="spellStart"/>
      <w:r w:rsidRPr="001D6728">
        <w:rPr>
          <w:b/>
          <w:i/>
          <w:sz w:val="24"/>
          <w:szCs w:val="24"/>
        </w:rPr>
        <w:t>DetectionRate</w:t>
      </w:r>
      <w:proofErr w:type="spellEnd"/>
      <w:r w:rsidRPr="001D6728">
        <w:rPr>
          <w:b/>
          <w:i/>
          <w:sz w:val="24"/>
          <w:szCs w:val="24"/>
        </w:rPr>
        <w:t xml:space="preserve"> and FPR.</w:t>
      </w:r>
    </w:p>
    <w:p w14:paraId="266646F1" w14:textId="01289463" w:rsidR="00A666FB" w:rsidRPr="001D6728" w:rsidRDefault="00A666FB" w:rsidP="003D6F2D">
      <w:pPr>
        <w:spacing w:after="240" w:line="360" w:lineRule="auto"/>
        <w:jc w:val="both"/>
        <w:rPr>
          <w:sz w:val="24"/>
          <w:szCs w:val="24"/>
        </w:rPr>
      </w:pPr>
      <w:r w:rsidRPr="001D6728">
        <w:rPr>
          <w:sz w:val="24"/>
          <w:szCs w:val="24"/>
        </w:rPr>
        <w:t xml:space="preserve">Pre–post means indicate higher </w:t>
      </w:r>
      <w:proofErr w:type="spellStart"/>
      <w:r w:rsidRPr="001D6728">
        <w:rPr>
          <w:sz w:val="24"/>
          <w:szCs w:val="24"/>
        </w:rPr>
        <w:t>DetectionRate</w:t>
      </w:r>
      <w:proofErr w:type="spellEnd"/>
      <w:r w:rsidRPr="001D6728">
        <w:rPr>
          <w:sz w:val="24"/>
          <w:szCs w:val="24"/>
        </w:rPr>
        <w:t xml:space="preserve"> and </w:t>
      </w:r>
      <w:proofErr w:type="spellStart"/>
      <w:r w:rsidRPr="001D6728">
        <w:rPr>
          <w:sz w:val="24"/>
          <w:szCs w:val="24"/>
        </w:rPr>
        <w:t>Precision@k</w:t>
      </w:r>
      <w:proofErr w:type="spellEnd"/>
      <w:r w:rsidRPr="001D6728">
        <w:rPr>
          <w:sz w:val="24"/>
          <w:szCs w:val="24"/>
        </w:rPr>
        <w:t xml:space="preserve">, lower FPR, and reduced MTTR following activation, as displayed in Figure </w:t>
      </w:r>
      <w:r w:rsidR="004A3781" w:rsidRPr="001D6728">
        <w:rPr>
          <w:sz w:val="24"/>
          <w:szCs w:val="24"/>
        </w:rPr>
        <w:t>6</w:t>
      </w:r>
      <w:r w:rsidRPr="001D6728">
        <w:rPr>
          <w:sz w:val="24"/>
          <w:szCs w:val="24"/>
        </w:rPr>
        <w:t>.</w:t>
      </w:r>
    </w:p>
    <w:p w14:paraId="3CBC629E" w14:textId="77777777" w:rsidR="00A666FB" w:rsidRPr="001D6728" w:rsidRDefault="00A666FB" w:rsidP="003D6F2D">
      <w:pPr>
        <w:spacing w:after="240" w:line="360" w:lineRule="auto"/>
        <w:jc w:val="both"/>
        <w:rPr>
          <w:sz w:val="24"/>
          <w:szCs w:val="24"/>
        </w:rPr>
      </w:pPr>
      <w:r w:rsidRPr="001D6728">
        <w:rPr>
          <w:noProof/>
          <w:sz w:val="24"/>
          <w:szCs w:val="24"/>
          <w:lang w:val="en-US"/>
        </w:rPr>
        <w:lastRenderedPageBreak/>
        <w:drawing>
          <wp:inline distT="0" distB="0" distL="0" distR="0" wp14:anchorId="73025233" wp14:editId="3B1857A7">
            <wp:extent cx="5760720" cy="35809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Dumbbell_PrePost.png"/>
                    <pic:cNvPicPr/>
                  </pic:nvPicPr>
                  <pic:blipFill>
                    <a:blip r:embed="rId12"/>
                    <a:stretch>
                      <a:fillRect/>
                    </a:stretch>
                  </pic:blipFill>
                  <pic:spPr>
                    <a:xfrm>
                      <a:off x="0" y="0"/>
                      <a:ext cx="5760720" cy="3580988"/>
                    </a:xfrm>
                    <a:prstGeom prst="rect">
                      <a:avLst/>
                    </a:prstGeom>
                  </pic:spPr>
                </pic:pic>
              </a:graphicData>
            </a:graphic>
          </wp:inline>
        </w:drawing>
      </w:r>
    </w:p>
    <w:p w14:paraId="222023CA" w14:textId="10946E3A" w:rsidR="00A666FB" w:rsidRPr="001D6728" w:rsidRDefault="00A666FB" w:rsidP="003D6F2D">
      <w:pPr>
        <w:spacing w:after="240" w:line="360" w:lineRule="auto"/>
        <w:jc w:val="both"/>
        <w:rPr>
          <w:sz w:val="24"/>
          <w:szCs w:val="24"/>
        </w:rPr>
      </w:pPr>
      <w:r w:rsidRPr="001D6728">
        <w:rPr>
          <w:b/>
          <w:i/>
          <w:sz w:val="24"/>
          <w:szCs w:val="24"/>
        </w:rPr>
        <w:t xml:space="preserve">Figure </w:t>
      </w:r>
      <w:r w:rsidR="004A3781" w:rsidRPr="001D6728">
        <w:rPr>
          <w:b/>
          <w:i/>
          <w:sz w:val="24"/>
          <w:szCs w:val="24"/>
        </w:rPr>
        <w:t>6</w:t>
      </w:r>
      <w:r w:rsidRPr="001D6728">
        <w:rPr>
          <w:b/>
          <w:i/>
          <w:sz w:val="24"/>
          <w:szCs w:val="24"/>
        </w:rPr>
        <w:t xml:space="preserve">. Dumbbell plot of pre–post means across </w:t>
      </w:r>
      <w:proofErr w:type="spellStart"/>
      <w:r w:rsidRPr="001D6728">
        <w:rPr>
          <w:b/>
          <w:i/>
          <w:sz w:val="24"/>
          <w:szCs w:val="24"/>
        </w:rPr>
        <w:t>DetectionRate</w:t>
      </w:r>
      <w:proofErr w:type="spellEnd"/>
      <w:r w:rsidRPr="001D6728">
        <w:rPr>
          <w:b/>
          <w:i/>
          <w:sz w:val="24"/>
          <w:szCs w:val="24"/>
        </w:rPr>
        <w:t>, FPR,</w:t>
      </w:r>
      <w:r w:rsidR="00FC5145" w:rsidRPr="001D6728">
        <w:rPr>
          <w:b/>
          <w:i/>
          <w:sz w:val="24"/>
          <w:szCs w:val="24"/>
        </w:rPr>
        <w:t xml:space="preserve"> </w:t>
      </w:r>
      <w:proofErr w:type="spellStart"/>
      <w:r w:rsidR="00FC5145" w:rsidRPr="001D6728">
        <w:rPr>
          <w:b/>
          <w:i/>
          <w:sz w:val="24"/>
          <w:szCs w:val="24"/>
        </w:rPr>
        <w:t>Precision</w:t>
      </w:r>
      <w:bookmarkStart w:id="8" w:name="_GoBack"/>
      <w:r w:rsidR="00FC5145" w:rsidRPr="001D6728">
        <w:rPr>
          <w:b/>
          <w:i/>
          <w:sz w:val="24"/>
          <w:szCs w:val="24"/>
        </w:rPr>
        <w:t>@</w:t>
      </w:r>
      <w:bookmarkEnd w:id="8"/>
      <w:r w:rsidR="00FC5145" w:rsidRPr="001D6728">
        <w:rPr>
          <w:b/>
          <w:i/>
          <w:sz w:val="24"/>
          <w:szCs w:val="24"/>
        </w:rPr>
        <w:t>k</w:t>
      </w:r>
      <w:proofErr w:type="spellEnd"/>
      <w:r w:rsidR="00FC5145" w:rsidRPr="001D6728">
        <w:rPr>
          <w:b/>
          <w:i/>
          <w:sz w:val="24"/>
          <w:szCs w:val="24"/>
        </w:rPr>
        <w:t>, and MTTR (minutes).</w:t>
      </w:r>
    </w:p>
    <w:p w14:paraId="496B9732" w14:textId="09C3DBEB" w:rsidR="00A666FB" w:rsidRPr="001D6728" w:rsidRDefault="00A666FB" w:rsidP="003D6F2D">
      <w:pPr>
        <w:spacing w:after="240" w:line="360" w:lineRule="auto"/>
        <w:jc w:val="both"/>
        <w:rPr>
          <w:sz w:val="24"/>
          <w:szCs w:val="24"/>
        </w:rPr>
      </w:pPr>
      <w:proofErr w:type="spellStart"/>
      <w:r w:rsidRPr="001D6728">
        <w:rPr>
          <w:sz w:val="24"/>
          <w:szCs w:val="24"/>
        </w:rPr>
        <w:t>DetectionRate</w:t>
      </w:r>
      <w:proofErr w:type="spellEnd"/>
      <w:r w:rsidRPr="001D6728">
        <w:rPr>
          <w:sz w:val="24"/>
          <w:szCs w:val="24"/>
        </w:rPr>
        <w:t xml:space="preserve"> shows a statistically significant level increase and positive slope change after activation. FPR exhibits a negative level shift with an improving slope, indicating fewer false alarms over time. </w:t>
      </w:r>
      <w:proofErr w:type="spellStart"/>
      <w:r w:rsidRPr="001D6728">
        <w:rPr>
          <w:sz w:val="24"/>
          <w:szCs w:val="24"/>
        </w:rPr>
        <w:t>Precision@k</w:t>
      </w:r>
      <w:proofErr w:type="spellEnd"/>
      <w:r w:rsidRPr="001D6728">
        <w:rPr>
          <w:sz w:val="24"/>
          <w:szCs w:val="24"/>
        </w:rPr>
        <w:t xml:space="preserve"> increases and MTTR declines in the post period, evidencing operational gains consistent with governed retraining and monitoring.</w:t>
      </w:r>
    </w:p>
    <w:p w14:paraId="4BD23B23" w14:textId="716F0766" w:rsidR="0041266D" w:rsidRPr="001D6728" w:rsidRDefault="008462B7" w:rsidP="003D6F2D">
      <w:pPr>
        <w:spacing w:before="240" w:after="240" w:line="360" w:lineRule="auto"/>
        <w:jc w:val="both"/>
        <w:rPr>
          <w:b/>
          <w:sz w:val="24"/>
          <w:szCs w:val="24"/>
        </w:rPr>
      </w:pPr>
      <w:r w:rsidRPr="001D6728">
        <w:rPr>
          <w:b/>
          <w:sz w:val="24"/>
          <w:szCs w:val="24"/>
        </w:rPr>
        <w:t xml:space="preserve">Discussion </w:t>
      </w:r>
    </w:p>
    <w:p w14:paraId="4CCC46C4" w14:textId="085B27BD"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The results substantiate the study’s central argument that moving from adoption to scalability in e-commerce cybersecurity requires coordinated technical and organizational controls. First, the rolling-window analysis revealed a clear degradation of model performance prior to the drift alarm, followed by rapid recovery post-retraining. The trough in F1 at the alarm point and the rebound immediately afterward in Figure 1, together with the co-movement of latency and throughput in Table 1 and Figure 2, indicate that concept drift is not only a statistical shift but an operational concern that depresses throughput while increasing tail latency. This aligns with prior observations that production ML </w:t>
      </w:r>
      <w:r w:rsidRPr="001D6728">
        <w:rPr>
          <w:rFonts w:ascii="Arial" w:hAnsi="Arial" w:cs="Arial"/>
        </w:rPr>
        <w:lastRenderedPageBreak/>
        <w:t>deteriorates without automated monitoring and retraining pipelines (</w:t>
      </w:r>
      <w:proofErr w:type="spellStart"/>
      <w:r w:rsidRPr="001D6728">
        <w:rPr>
          <w:rFonts w:ascii="Arial" w:hAnsi="Arial" w:cs="Arial"/>
        </w:rPr>
        <w:t>Kreuzberger</w:t>
      </w:r>
      <w:proofErr w:type="spellEnd"/>
      <w:r w:rsidRPr="001D6728">
        <w:rPr>
          <w:rFonts w:ascii="Arial" w:hAnsi="Arial" w:cs="Arial"/>
        </w:rPr>
        <w:t xml:space="preserve"> et al., 2023; Majidi et al., 2024; Hu et al., 2025). In turn, the post-retrain stability across windows corroborates </w:t>
      </w:r>
      <w:r w:rsidR="004B1AD0">
        <w:rPr>
          <w:rFonts w:ascii="Arial" w:hAnsi="Arial" w:cs="Arial"/>
        </w:rPr>
        <w:t>the claim that drift governance (</w:t>
      </w:r>
      <w:r w:rsidRPr="001D6728">
        <w:rPr>
          <w:rFonts w:ascii="Arial" w:hAnsi="Arial" w:cs="Arial"/>
        </w:rPr>
        <w:t>alerts, retrain triggers, and versioned rollbacks</w:t>
      </w:r>
      <w:r w:rsidR="004B1AD0">
        <w:rPr>
          <w:rFonts w:ascii="Arial" w:hAnsi="Arial" w:cs="Arial"/>
        </w:rPr>
        <w:t xml:space="preserve">) </w:t>
      </w:r>
      <w:r w:rsidRPr="001D6728">
        <w:rPr>
          <w:rFonts w:ascii="Arial" w:hAnsi="Arial" w:cs="Arial"/>
        </w:rPr>
        <w:t>is indispensable at scale (Zarour et al., 2025).</w:t>
      </w:r>
    </w:p>
    <w:p w14:paraId="53C3B295" w14:textId="1868FA64"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Second, the count-regression estimates situate scalability within governance and organizational readiness. The incidence-rate ratios in Table </w:t>
      </w:r>
      <w:r w:rsidR="00D5779C">
        <w:rPr>
          <w:rFonts w:ascii="Arial" w:hAnsi="Arial" w:cs="Arial"/>
        </w:rPr>
        <w:t>2</w:t>
      </w:r>
      <w:r w:rsidRPr="001D6728">
        <w:rPr>
          <w:rFonts w:ascii="Arial" w:hAnsi="Arial" w:cs="Arial"/>
        </w:rPr>
        <w:t xml:space="preserve"> show that </w:t>
      </w:r>
      <w:r w:rsidR="00FC5145" w:rsidRPr="001D6728">
        <w:rPr>
          <w:rStyle w:val="Strong"/>
          <w:rFonts w:ascii="Arial" w:hAnsi="Arial" w:cs="Arial"/>
          <w:b w:val="0"/>
        </w:rPr>
        <w:t xml:space="preserve">Governance </w:t>
      </w:r>
      <w:r w:rsidRPr="001D6728">
        <w:rPr>
          <w:rStyle w:val="Strong"/>
          <w:rFonts w:ascii="Arial" w:hAnsi="Arial" w:cs="Arial"/>
          <w:b w:val="0"/>
        </w:rPr>
        <w:t>gap</w:t>
      </w:r>
      <w:r w:rsidRPr="001D6728">
        <w:rPr>
          <w:rFonts w:ascii="Arial" w:hAnsi="Arial" w:cs="Arial"/>
        </w:rPr>
        <w:t xml:space="preserve"> exerts the largest effect on incident severity, followed by </w:t>
      </w:r>
      <w:r w:rsidR="00FC5145" w:rsidRPr="001D6728">
        <w:rPr>
          <w:rStyle w:val="Strong"/>
          <w:rFonts w:ascii="Arial" w:hAnsi="Arial" w:cs="Arial"/>
          <w:b w:val="0"/>
        </w:rPr>
        <w:t xml:space="preserve">Data </w:t>
      </w:r>
      <w:r w:rsidRPr="001D6728">
        <w:rPr>
          <w:rStyle w:val="Strong"/>
          <w:rFonts w:ascii="Arial" w:hAnsi="Arial" w:cs="Arial"/>
          <w:b w:val="0"/>
        </w:rPr>
        <w:t>gap</w:t>
      </w:r>
      <w:r w:rsidRPr="001D6728">
        <w:rPr>
          <w:rFonts w:ascii="Arial" w:hAnsi="Arial" w:cs="Arial"/>
        </w:rPr>
        <w:t xml:space="preserve"> and </w:t>
      </w:r>
      <w:proofErr w:type="spellStart"/>
      <w:r w:rsidR="00FC5145" w:rsidRPr="001D6728">
        <w:rPr>
          <w:rStyle w:val="Strong"/>
          <w:rFonts w:ascii="Arial" w:hAnsi="Arial" w:cs="Arial"/>
          <w:b w:val="0"/>
        </w:rPr>
        <w:t>MLOps</w:t>
      </w:r>
      <w:proofErr w:type="spellEnd"/>
      <w:r w:rsidR="00FC5145" w:rsidRPr="001D6728">
        <w:rPr>
          <w:rStyle w:val="Strong"/>
          <w:rFonts w:ascii="Arial" w:hAnsi="Arial" w:cs="Arial"/>
          <w:b w:val="0"/>
        </w:rPr>
        <w:t xml:space="preserve"> </w:t>
      </w:r>
      <w:r w:rsidRPr="001D6728">
        <w:rPr>
          <w:rStyle w:val="Strong"/>
          <w:rFonts w:ascii="Arial" w:hAnsi="Arial" w:cs="Arial"/>
          <w:b w:val="0"/>
        </w:rPr>
        <w:t>gap</w:t>
      </w:r>
      <w:r w:rsidR="00FC5145" w:rsidRPr="001D6728">
        <w:rPr>
          <w:rFonts w:ascii="Arial" w:hAnsi="Arial" w:cs="Arial"/>
          <w:b/>
        </w:rPr>
        <w:t xml:space="preserve">, </w:t>
      </w:r>
      <w:r w:rsidRPr="001D6728">
        <w:rPr>
          <w:rFonts w:ascii="Arial" w:hAnsi="Arial" w:cs="Arial"/>
        </w:rPr>
        <w:t xml:space="preserve">with all coefficients statistically reliable; the effect prominence is visually reinforced in Figure 3 and the monotonic rise in predicted severity as gaps accumulate in Figure 4. These patterns are consistent with the literature emphasizing that opaque decision paths and weak oversight amplify risk and erode stakeholder confidence (Batool et al., 2025; </w:t>
      </w:r>
      <w:proofErr w:type="spellStart"/>
      <w:r w:rsidRPr="001D6728">
        <w:rPr>
          <w:rFonts w:ascii="Arial" w:hAnsi="Arial" w:cs="Arial"/>
        </w:rPr>
        <w:t>Papagiannidis</w:t>
      </w:r>
      <w:proofErr w:type="spellEnd"/>
      <w:r w:rsidRPr="001D6728">
        <w:rPr>
          <w:rFonts w:ascii="Arial" w:hAnsi="Arial" w:cs="Arial"/>
        </w:rPr>
        <w:t xml:space="preserve"> et al., 2025). Moreover, the material role of </w:t>
      </w:r>
      <w:proofErr w:type="spellStart"/>
      <w:r w:rsidR="00FC5145" w:rsidRPr="001D6728">
        <w:rPr>
          <w:rStyle w:val="Strong"/>
          <w:rFonts w:ascii="Arial" w:hAnsi="Arial" w:cs="Arial"/>
          <w:b w:val="0"/>
        </w:rPr>
        <w:t>MLOps</w:t>
      </w:r>
      <w:proofErr w:type="spellEnd"/>
      <w:r w:rsidR="00FC5145" w:rsidRPr="001D6728">
        <w:rPr>
          <w:rStyle w:val="Strong"/>
          <w:rFonts w:ascii="Arial" w:hAnsi="Arial" w:cs="Arial"/>
          <w:b w:val="0"/>
        </w:rPr>
        <w:t xml:space="preserve"> </w:t>
      </w:r>
      <w:r w:rsidRPr="001D6728">
        <w:rPr>
          <w:rStyle w:val="Strong"/>
          <w:rFonts w:ascii="Arial" w:hAnsi="Arial" w:cs="Arial"/>
          <w:b w:val="0"/>
        </w:rPr>
        <w:t>gap</w:t>
      </w:r>
      <w:r w:rsidRPr="001D6728">
        <w:rPr>
          <w:rFonts w:ascii="Arial" w:hAnsi="Arial" w:cs="Arial"/>
        </w:rPr>
        <w:t xml:space="preserve"> resonates with studies documenting performance decay in the absence of registries, monitoring, and retraining governance (</w:t>
      </w:r>
      <w:proofErr w:type="spellStart"/>
      <w:r w:rsidRPr="001D6728">
        <w:rPr>
          <w:rFonts w:ascii="Arial" w:hAnsi="Arial" w:cs="Arial"/>
        </w:rPr>
        <w:t>Zimelewicz</w:t>
      </w:r>
      <w:proofErr w:type="spellEnd"/>
      <w:r w:rsidRPr="001D6728">
        <w:rPr>
          <w:rFonts w:ascii="Arial" w:hAnsi="Arial" w:cs="Arial"/>
        </w:rPr>
        <w:t xml:space="preserve"> et al., 2024; Stone et al., 2025). That </w:t>
      </w:r>
      <w:r w:rsidRPr="001D6728">
        <w:rPr>
          <w:rStyle w:val="Strong"/>
          <w:rFonts w:ascii="Arial" w:hAnsi="Arial" w:cs="Arial"/>
          <w:b w:val="0"/>
        </w:rPr>
        <w:t>e</w:t>
      </w:r>
      <w:r w:rsidR="00FC5145" w:rsidRPr="001D6728">
        <w:rPr>
          <w:rStyle w:val="Strong"/>
          <w:rFonts w:ascii="Arial" w:hAnsi="Arial" w:cs="Arial"/>
          <w:b w:val="0"/>
        </w:rPr>
        <w:t>-</w:t>
      </w:r>
      <w:r w:rsidRPr="001D6728">
        <w:rPr>
          <w:rStyle w:val="Strong"/>
          <w:rFonts w:ascii="Arial" w:hAnsi="Arial" w:cs="Arial"/>
          <w:b w:val="0"/>
        </w:rPr>
        <w:t>commerce</w:t>
      </w:r>
      <w:r w:rsidR="00FC5145" w:rsidRPr="001D6728">
        <w:rPr>
          <w:rStyle w:val="Strong"/>
          <w:rFonts w:ascii="Arial" w:hAnsi="Arial" w:cs="Arial"/>
          <w:b w:val="0"/>
        </w:rPr>
        <w:t xml:space="preserve"> sector</w:t>
      </w:r>
      <w:r w:rsidRPr="001D6728">
        <w:rPr>
          <w:rFonts w:ascii="Arial" w:hAnsi="Arial" w:cs="Arial"/>
        </w:rPr>
        <w:t xml:space="preserve"> is also associated with higher severity is theoretically coherent, given the rich attack surface and regulatory exposure of payment and personal data processing (Jin &amp; Zhang, 2025; Malone, 2025).</w:t>
      </w:r>
    </w:p>
    <w:p w14:paraId="15A6CEC1" w14:textId="4457694C"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Third, the interrupted time series provides causal leverage on the proposed ML-SF controls. The segmented regression in Table </w:t>
      </w:r>
      <w:r w:rsidR="00D5779C">
        <w:rPr>
          <w:rFonts w:ascii="Arial" w:hAnsi="Arial" w:cs="Arial"/>
        </w:rPr>
        <w:t>3</w:t>
      </w:r>
      <w:r w:rsidRPr="001D6728">
        <w:rPr>
          <w:rFonts w:ascii="Arial" w:hAnsi="Arial" w:cs="Arial"/>
        </w:rPr>
        <w:t xml:space="preserve"> shows a positive level change and improved slope for </w:t>
      </w:r>
      <w:proofErr w:type="spellStart"/>
      <w:r w:rsidRPr="001D6728">
        <w:rPr>
          <w:rFonts w:ascii="Arial" w:hAnsi="Arial" w:cs="Arial"/>
        </w:rPr>
        <w:t>DetectionRate</w:t>
      </w:r>
      <w:proofErr w:type="spellEnd"/>
      <w:r w:rsidRPr="001D6728">
        <w:rPr>
          <w:rFonts w:ascii="Arial" w:hAnsi="Arial" w:cs="Arial"/>
        </w:rPr>
        <w:t xml:space="preserve">, alongside a negative level shift and improving slope for FPR after activation; the visual counterfactual in Figure 5 demonstrates that these gains are unlikely to be explained by pre-existing trends. The pre–post patterns across </w:t>
      </w:r>
      <w:proofErr w:type="spellStart"/>
      <w:r w:rsidRPr="001D6728">
        <w:rPr>
          <w:rFonts w:ascii="Arial" w:hAnsi="Arial" w:cs="Arial"/>
        </w:rPr>
        <w:t>DetectionRate</w:t>
      </w:r>
      <w:proofErr w:type="spellEnd"/>
      <w:r w:rsidRPr="001D6728">
        <w:rPr>
          <w:rFonts w:ascii="Arial" w:hAnsi="Arial" w:cs="Arial"/>
        </w:rPr>
        <w:t xml:space="preserve">, </w:t>
      </w:r>
      <w:proofErr w:type="spellStart"/>
      <w:r w:rsidRPr="001D6728">
        <w:rPr>
          <w:rFonts w:ascii="Arial" w:hAnsi="Arial" w:cs="Arial"/>
        </w:rPr>
        <w:t>Precision@k</w:t>
      </w:r>
      <w:proofErr w:type="spellEnd"/>
      <w:r w:rsidRPr="001D6728">
        <w:rPr>
          <w:rFonts w:ascii="Arial" w:hAnsi="Arial" w:cs="Arial"/>
        </w:rPr>
        <w:t>, FPR, and MTTR in Figure 6 further indicate that the framework meaningfully enhances operational responsiveness</w:t>
      </w:r>
      <w:r w:rsidR="00A46CB1">
        <w:rPr>
          <w:rFonts w:ascii="Arial" w:hAnsi="Arial" w:cs="Arial"/>
        </w:rPr>
        <w:t xml:space="preserve">, considering that </w:t>
      </w:r>
      <w:r w:rsidRPr="001D6728">
        <w:rPr>
          <w:rFonts w:ascii="Arial" w:hAnsi="Arial" w:cs="Arial"/>
        </w:rPr>
        <w:t>higher precision and lower time-to-remediation are precisely the outcomes emphasized by resilience-focused security engineering (ENISA, 2025; Vassilev et al., 2025). Taken together, these effects provide empirical backing for the argument that scaling is not a single engineering fix but a governed, auditable process embedded in routine operations (ETSI, 2024; Gen &amp; Esther, 2024).</w:t>
      </w:r>
    </w:p>
    <w:p w14:paraId="3B5686AC" w14:textId="139C6D67"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lastRenderedPageBreak/>
        <w:t>Connecting the empirical results to theory, the findings elaborate how UTAUT constructs evolve in post-adoption contexts. Performance expectancy becomes sustained model reliability under drift; effort expectancy maps to the usability of automated retraining and monitoring; social influence materializes through cross-functional sponsorship of governance; and facilitating conditions expand to feature stores, registries, and policy controls evidenced by the intervention effects (Kim et al., 2024; Dwivedi et al., 2020). The TOE lens clarifies why gaps in organizational and technological context predict severity</w:t>
      </w:r>
      <w:r w:rsidR="007D194C">
        <w:rPr>
          <w:rFonts w:ascii="Arial" w:hAnsi="Arial" w:cs="Arial"/>
        </w:rPr>
        <w:t xml:space="preserve"> (as quantified in </w:t>
      </w:r>
      <w:r w:rsidRPr="001D6728">
        <w:rPr>
          <w:rFonts w:ascii="Arial" w:hAnsi="Arial" w:cs="Arial"/>
        </w:rPr>
        <w:t xml:space="preserve">Table </w:t>
      </w:r>
      <w:r w:rsidR="00D5779C">
        <w:rPr>
          <w:rFonts w:ascii="Arial" w:hAnsi="Arial" w:cs="Arial"/>
        </w:rPr>
        <w:t>2</w:t>
      </w:r>
      <w:r w:rsidR="007D194C">
        <w:rPr>
          <w:rFonts w:ascii="Arial" w:hAnsi="Arial" w:cs="Arial"/>
        </w:rPr>
        <w:t>) w</w:t>
      </w:r>
      <w:r w:rsidRPr="001D6728">
        <w:rPr>
          <w:rFonts w:ascii="Arial" w:hAnsi="Arial" w:cs="Arial"/>
        </w:rPr>
        <w:t xml:space="preserve">hile Dynamic Capabilities Theory explains the observed improvements as the ability to sense (drift alarms), seize (timely retraining), and reconfigure (versioned rollbacks and pipeline changes) in response to shifting threats (Hughes et al., 2025; </w:t>
      </w:r>
      <w:proofErr w:type="spellStart"/>
      <w:r w:rsidRPr="001D6728">
        <w:rPr>
          <w:rFonts w:ascii="Arial" w:hAnsi="Arial" w:cs="Arial"/>
        </w:rPr>
        <w:t>Selgas-Cors</w:t>
      </w:r>
      <w:proofErr w:type="spellEnd"/>
      <w:r w:rsidRPr="001D6728">
        <w:rPr>
          <w:rFonts w:ascii="Arial" w:hAnsi="Arial" w:cs="Arial"/>
        </w:rPr>
        <w:t xml:space="preserve"> &amp; </w:t>
      </w:r>
      <w:proofErr w:type="spellStart"/>
      <w:r w:rsidRPr="001D6728">
        <w:rPr>
          <w:rFonts w:ascii="Arial" w:hAnsi="Arial" w:cs="Arial"/>
        </w:rPr>
        <w:t>Thiébaut</w:t>
      </w:r>
      <w:proofErr w:type="spellEnd"/>
      <w:r w:rsidRPr="001D6728">
        <w:rPr>
          <w:rFonts w:ascii="Arial" w:hAnsi="Arial" w:cs="Arial"/>
        </w:rPr>
        <w:t>, 2025).</w:t>
      </w:r>
    </w:p>
    <w:p w14:paraId="0179560C" w14:textId="77777777"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Additionally, the governance and privacy implications are salient. The stronger association of </w:t>
      </w:r>
      <w:proofErr w:type="spellStart"/>
      <w:r w:rsidRPr="001D6728">
        <w:rPr>
          <w:rStyle w:val="Strong"/>
          <w:rFonts w:ascii="Arial" w:hAnsi="Arial" w:cs="Arial"/>
          <w:b w:val="0"/>
        </w:rPr>
        <w:t>Governance_gap</w:t>
      </w:r>
      <w:proofErr w:type="spellEnd"/>
      <w:r w:rsidRPr="001D6728">
        <w:rPr>
          <w:rFonts w:ascii="Arial" w:hAnsi="Arial" w:cs="Arial"/>
        </w:rPr>
        <w:t xml:space="preserve"> with severity underscores regulatory priorities in the EU AI Act and the Nigerian Data Protection Act, which require transparency, human oversight, and contestability for automated decisions (EU AI Act, 2024; Lambo et al., 2024; Okoro, 2025). The improvement in precision alongside lower false positives after ML-SF activation suggests that explainability and auditability can coexist with accuracy, echoing evidence on XAI methods that maintain performance while enabling oversight (Salih et al., 2024; </w:t>
      </w:r>
      <w:proofErr w:type="spellStart"/>
      <w:r w:rsidRPr="001D6728">
        <w:rPr>
          <w:rFonts w:ascii="Arial" w:hAnsi="Arial" w:cs="Arial"/>
        </w:rPr>
        <w:t>Saarela</w:t>
      </w:r>
      <w:proofErr w:type="spellEnd"/>
      <w:r w:rsidRPr="001D6728">
        <w:rPr>
          <w:rFonts w:ascii="Arial" w:hAnsi="Arial" w:cs="Arial"/>
        </w:rPr>
        <w:t xml:space="preserve"> &amp; </w:t>
      </w:r>
      <w:proofErr w:type="spellStart"/>
      <w:r w:rsidRPr="001D6728">
        <w:rPr>
          <w:rFonts w:ascii="Arial" w:hAnsi="Arial" w:cs="Arial"/>
        </w:rPr>
        <w:t>Podgorelec</w:t>
      </w:r>
      <w:proofErr w:type="spellEnd"/>
      <w:r w:rsidRPr="001D6728">
        <w:rPr>
          <w:rFonts w:ascii="Arial" w:hAnsi="Arial" w:cs="Arial"/>
        </w:rPr>
        <w:t xml:space="preserve">, 2024). Furthermore, because data-management gaps raise severity, the literature’s emphasis on standardized pipelines and privacy-preserving collaboration is reinforced; federated learning and differential privacy provide avenues to improve coverage of rare or emerging threats without compromising compliance (Byrd &amp; </w:t>
      </w:r>
      <w:proofErr w:type="spellStart"/>
      <w:r w:rsidRPr="001D6728">
        <w:rPr>
          <w:rFonts w:ascii="Arial" w:hAnsi="Arial" w:cs="Arial"/>
        </w:rPr>
        <w:t>Polychroniadou</w:t>
      </w:r>
      <w:proofErr w:type="spellEnd"/>
      <w:r w:rsidRPr="001D6728">
        <w:rPr>
          <w:rFonts w:ascii="Arial" w:hAnsi="Arial" w:cs="Arial"/>
        </w:rPr>
        <w:t xml:space="preserve">, 2020; </w:t>
      </w:r>
      <w:proofErr w:type="spellStart"/>
      <w:r w:rsidRPr="001D6728">
        <w:rPr>
          <w:rFonts w:ascii="Arial" w:hAnsi="Arial" w:cs="Arial"/>
        </w:rPr>
        <w:t>Timofte</w:t>
      </w:r>
      <w:proofErr w:type="spellEnd"/>
      <w:r w:rsidRPr="001D6728">
        <w:rPr>
          <w:rFonts w:ascii="Arial" w:hAnsi="Arial" w:cs="Arial"/>
        </w:rPr>
        <w:t xml:space="preserve"> et al., 2025; ALF, 2024).</w:t>
      </w:r>
    </w:p>
    <w:p w14:paraId="26E6AA81" w14:textId="77777777" w:rsidR="008462B7" w:rsidRPr="001D6728" w:rsidRDefault="008462B7" w:rsidP="003D6F2D">
      <w:pPr>
        <w:pStyle w:val="NormalWeb"/>
        <w:spacing w:after="240" w:afterAutospacing="0" w:line="360" w:lineRule="auto"/>
        <w:jc w:val="both"/>
        <w:rPr>
          <w:rFonts w:ascii="Arial" w:hAnsi="Arial" w:cs="Arial"/>
        </w:rPr>
      </w:pPr>
      <w:r w:rsidRPr="001D6728">
        <w:rPr>
          <w:rFonts w:ascii="Arial" w:hAnsi="Arial" w:cs="Arial"/>
        </w:rPr>
        <w:t xml:space="preserve">The results also intersect with adversarial risk. Performance decay before the alarm and its operational footprints in Table 1 are consistent with both benign drift and adversarial drift risks; hence, integrating adversarial training and red-teaming into the same </w:t>
      </w:r>
      <w:proofErr w:type="spellStart"/>
      <w:r w:rsidRPr="001D6728">
        <w:rPr>
          <w:rFonts w:ascii="Arial" w:hAnsi="Arial" w:cs="Arial"/>
        </w:rPr>
        <w:t>MLOps</w:t>
      </w:r>
      <w:proofErr w:type="spellEnd"/>
      <w:r w:rsidRPr="001D6728">
        <w:rPr>
          <w:rFonts w:ascii="Arial" w:hAnsi="Arial" w:cs="Arial"/>
        </w:rPr>
        <w:t xml:space="preserve"> cadence is warranted (</w:t>
      </w:r>
      <w:proofErr w:type="spellStart"/>
      <w:r w:rsidRPr="001D6728">
        <w:rPr>
          <w:rFonts w:ascii="Arial" w:hAnsi="Arial" w:cs="Arial"/>
        </w:rPr>
        <w:t>Tafreshian</w:t>
      </w:r>
      <w:proofErr w:type="spellEnd"/>
      <w:r w:rsidRPr="001D6728">
        <w:rPr>
          <w:rFonts w:ascii="Arial" w:hAnsi="Arial" w:cs="Arial"/>
        </w:rPr>
        <w:t xml:space="preserve"> &amp; Zhang, 2025; ENISA, 2025). The observed reduction in FPR and MTTR post-activation aligns with hybrid defenses that combine signature-based controls with retrained models to lower false negatives while keeping false alarms manageable (Kareem, 2025; Mahmoud et al., 2025; Barik et al., 2025). This convergence </w:t>
      </w:r>
      <w:r w:rsidRPr="001D6728">
        <w:rPr>
          <w:rFonts w:ascii="Arial" w:hAnsi="Arial" w:cs="Arial"/>
        </w:rPr>
        <w:lastRenderedPageBreak/>
        <w:t>of empirical evidence with operational doctrine strengthens the case for ML-SF as a socio-technical scaffold rather than an algorithm-centric upgrade.</w:t>
      </w:r>
    </w:p>
    <w:p w14:paraId="4B7BB8FC" w14:textId="1EFF92F1" w:rsidR="008462B7" w:rsidRPr="001D6728" w:rsidRDefault="00FC5145" w:rsidP="003D6F2D">
      <w:pPr>
        <w:spacing w:before="240" w:after="240" w:line="360" w:lineRule="auto"/>
        <w:jc w:val="both"/>
        <w:rPr>
          <w:b/>
          <w:sz w:val="24"/>
          <w:szCs w:val="24"/>
        </w:rPr>
      </w:pPr>
      <w:r w:rsidRPr="001D6728">
        <w:rPr>
          <w:b/>
          <w:sz w:val="24"/>
          <w:szCs w:val="24"/>
        </w:rPr>
        <w:t>5.</w:t>
      </w:r>
      <w:r w:rsidRPr="001D6728">
        <w:rPr>
          <w:b/>
          <w:sz w:val="24"/>
          <w:szCs w:val="24"/>
        </w:rPr>
        <w:tab/>
      </w:r>
      <w:r w:rsidR="008462B7" w:rsidRPr="001D6728">
        <w:rPr>
          <w:b/>
          <w:sz w:val="24"/>
          <w:szCs w:val="24"/>
        </w:rPr>
        <w:t>Conclusion and Recommendation</w:t>
      </w:r>
    </w:p>
    <w:p w14:paraId="3CE21894" w14:textId="77777777" w:rsidR="000A7110" w:rsidRPr="001D6728" w:rsidRDefault="000A7110" w:rsidP="003D6F2D">
      <w:p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 xml:space="preserve">The study shows that scaling ML in e-commerce security hinges on governance first, then disciplined </w:t>
      </w:r>
      <w:proofErr w:type="spellStart"/>
      <w:r w:rsidRPr="001D6728">
        <w:rPr>
          <w:rFonts w:eastAsia="Times New Roman"/>
          <w:sz w:val="24"/>
          <w:szCs w:val="24"/>
          <w:lang w:val="en-US"/>
        </w:rPr>
        <w:t>MLOps</w:t>
      </w:r>
      <w:proofErr w:type="spellEnd"/>
      <w:r w:rsidRPr="001D6728">
        <w:rPr>
          <w:rFonts w:eastAsia="Times New Roman"/>
          <w:sz w:val="24"/>
          <w:szCs w:val="24"/>
          <w:lang w:val="en-US"/>
        </w:rPr>
        <w:t xml:space="preserve"> and privacy-aware data readiness; ML-SF activation raised detection, lowered false positives, and cut MTTR, while governance gaps most strongly increased incident severity. Therefore, the following actions are warranted:</w:t>
      </w:r>
    </w:p>
    <w:p w14:paraId="48D5B231" w14:textId="77777777" w:rsidR="000A7110" w:rsidRPr="001D6728"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Establish board-level AI security governance with audit trails, human-in-the-loop approvals, and routine explainability reports tied to risk.</w:t>
      </w:r>
    </w:p>
    <w:p w14:paraId="4921E621" w14:textId="77777777" w:rsidR="000A7110" w:rsidRPr="001D6728"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Operationalize drift management: always-on detectors (e.g., ADWIN), retraining SLOs, model registry/versioning with rollback, and post-deploy monitoring as KPIs.</w:t>
      </w:r>
    </w:p>
    <w:p w14:paraId="34866225" w14:textId="77777777" w:rsidR="000A7110" w:rsidRPr="001D6728"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Harden data pipelines: standardized schemas and feature stores, plus federated learning and differential privacy to expand coverage without exposing raw data.</w:t>
      </w:r>
    </w:p>
    <w:p w14:paraId="226FFD56" w14:textId="77777777" w:rsidR="000A7110" w:rsidRDefault="000A7110" w:rsidP="003D6F2D">
      <w:pPr>
        <w:numPr>
          <w:ilvl w:val="0"/>
          <w:numId w:val="7"/>
        </w:numPr>
        <w:spacing w:before="100" w:beforeAutospacing="1" w:after="240" w:line="360" w:lineRule="auto"/>
        <w:jc w:val="both"/>
        <w:rPr>
          <w:rFonts w:eastAsia="Times New Roman"/>
          <w:sz w:val="24"/>
          <w:szCs w:val="24"/>
          <w:lang w:val="en-US"/>
        </w:rPr>
      </w:pPr>
      <w:r w:rsidRPr="001D6728">
        <w:rPr>
          <w:rFonts w:eastAsia="Times New Roman"/>
          <w:sz w:val="24"/>
          <w:szCs w:val="24"/>
          <w:lang w:val="en-US"/>
        </w:rPr>
        <w:t>Institutionalize adversarial resilience: periodic red-teaming, adversarial training, telemetry audits, and kill-switches aligned to GDPR/PCI/NDPA.</w:t>
      </w:r>
      <w:r w:rsidRPr="001D6728">
        <w:rPr>
          <w:rFonts w:eastAsia="Times New Roman"/>
          <w:sz w:val="24"/>
          <w:szCs w:val="24"/>
          <w:lang w:val="en-US"/>
        </w:rPr>
        <w:br/>
        <w:t>These steps translate the evidence into durable, enterprise-scale capability.</w:t>
      </w:r>
    </w:p>
    <w:p w14:paraId="26A64258" w14:textId="77777777" w:rsidR="007566FC" w:rsidRDefault="007566FC" w:rsidP="007566FC">
      <w:pPr>
        <w:spacing w:before="100" w:beforeAutospacing="1" w:after="240" w:line="360" w:lineRule="auto"/>
        <w:jc w:val="both"/>
        <w:rPr>
          <w:rFonts w:eastAsia="Times New Roman"/>
          <w:sz w:val="24"/>
          <w:szCs w:val="24"/>
          <w:lang w:val="en-US"/>
        </w:rPr>
      </w:pPr>
    </w:p>
    <w:p w14:paraId="2A6ABD8F" w14:textId="77777777" w:rsidR="007566FC" w:rsidRPr="007566FC" w:rsidRDefault="007566FC" w:rsidP="007566FC">
      <w:pPr>
        <w:spacing w:after="200"/>
        <w:jc w:val="both"/>
        <w:outlineLvl w:val="0"/>
        <w:rPr>
          <w:rFonts w:eastAsia="Times New Roman"/>
          <w:lang w:val="en-GB" w:eastAsia="en-GB"/>
        </w:rPr>
      </w:pPr>
      <w:r w:rsidRPr="007566FC">
        <w:rPr>
          <w:rFonts w:eastAsia="Times New Roman"/>
          <w:b/>
          <w:bCs/>
          <w:lang w:val="en-GB" w:eastAsia="en-GB"/>
        </w:rPr>
        <w:t>COMPETING INTERESTS DISCLAIMER:</w:t>
      </w:r>
    </w:p>
    <w:p w14:paraId="5BF6D6B6" w14:textId="77777777" w:rsidR="007566FC" w:rsidRPr="007566FC" w:rsidRDefault="007566FC" w:rsidP="007566FC">
      <w:pPr>
        <w:spacing w:after="200"/>
        <w:rPr>
          <w:rFonts w:ascii="Calibri" w:eastAsia="Times New Roman" w:hAnsi="Calibri" w:cs="Times New Roman"/>
          <w:lang w:val="en-GB" w:eastAsia="en-GB"/>
        </w:rPr>
      </w:pPr>
      <w:r w:rsidRPr="007566F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797F410" w14:textId="77777777" w:rsidR="007566FC" w:rsidRPr="007566FC" w:rsidRDefault="007566FC" w:rsidP="007566FC">
      <w:pPr>
        <w:spacing w:after="200"/>
        <w:rPr>
          <w:rFonts w:ascii="Calibri" w:eastAsia="Times New Roman" w:hAnsi="Calibri" w:cs="Times New Roman"/>
          <w:lang w:val="en-GB" w:eastAsia="en-GB"/>
        </w:rPr>
      </w:pPr>
    </w:p>
    <w:p w14:paraId="0B7ACB87" w14:textId="77777777" w:rsidR="007566FC" w:rsidRPr="007566FC" w:rsidRDefault="007566FC" w:rsidP="007566FC">
      <w:pPr>
        <w:spacing w:after="200"/>
        <w:rPr>
          <w:rFonts w:ascii="Calibri" w:eastAsia="Times New Roman" w:hAnsi="Calibri" w:cs="Times New Roman"/>
          <w:lang w:val="en-GB" w:eastAsia="en-GB"/>
        </w:rPr>
      </w:pPr>
    </w:p>
    <w:p w14:paraId="2418C672" w14:textId="77777777" w:rsidR="007566FC" w:rsidRPr="001D6728" w:rsidRDefault="007566FC" w:rsidP="007566FC">
      <w:pPr>
        <w:spacing w:before="100" w:beforeAutospacing="1" w:after="240" w:line="360" w:lineRule="auto"/>
        <w:jc w:val="both"/>
        <w:rPr>
          <w:rFonts w:eastAsia="Times New Roman"/>
          <w:sz w:val="24"/>
          <w:szCs w:val="24"/>
          <w:lang w:val="en-US"/>
        </w:rPr>
      </w:pPr>
    </w:p>
    <w:p w14:paraId="3DC4E24E" w14:textId="77777777" w:rsidR="008462B7" w:rsidRPr="001D6728" w:rsidRDefault="008462B7" w:rsidP="003D6F2D">
      <w:pPr>
        <w:spacing w:before="240" w:after="240" w:line="360" w:lineRule="auto"/>
        <w:jc w:val="both"/>
        <w:rPr>
          <w:sz w:val="24"/>
          <w:szCs w:val="24"/>
        </w:rPr>
      </w:pPr>
    </w:p>
    <w:p w14:paraId="0F2E7ACA" w14:textId="0860C6E3" w:rsidR="001D6728" w:rsidRPr="001D6728" w:rsidRDefault="001D6728" w:rsidP="000331BD">
      <w:pPr>
        <w:pStyle w:val="Heading1"/>
        <w:spacing w:before="0" w:after="0" w:line="360" w:lineRule="auto"/>
        <w:jc w:val="center"/>
        <w:rPr>
          <w:b/>
          <w:sz w:val="24"/>
          <w:szCs w:val="24"/>
        </w:rPr>
      </w:pPr>
      <w:r w:rsidRPr="001D6728">
        <w:rPr>
          <w:b/>
          <w:sz w:val="24"/>
          <w:szCs w:val="24"/>
        </w:rPr>
        <w:lastRenderedPageBreak/>
        <w:t>References</w:t>
      </w:r>
    </w:p>
    <w:p w14:paraId="05295A4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Abomakhelb</w:t>
      </w:r>
      <w:proofErr w:type="spellEnd"/>
      <w:r w:rsidRPr="001D6728">
        <w:rPr>
          <w:rFonts w:ascii="Arial" w:hAnsi="Arial" w:cs="Arial"/>
        </w:rPr>
        <w:t xml:space="preserve">, A., Jalil, K. A., Buja, A. G., Alhammadi, A., &amp; </w:t>
      </w:r>
      <w:proofErr w:type="spellStart"/>
      <w:r w:rsidRPr="001D6728">
        <w:rPr>
          <w:rFonts w:ascii="Arial" w:hAnsi="Arial" w:cs="Arial"/>
        </w:rPr>
        <w:t>Alenezi</w:t>
      </w:r>
      <w:proofErr w:type="spellEnd"/>
      <w:r w:rsidRPr="001D6728">
        <w:rPr>
          <w:rFonts w:ascii="Arial" w:hAnsi="Arial" w:cs="Arial"/>
        </w:rPr>
        <w:t xml:space="preserve">, A. M. (2025). A Comprehensive Review of Adversarial Attacks and Defense Strategies in Deep Neural Networks. </w:t>
      </w:r>
      <w:r w:rsidRPr="001D6728">
        <w:rPr>
          <w:rFonts w:ascii="Arial" w:hAnsi="Arial" w:cs="Arial"/>
          <w:i/>
          <w:iCs/>
        </w:rPr>
        <w:t>Technologies</w:t>
      </w:r>
      <w:r w:rsidRPr="001D6728">
        <w:rPr>
          <w:rFonts w:ascii="Arial" w:hAnsi="Arial" w:cs="Arial"/>
        </w:rPr>
        <w:t xml:space="preserve">, </w:t>
      </w:r>
      <w:r w:rsidRPr="001D6728">
        <w:rPr>
          <w:rFonts w:ascii="Arial" w:hAnsi="Arial" w:cs="Arial"/>
          <w:i/>
          <w:iCs/>
        </w:rPr>
        <w:t>13</w:t>
      </w:r>
      <w:r w:rsidRPr="001D6728">
        <w:rPr>
          <w:rFonts w:ascii="Arial" w:hAnsi="Arial" w:cs="Arial"/>
        </w:rPr>
        <w:t>(5), 202–202. https://doi.org/10.3390/technologies13050202</w:t>
      </w:r>
    </w:p>
    <w:p w14:paraId="1E79D0F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Adesokan-Imran, T. O., Popoola, A. D., Kolo, F. H. O., Ejiofor, V. O., &amp; Salami, I. A. (2025). Cybersecurity Risk Stratification Framework Using Multilevel Clustering: An Automated Threat Attribution and Categorization Approach for Cross-industry Cybersecurity.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(4), 241–263. https://doi.org/10.9734/jerr/2025/v27i41469</w:t>
      </w:r>
    </w:p>
    <w:p w14:paraId="4251F51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Ahirrao, S. (2025, August 12). </w:t>
      </w:r>
      <w:r w:rsidRPr="001D6728">
        <w:rPr>
          <w:rFonts w:ascii="Arial" w:hAnsi="Arial" w:cs="Arial"/>
          <w:i/>
          <w:iCs/>
        </w:rPr>
        <w:t>What the Nigeria Data Protection Act 2023 Means for Your Organization</w:t>
      </w:r>
      <w:r w:rsidRPr="001D6728">
        <w:rPr>
          <w:rFonts w:ascii="Arial" w:hAnsi="Arial" w:cs="Arial"/>
        </w:rPr>
        <w:t>. Ardent Privacy. https://www.ardentprivacy.ai/blog/what-the-nigeria-data-protection-act-2023-means-for-your-organization</w:t>
      </w:r>
    </w:p>
    <w:p w14:paraId="5D341BA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Alabdulatif</w:t>
      </w:r>
      <w:proofErr w:type="spellEnd"/>
      <w:r w:rsidRPr="001D6728">
        <w:rPr>
          <w:rFonts w:ascii="Arial" w:hAnsi="Arial" w:cs="Arial"/>
        </w:rPr>
        <w:t xml:space="preserve">, A. (2025). </w:t>
      </w:r>
      <w:proofErr w:type="spellStart"/>
      <w:r w:rsidRPr="001D6728">
        <w:rPr>
          <w:rFonts w:ascii="Arial" w:hAnsi="Arial" w:cs="Arial"/>
        </w:rPr>
        <w:t>GuardianAI</w:t>
      </w:r>
      <w:proofErr w:type="spellEnd"/>
      <w:r w:rsidRPr="001D6728">
        <w:rPr>
          <w:rFonts w:ascii="Arial" w:hAnsi="Arial" w:cs="Arial"/>
        </w:rPr>
        <w:t xml:space="preserve">: Privacy-preserving Federated Anomaly Detection with Differential Privacy. </w:t>
      </w:r>
      <w:r w:rsidRPr="001D6728">
        <w:rPr>
          <w:rFonts w:ascii="Arial" w:hAnsi="Arial" w:cs="Arial"/>
          <w:i/>
          <w:iCs/>
        </w:rPr>
        <w:t>Array</w:t>
      </w:r>
      <w:r w:rsidRPr="001D6728">
        <w:rPr>
          <w:rFonts w:ascii="Arial" w:hAnsi="Arial" w:cs="Arial"/>
        </w:rPr>
        <w:t xml:space="preserve">, </w:t>
      </w:r>
      <w:r w:rsidRPr="001D6728">
        <w:rPr>
          <w:rFonts w:ascii="Arial" w:hAnsi="Arial" w:cs="Arial"/>
          <w:i/>
          <w:iCs/>
        </w:rPr>
        <w:t>26</w:t>
      </w:r>
      <w:r w:rsidRPr="001D6728">
        <w:rPr>
          <w:rFonts w:ascii="Arial" w:hAnsi="Arial" w:cs="Arial"/>
        </w:rPr>
        <w:t>, 100381. https://doi.org/10.1016/j.array.2025.100381</w:t>
      </w:r>
    </w:p>
    <w:p w14:paraId="33163E5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ALF. (2024, May 2). </w:t>
      </w:r>
      <w:r w:rsidRPr="001D6728">
        <w:rPr>
          <w:rFonts w:ascii="Arial" w:hAnsi="Arial" w:cs="Arial"/>
          <w:i/>
          <w:iCs/>
        </w:rPr>
        <w:t>Data Privacy Considerations for Artificial Intelligence Systems Use in Nigeria: The Nigeria Data Protection Act (2023) in Focus – Alliance Law Firm</w:t>
      </w:r>
      <w:r w:rsidRPr="001D6728">
        <w:rPr>
          <w:rFonts w:ascii="Arial" w:hAnsi="Arial" w:cs="Arial"/>
        </w:rPr>
        <w:t>. Alliancelawfirm.ng. https://alliancelawfirm.ng/data-privacy-considerations-for-artificial-intelligence-systems-use-in-nigeria-the-nigeria-data-protection-act-2023-in-focus/</w:t>
      </w:r>
    </w:p>
    <w:p w14:paraId="7761A96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Bamigbade</w:t>
      </w:r>
      <w:proofErr w:type="spellEnd"/>
      <w:r w:rsidRPr="001D6728">
        <w:rPr>
          <w:rFonts w:ascii="Arial" w:hAnsi="Arial" w:cs="Arial"/>
        </w:rPr>
        <w:t xml:space="preserve">, O., </w:t>
      </w:r>
      <w:proofErr w:type="spellStart"/>
      <w:r w:rsidRPr="001D6728">
        <w:rPr>
          <w:rFonts w:ascii="Arial" w:hAnsi="Arial" w:cs="Arial"/>
        </w:rPr>
        <w:t>Obrik-Uloho</w:t>
      </w:r>
      <w:proofErr w:type="spellEnd"/>
      <w:r w:rsidRPr="001D6728">
        <w:rPr>
          <w:rFonts w:ascii="Arial" w:hAnsi="Arial" w:cs="Arial"/>
        </w:rPr>
        <w:t xml:space="preserve">, E. P., Kolo, F. H. O., </w:t>
      </w:r>
      <w:proofErr w:type="spellStart"/>
      <w:r w:rsidRPr="001D6728">
        <w:rPr>
          <w:rFonts w:ascii="Arial" w:hAnsi="Arial" w:cs="Arial"/>
        </w:rPr>
        <w:t>Ogunmolu</w:t>
      </w:r>
      <w:proofErr w:type="spellEnd"/>
      <w:r w:rsidRPr="001D6728">
        <w:rPr>
          <w:rFonts w:ascii="Arial" w:hAnsi="Arial" w:cs="Arial"/>
        </w:rPr>
        <w:t xml:space="preserve">, A. M., &amp; Adesokan-Imran, T. O. (2025). Data-Centric AI for Zero-Carbon Power Systems Security: A Framework for Learning with Noisy, Sparse, and Heterogeneous Data. </w:t>
      </w:r>
      <w:r w:rsidRPr="001D6728">
        <w:rPr>
          <w:rFonts w:ascii="Arial" w:hAnsi="Arial" w:cs="Arial"/>
          <w:i/>
          <w:iCs/>
        </w:rPr>
        <w:t>Journal of Energy Research and Reviews</w:t>
      </w:r>
      <w:r w:rsidRPr="001D6728">
        <w:rPr>
          <w:rFonts w:ascii="Arial" w:hAnsi="Arial" w:cs="Arial"/>
        </w:rPr>
        <w:t xml:space="preserve">, </w:t>
      </w:r>
      <w:r w:rsidRPr="001D6728">
        <w:rPr>
          <w:rFonts w:ascii="Arial" w:hAnsi="Arial" w:cs="Arial"/>
          <w:i/>
          <w:iCs/>
        </w:rPr>
        <w:t>17</w:t>
      </w:r>
      <w:r w:rsidRPr="001D6728">
        <w:rPr>
          <w:rFonts w:ascii="Arial" w:hAnsi="Arial" w:cs="Arial"/>
        </w:rPr>
        <w:t>(7), 167–185. https://doi.org/10.9734/jenrr/2025/v17i7442</w:t>
      </w:r>
    </w:p>
    <w:p w14:paraId="78ACB78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Barik, K., Misra, S., &amp; Lopez-</w:t>
      </w:r>
      <w:proofErr w:type="spellStart"/>
      <w:r w:rsidRPr="001D6728">
        <w:rPr>
          <w:rFonts w:ascii="Arial" w:hAnsi="Arial" w:cs="Arial"/>
        </w:rPr>
        <w:t>Baldominos</w:t>
      </w:r>
      <w:proofErr w:type="spellEnd"/>
      <w:r w:rsidRPr="001D6728">
        <w:rPr>
          <w:rFonts w:ascii="Arial" w:hAnsi="Arial" w:cs="Arial"/>
        </w:rPr>
        <w:t xml:space="preserve">, I. (2025). Black-box Adversarial Attack Defense Approach: An Empirical Analysis from Cybersecurity Perceptive. </w:t>
      </w:r>
      <w:r w:rsidRPr="001D6728">
        <w:rPr>
          <w:rFonts w:ascii="Arial" w:hAnsi="Arial" w:cs="Arial"/>
          <w:i/>
          <w:iCs/>
        </w:rPr>
        <w:t>Results in Engineering</w:t>
      </w:r>
      <w:r w:rsidRPr="001D6728">
        <w:rPr>
          <w:rFonts w:ascii="Arial" w:hAnsi="Arial" w:cs="Arial"/>
        </w:rPr>
        <w:t>, 105177. https://doi.org/10.1016/j.rineng.2025.105177</w:t>
      </w:r>
    </w:p>
    <w:p w14:paraId="150A5BB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Byrd, D., &amp; </w:t>
      </w:r>
      <w:proofErr w:type="spellStart"/>
      <w:r w:rsidRPr="001D6728">
        <w:rPr>
          <w:rFonts w:ascii="Arial" w:hAnsi="Arial" w:cs="Arial"/>
        </w:rPr>
        <w:t>Polychroniadou</w:t>
      </w:r>
      <w:proofErr w:type="spellEnd"/>
      <w:r w:rsidRPr="001D6728">
        <w:rPr>
          <w:rFonts w:ascii="Arial" w:hAnsi="Arial" w:cs="Arial"/>
        </w:rPr>
        <w:t xml:space="preserve">, A. (2020). </w:t>
      </w:r>
      <w:r w:rsidRPr="001D6728">
        <w:rPr>
          <w:rFonts w:ascii="Arial" w:hAnsi="Arial" w:cs="Arial"/>
          <w:i/>
          <w:iCs/>
        </w:rPr>
        <w:t>Differentially Private Secure Multi-Party Computation for Federated Learning in Financial Applications</w:t>
      </w:r>
      <w:r w:rsidRPr="001D6728">
        <w:rPr>
          <w:rFonts w:ascii="Arial" w:hAnsi="Arial" w:cs="Arial"/>
        </w:rPr>
        <w:t>. ArXiv.org. https://arxiv.org/abs/2010.05867</w:t>
      </w:r>
    </w:p>
    <w:p w14:paraId="496C431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Camilleri, M. A. (2023). Artificial intelligence governance: Ethical considerations and implications for social responsibility. </w:t>
      </w:r>
      <w:r w:rsidRPr="001D6728">
        <w:rPr>
          <w:rFonts w:ascii="Arial" w:hAnsi="Arial" w:cs="Arial"/>
          <w:i/>
          <w:iCs/>
        </w:rPr>
        <w:t>Expert Systems</w:t>
      </w:r>
      <w:r w:rsidRPr="001D6728">
        <w:rPr>
          <w:rFonts w:ascii="Arial" w:hAnsi="Arial" w:cs="Arial"/>
        </w:rPr>
        <w:t xml:space="preserve">, </w:t>
      </w:r>
      <w:r w:rsidRPr="001D6728">
        <w:rPr>
          <w:rFonts w:ascii="Arial" w:hAnsi="Arial" w:cs="Arial"/>
          <w:i/>
          <w:iCs/>
        </w:rPr>
        <w:t>41</w:t>
      </w:r>
      <w:r w:rsidRPr="001D6728">
        <w:rPr>
          <w:rFonts w:ascii="Arial" w:hAnsi="Arial" w:cs="Arial"/>
        </w:rPr>
        <w:t>(7). https://doi.org/10.1111/exsy.13406</w:t>
      </w:r>
    </w:p>
    <w:p w14:paraId="595655CB"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Chen, Y., Zhao, C., Xu, Y., Nie, C., &amp; Zhang, Y. (2025a). Deep Learning in Financial Fraud Detection: Innovations, Challenges, and Applications. </w:t>
      </w:r>
      <w:r w:rsidRPr="001D6728">
        <w:rPr>
          <w:rFonts w:ascii="Arial" w:hAnsi="Arial" w:cs="Arial"/>
          <w:i/>
          <w:iCs/>
        </w:rPr>
        <w:t>Data Science and Management</w:t>
      </w:r>
      <w:r w:rsidRPr="001D6728">
        <w:rPr>
          <w:rFonts w:ascii="Arial" w:hAnsi="Arial" w:cs="Arial"/>
        </w:rPr>
        <w:t>. https://doi.org/10.1016/j.dsm.2025.08.002</w:t>
      </w:r>
    </w:p>
    <w:p w14:paraId="60262C6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Chen, Y., Zhao, C., Xu, Y., Nie, C., &amp; Zhang, Y. (2025b). </w:t>
      </w:r>
      <w:r w:rsidRPr="001D6728">
        <w:rPr>
          <w:rFonts w:ascii="Arial" w:hAnsi="Arial" w:cs="Arial"/>
          <w:i/>
          <w:iCs/>
        </w:rPr>
        <w:t>Year-over-Year Developments in Financial Fraud Detection via Deep Learning: A Systematic Literature Review</w:t>
      </w:r>
      <w:r w:rsidRPr="001D6728">
        <w:rPr>
          <w:rFonts w:ascii="Arial" w:hAnsi="Arial" w:cs="Arial"/>
        </w:rPr>
        <w:t>. Arxiv.org. https://arxiv.org/html/2502.00201v2?utm_</w:t>
      </w:r>
    </w:p>
    <w:p w14:paraId="3383501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Cramer-Flood, E. (2024, September 6). </w:t>
      </w:r>
      <w:r w:rsidRPr="001D6728">
        <w:rPr>
          <w:rFonts w:ascii="Arial" w:hAnsi="Arial" w:cs="Arial"/>
          <w:i/>
          <w:iCs/>
        </w:rPr>
        <w:t>Worldwide Retail Ecommerce Forecast 2024 Midyear Update</w:t>
      </w:r>
      <w:r w:rsidRPr="001D6728">
        <w:rPr>
          <w:rFonts w:ascii="Arial" w:hAnsi="Arial" w:cs="Arial"/>
        </w:rPr>
        <w:t>. EMARKETER. https://www.emarketer.com/content/worldwide-retail-ecommerce-forecast-2024-midyear-update?utm_</w:t>
      </w:r>
    </w:p>
    <w:p w14:paraId="4FA3DA1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Desai, D., &amp; Hedge, R. (2024, April 23). </w:t>
      </w:r>
      <w:r w:rsidRPr="001D6728">
        <w:rPr>
          <w:rFonts w:ascii="Arial" w:hAnsi="Arial" w:cs="Arial"/>
          <w:i/>
          <w:iCs/>
        </w:rPr>
        <w:t xml:space="preserve">Phishing Attacks Rise 58% in the Year of AI: </w:t>
      </w:r>
      <w:proofErr w:type="spellStart"/>
      <w:r w:rsidRPr="001D6728">
        <w:rPr>
          <w:rFonts w:ascii="Arial" w:hAnsi="Arial" w:cs="Arial"/>
          <w:i/>
          <w:iCs/>
        </w:rPr>
        <w:t>ThreatLabz</w:t>
      </w:r>
      <w:proofErr w:type="spellEnd"/>
      <w:r w:rsidRPr="001D6728">
        <w:rPr>
          <w:rFonts w:ascii="Arial" w:hAnsi="Arial" w:cs="Arial"/>
          <w:i/>
          <w:iCs/>
        </w:rPr>
        <w:t xml:space="preserve"> 2024 Phishing Report</w:t>
      </w:r>
      <w:r w:rsidRPr="001D6728">
        <w:rPr>
          <w:rFonts w:ascii="Arial" w:hAnsi="Arial" w:cs="Arial"/>
        </w:rPr>
        <w:t>. Www.zscaler.com. https://www.zscaler.com/blogs/security-research/phishing-attacks-rise-58-year-ai-threatlabz-2024-phishing-report</w:t>
      </w:r>
    </w:p>
    <w:p w14:paraId="5BF39C5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Dritsas, E., &amp; </w:t>
      </w:r>
      <w:proofErr w:type="spellStart"/>
      <w:r w:rsidRPr="001D6728">
        <w:rPr>
          <w:rFonts w:ascii="Arial" w:hAnsi="Arial" w:cs="Arial"/>
        </w:rPr>
        <w:t>Trigka</w:t>
      </w:r>
      <w:proofErr w:type="spellEnd"/>
      <w:r w:rsidRPr="001D6728">
        <w:rPr>
          <w:rFonts w:ascii="Arial" w:hAnsi="Arial" w:cs="Arial"/>
        </w:rPr>
        <w:t xml:space="preserve">, M. (2025). Exploring the Intersection of Machine Learning and Big Data: A Survey. </w:t>
      </w:r>
      <w:r w:rsidRPr="001D6728">
        <w:rPr>
          <w:rFonts w:ascii="Arial" w:hAnsi="Arial" w:cs="Arial"/>
          <w:i/>
          <w:iCs/>
        </w:rPr>
        <w:t>Machine Learning and Knowledge Extraction</w:t>
      </w:r>
      <w:r w:rsidRPr="001D6728">
        <w:rPr>
          <w:rFonts w:ascii="Arial" w:hAnsi="Arial" w:cs="Arial"/>
        </w:rPr>
        <w:t xml:space="preserve">, </w:t>
      </w:r>
      <w:r w:rsidRPr="001D6728">
        <w:rPr>
          <w:rFonts w:ascii="Arial" w:hAnsi="Arial" w:cs="Arial"/>
          <w:i/>
          <w:iCs/>
        </w:rPr>
        <w:t>7</w:t>
      </w:r>
      <w:r w:rsidRPr="001D6728">
        <w:rPr>
          <w:rFonts w:ascii="Arial" w:hAnsi="Arial" w:cs="Arial"/>
        </w:rPr>
        <w:t>(1), 13. https://doi.org/10.3390/make7010013</w:t>
      </w:r>
    </w:p>
    <w:p w14:paraId="2BC1C7F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Dwivedi, Y. K., Rana, N. P., Tamilmani, K., &amp; Raman, R. (2020). A meta-analysis based modified unified theory of acceptance and use of technology (meta-UTAUT): a review of emerging literature. </w:t>
      </w:r>
      <w:r w:rsidRPr="001D6728">
        <w:rPr>
          <w:rFonts w:ascii="Arial" w:hAnsi="Arial" w:cs="Arial"/>
          <w:i/>
          <w:iCs/>
        </w:rPr>
        <w:t>Current Opinion in Psychology</w:t>
      </w:r>
      <w:r w:rsidRPr="001D6728">
        <w:rPr>
          <w:rFonts w:ascii="Arial" w:hAnsi="Arial" w:cs="Arial"/>
        </w:rPr>
        <w:t xml:space="preserve">, </w:t>
      </w:r>
      <w:r w:rsidRPr="001D6728">
        <w:rPr>
          <w:rFonts w:ascii="Arial" w:hAnsi="Arial" w:cs="Arial"/>
          <w:i/>
          <w:iCs/>
        </w:rPr>
        <w:t>36</w:t>
      </w:r>
      <w:r w:rsidRPr="001D6728">
        <w:rPr>
          <w:rFonts w:ascii="Arial" w:hAnsi="Arial" w:cs="Arial"/>
        </w:rPr>
        <w:t>, 13–18. https://doi.org/10.1016/j.copsyc.2020.03.008</w:t>
      </w:r>
    </w:p>
    <w:p w14:paraId="4420389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Ekpo, O., </w:t>
      </w:r>
      <w:proofErr w:type="spellStart"/>
      <w:r w:rsidRPr="001D6728">
        <w:rPr>
          <w:rFonts w:ascii="Arial" w:hAnsi="Arial" w:cs="Arial"/>
        </w:rPr>
        <w:t>Okokon</w:t>
      </w:r>
      <w:proofErr w:type="spellEnd"/>
      <w:r w:rsidRPr="001D6728">
        <w:rPr>
          <w:rFonts w:ascii="Arial" w:hAnsi="Arial" w:cs="Arial"/>
        </w:rPr>
        <w:t xml:space="preserve">, A., &amp; </w:t>
      </w:r>
      <w:proofErr w:type="spellStart"/>
      <w:r w:rsidRPr="001D6728">
        <w:rPr>
          <w:rFonts w:ascii="Arial" w:hAnsi="Arial" w:cs="Arial"/>
        </w:rPr>
        <w:t>Akpakpan</w:t>
      </w:r>
      <w:proofErr w:type="spellEnd"/>
      <w:r w:rsidRPr="001D6728">
        <w:rPr>
          <w:rFonts w:ascii="Arial" w:hAnsi="Arial" w:cs="Arial"/>
        </w:rPr>
        <w:t xml:space="preserve">, M. (2024). Data protection in the digital age: A comparative analysis of Nigeria’s NDPA and the EU’s GDPR. </w:t>
      </w:r>
      <w:r w:rsidRPr="001D6728">
        <w:rPr>
          <w:rFonts w:ascii="Arial" w:hAnsi="Arial" w:cs="Arial"/>
          <w:i/>
          <w:iCs/>
        </w:rPr>
        <w:t>Proceedings of the 13th International Conference on Information &amp; Communication Technologies and Development</w:t>
      </w:r>
      <w:r w:rsidRPr="001D6728">
        <w:rPr>
          <w:rFonts w:ascii="Arial" w:hAnsi="Arial" w:cs="Arial"/>
        </w:rPr>
        <w:t>, 48–56. https://doi.org/10.1145/3700794.3700799</w:t>
      </w:r>
    </w:p>
    <w:p w14:paraId="232738F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ENISA. (2025, August). </w:t>
      </w:r>
      <w:r w:rsidRPr="001D6728">
        <w:rPr>
          <w:rFonts w:ascii="Arial" w:hAnsi="Arial" w:cs="Arial"/>
          <w:i/>
          <w:iCs/>
        </w:rPr>
        <w:t>ENISA Threat Landscape 2025 | ENISA</w:t>
      </w:r>
      <w:r w:rsidRPr="001D6728">
        <w:rPr>
          <w:rFonts w:ascii="Arial" w:hAnsi="Arial" w:cs="Arial"/>
        </w:rPr>
        <w:t>. Europa.eu. https://www.enisa.europa.eu/publications/enisa-threat-landscape-2025</w:t>
      </w:r>
    </w:p>
    <w:p w14:paraId="32C051B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ETSI. (2025). Securing Artificial Intelligence (SAI); Guide to Cyber Security for AI Models and Systems 2 ETS. In </w:t>
      </w:r>
      <w:r w:rsidRPr="001D6728">
        <w:rPr>
          <w:rFonts w:ascii="Arial" w:hAnsi="Arial" w:cs="Arial"/>
          <w:i/>
          <w:iCs/>
        </w:rPr>
        <w:t>ETSI</w:t>
      </w:r>
      <w:r w:rsidRPr="001D6728">
        <w:rPr>
          <w:rFonts w:ascii="Arial" w:hAnsi="Arial" w:cs="Arial"/>
        </w:rPr>
        <w:t>. https://www.etsi.org/deliver/etsi_tr/104100_104199/104128/01.01.01_60/tr_104128v010101p.pdf</w:t>
      </w:r>
    </w:p>
    <w:p w14:paraId="170B9CF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EU AI Act. (2024). </w:t>
      </w:r>
      <w:r w:rsidRPr="001D6728">
        <w:rPr>
          <w:rFonts w:ascii="Arial" w:hAnsi="Arial" w:cs="Arial"/>
          <w:i/>
          <w:iCs/>
        </w:rPr>
        <w:t>Key Issue 5: Transparency Obligations - EU AI Act</w:t>
      </w:r>
      <w:r w:rsidRPr="001D6728">
        <w:rPr>
          <w:rFonts w:ascii="Arial" w:hAnsi="Arial" w:cs="Arial"/>
        </w:rPr>
        <w:t>. Www.euaiact.com. https://www.euaiact.com/key-issue/5</w:t>
      </w:r>
    </w:p>
    <w:p w14:paraId="33928900"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European Union. (2024, June 13). </w:t>
      </w:r>
      <w:r w:rsidRPr="001D6728">
        <w:rPr>
          <w:rFonts w:ascii="Arial" w:hAnsi="Arial" w:cs="Arial"/>
          <w:i/>
          <w:iCs/>
        </w:rPr>
        <w:t>Regulation - EU - 2024/1689 - EN - EUR-Lex</w:t>
      </w:r>
      <w:r w:rsidRPr="001D6728">
        <w:rPr>
          <w:rFonts w:ascii="Arial" w:hAnsi="Arial" w:cs="Arial"/>
        </w:rPr>
        <w:t>. Europa.eu. https://eur-lex.europa.eu/legal-content/EN/TXT/?uri=CELEX:32024R1689</w:t>
      </w:r>
    </w:p>
    <w:p w14:paraId="179E9ED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Gen, T., &amp; Esther, D. (2024, December 12). </w:t>
      </w:r>
      <w:r w:rsidRPr="001D6728">
        <w:rPr>
          <w:rFonts w:ascii="Arial" w:hAnsi="Arial" w:cs="Arial"/>
          <w:i/>
          <w:iCs/>
        </w:rPr>
        <w:t xml:space="preserve">AI Governance in </w:t>
      </w:r>
      <w:proofErr w:type="spellStart"/>
      <w:r w:rsidRPr="001D6728">
        <w:rPr>
          <w:rFonts w:ascii="Arial" w:hAnsi="Arial" w:cs="Arial"/>
          <w:i/>
          <w:iCs/>
        </w:rPr>
        <w:t>MLOps</w:t>
      </w:r>
      <w:proofErr w:type="spellEnd"/>
      <w:r w:rsidRPr="001D6728">
        <w:rPr>
          <w:rFonts w:ascii="Arial" w:hAnsi="Arial" w:cs="Arial"/>
          <w:i/>
          <w:iCs/>
        </w:rPr>
        <w:t>: Compliance, Fairness, and Transparency</w:t>
      </w:r>
      <w:r w:rsidRPr="001D6728">
        <w:rPr>
          <w:rFonts w:ascii="Arial" w:hAnsi="Arial" w:cs="Arial"/>
        </w:rPr>
        <w:t>. https://www.researchgate.net/publication/388661015_AI_Governance_in_MLOps_Compliance_Fairness_and_Transparency</w:t>
      </w:r>
    </w:p>
    <w:p w14:paraId="3B406FC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Gerchow</w:t>
      </w:r>
      <w:proofErr w:type="spellEnd"/>
      <w:r w:rsidRPr="001D6728">
        <w:rPr>
          <w:rFonts w:ascii="Arial" w:hAnsi="Arial" w:cs="Arial"/>
        </w:rPr>
        <w:t xml:space="preserve">, G. (2025). </w:t>
      </w:r>
      <w:r w:rsidRPr="001D6728">
        <w:rPr>
          <w:rFonts w:ascii="Arial" w:hAnsi="Arial" w:cs="Arial"/>
          <w:i/>
          <w:iCs/>
        </w:rPr>
        <w:t>New Study:82% of Security Teams Face AI Data Visibility Gaps</w:t>
      </w:r>
      <w:r w:rsidRPr="001D6728">
        <w:rPr>
          <w:rFonts w:ascii="Arial" w:hAnsi="Arial" w:cs="Arial"/>
        </w:rPr>
        <w:t>. Bedrockdata.ai. https://www.bedrockdata.ai/news/security-teams-taking-on-expanded-ai-data-responsibilities-as-82-report-visibility-gaps</w:t>
      </w:r>
    </w:p>
    <w:p w14:paraId="320CFEA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Grand View Research. (2025a). </w:t>
      </w:r>
      <w:r w:rsidRPr="001D6728">
        <w:rPr>
          <w:rFonts w:ascii="Arial" w:hAnsi="Arial" w:cs="Arial"/>
          <w:i/>
          <w:iCs/>
        </w:rPr>
        <w:t>AI In Cybersecurity Market Size, Share | Industry Report, 2030</w:t>
      </w:r>
      <w:r w:rsidRPr="001D6728">
        <w:rPr>
          <w:rFonts w:ascii="Arial" w:hAnsi="Arial" w:cs="Arial"/>
        </w:rPr>
        <w:t>. Grandviewresearch.com. https://www.grandviewresearch.com/industry-analysis/artificial-intelligence-cybersecurity-market-report?utm_</w:t>
      </w:r>
    </w:p>
    <w:p w14:paraId="37934DC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Grand View Research. (2025b). </w:t>
      </w:r>
      <w:r w:rsidRPr="001D6728">
        <w:rPr>
          <w:rFonts w:ascii="Arial" w:hAnsi="Arial" w:cs="Arial"/>
          <w:i/>
          <w:iCs/>
        </w:rPr>
        <w:t>Cyber Security Market Size, Share | Industry Report, 2030</w:t>
      </w:r>
      <w:r w:rsidRPr="001D6728">
        <w:rPr>
          <w:rFonts w:ascii="Arial" w:hAnsi="Arial" w:cs="Arial"/>
        </w:rPr>
        <w:t>. Grandviewresearch.com. https://www.grandviewresearch.com/industry-analysis/cyber-security-market?utm_</w:t>
      </w:r>
    </w:p>
    <w:p w14:paraId="291C7D3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Hughes, L., Davies, F., Li, K., </w:t>
      </w:r>
      <w:proofErr w:type="spellStart"/>
      <w:r w:rsidRPr="001D6728">
        <w:rPr>
          <w:rFonts w:ascii="Arial" w:hAnsi="Arial" w:cs="Arial"/>
        </w:rPr>
        <w:t>Gunaratnege</w:t>
      </w:r>
      <w:proofErr w:type="spellEnd"/>
      <w:r w:rsidRPr="001D6728">
        <w:rPr>
          <w:rFonts w:ascii="Arial" w:hAnsi="Arial" w:cs="Arial"/>
        </w:rPr>
        <w:t xml:space="preserve">, S. M., Malik, T., &amp; Dwivedi, Y. K. (2025). Beyond the hype: Organisational adoption of Generative AI through the lens of the TOE framework–A mixed methods perspective. </w:t>
      </w:r>
      <w:r w:rsidRPr="001D6728">
        <w:rPr>
          <w:rFonts w:ascii="Arial" w:hAnsi="Arial" w:cs="Arial"/>
          <w:i/>
          <w:iCs/>
        </w:rPr>
        <w:t>International Journal of Information Management</w:t>
      </w:r>
      <w:r w:rsidRPr="001D6728">
        <w:rPr>
          <w:rFonts w:ascii="Arial" w:hAnsi="Arial" w:cs="Arial"/>
        </w:rPr>
        <w:t xml:space="preserve">, </w:t>
      </w:r>
      <w:r w:rsidRPr="001D6728">
        <w:rPr>
          <w:rFonts w:ascii="Arial" w:hAnsi="Arial" w:cs="Arial"/>
          <w:i/>
          <w:iCs/>
        </w:rPr>
        <w:t>86</w:t>
      </w:r>
      <w:r w:rsidRPr="001D6728">
        <w:rPr>
          <w:rFonts w:ascii="Arial" w:hAnsi="Arial" w:cs="Arial"/>
        </w:rPr>
        <w:t>, 102982. https://doi.org/10.1016/j.ijinfomgt.2025.102982</w:t>
      </w:r>
    </w:p>
    <w:p w14:paraId="44FCE60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Hurley, S., &amp; </w:t>
      </w:r>
      <w:proofErr w:type="spellStart"/>
      <w:r w:rsidRPr="001D6728">
        <w:rPr>
          <w:rFonts w:ascii="Arial" w:hAnsi="Arial" w:cs="Arial"/>
        </w:rPr>
        <w:t>Oyeronke</w:t>
      </w:r>
      <w:proofErr w:type="spellEnd"/>
      <w:r w:rsidRPr="001D6728">
        <w:rPr>
          <w:rFonts w:ascii="Arial" w:hAnsi="Arial" w:cs="Arial"/>
        </w:rPr>
        <w:t xml:space="preserve">, A. (2025, August 20). </w:t>
      </w:r>
      <w:r w:rsidRPr="001D6728">
        <w:rPr>
          <w:rFonts w:ascii="Arial" w:hAnsi="Arial" w:cs="Arial"/>
          <w:i/>
          <w:iCs/>
        </w:rPr>
        <w:t>Bridging Compliance and Intelligence: Integrating AI in PCI DSS v4.0 Security Frameworks</w:t>
      </w:r>
      <w:r w:rsidRPr="001D6728">
        <w:rPr>
          <w:rFonts w:ascii="Arial" w:hAnsi="Arial" w:cs="Arial"/>
        </w:rPr>
        <w:t xml:space="preserve">. </w:t>
      </w:r>
      <w:r w:rsidRPr="001D6728">
        <w:rPr>
          <w:rFonts w:ascii="Arial" w:hAnsi="Arial" w:cs="Arial"/>
        </w:rPr>
        <w:lastRenderedPageBreak/>
        <w:t>https://www.researchgate.net/publication/394738036_Bridging_Compliance_and_Intelligence_Integrating_AI_in_PCI_DSS_v40_Security_Frameworks</w:t>
      </w:r>
    </w:p>
    <w:p w14:paraId="35123B3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Husni, A., </w:t>
      </w:r>
      <w:proofErr w:type="spellStart"/>
      <w:r w:rsidRPr="001D6728">
        <w:rPr>
          <w:rFonts w:ascii="Arial" w:hAnsi="Arial" w:cs="Arial"/>
        </w:rPr>
        <w:t>Madurapperuma</w:t>
      </w:r>
      <w:proofErr w:type="spellEnd"/>
      <w:r w:rsidRPr="001D6728">
        <w:rPr>
          <w:rFonts w:ascii="Arial" w:hAnsi="Arial" w:cs="Arial"/>
        </w:rPr>
        <w:t xml:space="preserve">, W., &amp; Thilini Sumudu Kumari, R. D. (2025). Antecedents of data analytics adoption: A systematic literature review from 2018-2024. </w:t>
      </w:r>
      <w:r w:rsidRPr="001D6728">
        <w:rPr>
          <w:rFonts w:ascii="Arial" w:hAnsi="Arial" w:cs="Arial"/>
          <w:i/>
          <w:iCs/>
        </w:rPr>
        <w:t>F1000Research</w:t>
      </w:r>
      <w:r w:rsidRPr="001D6728">
        <w:rPr>
          <w:rFonts w:ascii="Arial" w:hAnsi="Arial" w:cs="Arial"/>
        </w:rPr>
        <w:t xml:space="preserve">, </w:t>
      </w:r>
      <w:r w:rsidRPr="001D6728">
        <w:rPr>
          <w:rFonts w:ascii="Arial" w:hAnsi="Arial" w:cs="Arial"/>
          <w:i/>
          <w:iCs/>
        </w:rPr>
        <w:t>14</w:t>
      </w:r>
      <w:r w:rsidRPr="001D6728">
        <w:rPr>
          <w:rFonts w:ascii="Arial" w:hAnsi="Arial" w:cs="Arial"/>
        </w:rPr>
        <w:t>, 1026. https://doi.org/10.12688/f1000research.170252.1</w:t>
      </w:r>
    </w:p>
    <w:p w14:paraId="17778E0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ISC2. (2025, July 16). </w:t>
      </w:r>
      <w:r w:rsidRPr="001D6728">
        <w:rPr>
          <w:rFonts w:ascii="Arial" w:hAnsi="Arial" w:cs="Arial"/>
          <w:i/>
          <w:iCs/>
        </w:rPr>
        <w:t>ISC2 Survey: 30% of Cyber Pros Using AI Security Tools</w:t>
      </w:r>
      <w:r w:rsidRPr="001D6728">
        <w:rPr>
          <w:rFonts w:ascii="Arial" w:hAnsi="Arial" w:cs="Arial"/>
        </w:rPr>
        <w:t>. Isc2.org; ISC2. https://www.isc2.org/Insights/2025/07/2025-isc2-ai-pulse-survey</w:t>
      </w:r>
    </w:p>
    <w:p w14:paraId="609111A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Jedrzejewski, F. V., Thode, L., Fischbach, J., </w:t>
      </w:r>
      <w:proofErr w:type="spellStart"/>
      <w:r w:rsidRPr="001D6728">
        <w:rPr>
          <w:rFonts w:ascii="Arial" w:hAnsi="Arial" w:cs="Arial"/>
        </w:rPr>
        <w:t>Gorschek</w:t>
      </w:r>
      <w:proofErr w:type="spellEnd"/>
      <w:r w:rsidRPr="001D6728">
        <w:rPr>
          <w:rFonts w:ascii="Arial" w:hAnsi="Arial" w:cs="Arial"/>
        </w:rPr>
        <w:t xml:space="preserve">, T., Mendez, D., &amp; Lavesson, N. (2024). Adversarial Machine Learning in Industry: A Systematic Literature Review. </w:t>
      </w:r>
      <w:r w:rsidRPr="001D6728">
        <w:rPr>
          <w:rFonts w:ascii="Arial" w:hAnsi="Arial" w:cs="Arial"/>
          <w:i/>
          <w:iCs/>
        </w:rPr>
        <w:t>Computers &amp; Security</w:t>
      </w:r>
      <w:r w:rsidRPr="001D6728">
        <w:rPr>
          <w:rFonts w:ascii="Arial" w:hAnsi="Arial" w:cs="Arial"/>
        </w:rPr>
        <w:t xml:space="preserve">, </w:t>
      </w:r>
      <w:r w:rsidRPr="001D6728">
        <w:rPr>
          <w:rFonts w:ascii="Arial" w:hAnsi="Arial" w:cs="Arial"/>
          <w:i/>
          <w:iCs/>
        </w:rPr>
        <w:t>145</w:t>
      </w:r>
      <w:r w:rsidRPr="001D6728">
        <w:rPr>
          <w:rFonts w:ascii="Arial" w:hAnsi="Arial" w:cs="Arial"/>
        </w:rPr>
        <w:t>, 103988–103988. https://doi.org/10.1016/j.cose.2024.103988</w:t>
      </w:r>
    </w:p>
    <w:p w14:paraId="385E8BA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Jin, J., &amp; Zhang, Y. (2025). The analysis of fraud detection in financial market under machine learning. </w:t>
      </w:r>
      <w:r w:rsidRPr="001D6728">
        <w:rPr>
          <w:rFonts w:ascii="Arial" w:hAnsi="Arial" w:cs="Arial"/>
          <w:i/>
          <w:iCs/>
        </w:rPr>
        <w:t>Scientific Reports</w:t>
      </w:r>
      <w:r w:rsidRPr="001D6728">
        <w:rPr>
          <w:rFonts w:ascii="Arial" w:hAnsi="Arial" w:cs="Arial"/>
        </w:rPr>
        <w:t xml:space="preserve">, </w:t>
      </w:r>
      <w:r w:rsidRPr="001D6728">
        <w:rPr>
          <w:rFonts w:ascii="Arial" w:hAnsi="Arial" w:cs="Arial"/>
          <w:i/>
          <w:iCs/>
        </w:rPr>
        <w:t>15</w:t>
      </w:r>
      <w:r w:rsidRPr="001D6728">
        <w:rPr>
          <w:rFonts w:ascii="Arial" w:hAnsi="Arial" w:cs="Arial"/>
        </w:rPr>
        <w:t>(1), 1–14. https://doi.org/10.1038/s41598-025-15783-2</w:t>
      </w:r>
    </w:p>
    <w:p w14:paraId="1E20860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Kareem, S. W. (2025). Enhanced Intrusion Detection System Using Hybrid-Inspired Algorithms and Conditional Generative Adversarial Networks for Internet of Things Security. </w:t>
      </w:r>
      <w:r w:rsidRPr="001D6728">
        <w:rPr>
          <w:rFonts w:ascii="Arial" w:hAnsi="Arial" w:cs="Arial"/>
          <w:i/>
          <w:iCs/>
        </w:rPr>
        <w:t>Egyptian Informatics Journal</w:t>
      </w:r>
      <w:r w:rsidRPr="001D6728">
        <w:rPr>
          <w:rFonts w:ascii="Arial" w:hAnsi="Arial" w:cs="Arial"/>
        </w:rPr>
        <w:t xml:space="preserve">, </w:t>
      </w:r>
      <w:r w:rsidRPr="001D6728">
        <w:rPr>
          <w:rFonts w:ascii="Arial" w:hAnsi="Arial" w:cs="Arial"/>
          <w:i/>
          <w:iCs/>
        </w:rPr>
        <w:t>31</w:t>
      </w:r>
      <w:r w:rsidRPr="001D6728">
        <w:rPr>
          <w:rFonts w:ascii="Arial" w:hAnsi="Arial" w:cs="Arial"/>
        </w:rPr>
        <w:t>, 100763. https://doi.org/10.1016/j.eij.2025.100763</w:t>
      </w:r>
    </w:p>
    <w:p w14:paraId="60C24D6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Kaur, R., Tomaž Klobučar, &amp; Dušan Gabrijelčič. (2025). Adoption of Artificial Intelligence in Cybersecurity for Organizations: Barriers and Roadmap. </w:t>
      </w:r>
      <w:r w:rsidRPr="001D6728">
        <w:rPr>
          <w:rFonts w:ascii="Arial" w:hAnsi="Arial" w:cs="Arial"/>
          <w:i/>
          <w:iCs/>
        </w:rPr>
        <w:t>IETE Technical Review</w:t>
      </w:r>
      <w:r w:rsidRPr="001D6728">
        <w:rPr>
          <w:rFonts w:ascii="Arial" w:hAnsi="Arial" w:cs="Arial"/>
        </w:rPr>
        <w:t xml:space="preserve">, </w:t>
      </w:r>
      <w:r w:rsidRPr="001D6728">
        <w:rPr>
          <w:rFonts w:ascii="Arial" w:hAnsi="Arial" w:cs="Arial"/>
          <w:i/>
          <w:iCs/>
        </w:rPr>
        <w:t>42</w:t>
      </w:r>
      <w:r w:rsidRPr="001D6728">
        <w:rPr>
          <w:rFonts w:ascii="Arial" w:hAnsi="Arial" w:cs="Arial"/>
        </w:rPr>
        <w:t>(2), 1–13. https://doi.org/10.1080/02564602.2025.2485910</w:t>
      </w:r>
    </w:p>
    <w:p w14:paraId="19211FB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Kim, Y., Blazquez, V., &amp; Oh, T. (2024). Determinants of Generative AI System Adoption and Usage Behavior in Korean Companies: Applying the UTAUT Model. </w:t>
      </w:r>
      <w:r w:rsidRPr="001D6728">
        <w:rPr>
          <w:rFonts w:ascii="Arial" w:hAnsi="Arial" w:cs="Arial"/>
          <w:i/>
          <w:iCs/>
        </w:rPr>
        <w:t>Behavioral Sciences</w:t>
      </w:r>
      <w:r w:rsidRPr="001D6728">
        <w:rPr>
          <w:rFonts w:ascii="Arial" w:hAnsi="Arial" w:cs="Arial"/>
        </w:rPr>
        <w:t xml:space="preserve">, </w:t>
      </w:r>
      <w:r w:rsidRPr="001D6728">
        <w:rPr>
          <w:rFonts w:ascii="Arial" w:hAnsi="Arial" w:cs="Arial"/>
          <w:i/>
          <w:iCs/>
        </w:rPr>
        <w:t>14</w:t>
      </w:r>
      <w:r w:rsidRPr="001D6728">
        <w:rPr>
          <w:rFonts w:ascii="Arial" w:hAnsi="Arial" w:cs="Arial"/>
        </w:rPr>
        <w:t>(11), 1035–1035. https://doi.org/10.3390/bs14111035</w:t>
      </w:r>
    </w:p>
    <w:p w14:paraId="26CBB15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Kolo, F. (2023). </w:t>
      </w:r>
      <w:r w:rsidRPr="001D6728">
        <w:rPr>
          <w:rFonts w:ascii="Arial" w:hAnsi="Arial" w:cs="Arial"/>
          <w:i/>
          <w:iCs/>
        </w:rPr>
        <w:t>Insights in Cybersecurity &amp; Business Intelligence: A Dual Perspective: Unlocking Security Insights and Business Growth: Intrusion Detection Strategies and Sales Forecasting Techniques</w:t>
      </w:r>
      <w:r w:rsidRPr="001D6728">
        <w:rPr>
          <w:rFonts w:ascii="Arial" w:hAnsi="Arial" w:cs="Arial"/>
        </w:rPr>
        <w:t>. LAP LAMBERT Academic Publishing. https://www.amazon.com/Insights-Cybersecurity-Business-Intelligence-Perspective/dp/6207450841</w:t>
      </w:r>
    </w:p>
    <w:p w14:paraId="6F60017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Kolo, F. H. O. (2025a). A Multi-level Clustering Framework for Cybersecurity Risk Stratification in Healthcare: A Dynamic, Overlapping Approach to Threat </w:t>
      </w:r>
      <w:r w:rsidRPr="001D6728">
        <w:rPr>
          <w:rFonts w:ascii="Arial" w:hAnsi="Arial" w:cs="Arial"/>
        </w:rPr>
        <w:lastRenderedPageBreak/>
        <w:t xml:space="preserve">Classification and Mitigation.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(5), 11–31. https://doi.org/10.9734/ajrcos/2025/v18i5636</w:t>
      </w:r>
    </w:p>
    <w:p w14:paraId="51262E4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Kolo, F. H. O. (2025b). Responsible AI for Cybersecurity: Assessing the Barriers, Biases and Governance Gaps in Implementation with E-commerce Systems.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(5), 510–532. https://doi.org/10.9734/jerr/2025/v27i51520</w:t>
      </w:r>
    </w:p>
    <w:p w14:paraId="40C9CB5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Kolo, F. H. O., Joseph, S. A., </w:t>
      </w:r>
      <w:proofErr w:type="spellStart"/>
      <w:r w:rsidRPr="001D6728">
        <w:rPr>
          <w:rFonts w:ascii="Arial" w:hAnsi="Arial" w:cs="Arial"/>
        </w:rPr>
        <w:t>Ogunmolu</w:t>
      </w:r>
      <w:proofErr w:type="spellEnd"/>
      <w:r w:rsidRPr="001D6728">
        <w:rPr>
          <w:rFonts w:ascii="Arial" w:hAnsi="Arial" w:cs="Arial"/>
        </w:rPr>
        <w:t xml:space="preserve">, A. M., Ejiofor, V. O., &amp; Oyekunle, S. M. (2025). Mitigating Cybersecurity Risks in Financial Institutions through Strategic Third- Party Risk Governance Frameworks.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(5), 173–193. https://doi.org/10.9734/jerr/2025/v27i51501</w:t>
      </w:r>
    </w:p>
    <w:p w14:paraId="188A538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Lambo, J., Okolie, C., Adeshina, O., &amp; </w:t>
      </w:r>
      <w:proofErr w:type="spellStart"/>
      <w:r w:rsidRPr="001D6728">
        <w:rPr>
          <w:rFonts w:ascii="Arial" w:hAnsi="Arial" w:cs="Arial"/>
        </w:rPr>
        <w:t>Adefidipe</w:t>
      </w:r>
      <w:proofErr w:type="spellEnd"/>
      <w:r w:rsidRPr="001D6728">
        <w:rPr>
          <w:rFonts w:ascii="Arial" w:hAnsi="Arial" w:cs="Arial"/>
        </w:rPr>
        <w:t xml:space="preserve">, J. A. (2025). </w:t>
      </w:r>
      <w:r w:rsidRPr="001D6728">
        <w:rPr>
          <w:rFonts w:ascii="Arial" w:hAnsi="Arial" w:cs="Arial"/>
          <w:i/>
          <w:iCs/>
        </w:rPr>
        <w:t>International Comparative Legal Guides</w:t>
      </w:r>
      <w:r w:rsidRPr="001D6728">
        <w:rPr>
          <w:rFonts w:ascii="Arial" w:hAnsi="Arial" w:cs="Arial"/>
        </w:rPr>
        <w:t>. International Comparative Legal Guides International Business Reports. https://iclg.com/practice-areas/data-protection-laws-and-regulations/nigeria</w:t>
      </w:r>
    </w:p>
    <w:p w14:paraId="0DB3E94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Lambo, J., Okolie, C., Ngwu, S., </w:t>
      </w:r>
      <w:proofErr w:type="spellStart"/>
      <w:r w:rsidRPr="001D6728">
        <w:rPr>
          <w:rFonts w:ascii="Arial" w:hAnsi="Arial" w:cs="Arial"/>
        </w:rPr>
        <w:t>Udoma</w:t>
      </w:r>
      <w:proofErr w:type="spellEnd"/>
      <w:r w:rsidRPr="001D6728">
        <w:rPr>
          <w:rFonts w:ascii="Arial" w:hAnsi="Arial" w:cs="Arial"/>
        </w:rPr>
        <w:t xml:space="preserve">, U., Osagie, B., Shin, J., &amp; Lee, C. (2024, June 18). </w:t>
      </w:r>
      <w:r w:rsidRPr="001D6728">
        <w:rPr>
          <w:rFonts w:ascii="Arial" w:hAnsi="Arial" w:cs="Arial"/>
          <w:i/>
          <w:iCs/>
        </w:rPr>
        <w:t>AI Watch: Global regulatory tracker - Nigeria | White &amp; Case LLP</w:t>
      </w:r>
      <w:r w:rsidRPr="001D6728">
        <w:rPr>
          <w:rFonts w:ascii="Arial" w:hAnsi="Arial" w:cs="Arial"/>
        </w:rPr>
        <w:t>. Whitecase.com. https://www.whitecase.com/insight-our-thinking/ai-watch-global-regulatory-tracker-nigeria</w:t>
      </w:r>
    </w:p>
    <w:p w14:paraId="4A08B38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Lekota, N. F. (2024). </w:t>
      </w:r>
      <w:r w:rsidRPr="001D6728">
        <w:rPr>
          <w:rFonts w:ascii="Arial" w:hAnsi="Arial" w:cs="Arial"/>
          <w:i/>
          <w:iCs/>
        </w:rPr>
        <w:t>Governance Considerations of Adversarial Attacks on AI Systems</w:t>
      </w:r>
      <w:r w:rsidRPr="001D6728">
        <w:rPr>
          <w:rFonts w:ascii="Arial" w:hAnsi="Arial" w:cs="Arial"/>
        </w:rPr>
        <w:t>. 4th International Conference on AI Research, ICAIR. https://papers.academic-conferences.org/index.php/icair/article/download/3194/2911/11424?utm_</w:t>
      </w:r>
    </w:p>
    <w:p w14:paraId="4ADB9250"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Mahmoud, M. M., Youssef, Y. O., &amp; Abdel-Hamid, A. A. (2025). XI2S-IDS: An Explainable Intelligent 2-Stage Intrusion Detection System. </w:t>
      </w:r>
      <w:r w:rsidRPr="001D6728">
        <w:rPr>
          <w:rFonts w:ascii="Arial" w:hAnsi="Arial" w:cs="Arial"/>
          <w:i/>
          <w:iCs/>
        </w:rPr>
        <w:t>Future Internet</w:t>
      </w:r>
      <w:r w:rsidRPr="001D6728">
        <w:rPr>
          <w:rFonts w:ascii="Arial" w:hAnsi="Arial" w:cs="Arial"/>
        </w:rPr>
        <w:t xml:space="preserve">, </w:t>
      </w:r>
      <w:r w:rsidRPr="001D6728">
        <w:rPr>
          <w:rFonts w:ascii="Arial" w:hAnsi="Arial" w:cs="Arial"/>
          <w:i/>
          <w:iCs/>
        </w:rPr>
        <w:t>17</w:t>
      </w:r>
      <w:r w:rsidRPr="001D6728">
        <w:rPr>
          <w:rFonts w:ascii="Arial" w:hAnsi="Arial" w:cs="Arial"/>
        </w:rPr>
        <w:t>(1), 25. https://doi.org/10.3390/fi17010025</w:t>
      </w:r>
    </w:p>
    <w:p w14:paraId="6488EC3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Majidi, F., </w:t>
      </w:r>
      <w:proofErr w:type="spellStart"/>
      <w:r w:rsidRPr="001D6728">
        <w:rPr>
          <w:rFonts w:ascii="Arial" w:hAnsi="Arial" w:cs="Arial"/>
        </w:rPr>
        <w:t>Khomh</w:t>
      </w:r>
      <w:proofErr w:type="spellEnd"/>
      <w:r w:rsidRPr="001D6728">
        <w:rPr>
          <w:rFonts w:ascii="Arial" w:hAnsi="Arial" w:cs="Arial"/>
        </w:rPr>
        <w:t xml:space="preserve">, F., Li, H., &amp; Nikanjam, A. (2024). </w:t>
      </w:r>
      <w:r w:rsidRPr="001D6728">
        <w:rPr>
          <w:rFonts w:ascii="Arial" w:hAnsi="Arial" w:cs="Arial"/>
          <w:i/>
          <w:iCs/>
        </w:rPr>
        <w:t xml:space="preserve">An Efficient Model Maintenance Approach for </w:t>
      </w:r>
      <w:proofErr w:type="spellStart"/>
      <w:r w:rsidRPr="001D6728">
        <w:rPr>
          <w:rFonts w:ascii="Arial" w:hAnsi="Arial" w:cs="Arial"/>
          <w:i/>
          <w:iCs/>
        </w:rPr>
        <w:t>MLOps</w:t>
      </w:r>
      <w:proofErr w:type="spellEnd"/>
      <w:r w:rsidRPr="001D6728">
        <w:rPr>
          <w:rFonts w:ascii="Arial" w:hAnsi="Arial" w:cs="Arial"/>
        </w:rPr>
        <w:t>. ArXiv.org. https://arxiv.org/abs/2412.04657</w:t>
      </w:r>
    </w:p>
    <w:p w14:paraId="73DADC0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Malone, A. (2025). </w:t>
      </w:r>
      <w:r w:rsidRPr="001D6728">
        <w:rPr>
          <w:rFonts w:ascii="Arial" w:hAnsi="Arial" w:cs="Arial"/>
          <w:i/>
          <w:iCs/>
        </w:rPr>
        <w:t>New Guidance: Integrating Artificial Intelligence into PCI Assessments</w:t>
      </w:r>
      <w:r w:rsidRPr="001D6728">
        <w:rPr>
          <w:rFonts w:ascii="Arial" w:hAnsi="Arial" w:cs="Arial"/>
        </w:rPr>
        <w:t>. Pcisecuritystandards.org. https://blog.pcisecuritystandards.org/new-guidance-integrating-artificial-intelligence-into-pci-assessments</w:t>
      </w:r>
    </w:p>
    <w:p w14:paraId="2E3922B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lastRenderedPageBreak/>
        <w:t>ModelOp</w:t>
      </w:r>
      <w:proofErr w:type="spellEnd"/>
      <w:r w:rsidRPr="001D6728">
        <w:rPr>
          <w:rFonts w:ascii="Arial" w:hAnsi="Arial" w:cs="Arial"/>
        </w:rPr>
        <w:t xml:space="preserve">. (2025). </w:t>
      </w:r>
      <w:r w:rsidRPr="001D6728">
        <w:rPr>
          <w:rFonts w:ascii="Arial" w:hAnsi="Arial" w:cs="Arial"/>
          <w:i/>
          <w:iCs/>
        </w:rPr>
        <w:t>2024 Responsible AI Benchmark Report | Insights on Generative AI Adoption &amp; Risk Management</w:t>
      </w:r>
      <w:r w:rsidRPr="001D6728">
        <w:rPr>
          <w:rFonts w:ascii="Arial" w:hAnsi="Arial" w:cs="Arial"/>
        </w:rPr>
        <w:t>. Modelop.com. https://www.modelop.com/resources-ebooks/responsible-ai-report-2024</w:t>
      </w:r>
    </w:p>
    <w:p w14:paraId="60F666B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Mucci, T., &amp; Stryker, C. (2024, October 10). </w:t>
      </w:r>
      <w:r w:rsidRPr="001D6728">
        <w:rPr>
          <w:rFonts w:ascii="Arial" w:hAnsi="Arial" w:cs="Arial"/>
          <w:i/>
          <w:iCs/>
        </w:rPr>
        <w:t>AI Governance</w:t>
      </w:r>
      <w:r w:rsidRPr="001D6728">
        <w:rPr>
          <w:rFonts w:ascii="Arial" w:hAnsi="Arial" w:cs="Arial"/>
        </w:rPr>
        <w:t>. Ibm.com. https://www.ibm.com/think/topics/ai-governance</w:t>
      </w:r>
    </w:p>
    <w:p w14:paraId="67CFE50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Nott, C. (2025). </w:t>
      </w:r>
      <w:r w:rsidRPr="001D6728">
        <w:rPr>
          <w:rFonts w:ascii="Arial" w:hAnsi="Arial" w:cs="Arial"/>
          <w:i/>
          <w:iCs/>
        </w:rPr>
        <w:t>Organizational Adaptation to Generative AI in Cybersecurity: A Systematic Review</w:t>
      </w:r>
      <w:r w:rsidRPr="001D6728">
        <w:rPr>
          <w:rFonts w:ascii="Arial" w:hAnsi="Arial" w:cs="Arial"/>
        </w:rPr>
        <w:t>. ArXiv.org. https://arxiv.org/abs/2506.12060?utm_</w:t>
      </w:r>
    </w:p>
    <w:p w14:paraId="2D9145B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Obrik-Uloho</w:t>
      </w:r>
      <w:proofErr w:type="spellEnd"/>
      <w:r w:rsidRPr="001D6728">
        <w:rPr>
          <w:rFonts w:ascii="Arial" w:hAnsi="Arial" w:cs="Arial"/>
        </w:rPr>
        <w:t xml:space="preserve">, E. P. (2025). Elevating Continuous Verification through Advanced Behavioral Analytics: A Deep-Dive Framework for Combating Insider Threats and Account Takeovers in Modern Cybersecurity.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(10), 316–337. https://doi.org/10.9734/jerr/2025/v27i101676</w:t>
      </w:r>
    </w:p>
    <w:p w14:paraId="392D062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Ogunmolu</w:t>
      </w:r>
      <w:proofErr w:type="spellEnd"/>
      <w:r w:rsidRPr="001D6728">
        <w:rPr>
          <w:rFonts w:ascii="Arial" w:hAnsi="Arial" w:cs="Arial"/>
        </w:rPr>
        <w:t xml:space="preserve">, A. M. (2025a). A Multiscale Approach to Cyber-Mechanical Threat Modeling for Predicting and Preventing Failures in Critical Energy Infrastructure.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(6), 1–20. https://doi.org/10.9734/jerr/2025/v27i61523</w:t>
      </w:r>
    </w:p>
    <w:p w14:paraId="0F50E8B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Ogunmolu</w:t>
      </w:r>
      <w:proofErr w:type="spellEnd"/>
      <w:r w:rsidRPr="001D6728">
        <w:rPr>
          <w:rFonts w:ascii="Arial" w:hAnsi="Arial" w:cs="Arial"/>
        </w:rPr>
        <w:t xml:space="preserve">, A. M. (2025b). Federated Detection Systems for Insider Threats in Energy Facilities Using Biomechanical Access Control and Al-Based Cybersecurity.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(6), 65–82. https://doi.org/10.9734/jerr/2025/v27i61528</w:t>
      </w:r>
    </w:p>
    <w:p w14:paraId="2DFDA92D" w14:textId="658EAAD6" w:rsid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Okoro, F. (2025). </w:t>
      </w:r>
      <w:r w:rsidRPr="001D6728">
        <w:rPr>
          <w:rFonts w:ascii="Arial" w:hAnsi="Arial" w:cs="Arial"/>
          <w:i/>
          <w:iCs/>
        </w:rPr>
        <w:t xml:space="preserve">Automated Decisions, Profiling, And Data Subject Rights </w:t>
      </w:r>
      <w:proofErr w:type="gramStart"/>
      <w:r w:rsidRPr="001D6728">
        <w:rPr>
          <w:rFonts w:ascii="Arial" w:hAnsi="Arial" w:cs="Arial"/>
          <w:i/>
          <w:iCs/>
        </w:rPr>
        <w:t>In</w:t>
      </w:r>
      <w:proofErr w:type="gramEnd"/>
      <w:r w:rsidRPr="001D6728">
        <w:rPr>
          <w:rFonts w:ascii="Arial" w:hAnsi="Arial" w:cs="Arial"/>
          <w:i/>
          <w:iCs/>
        </w:rPr>
        <w:t xml:space="preserve"> Nigeria</w:t>
      </w:r>
      <w:r w:rsidRPr="001D6728">
        <w:rPr>
          <w:rFonts w:ascii="Arial" w:hAnsi="Arial" w:cs="Arial"/>
        </w:rPr>
        <w:t xml:space="preserve">. Mondaq.com. </w:t>
      </w:r>
      <w:hyperlink r:id="rId13" w:history="1">
        <w:r w:rsidR="00311865" w:rsidRPr="00F17607">
          <w:rPr>
            <w:rStyle w:val="Hyperlink"/>
            <w:rFonts w:ascii="Arial" w:hAnsi="Arial" w:cs="Arial"/>
          </w:rPr>
          <w:t>https://www.mondaq.com/nigeria/privacy-protection/1650166/automated-decisions-profiling-and-data-subject-rights-in-nigeria</w:t>
        </w:r>
      </w:hyperlink>
    </w:p>
    <w:p w14:paraId="757F0724" w14:textId="0C7737D2" w:rsidR="00311865" w:rsidRPr="001D6728" w:rsidRDefault="00311865" w:rsidP="00311865">
      <w:pPr>
        <w:pStyle w:val="NormalWeb"/>
        <w:spacing w:before="0" w:beforeAutospacing="0" w:after="240" w:afterAutospacing="0" w:line="276" w:lineRule="auto"/>
        <w:ind w:left="709" w:hanging="709"/>
        <w:rPr>
          <w:rFonts w:ascii="Arial" w:hAnsi="Arial" w:cs="Arial"/>
        </w:rPr>
      </w:pPr>
      <w:r w:rsidRPr="00F92F67">
        <w:rPr>
          <w:rFonts w:ascii="Arial" w:hAnsi="Arial" w:cs="Arial"/>
          <w:color w:val="000000"/>
        </w:rPr>
        <w:t xml:space="preserve">Olaniyi, O. (2025). </w:t>
      </w:r>
      <w:r w:rsidRPr="00F92F67">
        <w:rPr>
          <w:rFonts w:ascii="Arial" w:hAnsi="Arial" w:cs="Arial"/>
          <w:i/>
          <w:iCs/>
          <w:color w:val="000000"/>
        </w:rPr>
        <w:t>A Quantitative Approach to Understanding Machine Learning Adoption for Cybersecurity in E-Commerce Through the UTAUT Model.</w:t>
      </w:r>
      <w:r w:rsidRPr="00F92F67">
        <w:rPr>
          <w:rFonts w:ascii="Arial" w:hAnsi="Arial" w:cs="Arial"/>
          <w:color w:val="000000"/>
        </w:rPr>
        <w:t xml:space="preserve"> [Unpublished dissertation].</w:t>
      </w:r>
    </w:p>
    <w:p w14:paraId="774FE94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gramStart"/>
      <w:r w:rsidRPr="001D6728">
        <w:rPr>
          <w:rFonts w:ascii="Arial" w:hAnsi="Arial" w:cs="Arial"/>
        </w:rPr>
        <w:t>Olutimehin ,</w:t>
      </w:r>
      <w:proofErr w:type="gramEnd"/>
      <w:r w:rsidRPr="001D6728">
        <w:rPr>
          <w:rFonts w:ascii="Arial" w:hAnsi="Arial" w:cs="Arial"/>
        </w:rPr>
        <w:t xml:space="preserve"> A. T., Olaniyi , O. O., </w:t>
      </w:r>
      <w:proofErr w:type="spellStart"/>
      <w:r w:rsidRPr="001D6728">
        <w:rPr>
          <w:rFonts w:ascii="Arial" w:hAnsi="Arial" w:cs="Arial"/>
        </w:rPr>
        <w:t>Ogunmolu</w:t>
      </w:r>
      <w:proofErr w:type="spellEnd"/>
      <w:r w:rsidRPr="001D6728">
        <w:rPr>
          <w:rFonts w:ascii="Arial" w:hAnsi="Arial" w:cs="Arial"/>
        </w:rPr>
        <w:t xml:space="preserve"> , A. M., Kolo, F. H. O., &amp; Salami , I. A. (2025). </w:t>
      </w:r>
      <w:r w:rsidRPr="001D6728">
        <w:rPr>
          <w:rFonts w:ascii="Arial" w:hAnsi="Arial" w:cs="Arial"/>
          <w:i/>
          <w:iCs/>
        </w:rPr>
        <w:t>Cloud-Based AI Solutions for Real-time Monitoring of E-commerce Compliance and Risk. Journal of Engineering Research and Reports, 27(7), 127–147.</w:t>
      </w:r>
      <w:r w:rsidRPr="001D6728">
        <w:rPr>
          <w:rFonts w:ascii="Arial" w:hAnsi="Arial" w:cs="Arial"/>
        </w:rPr>
        <w:t xml:space="preserve"> https://doi.org/10.9734/jerr/2025/v27i71566</w:t>
      </w:r>
    </w:p>
    <w:p w14:paraId="4FB44E8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Olutimehin, A. T., Olaniyi, O. O., Popoola, A. D., </w:t>
      </w:r>
      <w:proofErr w:type="spellStart"/>
      <w:r w:rsidRPr="001D6728">
        <w:rPr>
          <w:rFonts w:ascii="Arial" w:hAnsi="Arial" w:cs="Arial"/>
        </w:rPr>
        <w:t>Ogunmolu</w:t>
      </w:r>
      <w:proofErr w:type="spellEnd"/>
      <w:r w:rsidRPr="001D6728">
        <w:rPr>
          <w:rFonts w:ascii="Arial" w:hAnsi="Arial" w:cs="Arial"/>
        </w:rPr>
        <w:t xml:space="preserve">, A. M., &amp; Kolo, F. H. (2025). AI and IoT Integration for Predictive Maintenance and Risk Management in Smart Manufacturing.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(7), 120–142. https://doi.org/10.9734/ajrcos/2025/v18i7724</w:t>
      </w:r>
    </w:p>
    <w:p w14:paraId="5334C0A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Oyekunle, S. M., Popoola, A. D., Kolo, F. H. O., </w:t>
      </w:r>
      <w:proofErr w:type="spellStart"/>
      <w:r w:rsidRPr="001D6728">
        <w:rPr>
          <w:rFonts w:ascii="Arial" w:hAnsi="Arial" w:cs="Arial"/>
        </w:rPr>
        <w:t>Ogunmolu</w:t>
      </w:r>
      <w:proofErr w:type="spellEnd"/>
      <w:r w:rsidRPr="001D6728">
        <w:rPr>
          <w:rFonts w:ascii="Arial" w:hAnsi="Arial" w:cs="Arial"/>
        </w:rPr>
        <w:t xml:space="preserve">, A. M., &amp; Adesokan-Imran, T. O. (2025). Intelligent Fraud Prevention Information Banking: A Data Governance- Centric Approach Using Behavioural Biometrics.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(5), 525–543. https://doi.org/10.9734/ajrcos/2025/v18i5672</w:t>
      </w:r>
    </w:p>
    <w:p w14:paraId="29CF579A"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Panchumarthi</w:t>
      </w:r>
      <w:proofErr w:type="spellEnd"/>
      <w:r w:rsidRPr="001D6728">
        <w:rPr>
          <w:rFonts w:ascii="Arial" w:hAnsi="Arial" w:cs="Arial"/>
        </w:rPr>
        <w:t xml:space="preserve">, S. (2025). </w:t>
      </w:r>
      <w:proofErr w:type="spellStart"/>
      <w:r w:rsidRPr="001D6728">
        <w:rPr>
          <w:rFonts w:ascii="Arial" w:hAnsi="Arial" w:cs="Arial"/>
          <w:i/>
          <w:iCs/>
        </w:rPr>
        <w:t>DevSecMLOps</w:t>
      </w:r>
      <w:proofErr w:type="spellEnd"/>
      <w:r w:rsidRPr="001D6728">
        <w:rPr>
          <w:rFonts w:ascii="Arial" w:hAnsi="Arial" w:cs="Arial"/>
          <w:i/>
          <w:iCs/>
        </w:rPr>
        <w:t>: A Security Framework for Machine Learning Pipelines</w:t>
      </w:r>
      <w:r w:rsidRPr="001D6728">
        <w:rPr>
          <w:rFonts w:ascii="Arial" w:hAnsi="Arial" w:cs="Arial"/>
        </w:rPr>
        <w:t>. https://doi.org/10.36227/techrxiv.175037181.12992346/v1</w:t>
      </w:r>
    </w:p>
    <w:p w14:paraId="12608ABC"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Papagiannidis</w:t>
      </w:r>
      <w:proofErr w:type="spellEnd"/>
      <w:r w:rsidRPr="001D6728">
        <w:rPr>
          <w:rFonts w:ascii="Arial" w:hAnsi="Arial" w:cs="Arial"/>
        </w:rPr>
        <w:t xml:space="preserve">, E., </w:t>
      </w:r>
      <w:proofErr w:type="spellStart"/>
      <w:r w:rsidRPr="001D6728">
        <w:rPr>
          <w:rFonts w:ascii="Arial" w:hAnsi="Arial" w:cs="Arial"/>
        </w:rPr>
        <w:t>Mikalef</w:t>
      </w:r>
      <w:proofErr w:type="spellEnd"/>
      <w:r w:rsidRPr="001D6728">
        <w:rPr>
          <w:rFonts w:ascii="Arial" w:hAnsi="Arial" w:cs="Arial"/>
        </w:rPr>
        <w:t xml:space="preserve">, P., &amp; Conboy, K. (2025). Responsible artificial intelligence governance: A review and research framework. </w:t>
      </w:r>
      <w:r w:rsidRPr="001D6728">
        <w:rPr>
          <w:rFonts w:ascii="Arial" w:hAnsi="Arial" w:cs="Arial"/>
          <w:i/>
          <w:iCs/>
        </w:rPr>
        <w:t>The Journal of Strategic Information Systems</w:t>
      </w:r>
      <w:r w:rsidRPr="001D6728">
        <w:rPr>
          <w:rFonts w:ascii="Arial" w:hAnsi="Arial" w:cs="Arial"/>
        </w:rPr>
        <w:t xml:space="preserve">, </w:t>
      </w:r>
      <w:r w:rsidRPr="001D6728">
        <w:rPr>
          <w:rFonts w:ascii="Arial" w:hAnsi="Arial" w:cs="Arial"/>
          <w:i/>
          <w:iCs/>
        </w:rPr>
        <w:t>34</w:t>
      </w:r>
      <w:r w:rsidRPr="001D6728">
        <w:rPr>
          <w:rFonts w:ascii="Arial" w:hAnsi="Arial" w:cs="Arial"/>
        </w:rPr>
        <w:t>(2). https://doi.org/10.1016/j.jsis.2024.101885</w:t>
      </w:r>
    </w:p>
    <w:p w14:paraId="1CB7155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Parmar, D. S., &amp; Saran, H. K. (2025). Empirical Study on The Role of Explainable AI (XAI) in Improving Customer Trust in AI-Powered Products. </w:t>
      </w:r>
      <w:r w:rsidRPr="001D6728">
        <w:rPr>
          <w:rFonts w:ascii="Arial" w:hAnsi="Arial" w:cs="Arial"/>
          <w:i/>
          <w:iCs/>
        </w:rPr>
        <w:t>International Journal of Computer Trends and Technology</w:t>
      </w:r>
      <w:r w:rsidRPr="001D6728">
        <w:rPr>
          <w:rFonts w:ascii="Arial" w:hAnsi="Arial" w:cs="Arial"/>
        </w:rPr>
        <w:t xml:space="preserve">, </w:t>
      </w:r>
      <w:r w:rsidRPr="001D6728">
        <w:rPr>
          <w:rFonts w:ascii="Arial" w:hAnsi="Arial" w:cs="Arial"/>
          <w:i/>
          <w:iCs/>
        </w:rPr>
        <w:t>73</w:t>
      </w:r>
      <w:r w:rsidRPr="001D6728">
        <w:rPr>
          <w:rFonts w:ascii="Arial" w:hAnsi="Arial" w:cs="Arial"/>
        </w:rPr>
        <w:t>(2), 48–57. https://doi.org/10.14445/22312803/ijctt-v73i2p106</w:t>
      </w:r>
    </w:p>
    <w:p w14:paraId="36BA18D9"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Patel, R., Tripathi, H., Stone, J., Amiri, G. N., Mittal, S., Rahimi, S., &amp; Chaudhary, V. (2025). </w:t>
      </w:r>
      <w:r w:rsidRPr="001D6728">
        <w:rPr>
          <w:rFonts w:ascii="Arial" w:hAnsi="Arial" w:cs="Arial"/>
          <w:i/>
          <w:iCs/>
        </w:rPr>
        <w:t xml:space="preserve">Towards Secure </w:t>
      </w:r>
      <w:proofErr w:type="spellStart"/>
      <w:r w:rsidRPr="001D6728">
        <w:rPr>
          <w:rFonts w:ascii="Arial" w:hAnsi="Arial" w:cs="Arial"/>
          <w:i/>
          <w:iCs/>
        </w:rPr>
        <w:t>MLOps</w:t>
      </w:r>
      <w:proofErr w:type="spellEnd"/>
      <w:r w:rsidRPr="001D6728">
        <w:rPr>
          <w:rFonts w:ascii="Arial" w:hAnsi="Arial" w:cs="Arial"/>
          <w:i/>
          <w:iCs/>
        </w:rPr>
        <w:t>: Surveying Attacks, Mitigation Strategies, and Research Challenges</w:t>
      </w:r>
      <w:r w:rsidRPr="001D6728">
        <w:rPr>
          <w:rFonts w:ascii="Arial" w:hAnsi="Arial" w:cs="Arial"/>
        </w:rPr>
        <w:t>. ArXiv.org. https://arxiv.org/abs/2506.02032?utm_</w:t>
      </w:r>
    </w:p>
    <w:p w14:paraId="1C5814C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Saarela, M., &amp; </w:t>
      </w:r>
      <w:proofErr w:type="spellStart"/>
      <w:r w:rsidRPr="001D6728">
        <w:rPr>
          <w:rFonts w:ascii="Arial" w:hAnsi="Arial" w:cs="Arial"/>
        </w:rPr>
        <w:t>Podgorelec</w:t>
      </w:r>
      <w:proofErr w:type="spellEnd"/>
      <w:r w:rsidRPr="001D6728">
        <w:rPr>
          <w:rFonts w:ascii="Arial" w:hAnsi="Arial" w:cs="Arial"/>
        </w:rPr>
        <w:t xml:space="preserve">, V. (2024). Recent Applications of Explainable AI (XAI): A Systematic Literature Review. </w:t>
      </w:r>
      <w:r w:rsidRPr="001D6728">
        <w:rPr>
          <w:rFonts w:ascii="Arial" w:hAnsi="Arial" w:cs="Arial"/>
          <w:i/>
          <w:iCs/>
        </w:rPr>
        <w:t>Applied Sciences</w:t>
      </w:r>
      <w:r w:rsidRPr="001D6728">
        <w:rPr>
          <w:rFonts w:ascii="Arial" w:hAnsi="Arial" w:cs="Arial"/>
        </w:rPr>
        <w:t xml:space="preserve">, </w:t>
      </w:r>
      <w:r w:rsidRPr="001D6728">
        <w:rPr>
          <w:rFonts w:ascii="Arial" w:hAnsi="Arial" w:cs="Arial"/>
          <w:i/>
          <w:iCs/>
        </w:rPr>
        <w:t>14</w:t>
      </w:r>
      <w:r w:rsidRPr="001D6728">
        <w:rPr>
          <w:rFonts w:ascii="Arial" w:hAnsi="Arial" w:cs="Arial"/>
        </w:rPr>
        <w:t>(19), 8884–8884. https://doi.org/10.3390/app14198884</w:t>
      </w:r>
    </w:p>
    <w:p w14:paraId="7A22B96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Salami, I. A., Popoola, A. D., Gbadebo, M. O., Kolo, F. H. O., &amp; Adesokan-Imran, T. O. (2025). AI- Powered Behavioural Biometrics for Fraud Detection in Digital Banking: A Next-Generation Approach to Financial Cybersecurity.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(4), 473–494. https://doi.org/10.9734/ajrcos/2025/v18i4632</w:t>
      </w:r>
    </w:p>
    <w:p w14:paraId="212EFEA8"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Salem, A. H., Azzam, S. M., Emam, O. E., &amp; </w:t>
      </w:r>
      <w:proofErr w:type="spellStart"/>
      <w:r w:rsidRPr="001D6728">
        <w:rPr>
          <w:rFonts w:ascii="Arial" w:hAnsi="Arial" w:cs="Arial"/>
        </w:rPr>
        <w:t>Abohany</w:t>
      </w:r>
      <w:proofErr w:type="spellEnd"/>
      <w:r w:rsidRPr="001D6728">
        <w:rPr>
          <w:rFonts w:ascii="Arial" w:hAnsi="Arial" w:cs="Arial"/>
        </w:rPr>
        <w:t xml:space="preserve">, A. A. (2024). Advancing cybersecurity: a comprehensive review of AI-driven detection techniques. </w:t>
      </w:r>
      <w:r w:rsidRPr="001D6728">
        <w:rPr>
          <w:rFonts w:ascii="Arial" w:hAnsi="Arial" w:cs="Arial"/>
          <w:i/>
          <w:iCs/>
        </w:rPr>
        <w:t>Journal of Big Data</w:t>
      </w:r>
      <w:r w:rsidRPr="001D6728">
        <w:rPr>
          <w:rFonts w:ascii="Arial" w:hAnsi="Arial" w:cs="Arial"/>
        </w:rPr>
        <w:t xml:space="preserve">, </w:t>
      </w:r>
      <w:r w:rsidRPr="001D6728">
        <w:rPr>
          <w:rFonts w:ascii="Arial" w:hAnsi="Arial" w:cs="Arial"/>
          <w:i/>
          <w:iCs/>
        </w:rPr>
        <w:t>11</w:t>
      </w:r>
      <w:r w:rsidRPr="001D6728">
        <w:rPr>
          <w:rFonts w:ascii="Arial" w:hAnsi="Arial" w:cs="Arial"/>
        </w:rPr>
        <w:t>(1), 1–38. https://doi.org/10.1186/s40537-024-00957-y</w:t>
      </w:r>
    </w:p>
    <w:p w14:paraId="22EC37E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Salih, A. M., </w:t>
      </w:r>
      <w:proofErr w:type="spellStart"/>
      <w:r w:rsidRPr="001D6728">
        <w:rPr>
          <w:rFonts w:ascii="Arial" w:hAnsi="Arial" w:cs="Arial"/>
        </w:rPr>
        <w:t>Estabragh</w:t>
      </w:r>
      <w:proofErr w:type="spellEnd"/>
      <w:r w:rsidRPr="001D6728">
        <w:rPr>
          <w:rFonts w:ascii="Arial" w:hAnsi="Arial" w:cs="Arial"/>
        </w:rPr>
        <w:t xml:space="preserve">, Z. R., Galazzo, I. B., </w:t>
      </w:r>
      <w:proofErr w:type="spellStart"/>
      <w:r w:rsidRPr="001D6728">
        <w:rPr>
          <w:rFonts w:ascii="Arial" w:hAnsi="Arial" w:cs="Arial"/>
        </w:rPr>
        <w:t>Radeva</w:t>
      </w:r>
      <w:proofErr w:type="spellEnd"/>
      <w:r w:rsidRPr="001D6728">
        <w:rPr>
          <w:rFonts w:ascii="Arial" w:hAnsi="Arial" w:cs="Arial"/>
        </w:rPr>
        <w:t xml:space="preserve">, P., Petersen, S. E., </w:t>
      </w:r>
      <w:proofErr w:type="spellStart"/>
      <w:r w:rsidRPr="001D6728">
        <w:rPr>
          <w:rFonts w:ascii="Arial" w:hAnsi="Arial" w:cs="Arial"/>
        </w:rPr>
        <w:t>Lekadir</w:t>
      </w:r>
      <w:proofErr w:type="spellEnd"/>
      <w:r w:rsidRPr="001D6728">
        <w:rPr>
          <w:rFonts w:ascii="Arial" w:hAnsi="Arial" w:cs="Arial"/>
        </w:rPr>
        <w:t xml:space="preserve">, K., &amp; </w:t>
      </w:r>
      <w:proofErr w:type="spellStart"/>
      <w:r w:rsidRPr="001D6728">
        <w:rPr>
          <w:rFonts w:ascii="Arial" w:hAnsi="Arial" w:cs="Arial"/>
        </w:rPr>
        <w:t>Menegaz</w:t>
      </w:r>
      <w:proofErr w:type="spellEnd"/>
      <w:r w:rsidRPr="001D6728">
        <w:rPr>
          <w:rFonts w:ascii="Arial" w:hAnsi="Arial" w:cs="Arial"/>
        </w:rPr>
        <w:t xml:space="preserve">, G. (2024). A Perspective on Explainable Artificial Intelligence Methods: SHAP and LIME. </w:t>
      </w:r>
      <w:r w:rsidRPr="001D6728">
        <w:rPr>
          <w:rFonts w:ascii="Arial" w:hAnsi="Arial" w:cs="Arial"/>
          <w:i/>
          <w:iCs/>
        </w:rPr>
        <w:t>Advanced Intelligent Systems</w:t>
      </w:r>
      <w:r w:rsidRPr="001D6728">
        <w:rPr>
          <w:rFonts w:ascii="Arial" w:hAnsi="Arial" w:cs="Arial"/>
        </w:rPr>
        <w:t xml:space="preserve">, </w:t>
      </w:r>
      <w:r w:rsidRPr="001D6728">
        <w:rPr>
          <w:rFonts w:ascii="Arial" w:hAnsi="Arial" w:cs="Arial"/>
          <w:i/>
          <w:iCs/>
        </w:rPr>
        <w:t>7</w:t>
      </w:r>
      <w:r w:rsidRPr="001D6728">
        <w:rPr>
          <w:rFonts w:ascii="Arial" w:hAnsi="Arial" w:cs="Arial"/>
        </w:rPr>
        <w:t>(1). https://doi.org/10.1002/aisy.202400304</w:t>
      </w:r>
    </w:p>
    <w:p w14:paraId="5B28FCE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Selgas-Cors</w:t>
      </w:r>
      <w:proofErr w:type="spellEnd"/>
      <w:r w:rsidRPr="001D6728">
        <w:rPr>
          <w:rFonts w:ascii="Arial" w:hAnsi="Arial" w:cs="Arial"/>
        </w:rPr>
        <w:t xml:space="preserve">, M., &amp; </w:t>
      </w:r>
      <w:proofErr w:type="spellStart"/>
      <w:r w:rsidRPr="001D6728">
        <w:rPr>
          <w:rFonts w:ascii="Arial" w:hAnsi="Arial" w:cs="Arial"/>
        </w:rPr>
        <w:t>Thiébaut</w:t>
      </w:r>
      <w:proofErr w:type="spellEnd"/>
      <w:r w:rsidRPr="001D6728">
        <w:rPr>
          <w:rFonts w:ascii="Arial" w:hAnsi="Arial" w:cs="Arial"/>
        </w:rPr>
        <w:t xml:space="preserve">, R. (2025). ARTIFICIAL INTELLIGENCE AND DYNAMIC CAPABILITIES: ENHANCING SUSTAINABLE COMPETITIVE ADVANTAGE IN BUSINESS ORGANIZATIONS. </w:t>
      </w:r>
      <w:r w:rsidRPr="001D6728">
        <w:rPr>
          <w:rFonts w:ascii="Arial" w:hAnsi="Arial" w:cs="Arial"/>
          <w:i/>
          <w:iCs/>
        </w:rPr>
        <w:t>Journal of Innovations in Business and Industry</w:t>
      </w:r>
      <w:r w:rsidRPr="001D6728">
        <w:rPr>
          <w:rFonts w:ascii="Arial" w:hAnsi="Arial" w:cs="Arial"/>
        </w:rPr>
        <w:t xml:space="preserve">, </w:t>
      </w:r>
      <w:r w:rsidRPr="001D6728">
        <w:rPr>
          <w:rFonts w:ascii="Arial" w:hAnsi="Arial" w:cs="Arial"/>
          <w:i/>
          <w:iCs/>
        </w:rPr>
        <w:t>4</w:t>
      </w:r>
      <w:r w:rsidRPr="001D6728">
        <w:rPr>
          <w:rFonts w:ascii="Arial" w:hAnsi="Arial" w:cs="Arial"/>
        </w:rPr>
        <w:t>(1), 111–122. https://doi.org/10.61552/jibi.2026.01.010</w:t>
      </w:r>
    </w:p>
    <w:p w14:paraId="4E7AB994"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Sibanda, I. (2025). </w:t>
      </w:r>
      <w:r w:rsidRPr="001D6728">
        <w:rPr>
          <w:rFonts w:ascii="Arial" w:hAnsi="Arial" w:cs="Arial"/>
          <w:i/>
          <w:iCs/>
        </w:rPr>
        <w:t>Industry News 2025 Combating the Threat of Adversarial Machine Learning to AI Driven Cybersecurity</w:t>
      </w:r>
      <w:r w:rsidRPr="001D6728">
        <w:rPr>
          <w:rFonts w:ascii="Arial" w:hAnsi="Arial" w:cs="Arial"/>
        </w:rPr>
        <w:t>. ISACA. https://www.isaca.org/resources/news-and-trends/industry-news/2025/combating-the-threat-of-adversarial-machine-learning-to-ai-driven-cybersecurity?utm_</w:t>
      </w:r>
    </w:p>
    <w:p w14:paraId="552E3B2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Stone, J., Patel, R., </w:t>
      </w:r>
      <w:proofErr w:type="spellStart"/>
      <w:r w:rsidRPr="001D6728">
        <w:rPr>
          <w:rFonts w:ascii="Arial" w:hAnsi="Arial" w:cs="Arial"/>
        </w:rPr>
        <w:t>Ghiasi</w:t>
      </w:r>
      <w:proofErr w:type="spellEnd"/>
      <w:r w:rsidRPr="001D6728">
        <w:rPr>
          <w:rFonts w:ascii="Arial" w:hAnsi="Arial" w:cs="Arial"/>
        </w:rPr>
        <w:t xml:space="preserve">, F., Mittal, S., &amp; Rahimi, S. (2025). </w:t>
      </w:r>
      <w:r w:rsidRPr="001D6728">
        <w:rPr>
          <w:rFonts w:ascii="Arial" w:hAnsi="Arial" w:cs="Arial"/>
          <w:i/>
          <w:iCs/>
        </w:rPr>
        <w:t xml:space="preserve">Navigating </w:t>
      </w:r>
      <w:proofErr w:type="spellStart"/>
      <w:r w:rsidRPr="001D6728">
        <w:rPr>
          <w:rFonts w:ascii="Arial" w:hAnsi="Arial" w:cs="Arial"/>
          <w:i/>
          <w:iCs/>
        </w:rPr>
        <w:t>MLOps</w:t>
      </w:r>
      <w:proofErr w:type="spellEnd"/>
      <w:r w:rsidRPr="001D6728">
        <w:rPr>
          <w:rFonts w:ascii="Arial" w:hAnsi="Arial" w:cs="Arial"/>
          <w:i/>
          <w:iCs/>
        </w:rPr>
        <w:t>: Insights into Maturity, Lifecycle, Tools, and Careers</w:t>
      </w:r>
      <w:r w:rsidRPr="001D6728">
        <w:rPr>
          <w:rFonts w:ascii="Arial" w:hAnsi="Arial" w:cs="Arial"/>
        </w:rPr>
        <w:t>. ArXiv.org. https://arxiv.org/abs/2503.15577</w:t>
      </w:r>
    </w:p>
    <w:p w14:paraId="69A13A6F"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Sultana, I., Maheen, S. M., </w:t>
      </w:r>
      <w:proofErr w:type="spellStart"/>
      <w:r w:rsidRPr="001D6728">
        <w:rPr>
          <w:rFonts w:ascii="Arial" w:hAnsi="Arial" w:cs="Arial"/>
        </w:rPr>
        <w:t>Kshetri</w:t>
      </w:r>
      <w:proofErr w:type="spellEnd"/>
      <w:r w:rsidRPr="001D6728">
        <w:rPr>
          <w:rFonts w:ascii="Arial" w:hAnsi="Arial" w:cs="Arial"/>
        </w:rPr>
        <w:t xml:space="preserve">, N., &amp; Zim, M. N. F. (2025). </w:t>
      </w:r>
      <w:proofErr w:type="spellStart"/>
      <w:r w:rsidRPr="001D6728">
        <w:rPr>
          <w:rFonts w:ascii="Arial" w:hAnsi="Arial" w:cs="Arial"/>
          <w:i/>
          <w:iCs/>
        </w:rPr>
        <w:t>detectGNN</w:t>
      </w:r>
      <w:proofErr w:type="spellEnd"/>
      <w:r w:rsidRPr="001D6728">
        <w:rPr>
          <w:rFonts w:ascii="Arial" w:hAnsi="Arial" w:cs="Arial"/>
          <w:i/>
          <w:iCs/>
        </w:rPr>
        <w:t>: Harnessing Graph Neural Networks for Enhanced Fraud Detection in Credit Card Transactions</w:t>
      </w:r>
      <w:r w:rsidRPr="001D6728">
        <w:rPr>
          <w:rFonts w:ascii="Arial" w:hAnsi="Arial" w:cs="Arial"/>
        </w:rPr>
        <w:t>. https://arxiv.org/pdf/2503.22681?utm_</w:t>
      </w:r>
    </w:p>
    <w:p w14:paraId="694BB5A6"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Tafreshian</w:t>
      </w:r>
      <w:proofErr w:type="spellEnd"/>
      <w:r w:rsidRPr="001D6728">
        <w:rPr>
          <w:rFonts w:ascii="Arial" w:hAnsi="Arial" w:cs="Arial"/>
        </w:rPr>
        <w:t xml:space="preserve">, B., &amp; Zhang, S. (2025). </w:t>
      </w:r>
      <w:r w:rsidRPr="001D6728">
        <w:rPr>
          <w:rFonts w:ascii="Arial" w:hAnsi="Arial" w:cs="Arial"/>
          <w:i/>
          <w:iCs/>
        </w:rPr>
        <w:t>A Defensive Framework Against Adversarial Attacks on Machine Learning-Based Network Intrusion Detection Systems</w:t>
      </w:r>
      <w:r w:rsidRPr="001D6728">
        <w:rPr>
          <w:rFonts w:ascii="Arial" w:hAnsi="Arial" w:cs="Arial"/>
        </w:rPr>
        <w:t>. ArXiv.org. https://arxiv.org/abs/2502.15561</w:t>
      </w:r>
    </w:p>
    <w:p w14:paraId="18848EC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Timofte, E. M., </w:t>
      </w:r>
      <w:proofErr w:type="spellStart"/>
      <w:r w:rsidRPr="001D6728">
        <w:rPr>
          <w:rFonts w:ascii="Arial" w:hAnsi="Arial" w:cs="Arial"/>
        </w:rPr>
        <w:t>Dimian</w:t>
      </w:r>
      <w:proofErr w:type="spellEnd"/>
      <w:r w:rsidRPr="001D6728">
        <w:rPr>
          <w:rFonts w:ascii="Arial" w:hAnsi="Arial" w:cs="Arial"/>
        </w:rPr>
        <w:t xml:space="preserve">, M., Graur, A., </w:t>
      </w:r>
      <w:proofErr w:type="spellStart"/>
      <w:r w:rsidRPr="001D6728">
        <w:rPr>
          <w:rFonts w:ascii="Arial" w:hAnsi="Arial" w:cs="Arial"/>
        </w:rPr>
        <w:t>Potorac</w:t>
      </w:r>
      <w:proofErr w:type="spellEnd"/>
      <w:r w:rsidRPr="001D6728">
        <w:rPr>
          <w:rFonts w:ascii="Arial" w:hAnsi="Arial" w:cs="Arial"/>
        </w:rPr>
        <w:t xml:space="preserve">, A. D., Balan, D., Croitoru, I., </w:t>
      </w:r>
      <w:proofErr w:type="spellStart"/>
      <w:r w:rsidRPr="001D6728">
        <w:rPr>
          <w:rFonts w:ascii="Arial" w:hAnsi="Arial" w:cs="Arial"/>
        </w:rPr>
        <w:t>Hrițcan</w:t>
      </w:r>
      <w:proofErr w:type="spellEnd"/>
      <w:r w:rsidRPr="001D6728">
        <w:rPr>
          <w:rFonts w:ascii="Arial" w:hAnsi="Arial" w:cs="Arial"/>
        </w:rPr>
        <w:t xml:space="preserve">, D.-F., &amp; </w:t>
      </w:r>
      <w:proofErr w:type="spellStart"/>
      <w:r w:rsidRPr="001D6728">
        <w:rPr>
          <w:rFonts w:ascii="Arial" w:hAnsi="Arial" w:cs="Arial"/>
        </w:rPr>
        <w:t>Pușcașu</w:t>
      </w:r>
      <w:proofErr w:type="spellEnd"/>
      <w:r w:rsidRPr="001D6728">
        <w:rPr>
          <w:rFonts w:ascii="Arial" w:hAnsi="Arial" w:cs="Arial"/>
        </w:rPr>
        <w:t xml:space="preserve">, M. (2025). Federated Learning for Cybersecurity: A Privacy-Preserving Approach. </w:t>
      </w:r>
      <w:r w:rsidRPr="001D6728">
        <w:rPr>
          <w:rFonts w:ascii="Arial" w:hAnsi="Arial" w:cs="Arial"/>
          <w:i/>
          <w:iCs/>
        </w:rPr>
        <w:t>Applied Sciences</w:t>
      </w:r>
      <w:r w:rsidRPr="001D6728">
        <w:rPr>
          <w:rFonts w:ascii="Arial" w:hAnsi="Arial" w:cs="Arial"/>
        </w:rPr>
        <w:t xml:space="preserve">, </w:t>
      </w:r>
      <w:r w:rsidRPr="001D6728">
        <w:rPr>
          <w:rFonts w:ascii="Arial" w:hAnsi="Arial" w:cs="Arial"/>
          <w:i/>
          <w:iCs/>
        </w:rPr>
        <w:t>15</w:t>
      </w:r>
      <w:r w:rsidRPr="001D6728">
        <w:rPr>
          <w:rFonts w:ascii="Arial" w:hAnsi="Arial" w:cs="Arial"/>
        </w:rPr>
        <w:t>(12), 6878–6878. https://doi.org/10.3390/app15126878</w:t>
      </w:r>
    </w:p>
    <w:p w14:paraId="30662A3B"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Udechukwu, L. M. (2025a). AI-Governed Security Frameworks for Virtualized Enterprises: Preventing Data Breaches and Ensuring Compliance. </w:t>
      </w:r>
      <w:r w:rsidRPr="001D6728">
        <w:rPr>
          <w:rFonts w:ascii="Arial" w:hAnsi="Arial" w:cs="Arial"/>
          <w:i/>
          <w:iCs/>
        </w:rPr>
        <w:t>Asian Journal of Research in Computer Science</w:t>
      </w:r>
      <w:r w:rsidRPr="001D6728">
        <w:rPr>
          <w:rFonts w:ascii="Arial" w:hAnsi="Arial" w:cs="Arial"/>
        </w:rPr>
        <w:t xml:space="preserve">, </w:t>
      </w:r>
      <w:r w:rsidRPr="001D6728">
        <w:rPr>
          <w:rFonts w:ascii="Arial" w:hAnsi="Arial" w:cs="Arial"/>
          <w:i/>
          <w:iCs/>
        </w:rPr>
        <w:t>18</w:t>
      </w:r>
      <w:r w:rsidRPr="001D6728">
        <w:rPr>
          <w:rFonts w:ascii="Arial" w:hAnsi="Arial" w:cs="Arial"/>
        </w:rPr>
        <w:t>(9), 39–57. https://doi.org/10.9734/ajrcos/2025/v18i9753</w:t>
      </w:r>
    </w:p>
    <w:p w14:paraId="5A6EED47"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Udechukwu, L. M. (2025b). Ethical Implications and Cybersecurity Risks of Hyper-Personalized AI Feedback Systems for Mental Health Support in Home Environment. </w:t>
      </w:r>
      <w:r w:rsidRPr="001D6728">
        <w:rPr>
          <w:rFonts w:ascii="Arial" w:hAnsi="Arial" w:cs="Arial"/>
          <w:i/>
          <w:iCs/>
        </w:rPr>
        <w:t>Journal of Engineering Research and Reports</w:t>
      </w:r>
      <w:r w:rsidRPr="001D6728">
        <w:rPr>
          <w:rFonts w:ascii="Arial" w:hAnsi="Arial" w:cs="Arial"/>
        </w:rPr>
        <w:t xml:space="preserve">, </w:t>
      </w:r>
      <w:r w:rsidRPr="001D6728">
        <w:rPr>
          <w:rFonts w:ascii="Arial" w:hAnsi="Arial" w:cs="Arial"/>
          <w:i/>
          <w:iCs/>
        </w:rPr>
        <w:t>27</w:t>
      </w:r>
      <w:r w:rsidRPr="001D6728">
        <w:rPr>
          <w:rFonts w:ascii="Arial" w:hAnsi="Arial" w:cs="Arial"/>
        </w:rPr>
        <w:t>(9), 310–328. https://doi.org/10.9734/jerr/2025/v27i91643</w:t>
      </w:r>
    </w:p>
    <w:p w14:paraId="6C91A072"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Umakor</w:t>
      </w:r>
      <w:proofErr w:type="spellEnd"/>
      <w:r w:rsidRPr="001D6728">
        <w:rPr>
          <w:rFonts w:ascii="Arial" w:hAnsi="Arial" w:cs="Arial"/>
        </w:rPr>
        <w:t xml:space="preserve">, M. F., </w:t>
      </w:r>
      <w:proofErr w:type="spellStart"/>
      <w:r w:rsidRPr="001D6728">
        <w:rPr>
          <w:rFonts w:ascii="Arial" w:hAnsi="Arial" w:cs="Arial"/>
        </w:rPr>
        <w:t>Iheanyi</w:t>
      </w:r>
      <w:proofErr w:type="spellEnd"/>
      <w:r w:rsidRPr="001D6728">
        <w:rPr>
          <w:rFonts w:ascii="Arial" w:hAnsi="Arial" w:cs="Arial"/>
        </w:rPr>
        <w:t xml:space="preserve">, I., </w:t>
      </w:r>
      <w:proofErr w:type="spellStart"/>
      <w:r w:rsidRPr="001D6728">
        <w:rPr>
          <w:rFonts w:ascii="Arial" w:hAnsi="Arial" w:cs="Arial"/>
        </w:rPr>
        <w:t>Ofurum</w:t>
      </w:r>
      <w:proofErr w:type="spellEnd"/>
      <w:r w:rsidRPr="001D6728">
        <w:rPr>
          <w:rFonts w:ascii="Arial" w:hAnsi="Arial" w:cs="Arial"/>
        </w:rPr>
        <w:t xml:space="preserve">, U. D., </w:t>
      </w:r>
      <w:proofErr w:type="spellStart"/>
      <w:r w:rsidRPr="001D6728">
        <w:rPr>
          <w:rFonts w:ascii="Arial" w:hAnsi="Arial" w:cs="Arial"/>
        </w:rPr>
        <w:t>Ibecheozor</w:t>
      </w:r>
      <w:proofErr w:type="spellEnd"/>
      <w:r w:rsidRPr="001D6728">
        <w:rPr>
          <w:rFonts w:ascii="Arial" w:hAnsi="Arial" w:cs="Arial"/>
        </w:rPr>
        <w:t xml:space="preserve">, H. B., &amp; </w:t>
      </w:r>
      <w:proofErr w:type="spellStart"/>
      <w:r w:rsidRPr="001D6728">
        <w:rPr>
          <w:rFonts w:ascii="Arial" w:hAnsi="Arial" w:cs="Arial"/>
        </w:rPr>
        <w:t>Adeyefa</w:t>
      </w:r>
      <w:proofErr w:type="spellEnd"/>
      <w:r w:rsidRPr="001D6728">
        <w:rPr>
          <w:rFonts w:ascii="Arial" w:hAnsi="Arial" w:cs="Arial"/>
        </w:rPr>
        <w:t xml:space="preserve">, E. A. (2025). Federated Learning for Privacy-Preserving Fraud Detection in Digital Banking: Balancing Algorithmic Performance, Privacy, And Regulatory Compliance. </w:t>
      </w:r>
      <w:r w:rsidRPr="001D6728">
        <w:rPr>
          <w:rFonts w:ascii="Arial" w:hAnsi="Arial" w:cs="Arial"/>
          <w:i/>
          <w:iCs/>
        </w:rPr>
        <w:t>ICONIC RESEARCH and ENGINEERING JOURNALS</w:t>
      </w:r>
      <w:r w:rsidRPr="001D6728">
        <w:rPr>
          <w:rFonts w:ascii="Arial" w:hAnsi="Arial" w:cs="Arial"/>
        </w:rPr>
        <w:t xml:space="preserve">, </w:t>
      </w:r>
      <w:r w:rsidRPr="001D6728">
        <w:rPr>
          <w:rFonts w:ascii="Arial" w:hAnsi="Arial" w:cs="Arial"/>
          <w:i/>
          <w:iCs/>
        </w:rPr>
        <w:t>Volume 9</w:t>
      </w:r>
      <w:r w:rsidRPr="001D6728">
        <w:rPr>
          <w:rFonts w:ascii="Arial" w:hAnsi="Arial" w:cs="Arial"/>
        </w:rPr>
        <w:t>(Issue 1), 215–231. https://www.researchgate.net/publication/393647256_Federated_Learning_for_Privacy-Preserving_Fraud_Detection_Across_Financial_Institutions</w:t>
      </w:r>
    </w:p>
    <w:p w14:paraId="29C5259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Vallarino, D. (2025). </w:t>
      </w:r>
      <w:r w:rsidRPr="001D6728">
        <w:rPr>
          <w:rFonts w:ascii="Arial" w:hAnsi="Arial" w:cs="Arial"/>
          <w:i/>
          <w:iCs/>
        </w:rPr>
        <w:t>AI-Powered Fraud Detection in Financial Services: GNN, Compliance Challenges, and Risk Mitigation</w:t>
      </w:r>
      <w:r w:rsidRPr="001D6728">
        <w:rPr>
          <w:rFonts w:ascii="Arial" w:hAnsi="Arial" w:cs="Arial"/>
        </w:rPr>
        <w:t>. https://doi.org/10.2139/ssrn.5170054</w:t>
      </w:r>
    </w:p>
    <w:p w14:paraId="0B3F9BD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Vassilev, A., Oprea, A., Fordyce, A., Anderson, H., &amp; Davies, X. (2025). Adversarial Machine Learning: </w:t>
      </w:r>
      <w:r w:rsidRPr="001D6728">
        <w:rPr>
          <w:rFonts w:ascii="Arial" w:hAnsi="Arial" w:cs="Arial"/>
          <w:i/>
          <w:iCs/>
        </w:rPr>
        <w:t>(National Institute of Standards and Technology, Gaithersburg, MD) NIST Trustworthy and Responsible Al, NIST al 100-22025.</w:t>
      </w:r>
      <w:r w:rsidRPr="001D6728">
        <w:rPr>
          <w:rFonts w:ascii="Arial" w:hAnsi="Arial" w:cs="Arial"/>
        </w:rPr>
        <w:t xml:space="preserve"> https://doi.org/10.6028/nist.ai.100-2e2025</w:t>
      </w:r>
    </w:p>
    <w:p w14:paraId="2249A733"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proofErr w:type="spellStart"/>
      <w:r w:rsidRPr="001D6728">
        <w:rPr>
          <w:rFonts w:ascii="Arial" w:hAnsi="Arial" w:cs="Arial"/>
        </w:rPr>
        <w:t>Vimbi</w:t>
      </w:r>
      <w:proofErr w:type="spellEnd"/>
      <w:r w:rsidRPr="001D6728">
        <w:rPr>
          <w:rFonts w:ascii="Arial" w:hAnsi="Arial" w:cs="Arial"/>
        </w:rPr>
        <w:t xml:space="preserve">, V., Shaffi, N., &amp; Mahmud, M. (2024). Interpreting artificial intelligence models: a systematic review on the application of LIME and SHAP in Alzheimer’s disease detection. </w:t>
      </w:r>
      <w:r w:rsidRPr="001D6728">
        <w:rPr>
          <w:rFonts w:ascii="Arial" w:hAnsi="Arial" w:cs="Arial"/>
          <w:i/>
          <w:iCs/>
        </w:rPr>
        <w:t>Brain Informatics</w:t>
      </w:r>
      <w:r w:rsidRPr="001D6728">
        <w:rPr>
          <w:rFonts w:ascii="Arial" w:hAnsi="Arial" w:cs="Arial"/>
        </w:rPr>
        <w:t xml:space="preserve">, </w:t>
      </w:r>
      <w:r w:rsidRPr="001D6728">
        <w:rPr>
          <w:rFonts w:ascii="Arial" w:hAnsi="Arial" w:cs="Arial"/>
          <w:i/>
          <w:iCs/>
        </w:rPr>
        <w:t>11</w:t>
      </w:r>
      <w:r w:rsidRPr="001D6728">
        <w:rPr>
          <w:rFonts w:ascii="Arial" w:hAnsi="Arial" w:cs="Arial"/>
        </w:rPr>
        <w:t>(1). https://doi.org/10.1186/s40708-024-00222-1</w:t>
      </w:r>
    </w:p>
    <w:p w14:paraId="7EA0162E"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Welsh, T. (2025, April 30). </w:t>
      </w:r>
      <w:r w:rsidRPr="001D6728">
        <w:rPr>
          <w:rFonts w:ascii="Arial" w:hAnsi="Arial" w:cs="Arial"/>
          <w:i/>
          <w:iCs/>
        </w:rPr>
        <w:t>Invisible Risk: How AI Use Creates PCI DSS Violations Today</w:t>
      </w:r>
      <w:r w:rsidRPr="001D6728">
        <w:rPr>
          <w:rFonts w:ascii="Arial" w:hAnsi="Arial" w:cs="Arial"/>
        </w:rPr>
        <w:t xml:space="preserve">. </w:t>
      </w:r>
      <w:proofErr w:type="spellStart"/>
      <w:r w:rsidRPr="001D6728">
        <w:rPr>
          <w:rFonts w:ascii="Arial" w:hAnsi="Arial" w:cs="Arial"/>
        </w:rPr>
        <w:t>WitnessAI</w:t>
      </w:r>
      <w:proofErr w:type="spellEnd"/>
      <w:r w:rsidRPr="001D6728">
        <w:rPr>
          <w:rFonts w:ascii="Arial" w:hAnsi="Arial" w:cs="Arial"/>
        </w:rPr>
        <w:t>. https://witness.ai/blog/blog-invisible-risk-how-ai-use-creates-pci-dss-violations-today</w:t>
      </w:r>
    </w:p>
    <w:p w14:paraId="5E7FEDED"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Woollacott, E. (2025, July 17). </w:t>
      </w:r>
      <w:r w:rsidRPr="001D6728">
        <w:rPr>
          <w:rFonts w:ascii="Arial" w:hAnsi="Arial" w:cs="Arial"/>
          <w:i/>
          <w:iCs/>
        </w:rPr>
        <w:t>Despite the hype, cybersecurity teams are still taking a cautious approach to using AI tools</w:t>
      </w:r>
      <w:r w:rsidRPr="001D6728">
        <w:rPr>
          <w:rFonts w:ascii="Arial" w:hAnsi="Arial" w:cs="Arial"/>
        </w:rPr>
        <w:t>. IT Pro. https://www.itpro.com/security/despite-the-hype-cybersecurity-teams-are-still-taking-a-cautious-approach-to-using-ai-tools?utm_</w:t>
      </w:r>
    </w:p>
    <w:p w14:paraId="6CD789D1"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t xml:space="preserve">Xue, L., Rashid, A. M., &amp; Ouyang, S. (2024). The Unified Theory of Acceptance and Use of Technology (UTAUT) in Higher Education: A Systematic Review. </w:t>
      </w:r>
      <w:r w:rsidRPr="001D6728">
        <w:rPr>
          <w:rFonts w:ascii="Arial" w:hAnsi="Arial" w:cs="Arial"/>
          <w:i/>
          <w:iCs/>
        </w:rPr>
        <w:t>SAGE Open</w:t>
      </w:r>
      <w:r w:rsidRPr="001D6728">
        <w:rPr>
          <w:rFonts w:ascii="Arial" w:hAnsi="Arial" w:cs="Arial"/>
        </w:rPr>
        <w:t xml:space="preserve">, </w:t>
      </w:r>
      <w:r w:rsidRPr="001D6728">
        <w:rPr>
          <w:rFonts w:ascii="Arial" w:hAnsi="Arial" w:cs="Arial"/>
          <w:i/>
          <w:iCs/>
        </w:rPr>
        <w:t>14</w:t>
      </w:r>
      <w:r w:rsidRPr="001D6728">
        <w:rPr>
          <w:rFonts w:ascii="Arial" w:hAnsi="Arial" w:cs="Arial"/>
        </w:rPr>
        <w:t>(1). https://doi.org/10.1177/21582440241229570</w:t>
      </w:r>
    </w:p>
    <w:p w14:paraId="23CF0645" w14:textId="77777777" w:rsidR="001D6728" w:rsidRPr="001D6728" w:rsidRDefault="001D6728" w:rsidP="003D6F2D">
      <w:pPr>
        <w:pStyle w:val="NormalWeb"/>
        <w:spacing w:before="0" w:beforeAutospacing="0" w:after="0" w:afterAutospacing="0" w:line="360" w:lineRule="auto"/>
        <w:ind w:left="720" w:hanging="720"/>
        <w:jc w:val="both"/>
        <w:rPr>
          <w:rFonts w:ascii="Arial" w:hAnsi="Arial" w:cs="Arial"/>
        </w:rPr>
      </w:pPr>
      <w:r w:rsidRPr="001D6728">
        <w:rPr>
          <w:rFonts w:ascii="Arial" w:hAnsi="Arial" w:cs="Arial"/>
        </w:rPr>
        <w:lastRenderedPageBreak/>
        <w:t xml:space="preserve">Zimelewicz, E., Kalinowski, M., Mendez, D., Giray, G., Pedro, A., Lavesson, N., Azevedo, K., Villamizar, H., Escovedo, T., Lopes, H., </w:t>
      </w:r>
      <w:proofErr w:type="spellStart"/>
      <w:r w:rsidRPr="001D6728">
        <w:rPr>
          <w:rFonts w:ascii="Arial" w:hAnsi="Arial" w:cs="Arial"/>
        </w:rPr>
        <w:t>Biffl</w:t>
      </w:r>
      <w:proofErr w:type="spellEnd"/>
      <w:r w:rsidRPr="001D6728">
        <w:rPr>
          <w:rFonts w:ascii="Arial" w:hAnsi="Arial" w:cs="Arial"/>
        </w:rPr>
        <w:t xml:space="preserve">, S., Musil, J., </w:t>
      </w:r>
      <w:proofErr w:type="spellStart"/>
      <w:r w:rsidRPr="001D6728">
        <w:rPr>
          <w:rFonts w:ascii="Arial" w:hAnsi="Arial" w:cs="Arial"/>
        </w:rPr>
        <w:t>Felderer</w:t>
      </w:r>
      <w:proofErr w:type="spellEnd"/>
      <w:r w:rsidRPr="001D6728">
        <w:rPr>
          <w:rFonts w:ascii="Arial" w:hAnsi="Arial" w:cs="Arial"/>
        </w:rPr>
        <w:t xml:space="preserve">, M., Wagner, S., Baldassarre, T., &amp; </w:t>
      </w:r>
      <w:proofErr w:type="spellStart"/>
      <w:r w:rsidRPr="001D6728">
        <w:rPr>
          <w:rFonts w:ascii="Arial" w:hAnsi="Arial" w:cs="Arial"/>
        </w:rPr>
        <w:t>Gorschek</w:t>
      </w:r>
      <w:proofErr w:type="spellEnd"/>
      <w:r w:rsidRPr="001D6728">
        <w:rPr>
          <w:rFonts w:ascii="Arial" w:hAnsi="Arial" w:cs="Arial"/>
        </w:rPr>
        <w:t xml:space="preserve">, T. (2024). </w:t>
      </w:r>
      <w:r w:rsidRPr="001D6728">
        <w:rPr>
          <w:rFonts w:ascii="Arial" w:hAnsi="Arial" w:cs="Arial"/>
          <w:i/>
          <w:iCs/>
        </w:rPr>
        <w:t>ML-Enabled Systems Model Deployment and Monitoring: Status Quo and Problems</w:t>
      </w:r>
      <w:r w:rsidRPr="001D6728">
        <w:rPr>
          <w:rFonts w:ascii="Arial" w:hAnsi="Arial" w:cs="Arial"/>
        </w:rPr>
        <w:t>. ArXiv.org. https://arxiv.org/abs/2402.05333</w:t>
      </w:r>
    </w:p>
    <w:p w14:paraId="00000096" w14:textId="14964182" w:rsidR="00035B93" w:rsidRPr="00FC5145" w:rsidRDefault="00035B93">
      <w:pPr>
        <w:rPr>
          <w:sz w:val="24"/>
          <w:szCs w:val="24"/>
        </w:rPr>
      </w:pPr>
    </w:p>
    <w:sectPr w:rsidR="00035B93" w:rsidRPr="00FC51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28436" w14:textId="77777777" w:rsidR="004D2ED6" w:rsidRDefault="004D2ED6" w:rsidP="00613721">
      <w:pPr>
        <w:spacing w:line="240" w:lineRule="auto"/>
      </w:pPr>
      <w:r>
        <w:separator/>
      </w:r>
    </w:p>
  </w:endnote>
  <w:endnote w:type="continuationSeparator" w:id="0">
    <w:p w14:paraId="6AFE8A15" w14:textId="77777777" w:rsidR="004D2ED6" w:rsidRDefault="004D2ED6" w:rsidP="00613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B455" w14:textId="77777777" w:rsidR="00613721" w:rsidRDefault="00613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6676" w14:textId="77777777" w:rsidR="00613721" w:rsidRDefault="00613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1F78" w14:textId="77777777" w:rsidR="00613721" w:rsidRDefault="00613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075A4" w14:textId="77777777" w:rsidR="004D2ED6" w:rsidRDefault="004D2ED6" w:rsidP="00613721">
      <w:pPr>
        <w:spacing w:line="240" w:lineRule="auto"/>
      </w:pPr>
      <w:r>
        <w:separator/>
      </w:r>
    </w:p>
  </w:footnote>
  <w:footnote w:type="continuationSeparator" w:id="0">
    <w:p w14:paraId="528EC4DA" w14:textId="77777777" w:rsidR="004D2ED6" w:rsidRDefault="004D2ED6" w:rsidP="00613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5DBC" w14:textId="47B6624F" w:rsidR="00613721" w:rsidRDefault="00613721">
    <w:pPr>
      <w:pStyle w:val="Header"/>
    </w:pPr>
    <w:r>
      <w:rPr>
        <w:noProof/>
      </w:rPr>
      <w:pict w14:anchorId="19F0D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98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0A5F" w14:textId="73715642" w:rsidR="00613721" w:rsidRDefault="00613721">
    <w:pPr>
      <w:pStyle w:val="Header"/>
    </w:pPr>
    <w:r>
      <w:rPr>
        <w:noProof/>
      </w:rPr>
      <w:pict w14:anchorId="5C779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98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5ACF" w14:textId="3E4AE66E" w:rsidR="00613721" w:rsidRDefault="00613721">
    <w:pPr>
      <w:pStyle w:val="Header"/>
    </w:pPr>
    <w:r>
      <w:rPr>
        <w:noProof/>
      </w:rPr>
      <w:pict w14:anchorId="4CA05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798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12DBD"/>
    <w:multiLevelType w:val="multilevel"/>
    <w:tmpl w:val="C77A3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110350"/>
    <w:multiLevelType w:val="multilevel"/>
    <w:tmpl w:val="985C8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9A689F"/>
    <w:multiLevelType w:val="multilevel"/>
    <w:tmpl w:val="C884E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4B0293"/>
    <w:multiLevelType w:val="multilevel"/>
    <w:tmpl w:val="FE34B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F4844C5"/>
    <w:multiLevelType w:val="multilevel"/>
    <w:tmpl w:val="06B808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4097308"/>
    <w:multiLevelType w:val="multilevel"/>
    <w:tmpl w:val="82601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079337E"/>
    <w:multiLevelType w:val="multilevel"/>
    <w:tmpl w:val="2966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7A"/>
    <w:rsid w:val="000331BD"/>
    <w:rsid w:val="00035B93"/>
    <w:rsid w:val="00091FD1"/>
    <w:rsid w:val="000A7110"/>
    <w:rsid w:val="00161BBE"/>
    <w:rsid w:val="00164A57"/>
    <w:rsid w:val="001C230E"/>
    <w:rsid w:val="001C5F4B"/>
    <w:rsid w:val="001D6728"/>
    <w:rsid w:val="001E4737"/>
    <w:rsid w:val="00223266"/>
    <w:rsid w:val="002743BE"/>
    <w:rsid w:val="00311865"/>
    <w:rsid w:val="00360E67"/>
    <w:rsid w:val="003832D5"/>
    <w:rsid w:val="003D6F2D"/>
    <w:rsid w:val="0041266D"/>
    <w:rsid w:val="0041727F"/>
    <w:rsid w:val="00466C46"/>
    <w:rsid w:val="004A3781"/>
    <w:rsid w:val="004B1AD0"/>
    <w:rsid w:val="004D2ED6"/>
    <w:rsid w:val="004D3E92"/>
    <w:rsid w:val="005120B3"/>
    <w:rsid w:val="005B3708"/>
    <w:rsid w:val="006035EF"/>
    <w:rsid w:val="00613721"/>
    <w:rsid w:val="00646E22"/>
    <w:rsid w:val="007265A4"/>
    <w:rsid w:val="007566FC"/>
    <w:rsid w:val="007644F5"/>
    <w:rsid w:val="00764938"/>
    <w:rsid w:val="007D194C"/>
    <w:rsid w:val="007E4388"/>
    <w:rsid w:val="008462B7"/>
    <w:rsid w:val="008505F6"/>
    <w:rsid w:val="00862A35"/>
    <w:rsid w:val="0088757B"/>
    <w:rsid w:val="008E6F5F"/>
    <w:rsid w:val="009101C8"/>
    <w:rsid w:val="00986EC2"/>
    <w:rsid w:val="009B641F"/>
    <w:rsid w:val="009F72D0"/>
    <w:rsid w:val="00A46CB1"/>
    <w:rsid w:val="00A666FB"/>
    <w:rsid w:val="00B26D95"/>
    <w:rsid w:val="00B875F7"/>
    <w:rsid w:val="00BD779E"/>
    <w:rsid w:val="00C449FE"/>
    <w:rsid w:val="00C74B4D"/>
    <w:rsid w:val="00C80830"/>
    <w:rsid w:val="00CD1125"/>
    <w:rsid w:val="00D14755"/>
    <w:rsid w:val="00D565CC"/>
    <w:rsid w:val="00D5779C"/>
    <w:rsid w:val="00D768C9"/>
    <w:rsid w:val="00DC6F48"/>
    <w:rsid w:val="00E570FE"/>
    <w:rsid w:val="00E5794F"/>
    <w:rsid w:val="00E73CBD"/>
    <w:rsid w:val="00E8122D"/>
    <w:rsid w:val="00EA0BDB"/>
    <w:rsid w:val="00ED4EAE"/>
    <w:rsid w:val="00FA2C7A"/>
    <w:rsid w:val="00FC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8251FF"/>
  <w15:docId w15:val="{666875FA-643E-4FFC-8996-6BD79D6D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59"/>
    <w:rsid w:val="00035B93"/>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A378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8462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62B7"/>
    <w:rPr>
      <w:b/>
      <w:bCs/>
    </w:rPr>
  </w:style>
  <w:style w:type="character" w:styleId="PlaceholderText">
    <w:name w:val="Placeholder Text"/>
    <w:basedOn w:val="DefaultParagraphFont"/>
    <w:uiPriority w:val="99"/>
    <w:semiHidden/>
    <w:rsid w:val="003832D5"/>
    <w:rPr>
      <w:color w:val="808080"/>
    </w:rPr>
  </w:style>
  <w:style w:type="paragraph" w:styleId="ListParagraph">
    <w:name w:val="List Paragraph"/>
    <w:basedOn w:val="Normal"/>
    <w:uiPriority w:val="34"/>
    <w:qFormat/>
    <w:rsid w:val="00FC5145"/>
    <w:pPr>
      <w:ind w:left="720"/>
      <w:contextualSpacing/>
    </w:pPr>
  </w:style>
  <w:style w:type="character" w:styleId="Hyperlink">
    <w:name w:val="Hyperlink"/>
    <w:basedOn w:val="DefaultParagraphFont"/>
    <w:uiPriority w:val="99"/>
    <w:unhideWhenUsed/>
    <w:rsid w:val="00311865"/>
    <w:rPr>
      <w:color w:val="0000FF" w:themeColor="hyperlink"/>
      <w:u w:val="single"/>
    </w:rPr>
  </w:style>
  <w:style w:type="paragraph" w:styleId="NoSpacing">
    <w:name w:val="No Spacing"/>
    <w:uiPriority w:val="1"/>
    <w:qFormat/>
    <w:rsid w:val="00D768C9"/>
    <w:pPr>
      <w:spacing w:line="240" w:lineRule="auto"/>
    </w:pPr>
    <w:rPr>
      <w:rFonts w:asciiTheme="minorHAnsi" w:eastAsiaTheme="minorHAnsi" w:hAnsiTheme="minorHAnsi" w:cstheme="minorBidi"/>
      <w:kern w:val="2"/>
      <w:lang w:val="en-US"/>
      <w14:ligatures w14:val="standardContextual"/>
    </w:rPr>
  </w:style>
  <w:style w:type="character" w:styleId="UnresolvedMention">
    <w:name w:val="Unresolved Mention"/>
    <w:basedOn w:val="DefaultParagraphFont"/>
    <w:uiPriority w:val="99"/>
    <w:semiHidden/>
    <w:unhideWhenUsed/>
    <w:rsid w:val="00D5779C"/>
    <w:rPr>
      <w:color w:val="605E5C"/>
      <w:shd w:val="clear" w:color="auto" w:fill="E1DFDD"/>
    </w:rPr>
  </w:style>
  <w:style w:type="paragraph" w:styleId="Header">
    <w:name w:val="header"/>
    <w:basedOn w:val="Normal"/>
    <w:link w:val="HeaderChar"/>
    <w:uiPriority w:val="99"/>
    <w:unhideWhenUsed/>
    <w:rsid w:val="00613721"/>
    <w:pPr>
      <w:tabs>
        <w:tab w:val="center" w:pos="4680"/>
        <w:tab w:val="right" w:pos="9360"/>
      </w:tabs>
      <w:spacing w:line="240" w:lineRule="auto"/>
    </w:pPr>
  </w:style>
  <w:style w:type="character" w:customStyle="1" w:styleId="HeaderChar">
    <w:name w:val="Header Char"/>
    <w:basedOn w:val="DefaultParagraphFont"/>
    <w:link w:val="Header"/>
    <w:uiPriority w:val="99"/>
    <w:rsid w:val="00613721"/>
  </w:style>
  <w:style w:type="paragraph" w:styleId="Footer">
    <w:name w:val="footer"/>
    <w:basedOn w:val="Normal"/>
    <w:link w:val="FooterChar"/>
    <w:uiPriority w:val="99"/>
    <w:unhideWhenUsed/>
    <w:rsid w:val="00613721"/>
    <w:pPr>
      <w:tabs>
        <w:tab w:val="center" w:pos="4680"/>
        <w:tab w:val="right" w:pos="9360"/>
      </w:tabs>
      <w:spacing w:line="240" w:lineRule="auto"/>
    </w:pPr>
  </w:style>
  <w:style w:type="character" w:customStyle="1" w:styleId="FooterChar">
    <w:name w:val="Footer Char"/>
    <w:basedOn w:val="DefaultParagraphFont"/>
    <w:link w:val="Footer"/>
    <w:uiPriority w:val="99"/>
    <w:rsid w:val="0061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27265">
      <w:bodyDiv w:val="1"/>
      <w:marLeft w:val="0"/>
      <w:marRight w:val="0"/>
      <w:marTop w:val="0"/>
      <w:marBottom w:val="0"/>
      <w:divBdr>
        <w:top w:val="none" w:sz="0" w:space="0" w:color="auto"/>
        <w:left w:val="none" w:sz="0" w:space="0" w:color="auto"/>
        <w:bottom w:val="none" w:sz="0" w:space="0" w:color="auto"/>
        <w:right w:val="none" w:sz="0" w:space="0" w:color="auto"/>
      </w:divBdr>
    </w:div>
    <w:div w:id="144779404">
      <w:bodyDiv w:val="1"/>
      <w:marLeft w:val="0"/>
      <w:marRight w:val="0"/>
      <w:marTop w:val="0"/>
      <w:marBottom w:val="0"/>
      <w:divBdr>
        <w:top w:val="none" w:sz="0" w:space="0" w:color="auto"/>
        <w:left w:val="none" w:sz="0" w:space="0" w:color="auto"/>
        <w:bottom w:val="none" w:sz="0" w:space="0" w:color="auto"/>
        <w:right w:val="none" w:sz="0" w:space="0" w:color="auto"/>
      </w:divBdr>
    </w:div>
    <w:div w:id="425394322">
      <w:bodyDiv w:val="1"/>
      <w:marLeft w:val="0"/>
      <w:marRight w:val="0"/>
      <w:marTop w:val="0"/>
      <w:marBottom w:val="0"/>
      <w:divBdr>
        <w:top w:val="none" w:sz="0" w:space="0" w:color="auto"/>
        <w:left w:val="none" w:sz="0" w:space="0" w:color="auto"/>
        <w:bottom w:val="none" w:sz="0" w:space="0" w:color="auto"/>
        <w:right w:val="none" w:sz="0" w:space="0" w:color="auto"/>
      </w:divBdr>
      <w:divsChild>
        <w:div w:id="165633852">
          <w:marLeft w:val="-720"/>
          <w:marRight w:val="0"/>
          <w:marTop w:val="0"/>
          <w:marBottom w:val="0"/>
          <w:divBdr>
            <w:top w:val="none" w:sz="0" w:space="0" w:color="auto"/>
            <w:left w:val="none" w:sz="0" w:space="0" w:color="auto"/>
            <w:bottom w:val="none" w:sz="0" w:space="0" w:color="auto"/>
            <w:right w:val="none" w:sz="0" w:space="0" w:color="auto"/>
          </w:divBdr>
        </w:div>
      </w:divsChild>
    </w:div>
    <w:div w:id="571936363">
      <w:bodyDiv w:val="1"/>
      <w:marLeft w:val="0"/>
      <w:marRight w:val="0"/>
      <w:marTop w:val="0"/>
      <w:marBottom w:val="0"/>
      <w:divBdr>
        <w:top w:val="none" w:sz="0" w:space="0" w:color="auto"/>
        <w:left w:val="none" w:sz="0" w:space="0" w:color="auto"/>
        <w:bottom w:val="none" w:sz="0" w:space="0" w:color="auto"/>
        <w:right w:val="none" w:sz="0" w:space="0" w:color="auto"/>
      </w:divBdr>
    </w:div>
    <w:div w:id="638612391">
      <w:bodyDiv w:val="1"/>
      <w:marLeft w:val="0"/>
      <w:marRight w:val="0"/>
      <w:marTop w:val="0"/>
      <w:marBottom w:val="0"/>
      <w:divBdr>
        <w:top w:val="none" w:sz="0" w:space="0" w:color="auto"/>
        <w:left w:val="none" w:sz="0" w:space="0" w:color="auto"/>
        <w:bottom w:val="none" w:sz="0" w:space="0" w:color="auto"/>
        <w:right w:val="none" w:sz="0" w:space="0" w:color="auto"/>
      </w:divBdr>
    </w:div>
    <w:div w:id="885411383">
      <w:bodyDiv w:val="1"/>
      <w:marLeft w:val="0"/>
      <w:marRight w:val="0"/>
      <w:marTop w:val="0"/>
      <w:marBottom w:val="0"/>
      <w:divBdr>
        <w:top w:val="none" w:sz="0" w:space="0" w:color="auto"/>
        <w:left w:val="none" w:sz="0" w:space="0" w:color="auto"/>
        <w:bottom w:val="none" w:sz="0" w:space="0" w:color="auto"/>
        <w:right w:val="none" w:sz="0" w:space="0" w:color="auto"/>
      </w:divBdr>
    </w:div>
    <w:div w:id="989285112">
      <w:bodyDiv w:val="1"/>
      <w:marLeft w:val="0"/>
      <w:marRight w:val="0"/>
      <w:marTop w:val="0"/>
      <w:marBottom w:val="0"/>
      <w:divBdr>
        <w:top w:val="none" w:sz="0" w:space="0" w:color="auto"/>
        <w:left w:val="none" w:sz="0" w:space="0" w:color="auto"/>
        <w:bottom w:val="none" w:sz="0" w:space="0" w:color="auto"/>
        <w:right w:val="none" w:sz="0" w:space="0" w:color="auto"/>
      </w:divBdr>
    </w:div>
    <w:div w:id="1006175080">
      <w:bodyDiv w:val="1"/>
      <w:marLeft w:val="0"/>
      <w:marRight w:val="0"/>
      <w:marTop w:val="0"/>
      <w:marBottom w:val="0"/>
      <w:divBdr>
        <w:top w:val="none" w:sz="0" w:space="0" w:color="auto"/>
        <w:left w:val="none" w:sz="0" w:space="0" w:color="auto"/>
        <w:bottom w:val="none" w:sz="0" w:space="0" w:color="auto"/>
        <w:right w:val="none" w:sz="0" w:space="0" w:color="auto"/>
      </w:divBdr>
    </w:div>
    <w:div w:id="1036735341">
      <w:bodyDiv w:val="1"/>
      <w:marLeft w:val="0"/>
      <w:marRight w:val="0"/>
      <w:marTop w:val="0"/>
      <w:marBottom w:val="0"/>
      <w:divBdr>
        <w:top w:val="none" w:sz="0" w:space="0" w:color="auto"/>
        <w:left w:val="none" w:sz="0" w:space="0" w:color="auto"/>
        <w:bottom w:val="none" w:sz="0" w:space="0" w:color="auto"/>
        <w:right w:val="none" w:sz="0" w:space="0" w:color="auto"/>
      </w:divBdr>
      <w:divsChild>
        <w:div w:id="768500664">
          <w:marLeft w:val="0"/>
          <w:marRight w:val="0"/>
          <w:marTop w:val="0"/>
          <w:marBottom w:val="0"/>
          <w:divBdr>
            <w:top w:val="none" w:sz="0" w:space="0" w:color="auto"/>
            <w:left w:val="none" w:sz="0" w:space="0" w:color="auto"/>
            <w:bottom w:val="none" w:sz="0" w:space="0" w:color="auto"/>
            <w:right w:val="none" w:sz="0" w:space="0" w:color="auto"/>
          </w:divBdr>
          <w:divsChild>
            <w:div w:id="690451395">
              <w:marLeft w:val="0"/>
              <w:marRight w:val="0"/>
              <w:marTop w:val="0"/>
              <w:marBottom w:val="0"/>
              <w:divBdr>
                <w:top w:val="none" w:sz="0" w:space="0" w:color="auto"/>
                <w:left w:val="none" w:sz="0" w:space="0" w:color="auto"/>
                <w:bottom w:val="none" w:sz="0" w:space="0" w:color="auto"/>
                <w:right w:val="none" w:sz="0" w:space="0" w:color="auto"/>
              </w:divBdr>
              <w:divsChild>
                <w:div w:id="2067988811">
                  <w:marLeft w:val="0"/>
                  <w:marRight w:val="0"/>
                  <w:marTop w:val="0"/>
                  <w:marBottom w:val="0"/>
                  <w:divBdr>
                    <w:top w:val="none" w:sz="0" w:space="0" w:color="auto"/>
                    <w:left w:val="none" w:sz="0" w:space="0" w:color="auto"/>
                    <w:bottom w:val="none" w:sz="0" w:space="0" w:color="auto"/>
                    <w:right w:val="none" w:sz="0" w:space="0" w:color="auto"/>
                  </w:divBdr>
                  <w:divsChild>
                    <w:div w:id="190800459">
                      <w:marLeft w:val="0"/>
                      <w:marRight w:val="0"/>
                      <w:marTop w:val="0"/>
                      <w:marBottom w:val="0"/>
                      <w:divBdr>
                        <w:top w:val="none" w:sz="0" w:space="0" w:color="auto"/>
                        <w:left w:val="none" w:sz="0" w:space="0" w:color="auto"/>
                        <w:bottom w:val="none" w:sz="0" w:space="0" w:color="auto"/>
                        <w:right w:val="none" w:sz="0" w:space="0" w:color="auto"/>
                      </w:divBdr>
                      <w:divsChild>
                        <w:div w:id="1899322782">
                          <w:marLeft w:val="0"/>
                          <w:marRight w:val="0"/>
                          <w:marTop w:val="0"/>
                          <w:marBottom w:val="0"/>
                          <w:divBdr>
                            <w:top w:val="none" w:sz="0" w:space="0" w:color="auto"/>
                            <w:left w:val="none" w:sz="0" w:space="0" w:color="auto"/>
                            <w:bottom w:val="none" w:sz="0" w:space="0" w:color="auto"/>
                            <w:right w:val="none" w:sz="0" w:space="0" w:color="auto"/>
                          </w:divBdr>
                          <w:divsChild>
                            <w:div w:id="1000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21197">
      <w:bodyDiv w:val="1"/>
      <w:marLeft w:val="0"/>
      <w:marRight w:val="0"/>
      <w:marTop w:val="0"/>
      <w:marBottom w:val="0"/>
      <w:divBdr>
        <w:top w:val="none" w:sz="0" w:space="0" w:color="auto"/>
        <w:left w:val="none" w:sz="0" w:space="0" w:color="auto"/>
        <w:bottom w:val="none" w:sz="0" w:space="0" w:color="auto"/>
        <w:right w:val="none" w:sz="0" w:space="0" w:color="auto"/>
      </w:divBdr>
    </w:div>
    <w:div w:id="1435828910">
      <w:bodyDiv w:val="1"/>
      <w:marLeft w:val="0"/>
      <w:marRight w:val="0"/>
      <w:marTop w:val="0"/>
      <w:marBottom w:val="0"/>
      <w:divBdr>
        <w:top w:val="none" w:sz="0" w:space="0" w:color="auto"/>
        <w:left w:val="none" w:sz="0" w:space="0" w:color="auto"/>
        <w:bottom w:val="none" w:sz="0" w:space="0" w:color="auto"/>
        <w:right w:val="none" w:sz="0" w:space="0" w:color="auto"/>
      </w:divBdr>
    </w:div>
    <w:div w:id="1476265461">
      <w:bodyDiv w:val="1"/>
      <w:marLeft w:val="0"/>
      <w:marRight w:val="0"/>
      <w:marTop w:val="0"/>
      <w:marBottom w:val="0"/>
      <w:divBdr>
        <w:top w:val="none" w:sz="0" w:space="0" w:color="auto"/>
        <w:left w:val="none" w:sz="0" w:space="0" w:color="auto"/>
        <w:bottom w:val="none" w:sz="0" w:space="0" w:color="auto"/>
        <w:right w:val="none" w:sz="0" w:space="0" w:color="auto"/>
      </w:divBdr>
    </w:div>
    <w:div w:id="1667518247">
      <w:bodyDiv w:val="1"/>
      <w:marLeft w:val="0"/>
      <w:marRight w:val="0"/>
      <w:marTop w:val="0"/>
      <w:marBottom w:val="0"/>
      <w:divBdr>
        <w:top w:val="none" w:sz="0" w:space="0" w:color="auto"/>
        <w:left w:val="none" w:sz="0" w:space="0" w:color="auto"/>
        <w:bottom w:val="none" w:sz="0" w:space="0" w:color="auto"/>
        <w:right w:val="none" w:sz="0" w:space="0" w:color="auto"/>
      </w:divBdr>
    </w:div>
    <w:div w:id="168882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ondaq.com/nigeria/privacy-protection/1650166/automated-decisions-profiling-and-data-subject-rights-in-niger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9015</Words>
  <Characters>51391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dcterms:created xsi:type="dcterms:W3CDTF">2025-10-21T03:48:00Z</dcterms:created>
  <dcterms:modified xsi:type="dcterms:W3CDTF">2025-10-24T08:12:00Z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b3c5d76e-1450-4f92-9a60-6fa12658b56c</vt:lpwstr>
  </property>
</Properties>
</file>