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6736E" w14:textId="77777777" w:rsidR="002B339A" w:rsidRPr="002B339A" w:rsidRDefault="002B339A" w:rsidP="002B339A">
      <w:pPr>
        <w:pStyle w:val="Title"/>
        <w:jc w:val="both"/>
        <w:rPr>
          <w:rFonts w:ascii="Arial" w:hAnsi="Arial" w:cs="Arial"/>
          <w:bCs/>
          <w:i/>
          <w:iCs/>
          <w:u w:val="single"/>
        </w:rPr>
      </w:pPr>
      <w:r w:rsidRPr="002B339A">
        <w:rPr>
          <w:rFonts w:ascii="Arial" w:hAnsi="Arial" w:cs="Arial"/>
          <w:bCs/>
          <w:i/>
          <w:iCs/>
          <w:u w:val="single"/>
        </w:rPr>
        <w:t xml:space="preserve">Case report </w:t>
      </w:r>
    </w:p>
    <w:p w14:paraId="30059C37" w14:textId="77777777" w:rsidR="00754C9A" w:rsidRDefault="00754C9A" w:rsidP="00441B6F">
      <w:pPr>
        <w:pStyle w:val="Title"/>
        <w:spacing w:after="0"/>
        <w:jc w:val="both"/>
        <w:rPr>
          <w:rFonts w:ascii="Arial" w:hAnsi="Arial" w:cs="Arial"/>
        </w:rPr>
      </w:pPr>
    </w:p>
    <w:p w14:paraId="6246AADE" w14:textId="43EB15E1" w:rsidR="00163BC4" w:rsidRPr="00163BC4" w:rsidRDefault="004A3112" w:rsidP="00441B6F">
      <w:pPr>
        <w:pStyle w:val="Author"/>
        <w:spacing w:line="240" w:lineRule="auto"/>
        <w:rPr>
          <w:rFonts w:ascii="Arial" w:hAnsi="Arial" w:cs="Arial"/>
          <w:bCs/>
          <w:iCs/>
          <w:kern w:val="28"/>
          <w:sz w:val="36"/>
        </w:rPr>
      </w:pPr>
      <w:r w:rsidRPr="004A3112">
        <w:rPr>
          <w:rFonts w:ascii="Arial" w:hAnsi="Arial" w:cs="Arial"/>
          <w:bCs/>
          <w:iCs/>
          <w:kern w:val="28"/>
          <w:sz w:val="36"/>
          <w:lang w:val="en-ID"/>
        </w:rPr>
        <w:t>Timolol-Induced Atrioventricular Block in a Glaucoma Patient: A Case Report</w:t>
      </w:r>
      <w:r w:rsidR="00231920">
        <w:rPr>
          <w:rFonts w:ascii="Arial" w:hAnsi="Arial" w:cs="Arial"/>
          <w:bCs/>
          <w:iCs/>
          <w:kern w:val="28"/>
          <w:sz w:val="36"/>
        </w:rPr>
        <w:t xml:space="preserve"> </w:t>
      </w:r>
    </w:p>
    <w:p w14:paraId="21C9D621" w14:textId="77777777" w:rsidR="002C57D2" w:rsidRPr="00FB3A86" w:rsidRDefault="002C57D2" w:rsidP="00441B6F">
      <w:pPr>
        <w:pStyle w:val="Affiliation"/>
        <w:spacing w:after="0" w:line="240" w:lineRule="auto"/>
        <w:jc w:val="both"/>
        <w:rPr>
          <w:rFonts w:ascii="Arial" w:hAnsi="Arial" w:cs="Arial"/>
        </w:rPr>
      </w:pPr>
    </w:p>
    <w:p w14:paraId="572873CC" w14:textId="51C3CDA9" w:rsidR="00B01FCD" w:rsidRPr="00FB3A86" w:rsidRDefault="00417A4E" w:rsidP="00441B6F">
      <w:pPr>
        <w:pStyle w:val="Copyright"/>
        <w:spacing w:after="0" w:line="240" w:lineRule="auto"/>
        <w:jc w:val="both"/>
        <w:rPr>
          <w:rFonts w:ascii="Arial" w:hAnsi="Arial" w:cs="Arial"/>
        </w:rPr>
        <w:sectPr w:rsidR="00B01FCD" w:rsidRPr="00FB3A86" w:rsidSect="00ED36B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BD5B67C" wp14:editId="3BCD65B6">
                <wp:extent cx="5303520" cy="635"/>
                <wp:effectExtent l="15240" t="17145" r="15240" b="11430"/>
                <wp:docPr id="15268360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F8FFE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5EF41B6" w14:textId="26DDCAE5" w:rsidR="00B01FCD" w:rsidRDefault="00B01FCD" w:rsidP="00441B6F">
      <w:pPr>
        <w:pStyle w:val="AbstHead"/>
        <w:spacing w:after="0"/>
        <w:jc w:val="both"/>
        <w:rPr>
          <w:rFonts w:ascii="Arial" w:hAnsi="Arial" w:cs="Arial"/>
        </w:rPr>
      </w:pPr>
      <w:r w:rsidRPr="00FB3A86">
        <w:rPr>
          <w:rFonts w:ascii="Arial" w:hAnsi="Arial" w:cs="Arial"/>
        </w:rPr>
        <w:t>ABSTRACT</w:t>
      </w:r>
    </w:p>
    <w:p w14:paraId="06B8AC7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B787ABF" w14:textId="77777777" w:rsidTr="001E44FE">
        <w:tc>
          <w:tcPr>
            <w:tcW w:w="9576" w:type="dxa"/>
            <w:shd w:val="clear" w:color="auto" w:fill="F2F2F2"/>
          </w:tcPr>
          <w:p w14:paraId="006B244A" w14:textId="3D03CF3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DC78F3" w:rsidRPr="00DC78F3">
              <w:t>This case report aims to highlight the potential cardiovascular risks associated with timolol, a commonly used medication for the treatment of glaucoma, and to discuss the management of medication-induced atrioventricular (AV) block. It also emphasizes the importance of a multidisciplinary approach in addressing both ophthalmic and cardiovascular issues in patients with comorbidities.</w:t>
            </w:r>
          </w:p>
          <w:p w14:paraId="7C626646" w14:textId="422434DB" w:rsidR="00BA1B01" w:rsidRPr="00BA1B01" w:rsidRDefault="004A3112" w:rsidP="00441B6F">
            <w:pPr>
              <w:pStyle w:val="Body"/>
              <w:spacing w:after="0"/>
              <w:rPr>
                <w:rFonts w:ascii="Arial" w:eastAsia="Calibri" w:hAnsi="Arial" w:cs="Arial"/>
                <w:szCs w:val="22"/>
              </w:rPr>
            </w:pPr>
            <w:r>
              <w:rPr>
                <w:rFonts w:ascii="Arial" w:eastAsia="Calibri" w:hAnsi="Arial" w:cs="Arial"/>
                <w:b/>
                <w:szCs w:val="22"/>
              </w:rPr>
              <w:t>Presentation of Case</w:t>
            </w:r>
            <w:r w:rsidR="00BA1B01" w:rsidRPr="00BA1B01">
              <w:rPr>
                <w:rFonts w:ascii="Arial" w:eastAsia="Calibri" w:hAnsi="Arial" w:cs="Arial"/>
                <w:b/>
                <w:szCs w:val="22"/>
              </w:rPr>
              <w:t>:</w:t>
            </w:r>
            <w:r w:rsidR="00BA1B01" w:rsidRPr="00BA1B01">
              <w:rPr>
                <w:rFonts w:ascii="Arial" w:eastAsia="Calibri" w:hAnsi="Arial" w:cs="Arial"/>
                <w:szCs w:val="22"/>
              </w:rPr>
              <w:t xml:space="preserve"> </w:t>
            </w:r>
            <w:r w:rsidR="00DC78F3" w:rsidRPr="00DC78F3">
              <w:t xml:space="preserve">A 55-year-old woman with a two-year history of primary glaucoma presented to the emergency department (ED) after experiencing dizziness, generalized </w:t>
            </w:r>
            <w:proofErr w:type="spellStart"/>
            <w:r w:rsidR="00DC78F3" w:rsidRPr="00DC78F3">
              <w:t>clonic</w:t>
            </w:r>
            <w:proofErr w:type="spellEnd"/>
            <w:r w:rsidR="00DC78F3" w:rsidRPr="00DC78F3">
              <w:t xml:space="preserve"> seizure, and syncope lasting approximately 10 minutes while awaiting a routine ophthalmology appointment. The patient had undergone bilateral trabeculectomy within the past year and had been using timolol 0.5% eye drops twice daily for glaucoma management. On arrival at the ED, the patient was found to have hypotension (85/45 mmHg), bradycardia (3</w:t>
            </w:r>
            <w:r w:rsidR="00617AEA">
              <w:t>4</w:t>
            </w:r>
            <w:r w:rsidR="00DC78F3" w:rsidRPr="00DC78F3">
              <w:t xml:space="preserve"> beats/min), and a 12-lead ECG showed complete AV block with a ventricular escape rhythm. After excluding other causes, including electrolyte imbalances and coronary artery disease, a temporary transvenous pacemaker </w:t>
            </w:r>
            <w:r w:rsidR="00BD46FB">
              <w:t xml:space="preserve">(TPM) </w:t>
            </w:r>
            <w:r w:rsidR="00DC78F3" w:rsidRPr="00DC78F3">
              <w:t>was inserted due to persistent hemodynamic instability. Coronary angiography revealed no significant stenosis, and bedside echocardiography showed normal ventricular function with mild diastolic dysfunction. The patient was ultimately diagnosed with timolol-induced AV block</w:t>
            </w:r>
            <w:r w:rsidR="00BA1B01" w:rsidRPr="00BA1B01">
              <w:rPr>
                <w:rFonts w:ascii="Arial" w:eastAsia="Calibri" w:hAnsi="Arial" w:cs="Arial"/>
                <w:szCs w:val="22"/>
              </w:rPr>
              <w:t>.</w:t>
            </w:r>
            <w:r w:rsidR="00BD46FB">
              <w:rPr>
                <w:rFonts w:ascii="Arial" w:eastAsia="Calibri" w:hAnsi="Arial" w:cs="Arial"/>
                <w:szCs w:val="22"/>
              </w:rPr>
              <w:t xml:space="preserve"> </w:t>
            </w:r>
            <w:r w:rsidR="00BD46FB" w:rsidRPr="00BD46FB">
              <w:rPr>
                <w:rFonts w:ascii="Arial" w:eastAsia="Calibri" w:hAnsi="Arial" w:cs="Arial"/>
                <w:szCs w:val="22"/>
              </w:rPr>
              <w:t>Given the persistent AV block, a permanent pacemaker was implanted to prevent further episodes of syncope and hemodynamic collapse.</w:t>
            </w:r>
          </w:p>
          <w:p w14:paraId="467256CB" w14:textId="6C73E518" w:rsidR="00505F06" w:rsidRPr="00BA1B01" w:rsidRDefault="004A3112" w:rsidP="004A3112">
            <w:pPr>
              <w:pStyle w:val="Body"/>
              <w:spacing w:after="0"/>
              <w:rPr>
                <w:rFonts w:ascii="Arial" w:eastAsia="Calibri" w:hAnsi="Arial" w:cs="Arial"/>
                <w:szCs w:val="22"/>
              </w:rPr>
            </w:pPr>
            <w:r w:rsidRPr="000A7F5F">
              <w:rPr>
                <w:b/>
                <w:bCs/>
              </w:rPr>
              <w:t>Discussion and Conclusion</w:t>
            </w:r>
            <w:r w:rsidRPr="000A7F5F">
              <w:t xml:space="preserve"> </w:t>
            </w:r>
            <w:r w:rsidR="00DC78F3" w:rsidRPr="00DC78F3">
              <w:t>This case underscores the potential systemic cardiovascular effects of timolol. Timolol, although effective in managing intraocular pressure in glaucoma, can be absorbed systemically and lead to serious side effects such as AV block. The management of AV block in this case required urgent intervention with a temporary pacemaker, followed by permanent pacemaker implantation after the patient's condition remained unstable. A multidisciplinary approach, involving both ophthalmology and cardiology, was crucial in addressing the patient's complex needs. The case also highlights the need for careful monitoring and consideration of alternative glaucoma therapies for patients at risk of medication-induced cardiovascular complications. Timolol's potential risks emphasize the importance of patient education and close monitoring, particularly in vulnerable populations</w:t>
            </w:r>
            <w:r w:rsidRPr="000A7F5F">
              <w:t>.</w:t>
            </w:r>
          </w:p>
        </w:tc>
      </w:tr>
    </w:tbl>
    <w:p w14:paraId="4809B26D" w14:textId="77777777" w:rsidR="00636EB2" w:rsidRDefault="00636EB2" w:rsidP="00441B6F">
      <w:pPr>
        <w:pStyle w:val="Body"/>
        <w:spacing w:after="0"/>
        <w:rPr>
          <w:rFonts w:ascii="Arial" w:hAnsi="Arial" w:cs="Arial"/>
          <w:i/>
        </w:rPr>
      </w:pPr>
    </w:p>
    <w:p w14:paraId="370ECC8D" w14:textId="5A642FEE" w:rsidR="00A24E7E" w:rsidRDefault="00A24E7E" w:rsidP="00441B6F">
      <w:pPr>
        <w:pStyle w:val="Body"/>
        <w:spacing w:after="0"/>
        <w:rPr>
          <w:rFonts w:ascii="Arial" w:hAnsi="Arial" w:cs="Arial"/>
          <w:i/>
        </w:rPr>
      </w:pPr>
      <w:r>
        <w:rPr>
          <w:rFonts w:ascii="Arial" w:hAnsi="Arial" w:cs="Arial"/>
          <w:i/>
        </w:rPr>
        <w:t xml:space="preserve">Keywords: </w:t>
      </w:r>
      <w:r w:rsidR="004A3112" w:rsidRPr="004A3112">
        <w:rPr>
          <w:rFonts w:ascii="Arial" w:hAnsi="Arial" w:cs="Arial"/>
          <w:i/>
          <w:lang w:val="en-ID"/>
        </w:rPr>
        <w:t>Timolol, Atrioventricular Block, Glaucoma, Pacemaker, Medication-Induced Side Effects</w:t>
      </w:r>
    </w:p>
    <w:p w14:paraId="4DCA059A" w14:textId="77777777" w:rsidR="00790ADA" w:rsidRDefault="00790ADA" w:rsidP="00441B6F">
      <w:pPr>
        <w:pStyle w:val="Body"/>
        <w:spacing w:after="0"/>
        <w:rPr>
          <w:rFonts w:ascii="Arial" w:hAnsi="Arial" w:cs="Arial"/>
          <w:i/>
        </w:rPr>
      </w:pPr>
    </w:p>
    <w:p w14:paraId="223029C5" w14:textId="77777777" w:rsidR="00505F06" w:rsidRPr="00A24E7E" w:rsidRDefault="00505F06" w:rsidP="00441B6F">
      <w:pPr>
        <w:pStyle w:val="Body"/>
        <w:spacing w:after="0"/>
        <w:rPr>
          <w:rFonts w:ascii="Arial" w:hAnsi="Arial" w:cs="Arial"/>
          <w:i/>
        </w:rPr>
      </w:pPr>
    </w:p>
    <w:p w14:paraId="2CBF2490" w14:textId="4CF715E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BEA726B" w14:textId="77777777" w:rsidR="00790ADA" w:rsidRPr="00FB3A86" w:rsidRDefault="00790ADA" w:rsidP="00441B6F">
      <w:pPr>
        <w:pStyle w:val="AbstHead"/>
        <w:spacing w:after="0"/>
        <w:jc w:val="both"/>
        <w:rPr>
          <w:rFonts w:ascii="Arial" w:hAnsi="Arial" w:cs="Arial"/>
        </w:rPr>
      </w:pPr>
    </w:p>
    <w:p w14:paraId="0111DFD0" w14:textId="157663E3" w:rsidR="00DC78F3" w:rsidRPr="00DC78F3" w:rsidRDefault="00DC78F3" w:rsidP="00DC78F3">
      <w:pPr>
        <w:spacing w:after="160" w:line="278" w:lineRule="auto"/>
        <w:jc w:val="both"/>
        <w:rPr>
          <w:rFonts w:ascii="Arial" w:hAnsi="Arial" w:cs="Arial"/>
          <w:lang w:val="en-ID"/>
        </w:rPr>
      </w:pPr>
      <w:r w:rsidRPr="001B6D40">
        <w:rPr>
          <w:rFonts w:ascii="Arial" w:hAnsi="Arial" w:cs="Arial"/>
        </w:rPr>
        <w:t>Glaucoma</w:t>
      </w:r>
      <w:r w:rsidRPr="00DC78F3">
        <w:rPr>
          <w:rFonts w:ascii="Arial" w:hAnsi="Arial" w:cs="Arial"/>
          <w:lang w:val="en-ID"/>
        </w:rPr>
        <w:t xml:space="preserve"> is a group of ocular disorders characterized by progressive damage to the optic nerve, typically associated with elevated intraocular pressure (IOP). It is one of the leading causes of blindness worldwide, affecting millions of individuals </w:t>
      </w:r>
      <w:sdt>
        <w:sdtPr>
          <w:rPr>
            <w:rFonts w:ascii="Arial" w:hAnsi="Arial" w:cs="Arial"/>
            <w:color w:val="000000"/>
            <w:lang w:val="en-ID"/>
          </w:rPr>
          <w:tag w:val="MENDELEY_CITATION_v3_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"/>
          <w:id w:val="-1546752533"/>
          <w:placeholder>
            <w:docPart w:val="DefaultPlaceholder_-1854013440"/>
          </w:placeholder>
        </w:sdtPr>
        <w:sdtEndPr/>
        <w:sdtContent>
          <w:r w:rsidR="003047A6" w:rsidRPr="003047A6">
            <w:rPr>
              <w:rFonts w:ascii="Arial" w:hAnsi="Arial" w:cs="Arial"/>
              <w:color w:val="000000"/>
              <w:lang w:val="en-ID"/>
            </w:rPr>
            <w:t>(Pratt et al., 2015)</w:t>
          </w:r>
        </w:sdtContent>
      </w:sdt>
      <w:r w:rsidRPr="00DC78F3">
        <w:rPr>
          <w:rFonts w:ascii="Arial" w:hAnsi="Arial" w:cs="Arial"/>
          <w:lang w:val="en-ID"/>
        </w:rPr>
        <w:t xml:space="preserve">. Glaucoma treatment primarily aims to reduce IOP to prevent further optic nerve damage, and several medications are available to manage this condition. Among the most commonly prescribed are beta-blockers, such as timolol, which reduce aqueous </w:t>
      </w:r>
      <w:proofErr w:type="spellStart"/>
      <w:r w:rsidRPr="00DC78F3">
        <w:rPr>
          <w:rFonts w:ascii="Arial" w:hAnsi="Arial" w:cs="Arial"/>
          <w:lang w:val="en-ID"/>
        </w:rPr>
        <w:t>humor</w:t>
      </w:r>
      <w:proofErr w:type="spellEnd"/>
      <w:r w:rsidRPr="00DC78F3">
        <w:rPr>
          <w:rFonts w:ascii="Arial" w:hAnsi="Arial" w:cs="Arial"/>
          <w:lang w:val="en-ID"/>
        </w:rPr>
        <w:t xml:space="preserve"> production and lower IOP by blocking β-adrenergic receptors in the eye</w:t>
      </w:r>
      <w:r w:rsidR="00A231D1">
        <w:rPr>
          <w:rFonts w:ascii="Arial" w:hAnsi="Arial" w:cs="Arial"/>
          <w:lang w:val="en-ID"/>
        </w:rPr>
        <w:t xml:space="preserve"> </w:t>
      </w:r>
      <w:sdt>
        <w:sdtPr>
          <w:rPr>
            <w:rFonts w:ascii="Arial" w:hAnsi="Arial" w:cs="Arial"/>
            <w:color w:val="000000"/>
            <w:lang w:val="en-ID"/>
          </w:rPr>
          <w:tag w:val="MENDELEY_CITATION_v3_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"/>
          <w:id w:val="-1751110629"/>
          <w:placeholder>
            <w:docPart w:val="DefaultPlaceholder_-1854013440"/>
          </w:placeholder>
        </w:sdtPr>
        <w:sdtEndPr/>
        <w:sdtContent>
          <w:r w:rsidR="003047A6" w:rsidRPr="003047A6">
            <w:rPr>
              <w:rFonts w:ascii="Arial" w:hAnsi="Arial" w:cs="Arial"/>
              <w:color w:val="000000"/>
              <w:lang w:val="en-ID"/>
            </w:rPr>
            <w:t>(Bonnin et al., 2012; Uusitalo et al., 2005)</w:t>
          </w:r>
        </w:sdtContent>
      </w:sdt>
      <w:r w:rsidR="00A231D1">
        <w:rPr>
          <w:rFonts w:ascii="Arial" w:hAnsi="Arial" w:cs="Arial"/>
          <w:lang w:val="en-ID"/>
        </w:rPr>
        <w:t>.</w:t>
      </w:r>
    </w:p>
    <w:p w14:paraId="25C3F273" w14:textId="377D16FF" w:rsidR="00DC78F3" w:rsidRPr="00DC78F3" w:rsidRDefault="00DC78F3" w:rsidP="00DC78F3">
      <w:pPr>
        <w:spacing w:after="160" w:line="278" w:lineRule="auto"/>
        <w:jc w:val="both"/>
        <w:rPr>
          <w:rFonts w:ascii="Arial" w:hAnsi="Arial" w:cs="Arial"/>
          <w:lang w:val="en-ID"/>
        </w:rPr>
      </w:pPr>
      <w:r w:rsidRPr="00DC78F3">
        <w:rPr>
          <w:rFonts w:ascii="Arial" w:hAnsi="Arial" w:cs="Arial"/>
          <w:lang w:val="en-ID"/>
        </w:rPr>
        <w:lastRenderedPageBreak/>
        <w:t>Timolol, a non-selective beta-blocker, is widely used for glaucoma management. Despite its efficacy in controlling IOP, timolol has known systemic effects due to its absorption into the bloodstream through the ocular surface</w:t>
      </w:r>
      <w:r w:rsidR="00A231D1">
        <w:rPr>
          <w:rFonts w:ascii="Arial" w:hAnsi="Arial" w:cs="Arial"/>
          <w:lang w:val="en-ID"/>
        </w:rPr>
        <w:t xml:space="preserve"> </w:t>
      </w:r>
      <w:sdt>
        <w:sdtPr>
          <w:rPr>
            <w:rFonts w:ascii="Arial" w:hAnsi="Arial" w:cs="Arial"/>
            <w:color w:val="000000"/>
            <w:lang w:val="en-ID"/>
          </w:rPr>
          <w:tag w:val="MENDELEY_CITATION_v3_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"/>
          <w:id w:val="-714818862"/>
          <w:placeholder>
            <w:docPart w:val="DefaultPlaceholder_-1854013440"/>
          </w:placeholder>
        </w:sdtPr>
        <w:sdtEndPr/>
        <w:sdtContent>
          <w:r w:rsidR="003047A6" w:rsidRPr="003047A6">
            <w:rPr>
              <w:rFonts w:ascii="Arial" w:hAnsi="Arial" w:cs="Arial"/>
              <w:color w:val="000000"/>
              <w:lang w:val="en-ID"/>
            </w:rPr>
            <w:t>(Bonnin et al., 2012; Uusitalo et al., 2005)</w:t>
          </w:r>
        </w:sdtContent>
      </w:sdt>
      <w:r w:rsidRPr="00DC78F3">
        <w:rPr>
          <w:rFonts w:ascii="Arial" w:hAnsi="Arial" w:cs="Arial"/>
          <w:lang w:val="en-ID"/>
        </w:rPr>
        <w:t>. These systemic effects can lead to cardiovascular complications such as bradycardia, hypotension, and AV block, especially in individuals with pre-existing heart conditions or those on other medications that affect the cardiovascular system</w:t>
      </w:r>
      <w:r w:rsidR="00A231D1">
        <w:rPr>
          <w:rFonts w:ascii="Arial" w:hAnsi="Arial" w:cs="Arial"/>
          <w:lang w:val="en-ID"/>
        </w:rPr>
        <w:t xml:space="preserve"> </w:t>
      </w:r>
      <w:sdt>
        <w:sdtPr>
          <w:rPr>
            <w:rFonts w:ascii="Arial" w:hAnsi="Arial" w:cs="Arial"/>
            <w:color w:val="000000"/>
            <w:lang w:val="en-ID"/>
          </w:rPr>
          <w:tag w:val="MENDELEY_CITATION_v3_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"/>
          <w:id w:val="1250704582"/>
          <w:placeholder>
            <w:docPart w:val="DefaultPlaceholder_-1854013440"/>
          </w:placeholder>
        </w:sdtPr>
        <w:sdtEndPr/>
        <w:sdtContent>
          <w:r w:rsidR="003047A6" w:rsidRPr="003047A6">
            <w:rPr>
              <w:rFonts w:ascii="Arial" w:hAnsi="Arial" w:cs="Arial"/>
              <w:color w:val="000000"/>
              <w:lang w:val="en-ID"/>
            </w:rPr>
            <w:t>(Wang et al., 2019)</w:t>
          </w:r>
        </w:sdtContent>
      </w:sdt>
      <w:r w:rsidRPr="00DC78F3">
        <w:rPr>
          <w:rFonts w:ascii="Arial" w:hAnsi="Arial" w:cs="Arial"/>
          <w:lang w:val="en-ID"/>
        </w:rPr>
        <w:t xml:space="preserve">. Although these side effects are well-documented in systemic use of beta-blockers, their occurrence in topical administration, particularly for ocular conditions like glaucoma, is less frequently discussed. The potential for serious adverse cardiovascular events from timolol underscores the need for vigilance when prescribing this medication, </w:t>
      </w:r>
      <w:r w:rsidR="00A231D1">
        <w:rPr>
          <w:rFonts w:ascii="Arial" w:hAnsi="Arial" w:cs="Arial"/>
          <w:lang w:val="en-ID"/>
        </w:rPr>
        <w:t>event</w:t>
      </w:r>
      <w:r w:rsidRPr="00DC78F3">
        <w:rPr>
          <w:rFonts w:ascii="Arial" w:hAnsi="Arial" w:cs="Arial"/>
          <w:lang w:val="en-ID"/>
        </w:rPr>
        <w:t xml:space="preserve"> in patients with</w:t>
      </w:r>
      <w:r w:rsidR="00A231D1">
        <w:rPr>
          <w:rFonts w:ascii="Arial" w:hAnsi="Arial" w:cs="Arial"/>
          <w:lang w:val="en-ID"/>
        </w:rPr>
        <w:t>out</w:t>
      </w:r>
      <w:r w:rsidRPr="00DC78F3">
        <w:rPr>
          <w:rFonts w:ascii="Arial" w:hAnsi="Arial" w:cs="Arial"/>
          <w:lang w:val="en-ID"/>
        </w:rPr>
        <w:t xml:space="preserve"> underlying cardiovascular risk factors.</w:t>
      </w:r>
    </w:p>
    <w:p w14:paraId="6938EEFB" w14:textId="76E29515" w:rsidR="00DC78F3" w:rsidRPr="00DC78F3" w:rsidRDefault="00DC78F3" w:rsidP="00DC78F3">
      <w:pPr>
        <w:spacing w:after="160" w:line="278" w:lineRule="auto"/>
        <w:jc w:val="both"/>
        <w:rPr>
          <w:rFonts w:ascii="Arial" w:hAnsi="Arial" w:cs="Arial"/>
          <w:lang w:val="en-ID"/>
        </w:rPr>
      </w:pPr>
      <w:r w:rsidRPr="00DC78F3">
        <w:rPr>
          <w:rFonts w:ascii="Arial" w:hAnsi="Arial" w:cs="Arial"/>
          <w:lang w:val="en-ID"/>
        </w:rPr>
        <w:t>Atrioventricular block, a disruption in the electrical conduction system of the heart, can be particularly concerning in glaucoma patients on timolol. AV block can range from partial to complete, with complete block potentially leading to life-threatening bradycardia and syncope</w:t>
      </w:r>
      <w:r w:rsidR="00A231D1">
        <w:rPr>
          <w:rFonts w:ascii="Arial" w:hAnsi="Arial" w:cs="Arial"/>
          <w:lang w:val="en-ID"/>
        </w:rPr>
        <w:t xml:space="preserve"> </w:t>
      </w:r>
      <w:sdt>
        <w:sdtPr>
          <w:rPr>
            <w:rFonts w:ascii="Arial" w:hAnsi="Arial" w:cs="Arial"/>
            <w:color w:val="000000"/>
            <w:lang w:val="en-ID"/>
          </w:rPr>
          <w:tag w:val="MENDELEY_CITATION_v3_eyJjaXRhdGlvbklEIjoiTUVOREVMRVlfQ0lUQVRJT05fZjlhMmJkZDItMTZiYi00NzFiLThhMmEtY2VkNTU4Y2RjZDg5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
          <w:id w:val="-242181606"/>
          <w:placeholder>
            <w:docPart w:val="DefaultPlaceholder_-1854013440"/>
          </w:placeholder>
        </w:sdtPr>
        <w:sdtEndPr/>
        <w:sdtContent>
          <w:r w:rsidR="003047A6" w:rsidRPr="003047A6">
            <w:rPr>
              <w:rFonts w:ascii="Arial" w:hAnsi="Arial" w:cs="Arial"/>
              <w:color w:val="000000"/>
              <w:lang w:val="en-ID"/>
            </w:rPr>
            <w:t>(Özcan et al., 2015)</w:t>
          </w:r>
        </w:sdtContent>
      </w:sdt>
      <w:r w:rsidRPr="00DC78F3">
        <w:rPr>
          <w:rFonts w:ascii="Arial" w:hAnsi="Arial" w:cs="Arial"/>
          <w:lang w:val="en-ID"/>
        </w:rPr>
        <w:t>. Timolol-induced AV block is a rare but serious complication, and managing such cases presents significant challenges, especially when it involves balancing the need for effective glaucoma treatment with the risk of cardiovascular complications.</w:t>
      </w:r>
    </w:p>
    <w:p w14:paraId="1CFB73C9" w14:textId="1A4C2419" w:rsidR="00B01FCD" w:rsidRPr="00DC78F3" w:rsidRDefault="00DC78F3" w:rsidP="00DC78F3">
      <w:pPr>
        <w:spacing w:after="160" w:line="278" w:lineRule="auto"/>
        <w:jc w:val="both"/>
        <w:rPr>
          <w:rFonts w:ascii="Arial" w:hAnsi="Arial" w:cs="Arial"/>
          <w:lang w:val="en-ID"/>
        </w:rPr>
      </w:pPr>
      <w:r w:rsidRPr="00DC78F3">
        <w:rPr>
          <w:rFonts w:ascii="Arial" w:hAnsi="Arial" w:cs="Arial"/>
          <w:lang w:val="en-ID"/>
        </w:rPr>
        <w:t>This case report presents a 55-year-old woman with primary glaucoma who developed complete AV block after using timolol eye drops, requiring the implantation of a permanent pacemaker. This case highlights the potential cardiovascular risks of timolol, the challenges of managing glaucoma in patients with cardiovascular conditions, and the importance of a multidisciplinary approach in such complex cases. Through this report, we aim to emphasize the need for healthcare providers to consider the systemic effects of topical medications and to be vigilant in monitoring for potential adverse cardiovascular events in glaucoma patients.</w:t>
      </w:r>
    </w:p>
    <w:p w14:paraId="75959632" w14:textId="77777777" w:rsidR="00790ADA" w:rsidRPr="00DC78F3" w:rsidRDefault="00790ADA" w:rsidP="00441B6F">
      <w:pPr>
        <w:pStyle w:val="Body"/>
        <w:spacing w:after="0"/>
        <w:rPr>
          <w:rFonts w:ascii="Arial" w:hAnsi="Arial" w:cs="Arial"/>
          <w:lang w:val="en-ID"/>
        </w:rPr>
      </w:pPr>
    </w:p>
    <w:p w14:paraId="7375D868" w14:textId="77777777" w:rsidR="00B04781" w:rsidRPr="00FB3A86" w:rsidRDefault="00B04781" w:rsidP="00441B6F">
      <w:pPr>
        <w:pStyle w:val="Body"/>
        <w:spacing w:after="0"/>
        <w:rPr>
          <w:rFonts w:ascii="Arial" w:hAnsi="Arial" w:cs="Arial"/>
        </w:rPr>
      </w:pPr>
    </w:p>
    <w:p w14:paraId="06AFF481" w14:textId="1D2A8C78" w:rsidR="007F7B32" w:rsidRDefault="00902823" w:rsidP="00441B6F">
      <w:pPr>
        <w:pStyle w:val="AbstHead"/>
        <w:spacing w:after="0"/>
        <w:jc w:val="both"/>
        <w:rPr>
          <w:rFonts w:ascii="Arial" w:hAnsi="Arial" w:cs="Arial"/>
        </w:rPr>
      </w:pPr>
      <w:r>
        <w:rPr>
          <w:rFonts w:ascii="Arial" w:hAnsi="Arial" w:cs="Arial"/>
        </w:rPr>
        <w:t xml:space="preserve">2. </w:t>
      </w:r>
      <w:r w:rsidR="00340D7F">
        <w:rPr>
          <w:rFonts w:ascii="Arial" w:hAnsi="Arial" w:cs="Arial"/>
        </w:rPr>
        <w:t>PRESENTATION OF CASE</w:t>
      </w:r>
    </w:p>
    <w:p w14:paraId="365D0A0E" w14:textId="77777777" w:rsidR="00B04781" w:rsidRDefault="00B04781" w:rsidP="00340D7F">
      <w:pPr>
        <w:spacing w:after="160" w:line="278" w:lineRule="auto"/>
        <w:jc w:val="both"/>
      </w:pPr>
    </w:p>
    <w:p w14:paraId="07D74E77" w14:textId="1793E447" w:rsidR="00EB61E1" w:rsidRPr="001B6D40" w:rsidRDefault="00EB61E1" w:rsidP="00EB61E1">
      <w:pPr>
        <w:spacing w:after="160" w:line="278" w:lineRule="auto"/>
        <w:jc w:val="both"/>
        <w:rPr>
          <w:rFonts w:ascii="Arial" w:hAnsi="Arial" w:cs="Arial"/>
          <w:lang w:val="en-ID"/>
        </w:rPr>
      </w:pPr>
      <w:r w:rsidRPr="001B6D40">
        <w:rPr>
          <w:rFonts w:ascii="Arial" w:hAnsi="Arial" w:cs="Arial"/>
          <w:lang w:val="en-ID"/>
        </w:rPr>
        <w:t xml:space="preserve">A 55-year-old woman with a 2-year history of primary glaucoma presented to the ED after experiencing dizziness, a generalized </w:t>
      </w:r>
      <w:proofErr w:type="spellStart"/>
      <w:r w:rsidRPr="001B6D40">
        <w:rPr>
          <w:rFonts w:ascii="Arial" w:hAnsi="Arial" w:cs="Arial"/>
          <w:lang w:val="en-ID"/>
        </w:rPr>
        <w:t>clonic</w:t>
      </w:r>
      <w:proofErr w:type="spellEnd"/>
      <w:r w:rsidRPr="001B6D40">
        <w:rPr>
          <w:rFonts w:ascii="Arial" w:hAnsi="Arial" w:cs="Arial"/>
          <w:lang w:val="en-ID"/>
        </w:rPr>
        <w:t xml:space="preserve"> seizure, and syncope lasting approximately 10 minutes while awaiting a routine ophthalmology appointment. She had undergone bilateral trabeculectomy within the past year and had been using timolol 0.5% eye drops twice daily as part of her ongoing glaucoma management. Prior to her first surgery, she had undergone a normal cardiology evaluation, including a baseline ECG that showed normal sinus rhythm. Her cardiovascular history was unremarkable, and she had no prior symptoms suggestive of heart disease.</w:t>
      </w:r>
    </w:p>
    <w:p w14:paraId="69E9CE38" w14:textId="498E3F4B" w:rsidR="00EB61E1" w:rsidRPr="001B6D40" w:rsidRDefault="00EB61E1" w:rsidP="00EB61E1">
      <w:pPr>
        <w:spacing w:after="160" w:line="278" w:lineRule="auto"/>
        <w:jc w:val="both"/>
        <w:rPr>
          <w:rFonts w:ascii="Arial" w:hAnsi="Arial" w:cs="Arial"/>
          <w:lang w:val="en-ID"/>
        </w:rPr>
      </w:pPr>
      <w:r w:rsidRPr="001B6D40">
        <w:rPr>
          <w:rFonts w:ascii="Arial" w:hAnsi="Arial" w:cs="Arial"/>
          <w:lang w:val="en-ID"/>
        </w:rPr>
        <w:t>Upon arrival at the ED, her vital signs were concerning: blood pressure 85/45 mmHg, heart rate 3</w:t>
      </w:r>
      <w:r w:rsidR="00617AEA" w:rsidRPr="001B6D40">
        <w:rPr>
          <w:rFonts w:ascii="Arial" w:hAnsi="Arial" w:cs="Arial"/>
          <w:lang w:val="en-ID"/>
        </w:rPr>
        <w:t>4</w:t>
      </w:r>
      <w:r w:rsidRPr="001B6D40">
        <w:rPr>
          <w:rFonts w:ascii="Arial" w:hAnsi="Arial" w:cs="Arial"/>
          <w:lang w:val="en-ID"/>
        </w:rPr>
        <w:t xml:space="preserve"> beats/min (weak), respiratory rate 20 breaths/min, and oxygen saturation (SpO</w:t>
      </w:r>
      <w:r w:rsidRPr="001B6D40">
        <w:rPr>
          <w:rFonts w:ascii="Cambria Math" w:hAnsi="Cambria Math" w:cs="Cambria Math"/>
          <w:lang w:val="en-ID"/>
        </w:rPr>
        <w:t>₂</w:t>
      </w:r>
      <w:r w:rsidRPr="001B6D40">
        <w:rPr>
          <w:rFonts w:ascii="Arial" w:hAnsi="Arial" w:cs="Arial"/>
          <w:lang w:val="en-ID"/>
        </w:rPr>
        <w:t>) 99% on 3 L/min of nasal cannula oxygen. A 12-lead ECG revealed complete AV block with a ventricular escape rhythm</w:t>
      </w:r>
      <w:r w:rsidR="00617AEA" w:rsidRPr="001B6D40">
        <w:rPr>
          <w:rFonts w:ascii="Arial" w:hAnsi="Arial" w:cs="Arial"/>
          <w:lang w:val="en-ID"/>
        </w:rPr>
        <w:t xml:space="preserve"> (Fig. 1)</w:t>
      </w:r>
      <w:r w:rsidRPr="001B6D40">
        <w:rPr>
          <w:rFonts w:ascii="Arial" w:hAnsi="Arial" w:cs="Arial"/>
          <w:lang w:val="en-ID"/>
        </w:rPr>
        <w:t>, which was consistent with the patient’s hemodynamic instability. Laboratory tests, including electrolytes (K, Mg, Ca), renal function, thyroid function, and cardiac enzymes, were all within normal limits, ruling out electrolyte disturbances or metabolic causes. Given the patient’s bradycardia and AV block, a TPM was inserted to stabilize her heart rate and improve hemodynamic.</w:t>
      </w:r>
    </w:p>
    <w:p w14:paraId="499933E1" w14:textId="66B103CD" w:rsidR="00EB61E1" w:rsidRPr="001B6D40" w:rsidRDefault="00EB61E1" w:rsidP="00EB61E1">
      <w:pPr>
        <w:spacing w:after="160" w:line="278" w:lineRule="auto"/>
        <w:jc w:val="both"/>
        <w:rPr>
          <w:rFonts w:ascii="Arial" w:hAnsi="Arial" w:cs="Arial"/>
          <w:lang w:val="en-ID"/>
        </w:rPr>
      </w:pPr>
      <w:r w:rsidRPr="001B6D40">
        <w:rPr>
          <w:rFonts w:ascii="Arial" w:hAnsi="Arial" w:cs="Arial"/>
          <w:lang w:val="en-ID"/>
        </w:rPr>
        <w:t xml:space="preserve">Further diagnostic investigations, including bedside echocardiography, were performed. The echocardiogram showed normal left and right ventricular systolic function, grade I diastolic dysfunction, and global </w:t>
      </w:r>
      <w:proofErr w:type="spellStart"/>
      <w:r w:rsidRPr="001B6D40">
        <w:rPr>
          <w:rFonts w:ascii="Arial" w:hAnsi="Arial" w:cs="Arial"/>
          <w:lang w:val="en-ID"/>
        </w:rPr>
        <w:t>normokinesis</w:t>
      </w:r>
      <w:proofErr w:type="spellEnd"/>
      <w:r w:rsidRPr="001B6D40">
        <w:rPr>
          <w:rFonts w:ascii="Arial" w:hAnsi="Arial" w:cs="Arial"/>
          <w:lang w:val="en-ID"/>
        </w:rPr>
        <w:t>. Subsequently, coronary angiography was performed to rule out obstructive coronary disease or acute coronary syndrome as potential contributors to the conduction disturbance. The coronary angiogram revealed normal coroner</w:t>
      </w:r>
      <w:r w:rsidR="00676BF1">
        <w:rPr>
          <w:rFonts w:ascii="Arial" w:hAnsi="Arial" w:cs="Arial"/>
          <w:lang w:val="en-ID"/>
        </w:rPr>
        <w:t xml:space="preserve"> (Fig. 2)</w:t>
      </w:r>
      <w:r w:rsidRPr="001B6D40">
        <w:rPr>
          <w:rFonts w:ascii="Arial" w:hAnsi="Arial" w:cs="Arial"/>
          <w:lang w:val="en-ID"/>
        </w:rPr>
        <w:t>, thus excluding ischemia as the underlying cause of the AV block and supporting the diagnosis of medication-induced AV block, rather than structural heart disease.</w:t>
      </w:r>
    </w:p>
    <w:p w14:paraId="15680A0B" w14:textId="5BB631B0" w:rsidR="00EB61E1" w:rsidRPr="001B6D40" w:rsidRDefault="00EB61E1" w:rsidP="00EB61E1">
      <w:pPr>
        <w:spacing w:after="160" w:line="278" w:lineRule="auto"/>
        <w:jc w:val="both"/>
        <w:rPr>
          <w:rFonts w:ascii="Arial" w:hAnsi="Arial" w:cs="Arial"/>
          <w:lang w:val="en-ID"/>
        </w:rPr>
      </w:pPr>
      <w:r w:rsidRPr="001B6D40">
        <w:rPr>
          <w:rFonts w:ascii="Arial" w:hAnsi="Arial" w:cs="Arial"/>
          <w:lang w:val="en-ID"/>
        </w:rPr>
        <w:t>Despite successful stabilization with temporary pacing, the AV block persisted when the pacing was temporarily turned off, confirming the need for long-term pacing support. After careful multidisciplinary consultation, including input from the ophthalmologist, the team determined that the patient’s AV block was likely induced by the systemic absorption of timolol, which had been continued after her ocular surgeries. The ophthalmologist emphasized the importance of maintaining IOP control to prevent glaucoma progression, which led to the continued use of timolol eye drops. Given the persistent conduction disturbance and the risks of recurrent syncope or hemodynamic collapse, the decision was made to proceed with the implantation of a permanent pacemaker.</w:t>
      </w:r>
    </w:p>
    <w:p w14:paraId="79EBF54C" w14:textId="481107E9" w:rsidR="00AA74E0" w:rsidRPr="001B6D40" w:rsidRDefault="001B6D40" w:rsidP="00EB61E1">
      <w:pPr>
        <w:spacing w:after="160" w:line="278" w:lineRule="auto"/>
        <w:jc w:val="both"/>
        <w:rPr>
          <w:rFonts w:ascii="Arial" w:hAnsi="Arial" w:cs="Arial"/>
          <w:lang w:val="en-ID"/>
        </w:rPr>
      </w:pPr>
      <w:r>
        <w:rPr>
          <w:rFonts w:ascii="Arial" w:hAnsi="Arial" w:cs="Arial"/>
          <w:noProof/>
        </w:rPr>
        <w:lastRenderedPageBreak/>
        <w:drawing>
          <wp:anchor distT="0" distB="0" distL="114300" distR="114300" simplePos="0" relativeHeight="251658240" behindDoc="0" locked="0" layoutInCell="1" allowOverlap="1" wp14:anchorId="5197506A" wp14:editId="2EFF4AB9">
            <wp:simplePos x="0" y="0"/>
            <wp:positionH relativeFrom="margin">
              <wp:posOffset>1913255</wp:posOffset>
            </wp:positionH>
            <wp:positionV relativeFrom="paragraph">
              <wp:posOffset>841961</wp:posOffset>
            </wp:positionV>
            <wp:extent cx="3031490" cy="2006600"/>
            <wp:effectExtent l="0" t="0" r="0" b="0"/>
            <wp:wrapTopAndBottom/>
            <wp:docPr id="123914032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6961"/>
                    <a:stretch>
                      <a:fillRect/>
                    </a:stretch>
                  </pic:blipFill>
                  <pic:spPr bwMode="auto">
                    <a:xfrm>
                      <a:off x="0" y="0"/>
                      <a:ext cx="3031490" cy="200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1E1" w:rsidRPr="001B6D40">
        <w:rPr>
          <w:rFonts w:ascii="Arial" w:hAnsi="Arial" w:cs="Arial"/>
          <w:lang w:val="en-ID"/>
        </w:rPr>
        <w:t>The permanent pacemaker was implanted without complications</w:t>
      </w:r>
      <w:r w:rsidR="0056600A">
        <w:rPr>
          <w:rFonts w:ascii="Arial" w:hAnsi="Arial" w:cs="Arial"/>
          <w:lang w:val="en-ID"/>
        </w:rPr>
        <w:t xml:space="preserve"> (Fig. </w:t>
      </w:r>
      <w:r w:rsidR="00676BF1">
        <w:rPr>
          <w:rFonts w:ascii="Arial" w:hAnsi="Arial" w:cs="Arial"/>
          <w:lang w:val="en-ID"/>
        </w:rPr>
        <w:t>3</w:t>
      </w:r>
      <w:r w:rsidR="0056600A">
        <w:rPr>
          <w:rFonts w:ascii="Arial" w:hAnsi="Arial" w:cs="Arial"/>
          <w:lang w:val="en-ID"/>
        </w:rPr>
        <w:t>)</w:t>
      </w:r>
      <w:r w:rsidR="00EB61E1" w:rsidRPr="001B6D40">
        <w:rPr>
          <w:rFonts w:ascii="Arial" w:hAnsi="Arial" w:cs="Arial"/>
          <w:lang w:val="en-ID"/>
        </w:rPr>
        <w:t>, and the patient was closely monitored post-procedure for stable pacing capture. At follow-up, the patient remained pacemaker-dependent, with no recurrence of conduction disturbances or other complications. Plans for her ongoing glaucoma management were discussed, with the need for careful monitoring of her heart function while managing intraocular pressure.</w:t>
      </w:r>
    </w:p>
    <w:p w14:paraId="6C2E6855" w14:textId="00C60CD0" w:rsidR="00790ADA" w:rsidRDefault="00790ADA" w:rsidP="00441B6F">
      <w:pPr>
        <w:pStyle w:val="Body"/>
        <w:spacing w:after="0"/>
        <w:rPr>
          <w:rFonts w:ascii="Arial" w:hAnsi="Arial" w:cs="Arial"/>
        </w:rPr>
      </w:pPr>
    </w:p>
    <w:p w14:paraId="1F8D926B" w14:textId="5C7BC81D" w:rsidR="001B6D40" w:rsidRPr="008247A6" w:rsidRDefault="001B6D40" w:rsidP="001B6D40">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Pr>
          <w:rFonts w:ascii="Arial" w:hAnsi="Arial" w:cs="Arial"/>
          <w:b/>
          <w:bCs/>
          <w:szCs w:val="22"/>
        </w:rPr>
        <w:t xml:space="preserve">The ECG on arrival at the Emergency Department (ED) showed complete </w:t>
      </w:r>
      <w:r w:rsidR="001B7C66">
        <w:rPr>
          <w:rFonts w:ascii="Arial" w:hAnsi="Arial" w:cs="Arial"/>
          <w:b/>
          <w:bCs/>
          <w:szCs w:val="22"/>
        </w:rPr>
        <w:t>atrioventricular</w:t>
      </w:r>
      <w:r>
        <w:rPr>
          <w:rFonts w:ascii="Arial" w:hAnsi="Arial" w:cs="Arial"/>
          <w:b/>
          <w:bCs/>
          <w:szCs w:val="22"/>
        </w:rPr>
        <w:t xml:space="preserve"> </w:t>
      </w:r>
      <w:r w:rsidR="001B7C66">
        <w:rPr>
          <w:rFonts w:ascii="Arial" w:hAnsi="Arial" w:cs="Arial"/>
          <w:b/>
          <w:bCs/>
          <w:szCs w:val="22"/>
        </w:rPr>
        <w:t xml:space="preserve">(AV) </w:t>
      </w:r>
      <w:r>
        <w:rPr>
          <w:rFonts w:ascii="Arial" w:hAnsi="Arial" w:cs="Arial"/>
          <w:b/>
          <w:bCs/>
          <w:szCs w:val="22"/>
        </w:rPr>
        <w:t xml:space="preserve">block </w:t>
      </w:r>
      <w:r w:rsidRPr="001B6D40">
        <w:rPr>
          <w:rFonts w:ascii="Arial" w:hAnsi="Arial" w:cs="Arial"/>
          <w:b/>
          <w:bCs/>
          <w:szCs w:val="22"/>
          <w:lang w:val="en-ID"/>
        </w:rPr>
        <w:t>with a ventricular escape rhythm</w:t>
      </w:r>
      <w:r w:rsidR="0056600A">
        <w:rPr>
          <w:rFonts w:ascii="Arial" w:hAnsi="Arial" w:cs="Arial"/>
          <w:b/>
          <w:bCs/>
          <w:szCs w:val="22"/>
          <w:lang w:val="en-ID"/>
        </w:rPr>
        <w:t xml:space="preserve"> </w:t>
      </w:r>
    </w:p>
    <w:p w14:paraId="0DA8292F" w14:textId="3321DB3D" w:rsidR="00676BF1" w:rsidRDefault="00676BF1" w:rsidP="00441B6F">
      <w:pPr>
        <w:pStyle w:val="Body"/>
        <w:spacing w:after="0"/>
        <w:rPr>
          <w:rFonts w:ascii="Arial" w:hAnsi="Arial" w:cs="Arial"/>
        </w:rPr>
      </w:pPr>
      <w:r w:rsidRPr="00676BF1">
        <w:rPr>
          <w:rFonts w:ascii="Arial" w:hAnsi="Arial" w:cs="Arial"/>
          <w:noProof/>
        </w:rPr>
        <w:drawing>
          <wp:anchor distT="0" distB="0" distL="114300" distR="114300" simplePos="0" relativeHeight="251660288" behindDoc="0" locked="0" layoutInCell="1" allowOverlap="1" wp14:anchorId="0CA7C6F9" wp14:editId="49437DAC">
            <wp:simplePos x="0" y="0"/>
            <wp:positionH relativeFrom="margin">
              <wp:posOffset>1150620</wp:posOffset>
            </wp:positionH>
            <wp:positionV relativeFrom="paragraph">
              <wp:posOffset>219075</wp:posOffset>
            </wp:positionV>
            <wp:extent cx="2194560" cy="2068195"/>
            <wp:effectExtent l="0" t="0" r="0" b="8255"/>
            <wp:wrapTopAndBottom/>
            <wp:docPr id="86723154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31548" name=""/>
                    <pic:cNvPicPr/>
                  </pic:nvPicPr>
                  <pic:blipFill rotWithShape="1">
                    <a:blip r:embed="rId16">
                      <a:extLst>
                        <a:ext uri="{28A0092B-C50C-407E-A947-70E740481C1C}">
                          <a14:useLocalDpi xmlns:a14="http://schemas.microsoft.com/office/drawing/2010/main" val="0"/>
                        </a:ext>
                      </a:extLst>
                    </a:blip>
                    <a:srcRect r="10605"/>
                    <a:stretch>
                      <a:fillRect/>
                    </a:stretch>
                  </pic:blipFill>
                  <pic:spPr bwMode="auto">
                    <a:xfrm>
                      <a:off x="0" y="0"/>
                      <a:ext cx="2194560" cy="206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6BF1">
        <w:rPr>
          <w:rFonts w:ascii="Arial" w:hAnsi="Arial" w:cs="Arial"/>
          <w:noProof/>
        </w:rPr>
        <w:drawing>
          <wp:anchor distT="0" distB="0" distL="114300" distR="114300" simplePos="0" relativeHeight="251661312" behindDoc="0" locked="0" layoutInCell="1" allowOverlap="1" wp14:anchorId="0B1602CD" wp14:editId="6207332F">
            <wp:simplePos x="0" y="0"/>
            <wp:positionH relativeFrom="margin">
              <wp:posOffset>3556586</wp:posOffset>
            </wp:positionH>
            <wp:positionV relativeFrom="paragraph">
              <wp:posOffset>198120</wp:posOffset>
            </wp:positionV>
            <wp:extent cx="2206625" cy="2095500"/>
            <wp:effectExtent l="0" t="0" r="3175" b="0"/>
            <wp:wrapTopAndBottom/>
            <wp:docPr id="82961163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11631" name=""/>
                    <pic:cNvPicPr/>
                  </pic:nvPicPr>
                  <pic:blipFill>
                    <a:blip r:embed="rId17">
                      <a:extLst>
                        <a:ext uri="{28A0092B-C50C-407E-A947-70E740481C1C}">
                          <a14:useLocalDpi xmlns:a14="http://schemas.microsoft.com/office/drawing/2010/main" val="0"/>
                        </a:ext>
                      </a:extLst>
                    </a:blip>
                    <a:stretch>
                      <a:fillRect/>
                    </a:stretch>
                  </pic:blipFill>
                  <pic:spPr>
                    <a:xfrm>
                      <a:off x="0" y="0"/>
                      <a:ext cx="2206625" cy="2095500"/>
                    </a:xfrm>
                    <a:prstGeom prst="rect">
                      <a:avLst/>
                    </a:prstGeom>
                  </pic:spPr>
                </pic:pic>
              </a:graphicData>
            </a:graphic>
            <wp14:sizeRelH relativeFrom="margin">
              <wp14:pctWidth>0</wp14:pctWidth>
            </wp14:sizeRelH>
            <wp14:sizeRelV relativeFrom="margin">
              <wp14:pctHeight>0</wp14:pctHeight>
            </wp14:sizeRelV>
          </wp:anchor>
        </w:drawing>
      </w:r>
    </w:p>
    <w:p w14:paraId="73F62CD3" w14:textId="77777777" w:rsidR="00676BF1" w:rsidRDefault="00676BF1" w:rsidP="00441B6F">
      <w:pPr>
        <w:pStyle w:val="Body"/>
        <w:spacing w:after="0"/>
        <w:rPr>
          <w:rFonts w:ascii="Arial" w:hAnsi="Arial" w:cs="Arial"/>
        </w:rPr>
      </w:pPr>
    </w:p>
    <w:p w14:paraId="78AC6119" w14:textId="60DC5534" w:rsidR="00676BF1" w:rsidRPr="008247A6" w:rsidRDefault="00676BF1" w:rsidP="00676BF1">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676BF1">
        <w:rPr>
          <w:rFonts w:ascii="Arial" w:hAnsi="Arial" w:cs="Arial"/>
          <w:b/>
          <w:bCs/>
          <w:szCs w:val="22"/>
        </w:rPr>
        <w:t xml:space="preserve">Coronary angiography demonstrating normal coronary arteries, excluding ischemic etiology for the atrioventricular </w:t>
      </w:r>
      <w:r>
        <w:rPr>
          <w:rFonts w:ascii="Arial" w:hAnsi="Arial" w:cs="Arial"/>
          <w:b/>
          <w:bCs/>
          <w:szCs w:val="22"/>
        </w:rPr>
        <w:t xml:space="preserve">(AV) </w:t>
      </w:r>
      <w:r w:rsidRPr="00676BF1">
        <w:rPr>
          <w:rFonts w:ascii="Arial" w:hAnsi="Arial" w:cs="Arial"/>
          <w:b/>
          <w:bCs/>
          <w:szCs w:val="22"/>
        </w:rPr>
        <w:t>block</w:t>
      </w:r>
    </w:p>
    <w:p w14:paraId="4AF0C361" w14:textId="3058D0C9" w:rsidR="00B04781" w:rsidRDefault="00676BF1" w:rsidP="00441B6F">
      <w:pPr>
        <w:pStyle w:val="Body"/>
        <w:spacing w:after="0"/>
        <w:rPr>
          <w:rFonts w:ascii="Arial" w:hAnsi="Arial" w:cs="Arial"/>
        </w:rPr>
      </w:pPr>
      <w:r w:rsidRPr="0056600A">
        <w:rPr>
          <w:rFonts w:ascii="Arial" w:hAnsi="Arial" w:cs="Arial"/>
          <w:noProof/>
        </w:rPr>
        <w:drawing>
          <wp:anchor distT="0" distB="0" distL="114300" distR="114300" simplePos="0" relativeHeight="251659264" behindDoc="0" locked="0" layoutInCell="1" allowOverlap="1" wp14:anchorId="6F2792E5" wp14:editId="6FE0AFD8">
            <wp:simplePos x="0" y="0"/>
            <wp:positionH relativeFrom="margin">
              <wp:align>center</wp:align>
            </wp:positionH>
            <wp:positionV relativeFrom="paragraph">
              <wp:posOffset>221615</wp:posOffset>
            </wp:positionV>
            <wp:extent cx="1704975" cy="1784350"/>
            <wp:effectExtent l="0" t="0" r="9525" b="6350"/>
            <wp:wrapTopAndBottom/>
            <wp:docPr id="6601265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265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4975" cy="1784350"/>
                    </a:xfrm>
                    <a:prstGeom prst="rect">
                      <a:avLst/>
                    </a:prstGeom>
                  </pic:spPr>
                </pic:pic>
              </a:graphicData>
            </a:graphic>
            <wp14:sizeRelH relativeFrom="margin">
              <wp14:pctWidth>0</wp14:pctWidth>
            </wp14:sizeRelH>
            <wp14:sizeRelV relativeFrom="margin">
              <wp14:pctHeight>0</wp14:pctHeight>
            </wp14:sizeRelV>
          </wp:anchor>
        </w:drawing>
      </w:r>
    </w:p>
    <w:p w14:paraId="54E70DEB" w14:textId="113EC6AF" w:rsidR="00676BF1" w:rsidRDefault="00676BF1" w:rsidP="00441B6F">
      <w:pPr>
        <w:pStyle w:val="Body"/>
        <w:spacing w:after="0"/>
        <w:rPr>
          <w:rFonts w:ascii="Arial" w:hAnsi="Arial" w:cs="Arial"/>
        </w:rPr>
      </w:pPr>
    </w:p>
    <w:p w14:paraId="209E44C5" w14:textId="32431B5D" w:rsidR="00676BF1" w:rsidRDefault="00676BF1" w:rsidP="00441B6F">
      <w:pPr>
        <w:pStyle w:val="Body"/>
        <w:spacing w:after="0"/>
        <w:rPr>
          <w:rFonts w:ascii="Arial" w:hAnsi="Arial" w:cs="Arial"/>
        </w:rPr>
      </w:pPr>
    </w:p>
    <w:p w14:paraId="48B614D5" w14:textId="59D8F195" w:rsidR="0056600A" w:rsidRPr="008247A6" w:rsidRDefault="0056600A" w:rsidP="0056600A">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676BF1">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Pr="0056600A">
        <w:rPr>
          <w:rFonts w:ascii="Arial" w:hAnsi="Arial" w:cs="Arial"/>
          <w:b/>
          <w:bCs/>
          <w:szCs w:val="22"/>
        </w:rPr>
        <w:t>Chest X-ray showing proper lead placement after permanent pacemaker implantation</w:t>
      </w:r>
    </w:p>
    <w:p w14:paraId="3564AA0D" w14:textId="492EBCCA" w:rsidR="001B6D40" w:rsidRDefault="001B6D40" w:rsidP="00441B6F">
      <w:pPr>
        <w:pStyle w:val="Body"/>
        <w:spacing w:after="0"/>
        <w:rPr>
          <w:rFonts w:ascii="Arial" w:hAnsi="Arial" w:cs="Arial"/>
        </w:rPr>
      </w:pPr>
    </w:p>
    <w:p w14:paraId="37767AAE" w14:textId="2394281B" w:rsidR="0056600A" w:rsidRPr="00FB3A86" w:rsidRDefault="0056600A" w:rsidP="00441B6F">
      <w:pPr>
        <w:pStyle w:val="Body"/>
        <w:spacing w:after="0"/>
        <w:rPr>
          <w:rFonts w:ascii="Arial" w:hAnsi="Arial" w:cs="Arial"/>
        </w:rPr>
      </w:pPr>
    </w:p>
    <w:p w14:paraId="4B656B4E" w14:textId="15D69FF0"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discussion</w:t>
      </w:r>
    </w:p>
    <w:p w14:paraId="0CD274DE" w14:textId="3FC0708E" w:rsidR="00790ADA" w:rsidRPr="00FB3A86" w:rsidRDefault="00790ADA" w:rsidP="00441B6F">
      <w:pPr>
        <w:pStyle w:val="Head1"/>
        <w:spacing w:after="0"/>
        <w:jc w:val="both"/>
        <w:rPr>
          <w:rFonts w:ascii="Arial" w:hAnsi="Arial" w:cs="Arial"/>
        </w:rPr>
      </w:pPr>
    </w:p>
    <w:p w14:paraId="413FF394" w14:textId="0AF62A9E" w:rsidR="00340D7F" w:rsidRPr="00EB758C" w:rsidRDefault="000C6D55" w:rsidP="00340D7F">
      <w:pPr>
        <w:spacing w:after="160" w:line="278" w:lineRule="auto"/>
        <w:jc w:val="both"/>
      </w:pPr>
      <w:r w:rsidRPr="000C6D55">
        <w:t xml:space="preserve">This case underscores the </w:t>
      </w:r>
      <w:r w:rsidRPr="00EB61E1">
        <w:rPr>
          <w:rFonts w:ascii="Arial" w:hAnsi="Arial" w:cs="Arial"/>
          <w:lang w:val="en-ID"/>
        </w:rPr>
        <w:t>systemic</w:t>
      </w:r>
      <w:r w:rsidRPr="000C6D55">
        <w:t xml:space="preserve"> cardiovascular risks associated with timolol, a commonly prescribed beta-blocker used for the management of glaucoma. While timolol is an effective treatment for reducing IOP, its non-selective beta-blocking effects can result in unintended cardiac side effects, </w:t>
      </w:r>
      <w:r w:rsidR="00EB61E1">
        <w:t xml:space="preserve">even </w:t>
      </w:r>
      <w:r w:rsidRPr="000C6D55">
        <w:t>in patients with</w:t>
      </w:r>
      <w:r w:rsidR="00EB61E1">
        <w:t>out</w:t>
      </w:r>
      <w:r w:rsidRPr="000C6D55">
        <w:t xml:space="preserve"> pre-existing cardiovascular vulnerabilities. Despite its ocular application, timolol can be absorbed into the bloodstream, where it has the potential to induce bradycardia, hypotension, and in severe cases, AV block, as observed in this patient</w:t>
      </w:r>
      <w:r>
        <w:t xml:space="preserve"> </w:t>
      </w:r>
      <w:sdt>
        <w:sdtPr>
          <w:rPr>
            <w:color w:val="000000"/>
          </w:rPr>
          <w:tag w:val="MENDELEY_CITATION_v3_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"/>
          <w:id w:val="-637957279"/>
          <w:placeholder>
            <w:docPart w:val="DefaultPlaceholder_-1854013440"/>
          </w:placeholder>
        </w:sdtPr>
        <w:sdtEndPr/>
        <w:sdtContent>
          <w:r w:rsidR="003047A6" w:rsidRPr="003047A6">
            <w:rPr>
              <w:color w:val="000000"/>
            </w:rPr>
            <w:t>(Bonnin et al., 2012; Uusitalo et al., 2005)</w:t>
          </w:r>
        </w:sdtContent>
      </w:sdt>
      <w:r w:rsidR="00340D7F" w:rsidRPr="00EB758C">
        <w:t>.</w:t>
      </w:r>
      <w:r>
        <w:t xml:space="preserve"> </w:t>
      </w:r>
      <w:r w:rsidRPr="000C6D55">
        <w:t>This case highlights the need for clinicians to be aware of the systemic effects of ocular medications.</w:t>
      </w:r>
    </w:p>
    <w:p w14:paraId="4D7054E6" w14:textId="51501270" w:rsidR="00340D7F" w:rsidRDefault="000C6D55" w:rsidP="00340D7F">
      <w:pPr>
        <w:spacing w:after="160" w:line="278" w:lineRule="auto"/>
        <w:jc w:val="both"/>
      </w:pPr>
      <w:r w:rsidRPr="000C6D55">
        <w:t xml:space="preserve">Timolol works by blocking both β1 and β2 adrenergic receptors, primarily affecting the heart's electrical conduction system through its action on the AV node. In susceptible individuals, this blockade can slow or completely block the electrical impulses between the atria and ventricles, leading to high-degree AV block </w:t>
      </w:r>
      <w:sdt>
        <w:sdtPr>
          <w:rPr>
            <w:color w:val="000000"/>
          </w:rPr>
          <w:tag w:val="MENDELEY_CITATION_v3_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"/>
          <w:id w:val="-27254373"/>
          <w:placeholder>
            <w:docPart w:val="DefaultPlaceholder_-1854013440"/>
          </w:placeholder>
        </w:sdtPr>
        <w:sdtEndPr/>
        <w:sdtContent>
          <w:r w:rsidR="003047A6" w:rsidRPr="003047A6">
            <w:rPr>
              <w:color w:val="000000"/>
            </w:rPr>
            <w:t>(Pratt et al., 2015)</w:t>
          </w:r>
        </w:sdtContent>
      </w:sdt>
      <w:r w:rsidR="00340D7F" w:rsidRPr="00EB758C">
        <w:t>.</w:t>
      </w:r>
      <w:r>
        <w:t xml:space="preserve"> </w:t>
      </w:r>
      <w:r w:rsidRPr="000C6D55">
        <w:t xml:space="preserve">In this case, the patient had no prior cardiac symptoms or risk factors for AV block, yet after starting timolol therapy, she developed a complete AV block with hemodynamic instability. This emphasizes the need for caution when prescribing beta-blockers to patients </w:t>
      </w:r>
      <w:r w:rsidR="00EB61E1">
        <w:t xml:space="preserve">even </w:t>
      </w:r>
      <w:r w:rsidRPr="000C6D55">
        <w:t>with</w:t>
      </w:r>
      <w:r w:rsidR="00EB61E1">
        <w:t>out</w:t>
      </w:r>
      <w:r w:rsidRPr="000C6D55">
        <w:t xml:space="preserve"> cardiovascular risk factors, as even topical medications like timolol can lead to systemic effects</w:t>
      </w:r>
      <w:r w:rsidR="00EB61E1">
        <w:t xml:space="preserve"> </w:t>
      </w:r>
      <w:sdt>
        <w:sdtPr>
          <w:rPr>
            <w:color w:val="000000"/>
          </w:rPr>
          <w:tag w:val="MENDELEY_CITATION_v3_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"/>
          <w:id w:val="205533693"/>
          <w:placeholder>
            <w:docPart w:val="DefaultPlaceholder_-1854013440"/>
          </w:placeholder>
        </w:sdtPr>
        <w:sdtEndPr/>
        <w:sdtContent>
          <w:r w:rsidR="003047A6" w:rsidRPr="003047A6">
            <w:rPr>
              <w:color w:val="000000"/>
            </w:rPr>
            <w:t>(Wang et al., 2019)</w:t>
          </w:r>
        </w:sdtContent>
      </w:sdt>
      <w:r w:rsidR="00EB61E1">
        <w:rPr>
          <w:color w:val="000000"/>
        </w:rPr>
        <w:t>.</w:t>
      </w:r>
    </w:p>
    <w:p w14:paraId="3972CAB6" w14:textId="6F2226BA" w:rsidR="000C6D55" w:rsidRPr="00EB758C" w:rsidRDefault="000C6D55" w:rsidP="00340D7F">
      <w:pPr>
        <w:spacing w:after="160" w:line="278" w:lineRule="auto"/>
        <w:jc w:val="both"/>
      </w:pPr>
      <w:r w:rsidRPr="000C6D55">
        <w:t>The diagnosis of medication-induced AV block was supported by the patient's presentation and a thorough workup. Electrolyte imbalances, renal and thyroid function abnormalities, and coronary artery disease were ruled out by normal laboratory results and a coronary angiogram. This highlights the importance of conducting a comprehensive differential diagnosis when evaluating patients with AV block, particularly in those with complex medical histories. While ischemic heart disease is a common cause of AV block, this patient's negative coronary angiogram and lack of significant cardiac risk factors pointed towards timolol as the likely etiology</w:t>
      </w:r>
      <w:r w:rsidR="003047A6">
        <w:t>.</w:t>
      </w:r>
      <w:r>
        <w:t xml:space="preserve"> </w:t>
      </w:r>
      <w:r w:rsidRPr="000C6D55">
        <w:t>The absence of other contributing factors reinforces the need for clinicians to consider the systemic effects of ocular medications in their diagnostic approach.</w:t>
      </w:r>
    </w:p>
    <w:p w14:paraId="6975D71D" w14:textId="6AFAD78F" w:rsidR="00340D7F" w:rsidRDefault="000C6D55" w:rsidP="00340D7F">
      <w:pPr>
        <w:spacing w:after="160" w:line="278" w:lineRule="auto"/>
        <w:jc w:val="both"/>
      </w:pPr>
      <w:r w:rsidRPr="000C6D55">
        <w:t xml:space="preserve">The patient's hemodynamic instability and persistent bradycardia necessitated immediate intervention with a TPM. Temporary pacing is commonly used in cases of high-degree AV block to stabilize the patient while the underlying cause is addressed. In this case, the patient was closely monitored in the </w:t>
      </w:r>
      <w:proofErr w:type="spellStart"/>
      <w:r w:rsidRPr="000C6D55">
        <w:t>iCVCU</w:t>
      </w:r>
      <w:proofErr w:type="spellEnd"/>
      <w:r w:rsidRPr="000C6D55">
        <w:t>, where her condition remained stable with temporary pacing. However, the persistence of complete AV block despite temporary pacing led to the decision to implant a permanent pacemaker. Permanent pacemaker implantation is often recommended for patients with persistent or recurrent high-degree AV block, especially when the cause is irreversible or requires long-term management</w:t>
      </w:r>
      <w:r w:rsidR="003047A6">
        <w:t xml:space="preserve"> </w:t>
      </w:r>
      <w:sdt>
        <w:sdtPr>
          <w:rPr>
            <w:color w:val="000000"/>
          </w:rPr>
          <w:tag w:val="MENDELEY_CITATION_v3_eyJjaXRhdGlvbklEIjoiTUVOREVMRVlfQ0lUQVRJT05fOTJjYzFiMWYtN2IzMC00OGY4LWI2ODQtNDM4MjgyNDM3MjUw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
          <w:id w:val="-1348635893"/>
          <w:placeholder>
            <w:docPart w:val="DefaultPlaceholder_-1854013440"/>
          </w:placeholder>
        </w:sdtPr>
        <w:sdtEndPr/>
        <w:sdtContent>
          <w:r w:rsidR="003047A6" w:rsidRPr="003047A6">
            <w:rPr>
              <w:color w:val="000000"/>
            </w:rPr>
            <w:t>(Özcan et al., 2015)</w:t>
          </w:r>
        </w:sdtContent>
      </w:sdt>
      <w:r w:rsidR="003047A6">
        <w:t>.</w:t>
      </w:r>
      <w:r>
        <w:t xml:space="preserve"> </w:t>
      </w:r>
      <w:r w:rsidRPr="000C6D55">
        <w:t>The patient responded well to the pacemaker, with stable pacing capture and no further arrhythmias or syncope.</w:t>
      </w:r>
    </w:p>
    <w:p w14:paraId="6A6F92D9" w14:textId="541291F3" w:rsidR="000C6D55" w:rsidRDefault="000C6D55" w:rsidP="00340D7F">
      <w:pPr>
        <w:spacing w:after="160" w:line="278" w:lineRule="auto"/>
        <w:jc w:val="both"/>
      </w:pPr>
      <w:r w:rsidRPr="000C6D55">
        <w:t>While timolol is a mainstay in glaucoma treatment, alternative therapies with fewer systemic side effects, such as prostaglandin analogs (e.g., latanoprost), may be more appropriate for patients with cardiovascular risk factors. Prostaglandin analogs offer effective IOP control with minimal systemic absorption and a lower risk of cardiovascular side effects compared to beta-blockers</w:t>
      </w:r>
      <w:r>
        <w:t xml:space="preserve"> </w:t>
      </w:r>
      <w:sdt>
        <w:sdtPr>
          <w:rPr>
            <w:color w:val="000000"/>
          </w:rPr>
          <w:tag w:val="MENDELEY_CITATION_v3_eyJjaXRhdGlvbklEIjoiTUVOREVMRVlfQ0lUQVRJT05fMjAzYjA5Y2EtOTRjYi00MjNmLTgyMGEtYjBmNjI0N2FhYTQ5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
          <w:id w:val="-636886330"/>
          <w:placeholder>
            <w:docPart w:val="DefaultPlaceholder_-1854013440"/>
          </w:placeholder>
        </w:sdtPr>
        <w:sdtEndPr/>
        <w:sdtContent>
          <w:r w:rsidR="003047A6" w:rsidRPr="003047A6">
            <w:rPr>
              <w:color w:val="000000"/>
            </w:rPr>
            <w:t>(Özcan et al., 2015)</w:t>
          </w:r>
        </w:sdtContent>
      </w:sdt>
      <w:r w:rsidR="003047A6">
        <w:t>.</w:t>
      </w:r>
      <w:r>
        <w:t xml:space="preserve"> </w:t>
      </w:r>
      <w:r w:rsidRPr="000C6D55">
        <w:t>This case raises the question of how best to manage glaucoma in patients with cardiovascular comorbidities. A more individualized approach is required to ensure both the effective management of glaucoma and the prevention of medication-induced side effects. In this patient, the continued use of timolol posed a significant risk, and a switch to alternative glaucoma medications may have been considered to reduce the likelihood of future cardiac complications.</w:t>
      </w:r>
    </w:p>
    <w:p w14:paraId="4298DA1E" w14:textId="3C525D55" w:rsidR="000C6D55" w:rsidRDefault="000C6D55" w:rsidP="00340D7F">
      <w:pPr>
        <w:spacing w:after="160" w:line="278" w:lineRule="auto"/>
        <w:jc w:val="both"/>
      </w:pPr>
      <w:r w:rsidRPr="000C6D55">
        <w:t>This case highlights the importance of a multidisciplinary approach in managing complex cases involving both ophthalmologic and cardiovascular concerns. Coordination between cardiology, ophthalmology, and critical care teams was essential in determining the most appropriate treatment plan for the patient. Shared decision-making, where the risks and benefits of each treatment option are discussed with the patient, ensures that care is aligned with the patient’s values and goals</w:t>
      </w:r>
      <w:r>
        <w:t xml:space="preserve"> </w:t>
      </w:r>
      <w:sdt>
        <w:sdtPr>
          <w:rPr>
            <w:color w:val="000000"/>
          </w:rPr>
          <w:tag w:val="MENDELEY_CITATION_v3_eyJjaXRhdGlvbklEIjoiTUVOREVMRVlfQ0lUQVRJT05fMDA3MDMzMzktMzI2Mi00NzM3LTljZDUtMGY5NjUxZWIzODBk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
          <w:id w:val="-1785958502"/>
          <w:placeholder>
            <w:docPart w:val="DefaultPlaceholder_-1854013440"/>
          </w:placeholder>
        </w:sdtPr>
        <w:sdtEndPr/>
        <w:sdtContent>
          <w:r w:rsidR="003047A6" w:rsidRPr="003047A6">
            <w:rPr>
              <w:color w:val="000000"/>
            </w:rPr>
            <w:t>(Özcan et al., 2015)</w:t>
          </w:r>
        </w:sdtContent>
      </w:sdt>
      <w:r w:rsidR="003047A6">
        <w:t>.</w:t>
      </w:r>
      <w:r>
        <w:t xml:space="preserve"> </w:t>
      </w:r>
      <w:r w:rsidRPr="000C6D55">
        <w:t>This approach not only enhances patient safety but also ensures that all aspects of the patient's care are addressed comprehensively.</w:t>
      </w:r>
    </w:p>
    <w:p w14:paraId="5932402D" w14:textId="7569976F" w:rsidR="00E053D0" w:rsidRDefault="000C6D55" w:rsidP="000C6D55">
      <w:pPr>
        <w:spacing w:after="160" w:line="278" w:lineRule="auto"/>
        <w:jc w:val="both"/>
        <w:rPr>
          <w:rFonts w:ascii="Arial" w:hAnsi="Arial" w:cs="Arial"/>
        </w:rPr>
      </w:pPr>
      <w:r w:rsidRPr="000C6D55">
        <w:t>This case also raises important ethical considerations regarding the management of medication-induced side effects. The decision to continue timolol therapy while addressing the AV block with a pacemaker was made after careful consideration of the risks and benefits. Patients with chronic conditions like glaucoma often face difficult decisions about their treatment regimens, and it is essential to provide them with clear, comprehensive information about the potential risks and alternatives. In this case, patient-centered care and shared decision-making were critical in determining the best course of action for both managing glaucoma and minimizing the risk of further cardiac complications</w:t>
      </w:r>
      <w:r w:rsidR="003047A6">
        <w:t>.</w:t>
      </w:r>
    </w:p>
    <w:p w14:paraId="77D4D87C" w14:textId="77777777" w:rsidR="00790ADA" w:rsidRDefault="00790ADA" w:rsidP="00441B6F">
      <w:pPr>
        <w:pStyle w:val="Body"/>
        <w:spacing w:after="0"/>
        <w:rPr>
          <w:rFonts w:ascii="Arial" w:hAnsi="Arial" w:cs="Arial"/>
        </w:rPr>
      </w:pPr>
    </w:p>
    <w:p w14:paraId="0DFD2CF0" w14:textId="77777777" w:rsidR="00B04781" w:rsidRPr="00FB3A86" w:rsidRDefault="00B04781" w:rsidP="00441B6F">
      <w:pPr>
        <w:pStyle w:val="Body"/>
        <w:spacing w:after="0"/>
        <w:rPr>
          <w:rFonts w:ascii="Arial" w:hAnsi="Arial" w:cs="Arial"/>
        </w:rPr>
      </w:pPr>
    </w:p>
    <w:p w14:paraId="3B81FA9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4776247" w14:textId="77777777" w:rsidR="00790ADA" w:rsidRPr="00FB3A86" w:rsidRDefault="00790ADA" w:rsidP="00441B6F">
      <w:pPr>
        <w:pStyle w:val="ConcHead"/>
        <w:spacing w:after="0"/>
        <w:jc w:val="both"/>
        <w:rPr>
          <w:rFonts w:ascii="Arial" w:hAnsi="Arial" w:cs="Arial"/>
        </w:rPr>
      </w:pPr>
    </w:p>
    <w:p w14:paraId="7301F516" w14:textId="3F388DE4" w:rsidR="00B01FCD" w:rsidRPr="000C6D55" w:rsidRDefault="000C6D55" w:rsidP="000C6D55">
      <w:pPr>
        <w:spacing w:after="160" w:line="278" w:lineRule="auto"/>
        <w:jc w:val="both"/>
      </w:pPr>
      <w:r w:rsidRPr="000C6D55">
        <w:t>Timolol, while effective in managing glaucoma, can have serious cardiovascular side effects, including AV block, particularly in patients with pre-existing cardiovascular risk factors. This case highlights the need for clinicians to be vigilant in monitoring for medication-induced side effects, even with topical medications like timolol. A comprehensive and multidisciplinary approach to patient care, along with a careful evaluation of the risks and benefits of treatment options, is essential for optimizing outcomes. Given the potential for serious adverse effects, clinicians should consider alternative glaucoma medications for patients at high risk for cardiovascular complications, ensuring that both ocular and systemic health are carefully managed.</w:t>
      </w:r>
    </w:p>
    <w:p w14:paraId="2D244F25" w14:textId="77777777" w:rsidR="00790ADA" w:rsidRPr="00FB3A86" w:rsidRDefault="00790ADA" w:rsidP="00441B6F">
      <w:pPr>
        <w:pStyle w:val="Body"/>
        <w:spacing w:after="0"/>
        <w:rPr>
          <w:rFonts w:ascii="Arial" w:hAnsi="Arial" w:cs="Arial"/>
        </w:rPr>
      </w:pPr>
    </w:p>
    <w:p w14:paraId="5EBBE5E4" w14:textId="7161EE2B" w:rsidR="002B685A" w:rsidRDefault="002B685A" w:rsidP="00441B6F">
      <w:pPr>
        <w:pStyle w:val="ReferHead"/>
        <w:spacing w:after="0"/>
        <w:jc w:val="both"/>
        <w:rPr>
          <w:rFonts w:ascii="Arial" w:hAnsi="Arial" w:cs="Arial"/>
          <w:bCs/>
        </w:rPr>
      </w:pPr>
      <w:r w:rsidRPr="002B685A">
        <w:rPr>
          <w:rFonts w:ascii="Arial" w:hAnsi="Arial" w:cs="Arial"/>
          <w:bCs/>
        </w:rPr>
        <w:t>Consent</w:t>
      </w:r>
    </w:p>
    <w:p w14:paraId="696F3883" w14:textId="77777777" w:rsidR="002B685A" w:rsidRPr="00340D7F" w:rsidRDefault="002B685A" w:rsidP="00441B6F">
      <w:pPr>
        <w:pStyle w:val="ReferHead"/>
        <w:spacing w:after="0"/>
        <w:jc w:val="both"/>
        <w:rPr>
          <w:rFonts w:ascii="Arial" w:hAnsi="Arial" w:cs="Arial"/>
          <w:bCs/>
        </w:rPr>
      </w:pPr>
    </w:p>
    <w:p w14:paraId="5112B792" w14:textId="33533E60" w:rsidR="001A29D8" w:rsidRDefault="00340D7F" w:rsidP="00441B6F">
      <w:pPr>
        <w:pStyle w:val="ReferHead"/>
        <w:spacing w:after="0"/>
        <w:jc w:val="both"/>
        <w:rPr>
          <w:rFonts w:ascii="Arial" w:hAnsi="Arial" w:cs="Arial"/>
          <w:b w:val="0"/>
          <w:caps w:val="0"/>
          <w:sz w:val="20"/>
        </w:rPr>
      </w:pPr>
      <w:r w:rsidRPr="00340D7F">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r>
        <w:rPr>
          <w:rFonts w:ascii="Arial" w:hAnsi="Arial" w:cs="Arial"/>
          <w:b w:val="0"/>
          <w:caps w:val="0"/>
          <w:sz w:val="20"/>
        </w:rPr>
        <w:t>.</w:t>
      </w:r>
    </w:p>
    <w:p w14:paraId="18DCA877" w14:textId="77777777" w:rsidR="00340D7F" w:rsidRDefault="00340D7F" w:rsidP="00441B6F">
      <w:pPr>
        <w:pStyle w:val="ReferHead"/>
        <w:spacing w:after="0"/>
        <w:jc w:val="both"/>
        <w:rPr>
          <w:rFonts w:ascii="Arial" w:hAnsi="Arial" w:cs="Arial"/>
          <w:b w:val="0"/>
          <w:caps w:val="0"/>
          <w:sz w:val="20"/>
        </w:rPr>
      </w:pPr>
    </w:p>
    <w:p w14:paraId="5619314E" w14:textId="77777777" w:rsidR="005C784C" w:rsidRDefault="005C784C" w:rsidP="00441B6F">
      <w:pPr>
        <w:pStyle w:val="ReferHead"/>
        <w:spacing w:after="0"/>
        <w:jc w:val="both"/>
        <w:rPr>
          <w:rFonts w:ascii="Arial" w:hAnsi="Arial" w:cs="Arial"/>
          <w:b w:val="0"/>
          <w:caps w:val="0"/>
          <w:sz w:val="20"/>
        </w:rPr>
      </w:pPr>
    </w:p>
    <w:p w14:paraId="1F85724D" w14:textId="2553433A" w:rsidR="005C784C" w:rsidRDefault="005C784C" w:rsidP="00441B6F">
      <w:pPr>
        <w:pStyle w:val="ReferHead"/>
        <w:spacing w:after="0"/>
        <w:jc w:val="both"/>
        <w:rPr>
          <w:rFonts w:ascii="Arial" w:hAnsi="Arial" w:cs="Arial"/>
          <w:bCs/>
        </w:rPr>
      </w:pPr>
      <w:r>
        <w:rPr>
          <w:rFonts w:ascii="Arial" w:hAnsi="Arial" w:cs="Arial"/>
          <w:bCs/>
        </w:rPr>
        <w:t>Ethical approval</w:t>
      </w:r>
    </w:p>
    <w:p w14:paraId="5D7EBC34" w14:textId="77777777" w:rsidR="005C784C" w:rsidRPr="002B685A" w:rsidRDefault="005C784C" w:rsidP="00441B6F">
      <w:pPr>
        <w:pStyle w:val="ReferHead"/>
        <w:spacing w:after="0"/>
        <w:jc w:val="both"/>
        <w:rPr>
          <w:rFonts w:ascii="Arial" w:hAnsi="Arial" w:cs="Arial"/>
          <w:bCs/>
        </w:rPr>
      </w:pPr>
    </w:p>
    <w:p w14:paraId="38679F85" w14:textId="6476206C" w:rsidR="0041027F" w:rsidRDefault="00340D7F" w:rsidP="00441B6F">
      <w:pPr>
        <w:pStyle w:val="ReferHead"/>
        <w:spacing w:after="0"/>
        <w:jc w:val="both"/>
        <w:rPr>
          <w:rFonts w:ascii="Arial" w:hAnsi="Arial" w:cs="Arial"/>
          <w:b w:val="0"/>
          <w:caps w:val="0"/>
          <w:sz w:val="20"/>
        </w:rPr>
      </w:pPr>
      <w:r>
        <w:rPr>
          <w:rFonts w:ascii="Arial" w:hAnsi="Arial" w:cs="Arial"/>
          <w:b w:val="0"/>
          <w:caps w:val="0"/>
          <w:sz w:val="20"/>
        </w:rPr>
        <w:t>It is not applicable.</w:t>
      </w:r>
    </w:p>
    <w:p w14:paraId="5ACC899A" w14:textId="77777777" w:rsidR="00004375" w:rsidRDefault="00004375" w:rsidP="00441B6F">
      <w:pPr>
        <w:pStyle w:val="ReferHead"/>
        <w:spacing w:after="0"/>
        <w:jc w:val="both"/>
        <w:rPr>
          <w:rFonts w:ascii="Arial" w:hAnsi="Arial" w:cs="Arial"/>
          <w:b w:val="0"/>
          <w:caps w:val="0"/>
          <w:sz w:val="20"/>
        </w:rPr>
      </w:pPr>
    </w:p>
    <w:p w14:paraId="0BE8F7A7" w14:textId="77777777" w:rsidR="00004375" w:rsidRDefault="00004375" w:rsidP="00004375">
      <w:pPr>
        <w:pStyle w:val="DefAcrHead"/>
        <w:spacing w:after="0"/>
        <w:jc w:val="both"/>
        <w:rPr>
          <w:rFonts w:ascii="Arial" w:hAnsi="Arial" w:cs="Arial"/>
        </w:rPr>
      </w:pPr>
      <w:r w:rsidRPr="00FB3A86">
        <w:rPr>
          <w:rFonts w:ascii="Arial" w:hAnsi="Arial" w:cs="Arial"/>
        </w:rPr>
        <w:t>Abbreviations</w:t>
      </w:r>
    </w:p>
    <w:p w14:paraId="037178E5" w14:textId="77777777" w:rsidR="00004375" w:rsidRPr="00FB3A86" w:rsidRDefault="00004375" w:rsidP="00004375">
      <w:pPr>
        <w:pStyle w:val="Body"/>
        <w:spacing w:after="0"/>
        <w:rPr>
          <w:rFonts w:ascii="Arial" w:hAnsi="Arial" w:cs="Arial"/>
          <w:sz w:val="24"/>
        </w:rPr>
      </w:pPr>
    </w:p>
    <w:p w14:paraId="333797A6" w14:textId="77777777" w:rsidR="00004375" w:rsidRDefault="00004375" w:rsidP="00004375">
      <w:pPr>
        <w:pStyle w:val="Body"/>
        <w:spacing w:after="0"/>
        <w:rPr>
          <w:rFonts w:ascii="Arial" w:hAnsi="Arial" w:cs="Arial"/>
        </w:rPr>
      </w:pPr>
      <w:r w:rsidRPr="00B04781">
        <w:rPr>
          <w:rFonts w:ascii="Arial" w:hAnsi="Arial" w:cs="Arial"/>
          <w:bCs/>
        </w:rPr>
        <w:t>AV</w:t>
      </w:r>
      <w:r w:rsidRPr="00FB3A86">
        <w:rPr>
          <w:rFonts w:ascii="Arial" w:hAnsi="Arial" w:cs="Arial"/>
        </w:rPr>
        <w:t xml:space="preserve">: </w:t>
      </w:r>
      <w:r>
        <w:rPr>
          <w:rFonts w:ascii="Arial" w:hAnsi="Arial" w:cs="Arial"/>
        </w:rPr>
        <w:t>Atrioventricular</w:t>
      </w:r>
    </w:p>
    <w:p w14:paraId="76C18674" w14:textId="77777777" w:rsidR="00004375" w:rsidRPr="001B7C66" w:rsidRDefault="00004375" w:rsidP="00004375">
      <w:pPr>
        <w:pStyle w:val="Body"/>
        <w:spacing w:after="0"/>
      </w:pPr>
      <w:r w:rsidRPr="00DC78F3">
        <w:t>ED</w:t>
      </w:r>
      <w:r>
        <w:t>:</w:t>
      </w:r>
      <w:r w:rsidRPr="001B7C66">
        <w:t xml:space="preserve"> </w:t>
      </w:r>
      <w:r>
        <w:t>E</w:t>
      </w:r>
      <w:r w:rsidRPr="00DC78F3">
        <w:t xml:space="preserve">mergency </w:t>
      </w:r>
      <w:r>
        <w:t>D</w:t>
      </w:r>
      <w:r w:rsidRPr="00DC78F3">
        <w:t>epartment</w:t>
      </w:r>
    </w:p>
    <w:p w14:paraId="79501775" w14:textId="77777777" w:rsidR="00004375" w:rsidRDefault="00004375" w:rsidP="00004375">
      <w:pPr>
        <w:pStyle w:val="Body"/>
        <w:spacing w:after="0"/>
        <w:rPr>
          <w:rFonts w:ascii="Arial" w:hAnsi="Arial" w:cs="Arial"/>
        </w:rPr>
      </w:pPr>
      <w:r>
        <w:rPr>
          <w:rFonts w:ascii="Arial" w:hAnsi="Arial" w:cs="Arial"/>
        </w:rPr>
        <w:t>TPM: Temporary Transvenous Pacemaker</w:t>
      </w:r>
    </w:p>
    <w:p w14:paraId="10A0E582" w14:textId="77777777" w:rsidR="00004375" w:rsidRDefault="00004375" w:rsidP="00004375">
      <w:pPr>
        <w:pStyle w:val="Body"/>
        <w:spacing w:after="0"/>
        <w:rPr>
          <w:rFonts w:ascii="Arial" w:hAnsi="Arial" w:cs="Arial"/>
        </w:rPr>
      </w:pPr>
      <w:proofErr w:type="spellStart"/>
      <w:r>
        <w:rPr>
          <w:rFonts w:ascii="Arial" w:hAnsi="Arial" w:cs="Arial"/>
        </w:rPr>
        <w:t>iCVCU</w:t>
      </w:r>
      <w:proofErr w:type="spellEnd"/>
      <w:r>
        <w:rPr>
          <w:rFonts w:ascii="Arial" w:hAnsi="Arial" w:cs="Arial"/>
        </w:rPr>
        <w:t>: Intensive Cardiovascular Care Unit</w:t>
      </w:r>
    </w:p>
    <w:p w14:paraId="07916567" w14:textId="77777777" w:rsidR="00004375" w:rsidRDefault="00004375" w:rsidP="00004375">
      <w:pPr>
        <w:pStyle w:val="Body"/>
        <w:spacing w:after="0"/>
        <w:rPr>
          <w:rFonts w:ascii="Arial" w:hAnsi="Arial" w:cs="Arial"/>
          <w:lang w:val="en-ID"/>
        </w:rPr>
      </w:pPr>
      <w:r>
        <w:rPr>
          <w:rFonts w:ascii="Arial" w:hAnsi="Arial" w:cs="Arial"/>
        </w:rPr>
        <w:t xml:space="preserve">IOP: </w:t>
      </w:r>
      <w:r>
        <w:rPr>
          <w:rFonts w:ascii="Arial" w:hAnsi="Arial" w:cs="Arial"/>
          <w:lang w:val="en-ID"/>
        </w:rPr>
        <w:t>I</w:t>
      </w:r>
      <w:r w:rsidRPr="00340D7F">
        <w:rPr>
          <w:rFonts w:ascii="Arial" w:hAnsi="Arial" w:cs="Arial"/>
          <w:lang w:val="en-ID"/>
        </w:rPr>
        <w:t xml:space="preserve">ntraocular </w:t>
      </w:r>
      <w:r>
        <w:rPr>
          <w:rFonts w:ascii="Arial" w:hAnsi="Arial" w:cs="Arial"/>
          <w:lang w:val="en-ID"/>
        </w:rPr>
        <w:t>P</w:t>
      </w:r>
      <w:r w:rsidRPr="00340D7F">
        <w:rPr>
          <w:rFonts w:ascii="Arial" w:hAnsi="Arial" w:cs="Arial"/>
          <w:lang w:val="en-ID"/>
        </w:rPr>
        <w:t>ressure</w:t>
      </w:r>
    </w:p>
    <w:p w14:paraId="6FEBC43B" w14:textId="77777777" w:rsidR="00004375" w:rsidRPr="002A0C3A" w:rsidRDefault="00004375" w:rsidP="00004375">
      <w:pPr>
        <w:pStyle w:val="Body"/>
        <w:spacing w:after="0"/>
        <w:rPr>
          <w:rFonts w:ascii="Arial" w:hAnsi="Arial" w:cs="Arial"/>
        </w:rPr>
      </w:pPr>
      <w:r>
        <w:rPr>
          <w:rFonts w:ascii="Arial" w:hAnsi="Arial" w:cs="Arial"/>
        </w:rPr>
        <w:t xml:space="preserve">ECG: </w:t>
      </w:r>
      <w:r w:rsidRPr="000764A1">
        <w:rPr>
          <w:rFonts w:ascii="Arial" w:hAnsi="Arial" w:cs="Arial"/>
        </w:rPr>
        <w:t>Electrocardiogram</w:t>
      </w:r>
    </w:p>
    <w:p w14:paraId="2F5FDE89" w14:textId="77777777" w:rsidR="00004375" w:rsidRDefault="00004375" w:rsidP="00441B6F">
      <w:pPr>
        <w:pStyle w:val="ReferHead"/>
        <w:spacing w:after="0"/>
        <w:jc w:val="both"/>
        <w:rPr>
          <w:rFonts w:ascii="Arial" w:hAnsi="Arial" w:cs="Arial"/>
          <w:b w:val="0"/>
          <w:caps w:val="0"/>
          <w:sz w:val="20"/>
        </w:rPr>
      </w:pPr>
    </w:p>
    <w:p w14:paraId="1A96A551" w14:textId="77777777" w:rsidR="00340D7F" w:rsidRPr="00F469F0" w:rsidRDefault="00340D7F" w:rsidP="00441B6F">
      <w:pPr>
        <w:pStyle w:val="ReferHead"/>
        <w:spacing w:after="0"/>
        <w:jc w:val="both"/>
        <w:rPr>
          <w:rFonts w:ascii="Arial" w:hAnsi="Arial" w:cs="Arial"/>
          <w:b w:val="0"/>
          <w:caps w:val="0"/>
          <w:sz w:val="20"/>
          <w:u w:val="single"/>
        </w:rPr>
      </w:pPr>
    </w:p>
    <w:p w14:paraId="7A5F70B4" w14:textId="77777777" w:rsidR="00860000" w:rsidRDefault="00860000" w:rsidP="00441B6F">
      <w:pPr>
        <w:pStyle w:val="ReferHead"/>
        <w:spacing w:after="0"/>
        <w:jc w:val="both"/>
        <w:rPr>
          <w:rFonts w:ascii="Arial" w:hAnsi="Arial" w:cs="Arial"/>
        </w:rPr>
      </w:pPr>
    </w:p>
    <w:p w14:paraId="3A739CD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05553F5" w14:textId="77777777" w:rsidR="00790ADA" w:rsidRDefault="00790ADA" w:rsidP="00441B6F">
      <w:pPr>
        <w:pStyle w:val="ReferHead"/>
        <w:spacing w:after="0"/>
        <w:jc w:val="both"/>
        <w:rPr>
          <w:rFonts w:ascii="Arial" w:hAnsi="Arial" w:cs="Arial"/>
        </w:rPr>
      </w:pPr>
    </w:p>
    <w:sdt>
      <w:sdtPr>
        <w:rPr>
          <w:rFonts w:ascii="Arial" w:hAnsi="Arial" w:cs="Arial"/>
          <w:b/>
          <w:caps/>
          <w:color w:val="000000"/>
          <w:sz w:val="22"/>
        </w:rPr>
        <w:tag w:val="MENDELEY_BIBLIOGRAPHY"/>
        <w:id w:val="-445927664"/>
        <w:placeholder>
          <w:docPart w:val="DefaultPlaceholder_-1854013440"/>
        </w:placeholder>
      </w:sdtPr>
      <w:sdtEndPr/>
      <w:sdtContent>
        <w:p w14:paraId="66909528" w14:textId="77777777" w:rsidR="003047A6" w:rsidRDefault="003047A6">
          <w:pPr>
            <w:autoSpaceDE w:val="0"/>
            <w:autoSpaceDN w:val="0"/>
            <w:ind w:hanging="480"/>
            <w:divId w:val="943222052"/>
            <w:rPr>
              <w:sz w:val="24"/>
              <w:szCs w:val="24"/>
            </w:rPr>
          </w:pPr>
          <w:r>
            <w:t xml:space="preserve">Bonnin, N., </w:t>
          </w:r>
          <w:proofErr w:type="spellStart"/>
          <w:r>
            <w:t>Nezzar</w:t>
          </w:r>
          <w:proofErr w:type="spellEnd"/>
          <w:r>
            <w:t xml:space="preserve">, H., Dubray, C., Renault, D., </w:t>
          </w:r>
          <w:proofErr w:type="spellStart"/>
          <w:r>
            <w:t>Olmiere</w:t>
          </w:r>
          <w:proofErr w:type="spellEnd"/>
          <w:r>
            <w:t xml:space="preserve">, C., &amp; </w:t>
          </w:r>
          <w:proofErr w:type="spellStart"/>
          <w:r>
            <w:t>Chiambaretta</w:t>
          </w:r>
          <w:proofErr w:type="spellEnd"/>
          <w:r>
            <w:t xml:space="preserve">, F. (2012). Plasma levels and systemic safety of 0.1% unpreserved Timolol maleate gel, 0.5% Timolol aqueous solution and 0.5% Timolol maleate gel. </w:t>
          </w:r>
          <w:r>
            <w:rPr>
              <w:i/>
              <w:iCs/>
            </w:rPr>
            <w:t xml:space="preserve">Journal </w:t>
          </w:r>
          <w:proofErr w:type="spellStart"/>
          <w:r>
            <w:rPr>
              <w:i/>
              <w:iCs/>
            </w:rPr>
            <w:t>Francais</w:t>
          </w:r>
          <w:proofErr w:type="spellEnd"/>
          <w:r>
            <w:rPr>
              <w:i/>
              <w:iCs/>
            </w:rPr>
            <w:t xml:space="preserve"> </w:t>
          </w:r>
          <w:proofErr w:type="spellStart"/>
          <w:r>
            <w:rPr>
              <w:i/>
              <w:iCs/>
            </w:rPr>
            <w:t>d’Ophtalmologie</w:t>
          </w:r>
          <w:proofErr w:type="spellEnd"/>
          <w:r>
            <w:t xml:space="preserve">, </w:t>
          </w:r>
          <w:r>
            <w:rPr>
              <w:i/>
              <w:iCs/>
            </w:rPr>
            <w:t>35</w:t>
          </w:r>
          <w:r>
            <w:t>(1), 9–16. https://doi.org/10.1016/j.jfo.2011.03.012</w:t>
          </w:r>
        </w:p>
        <w:p w14:paraId="53B6FCE4" w14:textId="77777777" w:rsidR="003047A6" w:rsidRDefault="003047A6">
          <w:pPr>
            <w:autoSpaceDE w:val="0"/>
            <w:autoSpaceDN w:val="0"/>
            <w:ind w:hanging="480"/>
            <w:divId w:val="1385759133"/>
          </w:pPr>
          <w:r>
            <w:t xml:space="preserve">Özcan, K. S., Güngör, B., Osmonov, D., </w:t>
          </w:r>
          <w:proofErr w:type="spellStart"/>
          <w:r>
            <w:t>Tekkeşin</w:t>
          </w:r>
          <w:proofErr w:type="spellEnd"/>
          <w:r>
            <w:t xml:space="preserve">, A. I., Altay, S., Ekmekçi, A., Toprak, E., Yildirim, E., Çalik, N., Alper, A. T., Gürkan, K., &amp; </w:t>
          </w:r>
          <w:proofErr w:type="spellStart"/>
          <w:r>
            <w:t>Erdinler</w:t>
          </w:r>
          <w:proofErr w:type="spellEnd"/>
          <w:r>
            <w:t xml:space="preserve">, I. (2015). Management and outcome of topical beta-blocker-induced atrioventricular block. </w:t>
          </w:r>
          <w:r>
            <w:rPr>
              <w:i/>
              <w:iCs/>
            </w:rPr>
            <w:t>Cardiovascular Journal of Africa</w:t>
          </w:r>
          <w:r>
            <w:t xml:space="preserve">, </w:t>
          </w:r>
          <w:r>
            <w:rPr>
              <w:i/>
              <w:iCs/>
            </w:rPr>
            <w:t>26</w:t>
          </w:r>
          <w:r>
            <w:t>(6), 210–213. https://doi.org/10.5830/CVJA-2015-030</w:t>
          </w:r>
        </w:p>
        <w:p w14:paraId="2E109D1B" w14:textId="77777777" w:rsidR="003047A6" w:rsidRDefault="003047A6">
          <w:pPr>
            <w:autoSpaceDE w:val="0"/>
            <w:autoSpaceDN w:val="0"/>
            <w:ind w:hanging="480"/>
            <w:divId w:val="1362248154"/>
          </w:pPr>
          <w:r>
            <w:t xml:space="preserve">Pratt, N. L., Ramsay, E. N., Kalisch Ellett, L. M., Nguyen, T. A., &amp; Roughead, E. E. (2015). Association between ophthalmic timolol and </w:t>
          </w:r>
          <w:proofErr w:type="spellStart"/>
          <w:r>
            <w:t>hospitalisation</w:t>
          </w:r>
          <w:proofErr w:type="spellEnd"/>
          <w:r>
            <w:t xml:space="preserve"> for bradycardia. </w:t>
          </w:r>
          <w:r>
            <w:rPr>
              <w:i/>
              <w:iCs/>
            </w:rPr>
            <w:t>Journal of Ophthalmology</w:t>
          </w:r>
          <w:r>
            <w:t xml:space="preserve">, </w:t>
          </w:r>
          <w:r>
            <w:rPr>
              <w:i/>
              <w:iCs/>
            </w:rPr>
            <w:t>2015</w:t>
          </w:r>
          <w:r>
            <w:t>. https://doi.org/10.1155/2015/567387</w:t>
          </w:r>
        </w:p>
        <w:p w14:paraId="4E67EC53" w14:textId="77777777" w:rsidR="003047A6" w:rsidRDefault="003047A6">
          <w:pPr>
            <w:autoSpaceDE w:val="0"/>
            <w:autoSpaceDN w:val="0"/>
            <w:ind w:hanging="480"/>
            <w:divId w:val="1218400545"/>
          </w:pPr>
          <w:r>
            <w:t xml:space="preserve">Uusitalo, H., Niño, J., Tahvanainen, K., </w:t>
          </w:r>
          <w:proofErr w:type="spellStart"/>
          <w:r>
            <w:t>Turjanmaa</w:t>
          </w:r>
          <w:proofErr w:type="spellEnd"/>
          <w:r>
            <w:t xml:space="preserve">, V., Ropo, A., </w:t>
          </w:r>
          <w:proofErr w:type="spellStart"/>
          <w:r>
            <w:t>Touminen</w:t>
          </w:r>
          <w:proofErr w:type="spellEnd"/>
          <w:r>
            <w:t xml:space="preserve">, J., &amp; </w:t>
          </w:r>
          <w:proofErr w:type="spellStart"/>
          <w:r>
            <w:t>Kähönen</w:t>
          </w:r>
          <w:proofErr w:type="spellEnd"/>
          <w:r>
            <w:t xml:space="preserve">, M. (2005). Efficacy and systemic side-effects of topical 0.5% timolol aqueous solution and 0.1% timolol hydrogel. </w:t>
          </w:r>
          <w:r>
            <w:rPr>
              <w:i/>
              <w:iCs/>
            </w:rPr>
            <w:t xml:space="preserve">Acta </w:t>
          </w:r>
          <w:proofErr w:type="spellStart"/>
          <w:r>
            <w:rPr>
              <w:i/>
              <w:iCs/>
            </w:rPr>
            <w:t>Ophthalmologica</w:t>
          </w:r>
          <w:proofErr w:type="spellEnd"/>
          <w:r>
            <w:rPr>
              <w:i/>
              <w:iCs/>
            </w:rPr>
            <w:t xml:space="preserve"> </w:t>
          </w:r>
          <w:proofErr w:type="spellStart"/>
          <w:r>
            <w:rPr>
              <w:i/>
              <w:iCs/>
            </w:rPr>
            <w:t>Scandinavica</w:t>
          </w:r>
          <w:proofErr w:type="spellEnd"/>
          <w:r>
            <w:t xml:space="preserve">, </w:t>
          </w:r>
          <w:r>
            <w:rPr>
              <w:i/>
              <w:iCs/>
            </w:rPr>
            <w:t>83</w:t>
          </w:r>
          <w:r>
            <w:t>(6), 723–728. https://doi.org/10.1111/j.1600-0420.2005.00562.x</w:t>
          </w:r>
        </w:p>
        <w:p w14:paraId="03E20BFD" w14:textId="77777777" w:rsidR="003047A6" w:rsidRDefault="003047A6">
          <w:pPr>
            <w:autoSpaceDE w:val="0"/>
            <w:autoSpaceDN w:val="0"/>
            <w:ind w:hanging="480"/>
            <w:divId w:val="2041928189"/>
          </w:pPr>
          <w:r>
            <w:t xml:space="preserve">Wang, Z., Denys, I., Chen, F., Cai, L., Wang, X., Kapusta, D. R., </w:t>
          </w:r>
          <w:proofErr w:type="spellStart"/>
          <w:r>
            <w:t>Lv</w:t>
          </w:r>
          <w:proofErr w:type="spellEnd"/>
          <w:r>
            <w:t xml:space="preserve">, Y., &amp; Gao, J. (2019). Complete atrioventricular block due to timolol eye drops: A case report and literature review. </w:t>
          </w:r>
          <w:r>
            <w:rPr>
              <w:i/>
              <w:iCs/>
            </w:rPr>
            <w:t>BMC Pharmacology and Toxicology</w:t>
          </w:r>
          <w:r>
            <w:t xml:space="preserve">, </w:t>
          </w:r>
          <w:r>
            <w:rPr>
              <w:i/>
              <w:iCs/>
            </w:rPr>
            <w:t>20</w:t>
          </w:r>
          <w:r>
            <w:t>(1). https://doi.org/10.1186/s40360-019-0370-2</w:t>
          </w:r>
        </w:p>
        <w:p w14:paraId="4BC45706" w14:textId="11F2A89A" w:rsidR="00484AD7" w:rsidRPr="00FB3A86" w:rsidRDefault="003047A6" w:rsidP="002A0C3A">
          <w:pPr>
            <w:pStyle w:val="ReferHead"/>
            <w:spacing w:after="0"/>
            <w:ind w:left="426" w:hanging="426"/>
            <w:jc w:val="both"/>
            <w:rPr>
              <w:rFonts w:ascii="Arial" w:hAnsi="Arial" w:cs="Arial"/>
            </w:rPr>
          </w:pPr>
          <w:r>
            <w:t> </w:t>
          </w:r>
        </w:p>
      </w:sdtContent>
    </w:sdt>
    <w:p w14:paraId="3D4E228C" w14:textId="77777777" w:rsidR="00284C4C" w:rsidRPr="00284C4C" w:rsidRDefault="00284C4C" w:rsidP="00441B6F">
      <w:pPr>
        <w:pStyle w:val="Body"/>
        <w:spacing w:after="0"/>
        <w:rPr>
          <w:rFonts w:ascii="Arial" w:hAnsi="Arial" w:cs="Arial"/>
          <w:i/>
          <w:u w:val="single"/>
        </w:rPr>
      </w:pPr>
    </w:p>
    <w:sectPr w:rsidR="00284C4C" w:rsidRPr="00284C4C" w:rsidSect="00ED36BE">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CB4AE" w14:textId="77777777" w:rsidR="00035E7B" w:rsidRDefault="00035E7B" w:rsidP="00C37E61">
      <w:r>
        <w:separator/>
      </w:r>
    </w:p>
  </w:endnote>
  <w:endnote w:type="continuationSeparator" w:id="0">
    <w:p w14:paraId="32141AD3" w14:textId="77777777" w:rsidR="00035E7B" w:rsidRDefault="00035E7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82C8" w14:textId="77777777" w:rsidR="00D013D5" w:rsidRDefault="00D013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79D92" w14:textId="77777777" w:rsidR="00D013D5" w:rsidRDefault="00D01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8CBC0" w14:textId="29AE2A5C" w:rsidR="00754C9A" w:rsidRPr="003D2B09" w:rsidRDefault="00754C9A" w:rsidP="003D2B0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B743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1FA20" w14:textId="77777777" w:rsidR="00035E7B" w:rsidRDefault="00035E7B" w:rsidP="00C37E61">
      <w:r>
        <w:separator/>
      </w:r>
    </w:p>
  </w:footnote>
  <w:footnote w:type="continuationSeparator" w:id="0">
    <w:p w14:paraId="524B9A67" w14:textId="77777777" w:rsidR="00035E7B" w:rsidRDefault="00035E7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F445B" w14:textId="55F92D5D" w:rsidR="00D013D5" w:rsidRDefault="00D013D5">
    <w:pPr>
      <w:pStyle w:val="Header"/>
    </w:pPr>
    <w:r>
      <w:rPr>
        <w:noProof/>
      </w:rPr>
      <w:pict w14:anchorId="57BF0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03265" w14:textId="608A7972" w:rsidR="00D013D5" w:rsidRDefault="00D013D5">
    <w:pPr>
      <w:pStyle w:val="Header"/>
    </w:pPr>
    <w:r>
      <w:rPr>
        <w:noProof/>
      </w:rPr>
      <w:pict w14:anchorId="2EADE7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DDC6D" w14:textId="4A9CFCF3" w:rsidR="00296529" w:rsidRPr="00296529" w:rsidRDefault="00D013D5" w:rsidP="00296529">
    <w:pPr>
      <w:ind w:left="2160"/>
      <w:jc w:val="center"/>
      <w:rPr>
        <w:rFonts w:ascii="Times New Roman" w:eastAsia="Calibri" w:hAnsi="Times New Roman"/>
        <w:i/>
        <w:sz w:val="18"/>
        <w:szCs w:val="22"/>
      </w:rPr>
    </w:pPr>
    <w:r>
      <w:rPr>
        <w:noProof/>
      </w:rPr>
      <w:pict w14:anchorId="5FE0B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D5E0E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C6F5EF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9AB41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FAF2E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A4646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0BF65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3EFC" w14:textId="23D259E1" w:rsidR="00D013D5" w:rsidRDefault="00D013D5">
    <w:pPr>
      <w:pStyle w:val="Header"/>
    </w:pPr>
    <w:r>
      <w:rPr>
        <w:noProof/>
      </w:rPr>
      <w:pict w14:anchorId="1C0FC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0F503" w14:textId="55B42135" w:rsidR="00D013D5" w:rsidRDefault="00D013D5">
    <w:pPr>
      <w:pStyle w:val="Header"/>
    </w:pPr>
    <w:r>
      <w:rPr>
        <w:noProof/>
      </w:rPr>
      <w:pict w14:anchorId="301FF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E912E" w14:textId="41E58E0B" w:rsidR="00D013D5" w:rsidRDefault="00D013D5">
    <w:pPr>
      <w:pStyle w:val="Header"/>
    </w:pPr>
    <w:r>
      <w:rPr>
        <w:noProof/>
      </w:rPr>
      <w:pict w14:anchorId="3C667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375"/>
    <w:rsid w:val="00030174"/>
    <w:rsid w:val="00035E7B"/>
    <w:rsid w:val="0004579C"/>
    <w:rsid w:val="000764A1"/>
    <w:rsid w:val="000A47FA"/>
    <w:rsid w:val="000A65D3"/>
    <w:rsid w:val="000B1E33"/>
    <w:rsid w:val="000B2936"/>
    <w:rsid w:val="000C6D55"/>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6D40"/>
    <w:rsid w:val="001B7C66"/>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0C3A"/>
    <w:rsid w:val="002B27FB"/>
    <w:rsid w:val="002B339A"/>
    <w:rsid w:val="002B685A"/>
    <w:rsid w:val="002C57D2"/>
    <w:rsid w:val="002E0D56"/>
    <w:rsid w:val="003047A6"/>
    <w:rsid w:val="00315186"/>
    <w:rsid w:val="003174E9"/>
    <w:rsid w:val="0033343E"/>
    <w:rsid w:val="00340D7F"/>
    <w:rsid w:val="003512C2"/>
    <w:rsid w:val="00371FB6"/>
    <w:rsid w:val="003763C1"/>
    <w:rsid w:val="00376BBE"/>
    <w:rsid w:val="0039224F"/>
    <w:rsid w:val="003A43A4"/>
    <w:rsid w:val="003A7E18"/>
    <w:rsid w:val="003C4C86"/>
    <w:rsid w:val="003C6258"/>
    <w:rsid w:val="003D2B09"/>
    <w:rsid w:val="003E2904"/>
    <w:rsid w:val="00401927"/>
    <w:rsid w:val="0041027F"/>
    <w:rsid w:val="00412475"/>
    <w:rsid w:val="00412983"/>
    <w:rsid w:val="00417A4E"/>
    <w:rsid w:val="00423789"/>
    <w:rsid w:val="00440F43"/>
    <w:rsid w:val="00441B6F"/>
    <w:rsid w:val="00446221"/>
    <w:rsid w:val="00450E62"/>
    <w:rsid w:val="004539DB"/>
    <w:rsid w:val="00471A80"/>
    <w:rsid w:val="00484AD7"/>
    <w:rsid w:val="004A3112"/>
    <w:rsid w:val="004D305E"/>
    <w:rsid w:val="004D4277"/>
    <w:rsid w:val="00502516"/>
    <w:rsid w:val="00505F06"/>
    <w:rsid w:val="00506828"/>
    <w:rsid w:val="0053056E"/>
    <w:rsid w:val="00554FDA"/>
    <w:rsid w:val="0056600A"/>
    <w:rsid w:val="005C784C"/>
    <w:rsid w:val="005D17F6"/>
    <w:rsid w:val="005E5539"/>
    <w:rsid w:val="00602BF5"/>
    <w:rsid w:val="00617AEA"/>
    <w:rsid w:val="00617FDD"/>
    <w:rsid w:val="00633614"/>
    <w:rsid w:val="00633C73"/>
    <w:rsid w:val="00633F68"/>
    <w:rsid w:val="00636EB2"/>
    <w:rsid w:val="006375B8"/>
    <w:rsid w:val="0066510A"/>
    <w:rsid w:val="00673F9F"/>
    <w:rsid w:val="00676BF1"/>
    <w:rsid w:val="00686953"/>
    <w:rsid w:val="00687DEA"/>
    <w:rsid w:val="00687E67"/>
    <w:rsid w:val="006967F7"/>
    <w:rsid w:val="006A250C"/>
    <w:rsid w:val="006B21D3"/>
    <w:rsid w:val="006B57D0"/>
    <w:rsid w:val="006B7262"/>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8F7EC6"/>
    <w:rsid w:val="00902823"/>
    <w:rsid w:val="00915CA6"/>
    <w:rsid w:val="00927834"/>
    <w:rsid w:val="009500A6"/>
    <w:rsid w:val="00957C18"/>
    <w:rsid w:val="009659BA"/>
    <w:rsid w:val="00983040"/>
    <w:rsid w:val="00992A24"/>
    <w:rsid w:val="009B3FB9"/>
    <w:rsid w:val="009C2465"/>
    <w:rsid w:val="009D35A0"/>
    <w:rsid w:val="009D7EB7"/>
    <w:rsid w:val="009E048A"/>
    <w:rsid w:val="009E08E9"/>
    <w:rsid w:val="009E3DB9"/>
    <w:rsid w:val="009E6E35"/>
    <w:rsid w:val="009F0EDA"/>
    <w:rsid w:val="00A03B96"/>
    <w:rsid w:val="00A05B19"/>
    <w:rsid w:val="00A1134E"/>
    <w:rsid w:val="00A231D1"/>
    <w:rsid w:val="00A24E7E"/>
    <w:rsid w:val="00A258C3"/>
    <w:rsid w:val="00A347C0"/>
    <w:rsid w:val="00A51431"/>
    <w:rsid w:val="00A539AD"/>
    <w:rsid w:val="00A71E35"/>
    <w:rsid w:val="00A83EAD"/>
    <w:rsid w:val="00A94063"/>
    <w:rsid w:val="00AA6219"/>
    <w:rsid w:val="00AA74E0"/>
    <w:rsid w:val="00AB703F"/>
    <w:rsid w:val="00AC6BB8"/>
    <w:rsid w:val="00AE008F"/>
    <w:rsid w:val="00B01FCD"/>
    <w:rsid w:val="00B04781"/>
    <w:rsid w:val="00B1776C"/>
    <w:rsid w:val="00B52583"/>
    <w:rsid w:val="00B52896"/>
    <w:rsid w:val="00B95236"/>
    <w:rsid w:val="00B96BD9"/>
    <w:rsid w:val="00BA1B01"/>
    <w:rsid w:val="00BA2641"/>
    <w:rsid w:val="00BA4014"/>
    <w:rsid w:val="00BB37AA"/>
    <w:rsid w:val="00BC53A0"/>
    <w:rsid w:val="00BD46FB"/>
    <w:rsid w:val="00BE62AD"/>
    <w:rsid w:val="00BF121F"/>
    <w:rsid w:val="00BF1F80"/>
    <w:rsid w:val="00C166EF"/>
    <w:rsid w:val="00C17EB0"/>
    <w:rsid w:val="00C27F5F"/>
    <w:rsid w:val="00C30A0F"/>
    <w:rsid w:val="00C37E61"/>
    <w:rsid w:val="00C70F1B"/>
    <w:rsid w:val="00C71A47"/>
    <w:rsid w:val="00C7464C"/>
    <w:rsid w:val="00C85588"/>
    <w:rsid w:val="00C857C6"/>
    <w:rsid w:val="00CD6755"/>
    <w:rsid w:val="00CD6856"/>
    <w:rsid w:val="00CE0089"/>
    <w:rsid w:val="00CE793C"/>
    <w:rsid w:val="00CF193C"/>
    <w:rsid w:val="00D013D5"/>
    <w:rsid w:val="00D173F1"/>
    <w:rsid w:val="00D2569B"/>
    <w:rsid w:val="00D74CB0"/>
    <w:rsid w:val="00D8295D"/>
    <w:rsid w:val="00DC06AA"/>
    <w:rsid w:val="00DC2A65"/>
    <w:rsid w:val="00DC78F3"/>
    <w:rsid w:val="00DE15F0"/>
    <w:rsid w:val="00DE5663"/>
    <w:rsid w:val="00DE78AA"/>
    <w:rsid w:val="00E053D0"/>
    <w:rsid w:val="00E15994"/>
    <w:rsid w:val="00E3114E"/>
    <w:rsid w:val="00E31A70"/>
    <w:rsid w:val="00E35B02"/>
    <w:rsid w:val="00E55F78"/>
    <w:rsid w:val="00E66496"/>
    <w:rsid w:val="00E66B35"/>
    <w:rsid w:val="00E66E10"/>
    <w:rsid w:val="00E769F6"/>
    <w:rsid w:val="00E8407C"/>
    <w:rsid w:val="00E84F3C"/>
    <w:rsid w:val="00EA012C"/>
    <w:rsid w:val="00EB61E1"/>
    <w:rsid w:val="00EC6A55"/>
    <w:rsid w:val="00ED0288"/>
    <w:rsid w:val="00ED36BE"/>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5497CD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340D7F"/>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340D7F"/>
    <w:rPr>
      <w:rFonts w:asciiTheme="minorHAnsi" w:eastAsiaTheme="majorEastAsia" w:hAnsiTheme="minorHAnsi" w:cstheme="majorBidi"/>
      <w:color w:val="365F91" w:themeColor="accent1" w:themeShade="BF"/>
      <w:kern w:val="2"/>
      <w:sz w:val="28"/>
      <w:szCs w:val="28"/>
      <w:lang w:val="en-ID"/>
    </w:rPr>
  </w:style>
  <w:style w:type="character" w:styleId="PlaceholderText">
    <w:name w:val="Placeholder Text"/>
    <w:basedOn w:val="DefaultParagraphFont"/>
    <w:uiPriority w:val="99"/>
    <w:semiHidden/>
    <w:rsid w:val="00484AD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8802195">
      <w:marLeft w:val="480"/>
      <w:marRight w:val="0"/>
      <w:marTop w:val="0"/>
      <w:marBottom w:val="0"/>
      <w:divBdr>
        <w:top w:val="none" w:sz="0" w:space="0" w:color="auto"/>
        <w:left w:val="none" w:sz="0" w:space="0" w:color="auto"/>
        <w:bottom w:val="none" w:sz="0" w:space="0" w:color="auto"/>
        <w:right w:val="none" w:sz="0" w:space="0" w:color="auto"/>
      </w:divBdr>
    </w:div>
    <w:div w:id="47346265">
      <w:marLeft w:val="480"/>
      <w:marRight w:val="0"/>
      <w:marTop w:val="0"/>
      <w:marBottom w:val="0"/>
      <w:divBdr>
        <w:top w:val="none" w:sz="0" w:space="0" w:color="auto"/>
        <w:left w:val="none" w:sz="0" w:space="0" w:color="auto"/>
        <w:bottom w:val="none" w:sz="0" w:space="0" w:color="auto"/>
        <w:right w:val="none" w:sz="0" w:space="0" w:color="auto"/>
      </w:divBdr>
    </w:div>
    <w:div w:id="63332669">
      <w:marLeft w:val="480"/>
      <w:marRight w:val="0"/>
      <w:marTop w:val="0"/>
      <w:marBottom w:val="0"/>
      <w:divBdr>
        <w:top w:val="none" w:sz="0" w:space="0" w:color="auto"/>
        <w:left w:val="none" w:sz="0" w:space="0" w:color="auto"/>
        <w:bottom w:val="none" w:sz="0" w:space="0" w:color="auto"/>
        <w:right w:val="none" w:sz="0" w:space="0" w:color="auto"/>
      </w:divBdr>
    </w:div>
    <w:div w:id="109596955">
      <w:marLeft w:val="480"/>
      <w:marRight w:val="0"/>
      <w:marTop w:val="0"/>
      <w:marBottom w:val="0"/>
      <w:divBdr>
        <w:top w:val="none" w:sz="0" w:space="0" w:color="auto"/>
        <w:left w:val="none" w:sz="0" w:space="0" w:color="auto"/>
        <w:bottom w:val="none" w:sz="0" w:space="0" w:color="auto"/>
        <w:right w:val="none" w:sz="0" w:space="0" w:color="auto"/>
      </w:divBdr>
    </w:div>
    <w:div w:id="117845416">
      <w:marLeft w:val="0"/>
      <w:marRight w:val="0"/>
      <w:marTop w:val="0"/>
      <w:marBottom w:val="0"/>
      <w:divBdr>
        <w:top w:val="none" w:sz="0" w:space="0" w:color="auto"/>
        <w:left w:val="none" w:sz="0" w:space="0" w:color="auto"/>
        <w:bottom w:val="none" w:sz="0" w:space="0" w:color="auto"/>
        <w:right w:val="none" w:sz="0" w:space="0" w:color="auto"/>
      </w:divBdr>
    </w:div>
    <w:div w:id="134417497">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6118142">
      <w:marLeft w:val="480"/>
      <w:marRight w:val="0"/>
      <w:marTop w:val="0"/>
      <w:marBottom w:val="0"/>
      <w:divBdr>
        <w:top w:val="none" w:sz="0" w:space="0" w:color="auto"/>
        <w:left w:val="none" w:sz="0" w:space="0" w:color="auto"/>
        <w:bottom w:val="none" w:sz="0" w:space="0" w:color="auto"/>
        <w:right w:val="none" w:sz="0" w:space="0" w:color="auto"/>
      </w:divBdr>
    </w:div>
    <w:div w:id="190144721">
      <w:marLeft w:val="480"/>
      <w:marRight w:val="0"/>
      <w:marTop w:val="0"/>
      <w:marBottom w:val="0"/>
      <w:divBdr>
        <w:top w:val="none" w:sz="0" w:space="0" w:color="auto"/>
        <w:left w:val="none" w:sz="0" w:space="0" w:color="auto"/>
        <w:bottom w:val="none" w:sz="0" w:space="0" w:color="auto"/>
        <w:right w:val="none" w:sz="0" w:space="0" w:color="auto"/>
      </w:divBdr>
    </w:div>
    <w:div w:id="233048816">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1981905">
      <w:marLeft w:val="480"/>
      <w:marRight w:val="0"/>
      <w:marTop w:val="0"/>
      <w:marBottom w:val="0"/>
      <w:divBdr>
        <w:top w:val="none" w:sz="0" w:space="0" w:color="auto"/>
        <w:left w:val="none" w:sz="0" w:space="0" w:color="auto"/>
        <w:bottom w:val="none" w:sz="0" w:space="0" w:color="auto"/>
        <w:right w:val="none" w:sz="0" w:space="0" w:color="auto"/>
      </w:divBdr>
    </w:div>
    <w:div w:id="384836040">
      <w:marLeft w:val="480"/>
      <w:marRight w:val="0"/>
      <w:marTop w:val="0"/>
      <w:marBottom w:val="0"/>
      <w:divBdr>
        <w:top w:val="none" w:sz="0" w:space="0" w:color="auto"/>
        <w:left w:val="none" w:sz="0" w:space="0" w:color="auto"/>
        <w:bottom w:val="none" w:sz="0" w:space="0" w:color="auto"/>
        <w:right w:val="none" w:sz="0" w:space="0" w:color="auto"/>
      </w:divBdr>
    </w:div>
    <w:div w:id="402065851">
      <w:marLeft w:val="480"/>
      <w:marRight w:val="0"/>
      <w:marTop w:val="0"/>
      <w:marBottom w:val="0"/>
      <w:divBdr>
        <w:top w:val="none" w:sz="0" w:space="0" w:color="auto"/>
        <w:left w:val="none" w:sz="0" w:space="0" w:color="auto"/>
        <w:bottom w:val="none" w:sz="0" w:space="0" w:color="auto"/>
        <w:right w:val="none" w:sz="0" w:space="0" w:color="auto"/>
      </w:divBdr>
    </w:div>
    <w:div w:id="408234194">
      <w:marLeft w:val="480"/>
      <w:marRight w:val="0"/>
      <w:marTop w:val="0"/>
      <w:marBottom w:val="0"/>
      <w:divBdr>
        <w:top w:val="none" w:sz="0" w:space="0" w:color="auto"/>
        <w:left w:val="none" w:sz="0" w:space="0" w:color="auto"/>
        <w:bottom w:val="none" w:sz="0" w:space="0" w:color="auto"/>
        <w:right w:val="none" w:sz="0" w:space="0" w:color="auto"/>
      </w:divBdr>
    </w:div>
    <w:div w:id="450710146">
      <w:marLeft w:val="480"/>
      <w:marRight w:val="0"/>
      <w:marTop w:val="0"/>
      <w:marBottom w:val="0"/>
      <w:divBdr>
        <w:top w:val="none" w:sz="0" w:space="0" w:color="auto"/>
        <w:left w:val="none" w:sz="0" w:space="0" w:color="auto"/>
        <w:bottom w:val="none" w:sz="0" w:space="0" w:color="auto"/>
        <w:right w:val="none" w:sz="0" w:space="0" w:color="auto"/>
      </w:divBdr>
    </w:div>
    <w:div w:id="453518716">
      <w:marLeft w:val="480"/>
      <w:marRight w:val="0"/>
      <w:marTop w:val="0"/>
      <w:marBottom w:val="0"/>
      <w:divBdr>
        <w:top w:val="none" w:sz="0" w:space="0" w:color="auto"/>
        <w:left w:val="none" w:sz="0" w:space="0" w:color="auto"/>
        <w:bottom w:val="none" w:sz="0" w:space="0" w:color="auto"/>
        <w:right w:val="none" w:sz="0" w:space="0" w:color="auto"/>
      </w:divBdr>
    </w:div>
    <w:div w:id="492724778">
      <w:marLeft w:val="480"/>
      <w:marRight w:val="0"/>
      <w:marTop w:val="0"/>
      <w:marBottom w:val="0"/>
      <w:divBdr>
        <w:top w:val="none" w:sz="0" w:space="0" w:color="auto"/>
        <w:left w:val="none" w:sz="0" w:space="0" w:color="auto"/>
        <w:bottom w:val="none" w:sz="0" w:space="0" w:color="auto"/>
        <w:right w:val="none" w:sz="0" w:space="0" w:color="auto"/>
      </w:divBdr>
    </w:div>
    <w:div w:id="507642224">
      <w:marLeft w:val="480"/>
      <w:marRight w:val="0"/>
      <w:marTop w:val="0"/>
      <w:marBottom w:val="0"/>
      <w:divBdr>
        <w:top w:val="none" w:sz="0" w:space="0" w:color="auto"/>
        <w:left w:val="none" w:sz="0" w:space="0" w:color="auto"/>
        <w:bottom w:val="none" w:sz="0" w:space="0" w:color="auto"/>
        <w:right w:val="none" w:sz="0" w:space="0" w:color="auto"/>
      </w:divBdr>
    </w:div>
    <w:div w:id="565148695">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6180959">
      <w:marLeft w:val="480"/>
      <w:marRight w:val="0"/>
      <w:marTop w:val="0"/>
      <w:marBottom w:val="0"/>
      <w:divBdr>
        <w:top w:val="none" w:sz="0" w:space="0" w:color="auto"/>
        <w:left w:val="none" w:sz="0" w:space="0" w:color="auto"/>
        <w:bottom w:val="none" w:sz="0" w:space="0" w:color="auto"/>
        <w:right w:val="none" w:sz="0" w:space="0" w:color="auto"/>
      </w:divBdr>
    </w:div>
    <w:div w:id="689114010">
      <w:marLeft w:val="480"/>
      <w:marRight w:val="0"/>
      <w:marTop w:val="0"/>
      <w:marBottom w:val="0"/>
      <w:divBdr>
        <w:top w:val="none" w:sz="0" w:space="0" w:color="auto"/>
        <w:left w:val="none" w:sz="0" w:space="0" w:color="auto"/>
        <w:bottom w:val="none" w:sz="0" w:space="0" w:color="auto"/>
        <w:right w:val="none" w:sz="0" w:space="0" w:color="auto"/>
      </w:divBdr>
    </w:div>
    <w:div w:id="714349773">
      <w:marLeft w:val="0"/>
      <w:marRight w:val="0"/>
      <w:marTop w:val="0"/>
      <w:marBottom w:val="0"/>
      <w:divBdr>
        <w:top w:val="none" w:sz="0" w:space="0" w:color="auto"/>
        <w:left w:val="none" w:sz="0" w:space="0" w:color="auto"/>
        <w:bottom w:val="none" w:sz="0" w:space="0" w:color="auto"/>
        <w:right w:val="none" w:sz="0" w:space="0" w:color="auto"/>
      </w:divBdr>
    </w:div>
    <w:div w:id="744883869">
      <w:marLeft w:val="480"/>
      <w:marRight w:val="0"/>
      <w:marTop w:val="0"/>
      <w:marBottom w:val="0"/>
      <w:divBdr>
        <w:top w:val="none" w:sz="0" w:space="0" w:color="auto"/>
        <w:left w:val="none" w:sz="0" w:space="0" w:color="auto"/>
        <w:bottom w:val="none" w:sz="0" w:space="0" w:color="auto"/>
        <w:right w:val="none" w:sz="0" w:space="0" w:color="auto"/>
      </w:divBdr>
    </w:div>
    <w:div w:id="747651803">
      <w:marLeft w:val="480"/>
      <w:marRight w:val="0"/>
      <w:marTop w:val="0"/>
      <w:marBottom w:val="0"/>
      <w:divBdr>
        <w:top w:val="none" w:sz="0" w:space="0" w:color="auto"/>
        <w:left w:val="none" w:sz="0" w:space="0" w:color="auto"/>
        <w:bottom w:val="none" w:sz="0" w:space="0" w:color="auto"/>
        <w:right w:val="none" w:sz="0" w:space="0" w:color="auto"/>
      </w:divBdr>
    </w:div>
    <w:div w:id="749694505">
      <w:marLeft w:val="480"/>
      <w:marRight w:val="0"/>
      <w:marTop w:val="0"/>
      <w:marBottom w:val="0"/>
      <w:divBdr>
        <w:top w:val="none" w:sz="0" w:space="0" w:color="auto"/>
        <w:left w:val="none" w:sz="0" w:space="0" w:color="auto"/>
        <w:bottom w:val="none" w:sz="0" w:space="0" w:color="auto"/>
        <w:right w:val="none" w:sz="0" w:space="0" w:color="auto"/>
      </w:divBdr>
    </w:div>
    <w:div w:id="831458013">
      <w:marLeft w:val="480"/>
      <w:marRight w:val="0"/>
      <w:marTop w:val="0"/>
      <w:marBottom w:val="0"/>
      <w:divBdr>
        <w:top w:val="none" w:sz="0" w:space="0" w:color="auto"/>
        <w:left w:val="none" w:sz="0" w:space="0" w:color="auto"/>
        <w:bottom w:val="none" w:sz="0" w:space="0" w:color="auto"/>
        <w:right w:val="none" w:sz="0" w:space="0" w:color="auto"/>
      </w:divBdr>
    </w:div>
    <w:div w:id="870344044">
      <w:marLeft w:val="480"/>
      <w:marRight w:val="0"/>
      <w:marTop w:val="0"/>
      <w:marBottom w:val="0"/>
      <w:divBdr>
        <w:top w:val="none" w:sz="0" w:space="0" w:color="auto"/>
        <w:left w:val="none" w:sz="0" w:space="0" w:color="auto"/>
        <w:bottom w:val="none" w:sz="0" w:space="0" w:color="auto"/>
        <w:right w:val="none" w:sz="0" w:space="0" w:color="auto"/>
      </w:divBdr>
    </w:div>
    <w:div w:id="943222052">
      <w:marLeft w:val="480"/>
      <w:marRight w:val="0"/>
      <w:marTop w:val="0"/>
      <w:marBottom w:val="0"/>
      <w:divBdr>
        <w:top w:val="none" w:sz="0" w:space="0" w:color="auto"/>
        <w:left w:val="none" w:sz="0" w:space="0" w:color="auto"/>
        <w:bottom w:val="none" w:sz="0" w:space="0" w:color="auto"/>
        <w:right w:val="none" w:sz="0" w:space="0" w:color="auto"/>
      </w:divBdr>
    </w:div>
    <w:div w:id="973291245">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8266696">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9669962">
      <w:marLeft w:val="480"/>
      <w:marRight w:val="0"/>
      <w:marTop w:val="0"/>
      <w:marBottom w:val="0"/>
      <w:divBdr>
        <w:top w:val="none" w:sz="0" w:space="0" w:color="auto"/>
        <w:left w:val="none" w:sz="0" w:space="0" w:color="auto"/>
        <w:bottom w:val="none" w:sz="0" w:space="0" w:color="auto"/>
        <w:right w:val="none" w:sz="0" w:space="0" w:color="auto"/>
      </w:divBdr>
    </w:div>
    <w:div w:id="1069962132">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1027809">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9378168">
      <w:marLeft w:val="480"/>
      <w:marRight w:val="0"/>
      <w:marTop w:val="0"/>
      <w:marBottom w:val="0"/>
      <w:divBdr>
        <w:top w:val="none" w:sz="0" w:space="0" w:color="auto"/>
        <w:left w:val="none" w:sz="0" w:space="0" w:color="auto"/>
        <w:bottom w:val="none" w:sz="0" w:space="0" w:color="auto"/>
        <w:right w:val="none" w:sz="0" w:space="0" w:color="auto"/>
      </w:divBdr>
    </w:div>
    <w:div w:id="1165701548">
      <w:marLeft w:val="480"/>
      <w:marRight w:val="0"/>
      <w:marTop w:val="0"/>
      <w:marBottom w:val="0"/>
      <w:divBdr>
        <w:top w:val="none" w:sz="0" w:space="0" w:color="auto"/>
        <w:left w:val="none" w:sz="0" w:space="0" w:color="auto"/>
        <w:bottom w:val="none" w:sz="0" w:space="0" w:color="auto"/>
        <w:right w:val="none" w:sz="0" w:space="0" w:color="auto"/>
      </w:divBdr>
    </w:div>
    <w:div w:id="1169325520">
      <w:marLeft w:val="480"/>
      <w:marRight w:val="0"/>
      <w:marTop w:val="0"/>
      <w:marBottom w:val="0"/>
      <w:divBdr>
        <w:top w:val="none" w:sz="0" w:space="0" w:color="auto"/>
        <w:left w:val="none" w:sz="0" w:space="0" w:color="auto"/>
        <w:bottom w:val="none" w:sz="0" w:space="0" w:color="auto"/>
        <w:right w:val="none" w:sz="0" w:space="0" w:color="auto"/>
      </w:divBdr>
    </w:div>
    <w:div w:id="1170486170">
      <w:marLeft w:val="480"/>
      <w:marRight w:val="0"/>
      <w:marTop w:val="0"/>
      <w:marBottom w:val="0"/>
      <w:divBdr>
        <w:top w:val="none" w:sz="0" w:space="0" w:color="auto"/>
        <w:left w:val="none" w:sz="0" w:space="0" w:color="auto"/>
        <w:bottom w:val="none" w:sz="0" w:space="0" w:color="auto"/>
        <w:right w:val="none" w:sz="0" w:space="0" w:color="auto"/>
      </w:divBdr>
    </w:div>
    <w:div w:id="1210845924">
      <w:marLeft w:val="480"/>
      <w:marRight w:val="0"/>
      <w:marTop w:val="0"/>
      <w:marBottom w:val="0"/>
      <w:divBdr>
        <w:top w:val="none" w:sz="0" w:space="0" w:color="auto"/>
        <w:left w:val="none" w:sz="0" w:space="0" w:color="auto"/>
        <w:bottom w:val="none" w:sz="0" w:space="0" w:color="auto"/>
        <w:right w:val="none" w:sz="0" w:space="0" w:color="auto"/>
      </w:divBdr>
    </w:div>
    <w:div w:id="1218400545">
      <w:marLeft w:val="480"/>
      <w:marRight w:val="0"/>
      <w:marTop w:val="0"/>
      <w:marBottom w:val="0"/>
      <w:divBdr>
        <w:top w:val="none" w:sz="0" w:space="0" w:color="auto"/>
        <w:left w:val="none" w:sz="0" w:space="0" w:color="auto"/>
        <w:bottom w:val="none" w:sz="0" w:space="0" w:color="auto"/>
        <w:right w:val="none" w:sz="0" w:space="0" w:color="auto"/>
      </w:divBdr>
    </w:div>
    <w:div w:id="1236162746">
      <w:marLeft w:val="480"/>
      <w:marRight w:val="0"/>
      <w:marTop w:val="0"/>
      <w:marBottom w:val="0"/>
      <w:divBdr>
        <w:top w:val="none" w:sz="0" w:space="0" w:color="auto"/>
        <w:left w:val="none" w:sz="0" w:space="0" w:color="auto"/>
        <w:bottom w:val="none" w:sz="0" w:space="0" w:color="auto"/>
        <w:right w:val="none" w:sz="0" w:space="0" w:color="auto"/>
      </w:divBdr>
    </w:div>
    <w:div w:id="1252852819">
      <w:marLeft w:val="480"/>
      <w:marRight w:val="0"/>
      <w:marTop w:val="0"/>
      <w:marBottom w:val="0"/>
      <w:divBdr>
        <w:top w:val="none" w:sz="0" w:space="0" w:color="auto"/>
        <w:left w:val="none" w:sz="0" w:space="0" w:color="auto"/>
        <w:bottom w:val="none" w:sz="0" w:space="0" w:color="auto"/>
        <w:right w:val="none" w:sz="0" w:space="0" w:color="auto"/>
      </w:divBdr>
    </w:div>
    <w:div w:id="1279799449">
      <w:marLeft w:val="480"/>
      <w:marRight w:val="0"/>
      <w:marTop w:val="0"/>
      <w:marBottom w:val="0"/>
      <w:divBdr>
        <w:top w:val="none" w:sz="0" w:space="0" w:color="auto"/>
        <w:left w:val="none" w:sz="0" w:space="0" w:color="auto"/>
        <w:bottom w:val="none" w:sz="0" w:space="0" w:color="auto"/>
        <w:right w:val="none" w:sz="0" w:space="0" w:color="auto"/>
      </w:divBdr>
    </w:div>
    <w:div w:id="1287811057">
      <w:marLeft w:val="480"/>
      <w:marRight w:val="0"/>
      <w:marTop w:val="0"/>
      <w:marBottom w:val="0"/>
      <w:divBdr>
        <w:top w:val="none" w:sz="0" w:space="0" w:color="auto"/>
        <w:left w:val="none" w:sz="0" w:space="0" w:color="auto"/>
        <w:bottom w:val="none" w:sz="0" w:space="0" w:color="auto"/>
        <w:right w:val="none" w:sz="0" w:space="0" w:color="auto"/>
      </w:divBdr>
    </w:div>
    <w:div w:id="1288007834">
      <w:marLeft w:val="480"/>
      <w:marRight w:val="0"/>
      <w:marTop w:val="0"/>
      <w:marBottom w:val="0"/>
      <w:divBdr>
        <w:top w:val="none" w:sz="0" w:space="0" w:color="auto"/>
        <w:left w:val="none" w:sz="0" w:space="0" w:color="auto"/>
        <w:bottom w:val="none" w:sz="0" w:space="0" w:color="auto"/>
        <w:right w:val="none" w:sz="0" w:space="0" w:color="auto"/>
      </w:divBdr>
    </w:div>
    <w:div w:id="1299992642">
      <w:marLeft w:val="480"/>
      <w:marRight w:val="0"/>
      <w:marTop w:val="0"/>
      <w:marBottom w:val="0"/>
      <w:divBdr>
        <w:top w:val="none" w:sz="0" w:space="0" w:color="auto"/>
        <w:left w:val="none" w:sz="0" w:space="0" w:color="auto"/>
        <w:bottom w:val="none" w:sz="0" w:space="0" w:color="auto"/>
        <w:right w:val="none" w:sz="0" w:space="0" w:color="auto"/>
      </w:divBdr>
    </w:div>
    <w:div w:id="1305502866">
      <w:marLeft w:val="480"/>
      <w:marRight w:val="0"/>
      <w:marTop w:val="0"/>
      <w:marBottom w:val="0"/>
      <w:divBdr>
        <w:top w:val="none" w:sz="0" w:space="0" w:color="auto"/>
        <w:left w:val="none" w:sz="0" w:space="0" w:color="auto"/>
        <w:bottom w:val="none" w:sz="0" w:space="0" w:color="auto"/>
        <w:right w:val="none" w:sz="0" w:space="0" w:color="auto"/>
      </w:divBdr>
    </w:div>
    <w:div w:id="1308628958">
      <w:marLeft w:val="0"/>
      <w:marRight w:val="0"/>
      <w:marTop w:val="0"/>
      <w:marBottom w:val="0"/>
      <w:divBdr>
        <w:top w:val="none" w:sz="0" w:space="0" w:color="auto"/>
        <w:left w:val="none" w:sz="0" w:space="0" w:color="auto"/>
        <w:bottom w:val="none" w:sz="0" w:space="0" w:color="auto"/>
        <w:right w:val="none" w:sz="0" w:space="0" w:color="auto"/>
      </w:divBdr>
    </w:div>
    <w:div w:id="1320616381">
      <w:marLeft w:val="0"/>
      <w:marRight w:val="0"/>
      <w:marTop w:val="0"/>
      <w:marBottom w:val="0"/>
      <w:divBdr>
        <w:top w:val="none" w:sz="0" w:space="0" w:color="auto"/>
        <w:left w:val="none" w:sz="0" w:space="0" w:color="auto"/>
        <w:bottom w:val="none" w:sz="0" w:space="0" w:color="auto"/>
        <w:right w:val="none" w:sz="0" w:space="0" w:color="auto"/>
      </w:divBdr>
    </w:div>
    <w:div w:id="1359744516">
      <w:marLeft w:val="480"/>
      <w:marRight w:val="0"/>
      <w:marTop w:val="0"/>
      <w:marBottom w:val="0"/>
      <w:divBdr>
        <w:top w:val="none" w:sz="0" w:space="0" w:color="auto"/>
        <w:left w:val="none" w:sz="0" w:space="0" w:color="auto"/>
        <w:bottom w:val="none" w:sz="0" w:space="0" w:color="auto"/>
        <w:right w:val="none" w:sz="0" w:space="0" w:color="auto"/>
      </w:divBdr>
    </w:div>
    <w:div w:id="1362248154">
      <w:marLeft w:val="480"/>
      <w:marRight w:val="0"/>
      <w:marTop w:val="0"/>
      <w:marBottom w:val="0"/>
      <w:divBdr>
        <w:top w:val="none" w:sz="0" w:space="0" w:color="auto"/>
        <w:left w:val="none" w:sz="0" w:space="0" w:color="auto"/>
        <w:bottom w:val="none" w:sz="0" w:space="0" w:color="auto"/>
        <w:right w:val="none" w:sz="0" w:space="0" w:color="auto"/>
      </w:divBdr>
    </w:div>
    <w:div w:id="1385759133">
      <w:marLeft w:val="480"/>
      <w:marRight w:val="0"/>
      <w:marTop w:val="0"/>
      <w:marBottom w:val="0"/>
      <w:divBdr>
        <w:top w:val="none" w:sz="0" w:space="0" w:color="auto"/>
        <w:left w:val="none" w:sz="0" w:space="0" w:color="auto"/>
        <w:bottom w:val="none" w:sz="0" w:space="0" w:color="auto"/>
        <w:right w:val="none" w:sz="0" w:space="0" w:color="auto"/>
      </w:divBdr>
    </w:div>
    <w:div w:id="1407993947">
      <w:marLeft w:val="480"/>
      <w:marRight w:val="0"/>
      <w:marTop w:val="0"/>
      <w:marBottom w:val="0"/>
      <w:divBdr>
        <w:top w:val="none" w:sz="0" w:space="0" w:color="auto"/>
        <w:left w:val="none" w:sz="0" w:space="0" w:color="auto"/>
        <w:bottom w:val="none" w:sz="0" w:space="0" w:color="auto"/>
        <w:right w:val="none" w:sz="0" w:space="0" w:color="auto"/>
      </w:divBdr>
    </w:div>
    <w:div w:id="1430737444">
      <w:marLeft w:val="480"/>
      <w:marRight w:val="0"/>
      <w:marTop w:val="0"/>
      <w:marBottom w:val="0"/>
      <w:divBdr>
        <w:top w:val="none" w:sz="0" w:space="0" w:color="auto"/>
        <w:left w:val="none" w:sz="0" w:space="0" w:color="auto"/>
        <w:bottom w:val="none" w:sz="0" w:space="0" w:color="auto"/>
        <w:right w:val="none" w:sz="0" w:space="0" w:color="auto"/>
      </w:divBdr>
    </w:div>
    <w:div w:id="1437141128">
      <w:marLeft w:val="480"/>
      <w:marRight w:val="0"/>
      <w:marTop w:val="0"/>
      <w:marBottom w:val="0"/>
      <w:divBdr>
        <w:top w:val="none" w:sz="0" w:space="0" w:color="auto"/>
        <w:left w:val="none" w:sz="0" w:space="0" w:color="auto"/>
        <w:bottom w:val="none" w:sz="0" w:space="0" w:color="auto"/>
        <w:right w:val="none" w:sz="0" w:space="0" w:color="auto"/>
      </w:divBdr>
    </w:div>
    <w:div w:id="1452048061">
      <w:marLeft w:val="480"/>
      <w:marRight w:val="0"/>
      <w:marTop w:val="0"/>
      <w:marBottom w:val="0"/>
      <w:divBdr>
        <w:top w:val="none" w:sz="0" w:space="0" w:color="auto"/>
        <w:left w:val="none" w:sz="0" w:space="0" w:color="auto"/>
        <w:bottom w:val="none" w:sz="0" w:space="0" w:color="auto"/>
        <w:right w:val="none" w:sz="0" w:space="0" w:color="auto"/>
      </w:divBdr>
    </w:div>
    <w:div w:id="1469013100">
      <w:marLeft w:val="480"/>
      <w:marRight w:val="0"/>
      <w:marTop w:val="0"/>
      <w:marBottom w:val="0"/>
      <w:divBdr>
        <w:top w:val="none" w:sz="0" w:space="0" w:color="auto"/>
        <w:left w:val="none" w:sz="0" w:space="0" w:color="auto"/>
        <w:bottom w:val="none" w:sz="0" w:space="0" w:color="auto"/>
        <w:right w:val="none" w:sz="0" w:space="0" w:color="auto"/>
      </w:divBdr>
    </w:div>
    <w:div w:id="1515414041">
      <w:marLeft w:val="480"/>
      <w:marRight w:val="0"/>
      <w:marTop w:val="0"/>
      <w:marBottom w:val="0"/>
      <w:divBdr>
        <w:top w:val="none" w:sz="0" w:space="0" w:color="auto"/>
        <w:left w:val="none" w:sz="0" w:space="0" w:color="auto"/>
        <w:bottom w:val="none" w:sz="0" w:space="0" w:color="auto"/>
        <w:right w:val="none" w:sz="0" w:space="0" w:color="auto"/>
      </w:divBdr>
    </w:div>
    <w:div w:id="1591038844">
      <w:marLeft w:val="480"/>
      <w:marRight w:val="0"/>
      <w:marTop w:val="0"/>
      <w:marBottom w:val="0"/>
      <w:divBdr>
        <w:top w:val="none" w:sz="0" w:space="0" w:color="auto"/>
        <w:left w:val="none" w:sz="0" w:space="0" w:color="auto"/>
        <w:bottom w:val="none" w:sz="0" w:space="0" w:color="auto"/>
        <w:right w:val="none" w:sz="0" w:space="0" w:color="auto"/>
      </w:divBdr>
    </w:div>
    <w:div w:id="1599949593">
      <w:marLeft w:val="480"/>
      <w:marRight w:val="0"/>
      <w:marTop w:val="0"/>
      <w:marBottom w:val="0"/>
      <w:divBdr>
        <w:top w:val="none" w:sz="0" w:space="0" w:color="auto"/>
        <w:left w:val="none" w:sz="0" w:space="0" w:color="auto"/>
        <w:bottom w:val="none" w:sz="0" w:space="0" w:color="auto"/>
        <w:right w:val="none" w:sz="0" w:space="0" w:color="auto"/>
      </w:divBdr>
    </w:div>
    <w:div w:id="1627932323">
      <w:marLeft w:val="480"/>
      <w:marRight w:val="0"/>
      <w:marTop w:val="0"/>
      <w:marBottom w:val="0"/>
      <w:divBdr>
        <w:top w:val="none" w:sz="0" w:space="0" w:color="auto"/>
        <w:left w:val="none" w:sz="0" w:space="0" w:color="auto"/>
        <w:bottom w:val="none" w:sz="0" w:space="0" w:color="auto"/>
        <w:right w:val="none" w:sz="0" w:space="0" w:color="auto"/>
      </w:divBdr>
    </w:div>
    <w:div w:id="1630937917">
      <w:marLeft w:val="480"/>
      <w:marRight w:val="0"/>
      <w:marTop w:val="0"/>
      <w:marBottom w:val="0"/>
      <w:divBdr>
        <w:top w:val="none" w:sz="0" w:space="0" w:color="auto"/>
        <w:left w:val="none" w:sz="0" w:space="0" w:color="auto"/>
        <w:bottom w:val="none" w:sz="0" w:space="0" w:color="auto"/>
        <w:right w:val="none" w:sz="0" w:space="0" w:color="auto"/>
      </w:divBdr>
    </w:div>
    <w:div w:id="1637027082">
      <w:marLeft w:val="480"/>
      <w:marRight w:val="0"/>
      <w:marTop w:val="0"/>
      <w:marBottom w:val="0"/>
      <w:divBdr>
        <w:top w:val="none" w:sz="0" w:space="0" w:color="auto"/>
        <w:left w:val="none" w:sz="0" w:space="0" w:color="auto"/>
        <w:bottom w:val="none" w:sz="0" w:space="0" w:color="auto"/>
        <w:right w:val="none" w:sz="0" w:space="0" w:color="auto"/>
      </w:divBdr>
    </w:div>
    <w:div w:id="1656646390">
      <w:marLeft w:val="480"/>
      <w:marRight w:val="0"/>
      <w:marTop w:val="0"/>
      <w:marBottom w:val="0"/>
      <w:divBdr>
        <w:top w:val="none" w:sz="0" w:space="0" w:color="auto"/>
        <w:left w:val="none" w:sz="0" w:space="0" w:color="auto"/>
        <w:bottom w:val="none" w:sz="0" w:space="0" w:color="auto"/>
        <w:right w:val="none" w:sz="0" w:space="0" w:color="auto"/>
      </w:divBdr>
    </w:div>
    <w:div w:id="1668174221">
      <w:marLeft w:val="480"/>
      <w:marRight w:val="0"/>
      <w:marTop w:val="0"/>
      <w:marBottom w:val="0"/>
      <w:divBdr>
        <w:top w:val="none" w:sz="0" w:space="0" w:color="auto"/>
        <w:left w:val="none" w:sz="0" w:space="0" w:color="auto"/>
        <w:bottom w:val="none" w:sz="0" w:space="0" w:color="auto"/>
        <w:right w:val="none" w:sz="0" w:space="0" w:color="auto"/>
      </w:divBdr>
    </w:div>
    <w:div w:id="1740596573">
      <w:marLeft w:val="480"/>
      <w:marRight w:val="0"/>
      <w:marTop w:val="0"/>
      <w:marBottom w:val="0"/>
      <w:divBdr>
        <w:top w:val="none" w:sz="0" w:space="0" w:color="auto"/>
        <w:left w:val="none" w:sz="0" w:space="0" w:color="auto"/>
        <w:bottom w:val="none" w:sz="0" w:space="0" w:color="auto"/>
        <w:right w:val="none" w:sz="0" w:space="0" w:color="auto"/>
      </w:divBdr>
    </w:div>
    <w:div w:id="1742025293">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1388118">
      <w:marLeft w:val="480"/>
      <w:marRight w:val="0"/>
      <w:marTop w:val="0"/>
      <w:marBottom w:val="0"/>
      <w:divBdr>
        <w:top w:val="none" w:sz="0" w:space="0" w:color="auto"/>
        <w:left w:val="none" w:sz="0" w:space="0" w:color="auto"/>
        <w:bottom w:val="none" w:sz="0" w:space="0" w:color="auto"/>
        <w:right w:val="none" w:sz="0" w:space="0" w:color="auto"/>
      </w:divBdr>
    </w:div>
    <w:div w:id="1777168355">
      <w:marLeft w:val="480"/>
      <w:marRight w:val="0"/>
      <w:marTop w:val="0"/>
      <w:marBottom w:val="0"/>
      <w:divBdr>
        <w:top w:val="none" w:sz="0" w:space="0" w:color="auto"/>
        <w:left w:val="none" w:sz="0" w:space="0" w:color="auto"/>
        <w:bottom w:val="none" w:sz="0" w:space="0" w:color="auto"/>
        <w:right w:val="none" w:sz="0" w:space="0" w:color="auto"/>
      </w:divBdr>
    </w:div>
    <w:div w:id="1833256063">
      <w:marLeft w:val="480"/>
      <w:marRight w:val="0"/>
      <w:marTop w:val="0"/>
      <w:marBottom w:val="0"/>
      <w:divBdr>
        <w:top w:val="none" w:sz="0" w:space="0" w:color="auto"/>
        <w:left w:val="none" w:sz="0" w:space="0" w:color="auto"/>
        <w:bottom w:val="none" w:sz="0" w:space="0" w:color="auto"/>
        <w:right w:val="none" w:sz="0" w:space="0" w:color="auto"/>
      </w:divBdr>
    </w:div>
    <w:div w:id="1855419885">
      <w:marLeft w:val="480"/>
      <w:marRight w:val="0"/>
      <w:marTop w:val="0"/>
      <w:marBottom w:val="0"/>
      <w:divBdr>
        <w:top w:val="none" w:sz="0" w:space="0" w:color="auto"/>
        <w:left w:val="none" w:sz="0" w:space="0" w:color="auto"/>
        <w:bottom w:val="none" w:sz="0" w:space="0" w:color="auto"/>
        <w:right w:val="none" w:sz="0" w:space="0" w:color="auto"/>
      </w:divBdr>
    </w:div>
    <w:div w:id="1878279747">
      <w:marLeft w:val="480"/>
      <w:marRight w:val="0"/>
      <w:marTop w:val="0"/>
      <w:marBottom w:val="0"/>
      <w:divBdr>
        <w:top w:val="none" w:sz="0" w:space="0" w:color="auto"/>
        <w:left w:val="none" w:sz="0" w:space="0" w:color="auto"/>
        <w:bottom w:val="none" w:sz="0" w:space="0" w:color="auto"/>
        <w:right w:val="none" w:sz="0" w:space="0" w:color="auto"/>
      </w:divBdr>
    </w:div>
    <w:div w:id="1886673554">
      <w:marLeft w:val="480"/>
      <w:marRight w:val="0"/>
      <w:marTop w:val="0"/>
      <w:marBottom w:val="0"/>
      <w:divBdr>
        <w:top w:val="none" w:sz="0" w:space="0" w:color="auto"/>
        <w:left w:val="none" w:sz="0" w:space="0" w:color="auto"/>
        <w:bottom w:val="none" w:sz="0" w:space="0" w:color="auto"/>
        <w:right w:val="none" w:sz="0" w:space="0" w:color="auto"/>
      </w:divBdr>
    </w:div>
    <w:div w:id="1905949015">
      <w:marLeft w:val="480"/>
      <w:marRight w:val="0"/>
      <w:marTop w:val="0"/>
      <w:marBottom w:val="0"/>
      <w:divBdr>
        <w:top w:val="none" w:sz="0" w:space="0" w:color="auto"/>
        <w:left w:val="none" w:sz="0" w:space="0" w:color="auto"/>
        <w:bottom w:val="none" w:sz="0" w:space="0" w:color="auto"/>
        <w:right w:val="none" w:sz="0" w:space="0" w:color="auto"/>
      </w:divBdr>
    </w:div>
    <w:div w:id="1908570756">
      <w:marLeft w:val="480"/>
      <w:marRight w:val="0"/>
      <w:marTop w:val="0"/>
      <w:marBottom w:val="0"/>
      <w:divBdr>
        <w:top w:val="none" w:sz="0" w:space="0" w:color="auto"/>
        <w:left w:val="none" w:sz="0" w:space="0" w:color="auto"/>
        <w:bottom w:val="none" w:sz="0" w:space="0" w:color="auto"/>
        <w:right w:val="none" w:sz="0" w:space="0" w:color="auto"/>
      </w:divBdr>
    </w:div>
    <w:div w:id="1954632902">
      <w:marLeft w:val="480"/>
      <w:marRight w:val="0"/>
      <w:marTop w:val="0"/>
      <w:marBottom w:val="0"/>
      <w:divBdr>
        <w:top w:val="none" w:sz="0" w:space="0" w:color="auto"/>
        <w:left w:val="none" w:sz="0" w:space="0" w:color="auto"/>
        <w:bottom w:val="none" w:sz="0" w:space="0" w:color="auto"/>
        <w:right w:val="none" w:sz="0" w:space="0" w:color="auto"/>
      </w:divBdr>
    </w:div>
    <w:div w:id="1971011523">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4115434">
      <w:marLeft w:val="480"/>
      <w:marRight w:val="0"/>
      <w:marTop w:val="0"/>
      <w:marBottom w:val="0"/>
      <w:divBdr>
        <w:top w:val="none" w:sz="0" w:space="0" w:color="auto"/>
        <w:left w:val="none" w:sz="0" w:space="0" w:color="auto"/>
        <w:bottom w:val="none" w:sz="0" w:space="0" w:color="auto"/>
        <w:right w:val="none" w:sz="0" w:space="0" w:color="auto"/>
      </w:divBdr>
    </w:div>
    <w:div w:id="2028754849">
      <w:marLeft w:val="480"/>
      <w:marRight w:val="0"/>
      <w:marTop w:val="0"/>
      <w:marBottom w:val="0"/>
      <w:divBdr>
        <w:top w:val="none" w:sz="0" w:space="0" w:color="auto"/>
        <w:left w:val="none" w:sz="0" w:space="0" w:color="auto"/>
        <w:bottom w:val="none" w:sz="0" w:space="0" w:color="auto"/>
        <w:right w:val="none" w:sz="0" w:space="0" w:color="auto"/>
      </w:divBdr>
    </w:div>
    <w:div w:id="2041054478">
      <w:marLeft w:val="480"/>
      <w:marRight w:val="0"/>
      <w:marTop w:val="0"/>
      <w:marBottom w:val="0"/>
      <w:divBdr>
        <w:top w:val="none" w:sz="0" w:space="0" w:color="auto"/>
        <w:left w:val="none" w:sz="0" w:space="0" w:color="auto"/>
        <w:bottom w:val="none" w:sz="0" w:space="0" w:color="auto"/>
        <w:right w:val="none" w:sz="0" w:space="0" w:color="auto"/>
      </w:divBdr>
    </w:div>
    <w:div w:id="2041928189">
      <w:marLeft w:val="480"/>
      <w:marRight w:val="0"/>
      <w:marTop w:val="0"/>
      <w:marBottom w:val="0"/>
      <w:divBdr>
        <w:top w:val="none" w:sz="0" w:space="0" w:color="auto"/>
        <w:left w:val="none" w:sz="0" w:space="0" w:color="auto"/>
        <w:bottom w:val="none" w:sz="0" w:space="0" w:color="auto"/>
        <w:right w:val="none" w:sz="0" w:space="0" w:color="auto"/>
      </w:divBdr>
    </w:div>
    <w:div w:id="2045859902">
      <w:marLeft w:val="480"/>
      <w:marRight w:val="0"/>
      <w:marTop w:val="0"/>
      <w:marBottom w:val="0"/>
      <w:divBdr>
        <w:top w:val="none" w:sz="0" w:space="0" w:color="auto"/>
        <w:left w:val="none" w:sz="0" w:space="0" w:color="auto"/>
        <w:bottom w:val="none" w:sz="0" w:space="0" w:color="auto"/>
        <w:right w:val="none" w:sz="0" w:space="0" w:color="auto"/>
      </w:divBdr>
    </w:div>
    <w:div w:id="2094547033">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Umum"/>
          <w:gallery w:val="placeholder"/>
        </w:category>
        <w:types>
          <w:type w:val="bbPlcHdr"/>
        </w:types>
        <w:behaviors>
          <w:behavior w:val="content"/>
        </w:behaviors>
        <w:guid w:val="{0B3265FA-14E6-4AD2-AE21-BB4035CB9A40}"/>
      </w:docPartPr>
      <w:docPartBody>
        <w:p w:rsidR="00E53C55" w:rsidRDefault="00A05D92">
          <w:r w:rsidRPr="00383652">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92"/>
    <w:rsid w:val="000B2936"/>
    <w:rsid w:val="003174E9"/>
    <w:rsid w:val="00412983"/>
    <w:rsid w:val="00551E74"/>
    <w:rsid w:val="008E470B"/>
    <w:rsid w:val="009905E2"/>
    <w:rsid w:val="00A05D92"/>
    <w:rsid w:val="00E245C8"/>
    <w:rsid w:val="00E53C5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5D9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818BFF-4BEB-4AE6-A579-C34131F957BE}">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0618176753"/>
    <we:property name="MENDELEY_CITATIONS" value="[{&quot;citationID&quot;:&quot;MENDELEY_CITATION_a9fa2d6d-f6ed-4aab-9213-a82d4543826d&quot;,&quot;properties&quot;:{&quot;noteIndex&quot;:0},&quot;isEdited&quot;:false,&quot;manualOverride&quot;:{&quot;isManuallyOverridden&quot;:false,&quot;citeprocText&quot;:&quot;(Pratt et al., 2015)&quot;,&quot;manualOverrideText&quot;:&quot;&quot;},&quot;citationTag&quot;:&quot;MENDELEY_CITATION_v3_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&quot;,&quot;citationItems&quot;:[{&quot;id&quot;:&quot;d63ba11d-c9cf-3123-bfda-e30766387908&quot;,&quot;itemData&quot;:{&quot;type&quot;:&quot;article-journal&quot;,&quot;id&quot;:&quot;d63ba11d-c9cf-3123-bfda-e30766387908&quot;,&quot;title&quot;:&quot;Association between ophthalmic timolol and hospitalisation for bradycardia&quot;,&quot;author&quot;:[{&quot;family&quot;:&quot;Pratt&quot;,&quot;given&quot;:&quot;Nicole L.&quot;,&quot;parse-names&quot;:false,&quot;dropping-particle&quot;:&quot;&quot;,&quot;non-dropping-particle&quot;:&quot;&quot;},{&quot;family&quot;:&quot;Ramsay&quot;,&quot;given&quot;:&quot;Emmae N.&quot;,&quot;parse-names&quot;:false,&quot;dropping-particle&quot;:&quot;&quot;,&quot;non-dropping-particle&quot;:&quot;&quot;},{&quot;family&quot;:&quot;Kalisch Ellett&quot;,&quot;given&quot;:&quot;Lisa M.&quot;,&quot;parse-names&quot;:false,&quot;dropping-particle&quot;:&quot;&quot;,&quot;non-dropping-particle&quot;:&quot;&quot;},{&quot;family&quot;:&quot;Nguyen&quot;,&quot;given&quot;:&quot;Tuan A.&quot;,&quot;parse-names&quot;:false,&quot;dropping-particle&quot;:&quot;&quot;,&quot;non-dropping-particle&quot;:&quot;&quot;},{&quot;family&quot;:&quot;Roughead&quot;,&quot;given&quot;:&quot;Elizabeth E.&quot;,&quot;parse-names&quot;:false,&quot;dropping-particle&quot;:&quot;&quot;,&quot;non-dropping-particle&quot;:&quot;&quot;}],&quot;container-title&quot;:&quot;Journal of Ophthalmology&quot;,&quot;container-title-short&quot;:&quot;J Ophthalmol&quot;,&quot;DOI&quot;:&quot;10.1155/2015/567387&quot;,&quot;ISSN&quot;:&quot;20900058&quot;,&quot;issued&quot;:{&quot;date-parts&quot;:[[2015]]},&quot;abstract&quot;:&quot;Introduction. Ophthalmic timolol, a topical nonselective beta-blocker, has the potential to be absorbed systemically which may cause adverse cardiovascular effects. This study was conducted to determine whether initiation of ophthalmic timolol was associated with an increased risk of hospitalisation for bradycardia. Materials and Methods. A self-controlled case-series study was undertaken in patients who were hospitalised for bradycardia and were exposed to timolol. Person-time after timolol initiation was partitioned into risk periods: 1-30 days, 31-180 days, and &gt;180 days. A 30-day risk period prior to initiating timolol was also included. All remaining time was considered unexposed. Results. There were 6,373 patients with at least one hospitalisation for bradycardia during the study period; 267 were exposed to timolol. Risk of bradycardia was significantly increased in the 31-180 days after timolol initiation (incidence rate ratio (IRR) = 1.93; 95% confidence interval (CI) 1.00-1.87). No increased risk was observed in the first 30 days or beyond 180 days of continuous exposure (IRR = 1.40; 95% CI 0.87-2.26 and IRR = 1.21; 95% CI 0.64-2.31, resp.). Conclusion. Bradycardia is a potential adverse event following timolol initiation. Practitioners should consider patient history before choosing a glaucoma regime and closely monitor patients after treatment initiation with topical nonselective beta-blocker eye drops.&quot;,&quot;publisher&quot;:&quot;Hindawi Publishing Corporation&quot;,&quot;volume&quot;:&quot;2015&quot;},&quot;isTemporary&quot;:false}]},{&quot;citationID&quot;:&quot;MENDELEY_CITATION_66350f35-b442-4a58-a796-1b98f39d4656&quot;,&quot;properties&quot;:{&quot;noteIndex&quot;:0},&quot;isEdited&quot;:false,&quot;manualOverride&quot;:{&quot;isManuallyOverridden&quot;:false,&quot;citeprocText&quot;:&quot;(Bonnin et al., 2012; Uusitalo et al., 2005)&quot;,&quot;manualOverrideText&quot;:&quot;&quot;},&quot;citationTag&quot;:&quot;MENDELEY_CITATION_v3_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&quot;,&quot;citationItems&quot;:[{&quot;id&quot;:&quot;0ac13f63-1555-3249-9763-cae67f35d07b&quot;,&quot;itemData&quot;:{&quot;type&quot;:&quot;article-journal&quot;,&quot;id&quot;:&quot;0ac13f63-1555-3249-9763-cae67f35d07b&quot;,&quot;title&quot;:&quot;Efficacy and systemic side-effects of topical 0.5% timolol aqueous solution and 0.1% timolol hydrogel&quot;,&quot;author&quot;:[{&quot;family&quot;:&quot;Uusitalo&quot;,&quot;given&quot;:&quot;Hannu&quot;,&quot;parse-names&quot;:false,&quot;dropping-particle&quot;:&quot;&quot;,&quot;non-dropping-particle&quot;:&quot;&quot;},{&quot;family&quot;:&quot;Niño&quot;,&quot;given&quot;:&quot;Juanita&quot;,&quot;parse-names&quot;:false,&quot;dropping-particle&quot;:&quot;&quot;,&quot;non-dropping-particle&quot;:&quot;&quot;},{&quot;family&quot;:&quot;Tahvanainen&quot;,&quot;given&quot;:&quot;Kari&quot;,&quot;parse-names&quot;:false,&quot;dropping-particle&quot;:&quot;&quot;,&quot;non-dropping-particle&quot;:&quot;&quot;},{&quot;family&quot;:&quot;Turjanmaa&quot;,&quot;given&quot;:&quot;Väinö&quot;,&quot;parse-names&quot;:false,&quot;dropping-particle&quot;:&quot;&quot;,&quot;non-dropping-particle&quot;:&quot;&quot;},{&quot;family&quot;:&quot;Ropo&quot;,&quot;given&quot;:&quot;Auli&quot;,&quot;parse-names&quot;:false,&quot;dropping-particle&quot;:&quot;&quot;,&quot;non-dropping-particle&quot;:&quot;&quot;},{&quot;family&quot;:&quot;Touminen&quot;,&quot;given&quot;:&quot;Juhani&quot;,&quot;parse-names&quot;:false,&quot;dropping-particle&quot;:&quot;&quot;,&quot;non-dropping-particle&quot;:&quot;&quot;},{&quot;family&quot;:&quot;Kähönen&quot;,&quot;given&quot;:&quot;Mika&quot;,&quot;parse-names&quot;:false,&quot;dropping-particle&quot;:&quot;&quot;,&quot;non-dropping-particle&quot;:&quot;&quot;}],&quot;container-title&quot;:&quot;Acta Ophthalmologica Scandinavica&quot;,&quot;container-title-short&quot;:&quot;Acta Ophthalmol Scand&quot;,&quot;DOI&quot;:&quot;10.1111/j.1600-0420.2005.00562.x&quot;,&quot;ISSN&quot;:&quot;13953907&quot;,&quot;PMID&quot;:&quot;16396651&quot;,&quot;issued&quot;:{&quot;date-parts&quot;:[[2005,12]]},&quot;page&quot;:&quot;723-728&quot;,&quot;abstract&quot;:&quot;Purpose: The objective of this randomized, double-blind, controlled crossover trial was to compare 0.1% timolol hydrogel formulation eyedrops with 0.5% timolol aqueous solution in terms of systemic effects, hypotensive efficacy and pharmacodynamics. Methods: Twenty-four healthy subjects underwent careful ocular, cardiovascular and pulmonary function evaluation before and after 2 weeks of topical treatment with 0.1% timolol hydrogel or 0.5% aqueous timolol maleate. Intraocular pressure (IOP), heart rate, blood pressure, forced expiratory volume and plasma levels of timolol were measured. Results: There was a statistically significant difference in the systemic absorption of timolol between these two ophthalmic timolol solutions. The peak concentration and mean area under the plasma drug concentration-time curve (AUC) were about 10-fold higher after 0.5% timolol aqueous solution. The mean peak heart rate during exercise was reduced by 19 bpm (SD 6.4 bpm) after 0.5% timolol aqueous solution and by only 4.6 bpm (SD 3.8 bpm) after 0.1% timolol hydrogel (p &lt; 0.0001). There was no difference between the two formulations in efficacy in reducing IOP. No differences between treatments were found in respect of pulmonary function. Conclusions: The lower timolol concentration in the hydrogel vehicle and its better bioavailability resulted in reduced systemic absorption and side-effects without loss of efficacy. Copyright © Acta Ophthalmol Scand 2005.&quot;,&quot;issue&quot;:&quot;6&quot;,&quot;volume&quot;:&quot;83&quot;},&quot;isTemporary&quot;:false},{&quot;id&quot;:&quot;5866e445-19c0-361d-a9cd-08e9b9459bd6&quot;,&quot;itemData&quot;:{&quot;type&quot;:&quot;article-journal&quot;,&quot;id&quot;:&quot;5866e445-19c0-361d-a9cd-08e9b9459bd6&quot;,&quot;title&quot;:&quot;Plasma levels and systemic safety of 0.1% unpreserved Timolol maleate gel, 0.5% Timolol aqueous solution and 0.5% Timolol maleate gel&quot;,&quot;author&quot;:[{&quot;family&quot;:&quot;Bonnin&quot;,&quot;given&quot;:&quot;N.&quot;,&quot;parse-names&quot;:false,&quot;dropping-particle&quot;:&quot;&quot;,&quot;non-dropping-particle&quot;:&quot;&quot;},{&quot;family&quot;:&quot;Nezzar&quot;,&quot;given&quot;:&quot;H.&quot;,&quot;parse-names&quot;:false,&quot;dropping-particle&quot;:&quot;&quot;,&quot;non-dropping-particle&quot;:&quot;&quot;},{&quot;family&quot;:&quot;Dubray&quot;,&quot;given&quot;:&quot;C.&quot;,&quot;parse-names&quot;:false,&quot;dropping-particle&quot;:&quot;&quot;,&quot;non-dropping-particle&quot;:&quot;&quot;},{&quot;family&quot;:&quot;Renault&quot;,&quot;given&quot;:&quot;D.&quot;,&quot;parse-names&quot;:false,&quot;dropping-particle&quot;:&quot;&quot;,&quot;non-dropping-particle&quot;:&quot;&quot;},{&quot;family&quot;:&quot;Olmiere&quot;,&quot;given&quot;:&quot;C.&quot;,&quot;parse-names&quot;:false,&quot;dropping-particle&quot;:&quot;&quot;,&quot;non-dropping-particle&quot;:&quot;&quot;},{&quot;family&quot;:&quot;Chiambaretta&quot;,&quot;given&quot;:&quot;F.&quot;,&quot;parse-names&quot;:false,&quot;dropping-particle&quot;:&quot;&quot;,&quot;non-dropping-particle&quot;:&quot;&quot;}],&quot;container-title&quot;:&quot;Journal Francais d'Ophtalmologie&quot;,&quot;container-title-short&quot;:&quot;J Fr Ophtalmol&quot;,&quot;DOI&quot;:&quot;10.1016/j.jfo.2011.03.012&quot;,&quot;ISSN&quot;:&quot;01815512&quot;,&quot;PMID&quot;:&quot;21992993&quot;,&quot;issued&quot;:{&quot;date-parts&quot;:[[2012,1]]},&quot;page&quot;:&quot;9-16&quot;,&quot;abstract&quot;:&quot;Purpose: To compare systemic absorption of three formulations of timolol eye drops: 0.1% timolol maleate gel, 0.5% timolol aqueous solution, and 0.5% timolol maleate gel. Methods: This was a double cross-over phase I study. Cross-over 1: two weeks of 0.1% timolol gel once daily, followed by a 3-week wash-out period and then two weeks of 0.5% timolol aqueous solution twice a day (group 1) or the reverse (group 2). Cross-over 2: two weeks of 0.1% timolol gel once daily, followed by a 3-week wash-out period, and then two weeks of 0.5% timolol gel once daily (group 3) or the reverse (group 4). Subjects underwent tonometry, blood sampling, and heart rate and blood pressure assessments (during bicycle exercise and head-up tilt tests) before and after instillation at the beginning and end of each treatment period. Results: Forty-three healthy volunteers were randomized: 11 subjects in groups 1, 2, and 3, and 10 subjects in group 4. Areas under the concentration-time curve (AUC) values after administration of timolol 0.5% formulations were 15- to 38-fold higher than those seen after administration of timolol 0.1% gel. Maximum timolol concentrations after instillation of 0.1% gel are reduced by almost 90% compared to concentrations obtained after both 0.5% aqueous solution and 0.5% gel instillation. The AUC between 0 and 12 h post-administration were also reduced by up to 93 to 98%. Conclusions: After treatment with a timolol 0.1% gel formulation, systemic concentrations found were considerably lower than after administration of timolol 0.5% gel or in aqueous solution. © 2011 Elsevier Masson SAS.&quot;,&quot;issue&quot;:&quot;1&quot;,&quot;volume&quot;:&quot;35&quot;},&quot;isTemporary&quot;:false}]},{&quot;citationID&quot;:&quot;MENDELEY_CITATION_7902d76f-8645-4684-b96a-82a72bee3921&quot;,&quot;properties&quot;:{&quot;noteIndex&quot;:0},&quot;isEdited&quot;:false,&quot;manualOverride&quot;:{&quot;isManuallyOverridden&quot;:false,&quot;citeprocText&quot;:&quot;(Bonnin et al., 2012; Uusitalo et al., 2005)&quot;,&quot;manualOverrideText&quot;:&quot;&quot;},&quot;citationTag&quot;:&quot;MENDELEY_CITATION_v3_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&quot;,&quot;citationItems&quot;:[{&quot;id&quot;:&quot;5866e445-19c0-361d-a9cd-08e9b9459bd6&quot;,&quot;itemData&quot;:{&quot;type&quot;:&quot;article-journal&quot;,&quot;id&quot;:&quot;5866e445-19c0-361d-a9cd-08e9b9459bd6&quot;,&quot;title&quot;:&quot;Plasma levels and systemic safety of 0.1% unpreserved Timolol maleate gel, 0.5% Timolol aqueous solution and 0.5% Timolol maleate gel&quot;,&quot;author&quot;:[{&quot;family&quot;:&quot;Bonnin&quot;,&quot;given&quot;:&quot;N.&quot;,&quot;parse-names&quot;:false,&quot;dropping-particle&quot;:&quot;&quot;,&quot;non-dropping-particle&quot;:&quot;&quot;},{&quot;family&quot;:&quot;Nezzar&quot;,&quot;given&quot;:&quot;H.&quot;,&quot;parse-names&quot;:false,&quot;dropping-particle&quot;:&quot;&quot;,&quot;non-dropping-particle&quot;:&quot;&quot;},{&quot;family&quot;:&quot;Dubray&quot;,&quot;given&quot;:&quot;C.&quot;,&quot;parse-names&quot;:false,&quot;dropping-particle&quot;:&quot;&quot;,&quot;non-dropping-particle&quot;:&quot;&quot;},{&quot;family&quot;:&quot;Renault&quot;,&quot;given&quot;:&quot;D.&quot;,&quot;parse-names&quot;:false,&quot;dropping-particle&quot;:&quot;&quot;,&quot;non-dropping-particle&quot;:&quot;&quot;},{&quot;family&quot;:&quot;Olmiere&quot;,&quot;given&quot;:&quot;C.&quot;,&quot;parse-names&quot;:false,&quot;dropping-particle&quot;:&quot;&quot;,&quot;non-dropping-particle&quot;:&quot;&quot;},{&quot;family&quot;:&quot;Chiambaretta&quot;,&quot;given&quot;:&quot;F.&quot;,&quot;parse-names&quot;:false,&quot;dropping-particle&quot;:&quot;&quot;,&quot;non-dropping-particle&quot;:&quot;&quot;}],&quot;container-title&quot;:&quot;Journal Francais d'Ophtalmologie&quot;,&quot;container-title-short&quot;:&quot;J Fr Ophtalmol&quot;,&quot;DOI&quot;:&quot;10.1016/j.jfo.2011.03.012&quot;,&quot;ISSN&quot;:&quot;01815512&quot;,&quot;PMID&quot;:&quot;21992993&quot;,&quot;issued&quot;:{&quot;date-parts&quot;:[[2012,1]]},&quot;page&quot;:&quot;9-16&quot;,&quot;abstract&quot;:&quot;Purpose: To compare systemic absorption of three formulations of timolol eye drops: 0.1% timolol maleate gel, 0.5% timolol aqueous solution, and 0.5% timolol maleate gel. Methods: This was a double cross-over phase I study. Cross-over 1: two weeks of 0.1% timolol gel once daily, followed by a 3-week wash-out period and then two weeks of 0.5% timolol aqueous solution twice a day (group 1) or the reverse (group 2). Cross-over 2: two weeks of 0.1% timolol gel once daily, followed by a 3-week wash-out period, and then two weeks of 0.5% timolol gel once daily (group 3) or the reverse (group 4). Subjects underwent tonometry, blood sampling, and heart rate and blood pressure assessments (during bicycle exercise and head-up tilt tests) before and after instillation at the beginning and end of each treatment period. Results: Forty-three healthy volunteers were randomized: 11 subjects in groups 1, 2, and 3, and 10 subjects in group 4. Areas under the concentration-time curve (AUC) values after administration of timolol 0.5% formulations were 15- to 38-fold higher than those seen after administration of timolol 0.1% gel. Maximum timolol concentrations after instillation of 0.1% gel are reduced by almost 90% compared to concentrations obtained after both 0.5% aqueous solution and 0.5% gel instillation. The AUC between 0 and 12 h post-administration were also reduced by up to 93 to 98%. Conclusions: After treatment with a timolol 0.1% gel formulation, systemic concentrations found were considerably lower than after administration of timolol 0.5% gel or in aqueous solution. © 2011 Elsevier Masson SAS.&quot;,&quot;issue&quot;:&quot;1&quot;,&quot;volume&quot;:&quot;35&quot;},&quot;isTemporary&quot;:false},{&quot;id&quot;:&quot;0ac13f63-1555-3249-9763-cae67f35d07b&quot;,&quot;itemData&quot;:{&quot;type&quot;:&quot;article-journal&quot;,&quot;id&quot;:&quot;0ac13f63-1555-3249-9763-cae67f35d07b&quot;,&quot;title&quot;:&quot;Efficacy and systemic side-effects of topical 0.5% timolol aqueous solution and 0.1% timolol hydrogel&quot;,&quot;author&quot;:[{&quot;family&quot;:&quot;Uusitalo&quot;,&quot;given&quot;:&quot;Hannu&quot;,&quot;parse-names&quot;:false,&quot;dropping-particle&quot;:&quot;&quot;,&quot;non-dropping-particle&quot;:&quot;&quot;},{&quot;family&quot;:&quot;Niño&quot;,&quot;given&quot;:&quot;Juanita&quot;,&quot;parse-names&quot;:false,&quot;dropping-particle&quot;:&quot;&quot;,&quot;non-dropping-particle&quot;:&quot;&quot;},{&quot;family&quot;:&quot;Tahvanainen&quot;,&quot;given&quot;:&quot;Kari&quot;,&quot;parse-names&quot;:false,&quot;dropping-particle&quot;:&quot;&quot;,&quot;non-dropping-particle&quot;:&quot;&quot;},{&quot;family&quot;:&quot;Turjanmaa&quot;,&quot;given&quot;:&quot;Väinö&quot;,&quot;parse-names&quot;:false,&quot;dropping-particle&quot;:&quot;&quot;,&quot;non-dropping-particle&quot;:&quot;&quot;},{&quot;family&quot;:&quot;Ropo&quot;,&quot;given&quot;:&quot;Auli&quot;,&quot;parse-names&quot;:false,&quot;dropping-particle&quot;:&quot;&quot;,&quot;non-dropping-particle&quot;:&quot;&quot;},{&quot;family&quot;:&quot;Touminen&quot;,&quot;given&quot;:&quot;Juhani&quot;,&quot;parse-names&quot;:false,&quot;dropping-particle&quot;:&quot;&quot;,&quot;non-dropping-particle&quot;:&quot;&quot;},{&quot;family&quot;:&quot;Kähönen&quot;,&quot;given&quot;:&quot;Mika&quot;,&quot;parse-names&quot;:false,&quot;dropping-particle&quot;:&quot;&quot;,&quot;non-dropping-particle&quot;:&quot;&quot;}],&quot;container-title&quot;:&quot;Acta Ophthalmologica Scandinavica&quot;,&quot;container-title-short&quot;:&quot;Acta Ophthalmol Scand&quot;,&quot;DOI&quot;:&quot;10.1111/j.1600-0420.2005.00562.x&quot;,&quot;ISSN&quot;:&quot;13953907&quot;,&quot;PMID&quot;:&quot;16396651&quot;,&quot;issued&quot;:{&quot;date-parts&quot;:[[2005,12]]},&quot;page&quot;:&quot;723-728&quot;,&quot;abstract&quot;:&quot;Purpose: The objective of this randomized, double-blind, controlled crossover trial was to compare 0.1% timolol hydrogel formulation eyedrops with 0.5% timolol aqueous solution in terms of systemic effects, hypotensive efficacy and pharmacodynamics. Methods: Twenty-four healthy subjects underwent careful ocular, cardiovascular and pulmonary function evaluation before and after 2 weeks of topical treatment with 0.1% timolol hydrogel or 0.5% aqueous timolol maleate. Intraocular pressure (IOP), heart rate, blood pressure, forced expiratory volume and plasma levels of timolol were measured. Results: There was a statistically significant difference in the systemic absorption of timolol between these two ophthalmic timolol solutions. The peak concentration and mean area under the plasma drug concentration-time curve (AUC) were about 10-fold higher after 0.5% timolol aqueous solution. The mean peak heart rate during exercise was reduced by 19 bpm (SD 6.4 bpm) after 0.5% timolol aqueous solution and by only 4.6 bpm (SD 3.8 bpm) after 0.1% timolol hydrogel (p &lt; 0.0001). There was no difference between the two formulations in efficacy in reducing IOP. No differences between treatments were found in respect of pulmonary function. Conclusions: The lower timolol concentration in the hydrogel vehicle and its better bioavailability resulted in reduced systemic absorption and side-effects without loss of efficacy. Copyright © Acta Ophthalmol Scand 2005.&quot;,&quot;issue&quot;:&quot;6&quot;,&quot;volume&quot;:&quot;83&quot;},&quot;isTemporary&quot;:false}]},{&quot;citationID&quot;:&quot;MENDELEY_CITATION_750e2e61-20a4-45f5-84f0-8d78255359aa&quot;,&quot;properties&quot;:{&quot;noteIndex&quot;:0},&quot;isEdited&quot;:false,&quot;manualOverride&quot;:{&quot;isManuallyOverridden&quot;:false,&quot;citeprocText&quot;:&quot;(Wang et al., 2019)&quot;,&quot;manualOverrideText&quot;:&quot;&quot;},&quot;citationTag&quot;:&quot;MENDELEY_CITATION_v3_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&quot;,&quot;citationItems&quot;:[{&quot;id&quot;:&quot;2b88c203-f0be-3ffb-ad70-13a7307edadd&quot;,&quot;itemData&quot;:{&quot;type&quot;:&quot;article-journal&quot;,&quot;id&quot;:&quot;2b88c203-f0be-3ffb-ad70-13a7307edadd&quot;,&quot;title&quot;:&quot;Complete atrioventricular block due to timolol eye drops: A case report and literature review&quot;,&quot;author&quot;:[{&quot;family&quot;:&quot;Wang&quot;,&quot;given&quot;:&quot;Zhuoying&quot;,&quot;parse-names&quot;:false,&quot;dropping-particle&quot;:&quot;&quot;,&quot;non-dropping-particle&quot;:&quot;&quot;},{&quot;family&quot;:&quot;Denys&quot;,&quot;given&quot;:&quot;Ian&quot;,&quot;parse-names&quot;:false,&quot;dropping-particle&quot;:&quot;&quot;,&quot;non-dropping-particle&quot;:&quot;&quot;},{&quot;family&quot;:&quot;Chen&quot;,&quot;given&quot;:&quot;Feng&quot;,&quot;parse-names&quot;:false,&quot;dropping-particle&quot;:&quot;&quot;,&quot;non-dropping-particle&quot;:&quot;&quot;},{&quot;family&quot;:&quot;Cai&quot;,&quot;given&quot;:&quot;Lijie&quot;,&quot;parse-names&quot;:false,&quot;dropping-particle&quot;:&quot;&quot;,&quot;non-dropping-particle&quot;:&quot;&quot;},{&quot;family&quot;:&quot;Wang&quot;,&quot;given&quot;:&quot;Xuecui&quot;,&quot;parse-names&quot;:false,&quot;dropping-particle&quot;:&quot;&quot;,&quot;non-dropping-particle&quot;:&quot;&quot;},{&quot;family&quot;:&quot;Kapusta&quot;,&quot;given&quot;:&quot;Daniel R.&quot;,&quot;parse-names&quot;:false,&quot;dropping-particle&quot;:&quot;&quot;,&quot;non-dropping-particle&quot;:&quot;&quot;},{&quot;family&quot;:&quot;Lv&quot;,&quot;given&quot;:&quot;Yongliang&quot;,&quot;parse-names&quot;:false,&quot;dropping-particle&quot;:&quot;&quot;,&quot;non-dropping-particle&quot;:&quot;&quot;},{&quot;family&quot;:&quot;Gao&quot;,&quot;given&quot;:&quot;Juan&quot;,&quot;parse-names&quot;:false,&quot;dropping-particle&quot;:&quot;&quot;,&quot;non-dropping-particle&quot;:&quot;&quot;}],&quot;container-title&quot;:&quot;BMC Pharmacology and Toxicology&quot;,&quot;container-title-short&quot;:&quot;BMC Pharmacol Toxicol&quot;,&quot;DOI&quot;:&quot;10.1186/s40360-019-0370-2&quot;,&quot;ISSN&quot;:&quot;20506511&quot;,&quot;PMID&quot;:&quot;31791399&quot;,&quot;issued&quot;:{&quot;date-parts&quot;:[[2019,12,2]]},&quot;abstract&quot;:&quot;Background: Timolol Maleate is a non-selective beta-adrenergic blocker that is commonly used to treat open-angle glaucoma. Despite its topical administration, ophthalmic timolol enters systemic circulation and produces a systemic beta-adrenergic blockade. We report a case of long-term timolol use that uncovered and worsened an underlying cardiac conduction defect demonstrated as a third degree atrioventricular (AV) block. Case presentation: A 62-year old male with a 13-year history of glaucoma was hospitalized due to shortness of breath, dizziness, and amaurosis. Electrocardiography indicated a heart rate (HR) of 29 bpm with complete atrioventricular (AV) block, and the HR was significantly increased with the treatment of isoprenaline. However, the patient experienced bradycardic episodes (-20 Δbpm) immediately after self-administration of timolol eye drops. The AV block and bradycardia resolved 48-h after timolol cessation. The man was discharged 1 week later with an asymptomatic first-degree A-V block. However, he presented with a worsened A-V block at his one-year checkup. Conclusion: We conclude that chronic topical timolol administration may aggravate a cardiac conduction defect leading to an AV block that is only temporarily resolved by timolol cessation. Patients taking timolol should be routinely monitored for cardiovascular aberrations and if any detected, immediately discontinue timolol therapy. Individuals experiencing timolol induced cardiovascular side effects should receive long term follow-up even if symptoms resolve, as they may be indicative of an underlying conduction defect.&quot;,&quot;publisher&quot;:&quot;BioMed Central Ltd.&quot;,&quot;issue&quot;:&quot;1&quot;,&quot;volume&quot;:&quot;20&quot;},&quot;isTemporary&quot;:false}]},{&quot;citationID&quot;:&quot;MENDELEY_CITATION_f9a2bdd2-16bb-471b-8a2a-ced558cdcd89&quot;,&quot;properties&quot;:{&quot;noteIndex&quot;:0},&quot;isEdited&quot;:false,&quot;manualOverride&quot;:{&quot;isManuallyOverridden&quot;:false,&quot;citeprocText&quot;:&quot;(Özcan et al., 2015)&quot;,&quot;manualOverrideText&quot;:&quot;&quot;},&quot;citationTag&quot;:&quot;MENDELEY_CITATION_v3_eyJjaXRhdGlvbklEIjoiTUVOREVMRVlfQ0lUQVRJT05fZjlhMmJkZDItMTZiYi00NzFiLThhMmEtY2VkNTU4Y2RjZDg5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quot;,&quot;citationItems&quot;:[{&quot;id&quot;:&quot;32ea48a3-1dde-3ae2-b033-6382120d8bbd&quot;,&quot;itemData&quot;:{&quot;type&quot;:&quot;article-journal&quot;,&quot;id&quot;:&quot;32ea48a3-1dde-3ae2-b033-6382120d8bbd&quot;,&quot;title&quot;:&quot;Management and outcome of topical beta-blocker-induced atrioventricular block&quot;,&quot;author&quot;:[{&quot;family&quot;:&quot;Özcan&quot;,&quot;given&quot;:&quot;Kazim Serhan&quot;,&quot;parse-names&quot;:false,&quot;dropping-particle&quot;:&quot;&quot;,&quot;non-dropping-particle&quot;:&quot;&quot;},{&quot;family&quot;:&quot;Güngör&quot;,&quot;given&quot;:&quot;Bariş&quot;,&quot;parse-names&quot;:false,&quot;dropping-particle&quot;:&quot;&quot;,&quot;non-dropping-particle&quot;:&quot;&quot;},{&quot;family&quot;:&quot;Osmonov&quot;,&quot;given&quot;:&quot;Damirbek&quot;,&quot;parse-names&quot;:false,&quot;dropping-particle&quot;:&quot;&quot;,&quot;non-dropping-particle&quot;:&quot;&quot;},{&quot;family&quot;:&quot;Tekkeşin&quot;,&quot;given&quot;:&quot;Ahmet Ilker&quot;,&quot;parse-names&quot;:false,&quot;dropping-particle&quot;:&quot;&quot;,&quot;non-dropping-particle&quot;:&quot;&quot;},{&quot;family&quot;:&quot;Altay&quot;,&quot;given&quot;:&quot;Servet&quot;,&quot;parse-names&quot;:false,&quot;dropping-particle&quot;:&quot;&quot;,&quot;non-dropping-particle&quot;:&quot;&quot;},{&quot;family&quot;:&quot;Ekmekçi&quot;,&quot;given&quot;:&quot;Ahmet&quot;,&quot;parse-names&quot;:false,&quot;dropping-particle&quot;:&quot;&quot;,&quot;non-dropping-particle&quot;:&quot;&quot;},{&quot;family&quot;:&quot;Toprak&quot;,&quot;given&quot;:&quot;Ercan&quot;,&quot;parse-names&quot;:false,&quot;dropping-particle&quot;:&quot;&quot;,&quot;non-dropping-particle&quot;:&quot;&quot;},{&quot;family&quot;:&quot;Yildirim&quot;,&quot;given&quot;:&quot;Ersin&quot;,&quot;parse-names&quot;:false,&quot;dropping-particle&quot;:&quot;&quot;,&quot;non-dropping-particle&quot;:&quot;&quot;},{&quot;family&quot;:&quot;Çalik&quot;,&quot;given&quot;:&quot;Nazmi&quot;,&quot;parse-names&quot;:false,&quot;dropping-particle&quot;:&quot;&quot;,&quot;non-dropping-particle&quot;:&quot;&quot;},{&quot;family&quot;:&quot;Alper&quot;,&quot;given&quot;:&quot;Ahmet Taha&quot;,&quot;parse-names&quot;:false,&quot;dropping-particle&quot;:&quot;&quot;,&quot;non-dropping-particle&quot;:&quot;&quot;},{&quot;family&quot;:&quot;Gürkan&quot;,&quot;given&quot;:&quot;Kadir&quot;,&quot;parse-names&quot;:false,&quot;dropping-particle&quot;:&quot;&quot;,&quot;non-dropping-particle&quot;:&quot;&quot;},{&quot;family&quot;:&quot;Erdinler&quot;,&quot;given&quot;:&quot;Izzet&quot;,&quot;parse-names&quot;:false,&quot;dropping-particle&quot;:&quot;&quot;,&quot;non-dropping-particle&quot;:&quot;&quot;}],&quot;container-title&quot;:&quot;Cardiovascular Journal of Africa&quot;,&quot;container-title-short&quot;:&quot;Cardiovasc J Afr&quot;,&quot;DOI&quot;:&quot;10.5830/CVJA-2015-030&quot;,&quot;ISSN&quot;:&quot;19951892&quot;,&quot;PMID&quot;:&quot;26659434&quot;,&quot;issued&quot;:{&quot;date-parts&quot;:[[2015,11,1]]},&quot;page&quot;:&quot;210-213&quot;,&quot;abstract&quot;:&quot;Background: Topical beta-blockers have a well-established role in the treatment of glaucoma. We aimed to investigate the outcome of patients who developed symptomatic atrioventricular (AV) block induced by topical beta-blockers. Methods: All patients admitted or discharged from our institution, the Siyami Ersek Training and Research Hospital, between January 2009 and January 2013 with a diagnosis of AV block were included in the study. Subjects using ophthalmic beta-blockers were recruited and followed for permanent pacemaker requirement during hospitalisation and for three months after discontinuation of the drug. A permanent pacemaker was implanted in patients in whom AV block persisted beyond 72 hours or recurred during the follow-up period. Results: A total of 1 122 patients were hospitalised with a diagnosis of AV block and a permanent pacemaker was implanted in 946 cases (84.3%) during the study period. Thirteen patients using ophthalmic beta-blockers for the treatment of glaucoma and no other rate-limiting drugs were included in the study. On electrocardiography, eight patients had complete AV block and five had high-degree AV block. The ophthalmic beta-blockers used were timolol in seven patients (55%), betaxolol in four (30%), and cartelol in two cases (15%). The mean duration of ophthalmic beta-blocker treatment was 30.1 ± 15.9 months. After drug discontinuation, in 10 patients the block persisted and a permanent pacemaker was implanted. During follow up, one more patient required pacemaker implantation. Therefore in total, pacemakers were implanted in 11 out of 13 patients (84.6%). The pacemaker implantation rate did not differ according to the type of topical beta-blocker used (p = 0.37). The presence of infra-nodal block on electrocardiography was associated with higher rates of pacemaker implantation. Conclusion: Our results indicate that topical beta-blockers for the treatment of glaucoma may cause severe conduction abnormalities and when AV block occurs, pacemaker implantation is required in a high percentage of the patients.&quot;,&quot;publisher&quot;:&quot;Clinics Cardive Publishing (PTY)Ltd&quot;,&quot;issue&quot;:&quot;6&quot;,&quot;volume&quot;:&quot;26&quot;},&quot;isTemporary&quot;:false}]},{&quot;citationID&quot;:&quot;MENDELEY_CITATION_55321455-36fe-4857-a9bd-542921ff4f94&quot;,&quot;properties&quot;:{&quot;noteIndex&quot;:0},&quot;isEdited&quot;:false,&quot;manualOverride&quot;:{&quot;isManuallyOverridden&quot;:false,&quot;citeprocText&quot;:&quot;(Bonnin et al., 2012; Uusitalo et al., 2005)&quot;,&quot;manualOverrideText&quot;:&quot;&quot;},&quot;citationTag&quot;:&quot;MENDELEY_CITATION_v3_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&quot;,&quot;citationItems&quot;:[{&quot;id&quot;:&quot;5866e445-19c0-361d-a9cd-08e9b9459bd6&quot;,&quot;itemData&quot;:{&quot;type&quot;:&quot;article-journal&quot;,&quot;id&quot;:&quot;5866e445-19c0-361d-a9cd-08e9b9459bd6&quot;,&quot;title&quot;:&quot;Plasma levels and systemic safety of 0.1% unpreserved Timolol maleate gel, 0.5% Timolol aqueous solution and 0.5% Timolol maleate gel&quot;,&quot;author&quot;:[{&quot;family&quot;:&quot;Bonnin&quot;,&quot;given&quot;:&quot;N.&quot;,&quot;parse-names&quot;:false,&quot;dropping-particle&quot;:&quot;&quot;,&quot;non-dropping-particle&quot;:&quot;&quot;},{&quot;family&quot;:&quot;Nezzar&quot;,&quot;given&quot;:&quot;H.&quot;,&quot;parse-names&quot;:false,&quot;dropping-particle&quot;:&quot;&quot;,&quot;non-dropping-particle&quot;:&quot;&quot;},{&quot;family&quot;:&quot;Dubray&quot;,&quot;given&quot;:&quot;C.&quot;,&quot;parse-names&quot;:false,&quot;dropping-particle&quot;:&quot;&quot;,&quot;non-dropping-particle&quot;:&quot;&quot;},{&quot;family&quot;:&quot;Renault&quot;,&quot;given&quot;:&quot;D.&quot;,&quot;parse-names&quot;:false,&quot;dropping-particle&quot;:&quot;&quot;,&quot;non-dropping-particle&quot;:&quot;&quot;},{&quot;family&quot;:&quot;Olmiere&quot;,&quot;given&quot;:&quot;C.&quot;,&quot;parse-names&quot;:false,&quot;dropping-particle&quot;:&quot;&quot;,&quot;non-dropping-particle&quot;:&quot;&quot;},{&quot;family&quot;:&quot;Chiambaretta&quot;,&quot;given&quot;:&quot;F.&quot;,&quot;parse-names&quot;:false,&quot;dropping-particle&quot;:&quot;&quot;,&quot;non-dropping-particle&quot;:&quot;&quot;}],&quot;container-title&quot;:&quot;Journal Francais d'Ophtalmologie&quot;,&quot;container-title-short&quot;:&quot;J Fr Ophtalmol&quot;,&quot;DOI&quot;:&quot;10.1016/j.jfo.2011.03.012&quot;,&quot;ISSN&quot;:&quot;01815512&quot;,&quot;PMID&quot;:&quot;21992993&quot;,&quot;issued&quot;:{&quot;date-parts&quot;:[[2012,1]]},&quot;page&quot;:&quot;9-16&quot;,&quot;abstract&quot;:&quot;Purpose: To compare systemic absorption of three formulations of timolol eye drops: 0.1% timolol maleate gel, 0.5% timolol aqueous solution, and 0.5% timolol maleate gel. Methods: This was a double cross-over phase I study. Cross-over 1: two weeks of 0.1% timolol gel once daily, followed by a 3-week wash-out period and then two weeks of 0.5% timolol aqueous solution twice a day (group 1) or the reverse (group 2). Cross-over 2: two weeks of 0.1% timolol gel once daily, followed by a 3-week wash-out period, and then two weeks of 0.5% timolol gel once daily (group 3) or the reverse (group 4). Subjects underwent tonometry, blood sampling, and heart rate and blood pressure assessments (during bicycle exercise and head-up tilt tests) before and after instillation at the beginning and end of each treatment period. Results: Forty-three healthy volunteers were randomized: 11 subjects in groups 1, 2, and 3, and 10 subjects in group 4. Areas under the concentration-time curve (AUC) values after administration of timolol 0.5% formulations were 15- to 38-fold higher than those seen after administration of timolol 0.1% gel. Maximum timolol concentrations after instillation of 0.1% gel are reduced by almost 90% compared to concentrations obtained after both 0.5% aqueous solution and 0.5% gel instillation. The AUC between 0 and 12 h post-administration were also reduced by up to 93 to 98%. Conclusions: After treatment with a timolol 0.1% gel formulation, systemic concentrations found were considerably lower than after administration of timolol 0.5% gel or in aqueous solution. © 2011 Elsevier Masson SAS.&quot;,&quot;issue&quot;:&quot;1&quot;,&quot;volume&quot;:&quot;35&quot;},&quot;isTemporary&quot;:false},{&quot;id&quot;:&quot;0ac13f63-1555-3249-9763-cae67f35d07b&quot;,&quot;itemData&quot;:{&quot;type&quot;:&quot;article-journal&quot;,&quot;id&quot;:&quot;0ac13f63-1555-3249-9763-cae67f35d07b&quot;,&quot;title&quot;:&quot;Efficacy and systemic side-effects of topical 0.5% timolol aqueous solution and 0.1% timolol hydrogel&quot;,&quot;author&quot;:[{&quot;family&quot;:&quot;Uusitalo&quot;,&quot;given&quot;:&quot;Hannu&quot;,&quot;parse-names&quot;:false,&quot;dropping-particle&quot;:&quot;&quot;,&quot;non-dropping-particle&quot;:&quot;&quot;},{&quot;family&quot;:&quot;Niño&quot;,&quot;given&quot;:&quot;Juanita&quot;,&quot;parse-names&quot;:false,&quot;dropping-particle&quot;:&quot;&quot;,&quot;non-dropping-particle&quot;:&quot;&quot;},{&quot;family&quot;:&quot;Tahvanainen&quot;,&quot;given&quot;:&quot;Kari&quot;,&quot;parse-names&quot;:false,&quot;dropping-particle&quot;:&quot;&quot;,&quot;non-dropping-particle&quot;:&quot;&quot;},{&quot;family&quot;:&quot;Turjanmaa&quot;,&quot;given&quot;:&quot;Väinö&quot;,&quot;parse-names&quot;:false,&quot;dropping-particle&quot;:&quot;&quot;,&quot;non-dropping-particle&quot;:&quot;&quot;},{&quot;family&quot;:&quot;Ropo&quot;,&quot;given&quot;:&quot;Auli&quot;,&quot;parse-names&quot;:false,&quot;dropping-particle&quot;:&quot;&quot;,&quot;non-dropping-particle&quot;:&quot;&quot;},{&quot;family&quot;:&quot;Touminen&quot;,&quot;given&quot;:&quot;Juhani&quot;,&quot;parse-names&quot;:false,&quot;dropping-particle&quot;:&quot;&quot;,&quot;non-dropping-particle&quot;:&quot;&quot;},{&quot;family&quot;:&quot;Kähönen&quot;,&quot;given&quot;:&quot;Mika&quot;,&quot;parse-names&quot;:false,&quot;dropping-particle&quot;:&quot;&quot;,&quot;non-dropping-particle&quot;:&quot;&quot;}],&quot;container-title&quot;:&quot;Acta Ophthalmologica Scandinavica&quot;,&quot;container-title-short&quot;:&quot;Acta Ophthalmol Scand&quot;,&quot;DOI&quot;:&quot;10.1111/j.1600-0420.2005.00562.x&quot;,&quot;ISSN&quot;:&quot;13953907&quot;,&quot;PMID&quot;:&quot;16396651&quot;,&quot;issued&quot;:{&quot;date-parts&quot;:[[2005,12]]},&quot;page&quot;:&quot;723-728&quot;,&quot;abstract&quot;:&quot;Purpose: The objective of this randomized, double-blind, controlled crossover trial was to compare 0.1% timolol hydrogel formulation eyedrops with 0.5% timolol aqueous solution in terms of systemic effects, hypotensive efficacy and pharmacodynamics. Methods: Twenty-four healthy subjects underwent careful ocular, cardiovascular and pulmonary function evaluation before and after 2 weeks of topical treatment with 0.1% timolol hydrogel or 0.5% aqueous timolol maleate. Intraocular pressure (IOP), heart rate, blood pressure, forced expiratory volume and plasma levels of timolol were measured. Results: There was a statistically significant difference in the systemic absorption of timolol between these two ophthalmic timolol solutions. The peak concentration and mean area under the plasma drug concentration-time curve (AUC) were about 10-fold higher after 0.5% timolol aqueous solution. The mean peak heart rate during exercise was reduced by 19 bpm (SD 6.4 bpm) after 0.5% timolol aqueous solution and by only 4.6 bpm (SD 3.8 bpm) after 0.1% timolol hydrogel (p &lt; 0.0001). There was no difference between the two formulations in efficacy in reducing IOP. No differences between treatments were found in respect of pulmonary function. Conclusions: The lower timolol concentration in the hydrogel vehicle and its better bioavailability resulted in reduced systemic absorption and side-effects without loss of efficacy. Copyright © Acta Ophthalmol Scand 2005.&quot;,&quot;issue&quot;:&quot;6&quot;,&quot;volume&quot;:&quot;83&quot;},&quot;isTemporary&quot;:false}]},{&quot;citationID&quot;:&quot;MENDELEY_CITATION_cec16f0b-fd68-4233-b93e-0b76111262f9&quot;,&quot;properties&quot;:{&quot;noteIndex&quot;:0},&quot;isEdited&quot;:false,&quot;manualOverride&quot;:{&quot;isManuallyOverridden&quot;:false,&quot;citeprocText&quot;:&quot;(Pratt et al., 2015)&quot;,&quot;manualOverrideText&quot;:&quot;&quot;},&quot;citationTag&quot;:&quot;MENDELEY_CITATION_v3_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&quot;,&quot;citationItems&quot;:[{&quot;id&quot;:&quot;d63ba11d-c9cf-3123-bfda-e30766387908&quot;,&quot;itemData&quot;:{&quot;type&quot;:&quot;article-journal&quot;,&quot;id&quot;:&quot;d63ba11d-c9cf-3123-bfda-e30766387908&quot;,&quot;title&quot;:&quot;Association between ophthalmic timolol and hospitalisation for bradycardia&quot;,&quot;author&quot;:[{&quot;family&quot;:&quot;Pratt&quot;,&quot;given&quot;:&quot;Nicole L.&quot;,&quot;parse-names&quot;:false,&quot;dropping-particle&quot;:&quot;&quot;,&quot;non-dropping-particle&quot;:&quot;&quot;},{&quot;family&quot;:&quot;Ramsay&quot;,&quot;given&quot;:&quot;Emmae N.&quot;,&quot;parse-names&quot;:false,&quot;dropping-particle&quot;:&quot;&quot;,&quot;non-dropping-particle&quot;:&quot;&quot;},{&quot;family&quot;:&quot;Kalisch Ellett&quot;,&quot;given&quot;:&quot;Lisa M.&quot;,&quot;parse-names&quot;:false,&quot;dropping-particle&quot;:&quot;&quot;,&quot;non-dropping-particle&quot;:&quot;&quot;},{&quot;family&quot;:&quot;Nguyen&quot;,&quot;given&quot;:&quot;Tuan A.&quot;,&quot;parse-names&quot;:false,&quot;dropping-particle&quot;:&quot;&quot;,&quot;non-dropping-particle&quot;:&quot;&quot;},{&quot;family&quot;:&quot;Roughead&quot;,&quot;given&quot;:&quot;Elizabeth E.&quot;,&quot;parse-names&quot;:false,&quot;dropping-particle&quot;:&quot;&quot;,&quot;non-dropping-particle&quot;:&quot;&quot;}],&quot;container-title&quot;:&quot;Journal of Ophthalmology&quot;,&quot;container-title-short&quot;:&quot;J Ophthalmol&quot;,&quot;DOI&quot;:&quot;10.1155/2015/567387&quot;,&quot;ISSN&quot;:&quot;20900058&quot;,&quot;issued&quot;:{&quot;date-parts&quot;:[[2015]]},&quot;abstract&quot;:&quot;Introduction. Ophthalmic timolol, a topical nonselective beta-blocker, has the potential to be absorbed systemically which may cause adverse cardiovascular effects. This study was conducted to determine whether initiation of ophthalmic timolol was associated with an increased risk of hospitalisation for bradycardia. Materials and Methods. A self-controlled case-series study was undertaken in patients who were hospitalised for bradycardia and were exposed to timolol. Person-time after timolol initiation was partitioned into risk periods: 1-30 days, 31-180 days, and &gt;180 days. A 30-day risk period prior to initiating timolol was also included. All remaining time was considered unexposed. Results. There were 6,373 patients with at least one hospitalisation for bradycardia during the study period; 267 were exposed to timolol. Risk of bradycardia was significantly increased in the 31-180 days after timolol initiation (incidence rate ratio (IRR) = 1.93; 95% confidence interval (CI) 1.00-1.87). No increased risk was observed in the first 30 days or beyond 180 days of continuous exposure (IRR = 1.40; 95% CI 0.87-2.26 and IRR = 1.21; 95% CI 0.64-2.31, resp.). Conclusion. Bradycardia is a potential adverse event following timolol initiation. Practitioners should consider patient history before choosing a glaucoma regime and closely monitor patients after treatment initiation with topical nonselective beta-blocker eye drops.&quot;,&quot;publisher&quot;:&quot;Hindawi Publishing Corporation&quot;,&quot;volume&quot;:&quot;2015&quot;},&quot;isTemporary&quot;:false}]},{&quot;citationID&quot;:&quot;MENDELEY_CITATION_424ca14e-d162-4e4e-8095-b65bcfb190d5&quot;,&quot;properties&quot;:{&quot;noteIndex&quot;:0},&quot;isEdited&quot;:false,&quot;manualOverride&quot;:{&quot;isManuallyOverridden&quot;:false,&quot;citeprocText&quot;:&quot;(Wang et al., 2019)&quot;,&quot;manualOverrideText&quot;:&quot;&quot;},&quot;citationTag&quot;:&quot;MENDELEY_CITATION_v3_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&quot;,&quot;citationItems&quot;:[{&quot;id&quot;:&quot;2b88c203-f0be-3ffb-ad70-13a7307edadd&quot;,&quot;itemData&quot;:{&quot;type&quot;:&quot;article-journal&quot;,&quot;id&quot;:&quot;2b88c203-f0be-3ffb-ad70-13a7307edadd&quot;,&quot;title&quot;:&quot;Complete atrioventricular block due to timolol eye drops: A case report and literature review&quot;,&quot;author&quot;:[{&quot;family&quot;:&quot;Wang&quot;,&quot;given&quot;:&quot;Zhuoying&quot;,&quot;parse-names&quot;:false,&quot;dropping-particle&quot;:&quot;&quot;,&quot;non-dropping-particle&quot;:&quot;&quot;},{&quot;family&quot;:&quot;Denys&quot;,&quot;given&quot;:&quot;Ian&quot;,&quot;parse-names&quot;:false,&quot;dropping-particle&quot;:&quot;&quot;,&quot;non-dropping-particle&quot;:&quot;&quot;},{&quot;family&quot;:&quot;Chen&quot;,&quot;given&quot;:&quot;Feng&quot;,&quot;parse-names&quot;:false,&quot;dropping-particle&quot;:&quot;&quot;,&quot;non-dropping-particle&quot;:&quot;&quot;},{&quot;family&quot;:&quot;Cai&quot;,&quot;given&quot;:&quot;Lijie&quot;,&quot;parse-names&quot;:false,&quot;dropping-particle&quot;:&quot;&quot;,&quot;non-dropping-particle&quot;:&quot;&quot;},{&quot;family&quot;:&quot;Wang&quot;,&quot;given&quot;:&quot;Xuecui&quot;,&quot;parse-names&quot;:false,&quot;dropping-particle&quot;:&quot;&quot;,&quot;non-dropping-particle&quot;:&quot;&quot;},{&quot;family&quot;:&quot;Kapusta&quot;,&quot;given&quot;:&quot;Daniel R.&quot;,&quot;parse-names&quot;:false,&quot;dropping-particle&quot;:&quot;&quot;,&quot;non-dropping-particle&quot;:&quot;&quot;},{&quot;family&quot;:&quot;Lv&quot;,&quot;given&quot;:&quot;Yongliang&quot;,&quot;parse-names&quot;:false,&quot;dropping-particle&quot;:&quot;&quot;,&quot;non-dropping-particle&quot;:&quot;&quot;},{&quot;family&quot;:&quot;Gao&quot;,&quot;given&quot;:&quot;Juan&quot;,&quot;parse-names&quot;:false,&quot;dropping-particle&quot;:&quot;&quot;,&quot;non-dropping-particle&quot;:&quot;&quot;}],&quot;container-title&quot;:&quot;BMC Pharmacology and Toxicology&quot;,&quot;container-title-short&quot;:&quot;BMC Pharmacol Toxicol&quot;,&quot;DOI&quot;:&quot;10.1186/s40360-019-0370-2&quot;,&quot;ISSN&quot;:&quot;20506511&quot;,&quot;PMID&quot;:&quot;31791399&quot;,&quot;issued&quot;:{&quot;date-parts&quot;:[[2019,12,2]]},&quot;abstract&quot;:&quot;Background: Timolol Maleate is a non-selective beta-adrenergic blocker that is commonly used to treat open-angle glaucoma. Despite its topical administration, ophthalmic timolol enters systemic circulation and produces a systemic beta-adrenergic blockade. We report a case of long-term timolol use that uncovered and worsened an underlying cardiac conduction defect demonstrated as a third degree atrioventricular (AV) block. Case presentation: A 62-year old male with a 13-year history of glaucoma was hospitalized due to shortness of breath, dizziness, and amaurosis. Electrocardiography indicated a heart rate (HR) of 29 bpm with complete atrioventricular (AV) block, and the HR was significantly increased with the treatment of isoprenaline. However, the patient experienced bradycardic episodes (-20 Δbpm) immediately after self-administration of timolol eye drops. The AV block and bradycardia resolved 48-h after timolol cessation. The man was discharged 1 week later with an asymptomatic first-degree A-V block. However, he presented with a worsened A-V block at his one-year checkup. Conclusion: We conclude that chronic topical timolol administration may aggravate a cardiac conduction defect leading to an AV block that is only temporarily resolved by timolol cessation. Patients taking timolol should be routinely monitored for cardiovascular aberrations and if any detected, immediately discontinue timolol therapy. Individuals experiencing timolol induced cardiovascular side effects should receive long term follow-up even if symptoms resolve, as they may be indicative of an underlying conduction defect.&quot;,&quot;publisher&quot;:&quot;BioMed Central Ltd.&quot;,&quot;issue&quot;:&quot;1&quot;,&quot;volume&quot;:&quot;20&quot;},&quot;isTemporary&quot;:false}]},{&quot;citationID&quot;:&quot;MENDELEY_CITATION_92cc1b1f-7b30-48f8-b684-438282437250&quot;,&quot;properties&quot;:{&quot;noteIndex&quot;:0},&quot;isEdited&quot;:false,&quot;manualOverride&quot;:{&quot;isManuallyOverridden&quot;:false,&quot;citeprocText&quot;:&quot;(Özcan et al., 2015)&quot;,&quot;manualOverrideText&quot;:&quot;&quot;},&quot;citationTag&quot;:&quot;MENDELEY_CITATION_v3_eyJjaXRhdGlvbklEIjoiTUVOREVMRVlfQ0lUQVRJT05fOTJjYzFiMWYtN2IzMC00OGY4LWI2ODQtNDM4MjgyNDM3MjUw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quot;,&quot;citationItems&quot;:[{&quot;id&quot;:&quot;32ea48a3-1dde-3ae2-b033-6382120d8bbd&quot;,&quot;itemData&quot;:{&quot;type&quot;:&quot;article-journal&quot;,&quot;id&quot;:&quot;32ea48a3-1dde-3ae2-b033-6382120d8bbd&quot;,&quot;title&quot;:&quot;Management and outcome of topical beta-blocker-induced atrioventricular block&quot;,&quot;author&quot;:[{&quot;family&quot;:&quot;Özcan&quot;,&quot;given&quot;:&quot;Kazim Serhan&quot;,&quot;parse-names&quot;:false,&quot;dropping-particle&quot;:&quot;&quot;,&quot;non-dropping-particle&quot;:&quot;&quot;},{&quot;family&quot;:&quot;Güngör&quot;,&quot;given&quot;:&quot;Bariş&quot;,&quot;parse-names&quot;:false,&quot;dropping-particle&quot;:&quot;&quot;,&quot;non-dropping-particle&quot;:&quot;&quot;},{&quot;family&quot;:&quot;Osmonov&quot;,&quot;given&quot;:&quot;Damirbek&quot;,&quot;parse-names&quot;:false,&quot;dropping-particle&quot;:&quot;&quot;,&quot;non-dropping-particle&quot;:&quot;&quot;},{&quot;family&quot;:&quot;Tekkeşin&quot;,&quot;given&quot;:&quot;Ahmet Ilker&quot;,&quot;parse-names&quot;:false,&quot;dropping-particle&quot;:&quot;&quot;,&quot;non-dropping-particle&quot;:&quot;&quot;},{&quot;family&quot;:&quot;Altay&quot;,&quot;given&quot;:&quot;Servet&quot;,&quot;parse-names&quot;:false,&quot;dropping-particle&quot;:&quot;&quot;,&quot;non-dropping-particle&quot;:&quot;&quot;},{&quot;family&quot;:&quot;Ekmekçi&quot;,&quot;given&quot;:&quot;Ahmet&quot;,&quot;parse-names&quot;:false,&quot;dropping-particle&quot;:&quot;&quot;,&quot;non-dropping-particle&quot;:&quot;&quot;},{&quot;family&quot;:&quot;Toprak&quot;,&quot;given&quot;:&quot;Ercan&quot;,&quot;parse-names&quot;:false,&quot;dropping-particle&quot;:&quot;&quot;,&quot;non-dropping-particle&quot;:&quot;&quot;},{&quot;family&quot;:&quot;Yildirim&quot;,&quot;given&quot;:&quot;Ersin&quot;,&quot;parse-names&quot;:false,&quot;dropping-particle&quot;:&quot;&quot;,&quot;non-dropping-particle&quot;:&quot;&quot;},{&quot;family&quot;:&quot;Çalik&quot;,&quot;given&quot;:&quot;Nazmi&quot;,&quot;parse-names&quot;:false,&quot;dropping-particle&quot;:&quot;&quot;,&quot;non-dropping-particle&quot;:&quot;&quot;},{&quot;family&quot;:&quot;Alper&quot;,&quot;given&quot;:&quot;Ahmet Taha&quot;,&quot;parse-names&quot;:false,&quot;dropping-particle&quot;:&quot;&quot;,&quot;non-dropping-particle&quot;:&quot;&quot;},{&quot;family&quot;:&quot;Gürkan&quot;,&quot;given&quot;:&quot;Kadir&quot;,&quot;parse-names&quot;:false,&quot;dropping-particle&quot;:&quot;&quot;,&quot;non-dropping-particle&quot;:&quot;&quot;},{&quot;family&quot;:&quot;Erdinler&quot;,&quot;given&quot;:&quot;Izzet&quot;,&quot;parse-names&quot;:false,&quot;dropping-particle&quot;:&quot;&quot;,&quot;non-dropping-particle&quot;:&quot;&quot;}],&quot;container-title&quot;:&quot;Cardiovascular Journal of Africa&quot;,&quot;container-title-short&quot;:&quot;Cardiovasc J Afr&quot;,&quot;DOI&quot;:&quot;10.5830/CVJA-2015-030&quot;,&quot;ISSN&quot;:&quot;19951892&quot;,&quot;PMID&quot;:&quot;26659434&quot;,&quot;issued&quot;:{&quot;date-parts&quot;:[[2015,11,1]]},&quot;page&quot;:&quot;210-213&quot;,&quot;abstract&quot;:&quot;Background: Topical beta-blockers have a well-established role in the treatment of glaucoma. We aimed to investigate the outcome of patients who developed symptomatic atrioventricular (AV) block induced by topical beta-blockers. Methods: All patients admitted or discharged from our institution, the Siyami Ersek Training and Research Hospital, between January 2009 and January 2013 with a diagnosis of AV block were included in the study. Subjects using ophthalmic beta-blockers were recruited and followed for permanent pacemaker requirement during hospitalisation and for three months after discontinuation of the drug. A permanent pacemaker was implanted in patients in whom AV block persisted beyond 72 hours or recurred during the follow-up period. Results: A total of 1 122 patients were hospitalised with a diagnosis of AV block and a permanent pacemaker was implanted in 946 cases (84.3%) during the study period. Thirteen patients using ophthalmic beta-blockers for the treatment of glaucoma and no other rate-limiting drugs were included in the study. On electrocardiography, eight patients had complete AV block and five had high-degree AV block. The ophthalmic beta-blockers used were timolol in seven patients (55%), betaxolol in four (30%), and cartelol in two cases (15%). The mean duration of ophthalmic beta-blocker treatment was 30.1 ± 15.9 months. After drug discontinuation, in 10 patients the block persisted and a permanent pacemaker was implanted. During follow up, one more patient required pacemaker implantation. Therefore in total, pacemakers were implanted in 11 out of 13 patients (84.6%). The pacemaker implantation rate did not differ according to the type of topical beta-blocker used (p = 0.37). The presence of infra-nodal block on electrocardiography was associated with higher rates of pacemaker implantation. Conclusion: Our results indicate that topical beta-blockers for the treatment of glaucoma may cause severe conduction abnormalities and when AV block occurs, pacemaker implantation is required in a high percentage of the patients.&quot;,&quot;publisher&quot;:&quot;Clinics Cardive Publishing (PTY)Ltd&quot;,&quot;issue&quot;:&quot;6&quot;,&quot;volume&quot;:&quot;26&quot;},&quot;isTemporary&quot;:false}]},{&quot;citationID&quot;:&quot;MENDELEY_CITATION_203b09ca-94cb-423f-820a-b0f6247aaa49&quot;,&quot;properties&quot;:{&quot;noteIndex&quot;:0},&quot;isEdited&quot;:false,&quot;manualOverride&quot;:{&quot;isManuallyOverridden&quot;:false,&quot;citeprocText&quot;:&quot;(Özcan et al., 2015)&quot;,&quot;manualOverrideText&quot;:&quot;&quot;},&quot;citationTag&quot;:&quot;MENDELEY_CITATION_v3_eyJjaXRhdGlvbklEIjoiTUVOREVMRVlfQ0lUQVRJT05fMjAzYjA5Y2EtOTRjYi00MjNmLTgyMGEtYjBmNjI0N2FhYTQ5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quot;,&quot;citationItems&quot;:[{&quot;id&quot;:&quot;32ea48a3-1dde-3ae2-b033-6382120d8bbd&quot;,&quot;itemData&quot;:{&quot;type&quot;:&quot;article-journal&quot;,&quot;id&quot;:&quot;32ea48a3-1dde-3ae2-b033-6382120d8bbd&quot;,&quot;title&quot;:&quot;Management and outcome of topical beta-blocker-induced atrioventricular block&quot;,&quot;author&quot;:[{&quot;family&quot;:&quot;Özcan&quot;,&quot;given&quot;:&quot;Kazim Serhan&quot;,&quot;parse-names&quot;:false,&quot;dropping-particle&quot;:&quot;&quot;,&quot;non-dropping-particle&quot;:&quot;&quot;},{&quot;family&quot;:&quot;Güngör&quot;,&quot;given&quot;:&quot;Bariş&quot;,&quot;parse-names&quot;:false,&quot;dropping-particle&quot;:&quot;&quot;,&quot;non-dropping-particle&quot;:&quot;&quot;},{&quot;family&quot;:&quot;Osmonov&quot;,&quot;given&quot;:&quot;Damirbek&quot;,&quot;parse-names&quot;:false,&quot;dropping-particle&quot;:&quot;&quot;,&quot;non-dropping-particle&quot;:&quot;&quot;},{&quot;family&quot;:&quot;Tekkeşin&quot;,&quot;given&quot;:&quot;Ahmet Ilker&quot;,&quot;parse-names&quot;:false,&quot;dropping-particle&quot;:&quot;&quot;,&quot;non-dropping-particle&quot;:&quot;&quot;},{&quot;family&quot;:&quot;Altay&quot;,&quot;given&quot;:&quot;Servet&quot;,&quot;parse-names&quot;:false,&quot;dropping-particle&quot;:&quot;&quot;,&quot;non-dropping-particle&quot;:&quot;&quot;},{&quot;family&quot;:&quot;Ekmekçi&quot;,&quot;given&quot;:&quot;Ahmet&quot;,&quot;parse-names&quot;:false,&quot;dropping-particle&quot;:&quot;&quot;,&quot;non-dropping-particle&quot;:&quot;&quot;},{&quot;family&quot;:&quot;Toprak&quot;,&quot;given&quot;:&quot;Ercan&quot;,&quot;parse-names&quot;:false,&quot;dropping-particle&quot;:&quot;&quot;,&quot;non-dropping-particle&quot;:&quot;&quot;},{&quot;family&quot;:&quot;Yildirim&quot;,&quot;given&quot;:&quot;Ersin&quot;,&quot;parse-names&quot;:false,&quot;dropping-particle&quot;:&quot;&quot;,&quot;non-dropping-particle&quot;:&quot;&quot;},{&quot;family&quot;:&quot;Çalik&quot;,&quot;given&quot;:&quot;Nazmi&quot;,&quot;parse-names&quot;:false,&quot;dropping-particle&quot;:&quot;&quot;,&quot;non-dropping-particle&quot;:&quot;&quot;},{&quot;family&quot;:&quot;Alper&quot;,&quot;given&quot;:&quot;Ahmet Taha&quot;,&quot;parse-names&quot;:false,&quot;dropping-particle&quot;:&quot;&quot;,&quot;non-dropping-particle&quot;:&quot;&quot;},{&quot;family&quot;:&quot;Gürkan&quot;,&quot;given&quot;:&quot;Kadir&quot;,&quot;parse-names&quot;:false,&quot;dropping-particle&quot;:&quot;&quot;,&quot;non-dropping-particle&quot;:&quot;&quot;},{&quot;family&quot;:&quot;Erdinler&quot;,&quot;given&quot;:&quot;Izzet&quot;,&quot;parse-names&quot;:false,&quot;dropping-particle&quot;:&quot;&quot;,&quot;non-dropping-particle&quot;:&quot;&quot;}],&quot;container-title&quot;:&quot;Cardiovascular Journal of Africa&quot;,&quot;container-title-short&quot;:&quot;Cardiovasc J Afr&quot;,&quot;DOI&quot;:&quot;10.5830/CVJA-2015-030&quot;,&quot;ISSN&quot;:&quot;19951892&quot;,&quot;PMID&quot;:&quot;26659434&quot;,&quot;issued&quot;:{&quot;date-parts&quot;:[[2015,11,1]]},&quot;page&quot;:&quot;210-213&quot;,&quot;abstract&quot;:&quot;Background: Topical beta-blockers have a well-established role in the treatment of glaucoma. We aimed to investigate the outcome of patients who developed symptomatic atrioventricular (AV) block induced by topical beta-blockers. Methods: All patients admitted or discharged from our institution, the Siyami Ersek Training and Research Hospital, between January 2009 and January 2013 with a diagnosis of AV block were included in the study. Subjects using ophthalmic beta-blockers were recruited and followed for permanent pacemaker requirement during hospitalisation and for three months after discontinuation of the drug. A permanent pacemaker was implanted in patients in whom AV block persisted beyond 72 hours or recurred during the follow-up period. Results: A total of 1 122 patients were hospitalised with a diagnosis of AV block and a permanent pacemaker was implanted in 946 cases (84.3%) during the study period. Thirteen patients using ophthalmic beta-blockers for the treatment of glaucoma and no other rate-limiting drugs were included in the study. On electrocardiography, eight patients had complete AV block and five had high-degree AV block. The ophthalmic beta-blockers used were timolol in seven patients (55%), betaxolol in four (30%), and cartelol in two cases (15%). The mean duration of ophthalmic beta-blocker treatment was 30.1 ± 15.9 months. After drug discontinuation, in 10 patients the block persisted and a permanent pacemaker was implanted. During follow up, one more patient required pacemaker implantation. Therefore in total, pacemakers were implanted in 11 out of 13 patients (84.6%). The pacemaker implantation rate did not differ according to the type of topical beta-blocker used (p = 0.37). The presence of infra-nodal block on electrocardiography was associated with higher rates of pacemaker implantation. Conclusion: Our results indicate that topical beta-blockers for the treatment of glaucoma may cause severe conduction abnormalities and when AV block occurs, pacemaker implantation is required in a high percentage of the patients.&quot;,&quot;publisher&quot;:&quot;Clinics Cardive Publishing (PTY)Ltd&quot;,&quot;issue&quot;:&quot;6&quot;,&quot;volume&quot;:&quot;26&quot;},&quot;isTemporary&quot;:false}]},{&quot;citationID&quot;:&quot;MENDELEY_CITATION_00703339-3262-4737-9cd5-0f9651eb380d&quot;,&quot;properties&quot;:{&quot;noteIndex&quot;:0},&quot;isEdited&quot;:false,&quot;manualOverride&quot;:{&quot;isManuallyOverridden&quot;:false,&quot;citeprocText&quot;:&quot;(Özcan et al., 2015)&quot;,&quot;manualOverrideText&quot;:&quot;&quot;},&quot;citationTag&quot;:&quot;MENDELEY_CITATION_v3_eyJjaXRhdGlvbklEIjoiTUVOREVMRVlfQ0lUQVRJT05fMDA3MDMzMzktMzI2Mi00NzM3LTljZDUtMGY5NjUxZWIzODBk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quot;,&quot;citationItems&quot;:[{&quot;id&quot;:&quot;32ea48a3-1dde-3ae2-b033-6382120d8bbd&quot;,&quot;itemData&quot;:{&quot;type&quot;:&quot;article-journal&quot;,&quot;id&quot;:&quot;32ea48a3-1dde-3ae2-b033-6382120d8bbd&quot;,&quot;title&quot;:&quot;Management and outcome of topical beta-blocker-induced atrioventricular block&quot;,&quot;author&quot;:[{&quot;family&quot;:&quot;Özcan&quot;,&quot;given&quot;:&quot;Kazim Serhan&quot;,&quot;parse-names&quot;:false,&quot;dropping-particle&quot;:&quot;&quot;,&quot;non-dropping-particle&quot;:&quot;&quot;},{&quot;family&quot;:&quot;Güngör&quot;,&quot;given&quot;:&quot;Bariş&quot;,&quot;parse-names&quot;:false,&quot;dropping-particle&quot;:&quot;&quot;,&quot;non-dropping-particle&quot;:&quot;&quot;},{&quot;family&quot;:&quot;Osmonov&quot;,&quot;given&quot;:&quot;Damirbek&quot;,&quot;parse-names&quot;:false,&quot;dropping-particle&quot;:&quot;&quot;,&quot;non-dropping-particle&quot;:&quot;&quot;},{&quot;family&quot;:&quot;Tekkeşin&quot;,&quot;given&quot;:&quot;Ahmet Ilker&quot;,&quot;parse-names&quot;:false,&quot;dropping-particle&quot;:&quot;&quot;,&quot;non-dropping-particle&quot;:&quot;&quot;},{&quot;family&quot;:&quot;Altay&quot;,&quot;given&quot;:&quot;Servet&quot;,&quot;parse-names&quot;:false,&quot;dropping-particle&quot;:&quot;&quot;,&quot;non-dropping-particle&quot;:&quot;&quot;},{&quot;family&quot;:&quot;Ekmekçi&quot;,&quot;given&quot;:&quot;Ahmet&quot;,&quot;parse-names&quot;:false,&quot;dropping-particle&quot;:&quot;&quot;,&quot;non-dropping-particle&quot;:&quot;&quot;},{&quot;family&quot;:&quot;Toprak&quot;,&quot;given&quot;:&quot;Ercan&quot;,&quot;parse-names&quot;:false,&quot;dropping-particle&quot;:&quot;&quot;,&quot;non-dropping-particle&quot;:&quot;&quot;},{&quot;family&quot;:&quot;Yildirim&quot;,&quot;given&quot;:&quot;Ersin&quot;,&quot;parse-names&quot;:false,&quot;dropping-particle&quot;:&quot;&quot;,&quot;non-dropping-particle&quot;:&quot;&quot;},{&quot;family&quot;:&quot;Çalik&quot;,&quot;given&quot;:&quot;Nazmi&quot;,&quot;parse-names&quot;:false,&quot;dropping-particle&quot;:&quot;&quot;,&quot;non-dropping-particle&quot;:&quot;&quot;},{&quot;family&quot;:&quot;Alper&quot;,&quot;given&quot;:&quot;Ahmet Taha&quot;,&quot;parse-names&quot;:false,&quot;dropping-particle&quot;:&quot;&quot;,&quot;non-dropping-particle&quot;:&quot;&quot;},{&quot;family&quot;:&quot;Gürkan&quot;,&quot;given&quot;:&quot;Kadir&quot;,&quot;parse-names&quot;:false,&quot;dropping-particle&quot;:&quot;&quot;,&quot;non-dropping-particle&quot;:&quot;&quot;},{&quot;family&quot;:&quot;Erdinler&quot;,&quot;given&quot;:&quot;Izzet&quot;,&quot;parse-names&quot;:false,&quot;dropping-particle&quot;:&quot;&quot;,&quot;non-dropping-particle&quot;:&quot;&quot;}],&quot;container-title&quot;:&quot;Cardiovascular Journal of Africa&quot;,&quot;container-title-short&quot;:&quot;Cardiovasc J Afr&quot;,&quot;DOI&quot;:&quot;10.5830/CVJA-2015-030&quot;,&quot;ISSN&quot;:&quot;19951892&quot;,&quot;PMID&quot;:&quot;26659434&quot;,&quot;issued&quot;:{&quot;date-parts&quot;:[[2015,11,1]]},&quot;page&quot;:&quot;210-213&quot;,&quot;abstract&quot;:&quot;Background: Topical beta-blockers have a well-established role in the treatment of glaucoma. We aimed to investigate the outcome of patients who developed symptomatic atrioventricular (AV) block induced by topical beta-blockers. Methods: All patients admitted or discharged from our institution, the Siyami Ersek Training and Research Hospital, between January 2009 and January 2013 with a diagnosis of AV block were included in the study. Subjects using ophthalmic beta-blockers were recruited and followed for permanent pacemaker requirement during hospitalisation and for three months after discontinuation of the drug. A permanent pacemaker was implanted in patients in whom AV block persisted beyond 72 hours or recurred during the follow-up period. Results: A total of 1 122 patients were hospitalised with a diagnosis of AV block and a permanent pacemaker was implanted in 946 cases (84.3%) during the study period. Thirteen patients using ophthalmic beta-blockers for the treatment of glaucoma and no other rate-limiting drugs were included in the study. On electrocardiography, eight patients had complete AV block and five had high-degree AV block. The ophthalmic beta-blockers used were timolol in seven patients (55%), betaxolol in four (30%), and cartelol in two cases (15%). The mean duration of ophthalmic beta-blocker treatment was 30.1 ± 15.9 months. After drug discontinuation, in 10 patients the block persisted and a permanent pacemaker was implanted. During follow up, one more patient required pacemaker implantation. Therefore in total, pacemakers were implanted in 11 out of 13 patients (84.6%). The pacemaker implantation rate did not differ according to the type of topical beta-blocker used (p = 0.37). The presence of infra-nodal block on electrocardiography was associated with higher rates of pacemaker implantation. Conclusion: Our results indicate that topical beta-blockers for the treatment of glaucoma may cause severe conduction abnormalities and when AV block occurs, pacemaker implantation is required in a high percentage of the patients.&quot;,&quot;publisher&quot;:&quot;Clinics Cardive Publishing (PTY)Ltd&quot;,&quot;issue&quot;:&quot;6&quot;,&quot;volume&quot;:&quot;26&quot;},&quot;isTemporary&quot;:false}]}]"/>
    <we:property name="MENDELEY_CITATIONS_STYLE" value="{&quot;id&quot;:&quot;https://www.zotero.org/styles/harvard-educational-review&quot;,&quot;title&quot;:&quot;Harvard Educational Review&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8AB21-00D9-424A-9D79-0E0AA2473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1218</TotalTime>
  <Pages>5</Pages>
  <Words>2551</Words>
  <Characters>14546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17063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2025-10-20T07:07:00Z</dcterms:created>
  <dcterms:modified xsi:type="dcterms:W3CDTF">2025-10-22T07:07:00Z</dcterms:modified>
</cp:coreProperties>
</file>