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31B4D" w14:textId="28E270E9" w:rsidR="00E21E71" w:rsidRPr="008B1450" w:rsidRDefault="00C36401" w:rsidP="00C36401">
      <w:pPr>
        <w:spacing w:after="0" w:line="480" w:lineRule="auto"/>
        <w:jc w:val="center"/>
        <w:rPr>
          <w:rFonts w:ascii="Arial" w:hAnsi="Arial" w:cs="Arial"/>
        </w:rPr>
      </w:pPr>
      <w:r w:rsidRPr="00C36401">
        <w:rPr>
          <w:rFonts w:ascii="Arial" w:hAnsi="Arial" w:cs="Arial"/>
        </w:rPr>
        <w:t>Prevalence, antimicrobial susceptibility pattern and risk factors</w:t>
      </w:r>
      <w:r>
        <w:rPr>
          <w:rFonts w:ascii="Arial" w:hAnsi="Arial" w:cs="Arial"/>
        </w:rPr>
        <w:t xml:space="preserve"> </w:t>
      </w:r>
      <w:r w:rsidRPr="00C36401">
        <w:rPr>
          <w:rFonts w:ascii="Arial" w:hAnsi="Arial" w:cs="Arial"/>
        </w:rPr>
        <w:t>associated with urinary</w:t>
      </w:r>
      <w:r>
        <w:rPr>
          <w:rFonts w:ascii="Arial" w:hAnsi="Arial" w:cs="Arial"/>
        </w:rPr>
        <w:t xml:space="preserve"> </w:t>
      </w:r>
      <w:r w:rsidRPr="00C36401">
        <w:rPr>
          <w:rFonts w:ascii="Arial" w:hAnsi="Arial" w:cs="Arial"/>
        </w:rPr>
        <w:t>tract</w:t>
      </w:r>
      <w:r>
        <w:rPr>
          <w:rFonts w:ascii="Arial" w:hAnsi="Arial" w:cs="Arial"/>
        </w:rPr>
        <w:t xml:space="preserve"> </w:t>
      </w:r>
      <w:r w:rsidRPr="00C36401">
        <w:rPr>
          <w:rFonts w:ascii="Arial" w:hAnsi="Arial" w:cs="Arial"/>
        </w:rPr>
        <w:t>infections among suspected outpatients at the Regional Annex</w:t>
      </w:r>
      <w:r>
        <w:rPr>
          <w:rFonts w:ascii="Arial" w:hAnsi="Arial" w:cs="Arial"/>
        </w:rPr>
        <w:t xml:space="preserve"> </w:t>
      </w:r>
      <w:r w:rsidRPr="00C36401">
        <w:rPr>
          <w:rFonts w:ascii="Arial" w:hAnsi="Arial" w:cs="Arial"/>
        </w:rPr>
        <w:t xml:space="preserve">Hospital of </w:t>
      </w:r>
      <w:proofErr w:type="spellStart"/>
      <w:r w:rsidRPr="00C36401">
        <w:rPr>
          <w:rFonts w:ascii="Arial" w:hAnsi="Arial" w:cs="Arial"/>
        </w:rPr>
        <w:t>Dschang</w:t>
      </w:r>
      <w:proofErr w:type="spellEnd"/>
      <w:r w:rsidRPr="00C36401">
        <w:rPr>
          <w:rFonts w:ascii="Arial" w:hAnsi="Arial" w:cs="Arial"/>
        </w:rPr>
        <w:t>, West Cameroon</w:t>
      </w:r>
    </w:p>
    <w:p w14:paraId="51E70FC4" w14:textId="1DE2C94E" w:rsidR="00827B4D" w:rsidRDefault="003775A2" w:rsidP="00244F3A">
      <w:pPr>
        <w:suppressLineNumbers/>
        <w:spacing w:line="276" w:lineRule="auto"/>
        <w:rPr>
          <w:rStyle w:val="Hyperlink"/>
          <w:rFonts w:ascii="Arial" w:hAnsi="Arial" w:cs="Arial"/>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667456" behindDoc="0" locked="0" layoutInCell="1" allowOverlap="1" wp14:anchorId="259F507B" wp14:editId="03339E5D">
                <wp:simplePos x="0" y="0"/>
                <wp:positionH relativeFrom="column">
                  <wp:posOffset>-47134</wp:posOffset>
                </wp:positionH>
                <wp:positionV relativeFrom="paragraph">
                  <wp:posOffset>307736</wp:posOffset>
                </wp:positionV>
                <wp:extent cx="6429375" cy="6562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429375" cy="6562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A815AC" w14:textId="77777777" w:rsidR="000E3E27" w:rsidRPr="004349C0" w:rsidRDefault="000E3E27" w:rsidP="000E3E27">
                            <w:pPr>
                              <w:spacing w:after="0" w:line="480" w:lineRule="auto"/>
                              <w:rPr>
                                <w:rFonts w:ascii="Arial" w:hAnsi="Arial" w:cs="Arial"/>
                                <w:b/>
                                <w:lang w:val="en-GB"/>
                              </w:rPr>
                            </w:pPr>
                            <w:r w:rsidRPr="004349C0">
                              <w:rPr>
                                <w:rFonts w:ascii="Arial" w:hAnsi="Arial" w:cs="Arial"/>
                                <w:b/>
                                <w:lang w:val="en-GB"/>
                              </w:rPr>
                              <w:t>ABSTRACT</w:t>
                            </w:r>
                          </w:p>
                          <w:p w14:paraId="40546D4E" w14:textId="77777777" w:rsidR="000E3E27" w:rsidRPr="004349C0" w:rsidRDefault="000E3E27" w:rsidP="000E3E27">
                            <w:pPr>
                              <w:spacing w:after="0" w:line="480" w:lineRule="auto"/>
                              <w:jc w:val="both"/>
                              <w:rPr>
                                <w:rFonts w:ascii="Arial" w:hAnsi="Arial" w:cs="Arial"/>
                                <w:bCs/>
                                <w:sz w:val="20"/>
                                <w:szCs w:val="20"/>
                                <w:lang w:val="en"/>
                              </w:rPr>
                            </w:pPr>
                            <w:r w:rsidRPr="004349C0">
                              <w:rPr>
                                <w:rFonts w:ascii="Arial" w:hAnsi="Arial" w:cs="Arial"/>
                                <w:b/>
                                <w:bCs/>
                                <w:sz w:val="20"/>
                                <w:szCs w:val="20"/>
                                <w:lang w:val="en-GB"/>
                              </w:rPr>
                              <w:t>Aims</w:t>
                            </w:r>
                            <w:r w:rsidRPr="004349C0">
                              <w:rPr>
                                <w:rFonts w:ascii="Arial" w:hAnsi="Arial" w:cs="Arial"/>
                                <w:bCs/>
                                <w:sz w:val="20"/>
                                <w:szCs w:val="20"/>
                                <w:lang w:val="en-GB"/>
                              </w:rPr>
                              <w:t xml:space="preserve">: </w:t>
                            </w:r>
                            <w:r w:rsidRPr="004349C0">
                              <w:rPr>
                                <w:rFonts w:ascii="Arial" w:hAnsi="Arial" w:cs="Arial"/>
                                <w:bCs/>
                                <w:sz w:val="20"/>
                                <w:szCs w:val="20"/>
                              </w:rPr>
                              <w:t xml:space="preserve">To determine the prevalence, risk factors and antimicrobial resistance pattern of </w:t>
                            </w:r>
                            <w:proofErr w:type="spellStart"/>
                            <w:r w:rsidRPr="004349C0">
                              <w:rPr>
                                <w:rFonts w:ascii="Arial" w:hAnsi="Arial" w:cs="Arial"/>
                                <w:bCs/>
                                <w:sz w:val="20"/>
                                <w:szCs w:val="20"/>
                              </w:rPr>
                              <w:t>uropathogens</w:t>
                            </w:r>
                            <w:proofErr w:type="spellEnd"/>
                            <w:r w:rsidRPr="004349C0">
                              <w:rPr>
                                <w:rFonts w:ascii="Arial" w:hAnsi="Arial" w:cs="Arial"/>
                                <w:bCs/>
                                <w:sz w:val="20"/>
                                <w:szCs w:val="20"/>
                              </w:rPr>
                              <w:t xml:space="preserve"> among outpatients suspected of urinary tract infections (UTI) </w:t>
                            </w:r>
                            <w:r w:rsidRPr="004349C0">
                              <w:rPr>
                                <w:rFonts w:ascii="Arial" w:hAnsi="Arial" w:cs="Arial"/>
                                <w:bCs/>
                                <w:sz w:val="20"/>
                                <w:szCs w:val="20"/>
                                <w:lang w:val="en-GB"/>
                              </w:rPr>
                              <w:t xml:space="preserve">at the </w:t>
                            </w:r>
                            <w:r w:rsidRPr="004349C0">
                              <w:rPr>
                                <w:rFonts w:ascii="Arial" w:hAnsi="Arial" w:cs="Arial"/>
                                <w:bCs/>
                                <w:sz w:val="20"/>
                                <w:szCs w:val="20"/>
                                <w:lang w:val="en"/>
                              </w:rPr>
                              <w:t xml:space="preserve">Regional Annex Hospital of </w:t>
                            </w:r>
                            <w:proofErr w:type="spellStart"/>
                            <w:r w:rsidRPr="004349C0">
                              <w:rPr>
                                <w:rFonts w:ascii="Arial" w:hAnsi="Arial" w:cs="Arial"/>
                                <w:bCs/>
                                <w:sz w:val="20"/>
                                <w:szCs w:val="20"/>
                                <w:lang w:val="en"/>
                              </w:rPr>
                              <w:t>Dschang</w:t>
                            </w:r>
                            <w:proofErr w:type="spellEnd"/>
                            <w:r w:rsidRPr="004349C0">
                              <w:rPr>
                                <w:rFonts w:ascii="Arial" w:hAnsi="Arial" w:cs="Arial"/>
                                <w:bCs/>
                                <w:sz w:val="20"/>
                                <w:szCs w:val="20"/>
                                <w:lang w:val="en"/>
                              </w:rPr>
                              <w:t>.</w:t>
                            </w:r>
                          </w:p>
                          <w:p w14:paraId="01F23310"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
                                <w:bCs/>
                                <w:sz w:val="20"/>
                                <w:szCs w:val="20"/>
                                <w:lang w:val="en"/>
                              </w:rPr>
                              <w:t>Study design</w:t>
                            </w:r>
                            <w:r w:rsidRPr="004349C0">
                              <w:rPr>
                                <w:rFonts w:ascii="Arial" w:hAnsi="Arial" w:cs="Arial"/>
                                <w:bCs/>
                                <w:sz w:val="20"/>
                                <w:szCs w:val="20"/>
                                <w:lang w:val="en"/>
                              </w:rPr>
                              <w:t xml:space="preserve">: </w:t>
                            </w:r>
                            <w:r w:rsidRPr="004349C0">
                              <w:rPr>
                                <w:rFonts w:ascii="Arial" w:hAnsi="Arial" w:cs="Arial"/>
                                <w:bCs/>
                                <w:sz w:val="20"/>
                                <w:szCs w:val="20"/>
                              </w:rPr>
                              <w:t xml:space="preserve">A cross-sectional study was conducted from April to June 2023 among outpatients who sought consultation for a urinary infection at the Regional Annex Hospital of </w:t>
                            </w:r>
                            <w:proofErr w:type="spellStart"/>
                            <w:r w:rsidRPr="004349C0">
                              <w:rPr>
                                <w:rFonts w:ascii="Arial" w:hAnsi="Arial" w:cs="Arial"/>
                                <w:bCs/>
                                <w:sz w:val="20"/>
                                <w:szCs w:val="20"/>
                              </w:rPr>
                              <w:t>Dschang</w:t>
                            </w:r>
                            <w:proofErr w:type="spellEnd"/>
                          </w:p>
                          <w:p w14:paraId="439DAB9A"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Methodology:  We included 173 patients suspected to have UTI. Clean catch mid-stream non-duplicated urine samples were collected observed macroscopically, subjected to microscopy, cultured on Cystine Lactose Electrolyte Deficient Agar (CLED)</w:t>
                            </w:r>
                            <w:r w:rsidRPr="004349C0">
                              <w:rPr>
                                <w:rFonts w:ascii="Arial" w:hAnsi="Arial" w:cs="Arial"/>
                                <w:bCs/>
                                <w:color w:val="212121"/>
                                <w:sz w:val="20"/>
                                <w:szCs w:val="20"/>
                                <w:shd w:val="clear" w:color="auto" w:fill="FFFFFF"/>
                              </w:rPr>
                              <w:t xml:space="preserve">. Gram-negative bacteria were identified using </w:t>
                            </w:r>
                            <w:proofErr w:type="spellStart"/>
                            <w:r w:rsidRPr="004349C0">
                              <w:rPr>
                                <w:rFonts w:ascii="Arial" w:hAnsi="Arial" w:cs="Arial"/>
                                <w:bCs/>
                                <w:color w:val="212121"/>
                                <w:sz w:val="20"/>
                                <w:szCs w:val="20"/>
                                <w:shd w:val="clear" w:color="auto" w:fill="FFFFFF"/>
                              </w:rPr>
                              <w:t>Enterosystem</w:t>
                            </w:r>
                            <w:proofErr w:type="spellEnd"/>
                            <w:r w:rsidRPr="004349C0">
                              <w:rPr>
                                <w:rFonts w:ascii="Arial" w:hAnsi="Arial" w:cs="Arial"/>
                                <w:bCs/>
                                <w:color w:val="212121"/>
                                <w:sz w:val="20"/>
                                <w:szCs w:val="20"/>
                                <w:shd w:val="clear" w:color="auto" w:fill="FFFFFF"/>
                              </w:rPr>
                              <w:t xml:space="preserve"> 18R kit following the manufacturer's instructions while Gram-positive were identified using a battery of biochemical tests</w:t>
                            </w:r>
                            <w:r w:rsidRPr="004349C0">
                              <w:rPr>
                                <w:rFonts w:ascii="Arial" w:hAnsi="Arial" w:cs="Arial"/>
                                <w:bCs/>
                                <w:sz w:val="20"/>
                                <w:szCs w:val="20"/>
                              </w:rPr>
                              <w:t>. Antibiotic susceptibility testing was performed using the disk diffusion method on Muller Hinton Agar. Data analysis was performed using Excel 2016 and SPSS version 22.0.</w:t>
                            </w:r>
                          </w:p>
                          <w:p w14:paraId="12CD1508"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
                                <w:bCs/>
                                <w:sz w:val="20"/>
                                <w:szCs w:val="20"/>
                              </w:rPr>
                              <w:t>Results</w:t>
                            </w:r>
                            <w:r w:rsidRPr="004349C0">
                              <w:rPr>
                                <w:rFonts w:ascii="Arial" w:hAnsi="Arial" w:cs="Arial"/>
                                <w:bCs/>
                                <w:sz w:val="20"/>
                                <w:szCs w:val="20"/>
                              </w:rPr>
                              <w:t xml:space="preserve">: A total of 173 non-duplicated urine samples were collected from 173 patients and analyzed during the period of this study. Majority of the participants were females 91.3% (158/173). The prevalence of UTI was found to be 49.71% (86/173), and the most frequently isolated bacteria were </w:t>
                            </w:r>
                            <w:r w:rsidRPr="004349C0">
                              <w:rPr>
                                <w:rFonts w:ascii="Arial" w:hAnsi="Arial" w:cs="Arial"/>
                                <w:bCs/>
                                <w:i/>
                                <w:sz w:val="20"/>
                                <w:szCs w:val="20"/>
                              </w:rPr>
                              <w:t>E. coli</w:t>
                            </w:r>
                            <w:r w:rsidRPr="004349C0">
                              <w:rPr>
                                <w:rFonts w:ascii="Arial" w:hAnsi="Arial" w:cs="Arial"/>
                                <w:bCs/>
                                <w:sz w:val="20"/>
                                <w:szCs w:val="20"/>
                              </w:rPr>
                              <w:t xml:space="preserve"> (38.37%), </w:t>
                            </w:r>
                            <w:r w:rsidRPr="004349C0">
                              <w:rPr>
                                <w:rFonts w:ascii="Arial" w:hAnsi="Arial" w:cs="Arial"/>
                                <w:bCs/>
                                <w:i/>
                                <w:sz w:val="20"/>
                                <w:szCs w:val="20"/>
                              </w:rPr>
                              <w:t>Klebsiella</w:t>
                            </w:r>
                            <w:r w:rsidRPr="004349C0">
                              <w:rPr>
                                <w:rFonts w:ascii="Arial" w:hAnsi="Arial" w:cs="Arial"/>
                                <w:bCs/>
                                <w:sz w:val="20"/>
                                <w:szCs w:val="20"/>
                              </w:rPr>
                              <w:t xml:space="preserve"> spp. (20.93%), and </w:t>
                            </w:r>
                            <w:r w:rsidRPr="004349C0">
                              <w:rPr>
                                <w:rFonts w:ascii="Arial" w:hAnsi="Arial" w:cs="Arial"/>
                                <w:bCs/>
                                <w:i/>
                                <w:sz w:val="20"/>
                                <w:szCs w:val="20"/>
                              </w:rPr>
                              <w:t>Staphylococcus</w:t>
                            </w:r>
                            <w:r w:rsidRPr="004349C0">
                              <w:rPr>
                                <w:rFonts w:ascii="Arial" w:hAnsi="Arial" w:cs="Arial"/>
                                <w:bCs/>
                                <w:sz w:val="20"/>
                                <w:szCs w:val="20"/>
                              </w:rPr>
                              <w:t xml:space="preserve"> spp. (16.27%). Gram-negative bacteria and </w:t>
                            </w:r>
                            <w:r w:rsidRPr="004349C0">
                              <w:rPr>
                                <w:rFonts w:ascii="Arial" w:hAnsi="Arial" w:cs="Arial"/>
                                <w:bCs/>
                                <w:i/>
                                <w:sz w:val="20"/>
                                <w:szCs w:val="20"/>
                              </w:rPr>
                              <w:t>Staphylococcus</w:t>
                            </w:r>
                            <w:r w:rsidRPr="004349C0">
                              <w:rPr>
                                <w:rFonts w:ascii="Arial" w:hAnsi="Arial" w:cs="Arial"/>
                                <w:bCs/>
                                <w:sz w:val="20"/>
                                <w:szCs w:val="20"/>
                              </w:rPr>
                              <w:t xml:space="preserve"> </w:t>
                            </w:r>
                            <w:proofErr w:type="spellStart"/>
                            <w:r w:rsidRPr="004349C0">
                              <w:rPr>
                                <w:rFonts w:ascii="Arial" w:hAnsi="Arial" w:cs="Arial"/>
                                <w:bCs/>
                                <w:sz w:val="20"/>
                                <w:szCs w:val="20"/>
                              </w:rPr>
                              <w:t>spp</w:t>
                            </w:r>
                            <w:proofErr w:type="spellEnd"/>
                            <w:r w:rsidRPr="004349C0">
                              <w:rPr>
                                <w:rFonts w:ascii="Arial" w:hAnsi="Arial" w:cs="Arial"/>
                                <w:bCs/>
                                <w:sz w:val="20"/>
                                <w:szCs w:val="20"/>
                              </w:rPr>
                              <w:t xml:space="preserve"> showed higher resistance patterns, particularly to β-lactam antibiotics. In total, 38.37% of the isolates were multidrug-resistant. Factors such as age (OR:3.355; P:0.305), fever (OR:3.216; P:0.013), Douching with detergents (OR:5.326; P:0.05), interruption of antibiotic treatment (OR:9.167; P:0.026) and used of oral contraceptives (OR:4.500; P:0.036) were found to be strongly associated with UTI infections.</w:t>
                            </w:r>
                          </w:p>
                          <w:p w14:paraId="60AC9578"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Conclusion: Overall, this study indicates a high prevalence of bacterial urinary tract infections, as well as a high level of resistance patterns to β-</w:t>
                            </w:r>
                            <w:proofErr w:type="spellStart"/>
                            <w:r w:rsidRPr="004349C0">
                              <w:rPr>
                                <w:rFonts w:ascii="Arial" w:hAnsi="Arial" w:cs="Arial"/>
                                <w:bCs/>
                                <w:sz w:val="20"/>
                                <w:szCs w:val="20"/>
                              </w:rPr>
                              <w:t>lactamines</w:t>
                            </w:r>
                            <w:proofErr w:type="spellEnd"/>
                            <w:r w:rsidRPr="004349C0">
                              <w:rPr>
                                <w:rFonts w:ascii="Arial" w:hAnsi="Arial" w:cs="Arial"/>
                                <w:bCs/>
                                <w:sz w:val="20"/>
                                <w:szCs w:val="20"/>
                              </w:rPr>
                              <w:t xml:space="preserve"> and several risk factors associated with UTI in our area. </w:t>
                            </w:r>
                          </w:p>
                          <w:p w14:paraId="57EEF3F6"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Keywords: Urinary tract infection, bacteria, antibiotic resistance pattern</w:t>
                            </w:r>
                          </w:p>
                          <w:p w14:paraId="7731CC2F" w14:textId="77777777" w:rsidR="000E3E27" w:rsidRDefault="000E3E27" w:rsidP="000E3E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F507B" id="Rectangle 1" o:spid="_x0000_s1026" style="position:absolute;margin-left:-3.7pt;margin-top:24.25pt;width:506.25pt;height:51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" fillcolor="white [3201]" strokecolor="#70ad47 [3209]" strokeweight="1pt">
                <v:textbox>
                  <w:txbxContent>
                    <w:p w14:paraId="79A815AC" w14:textId="77777777" w:rsidR="000E3E27" w:rsidRPr="004349C0" w:rsidRDefault="000E3E27" w:rsidP="000E3E27">
                      <w:pPr>
                        <w:spacing w:after="0" w:line="480" w:lineRule="auto"/>
                        <w:rPr>
                          <w:rFonts w:ascii="Arial" w:hAnsi="Arial" w:cs="Arial"/>
                          <w:b/>
                          <w:lang w:val="en-GB"/>
                        </w:rPr>
                      </w:pPr>
                      <w:r w:rsidRPr="004349C0">
                        <w:rPr>
                          <w:rFonts w:ascii="Arial" w:hAnsi="Arial" w:cs="Arial"/>
                          <w:b/>
                          <w:lang w:val="en-GB"/>
                        </w:rPr>
                        <w:t>ABSTRACT</w:t>
                      </w:r>
                    </w:p>
                    <w:p w14:paraId="40546D4E" w14:textId="77777777" w:rsidR="000E3E27" w:rsidRPr="004349C0" w:rsidRDefault="000E3E27" w:rsidP="000E3E27">
                      <w:pPr>
                        <w:spacing w:after="0" w:line="480" w:lineRule="auto"/>
                        <w:jc w:val="both"/>
                        <w:rPr>
                          <w:rFonts w:ascii="Arial" w:hAnsi="Arial" w:cs="Arial"/>
                          <w:bCs/>
                          <w:sz w:val="20"/>
                          <w:szCs w:val="20"/>
                          <w:lang w:val="en"/>
                        </w:rPr>
                      </w:pPr>
                      <w:r w:rsidRPr="004349C0">
                        <w:rPr>
                          <w:rFonts w:ascii="Arial" w:hAnsi="Arial" w:cs="Arial"/>
                          <w:b/>
                          <w:bCs/>
                          <w:sz w:val="20"/>
                          <w:szCs w:val="20"/>
                          <w:lang w:val="en-GB"/>
                        </w:rPr>
                        <w:t>Aims</w:t>
                      </w:r>
                      <w:r w:rsidRPr="004349C0">
                        <w:rPr>
                          <w:rFonts w:ascii="Arial" w:hAnsi="Arial" w:cs="Arial"/>
                          <w:bCs/>
                          <w:sz w:val="20"/>
                          <w:szCs w:val="20"/>
                          <w:lang w:val="en-GB"/>
                        </w:rPr>
                        <w:t xml:space="preserve">: </w:t>
                      </w:r>
                      <w:r w:rsidRPr="004349C0">
                        <w:rPr>
                          <w:rFonts w:ascii="Arial" w:hAnsi="Arial" w:cs="Arial"/>
                          <w:bCs/>
                          <w:sz w:val="20"/>
                          <w:szCs w:val="20"/>
                        </w:rPr>
                        <w:t xml:space="preserve">To determine the prevalence, risk factors and antimicrobial resistance pattern of </w:t>
                      </w:r>
                      <w:proofErr w:type="spellStart"/>
                      <w:r w:rsidRPr="004349C0">
                        <w:rPr>
                          <w:rFonts w:ascii="Arial" w:hAnsi="Arial" w:cs="Arial"/>
                          <w:bCs/>
                          <w:sz w:val="20"/>
                          <w:szCs w:val="20"/>
                        </w:rPr>
                        <w:t>uropathogens</w:t>
                      </w:r>
                      <w:proofErr w:type="spellEnd"/>
                      <w:r w:rsidRPr="004349C0">
                        <w:rPr>
                          <w:rFonts w:ascii="Arial" w:hAnsi="Arial" w:cs="Arial"/>
                          <w:bCs/>
                          <w:sz w:val="20"/>
                          <w:szCs w:val="20"/>
                        </w:rPr>
                        <w:t xml:space="preserve"> among outpatients suspected of urinary tract infections (UTI) </w:t>
                      </w:r>
                      <w:r w:rsidRPr="004349C0">
                        <w:rPr>
                          <w:rFonts w:ascii="Arial" w:hAnsi="Arial" w:cs="Arial"/>
                          <w:bCs/>
                          <w:sz w:val="20"/>
                          <w:szCs w:val="20"/>
                          <w:lang w:val="en-GB"/>
                        </w:rPr>
                        <w:t xml:space="preserve">at the </w:t>
                      </w:r>
                      <w:r w:rsidRPr="004349C0">
                        <w:rPr>
                          <w:rFonts w:ascii="Arial" w:hAnsi="Arial" w:cs="Arial"/>
                          <w:bCs/>
                          <w:sz w:val="20"/>
                          <w:szCs w:val="20"/>
                          <w:lang w:val="en"/>
                        </w:rPr>
                        <w:t xml:space="preserve">Regional Annex Hospital of </w:t>
                      </w:r>
                      <w:proofErr w:type="spellStart"/>
                      <w:r w:rsidRPr="004349C0">
                        <w:rPr>
                          <w:rFonts w:ascii="Arial" w:hAnsi="Arial" w:cs="Arial"/>
                          <w:bCs/>
                          <w:sz w:val="20"/>
                          <w:szCs w:val="20"/>
                          <w:lang w:val="en"/>
                        </w:rPr>
                        <w:t>Dschang</w:t>
                      </w:r>
                      <w:proofErr w:type="spellEnd"/>
                      <w:r w:rsidRPr="004349C0">
                        <w:rPr>
                          <w:rFonts w:ascii="Arial" w:hAnsi="Arial" w:cs="Arial"/>
                          <w:bCs/>
                          <w:sz w:val="20"/>
                          <w:szCs w:val="20"/>
                          <w:lang w:val="en"/>
                        </w:rPr>
                        <w:t>.</w:t>
                      </w:r>
                    </w:p>
                    <w:p w14:paraId="01F23310"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
                          <w:bCs/>
                          <w:sz w:val="20"/>
                          <w:szCs w:val="20"/>
                          <w:lang w:val="en"/>
                        </w:rPr>
                        <w:t>Study design</w:t>
                      </w:r>
                      <w:r w:rsidRPr="004349C0">
                        <w:rPr>
                          <w:rFonts w:ascii="Arial" w:hAnsi="Arial" w:cs="Arial"/>
                          <w:bCs/>
                          <w:sz w:val="20"/>
                          <w:szCs w:val="20"/>
                          <w:lang w:val="en"/>
                        </w:rPr>
                        <w:t xml:space="preserve">: </w:t>
                      </w:r>
                      <w:r w:rsidRPr="004349C0">
                        <w:rPr>
                          <w:rFonts w:ascii="Arial" w:hAnsi="Arial" w:cs="Arial"/>
                          <w:bCs/>
                          <w:sz w:val="20"/>
                          <w:szCs w:val="20"/>
                        </w:rPr>
                        <w:t xml:space="preserve">A cross-sectional study was conducted from April to June 2023 among outpatients who sought consultation for a urinary infection at the Regional Annex Hospital of </w:t>
                      </w:r>
                      <w:proofErr w:type="spellStart"/>
                      <w:r w:rsidRPr="004349C0">
                        <w:rPr>
                          <w:rFonts w:ascii="Arial" w:hAnsi="Arial" w:cs="Arial"/>
                          <w:bCs/>
                          <w:sz w:val="20"/>
                          <w:szCs w:val="20"/>
                        </w:rPr>
                        <w:t>Dschang</w:t>
                      </w:r>
                      <w:proofErr w:type="spellEnd"/>
                    </w:p>
                    <w:p w14:paraId="439DAB9A"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Methodology:  We included 173 patients suspected to have UTI. Clean catch mid-stream non-duplicated urine samples were collected observed macroscopically, subjected to microscopy, cultured on Cystine Lactose Electrolyte Deficient Agar (CLED)</w:t>
                      </w:r>
                      <w:r w:rsidRPr="004349C0">
                        <w:rPr>
                          <w:rFonts w:ascii="Arial" w:hAnsi="Arial" w:cs="Arial"/>
                          <w:bCs/>
                          <w:color w:val="212121"/>
                          <w:sz w:val="20"/>
                          <w:szCs w:val="20"/>
                          <w:shd w:val="clear" w:color="auto" w:fill="FFFFFF"/>
                        </w:rPr>
                        <w:t xml:space="preserve">. Gram-negative bacteria were identified using </w:t>
                      </w:r>
                      <w:proofErr w:type="spellStart"/>
                      <w:r w:rsidRPr="004349C0">
                        <w:rPr>
                          <w:rFonts w:ascii="Arial" w:hAnsi="Arial" w:cs="Arial"/>
                          <w:bCs/>
                          <w:color w:val="212121"/>
                          <w:sz w:val="20"/>
                          <w:szCs w:val="20"/>
                          <w:shd w:val="clear" w:color="auto" w:fill="FFFFFF"/>
                        </w:rPr>
                        <w:t>Enterosystem</w:t>
                      </w:r>
                      <w:proofErr w:type="spellEnd"/>
                      <w:r w:rsidRPr="004349C0">
                        <w:rPr>
                          <w:rFonts w:ascii="Arial" w:hAnsi="Arial" w:cs="Arial"/>
                          <w:bCs/>
                          <w:color w:val="212121"/>
                          <w:sz w:val="20"/>
                          <w:szCs w:val="20"/>
                          <w:shd w:val="clear" w:color="auto" w:fill="FFFFFF"/>
                        </w:rPr>
                        <w:t xml:space="preserve"> 18R kit following the manufacturer's instructions while Gram-positive were identified using a battery of biochemical tests</w:t>
                      </w:r>
                      <w:r w:rsidRPr="004349C0">
                        <w:rPr>
                          <w:rFonts w:ascii="Arial" w:hAnsi="Arial" w:cs="Arial"/>
                          <w:bCs/>
                          <w:sz w:val="20"/>
                          <w:szCs w:val="20"/>
                        </w:rPr>
                        <w:t>. Antibiotic susceptibility testing was performed using the disk diffusion method on Muller Hinton Agar. Data analysis was performed using Excel 2016 and SPSS version 22.0.</w:t>
                      </w:r>
                    </w:p>
                    <w:p w14:paraId="12CD1508"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
                          <w:bCs/>
                          <w:sz w:val="20"/>
                          <w:szCs w:val="20"/>
                        </w:rPr>
                        <w:t>Results</w:t>
                      </w:r>
                      <w:r w:rsidRPr="004349C0">
                        <w:rPr>
                          <w:rFonts w:ascii="Arial" w:hAnsi="Arial" w:cs="Arial"/>
                          <w:bCs/>
                          <w:sz w:val="20"/>
                          <w:szCs w:val="20"/>
                        </w:rPr>
                        <w:t xml:space="preserve">: A total of 173 non-duplicated urine samples were collected from 173 patients and analyzed during the period of this study. Majority of the participants were females 91.3% (158/173). The prevalence of UTI was found to be 49.71% (86/173), and the most frequently isolated bacteria were </w:t>
                      </w:r>
                      <w:r w:rsidRPr="004349C0">
                        <w:rPr>
                          <w:rFonts w:ascii="Arial" w:hAnsi="Arial" w:cs="Arial"/>
                          <w:bCs/>
                          <w:i/>
                          <w:sz w:val="20"/>
                          <w:szCs w:val="20"/>
                        </w:rPr>
                        <w:t>E. coli</w:t>
                      </w:r>
                      <w:r w:rsidRPr="004349C0">
                        <w:rPr>
                          <w:rFonts w:ascii="Arial" w:hAnsi="Arial" w:cs="Arial"/>
                          <w:bCs/>
                          <w:sz w:val="20"/>
                          <w:szCs w:val="20"/>
                        </w:rPr>
                        <w:t xml:space="preserve"> (38.37%), </w:t>
                      </w:r>
                      <w:r w:rsidRPr="004349C0">
                        <w:rPr>
                          <w:rFonts w:ascii="Arial" w:hAnsi="Arial" w:cs="Arial"/>
                          <w:bCs/>
                          <w:i/>
                          <w:sz w:val="20"/>
                          <w:szCs w:val="20"/>
                        </w:rPr>
                        <w:t>Klebsiella</w:t>
                      </w:r>
                      <w:r w:rsidRPr="004349C0">
                        <w:rPr>
                          <w:rFonts w:ascii="Arial" w:hAnsi="Arial" w:cs="Arial"/>
                          <w:bCs/>
                          <w:sz w:val="20"/>
                          <w:szCs w:val="20"/>
                        </w:rPr>
                        <w:t xml:space="preserve"> spp. (20.93%), and </w:t>
                      </w:r>
                      <w:r w:rsidRPr="004349C0">
                        <w:rPr>
                          <w:rFonts w:ascii="Arial" w:hAnsi="Arial" w:cs="Arial"/>
                          <w:bCs/>
                          <w:i/>
                          <w:sz w:val="20"/>
                          <w:szCs w:val="20"/>
                        </w:rPr>
                        <w:t>Staphylococcus</w:t>
                      </w:r>
                      <w:r w:rsidRPr="004349C0">
                        <w:rPr>
                          <w:rFonts w:ascii="Arial" w:hAnsi="Arial" w:cs="Arial"/>
                          <w:bCs/>
                          <w:sz w:val="20"/>
                          <w:szCs w:val="20"/>
                        </w:rPr>
                        <w:t xml:space="preserve"> spp. (16.27%). Gram-negative bacteria and </w:t>
                      </w:r>
                      <w:r w:rsidRPr="004349C0">
                        <w:rPr>
                          <w:rFonts w:ascii="Arial" w:hAnsi="Arial" w:cs="Arial"/>
                          <w:bCs/>
                          <w:i/>
                          <w:sz w:val="20"/>
                          <w:szCs w:val="20"/>
                        </w:rPr>
                        <w:t>Staphylococcus</w:t>
                      </w:r>
                      <w:r w:rsidRPr="004349C0">
                        <w:rPr>
                          <w:rFonts w:ascii="Arial" w:hAnsi="Arial" w:cs="Arial"/>
                          <w:bCs/>
                          <w:sz w:val="20"/>
                          <w:szCs w:val="20"/>
                        </w:rPr>
                        <w:t xml:space="preserve"> </w:t>
                      </w:r>
                      <w:proofErr w:type="spellStart"/>
                      <w:r w:rsidRPr="004349C0">
                        <w:rPr>
                          <w:rFonts w:ascii="Arial" w:hAnsi="Arial" w:cs="Arial"/>
                          <w:bCs/>
                          <w:sz w:val="20"/>
                          <w:szCs w:val="20"/>
                        </w:rPr>
                        <w:t>spp</w:t>
                      </w:r>
                      <w:proofErr w:type="spellEnd"/>
                      <w:r w:rsidRPr="004349C0">
                        <w:rPr>
                          <w:rFonts w:ascii="Arial" w:hAnsi="Arial" w:cs="Arial"/>
                          <w:bCs/>
                          <w:sz w:val="20"/>
                          <w:szCs w:val="20"/>
                        </w:rPr>
                        <w:t xml:space="preserve"> showed higher resistance patterns, particularly to β-lactam antibiotics. In total, 38.37% of the isolates were multidrug-resistant. Factors such as age (OR:3.355; P:0.305), fever (OR:3.216; P:0.013), Douching with detergents (OR:5.326; P:0.05), interruption of antibiotic treatment (OR:9.167; P:0.026) and used of oral contraceptives (OR:4.500; P:0.036) were found to be strongly associated with UTI infections.</w:t>
                      </w:r>
                    </w:p>
                    <w:p w14:paraId="60AC9578"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Conclusion: Overall, this study indicates a high prevalence of bacterial urinary tract infections, as well as a high level of resistance patterns to β-</w:t>
                      </w:r>
                      <w:proofErr w:type="spellStart"/>
                      <w:r w:rsidRPr="004349C0">
                        <w:rPr>
                          <w:rFonts w:ascii="Arial" w:hAnsi="Arial" w:cs="Arial"/>
                          <w:bCs/>
                          <w:sz w:val="20"/>
                          <w:szCs w:val="20"/>
                        </w:rPr>
                        <w:t>lactamines</w:t>
                      </w:r>
                      <w:proofErr w:type="spellEnd"/>
                      <w:r w:rsidRPr="004349C0">
                        <w:rPr>
                          <w:rFonts w:ascii="Arial" w:hAnsi="Arial" w:cs="Arial"/>
                          <w:bCs/>
                          <w:sz w:val="20"/>
                          <w:szCs w:val="20"/>
                        </w:rPr>
                        <w:t xml:space="preserve"> and several risk factors associated with UTI in our area. </w:t>
                      </w:r>
                    </w:p>
                    <w:p w14:paraId="57EEF3F6" w14:textId="77777777" w:rsidR="000E3E27" w:rsidRPr="004349C0" w:rsidRDefault="000E3E27" w:rsidP="000E3E27">
                      <w:pPr>
                        <w:spacing w:after="0" w:line="480" w:lineRule="auto"/>
                        <w:jc w:val="both"/>
                        <w:rPr>
                          <w:rFonts w:ascii="Arial" w:hAnsi="Arial" w:cs="Arial"/>
                          <w:bCs/>
                          <w:sz w:val="20"/>
                          <w:szCs w:val="20"/>
                        </w:rPr>
                      </w:pPr>
                      <w:r w:rsidRPr="004349C0">
                        <w:rPr>
                          <w:rFonts w:ascii="Arial" w:hAnsi="Arial" w:cs="Arial"/>
                          <w:bCs/>
                          <w:sz w:val="20"/>
                          <w:szCs w:val="20"/>
                        </w:rPr>
                        <w:t>Keywords: Urinary tract infection, bacteria, antibiotic resistance pattern</w:t>
                      </w:r>
                    </w:p>
                    <w:p w14:paraId="7731CC2F" w14:textId="77777777" w:rsidR="000E3E27" w:rsidRDefault="000E3E27" w:rsidP="000E3E27">
                      <w:pPr>
                        <w:jc w:val="center"/>
                      </w:pPr>
                    </w:p>
                  </w:txbxContent>
                </v:textbox>
              </v:rect>
            </w:pict>
          </mc:Fallback>
        </mc:AlternateContent>
      </w:r>
    </w:p>
    <w:p w14:paraId="7F9B7E84" w14:textId="05F8BB04" w:rsidR="00827B4D" w:rsidRDefault="00827B4D" w:rsidP="00244F3A">
      <w:pPr>
        <w:suppressLineNumbers/>
        <w:spacing w:line="276" w:lineRule="auto"/>
        <w:rPr>
          <w:rStyle w:val="Hyperlink"/>
          <w:rFonts w:ascii="Arial" w:hAnsi="Arial" w:cs="Arial"/>
        </w:rPr>
      </w:pPr>
    </w:p>
    <w:p w14:paraId="69CD4CC6" w14:textId="2244F127" w:rsidR="00827B4D" w:rsidRDefault="00827B4D" w:rsidP="00244F3A">
      <w:pPr>
        <w:suppressLineNumbers/>
        <w:spacing w:line="276" w:lineRule="auto"/>
        <w:rPr>
          <w:rStyle w:val="Hyperlink"/>
          <w:rFonts w:ascii="Arial" w:hAnsi="Arial" w:cs="Arial"/>
        </w:rPr>
      </w:pPr>
    </w:p>
    <w:p w14:paraId="4B9194EF" w14:textId="348F31D3" w:rsidR="00827B4D" w:rsidRDefault="00827B4D" w:rsidP="00244F3A">
      <w:pPr>
        <w:suppressLineNumbers/>
        <w:spacing w:line="276" w:lineRule="auto"/>
        <w:rPr>
          <w:rStyle w:val="Hyperlink"/>
          <w:rFonts w:ascii="Arial" w:hAnsi="Arial" w:cs="Arial"/>
        </w:rPr>
      </w:pPr>
    </w:p>
    <w:p w14:paraId="5C7FF486" w14:textId="7794D32E" w:rsidR="00827B4D" w:rsidRDefault="00827B4D" w:rsidP="00244F3A">
      <w:pPr>
        <w:suppressLineNumbers/>
        <w:spacing w:line="276" w:lineRule="auto"/>
        <w:rPr>
          <w:rStyle w:val="Hyperlink"/>
          <w:rFonts w:ascii="Arial" w:hAnsi="Arial" w:cs="Arial"/>
        </w:rPr>
      </w:pPr>
    </w:p>
    <w:p w14:paraId="2E0D1ABC" w14:textId="0E7CF30C" w:rsidR="00827B4D" w:rsidRDefault="00827B4D" w:rsidP="00244F3A">
      <w:pPr>
        <w:suppressLineNumbers/>
        <w:spacing w:line="276" w:lineRule="auto"/>
        <w:rPr>
          <w:rStyle w:val="Hyperlink"/>
          <w:rFonts w:ascii="Arial" w:hAnsi="Arial" w:cs="Arial"/>
        </w:rPr>
      </w:pPr>
    </w:p>
    <w:p w14:paraId="284E8419" w14:textId="0A6773B6" w:rsidR="00827B4D" w:rsidRDefault="00827B4D" w:rsidP="00244F3A">
      <w:pPr>
        <w:suppressLineNumbers/>
        <w:spacing w:line="276" w:lineRule="auto"/>
        <w:rPr>
          <w:rStyle w:val="Hyperlink"/>
          <w:rFonts w:ascii="Arial" w:hAnsi="Arial" w:cs="Arial"/>
        </w:rPr>
      </w:pPr>
    </w:p>
    <w:p w14:paraId="5AFCD692" w14:textId="167A28D9" w:rsidR="00827B4D" w:rsidRDefault="00827B4D" w:rsidP="00244F3A">
      <w:pPr>
        <w:suppressLineNumbers/>
        <w:spacing w:line="276" w:lineRule="auto"/>
        <w:rPr>
          <w:rStyle w:val="Hyperlink"/>
          <w:rFonts w:ascii="Arial" w:hAnsi="Arial" w:cs="Arial"/>
        </w:rPr>
      </w:pPr>
    </w:p>
    <w:p w14:paraId="677DCB19" w14:textId="0EED0106" w:rsidR="00827B4D" w:rsidRDefault="00827B4D" w:rsidP="00244F3A">
      <w:pPr>
        <w:suppressLineNumbers/>
        <w:spacing w:line="276" w:lineRule="auto"/>
        <w:rPr>
          <w:rStyle w:val="Hyperlink"/>
          <w:rFonts w:ascii="Arial" w:hAnsi="Arial" w:cs="Arial"/>
        </w:rPr>
      </w:pPr>
    </w:p>
    <w:p w14:paraId="03A17848" w14:textId="7CB8740F" w:rsidR="00827B4D" w:rsidRDefault="00827B4D" w:rsidP="00244F3A">
      <w:pPr>
        <w:suppressLineNumbers/>
        <w:spacing w:line="276" w:lineRule="auto"/>
        <w:rPr>
          <w:rStyle w:val="Hyperlink"/>
          <w:rFonts w:ascii="Arial" w:hAnsi="Arial" w:cs="Arial"/>
        </w:rPr>
      </w:pPr>
    </w:p>
    <w:p w14:paraId="4B49599C" w14:textId="79254BC2" w:rsidR="00827B4D" w:rsidRDefault="00827B4D" w:rsidP="00244F3A">
      <w:pPr>
        <w:suppressLineNumbers/>
        <w:spacing w:line="276" w:lineRule="auto"/>
        <w:rPr>
          <w:rStyle w:val="Hyperlink"/>
          <w:rFonts w:ascii="Arial" w:hAnsi="Arial" w:cs="Arial"/>
        </w:rPr>
      </w:pPr>
    </w:p>
    <w:p w14:paraId="26D849AA" w14:textId="08B3F8F1" w:rsidR="00827B4D" w:rsidRDefault="00827B4D" w:rsidP="00244F3A">
      <w:pPr>
        <w:suppressLineNumbers/>
        <w:spacing w:line="276" w:lineRule="auto"/>
        <w:rPr>
          <w:rStyle w:val="Hyperlink"/>
          <w:rFonts w:ascii="Arial" w:hAnsi="Arial" w:cs="Arial"/>
        </w:rPr>
      </w:pPr>
    </w:p>
    <w:p w14:paraId="57C58960" w14:textId="4667F9B1" w:rsidR="00827B4D" w:rsidRDefault="00827B4D" w:rsidP="00466067">
      <w:pPr>
        <w:spacing w:line="276" w:lineRule="auto"/>
        <w:rPr>
          <w:rStyle w:val="Hyperlink"/>
          <w:rFonts w:ascii="Arial" w:hAnsi="Arial" w:cs="Arial"/>
        </w:rPr>
      </w:pPr>
    </w:p>
    <w:p w14:paraId="020BEEA0" w14:textId="36AFE6C5" w:rsidR="00827B4D" w:rsidRDefault="00827B4D" w:rsidP="00466067">
      <w:pPr>
        <w:spacing w:line="276" w:lineRule="auto"/>
        <w:rPr>
          <w:rStyle w:val="Hyperlink"/>
          <w:rFonts w:ascii="Arial" w:hAnsi="Arial" w:cs="Arial"/>
        </w:rPr>
      </w:pPr>
    </w:p>
    <w:p w14:paraId="5D7AE17F" w14:textId="57314CBF" w:rsidR="00827B4D" w:rsidRDefault="00827B4D" w:rsidP="00466067">
      <w:pPr>
        <w:spacing w:line="276" w:lineRule="auto"/>
        <w:rPr>
          <w:rStyle w:val="Hyperlink"/>
          <w:rFonts w:ascii="Arial" w:hAnsi="Arial" w:cs="Arial"/>
        </w:rPr>
      </w:pPr>
    </w:p>
    <w:p w14:paraId="6B5AF86A" w14:textId="2E38F958" w:rsidR="00827B4D" w:rsidRDefault="00827B4D" w:rsidP="00466067">
      <w:pPr>
        <w:spacing w:line="276" w:lineRule="auto"/>
        <w:rPr>
          <w:rStyle w:val="Hyperlink"/>
          <w:rFonts w:ascii="Arial" w:hAnsi="Arial" w:cs="Arial"/>
        </w:rPr>
      </w:pPr>
    </w:p>
    <w:p w14:paraId="1583E3F2" w14:textId="19145014" w:rsidR="00827B4D" w:rsidRDefault="00827B4D" w:rsidP="00466067">
      <w:pPr>
        <w:spacing w:line="276" w:lineRule="auto"/>
        <w:rPr>
          <w:rStyle w:val="Hyperlink"/>
          <w:rFonts w:ascii="Arial" w:hAnsi="Arial" w:cs="Arial"/>
        </w:rPr>
      </w:pPr>
    </w:p>
    <w:p w14:paraId="1B9542F3" w14:textId="77D3E5D9" w:rsidR="00827B4D" w:rsidRDefault="00827B4D" w:rsidP="00466067">
      <w:pPr>
        <w:spacing w:line="276" w:lineRule="auto"/>
        <w:rPr>
          <w:rStyle w:val="Hyperlink"/>
          <w:rFonts w:ascii="Arial" w:hAnsi="Arial" w:cs="Arial"/>
        </w:rPr>
      </w:pPr>
    </w:p>
    <w:p w14:paraId="4A57C1B7" w14:textId="6F1906B9" w:rsidR="00827B4D" w:rsidRDefault="00827B4D" w:rsidP="00466067">
      <w:pPr>
        <w:spacing w:line="276" w:lineRule="auto"/>
        <w:rPr>
          <w:rStyle w:val="Hyperlink"/>
          <w:rFonts w:ascii="Arial" w:hAnsi="Arial" w:cs="Arial"/>
        </w:rPr>
      </w:pPr>
    </w:p>
    <w:p w14:paraId="2E23EA7C" w14:textId="7749C333" w:rsidR="00827B4D" w:rsidRDefault="00827B4D" w:rsidP="00466067">
      <w:pPr>
        <w:spacing w:line="276" w:lineRule="auto"/>
        <w:rPr>
          <w:rStyle w:val="Hyperlink"/>
          <w:rFonts w:ascii="Arial" w:hAnsi="Arial" w:cs="Arial"/>
        </w:rPr>
      </w:pPr>
    </w:p>
    <w:p w14:paraId="429A7B88" w14:textId="7B4071EB" w:rsidR="00827B4D" w:rsidRDefault="00827B4D" w:rsidP="00466067">
      <w:pPr>
        <w:spacing w:line="276" w:lineRule="auto"/>
        <w:rPr>
          <w:rStyle w:val="Hyperlink"/>
          <w:rFonts w:ascii="Arial" w:hAnsi="Arial" w:cs="Arial"/>
        </w:rPr>
      </w:pPr>
    </w:p>
    <w:p w14:paraId="725F423F" w14:textId="3B573B96" w:rsidR="00827B4D" w:rsidRDefault="00827B4D" w:rsidP="00466067">
      <w:pPr>
        <w:spacing w:line="276" w:lineRule="auto"/>
        <w:rPr>
          <w:rStyle w:val="Hyperlink"/>
          <w:rFonts w:ascii="Arial" w:hAnsi="Arial" w:cs="Arial"/>
        </w:rPr>
      </w:pPr>
    </w:p>
    <w:p w14:paraId="2254D430" w14:textId="2193428C" w:rsidR="00827B4D" w:rsidRDefault="00827B4D" w:rsidP="00466067">
      <w:pPr>
        <w:spacing w:line="276" w:lineRule="auto"/>
        <w:rPr>
          <w:rStyle w:val="Hyperlink"/>
          <w:rFonts w:ascii="Arial" w:hAnsi="Arial" w:cs="Arial"/>
        </w:rPr>
      </w:pPr>
    </w:p>
    <w:p w14:paraId="31EAA0A2" w14:textId="063C1B4D" w:rsidR="00827B4D" w:rsidRDefault="00827B4D" w:rsidP="00466067">
      <w:pPr>
        <w:spacing w:line="276" w:lineRule="auto"/>
        <w:rPr>
          <w:rStyle w:val="Hyperlink"/>
          <w:rFonts w:ascii="Arial" w:hAnsi="Arial" w:cs="Arial"/>
        </w:rPr>
      </w:pPr>
    </w:p>
    <w:p w14:paraId="4AF01225" w14:textId="4C772DFC" w:rsidR="00827B4D" w:rsidRDefault="00827B4D" w:rsidP="00466067">
      <w:pPr>
        <w:spacing w:line="276" w:lineRule="auto"/>
        <w:rPr>
          <w:rStyle w:val="Hyperlink"/>
          <w:rFonts w:ascii="Arial" w:hAnsi="Arial" w:cs="Arial"/>
        </w:rPr>
      </w:pPr>
    </w:p>
    <w:p w14:paraId="1B3DA2DE" w14:textId="5A7B0335" w:rsidR="006234EA" w:rsidRPr="000E3E27" w:rsidRDefault="000E3E27" w:rsidP="000E3E27">
      <w:pPr>
        <w:spacing w:after="0"/>
        <w:rPr>
          <w:rFonts w:ascii="Arial Black" w:hAnsi="Arial Black" w:cs="Times New Roman"/>
          <w:b/>
        </w:rPr>
      </w:pPr>
      <w:r w:rsidRPr="000E3E27">
        <w:rPr>
          <w:rFonts w:ascii="Arial Black" w:hAnsi="Arial Black" w:cs="Times New Roman"/>
          <w:b/>
        </w:rPr>
        <w:lastRenderedPageBreak/>
        <w:t xml:space="preserve">1. INTRODUCTION </w:t>
      </w:r>
    </w:p>
    <w:p w14:paraId="269DEBFA" w14:textId="77777777" w:rsidR="006234EA" w:rsidRPr="001C0CB4" w:rsidRDefault="006234EA" w:rsidP="006234EA">
      <w:pPr>
        <w:spacing w:after="0"/>
        <w:jc w:val="both"/>
        <w:rPr>
          <w:rFonts w:ascii="Times New Roman" w:hAnsi="Times New Roman" w:cs="Times New Roman"/>
          <w:b/>
          <w:sz w:val="24"/>
          <w:szCs w:val="24"/>
        </w:rPr>
      </w:pPr>
    </w:p>
    <w:p w14:paraId="13729AAF" w14:textId="2BEDC3F2" w:rsidR="006234EA" w:rsidRPr="000E3E27" w:rsidRDefault="006234EA" w:rsidP="005E4915">
      <w:pPr>
        <w:spacing w:after="0" w:line="480" w:lineRule="auto"/>
        <w:jc w:val="both"/>
        <w:rPr>
          <w:rFonts w:ascii="Arial" w:hAnsi="Arial" w:cs="Arial"/>
          <w:sz w:val="20"/>
          <w:szCs w:val="20"/>
        </w:rPr>
      </w:pPr>
      <w:r w:rsidRPr="000E3E27">
        <w:rPr>
          <w:rFonts w:ascii="Arial" w:hAnsi="Arial" w:cs="Arial"/>
          <w:sz w:val="20"/>
          <w:szCs w:val="20"/>
        </w:rPr>
        <w:t>Urinary tract infections (UTIs) are considered the principal diagnosed infectious diseases</w:t>
      </w:r>
      <w:r w:rsidR="005E27CD" w:rsidRPr="000E3E27">
        <w:rPr>
          <w:rFonts w:ascii="Arial" w:hAnsi="Arial" w:cs="Arial"/>
          <w:sz w:val="20"/>
          <w:szCs w:val="20"/>
        </w:rPr>
        <w:t xml:space="preserve"> </w:t>
      </w:r>
      <w:r w:rsidRPr="000E3E27">
        <w:rPr>
          <w:rFonts w:ascii="Arial" w:hAnsi="Arial" w:cs="Arial"/>
          <w:sz w:val="20"/>
          <w:szCs w:val="20"/>
        </w:rPr>
        <w:t>worldwide especially in less developed nati</w:t>
      </w:r>
      <w:r w:rsidR="000926A4" w:rsidRPr="000E3E27">
        <w:rPr>
          <w:rFonts w:ascii="Arial" w:hAnsi="Arial" w:cs="Arial"/>
          <w:sz w:val="20"/>
          <w:szCs w:val="20"/>
        </w:rPr>
        <w:t>ons [1]. Globally</w:t>
      </w:r>
      <w:r w:rsidR="00DF7068" w:rsidRPr="000E3E27">
        <w:rPr>
          <w:rFonts w:ascii="Arial" w:hAnsi="Arial" w:cs="Arial"/>
          <w:sz w:val="20"/>
          <w:szCs w:val="20"/>
        </w:rPr>
        <w:t>,</w:t>
      </w:r>
      <w:r w:rsidR="000926A4" w:rsidRPr="000E3E27">
        <w:rPr>
          <w:rFonts w:ascii="Arial" w:hAnsi="Arial" w:cs="Arial"/>
          <w:sz w:val="20"/>
          <w:szCs w:val="20"/>
        </w:rPr>
        <w:t xml:space="preserve"> the incidence</w:t>
      </w:r>
      <w:r w:rsidRPr="000E3E27">
        <w:rPr>
          <w:rFonts w:ascii="Arial" w:hAnsi="Arial" w:cs="Arial"/>
          <w:sz w:val="20"/>
          <w:szCs w:val="20"/>
        </w:rPr>
        <w:t xml:space="preserve"> of UTIs is considered to be approximately 150 million per year [2]. UTIs are common causes of medical prescription and constitute a major public health problem [3]. About 10% of </w:t>
      </w:r>
      <w:r w:rsidR="000926A4" w:rsidRPr="000E3E27">
        <w:rPr>
          <w:rFonts w:ascii="Arial" w:hAnsi="Arial" w:cs="Arial"/>
          <w:sz w:val="20"/>
          <w:szCs w:val="20"/>
        </w:rPr>
        <w:t>human’s</w:t>
      </w:r>
      <w:r w:rsidRPr="000E3E27">
        <w:rPr>
          <w:rFonts w:ascii="Arial" w:hAnsi="Arial" w:cs="Arial"/>
          <w:sz w:val="20"/>
          <w:szCs w:val="20"/>
        </w:rPr>
        <w:t xml:space="preserve"> present bacteriuria in their lifetime, characterized by the presence and growth of bacteria in the urinary tract, which can lead to infections and complications if not handled at early stages [4]. The most common bacteria responsible for UTIs are </w:t>
      </w:r>
      <w:r w:rsidRPr="000E3E27">
        <w:rPr>
          <w:rFonts w:ascii="Arial" w:hAnsi="Arial" w:cs="Arial"/>
          <w:i/>
          <w:sz w:val="20"/>
          <w:szCs w:val="20"/>
        </w:rPr>
        <w:t>E. coli, Pseudomonas aeruginosa, Staphylococcus aureus</w:t>
      </w:r>
      <w:r w:rsidR="00FD45DE" w:rsidRPr="000E3E27">
        <w:rPr>
          <w:rFonts w:ascii="Arial" w:hAnsi="Arial" w:cs="Arial"/>
          <w:sz w:val="20"/>
          <w:szCs w:val="20"/>
        </w:rPr>
        <w:t xml:space="preserve">, </w:t>
      </w:r>
      <w:r w:rsidRPr="000E3E27">
        <w:rPr>
          <w:rFonts w:ascii="Arial" w:hAnsi="Arial" w:cs="Arial"/>
          <w:sz w:val="20"/>
          <w:szCs w:val="20"/>
        </w:rPr>
        <w:t xml:space="preserve">coagulase negative </w:t>
      </w:r>
      <w:r w:rsidRPr="000E3E27">
        <w:rPr>
          <w:rFonts w:ascii="Arial" w:hAnsi="Arial" w:cs="Arial"/>
          <w:i/>
          <w:sz w:val="20"/>
          <w:szCs w:val="20"/>
        </w:rPr>
        <w:t>Staphylococci, Klebsiella</w:t>
      </w:r>
      <w:r w:rsidRPr="000E3E27">
        <w:rPr>
          <w:rFonts w:ascii="Arial" w:hAnsi="Arial" w:cs="Arial"/>
          <w:sz w:val="20"/>
          <w:szCs w:val="20"/>
        </w:rPr>
        <w:t xml:space="preserve"> spp., </w:t>
      </w:r>
      <w:r w:rsidRPr="000E3E27">
        <w:rPr>
          <w:rFonts w:ascii="Arial" w:hAnsi="Arial" w:cs="Arial"/>
          <w:i/>
          <w:sz w:val="20"/>
          <w:szCs w:val="20"/>
        </w:rPr>
        <w:t>Serratia</w:t>
      </w:r>
      <w:r w:rsidRPr="000E3E27">
        <w:rPr>
          <w:rFonts w:ascii="Arial" w:hAnsi="Arial" w:cs="Arial"/>
          <w:sz w:val="20"/>
          <w:szCs w:val="20"/>
        </w:rPr>
        <w:t xml:space="preserve"> spp., </w:t>
      </w:r>
      <w:r w:rsidRPr="000E3E27">
        <w:rPr>
          <w:rFonts w:ascii="Arial" w:hAnsi="Arial" w:cs="Arial"/>
          <w:i/>
          <w:sz w:val="20"/>
          <w:szCs w:val="20"/>
        </w:rPr>
        <w:t>Citrobacter</w:t>
      </w:r>
      <w:r w:rsidRPr="000E3E27">
        <w:rPr>
          <w:rFonts w:ascii="Arial" w:hAnsi="Arial" w:cs="Arial"/>
          <w:sz w:val="20"/>
          <w:szCs w:val="20"/>
        </w:rPr>
        <w:t xml:space="preserve"> spp., </w:t>
      </w:r>
      <w:r w:rsidRPr="000E3E27">
        <w:rPr>
          <w:rFonts w:ascii="Arial" w:hAnsi="Arial" w:cs="Arial"/>
          <w:i/>
          <w:sz w:val="20"/>
          <w:szCs w:val="20"/>
        </w:rPr>
        <w:t>Enterobacter</w:t>
      </w:r>
      <w:r w:rsidRPr="000E3E27">
        <w:rPr>
          <w:rFonts w:ascii="Arial" w:hAnsi="Arial" w:cs="Arial"/>
          <w:sz w:val="20"/>
          <w:szCs w:val="20"/>
        </w:rPr>
        <w:t xml:space="preserve"> spp., </w:t>
      </w:r>
      <w:r w:rsidRPr="000E3E27">
        <w:rPr>
          <w:rFonts w:ascii="Arial" w:hAnsi="Arial" w:cs="Arial"/>
          <w:i/>
          <w:sz w:val="20"/>
          <w:szCs w:val="20"/>
        </w:rPr>
        <w:t>Proteus</w:t>
      </w:r>
      <w:r w:rsidRPr="000E3E27">
        <w:rPr>
          <w:rFonts w:ascii="Arial" w:hAnsi="Arial" w:cs="Arial"/>
          <w:i/>
          <w:iCs/>
          <w:sz w:val="20"/>
          <w:szCs w:val="20"/>
        </w:rPr>
        <w:t xml:space="preserve"> </w:t>
      </w:r>
      <w:r w:rsidRPr="000E3E27">
        <w:rPr>
          <w:rFonts w:ascii="Arial" w:hAnsi="Arial" w:cs="Arial"/>
          <w:sz w:val="20"/>
          <w:szCs w:val="20"/>
        </w:rPr>
        <w:t xml:space="preserve">spp. However, </w:t>
      </w:r>
      <w:r w:rsidRPr="000E3E27">
        <w:rPr>
          <w:rFonts w:ascii="Arial" w:hAnsi="Arial" w:cs="Arial"/>
          <w:i/>
          <w:iCs/>
          <w:sz w:val="20"/>
          <w:szCs w:val="20"/>
        </w:rPr>
        <w:t>E.</w:t>
      </w:r>
      <w:r w:rsidRPr="000E3E27">
        <w:rPr>
          <w:rFonts w:ascii="Arial" w:hAnsi="Arial" w:cs="Arial"/>
          <w:i/>
          <w:sz w:val="20"/>
          <w:szCs w:val="20"/>
        </w:rPr>
        <w:t xml:space="preserve"> coli </w:t>
      </w:r>
      <w:r w:rsidRPr="000E3E27">
        <w:rPr>
          <w:rFonts w:ascii="Arial" w:hAnsi="Arial" w:cs="Arial"/>
          <w:sz w:val="20"/>
          <w:szCs w:val="20"/>
        </w:rPr>
        <w:t>alone account</w:t>
      </w:r>
      <w:r w:rsidR="000926A4" w:rsidRPr="000E3E27">
        <w:rPr>
          <w:rFonts w:ascii="Arial" w:hAnsi="Arial" w:cs="Arial"/>
          <w:sz w:val="20"/>
          <w:szCs w:val="20"/>
        </w:rPr>
        <w:t>s</w:t>
      </w:r>
      <w:r w:rsidRPr="000E3E27">
        <w:rPr>
          <w:rFonts w:ascii="Arial" w:hAnsi="Arial" w:cs="Arial"/>
          <w:sz w:val="20"/>
          <w:szCs w:val="20"/>
        </w:rPr>
        <w:t xml:space="preserve"> for about 85% of community urinary tract infections, 50% of UTIs are of nosocomial origin [5].  UTIs affect </w:t>
      </w:r>
      <w:r w:rsidR="00BF3FB2" w:rsidRPr="000E3E27">
        <w:rPr>
          <w:rFonts w:ascii="Arial" w:hAnsi="Arial" w:cs="Arial"/>
          <w:sz w:val="20"/>
          <w:szCs w:val="20"/>
        </w:rPr>
        <w:t>p</w:t>
      </w:r>
      <w:r w:rsidRPr="000E3E27">
        <w:rPr>
          <w:rFonts w:ascii="Arial" w:hAnsi="Arial" w:cs="Arial"/>
          <w:sz w:val="20"/>
          <w:szCs w:val="20"/>
        </w:rPr>
        <w:t>eople of all gender</w:t>
      </w:r>
      <w:r w:rsidR="007E0E5B" w:rsidRPr="000E3E27">
        <w:rPr>
          <w:rFonts w:ascii="Arial" w:hAnsi="Arial" w:cs="Arial"/>
          <w:sz w:val="20"/>
          <w:szCs w:val="20"/>
        </w:rPr>
        <w:t xml:space="preserve">, however </w:t>
      </w:r>
      <w:r w:rsidRPr="000E3E27">
        <w:rPr>
          <w:rFonts w:ascii="Arial" w:hAnsi="Arial" w:cs="Arial"/>
          <w:sz w:val="20"/>
          <w:szCs w:val="20"/>
        </w:rPr>
        <w:t>it is more common in children less than 5 years of age and women who are sexually active because there is a short proximity between the urethra and the perianal area [6]. UTIs are predisposing risk factor</w:t>
      </w:r>
      <w:r w:rsidR="000926A4" w:rsidRPr="000E3E27">
        <w:rPr>
          <w:rFonts w:ascii="Arial" w:hAnsi="Arial" w:cs="Arial"/>
          <w:sz w:val="20"/>
          <w:szCs w:val="20"/>
        </w:rPr>
        <w:t>s</w:t>
      </w:r>
      <w:r w:rsidRPr="000E3E27">
        <w:rPr>
          <w:rFonts w:ascii="Arial" w:hAnsi="Arial" w:cs="Arial"/>
          <w:sz w:val="20"/>
          <w:szCs w:val="20"/>
        </w:rPr>
        <w:t xml:space="preserve"> to renal function and have adverse effects on pregnancy [7].  A study conducted in the Limbe health district</w:t>
      </w:r>
      <w:r w:rsidR="00BF3FB2" w:rsidRPr="000E3E27">
        <w:rPr>
          <w:rFonts w:ascii="Arial" w:hAnsi="Arial" w:cs="Arial"/>
          <w:sz w:val="20"/>
          <w:szCs w:val="20"/>
        </w:rPr>
        <w:t>, Cameroon</w:t>
      </w:r>
      <w:r w:rsidRPr="000E3E27">
        <w:rPr>
          <w:rFonts w:ascii="Arial" w:hAnsi="Arial" w:cs="Arial"/>
          <w:sz w:val="20"/>
          <w:szCs w:val="20"/>
        </w:rPr>
        <w:t xml:space="preserve"> reported a high prevalence of urinary tract infections among women [8]. Despite the development of antibiotics for the treatment of UTIs infections of bacteria origin, treatment remains complicated as these microorganisms tend to develop resistance against the commonly available antibiotics. As the resistance varies from one region to another</w:t>
      </w:r>
      <w:r w:rsidR="00DF7068" w:rsidRPr="000E3E27">
        <w:rPr>
          <w:rFonts w:ascii="Arial" w:hAnsi="Arial" w:cs="Arial"/>
          <w:sz w:val="20"/>
          <w:szCs w:val="20"/>
        </w:rPr>
        <w:t>,</w:t>
      </w:r>
      <w:r w:rsidRPr="000E3E27">
        <w:rPr>
          <w:rFonts w:ascii="Arial" w:hAnsi="Arial" w:cs="Arial"/>
          <w:sz w:val="20"/>
          <w:szCs w:val="20"/>
        </w:rPr>
        <w:t xml:space="preserve"> it will be important to have good knowledge on the antibiotic to be use in each region.  In</w:t>
      </w:r>
      <w:r w:rsidR="00EA060E" w:rsidRPr="000E3E27">
        <w:rPr>
          <w:rFonts w:ascii="Arial" w:hAnsi="Arial" w:cs="Arial"/>
          <w:sz w:val="20"/>
          <w:szCs w:val="20"/>
        </w:rPr>
        <w:t xml:space="preserve"> </w:t>
      </w:r>
      <w:r w:rsidRPr="000E3E27">
        <w:rPr>
          <w:rFonts w:ascii="Arial" w:hAnsi="Arial" w:cs="Arial"/>
          <w:sz w:val="20"/>
          <w:szCs w:val="20"/>
        </w:rPr>
        <w:t xml:space="preserve">fact, resistance in bacteria has become a public health burden in the world [9]. In the past years, the resistance rate of </w:t>
      </w:r>
      <w:proofErr w:type="spellStart"/>
      <w:r w:rsidRPr="000E3E27">
        <w:rPr>
          <w:rFonts w:ascii="Arial" w:hAnsi="Arial" w:cs="Arial"/>
          <w:sz w:val="20"/>
          <w:szCs w:val="20"/>
        </w:rPr>
        <w:t>uropathogens</w:t>
      </w:r>
      <w:proofErr w:type="spellEnd"/>
      <w:r w:rsidRPr="000E3E27">
        <w:rPr>
          <w:rFonts w:ascii="Arial" w:hAnsi="Arial" w:cs="Arial"/>
          <w:sz w:val="20"/>
          <w:szCs w:val="20"/>
        </w:rPr>
        <w:t xml:space="preserve"> has increased due to the emergence of extended spectrum beta-lactamase production by Enterobacteriaceae [10]. A recent study conducted among diabetic patients in the </w:t>
      </w:r>
      <w:proofErr w:type="spellStart"/>
      <w:r w:rsidRPr="000E3E27">
        <w:rPr>
          <w:rFonts w:ascii="Arial" w:hAnsi="Arial" w:cs="Arial"/>
          <w:sz w:val="20"/>
          <w:szCs w:val="20"/>
        </w:rPr>
        <w:t>Bafoussam</w:t>
      </w:r>
      <w:proofErr w:type="spellEnd"/>
      <w:r w:rsidRPr="000E3E27">
        <w:rPr>
          <w:rFonts w:ascii="Arial" w:hAnsi="Arial" w:cs="Arial"/>
          <w:sz w:val="20"/>
          <w:szCs w:val="20"/>
        </w:rPr>
        <w:t xml:space="preserve"> Regional Hos</w:t>
      </w:r>
      <w:r w:rsidR="000926A4" w:rsidRPr="000E3E27">
        <w:rPr>
          <w:rFonts w:ascii="Arial" w:hAnsi="Arial" w:cs="Arial"/>
          <w:sz w:val="20"/>
          <w:szCs w:val="20"/>
        </w:rPr>
        <w:t>pital has reported high rates of</w:t>
      </w:r>
      <w:r w:rsidRPr="000E3E27">
        <w:rPr>
          <w:rFonts w:ascii="Arial" w:hAnsi="Arial" w:cs="Arial"/>
          <w:sz w:val="20"/>
          <w:szCs w:val="20"/>
        </w:rPr>
        <w:t xml:space="preserve"> </w:t>
      </w:r>
      <w:proofErr w:type="spellStart"/>
      <w:r w:rsidRPr="000E3E27">
        <w:rPr>
          <w:rFonts w:ascii="Arial" w:hAnsi="Arial" w:cs="Arial"/>
          <w:sz w:val="20"/>
          <w:szCs w:val="20"/>
        </w:rPr>
        <w:t>uropathogenic</w:t>
      </w:r>
      <w:proofErr w:type="spellEnd"/>
      <w:r w:rsidRPr="000E3E27">
        <w:rPr>
          <w:rFonts w:ascii="Arial" w:hAnsi="Arial" w:cs="Arial"/>
          <w:sz w:val="20"/>
          <w:szCs w:val="20"/>
        </w:rPr>
        <w:t xml:space="preserve"> bacteria [11].  Resistance to antibiotics remains challenging to clinical medicine and resistance of </w:t>
      </w:r>
      <w:proofErr w:type="spellStart"/>
      <w:r w:rsidRPr="000E3E27">
        <w:rPr>
          <w:rFonts w:ascii="Arial" w:hAnsi="Arial" w:cs="Arial"/>
          <w:sz w:val="20"/>
          <w:szCs w:val="20"/>
        </w:rPr>
        <w:t>uropathogens</w:t>
      </w:r>
      <w:proofErr w:type="spellEnd"/>
      <w:r w:rsidRPr="000E3E27">
        <w:rPr>
          <w:rFonts w:ascii="Arial" w:hAnsi="Arial" w:cs="Arial"/>
          <w:sz w:val="20"/>
          <w:szCs w:val="20"/>
        </w:rPr>
        <w:t xml:space="preserve"> is increasing over the short a period across the globe [12].  Choice of antibiotics for treatment</w:t>
      </w:r>
      <w:r w:rsidR="00DF7068" w:rsidRPr="000E3E27">
        <w:rPr>
          <w:rFonts w:ascii="Arial" w:hAnsi="Arial" w:cs="Arial"/>
          <w:sz w:val="20"/>
          <w:szCs w:val="20"/>
        </w:rPr>
        <w:t xml:space="preserve"> of UTIs</w:t>
      </w:r>
      <w:r w:rsidRPr="000E3E27">
        <w:rPr>
          <w:rFonts w:ascii="Arial" w:hAnsi="Arial" w:cs="Arial"/>
          <w:sz w:val="20"/>
          <w:szCs w:val="20"/>
        </w:rPr>
        <w:t xml:space="preserve"> is difficult for clinicians because of the increasing resistance [13].</w:t>
      </w:r>
    </w:p>
    <w:p w14:paraId="2EA4DC47" w14:textId="619DA2E8" w:rsidR="00125019" w:rsidRPr="000E3E27" w:rsidRDefault="006234EA" w:rsidP="003B6165">
      <w:pPr>
        <w:spacing w:after="0" w:line="480" w:lineRule="auto"/>
        <w:jc w:val="both"/>
        <w:rPr>
          <w:rFonts w:ascii="Arial" w:hAnsi="Arial" w:cs="Arial"/>
          <w:sz w:val="20"/>
          <w:szCs w:val="20"/>
        </w:rPr>
      </w:pPr>
      <w:r w:rsidRPr="000E3E27">
        <w:rPr>
          <w:rFonts w:ascii="Arial" w:hAnsi="Arial" w:cs="Arial"/>
          <w:sz w:val="20"/>
          <w:szCs w:val="20"/>
        </w:rPr>
        <w:t>Data on the etiology of UTI</w:t>
      </w:r>
      <w:r w:rsidR="00DF7068" w:rsidRPr="000E3E27">
        <w:rPr>
          <w:rFonts w:ascii="Arial" w:hAnsi="Arial" w:cs="Arial"/>
          <w:sz w:val="20"/>
          <w:szCs w:val="20"/>
        </w:rPr>
        <w:t>s</w:t>
      </w:r>
      <w:r w:rsidRPr="000E3E27">
        <w:rPr>
          <w:rFonts w:ascii="Arial" w:hAnsi="Arial" w:cs="Arial"/>
          <w:sz w:val="20"/>
          <w:szCs w:val="20"/>
        </w:rPr>
        <w:t xml:space="preserve"> as well as local and national antimicrobial susceptibility of </w:t>
      </w:r>
      <w:proofErr w:type="spellStart"/>
      <w:r w:rsidRPr="000E3E27">
        <w:rPr>
          <w:rFonts w:ascii="Arial" w:hAnsi="Arial" w:cs="Arial"/>
          <w:sz w:val="20"/>
          <w:szCs w:val="20"/>
        </w:rPr>
        <w:t>uropathogens</w:t>
      </w:r>
      <w:proofErr w:type="spellEnd"/>
      <w:r w:rsidRPr="000E3E27">
        <w:rPr>
          <w:rFonts w:ascii="Arial" w:hAnsi="Arial" w:cs="Arial"/>
          <w:sz w:val="20"/>
          <w:szCs w:val="20"/>
        </w:rPr>
        <w:t xml:space="preserve"> in Cameroon</w:t>
      </w:r>
      <w:r w:rsidR="000926A4" w:rsidRPr="000E3E27">
        <w:rPr>
          <w:rFonts w:ascii="Arial" w:hAnsi="Arial" w:cs="Arial"/>
          <w:sz w:val="20"/>
          <w:szCs w:val="20"/>
        </w:rPr>
        <w:t xml:space="preserve"> are discrepant</w:t>
      </w:r>
      <w:r w:rsidRPr="000E3E27">
        <w:rPr>
          <w:rFonts w:ascii="Arial" w:hAnsi="Arial" w:cs="Arial"/>
          <w:sz w:val="20"/>
          <w:szCs w:val="20"/>
        </w:rPr>
        <w:t>. This study aimed at analyz</w:t>
      </w:r>
      <w:r w:rsidR="00743AF2" w:rsidRPr="000E3E27">
        <w:rPr>
          <w:rFonts w:ascii="Arial" w:hAnsi="Arial" w:cs="Arial"/>
          <w:sz w:val="20"/>
          <w:szCs w:val="20"/>
        </w:rPr>
        <w:t xml:space="preserve">ing the distribution </w:t>
      </w:r>
      <w:r w:rsidRPr="000E3E27">
        <w:rPr>
          <w:rFonts w:ascii="Arial" w:hAnsi="Arial" w:cs="Arial"/>
          <w:sz w:val="20"/>
          <w:szCs w:val="20"/>
        </w:rPr>
        <w:t>of bacterial pathogens associated with UTI</w:t>
      </w:r>
      <w:r w:rsidR="00DF7068" w:rsidRPr="000E3E27">
        <w:rPr>
          <w:rFonts w:ascii="Arial" w:hAnsi="Arial" w:cs="Arial"/>
          <w:sz w:val="20"/>
          <w:szCs w:val="20"/>
        </w:rPr>
        <w:t>s</w:t>
      </w:r>
      <w:r w:rsidRPr="000E3E27">
        <w:rPr>
          <w:rFonts w:ascii="Arial" w:hAnsi="Arial" w:cs="Arial"/>
          <w:sz w:val="20"/>
          <w:szCs w:val="20"/>
        </w:rPr>
        <w:t xml:space="preserve"> in </w:t>
      </w:r>
      <w:r w:rsidR="003B6165" w:rsidRPr="000E3E27">
        <w:rPr>
          <w:rFonts w:ascii="Arial" w:hAnsi="Arial" w:cs="Arial"/>
          <w:sz w:val="20"/>
          <w:szCs w:val="20"/>
        </w:rPr>
        <w:t>out</w:t>
      </w:r>
      <w:r w:rsidRPr="000E3E27">
        <w:rPr>
          <w:rFonts w:ascii="Arial" w:hAnsi="Arial" w:cs="Arial"/>
          <w:sz w:val="20"/>
          <w:szCs w:val="20"/>
        </w:rPr>
        <w:t>patients</w:t>
      </w:r>
      <w:r w:rsidR="003B6165" w:rsidRPr="000E3E27">
        <w:rPr>
          <w:rFonts w:ascii="Arial" w:hAnsi="Arial" w:cs="Arial"/>
          <w:sz w:val="20"/>
          <w:szCs w:val="20"/>
        </w:rPr>
        <w:t xml:space="preserve"> </w:t>
      </w:r>
      <w:r w:rsidR="003B6165" w:rsidRPr="000E3E27">
        <w:rPr>
          <w:rFonts w:ascii="Arial" w:hAnsi="Arial" w:cs="Arial"/>
          <w:sz w:val="20"/>
          <w:szCs w:val="20"/>
          <w:lang w:val="en-GB"/>
        </w:rPr>
        <w:t xml:space="preserve">at the </w:t>
      </w:r>
      <w:r w:rsidR="003B6165" w:rsidRPr="000E3E27">
        <w:rPr>
          <w:rFonts w:ascii="Arial" w:hAnsi="Arial" w:cs="Arial"/>
          <w:sz w:val="20"/>
          <w:szCs w:val="20"/>
          <w:lang w:val="en"/>
        </w:rPr>
        <w:t xml:space="preserve">Regional Annex Hospital of </w:t>
      </w:r>
      <w:proofErr w:type="spellStart"/>
      <w:r w:rsidR="003B6165" w:rsidRPr="000E3E27">
        <w:rPr>
          <w:rFonts w:ascii="Arial" w:hAnsi="Arial" w:cs="Arial"/>
          <w:sz w:val="20"/>
          <w:szCs w:val="20"/>
          <w:lang w:val="en"/>
        </w:rPr>
        <w:t>Dschang</w:t>
      </w:r>
      <w:proofErr w:type="spellEnd"/>
      <w:r w:rsidRPr="000E3E27">
        <w:rPr>
          <w:rFonts w:ascii="Arial" w:hAnsi="Arial" w:cs="Arial"/>
          <w:sz w:val="20"/>
          <w:szCs w:val="20"/>
        </w:rPr>
        <w:t xml:space="preserve"> in the </w:t>
      </w:r>
      <w:proofErr w:type="spellStart"/>
      <w:r w:rsidRPr="000E3E27">
        <w:rPr>
          <w:rFonts w:ascii="Arial" w:hAnsi="Arial" w:cs="Arial"/>
          <w:sz w:val="20"/>
          <w:szCs w:val="20"/>
        </w:rPr>
        <w:t>Menoua</w:t>
      </w:r>
      <w:proofErr w:type="spellEnd"/>
      <w:r w:rsidRPr="000E3E27">
        <w:rPr>
          <w:rFonts w:ascii="Arial" w:hAnsi="Arial" w:cs="Arial"/>
          <w:sz w:val="20"/>
          <w:szCs w:val="20"/>
        </w:rPr>
        <w:t xml:space="preserve"> division,</w:t>
      </w:r>
      <w:r w:rsidR="00831256" w:rsidRPr="000E3E27">
        <w:rPr>
          <w:rFonts w:ascii="Arial" w:hAnsi="Arial" w:cs="Arial"/>
          <w:sz w:val="20"/>
          <w:szCs w:val="20"/>
        </w:rPr>
        <w:t xml:space="preserve"> West Region of Cameroon </w:t>
      </w:r>
      <w:r w:rsidR="008A445C" w:rsidRPr="000E3E27">
        <w:rPr>
          <w:rFonts w:ascii="Arial" w:hAnsi="Arial" w:cs="Arial"/>
          <w:sz w:val="20"/>
          <w:szCs w:val="20"/>
        </w:rPr>
        <w:t xml:space="preserve">in order </w:t>
      </w:r>
      <w:r w:rsidRPr="000E3E27">
        <w:rPr>
          <w:rFonts w:ascii="Arial" w:hAnsi="Arial" w:cs="Arial"/>
          <w:sz w:val="20"/>
          <w:szCs w:val="20"/>
        </w:rPr>
        <w:t>to determine their susceptibility</w:t>
      </w:r>
      <w:r w:rsidR="008A445C" w:rsidRPr="000E3E27">
        <w:rPr>
          <w:rFonts w:ascii="Arial" w:hAnsi="Arial" w:cs="Arial"/>
          <w:sz w:val="20"/>
          <w:szCs w:val="20"/>
        </w:rPr>
        <w:t xml:space="preserve"> profile</w:t>
      </w:r>
      <w:r w:rsidRPr="000E3E27">
        <w:rPr>
          <w:rFonts w:ascii="Arial" w:hAnsi="Arial" w:cs="Arial"/>
          <w:sz w:val="20"/>
          <w:szCs w:val="20"/>
        </w:rPr>
        <w:t xml:space="preserve"> to commonly used antibiotics </w:t>
      </w:r>
      <w:r w:rsidR="00B31959" w:rsidRPr="000E3E27">
        <w:rPr>
          <w:rFonts w:ascii="Arial" w:hAnsi="Arial" w:cs="Arial"/>
          <w:sz w:val="20"/>
          <w:szCs w:val="20"/>
        </w:rPr>
        <w:t>and</w:t>
      </w:r>
      <w:r w:rsidR="00C40EE1" w:rsidRPr="000E3E27">
        <w:rPr>
          <w:rFonts w:ascii="Arial" w:hAnsi="Arial" w:cs="Arial"/>
          <w:sz w:val="20"/>
          <w:szCs w:val="20"/>
        </w:rPr>
        <w:t xml:space="preserve"> </w:t>
      </w:r>
      <w:r w:rsidRPr="000E3E27">
        <w:rPr>
          <w:rFonts w:ascii="Arial" w:hAnsi="Arial" w:cs="Arial"/>
          <w:sz w:val="20"/>
          <w:szCs w:val="20"/>
        </w:rPr>
        <w:t xml:space="preserve">to generate </w:t>
      </w:r>
      <w:r w:rsidRPr="000E3E27">
        <w:rPr>
          <w:rFonts w:ascii="Arial" w:hAnsi="Arial" w:cs="Arial"/>
          <w:sz w:val="20"/>
          <w:szCs w:val="20"/>
        </w:rPr>
        <w:lastRenderedPageBreak/>
        <w:t>data that could be helpful in improving the efficacy of empiric treatment of UTI</w:t>
      </w:r>
      <w:r w:rsidR="00B31959" w:rsidRPr="000E3E27">
        <w:rPr>
          <w:rFonts w:ascii="Arial" w:hAnsi="Arial" w:cs="Arial"/>
          <w:sz w:val="20"/>
          <w:szCs w:val="20"/>
        </w:rPr>
        <w:t>s</w:t>
      </w:r>
      <w:r w:rsidR="003B6165" w:rsidRPr="000E3E27">
        <w:rPr>
          <w:rFonts w:ascii="Arial" w:hAnsi="Arial" w:cs="Arial"/>
          <w:sz w:val="20"/>
          <w:szCs w:val="20"/>
        </w:rPr>
        <w:t xml:space="preserve"> and identify associated risk factors</w:t>
      </w:r>
      <w:r w:rsidRPr="000E3E27">
        <w:rPr>
          <w:rFonts w:ascii="Arial" w:hAnsi="Arial" w:cs="Arial"/>
          <w:sz w:val="20"/>
          <w:szCs w:val="20"/>
        </w:rPr>
        <w:t>.</w:t>
      </w:r>
    </w:p>
    <w:p w14:paraId="6979F920" w14:textId="4070E1C0" w:rsidR="006234EA" w:rsidRPr="000E3E27" w:rsidRDefault="000E3E27" w:rsidP="000E3E27">
      <w:pPr>
        <w:spacing w:line="480" w:lineRule="auto"/>
        <w:rPr>
          <w:rFonts w:ascii="Arial Black" w:hAnsi="Arial Black" w:cs="Times New Roman"/>
          <w:b/>
        </w:rPr>
      </w:pPr>
      <w:r w:rsidRPr="000E3E27">
        <w:rPr>
          <w:rFonts w:ascii="Arial Black" w:hAnsi="Arial Black" w:cs="Times New Roman"/>
          <w:b/>
        </w:rPr>
        <w:t>2</w:t>
      </w:r>
      <w:r w:rsidRPr="009170BD">
        <w:rPr>
          <w:rFonts w:ascii="Arial" w:hAnsi="Arial" w:cs="Arial"/>
          <w:b/>
        </w:rPr>
        <w:t>. MATERIAL AND METHODS</w:t>
      </w:r>
      <w:r w:rsidRPr="000E3E27">
        <w:rPr>
          <w:rFonts w:ascii="Arial Black" w:hAnsi="Arial Black" w:cs="Times New Roman"/>
          <w:b/>
        </w:rPr>
        <w:t xml:space="preserve"> </w:t>
      </w:r>
    </w:p>
    <w:p w14:paraId="0757275B" w14:textId="7373F900" w:rsidR="006234EA" w:rsidRPr="000E3E27" w:rsidRDefault="00B31959" w:rsidP="000E3E27">
      <w:pPr>
        <w:spacing w:line="480" w:lineRule="auto"/>
        <w:rPr>
          <w:rFonts w:ascii="Arial" w:hAnsi="Arial" w:cs="Arial"/>
          <w:b/>
        </w:rPr>
      </w:pPr>
      <w:r w:rsidRPr="000E3E27">
        <w:rPr>
          <w:rFonts w:ascii="Arial" w:hAnsi="Arial" w:cs="Arial"/>
          <w:b/>
        </w:rPr>
        <w:t xml:space="preserve">2.1. </w:t>
      </w:r>
      <w:r w:rsidR="00DC7FB5" w:rsidRPr="000E3E27">
        <w:rPr>
          <w:rFonts w:ascii="Arial" w:hAnsi="Arial" w:cs="Arial"/>
          <w:b/>
        </w:rPr>
        <w:t xml:space="preserve">Study </w:t>
      </w:r>
      <w:r w:rsidR="00AB5D5D" w:rsidRPr="000E3E27">
        <w:rPr>
          <w:rFonts w:ascii="Arial" w:hAnsi="Arial" w:cs="Arial"/>
          <w:b/>
        </w:rPr>
        <w:t xml:space="preserve">design </w:t>
      </w:r>
      <w:r w:rsidR="00DC7FB5" w:rsidRPr="000E3E27">
        <w:rPr>
          <w:rFonts w:ascii="Arial" w:hAnsi="Arial" w:cs="Arial"/>
          <w:b/>
        </w:rPr>
        <w:t xml:space="preserve">and </w:t>
      </w:r>
      <w:r w:rsidR="00AB5D5D" w:rsidRPr="000E3E27">
        <w:rPr>
          <w:rFonts w:ascii="Arial" w:hAnsi="Arial" w:cs="Arial"/>
          <w:b/>
        </w:rPr>
        <w:t>setting</w:t>
      </w:r>
    </w:p>
    <w:p w14:paraId="22617DC6" w14:textId="11E71144" w:rsidR="00B31959" w:rsidRPr="000E3E27" w:rsidRDefault="00B31959" w:rsidP="00020E73">
      <w:pPr>
        <w:pStyle w:val="NoSpacing"/>
      </w:pPr>
      <w:r w:rsidRPr="000E3E27">
        <w:t xml:space="preserve">2.1.1. </w:t>
      </w:r>
      <w:r w:rsidR="00D244DF" w:rsidRPr="000E3E27">
        <w:t>Study area</w:t>
      </w:r>
      <w:r w:rsidR="0023435D" w:rsidRPr="000E3E27">
        <w:t>, period</w:t>
      </w:r>
      <w:r w:rsidR="00D244DF" w:rsidRPr="000E3E27">
        <w:t xml:space="preserve"> and design</w:t>
      </w:r>
    </w:p>
    <w:p w14:paraId="358D82A9" w14:textId="08A58292" w:rsidR="00D244DF" w:rsidRPr="000E3E27" w:rsidRDefault="00B31959" w:rsidP="00A70636">
      <w:pPr>
        <w:spacing w:line="480" w:lineRule="auto"/>
        <w:jc w:val="both"/>
        <w:rPr>
          <w:rFonts w:ascii="Arial" w:hAnsi="Arial" w:cs="Arial"/>
          <w:sz w:val="20"/>
          <w:szCs w:val="20"/>
        </w:rPr>
      </w:pPr>
      <w:r w:rsidRPr="000E3E27">
        <w:rPr>
          <w:rFonts w:ascii="Arial" w:hAnsi="Arial" w:cs="Arial"/>
          <w:sz w:val="20"/>
          <w:szCs w:val="20"/>
        </w:rPr>
        <w:t>T</w:t>
      </w:r>
      <w:r w:rsidR="00D244DF" w:rsidRPr="000E3E27">
        <w:rPr>
          <w:rFonts w:ascii="Arial" w:hAnsi="Arial" w:cs="Arial"/>
          <w:sz w:val="20"/>
          <w:szCs w:val="20"/>
        </w:rPr>
        <w:t xml:space="preserve">his cross-sectional study was conducted in the Regional Annex Hospital </w:t>
      </w:r>
      <w:r w:rsidR="003D3E30" w:rsidRPr="000E3E27">
        <w:rPr>
          <w:rFonts w:ascii="Arial" w:hAnsi="Arial" w:cs="Arial"/>
          <w:sz w:val="20"/>
          <w:szCs w:val="20"/>
        </w:rPr>
        <w:t xml:space="preserve">of </w:t>
      </w:r>
      <w:proofErr w:type="spellStart"/>
      <w:r w:rsidR="003D3E30" w:rsidRPr="000E3E27">
        <w:rPr>
          <w:rFonts w:ascii="Arial" w:hAnsi="Arial" w:cs="Arial"/>
          <w:sz w:val="20"/>
          <w:szCs w:val="20"/>
        </w:rPr>
        <w:t>Dschang</w:t>
      </w:r>
      <w:proofErr w:type="spellEnd"/>
      <w:r w:rsidR="003D3E30" w:rsidRPr="000E3E27">
        <w:rPr>
          <w:rFonts w:ascii="Arial" w:hAnsi="Arial" w:cs="Arial"/>
          <w:sz w:val="20"/>
          <w:szCs w:val="20"/>
        </w:rPr>
        <w:t xml:space="preserve"> </w:t>
      </w:r>
      <w:r w:rsidR="00D244DF" w:rsidRPr="000E3E27">
        <w:rPr>
          <w:rFonts w:ascii="Arial" w:hAnsi="Arial" w:cs="Arial"/>
          <w:sz w:val="20"/>
          <w:szCs w:val="20"/>
        </w:rPr>
        <w:t xml:space="preserve">of the </w:t>
      </w:r>
      <w:proofErr w:type="spellStart"/>
      <w:r w:rsidR="00D244DF" w:rsidRPr="000E3E27">
        <w:rPr>
          <w:rFonts w:ascii="Arial" w:hAnsi="Arial" w:cs="Arial"/>
          <w:sz w:val="20"/>
          <w:szCs w:val="20"/>
        </w:rPr>
        <w:t>Menoua</w:t>
      </w:r>
      <w:proofErr w:type="spellEnd"/>
      <w:r w:rsidR="00D244DF" w:rsidRPr="000E3E27">
        <w:rPr>
          <w:rFonts w:ascii="Arial" w:hAnsi="Arial" w:cs="Arial"/>
          <w:sz w:val="20"/>
          <w:szCs w:val="20"/>
        </w:rPr>
        <w:t xml:space="preserve"> division, West Region of Cameroon</w:t>
      </w:r>
      <w:r w:rsidR="0023435D" w:rsidRPr="000E3E27">
        <w:rPr>
          <w:rFonts w:ascii="Arial" w:hAnsi="Arial" w:cs="Arial"/>
          <w:sz w:val="20"/>
          <w:szCs w:val="20"/>
        </w:rPr>
        <w:t xml:space="preserve"> from March to June 2023</w:t>
      </w:r>
      <w:r w:rsidR="00D244DF" w:rsidRPr="000E3E27">
        <w:rPr>
          <w:rFonts w:ascii="Arial" w:hAnsi="Arial" w:cs="Arial"/>
          <w:sz w:val="20"/>
          <w:szCs w:val="20"/>
        </w:rPr>
        <w:t xml:space="preserve">. This hospital was chosen because it is found in the heart of the university town with many patients coming for consultation and follow-up. </w:t>
      </w:r>
    </w:p>
    <w:p w14:paraId="340CCDBB" w14:textId="69A873AE" w:rsidR="00B31959" w:rsidRPr="009170BD" w:rsidRDefault="00B31959" w:rsidP="000E3E27">
      <w:pPr>
        <w:spacing w:after="0" w:line="480" w:lineRule="auto"/>
        <w:rPr>
          <w:rFonts w:ascii="Arial" w:hAnsi="Arial" w:cs="Arial"/>
          <w:sz w:val="20"/>
          <w:szCs w:val="20"/>
          <w:u w:val="single"/>
        </w:rPr>
      </w:pPr>
      <w:r w:rsidRPr="009170BD">
        <w:rPr>
          <w:rFonts w:ascii="Arial" w:hAnsi="Arial" w:cs="Arial"/>
          <w:b/>
          <w:sz w:val="20"/>
          <w:szCs w:val="20"/>
          <w:u w:val="single"/>
        </w:rPr>
        <w:t xml:space="preserve">2.1.2. </w:t>
      </w:r>
      <w:r w:rsidR="0023435D" w:rsidRPr="009170BD">
        <w:rPr>
          <w:rFonts w:ascii="Arial" w:hAnsi="Arial" w:cs="Arial"/>
          <w:b/>
          <w:bCs/>
          <w:sz w:val="20"/>
          <w:szCs w:val="20"/>
          <w:u w:val="single"/>
        </w:rPr>
        <w:t>Ethical consideration</w:t>
      </w:r>
    </w:p>
    <w:p w14:paraId="10DA5481" w14:textId="02855289" w:rsidR="0023435D" w:rsidRPr="000E3E27" w:rsidRDefault="00D244DF" w:rsidP="00C67020">
      <w:pPr>
        <w:spacing w:after="0" w:line="480" w:lineRule="auto"/>
        <w:jc w:val="both"/>
        <w:rPr>
          <w:rFonts w:ascii="Arial" w:hAnsi="Arial" w:cs="Arial"/>
          <w:sz w:val="20"/>
          <w:szCs w:val="20"/>
        </w:rPr>
      </w:pPr>
      <w:r w:rsidRPr="000E3E27">
        <w:rPr>
          <w:rFonts w:ascii="Arial" w:hAnsi="Arial" w:cs="Arial"/>
          <w:sz w:val="20"/>
          <w:szCs w:val="20"/>
        </w:rPr>
        <w:t xml:space="preserve">All participants provided written consent and ethical clearance was gotten from the west regional committee in charge of research on human subjects. Urine samples were collected and </w:t>
      </w:r>
      <w:r w:rsidR="00B31959" w:rsidRPr="000E3E27">
        <w:rPr>
          <w:rFonts w:ascii="Arial" w:hAnsi="Arial" w:cs="Arial"/>
          <w:sz w:val="20"/>
          <w:szCs w:val="20"/>
        </w:rPr>
        <w:t>analyzed</w:t>
      </w:r>
      <w:r w:rsidRPr="000E3E27">
        <w:rPr>
          <w:rFonts w:ascii="Arial" w:hAnsi="Arial" w:cs="Arial"/>
          <w:sz w:val="20"/>
          <w:szCs w:val="20"/>
        </w:rPr>
        <w:t xml:space="preserve"> for diagnostic purposes at the bacteriology unit of the said hospital. </w:t>
      </w:r>
    </w:p>
    <w:p w14:paraId="22E89ACD" w14:textId="77777777" w:rsidR="0023435D" w:rsidRPr="000E3E27" w:rsidRDefault="0023435D" w:rsidP="00A70636">
      <w:pPr>
        <w:spacing w:line="480" w:lineRule="auto"/>
        <w:jc w:val="both"/>
        <w:rPr>
          <w:rFonts w:ascii="Arial" w:hAnsi="Arial" w:cs="Arial"/>
          <w:b/>
          <w:sz w:val="20"/>
          <w:szCs w:val="20"/>
        </w:rPr>
      </w:pPr>
      <w:r w:rsidRPr="000E3E27">
        <w:rPr>
          <w:rFonts w:ascii="Arial" w:hAnsi="Arial" w:cs="Arial"/>
          <w:sz w:val="20"/>
          <w:szCs w:val="20"/>
        </w:rPr>
        <w:t>All data obtained in the course of the study were kept confidential and used exclusively for</w:t>
      </w:r>
      <w:r w:rsidR="00D87029" w:rsidRPr="000E3E27">
        <w:rPr>
          <w:rFonts w:ascii="Arial" w:hAnsi="Arial" w:cs="Arial"/>
          <w:sz w:val="20"/>
          <w:szCs w:val="20"/>
        </w:rPr>
        <w:t xml:space="preserve"> the purpose of the study. </w:t>
      </w:r>
      <w:r w:rsidRPr="000E3E27">
        <w:rPr>
          <w:rFonts w:ascii="Arial" w:hAnsi="Arial" w:cs="Arial"/>
          <w:sz w:val="20"/>
          <w:szCs w:val="20"/>
        </w:rPr>
        <w:t xml:space="preserve">The laboratory analysis results of participants in this study were communicated to the clinicians for proper treatment. </w:t>
      </w:r>
    </w:p>
    <w:p w14:paraId="50877E51" w14:textId="7169DC0D" w:rsidR="00DC7FB5" w:rsidRPr="009170BD" w:rsidRDefault="00B31959" w:rsidP="009170BD">
      <w:pPr>
        <w:spacing w:after="0" w:line="480" w:lineRule="auto"/>
        <w:rPr>
          <w:rFonts w:ascii="Arial" w:hAnsi="Arial" w:cs="Arial"/>
          <w:b/>
        </w:rPr>
      </w:pPr>
      <w:r w:rsidRPr="009170BD">
        <w:rPr>
          <w:rFonts w:ascii="Arial" w:hAnsi="Arial" w:cs="Arial"/>
          <w:b/>
        </w:rPr>
        <w:t xml:space="preserve">2.2. </w:t>
      </w:r>
      <w:r w:rsidR="00DC7FB5" w:rsidRPr="009170BD">
        <w:rPr>
          <w:rFonts w:ascii="Arial" w:hAnsi="Arial" w:cs="Arial"/>
          <w:b/>
        </w:rPr>
        <w:t>Study population and selection of participants</w:t>
      </w:r>
    </w:p>
    <w:p w14:paraId="7905CD14" w14:textId="77777777" w:rsidR="006234EA" w:rsidRPr="009170BD" w:rsidRDefault="00FF2DBD" w:rsidP="00C67020">
      <w:pPr>
        <w:spacing w:after="0" w:line="480" w:lineRule="auto"/>
        <w:jc w:val="both"/>
        <w:rPr>
          <w:rFonts w:ascii="Arial" w:hAnsi="Arial" w:cs="Arial"/>
          <w:sz w:val="20"/>
          <w:szCs w:val="20"/>
        </w:rPr>
      </w:pPr>
      <w:r w:rsidRPr="009170BD">
        <w:rPr>
          <w:rFonts w:ascii="Arial" w:hAnsi="Arial" w:cs="Arial"/>
          <w:sz w:val="20"/>
          <w:szCs w:val="20"/>
        </w:rPr>
        <w:t>The study was conducted among 173</w:t>
      </w:r>
      <w:r w:rsidR="006234EA" w:rsidRPr="009170BD">
        <w:rPr>
          <w:rFonts w:ascii="Arial" w:hAnsi="Arial" w:cs="Arial"/>
          <w:sz w:val="20"/>
          <w:szCs w:val="20"/>
        </w:rPr>
        <w:t xml:space="preserve"> </w:t>
      </w:r>
      <w:r w:rsidR="00583591" w:rsidRPr="009170BD">
        <w:rPr>
          <w:rFonts w:ascii="Arial" w:hAnsi="Arial" w:cs="Arial"/>
          <w:sz w:val="20"/>
          <w:szCs w:val="20"/>
        </w:rPr>
        <w:t>out</w:t>
      </w:r>
      <w:r w:rsidRPr="009170BD">
        <w:rPr>
          <w:rFonts w:ascii="Arial" w:hAnsi="Arial" w:cs="Arial"/>
          <w:sz w:val="20"/>
          <w:szCs w:val="20"/>
        </w:rPr>
        <w:t>p</w:t>
      </w:r>
      <w:r w:rsidR="006234EA" w:rsidRPr="009170BD">
        <w:rPr>
          <w:rFonts w:ascii="Arial" w:hAnsi="Arial" w:cs="Arial"/>
          <w:sz w:val="20"/>
          <w:szCs w:val="20"/>
        </w:rPr>
        <w:t xml:space="preserve">atients suspected of having urinary tract infections </w:t>
      </w:r>
      <w:r w:rsidRPr="009170BD">
        <w:rPr>
          <w:rFonts w:ascii="Arial" w:hAnsi="Arial" w:cs="Arial"/>
          <w:sz w:val="20"/>
          <w:szCs w:val="20"/>
        </w:rPr>
        <w:t>at the Regional Annex Hospital</w:t>
      </w:r>
      <w:r w:rsidR="003D3E30" w:rsidRPr="009170BD">
        <w:rPr>
          <w:rFonts w:ascii="Arial" w:hAnsi="Arial" w:cs="Arial"/>
          <w:sz w:val="20"/>
          <w:szCs w:val="20"/>
        </w:rPr>
        <w:t xml:space="preserve"> of </w:t>
      </w:r>
      <w:proofErr w:type="spellStart"/>
      <w:r w:rsidR="003D3E30" w:rsidRPr="009170BD">
        <w:rPr>
          <w:rFonts w:ascii="Arial" w:hAnsi="Arial" w:cs="Arial"/>
          <w:sz w:val="20"/>
          <w:szCs w:val="20"/>
        </w:rPr>
        <w:t>Dschang</w:t>
      </w:r>
      <w:proofErr w:type="spellEnd"/>
      <w:r w:rsidR="003D3E30" w:rsidRPr="009170BD">
        <w:rPr>
          <w:rFonts w:ascii="Arial" w:hAnsi="Arial" w:cs="Arial"/>
          <w:sz w:val="20"/>
          <w:szCs w:val="20"/>
        </w:rPr>
        <w:t xml:space="preserve"> </w:t>
      </w:r>
      <w:r w:rsidR="006234EA" w:rsidRPr="009170BD">
        <w:rPr>
          <w:rFonts w:ascii="Arial" w:hAnsi="Arial" w:cs="Arial"/>
          <w:sz w:val="20"/>
          <w:szCs w:val="20"/>
        </w:rPr>
        <w:t>irrespective of their age and sex. Excluded from the study were patien</w:t>
      </w:r>
      <w:r w:rsidRPr="009170BD">
        <w:rPr>
          <w:rFonts w:ascii="Arial" w:hAnsi="Arial" w:cs="Arial"/>
          <w:sz w:val="20"/>
          <w:szCs w:val="20"/>
        </w:rPr>
        <w:t>ts on antibiotics</w:t>
      </w:r>
      <w:r w:rsidR="006234EA" w:rsidRPr="009170BD">
        <w:rPr>
          <w:rFonts w:ascii="Arial" w:hAnsi="Arial" w:cs="Arial"/>
          <w:sz w:val="20"/>
          <w:szCs w:val="20"/>
        </w:rPr>
        <w:t>.</w:t>
      </w:r>
      <w:r w:rsidRPr="009170BD">
        <w:rPr>
          <w:rFonts w:ascii="Arial" w:hAnsi="Arial" w:cs="Arial"/>
          <w:sz w:val="20"/>
          <w:szCs w:val="20"/>
        </w:rPr>
        <w:t xml:space="preserve">  </w:t>
      </w:r>
    </w:p>
    <w:p w14:paraId="6E99686E" w14:textId="77777777" w:rsidR="00FD6D46" w:rsidRPr="009170BD" w:rsidRDefault="006234EA" w:rsidP="00C67020">
      <w:pPr>
        <w:spacing w:line="480" w:lineRule="auto"/>
        <w:jc w:val="both"/>
        <w:rPr>
          <w:rFonts w:ascii="Arial" w:hAnsi="Arial" w:cs="Arial"/>
          <w:sz w:val="20"/>
          <w:szCs w:val="20"/>
        </w:rPr>
      </w:pPr>
      <w:r w:rsidRPr="009170BD">
        <w:rPr>
          <w:rFonts w:ascii="Arial" w:hAnsi="Arial" w:cs="Arial"/>
          <w:sz w:val="20"/>
          <w:szCs w:val="20"/>
        </w:rPr>
        <w:t>Sociodemographic information, clinical symptoms and risk factors associated to urinary tract infections such as oliguria, poor personal hygiene, urinary stasis, dysuria fever among others were recorded using a well-structured questionnaire</w:t>
      </w:r>
      <w:r w:rsidR="00FD6D46" w:rsidRPr="009170BD">
        <w:rPr>
          <w:rFonts w:ascii="Arial" w:hAnsi="Arial" w:cs="Arial"/>
          <w:sz w:val="20"/>
          <w:szCs w:val="20"/>
        </w:rPr>
        <w:t xml:space="preserve"> after obtaining consent from each participant</w:t>
      </w:r>
      <w:r w:rsidR="00485561" w:rsidRPr="009170BD">
        <w:rPr>
          <w:rFonts w:ascii="Arial" w:hAnsi="Arial" w:cs="Arial"/>
          <w:sz w:val="20"/>
          <w:szCs w:val="20"/>
        </w:rPr>
        <w:t>.</w:t>
      </w:r>
    </w:p>
    <w:p w14:paraId="0E484105" w14:textId="0618696E" w:rsidR="000C652F" w:rsidRPr="009170BD" w:rsidRDefault="00B31959" w:rsidP="009170BD">
      <w:pPr>
        <w:spacing w:after="0" w:line="480" w:lineRule="auto"/>
        <w:rPr>
          <w:rFonts w:ascii="Arial" w:hAnsi="Arial" w:cs="Arial"/>
          <w:b/>
        </w:rPr>
      </w:pPr>
      <w:r w:rsidRPr="009170BD">
        <w:rPr>
          <w:rFonts w:ascii="Arial" w:hAnsi="Arial" w:cs="Arial"/>
          <w:b/>
        </w:rPr>
        <w:t xml:space="preserve">2.3. </w:t>
      </w:r>
      <w:r w:rsidR="000C652F" w:rsidRPr="009170BD">
        <w:rPr>
          <w:rFonts w:ascii="Arial" w:hAnsi="Arial" w:cs="Arial"/>
          <w:b/>
        </w:rPr>
        <w:t>Sample collection</w:t>
      </w:r>
    </w:p>
    <w:p w14:paraId="04F31671" w14:textId="77777777" w:rsidR="000C652F" w:rsidRPr="009170BD" w:rsidRDefault="00F42472" w:rsidP="00C67020">
      <w:pPr>
        <w:spacing w:line="480" w:lineRule="auto"/>
        <w:jc w:val="both"/>
        <w:rPr>
          <w:rFonts w:ascii="Arial" w:hAnsi="Arial" w:cs="Arial"/>
          <w:sz w:val="20"/>
          <w:szCs w:val="20"/>
        </w:rPr>
      </w:pPr>
      <w:r w:rsidRPr="009170BD">
        <w:rPr>
          <w:rFonts w:ascii="Arial" w:hAnsi="Arial" w:cs="Arial"/>
          <w:sz w:val="20"/>
          <w:szCs w:val="20"/>
        </w:rPr>
        <w:t>About fifty milliliters (50 mL) of clean-catch midstream urine sample was collected in a wide mouthed dry-sterile leak proof container. Instructions were given to patients on how to collect urine samples in order to avoid contamination. Only a single sample was collected f</w:t>
      </w:r>
      <w:r w:rsidR="00583591" w:rsidRPr="009170BD">
        <w:rPr>
          <w:rFonts w:ascii="Arial" w:hAnsi="Arial" w:cs="Arial"/>
          <w:sz w:val="20"/>
          <w:szCs w:val="20"/>
        </w:rPr>
        <w:t>rom each of the 173 participant</w:t>
      </w:r>
      <w:r w:rsidRPr="009170BD">
        <w:rPr>
          <w:rFonts w:ascii="Arial" w:hAnsi="Arial" w:cs="Arial"/>
          <w:sz w:val="20"/>
          <w:szCs w:val="20"/>
        </w:rPr>
        <w:t xml:space="preserve"> who presented </w:t>
      </w:r>
      <w:r w:rsidRPr="009170BD">
        <w:rPr>
          <w:rFonts w:ascii="Arial" w:hAnsi="Arial" w:cs="Arial"/>
          <w:sz w:val="20"/>
          <w:szCs w:val="20"/>
        </w:rPr>
        <w:lastRenderedPageBreak/>
        <w:t xml:space="preserve">with UTIs symptoms.  Once in the laboratory, macroscopic aspect of urine was evaluated and analysis performed within 2 hours after sampling. </w:t>
      </w:r>
    </w:p>
    <w:p w14:paraId="7CB0944F" w14:textId="074618F2" w:rsidR="006234EA" w:rsidRPr="001938BC" w:rsidRDefault="00B31959" w:rsidP="009170BD">
      <w:pPr>
        <w:spacing w:after="0" w:line="480" w:lineRule="auto"/>
        <w:rPr>
          <w:rFonts w:ascii="Arial" w:hAnsi="Arial" w:cs="Arial"/>
          <w:b/>
        </w:rPr>
      </w:pPr>
      <w:r w:rsidRPr="001938BC">
        <w:rPr>
          <w:rFonts w:ascii="Arial" w:hAnsi="Arial" w:cs="Arial"/>
          <w:b/>
        </w:rPr>
        <w:t xml:space="preserve">2.4. </w:t>
      </w:r>
      <w:r w:rsidR="00085967" w:rsidRPr="001938BC">
        <w:rPr>
          <w:rFonts w:ascii="Arial" w:hAnsi="Arial" w:cs="Arial"/>
          <w:i/>
        </w:rPr>
        <w:t xml:space="preserve"> </w:t>
      </w:r>
      <w:r w:rsidR="008A734D" w:rsidRPr="001938BC">
        <w:rPr>
          <w:rFonts w:ascii="Arial" w:hAnsi="Arial" w:cs="Arial"/>
          <w:b/>
        </w:rPr>
        <w:t xml:space="preserve">Bacteria </w:t>
      </w:r>
      <w:r w:rsidRPr="001938BC">
        <w:rPr>
          <w:rFonts w:ascii="Arial" w:hAnsi="Arial" w:cs="Arial"/>
          <w:b/>
        </w:rPr>
        <w:t xml:space="preserve">culture </w:t>
      </w:r>
      <w:r w:rsidR="008A734D" w:rsidRPr="001938BC">
        <w:rPr>
          <w:rFonts w:ascii="Arial" w:hAnsi="Arial" w:cs="Arial"/>
          <w:b/>
        </w:rPr>
        <w:t xml:space="preserve">and </w:t>
      </w:r>
      <w:r w:rsidRPr="001938BC">
        <w:rPr>
          <w:rFonts w:ascii="Arial" w:hAnsi="Arial" w:cs="Arial"/>
          <w:b/>
        </w:rPr>
        <w:t>identification</w:t>
      </w:r>
    </w:p>
    <w:p w14:paraId="1D36A1CC" w14:textId="77777777" w:rsidR="006234EA" w:rsidRPr="009170BD" w:rsidRDefault="004D037F" w:rsidP="00843718">
      <w:pPr>
        <w:spacing w:line="480" w:lineRule="auto"/>
        <w:jc w:val="both"/>
        <w:rPr>
          <w:rFonts w:ascii="Arial" w:hAnsi="Arial" w:cs="Arial"/>
          <w:sz w:val="20"/>
          <w:szCs w:val="20"/>
        </w:rPr>
      </w:pPr>
      <w:r w:rsidRPr="009170BD">
        <w:rPr>
          <w:rFonts w:ascii="Arial" w:hAnsi="Arial" w:cs="Arial"/>
          <w:sz w:val="20"/>
          <w:szCs w:val="20"/>
        </w:rPr>
        <w:t xml:space="preserve"> A loo</w:t>
      </w:r>
      <w:r w:rsidR="00485561" w:rsidRPr="009170BD">
        <w:rPr>
          <w:rFonts w:ascii="Arial" w:hAnsi="Arial" w:cs="Arial"/>
          <w:sz w:val="20"/>
          <w:szCs w:val="20"/>
        </w:rPr>
        <w:t>p</w:t>
      </w:r>
      <w:r w:rsidRPr="009170BD">
        <w:rPr>
          <w:rFonts w:ascii="Arial" w:hAnsi="Arial" w:cs="Arial"/>
          <w:sz w:val="20"/>
          <w:szCs w:val="20"/>
        </w:rPr>
        <w:t xml:space="preserve"> full of urine was inoculated on the Cystine Lactose Electrolyte Deficient Agar (CLED) </w:t>
      </w:r>
      <w:r w:rsidR="006234EA" w:rsidRPr="009170BD">
        <w:rPr>
          <w:rFonts w:ascii="Arial" w:hAnsi="Arial" w:cs="Arial"/>
          <w:sz w:val="20"/>
          <w:szCs w:val="20"/>
        </w:rPr>
        <w:t>(</w:t>
      </w:r>
      <w:proofErr w:type="spellStart"/>
      <w:r w:rsidR="006234EA" w:rsidRPr="009170BD">
        <w:rPr>
          <w:rFonts w:ascii="Arial" w:hAnsi="Arial" w:cs="Arial"/>
          <w:sz w:val="20"/>
          <w:szCs w:val="20"/>
        </w:rPr>
        <w:t>Accumix</w:t>
      </w:r>
      <w:proofErr w:type="spellEnd"/>
      <w:r w:rsidR="006234EA" w:rsidRPr="009170BD">
        <w:rPr>
          <w:rFonts w:ascii="Arial" w:hAnsi="Arial" w:cs="Arial"/>
          <w:sz w:val="20"/>
          <w:szCs w:val="20"/>
        </w:rPr>
        <w:t xml:space="preserve">) for isolation of </w:t>
      </w:r>
      <w:proofErr w:type="spellStart"/>
      <w:r w:rsidRPr="009170BD">
        <w:rPr>
          <w:rFonts w:ascii="Arial" w:hAnsi="Arial" w:cs="Arial"/>
          <w:sz w:val="20"/>
          <w:szCs w:val="20"/>
        </w:rPr>
        <w:t>uropathogens</w:t>
      </w:r>
      <w:proofErr w:type="spellEnd"/>
      <w:r w:rsidRPr="009170BD">
        <w:rPr>
          <w:rFonts w:ascii="Arial" w:hAnsi="Arial" w:cs="Arial"/>
          <w:sz w:val="20"/>
          <w:szCs w:val="20"/>
        </w:rPr>
        <w:t xml:space="preserve"> and incubated </w:t>
      </w:r>
      <w:r w:rsidR="006234EA" w:rsidRPr="009170BD">
        <w:rPr>
          <w:rFonts w:ascii="Arial" w:hAnsi="Arial" w:cs="Arial"/>
          <w:sz w:val="20"/>
          <w:szCs w:val="20"/>
        </w:rPr>
        <w:t xml:space="preserve">at 37°C for 18-24H. </w:t>
      </w:r>
      <w:r w:rsidR="002B5F8A" w:rsidRPr="009170BD">
        <w:rPr>
          <w:rFonts w:ascii="Arial" w:hAnsi="Arial" w:cs="Arial"/>
          <w:sz w:val="20"/>
          <w:szCs w:val="20"/>
        </w:rPr>
        <w:t>T</w:t>
      </w:r>
      <w:r w:rsidR="005144E4" w:rsidRPr="009170BD">
        <w:rPr>
          <w:rFonts w:ascii="Arial" w:hAnsi="Arial" w:cs="Arial"/>
          <w:sz w:val="20"/>
          <w:szCs w:val="20"/>
        </w:rPr>
        <w:t>he isola</w:t>
      </w:r>
      <w:r w:rsidR="002B5F8A" w:rsidRPr="009170BD">
        <w:rPr>
          <w:rFonts w:ascii="Arial" w:hAnsi="Arial" w:cs="Arial"/>
          <w:sz w:val="20"/>
          <w:szCs w:val="20"/>
        </w:rPr>
        <w:t xml:space="preserve">ted bacteria were identified </w:t>
      </w:r>
      <w:r w:rsidR="005144E4" w:rsidRPr="009170BD">
        <w:rPr>
          <w:rFonts w:ascii="Arial" w:hAnsi="Arial" w:cs="Arial"/>
          <w:sz w:val="20"/>
          <w:szCs w:val="20"/>
        </w:rPr>
        <w:t xml:space="preserve">using colony morphology, Gram-staining, catalase test and other biochemical tests with the aid of </w:t>
      </w:r>
      <w:proofErr w:type="spellStart"/>
      <w:r w:rsidR="00843718" w:rsidRPr="009170BD">
        <w:rPr>
          <w:rFonts w:ascii="Arial" w:hAnsi="Arial" w:cs="Arial"/>
          <w:color w:val="212121"/>
          <w:sz w:val="20"/>
          <w:szCs w:val="20"/>
          <w:shd w:val="clear" w:color="auto" w:fill="FFFFFF"/>
        </w:rPr>
        <w:t>Enterosystem</w:t>
      </w:r>
      <w:proofErr w:type="spellEnd"/>
      <w:r w:rsidR="00843718" w:rsidRPr="009170BD">
        <w:rPr>
          <w:rFonts w:ascii="Arial" w:hAnsi="Arial" w:cs="Arial"/>
          <w:color w:val="212121"/>
          <w:sz w:val="20"/>
          <w:szCs w:val="20"/>
          <w:shd w:val="clear" w:color="auto" w:fill="FFFFFF"/>
        </w:rPr>
        <w:t xml:space="preserve"> 18R kit</w:t>
      </w:r>
      <w:r w:rsidR="00583591" w:rsidRPr="009170BD">
        <w:rPr>
          <w:rFonts w:ascii="Arial" w:hAnsi="Arial" w:cs="Arial"/>
          <w:color w:val="212121"/>
          <w:sz w:val="20"/>
          <w:szCs w:val="20"/>
          <w:shd w:val="clear" w:color="auto" w:fill="FFFFFF"/>
        </w:rPr>
        <w:t xml:space="preserve"> for gram negative bacilli</w:t>
      </w:r>
      <w:r w:rsidR="00843718" w:rsidRPr="009170BD">
        <w:rPr>
          <w:rFonts w:ascii="Arial" w:hAnsi="Arial" w:cs="Arial"/>
          <w:color w:val="212121"/>
          <w:sz w:val="20"/>
          <w:szCs w:val="20"/>
          <w:shd w:val="clear" w:color="auto" w:fill="FFFFFF"/>
        </w:rPr>
        <w:t>.</w:t>
      </w:r>
    </w:p>
    <w:p w14:paraId="53E9D5C4" w14:textId="77777777" w:rsidR="008A734D" w:rsidRPr="009170BD" w:rsidRDefault="006234EA" w:rsidP="00C67020">
      <w:pPr>
        <w:spacing w:line="480" w:lineRule="auto"/>
        <w:jc w:val="both"/>
        <w:rPr>
          <w:rFonts w:ascii="Arial" w:hAnsi="Arial" w:cs="Arial"/>
          <w:sz w:val="20"/>
          <w:szCs w:val="20"/>
        </w:rPr>
      </w:pPr>
      <w:r w:rsidRPr="009170BD">
        <w:rPr>
          <w:rFonts w:ascii="Arial" w:hAnsi="Arial" w:cs="Arial"/>
          <w:sz w:val="20"/>
          <w:szCs w:val="20"/>
        </w:rPr>
        <w:t xml:space="preserve">Another portion of the collected urine was subjected to deep stick test (URIT 14G kit) for biochemical analysis and a final portion of it was centrifuged to get a sediment for microscopic analysis. Culture was considered positive if a single </w:t>
      </w:r>
      <w:proofErr w:type="spellStart"/>
      <w:r w:rsidRPr="009170BD">
        <w:rPr>
          <w:rFonts w:ascii="Arial" w:hAnsi="Arial" w:cs="Arial"/>
          <w:sz w:val="20"/>
          <w:szCs w:val="20"/>
        </w:rPr>
        <w:t>uropathogen</w:t>
      </w:r>
      <w:proofErr w:type="spellEnd"/>
      <w:r w:rsidRPr="009170BD">
        <w:rPr>
          <w:rFonts w:ascii="Arial" w:hAnsi="Arial" w:cs="Arial"/>
          <w:sz w:val="20"/>
          <w:szCs w:val="20"/>
        </w:rPr>
        <w:t xml:space="preserve"> was isolated with a concentration ≥ 10</w:t>
      </w:r>
      <w:r w:rsidRPr="009170BD">
        <w:rPr>
          <w:rFonts w:ascii="Arial" w:hAnsi="Arial" w:cs="Arial"/>
          <w:sz w:val="20"/>
          <w:szCs w:val="20"/>
          <w:vertAlign w:val="superscript"/>
        </w:rPr>
        <w:t xml:space="preserve">4 </w:t>
      </w:r>
      <w:r w:rsidR="00224AAA" w:rsidRPr="009170BD">
        <w:rPr>
          <w:rFonts w:ascii="Arial" w:hAnsi="Arial" w:cs="Arial"/>
          <w:sz w:val="20"/>
          <w:szCs w:val="20"/>
        </w:rPr>
        <w:t>UFC/mL [14</w:t>
      </w:r>
      <w:r w:rsidRPr="009170BD">
        <w:rPr>
          <w:rFonts w:ascii="Arial" w:hAnsi="Arial" w:cs="Arial"/>
          <w:sz w:val="20"/>
          <w:szCs w:val="20"/>
        </w:rPr>
        <w:t xml:space="preserve">] in association with microscopic findings of more than 10 </w:t>
      </w:r>
      <w:r w:rsidR="00EF464C" w:rsidRPr="009170BD">
        <w:rPr>
          <w:rFonts w:ascii="Arial" w:hAnsi="Arial" w:cs="Arial"/>
          <w:sz w:val="20"/>
          <w:szCs w:val="20"/>
        </w:rPr>
        <w:t>leucocytes per high power field</w:t>
      </w:r>
      <w:r w:rsidR="007B015F" w:rsidRPr="009170BD">
        <w:rPr>
          <w:rFonts w:ascii="Arial" w:hAnsi="Arial" w:cs="Arial"/>
          <w:sz w:val="20"/>
          <w:szCs w:val="20"/>
        </w:rPr>
        <w:t xml:space="preserve">. </w:t>
      </w:r>
    </w:p>
    <w:p w14:paraId="4CBAA50E" w14:textId="3CE203AC" w:rsidR="006234EA" w:rsidRPr="009170BD" w:rsidRDefault="00085967" w:rsidP="00A70636">
      <w:pPr>
        <w:tabs>
          <w:tab w:val="left" w:pos="4095"/>
        </w:tabs>
        <w:spacing w:after="0" w:line="480" w:lineRule="auto"/>
        <w:jc w:val="both"/>
        <w:rPr>
          <w:rFonts w:ascii="Arial" w:hAnsi="Arial" w:cs="Arial"/>
          <w:b/>
          <w:sz w:val="20"/>
          <w:szCs w:val="20"/>
        </w:rPr>
      </w:pPr>
      <w:r w:rsidRPr="009170BD">
        <w:rPr>
          <w:rFonts w:ascii="Arial" w:hAnsi="Arial" w:cs="Arial"/>
          <w:b/>
          <w:sz w:val="20"/>
          <w:szCs w:val="20"/>
        </w:rPr>
        <w:t>2</w:t>
      </w:r>
      <w:r w:rsidRPr="001938BC">
        <w:rPr>
          <w:rFonts w:ascii="Arial" w:hAnsi="Arial" w:cs="Arial"/>
          <w:b/>
        </w:rPr>
        <w:t>.</w:t>
      </w:r>
      <w:r w:rsidR="00A70636" w:rsidRPr="001938BC">
        <w:rPr>
          <w:rFonts w:ascii="Arial" w:hAnsi="Arial" w:cs="Arial"/>
          <w:b/>
        </w:rPr>
        <w:t>.</w:t>
      </w:r>
      <w:r w:rsidR="00B31959" w:rsidRPr="001938BC">
        <w:rPr>
          <w:rFonts w:ascii="Arial" w:hAnsi="Arial" w:cs="Arial"/>
          <w:b/>
        </w:rPr>
        <w:t>5</w:t>
      </w:r>
      <w:r w:rsidRPr="001938BC">
        <w:rPr>
          <w:rFonts w:ascii="Arial" w:hAnsi="Arial" w:cs="Arial"/>
          <w:b/>
        </w:rPr>
        <w:t xml:space="preserve">. </w:t>
      </w:r>
      <w:r w:rsidR="006234EA" w:rsidRPr="001938BC">
        <w:rPr>
          <w:rFonts w:ascii="Arial" w:hAnsi="Arial" w:cs="Arial"/>
          <w:b/>
        </w:rPr>
        <w:t>A</w:t>
      </w:r>
      <w:r w:rsidR="008B02D3" w:rsidRPr="001938BC">
        <w:rPr>
          <w:rFonts w:ascii="Arial" w:hAnsi="Arial" w:cs="Arial"/>
          <w:b/>
        </w:rPr>
        <w:t>ntibiotic susceptibility</w:t>
      </w:r>
      <w:r w:rsidR="00125019" w:rsidRPr="001938BC">
        <w:rPr>
          <w:rFonts w:ascii="Arial" w:hAnsi="Arial" w:cs="Arial"/>
          <w:b/>
        </w:rPr>
        <w:t xml:space="preserve"> assay</w:t>
      </w:r>
      <w:r w:rsidR="006234EA" w:rsidRPr="009170BD">
        <w:rPr>
          <w:rFonts w:ascii="Arial" w:hAnsi="Arial" w:cs="Arial"/>
          <w:b/>
          <w:sz w:val="20"/>
          <w:szCs w:val="20"/>
        </w:rPr>
        <w:t xml:space="preserve"> </w:t>
      </w:r>
      <w:r w:rsidR="00A70636" w:rsidRPr="009170BD">
        <w:rPr>
          <w:rFonts w:ascii="Arial" w:hAnsi="Arial" w:cs="Arial"/>
          <w:b/>
          <w:color w:val="EE0000"/>
          <w:sz w:val="20"/>
          <w:szCs w:val="20"/>
        </w:rPr>
        <w:tab/>
      </w:r>
    </w:p>
    <w:p w14:paraId="2F5AF6A9" w14:textId="77777777" w:rsidR="006234EA" w:rsidRPr="009170BD" w:rsidRDefault="006234EA" w:rsidP="00C67020">
      <w:pPr>
        <w:spacing w:line="480" w:lineRule="auto"/>
        <w:jc w:val="both"/>
        <w:rPr>
          <w:rFonts w:ascii="Arial" w:hAnsi="Arial" w:cs="Arial"/>
          <w:bCs/>
          <w:color w:val="000000"/>
          <w:sz w:val="20"/>
          <w:szCs w:val="20"/>
        </w:rPr>
      </w:pPr>
      <w:r w:rsidRPr="009170BD">
        <w:rPr>
          <w:rFonts w:ascii="Arial" w:hAnsi="Arial" w:cs="Arial"/>
          <w:sz w:val="20"/>
          <w:szCs w:val="20"/>
        </w:rPr>
        <w:t>Antimicrobial susceptibility testing to different classes of antibiotics was done using the disc diffusion method on Mueller-Hinton agar</w:t>
      </w:r>
      <w:r w:rsidR="00FE273E" w:rsidRPr="009170BD">
        <w:rPr>
          <w:rFonts w:ascii="Arial" w:hAnsi="Arial" w:cs="Arial"/>
          <w:sz w:val="20"/>
          <w:szCs w:val="20"/>
        </w:rPr>
        <w:t xml:space="preserve"> and interpreted</w:t>
      </w:r>
      <w:r w:rsidRPr="009170BD">
        <w:rPr>
          <w:rFonts w:ascii="Arial" w:hAnsi="Arial" w:cs="Arial"/>
          <w:sz w:val="20"/>
          <w:szCs w:val="20"/>
        </w:rPr>
        <w:t xml:space="preserve"> as</w:t>
      </w:r>
      <w:r w:rsidRPr="009170BD">
        <w:rPr>
          <w:rStyle w:val="fontstyle21"/>
          <w:rFonts w:ascii="Arial" w:hAnsi="Arial" w:cs="Arial"/>
          <w:sz w:val="20"/>
          <w:szCs w:val="20"/>
        </w:rPr>
        <w:t xml:space="preserve"> described by Clinical Laboratory Standards</w:t>
      </w:r>
      <w:r w:rsidR="00224AAA" w:rsidRPr="009170BD">
        <w:rPr>
          <w:rFonts w:ascii="Arial" w:hAnsi="Arial" w:cs="Arial"/>
          <w:sz w:val="20"/>
          <w:szCs w:val="20"/>
        </w:rPr>
        <w:t xml:space="preserve"> [15</w:t>
      </w:r>
      <w:r w:rsidRPr="009170BD">
        <w:rPr>
          <w:rFonts w:ascii="Arial" w:hAnsi="Arial" w:cs="Arial"/>
          <w:sz w:val="20"/>
          <w:szCs w:val="20"/>
        </w:rPr>
        <w:t xml:space="preserve">]. The following </w:t>
      </w:r>
      <w:r w:rsidR="007E17B1" w:rsidRPr="009170BD">
        <w:rPr>
          <w:rFonts w:ascii="Arial" w:hAnsi="Arial" w:cs="Arial"/>
          <w:sz w:val="20"/>
          <w:szCs w:val="20"/>
        </w:rPr>
        <w:t xml:space="preserve">antibiotics </w:t>
      </w:r>
      <w:r w:rsidR="001730F3" w:rsidRPr="009170BD">
        <w:rPr>
          <w:rFonts w:ascii="Arial" w:hAnsi="Arial" w:cs="Arial"/>
          <w:sz w:val="20"/>
          <w:szCs w:val="20"/>
        </w:rPr>
        <w:t xml:space="preserve">commonly used </w:t>
      </w:r>
      <w:r w:rsidR="007E17B1" w:rsidRPr="009170BD">
        <w:rPr>
          <w:rFonts w:ascii="Arial" w:hAnsi="Arial" w:cs="Arial"/>
          <w:sz w:val="20"/>
          <w:szCs w:val="20"/>
        </w:rPr>
        <w:t xml:space="preserve">for treatment of </w:t>
      </w:r>
      <w:r w:rsidRPr="009170BD">
        <w:rPr>
          <w:rFonts w:ascii="Arial" w:hAnsi="Arial" w:cs="Arial"/>
          <w:sz w:val="20"/>
          <w:szCs w:val="20"/>
        </w:rPr>
        <w:t xml:space="preserve">UTIs </w:t>
      </w:r>
      <w:r w:rsidR="00FE273E" w:rsidRPr="009170BD">
        <w:rPr>
          <w:rFonts w:ascii="Arial" w:hAnsi="Arial" w:cs="Arial"/>
          <w:sz w:val="20"/>
          <w:szCs w:val="20"/>
        </w:rPr>
        <w:t xml:space="preserve">in the study area </w:t>
      </w:r>
      <w:r w:rsidRPr="009170BD">
        <w:rPr>
          <w:rFonts w:ascii="Arial" w:hAnsi="Arial" w:cs="Arial"/>
          <w:sz w:val="20"/>
          <w:szCs w:val="20"/>
        </w:rPr>
        <w:t xml:space="preserve">were employed: </w:t>
      </w:r>
      <w:proofErr w:type="spellStart"/>
      <w:r w:rsidRPr="009170BD">
        <w:rPr>
          <w:rFonts w:ascii="Arial" w:hAnsi="Arial" w:cs="Arial"/>
          <w:sz w:val="20"/>
          <w:szCs w:val="20"/>
        </w:rPr>
        <w:t>Amoxicilline+Clavulanic</w:t>
      </w:r>
      <w:proofErr w:type="spellEnd"/>
      <w:r w:rsidRPr="009170BD">
        <w:rPr>
          <w:rFonts w:ascii="Arial" w:hAnsi="Arial" w:cs="Arial"/>
          <w:sz w:val="20"/>
          <w:szCs w:val="20"/>
        </w:rPr>
        <w:t xml:space="preserve"> acid </w:t>
      </w:r>
      <w:r w:rsidR="006D24A3" w:rsidRPr="009170BD">
        <w:rPr>
          <w:rFonts w:ascii="Arial" w:eastAsia="Times New Roman" w:hAnsi="Arial" w:cs="Arial"/>
          <w:sz w:val="20"/>
          <w:szCs w:val="20"/>
        </w:rPr>
        <w:t>(20-10µg</w:t>
      </w:r>
      <w:r w:rsidRPr="009170BD">
        <w:rPr>
          <w:rFonts w:ascii="Arial" w:eastAsia="Times New Roman" w:hAnsi="Arial" w:cs="Arial"/>
          <w:sz w:val="20"/>
          <w:szCs w:val="20"/>
        </w:rPr>
        <w:t xml:space="preserve">), </w:t>
      </w:r>
      <w:proofErr w:type="spellStart"/>
      <w:r w:rsidRPr="009170BD">
        <w:rPr>
          <w:rStyle w:val="fontstyle01"/>
          <w:rFonts w:ascii="Arial" w:hAnsi="Arial" w:cs="Arial"/>
          <w:b w:val="0"/>
          <w:sz w:val="20"/>
          <w:szCs w:val="20"/>
        </w:rPr>
        <w:t>ceftriazone</w:t>
      </w:r>
      <w:proofErr w:type="spellEnd"/>
      <w:r w:rsidRPr="009170BD">
        <w:rPr>
          <w:rStyle w:val="fontstyle01"/>
          <w:rFonts w:ascii="Arial" w:hAnsi="Arial" w:cs="Arial"/>
          <w:b w:val="0"/>
          <w:sz w:val="20"/>
          <w:szCs w:val="20"/>
        </w:rPr>
        <w:t xml:space="preserve">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cefotaxime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ceftazidime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amikacin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tobramycin (10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w:t>
      </w:r>
      <w:proofErr w:type="spellStart"/>
      <w:r w:rsidRPr="009170BD">
        <w:rPr>
          <w:rFonts w:ascii="Arial" w:hAnsi="Arial" w:cs="Arial"/>
          <w:bCs/>
          <w:color w:val="000000"/>
          <w:sz w:val="20"/>
          <w:szCs w:val="20"/>
        </w:rPr>
        <w:t>gentamicine</w:t>
      </w:r>
      <w:proofErr w:type="spellEnd"/>
      <w:r w:rsidRPr="009170BD">
        <w:rPr>
          <w:rFonts w:ascii="Arial" w:hAnsi="Arial" w:cs="Arial"/>
          <w:b/>
          <w:bCs/>
          <w:color w:val="000000"/>
          <w:sz w:val="20"/>
          <w:szCs w:val="20"/>
        </w:rPr>
        <w:t xml:space="preserve"> </w:t>
      </w:r>
      <w:r w:rsidRPr="009170BD">
        <w:rPr>
          <w:rStyle w:val="fontstyle01"/>
          <w:rFonts w:ascii="Arial" w:hAnsi="Arial" w:cs="Arial"/>
          <w:b w:val="0"/>
          <w:sz w:val="20"/>
          <w:szCs w:val="20"/>
        </w:rPr>
        <w:t>(30</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w:t>
      </w:r>
      <w:r w:rsidRPr="009170BD">
        <w:rPr>
          <w:rFonts w:ascii="Arial" w:hAnsi="Arial" w:cs="Arial"/>
          <w:b/>
          <w:bCs/>
          <w:color w:val="000000"/>
          <w:sz w:val="20"/>
          <w:szCs w:val="20"/>
        </w:rPr>
        <w:t xml:space="preserve">, </w:t>
      </w:r>
      <w:r w:rsidRPr="009170BD">
        <w:rPr>
          <w:rStyle w:val="fontstyle01"/>
          <w:rFonts w:ascii="Arial" w:hAnsi="Arial" w:cs="Arial"/>
          <w:b w:val="0"/>
          <w:sz w:val="20"/>
          <w:szCs w:val="20"/>
        </w:rPr>
        <w:t>ciprofloxacin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levofloxacin (5</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w:t>
      </w:r>
      <w:proofErr w:type="spellStart"/>
      <w:r w:rsidRPr="009170BD">
        <w:rPr>
          <w:rStyle w:val="fontstyle01"/>
          <w:rFonts w:ascii="Arial" w:hAnsi="Arial" w:cs="Arial"/>
          <w:b w:val="0"/>
          <w:sz w:val="20"/>
          <w:szCs w:val="20"/>
        </w:rPr>
        <w:t>tetracyclin</w:t>
      </w:r>
      <w:proofErr w:type="spellEnd"/>
      <w:r w:rsidRPr="009170BD">
        <w:rPr>
          <w:rStyle w:val="fontstyle01"/>
          <w:rFonts w:ascii="Arial" w:hAnsi="Arial" w:cs="Arial"/>
          <w:b w:val="0"/>
          <w:sz w:val="20"/>
          <w:szCs w:val="20"/>
        </w:rPr>
        <w:t xml:space="preserve"> (30</w:t>
      </w:r>
      <w:r w:rsidR="00AA1CF8" w:rsidRPr="009170BD">
        <w:rPr>
          <w:rStyle w:val="fontstyle01"/>
          <w:rFonts w:ascii="Arial" w:hAnsi="Arial" w:cs="Arial"/>
          <w:b w:val="0"/>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 xml:space="preserve">) and </w:t>
      </w:r>
      <w:proofErr w:type="spellStart"/>
      <w:r w:rsidRPr="009170BD">
        <w:rPr>
          <w:rFonts w:ascii="Arial" w:hAnsi="Arial" w:cs="Arial"/>
          <w:bCs/>
          <w:color w:val="000000"/>
          <w:sz w:val="20"/>
          <w:szCs w:val="20"/>
        </w:rPr>
        <w:t>azytromycine</w:t>
      </w:r>
      <w:proofErr w:type="spellEnd"/>
      <w:r w:rsidRPr="009170BD">
        <w:rPr>
          <w:rFonts w:ascii="Arial" w:hAnsi="Arial" w:cs="Arial"/>
          <w:bCs/>
          <w:color w:val="000000"/>
          <w:sz w:val="20"/>
          <w:szCs w:val="20"/>
        </w:rPr>
        <w:t xml:space="preserve"> (15</w:t>
      </w:r>
      <w:r w:rsidRPr="009170BD">
        <w:rPr>
          <w:rStyle w:val="fontstyle21"/>
          <w:rFonts w:ascii="Arial" w:hAnsi="Arial" w:cs="Arial"/>
          <w:b/>
          <w:sz w:val="20"/>
          <w:szCs w:val="20"/>
        </w:rPr>
        <w:t xml:space="preserve"> </w:t>
      </w:r>
      <w:proofErr w:type="spellStart"/>
      <w:r w:rsidR="006D24A3" w:rsidRPr="009170BD">
        <w:rPr>
          <w:rStyle w:val="fontstyle21"/>
          <w:rFonts w:ascii="Arial" w:hAnsi="Arial" w:cs="Arial"/>
          <w:sz w:val="20"/>
          <w:szCs w:val="20"/>
        </w:rPr>
        <w:t>μg</w:t>
      </w:r>
      <w:proofErr w:type="spellEnd"/>
      <w:r w:rsidRPr="009170BD">
        <w:rPr>
          <w:rStyle w:val="fontstyle01"/>
          <w:rFonts w:ascii="Arial" w:hAnsi="Arial" w:cs="Arial"/>
          <w:b w:val="0"/>
          <w:sz w:val="20"/>
          <w:szCs w:val="20"/>
        </w:rPr>
        <w:t>)</w:t>
      </w:r>
      <w:r w:rsidR="00AA1CF8" w:rsidRPr="009170BD">
        <w:rPr>
          <w:rStyle w:val="fontstyle01"/>
          <w:rFonts w:ascii="Arial" w:hAnsi="Arial" w:cs="Arial"/>
          <w:b w:val="0"/>
          <w:sz w:val="20"/>
          <w:szCs w:val="20"/>
        </w:rPr>
        <w:t>,</w:t>
      </w:r>
      <w:r w:rsidRPr="009170BD">
        <w:rPr>
          <w:rStyle w:val="fontstyle01"/>
          <w:rFonts w:ascii="Arial" w:hAnsi="Arial" w:cs="Arial"/>
          <w:b w:val="0"/>
          <w:sz w:val="20"/>
          <w:szCs w:val="20"/>
        </w:rPr>
        <w:t xml:space="preserve"> all from </w:t>
      </w:r>
      <w:proofErr w:type="spellStart"/>
      <w:r w:rsidR="00CB174E" w:rsidRPr="009170BD">
        <w:rPr>
          <w:rFonts w:ascii="Arial" w:hAnsi="Arial" w:cs="Arial"/>
          <w:bCs/>
          <w:color w:val="000000"/>
          <w:sz w:val="20"/>
          <w:szCs w:val="20"/>
        </w:rPr>
        <w:t>Oxoid</w:t>
      </w:r>
      <w:proofErr w:type="spellEnd"/>
      <w:r w:rsidR="00CB174E" w:rsidRPr="009170BD">
        <w:rPr>
          <w:rFonts w:ascii="Arial" w:hAnsi="Arial" w:cs="Arial"/>
          <w:bCs/>
          <w:color w:val="000000"/>
          <w:sz w:val="20"/>
          <w:szCs w:val="20"/>
        </w:rPr>
        <w:t xml:space="preserve"> (</w:t>
      </w:r>
      <w:proofErr w:type="spellStart"/>
      <w:r w:rsidR="00CB174E" w:rsidRPr="009170BD">
        <w:rPr>
          <w:rFonts w:ascii="Arial" w:hAnsi="Arial" w:cs="Arial"/>
          <w:bCs/>
          <w:color w:val="000000"/>
          <w:sz w:val="20"/>
          <w:szCs w:val="20"/>
        </w:rPr>
        <w:t>Royaume</w:t>
      </w:r>
      <w:proofErr w:type="spellEnd"/>
      <w:r w:rsidR="00CB174E" w:rsidRPr="009170BD">
        <w:rPr>
          <w:rFonts w:ascii="Arial" w:hAnsi="Arial" w:cs="Arial"/>
          <w:bCs/>
          <w:color w:val="000000"/>
          <w:sz w:val="20"/>
          <w:szCs w:val="20"/>
        </w:rPr>
        <w:t xml:space="preserve"> </w:t>
      </w:r>
      <w:r w:rsidRPr="009170BD">
        <w:rPr>
          <w:rFonts w:ascii="Arial" w:hAnsi="Arial" w:cs="Arial"/>
          <w:bCs/>
          <w:color w:val="000000"/>
          <w:sz w:val="20"/>
          <w:szCs w:val="20"/>
        </w:rPr>
        <w:t>Uni).</w:t>
      </w:r>
    </w:p>
    <w:p w14:paraId="4FB56C70" w14:textId="000EAB64" w:rsidR="006234EA" w:rsidRPr="001938BC" w:rsidRDefault="00B31959" w:rsidP="00A70636">
      <w:pPr>
        <w:spacing w:after="0" w:line="480" w:lineRule="auto"/>
        <w:rPr>
          <w:rFonts w:ascii="Arial" w:hAnsi="Arial" w:cs="Arial"/>
          <w:b/>
          <w:bCs/>
          <w:color w:val="000000"/>
        </w:rPr>
      </w:pPr>
      <w:r w:rsidRPr="001938BC">
        <w:rPr>
          <w:rFonts w:ascii="Arial" w:hAnsi="Arial" w:cs="Arial"/>
          <w:b/>
        </w:rPr>
        <w:t xml:space="preserve">2.6. </w:t>
      </w:r>
      <w:r w:rsidR="006234EA" w:rsidRPr="001938BC">
        <w:rPr>
          <w:rFonts w:ascii="Arial" w:hAnsi="Arial" w:cs="Arial"/>
          <w:b/>
          <w:bCs/>
          <w:color w:val="000000"/>
        </w:rPr>
        <w:t>Statistical analysis</w:t>
      </w:r>
    </w:p>
    <w:p w14:paraId="7E0DE39E" w14:textId="77777777" w:rsidR="006234EA" w:rsidRPr="009170BD" w:rsidRDefault="006234EA" w:rsidP="007D63D3">
      <w:pPr>
        <w:spacing w:after="0" w:line="480" w:lineRule="auto"/>
        <w:jc w:val="both"/>
        <w:rPr>
          <w:rFonts w:ascii="Arial" w:hAnsi="Arial" w:cs="Arial"/>
          <w:bCs/>
          <w:color w:val="000000"/>
          <w:sz w:val="20"/>
          <w:szCs w:val="20"/>
        </w:rPr>
      </w:pPr>
      <w:r w:rsidRPr="009170BD">
        <w:rPr>
          <w:rFonts w:ascii="Arial" w:hAnsi="Arial" w:cs="Arial"/>
          <w:bCs/>
          <w:color w:val="000000"/>
          <w:sz w:val="20"/>
          <w:szCs w:val="20"/>
        </w:rPr>
        <w:t>Data from the present study was inserted into two separate MS Excel spreadsheets</w:t>
      </w:r>
      <w:r w:rsidR="001B1D2D" w:rsidRPr="009170BD">
        <w:rPr>
          <w:rFonts w:ascii="Arial" w:hAnsi="Arial" w:cs="Arial"/>
          <w:bCs/>
          <w:color w:val="000000"/>
          <w:sz w:val="20"/>
          <w:szCs w:val="20"/>
        </w:rPr>
        <w:t xml:space="preserve"> 2016</w:t>
      </w:r>
      <w:r w:rsidRPr="009170BD">
        <w:rPr>
          <w:rFonts w:ascii="Arial" w:hAnsi="Arial" w:cs="Arial"/>
          <w:bCs/>
          <w:color w:val="000000"/>
          <w:sz w:val="20"/>
          <w:szCs w:val="20"/>
        </w:rPr>
        <w:t xml:space="preserve"> that were further merged to ensure correct data entry, coded and imported into </w:t>
      </w:r>
      <w:r w:rsidRPr="009170BD">
        <w:rPr>
          <w:rFonts w:ascii="Arial" w:hAnsi="Arial" w:cs="Arial"/>
          <w:sz w:val="20"/>
          <w:szCs w:val="20"/>
        </w:rPr>
        <w:t>SPSS version 22.0.</w:t>
      </w:r>
      <w:r w:rsidRPr="009170BD">
        <w:rPr>
          <w:rFonts w:ascii="Arial" w:hAnsi="Arial" w:cs="Arial"/>
          <w:bCs/>
          <w:color w:val="000000"/>
          <w:sz w:val="20"/>
          <w:szCs w:val="20"/>
        </w:rPr>
        <w:t xml:space="preserve"> for statistical analysis. Logistic regression was used to test the relationship between predictors (variables in the </w:t>
      </w:r>
      <w:r w:rsidRPr="009170BD">
        <w:rPr>
          <w:rStyle w:val="fontstyle01"/>
          <w:rFonts w:ascii="Arial" w:hAnsi="Arial" w:cs="Arial"/>
          <w:b w:val="0"/>
          <w:sz w:val="20"/>
          <w:szCs w:val="20"/>
        </w:rPr>
        <w:t>study) and urinary tract infections (UTI) using p-values</w:t>
      </w:r>
      <w:r w:rsidRPr="009170BD">
        <w:rPr>
          <w:rFonts w:ascii="Arial" w:hAnsi="Arial" w:cs="Arial"/>
          <w:b/>
          <w:color w:val="242021"/>
          <w:sz w:val="20"/>
          <w:szCs w:val="20"/>
        </w:rPr>
        <w:t xml:space="preserve"> </w:t>
      </w:r>
      <w:r w:rsidRPr="009170BD">
        <w:rPr>
          <w:rStyle w:val="fontstyle01"/>
          <w:rFonts w:ascii="Arial" w:hAnsi="Arial" w:cs="Arial"/>
          <w:b w:val="0"/>
          <w:sz w:val="20"/>
          <w:szCs w:val="20"/>
        </w:rPr>
        <w:t>of the Chi-square statistics at α-level of 0.05</w:t>
      </w:r>
      <w:r w:rsidR="00485561" w:rsidRPr="009170BD">
        <w:rPr>
          <w:rStyle w:val="fontstyle01"/>
          <w:rFonts w:ascii="Arial" w:hAnsi="Arial" w:cs="Arial"/>
          <w:b w:val="0"/>
          <w:sz w:val="20"/>
          <w:szCs w:val="20"/>
        </w:rPr>
        <w:t>, odd ratio was equally estimated</w:t>
      </w:r>
      <w:r w:rsidRPr="009170BD">
        <w:rPr>
          <w:rStyle w:val="fontstyle01"/>
          <w:rFonts w:ascii="Arial" w:hAnsi="Arial" w:cs="Arial"/>
          <w:b w:val="0"/>
          <w:sz w:val="20"/>
          <w:szCs w:val="20"/>
        </w:rPr>
        <w:t xml:space="preserve">. </w:t>
      </w:r>
    </w:p>
    <w:p w14:paraId="7668F761" w14:textId="71449E9E" w:rsidR="006234EA" w:rsidRPr="001938BC" w:rsidRDefault="001938BC" w:rsidP="00020E73">
      <w:pPr>
        <w:rPr>
          <w:rFonts w:ascii="Arial" w:hAnsi="Arial" w:cs="Arial"/>
          <w:b/>
        </w:rPr>
      </w:pPr>
      <w:r w:rsidRPr="001938BC">
        <w:rPr>
          <w:rFonts w:ascii="Arial" w:hAnsi="Arial" w:cs="Arial"/>
          <w:b/>
        </w:rPr>
        <w:t xml:space="preserve">3. RESULTS </w:t>
      </w:r>
    </w:p>
    <w:p w14:paraId="33E7493D" w14:textId="481ED2ED" w:rsidR="006234EA" w:rsidRPr="001938BC" w:rsidRDefault="00B31959" w:rsidP="001938BC">
      <w:pPr>
        <w:pStyle w:val="NoSpacing"/>
        <w:rPr>
          <w:b/>
        </w:rPr>
      </w:pPr>
      <w:r w:rsidRPr="001938BC">
        <w:rPr>
          <w:b/>
        </w:rPr>
        <w:t xml:space="preserve">3.1. </w:t>
      </w:r>
      <w:r w:rsidR="006234EA" w:rsidRPr="001938BC">
        <w:rPr>
          <w:b/>
        </w:rPr>
        <w:t>Sociodemographic characteristics and clinical symptoms of patients</w:t>
      </w:r>
    </w:p>
    <w:p w14:paraId="253744F2" w14:textId="4EED42F2" w:rsidR="005A4357" w:rsidRPr="00102E66" w:rsidRDefault="006234EA" w:rsidP="00D5653C">
      <w:pPr>
        <w:spacing w:after="0" w:line="480" w:lineRule="auto"/>
        <w:jc w:val="both"/>
        <w:rPr>
          <w:rFonts w:ascii="Arial" w:hAnsi="Arial" w:cs="Arial"/>
          <w:bCs/>
          <w:sz w:val="20"/>
          <w:szCs w:val="20"/>
        </w:rPr>
      </w:pPr>
      <w:r w:rsidRPr="00102E66">
        <w:rPr>
          <w:rFonts w:ascii="Arial" w:hAnsi="Arial" w:cs="Arial"/>
          <w:bCs/>
          <w:color w:val="000000"/>
          <w:sz w:val="20"/>
          <w:szCs w:val="20"/>
        </w:rPr>
        <w:lastRenderedPageBreak/>
        <w:t xml:space="preserve">In the present study, 173 participants who came to consult for urinary tract infections at the </w:t>
      </w:r>
      <w:proofErr w:type="spellStart"/>
      <w:r w:rsidRPr="00102E66">
        <w:rPr>
          <w:rFonts w:ascii="Arial" w:hAnsi="Arial" w:cs="Arial"/>
          <w:bCs/>
          <w:color w:val="000000"/>
          <w:sz w:val="20"/>
          <w:szCs w:val="20"/>
        </w:rPr>
        <w:t>Dschang</w:t>
      </w:r>
      <w:proofErr w:type="spellEnd"/>
      <w:r w:rsidRPr="00102E66">
        <w:rPr>
          <w:rFonts w:ascii="Arial" w:hAnsi="Arial" w:cs="Arial"/>
          <w:bCs/>
          <w:color w:val="000000"/>
          <w:sz w:val="20"/>
          <w:szCs w:val="20"/>
        </w:rPr>
        <w:t xml:space="preserve"> Regional Annex Hospital were recruited</w:t>
      </w:r>
      <w:r w:rsidRPr="00102E66">
        <w:rPr>
          <w:rFonts w:ascii="Arial" w:hAnsi="Arial" w:cs="Arial"/>
          <w:b/>
          <w:bCs/>
          <w:color w:val="000000"/>
          <w:sz w:val="20"/>
          <w:szCs w:val="20"/>
        </w:rPr>
        <w:t xml:space="preserve">.  </w:t>
      </w:r>
      <w:r w:rsidRPr="00102E66">
        <w:rPr>
          <w:rFonts w:ascii="Arial" w:hAnsi="Arial" w:cs="Arial"/>
          <w:bCs/>
          <w:color w:val="000000"/>
          <w:sz w:val="20"/>
          <w:szCs w:val="20"/>
        </w:rPr>
        <w:t>Most of the participants were females</w:t>
      </w:r>
      <w:r w:rsidRPr="00102E66">
        <w:rPr>
          <w:rFonts w:ascii="Arial" w:hAnsi="Arial" w:cs="Arial"/>
          <w:b/>
          <w:bCs/>
          <w:color w:val="000000"/>
          <w:sz w:val="20"/>
          <w:szCs w:val="20"/>
        </w:rPr>
        <w:t xml:space="preserve">, </w:t>
      </w:r>
      <w:r w:rsidRPr="00102E66">
        <w:rPr>
          <w:rFonts w:ascii="Arial" w:hAnsi="Arial" w:cs="Arial"/>
          <w:sz w:val="20"/>
          <w:szCs w:val="20"/>
        </w:rPr>
        <w:t>91.3% (158/173) against 8.7% (15/173) males. The minimum age of study participants was 16 years and the most represented age group was 31-35 years</w:t>
      </w:r>
      <w:r w:rsidR="00536A76" w:rsidRPr="00102E66">
        <w:rPr>
          <w:rFonts w:ascii="Arial" w:hAnsi="Arial" w:cs="Arial"/>
          <w:sz w:val="20"/>
          <w:szCs w:val="20"/>
        </w:rPr>
        <w:t xml:space="preserve"> (4%)</w:t>
      </w:r>
      <w:r w:rsidRPr="00102E66">
        <w:rPr>
          <w:rFonts w:ascii="Arial" w:hAnsi="Arial" w:cs="Arial"/>
          <w:sz w:val="20"/>
          <w:szCs w:val="20"/>
        </w:rPr>
        <w:t>.</w:t>
      </w:r>
      <w:r w:rsidR="001730F3" w:rsidRPr="00102E66">
        <w:rPr>
          <w:rFonts w:ascii="Arial" w:hAnsi="Arial" w:cs="Arial"/>
          <w:sz w:val="20"/>
          <w:szCs w:val="20"/>
        </w:rPr>
        <w:t xml:space="preserve"> About</w:t>
      </w:r>
      <w:r w:rsidRPr="00102E66">
        <w:rPr>
          <w:rFonts w:ascii="Arial" w:hAnsi="Arial" w:cs="Arial"/>
          <w:sz w:val="20"/>
          <w:szCs w:val="20"/>
        </w:rPr>
        <w:t xml:space="preserve"> 87.6% of the study participants leave in the urban area. Majority (43.4%) of the participants were students. A significant difference (P= 0.000) was observed between age of participants and the presence </w:t>
      </w:r>
      <w:r w:rsidR="00583591" w:rsidRPr="00102E66">
        <w:rPr>
          <w:rFonts w:ascii="Arial" w:hAnsi="Arial" w:cs="Arial"/>
          <w:sz w:val="20"/>
          <w:szCs w:val="20"/>
        </w:rPr>
        <w:t>of UTI symptoms</w:t>
      </w:r>
      <w:r w:rsidRPr="00102E66">
        <w:rPr>
          <w:rFonts w:ascii="Arial" w:hAnsi="Arial" w:cs="Arial"/>
          <w:sz w:val="20"/>
          <w:szCs w:val="20"/>
        </w:rPr>
        <w:t>. Similarly, a significant difference (P</w:t>
      </w:r>
      <w:r w:rsidR="00B31959" w:rsidRPr="00102E66">
        <w:rPr>
          <w:rFonts w:ascii="Arial" w:hAnsi="Arial" w:cs="Arial"/>
          <w:sz w:val="20"/>
          <w:szCs w:val="20"/>
        </w:rPr>
        <w:t xml:space="preserve"> </w:t>
      </w:r>
      <w:r w:rsidRPr="00102E66">
        <w:rPr>
          <w:rFonts w:ascii="Arial" w:hAnsi="Arial" w:cs="Arial"/>
          <w:sz w:val="20"/>
          <w:szCs w:val="20"/>
        </w:rPr>
        <w:t>= 0.000) was observed between high urinary frequency</w:t>
      </w:r>
      <w:r w:rsidR="00583591" w:rsidRPr="00102E66">
        <w:rPr>
          <w:rFonts w:ascii="Arial" w:hAnsi="Arial" w:cs="Arial"/>
          <w:sz w:val="20"/>
          <w:szCs w:val="20"/>
        </w:rPr>
        <w:t xml:space="preserve"> </w:t>
      </w:r>
      <w:r w:rsidRPr="00102E66">
        <w:rPr>
          <w:rFonts w:ascii="Arial" w:hAnsi="Arial" w:cs="Arial"/>
          <w:sz w:val="20"/>
          <w:szCs w:val="20"/>
        </w:rPr>
        <w:t xml:space="preserve">and symptoms of UTIs. </w:t>
      </w:r>
      <w:r w:rsidRPr="00102E66">
        <w:rPr>
          <w:rFonts w:ascii="Arial" w:hAnsi="Arial" w:cs="Arial"/>
          <w:bCs/>
          <w:color w:val="000000"/>
          <w:sz w:val="20"/>
          <w:szCs w:val="20"/>
        </w:rPr>
        <w:t xml:space="preserve">Concerning clinical symptoms of </w:t>
      </w:r>
      <w:r w:rsidR="00271B04" w:rsidRPr="00102E66">
        <w:rPr>
          <w:rFonts w:ascii="Arial" w:hAnsi="Arial" w:cs="Arial"/>
          <w:bCs/>
          <w:color w:val="000000"/>
          <w:sz w:val="20"/>
          <w:szCs w:val="20"/>
        </w:rPr>
        <w:t>patients, 67.6</w:t>
      </w:r>
      <w:r w:rsidRPr="00102E66">
        <w:rPr>
          <w:rFonts w:ascii="Arial" w:hAnsi="Arial" w:cs="Arial"/>
          <w:bCs/>
          <w:color w:val="000000"/>
          <w:sz w:val="20"/>
          <w:szCs w:val="20"/>
        </w:rPr>
        <w:t>% of participants presented dysuria and 22.5% had high urinary frequency while only 2.3% of the participants presented h</w:t>
      </w:r>
      <w:r w:rsidR="001730F3" w:rsidRPr="00102E66">
        <w:rPr>
          <w:rFonts w:ascii="Arial" w:hAnsi="Arial" w:cs="Arial"/>
          <w:bCs/>
          <w:color w:val="000000"/>
          <w:sz w:val="20"/>
          <w:szCs w:val="20"/>
        </w:rPr>
        <w:t xml:space="preserve">ematuria and </w:t>
      </w:r>
      <w:r w:rsidRPr="00102E66">
        <w:rPr>
          <w:rFonts w:ascii="Arial" w:hAnsi="Arial" w:cs="Arial"/>
          <w:bCs/>
          <w:color w:val="000000"/>
          <w:sz w:val="20"/>
          <w:szCs w:val="20"/>
        </w:rPr>
        <w:t>28.9% of participants have had UTIs previously. Thirty percent (</w:t>
      </w:r>
      <w:r w:rsidRPr="00102E66">
        <w:rPr>
          <w:rFonts w:ascii="Arial" w:hAnsi="Arial" w:cs="Arial"/>
          <w:bCs/>
          <w:sz w:val="20"/>
          <w:szCs w:val="20"/>
        </w:rPr>
        <w:t xml:space="preserve">30%) of the participants constantly used antibiotics and 31.8% of participants interrupted treatment of previous UTIs. Some of these participants (15%) exposed themselves to risk factors by cleaning from back to front after defecation. Table 1 below shows sociodemographic characteristics and clinical symptoms of patients. </w:t>
      </w:r>
    </w:p>
    <w:p w14:paraId="2ADD0F79" w14:textId="756B4D52" w:rsidR="006234EA" w:rsidRPr="00102E66" w:rsidRDefault="006234EA" w:rsidP="00A70636">
      <w:pPr>
        <w:spacing w:line="360" w:lineRule="auto"/>
        <w:jc w:val="both"/>
        <w:rPr>
          <w:rFonts w:ascii="Arial" w:hAnsi="Arial" w:cs="Arial"/>
          <w:bCs/>
          <w:color w:val="000000"/>
          <w:sz w:val="20"/>
          <w:szCs w:val="20"/>
        </w:rPr>
      </w:pPr>
      <w:r w:rsidRPr="00102E66">
        <w:rPr>
          <w:rFonts w:ascii="Arial" w:hAnsi="Arial" w:cs="Arial"/>
          <w:b/>
          <w:bCs/>
          <w:color w:val="000000"/>
          <w:sz w:val="20"/>
          <w:szCs w:val="20"/>
        </w:rPr>
        <w:t>Table 1</w:t>
      </w:r>
      <w:r w:rsidR="0032501F" w:rsidRPr="00102E66">
        <w:rPr>
          <w:rFonts w:ascii="Arial" w:hAnsi="Arial" w:cs="Arial"/>
          <w:bCs/>
          <w:color w:val="000000"/>
          <w:sz w:val="20"/>
          <w:szCs w:val="20"/>
        </w:rPr>
        <w:t>.</w:t>
      </w:r>
      <w:r w:rsidRPr="00102E66">
        <w:rPr>
          <w:rFonts w:ascii="Arial" w:hAnsi="Arial" w:cs="Arial"/>
          <w:bCs/>
          <w:color w:val="000000"/>
          <w:sz w:val="20"/>
          <w:szCs w:val="20"/>
        </w:rPr>
        <w:t xml:space="preserve"> Sociodemographic characteristics and clinical symptoms of patients</w:t>
      </w:r>
    </w:p>
    <w:tbl>
      <w:tblPr>
        <w:tblStyle w:val="4"/>
        <w:tblW w:w="98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672"/>
        <w:gridCol w:w="1899"/>
        <w:gridCol w:w="1890"/>
        <w:gridCol w:w="1846"/>
      </w:tblGrid>
      <w:tr w:rsidR="00EA3564" w:rsidRPr="00102E66" w14:paraId="0A87A4E9" w14:textId="77777777" w:rsidTr="00A70636">
        <w:trPr>
          <w:trHeight w:val="210"/>
        </w:trPr>
        <w:tc>
          <w:tcPr>
            <w:tcW w:w="2552" w:type="dxa"/>
            <w:tcBorders>
              <w:top w:val="single" w:sz="24" w:space="0" w:color="000000"/>
              <w:left w:val="nil"/>
              <w:bottom w:val="nil"/>
              <w:right w:val="nil"/>
            </w:tcBorders>
            <w:vAlign w:val="center"/>
          </w:tcPr>
          <w:p w14:paraId="7DA750AC" w14:textId="77777777" w:rsidR="00EA3564" w:rsidRPr="00102E66" w:rsidRDefault="00EA3564" w:rsidP="00EA3564">
            <w:pPr>
              <w:rPr>
                <w:rFonts w:ascii="Arial" w:hAnsi="Arial" w:cs="Arial"/>
                <w:b/>
                <w:color w:val="auto"/>
              </w:rPr>
            </w:pPr>
            <w:r w:rsidRPr="00102E66">
              <w:rPr>
                <w:rFonts w:ascii="Arial" w:hAnsi="Arial" w:cs="Arial"/>
                <w:b/>
                <w:color w:val="auto"/>
              </w:rPr>
              <w:t>Variables</w:t>
            </w:r>
          </w:p>
        </w:tc>
        <w:tc>
          <w:tcPr>
            <w:tcW w:w="1672" w:type="dxa"/>
            <w:tcBorders>
              <w:top w:val="single" w:sz="24" w:space="0" w:color="000000"/>
              <w:left w:val="nil"/>
              <w:bottom w:val="nil"/>
              <w:right w:val="nil"/>
            </w:tcBorders>
            <w:vAlign w:val="center"/>
          </w:tcPr>
          <w:p w14:paraId="16CECDC6" w14:textId="77777777" w:rsidR="00EA3564" w:rsidRPr="00102E66" w:rsidRDefault="00EA3564" w:rsidP="00FD45DE">
            <w:pPr>
              <w:jc w:val="center"/>
              <w:rPr>
                <w:rFonts w:ascii="Arial" w:hAnsi="Arial" w:cs="Arial"/>
                <w:b/>
                <w:color w:val="auto"/>
              </w:rPr>
            </w:pPr>
            <w:r w:rsidRPr="00102E66">
              <w:rPr>
                <w:rFonts w:ascii="Arial" w:hAnsi="Arial" w:cs="Arial"/>
                <w:b/>
                <w:color w:val="auto"/>
              </w:rPr>
              <w:t>Frequency (%)</w:t>
            </w:r>
          </w:p>
        </w:tc>
        <w:tc>
          <w:tcPr>
            <w:tcW w:w="3789" w:type="dxa"/>
            <w:gridSpan w:val="2"/>
            <w:tcBorders>
              <w:top w:val="single" w:sz="24" w:space="0" w:color="000000"/>
              <w:left w:val="nil"/>
              <w:bottom w:val="single" w:sz="12" w:space="0" w:color="auto"/>
              <w:right w:val="nil"/>
            </w:tcBorders>
            <w:vAlign w:val="center"/>
          </w:tcPr>
          <w:p w14:paraId="16B8DF01" w14:textId="77777777" w:rsidR="00EA3564" w:rsidRPr="00102E66" w:rsidRDefault="00EA3564" w:rsidP="00FD45DE">
            <w:pPr>
              <w:jc w:val="center"/>
              <w:rPr>
                <w:rFonts w:ascii="Arial" w:hAnsi="Arial" w:cs="Arial"/>
                <w:b/>
                <w:color w:val="auto"/>
              </w:rPr>
            </w:pPr>
            <w:proofErr w:type="spellStart"/>
            <w:r w:rsidRPr="00102E66">
              <w:rPr>
                <w:rFonts w:ascii="Arial" w:hAnsi="Arial" w:cs="Arial"/>
                <w:b/>
                <w:color w:val="auto"/>
              </w:rPr>
              <w:t>Symptoms</w:t>
            </w:r>
            <w:proofErr w:type="spellEnd"/>
            <w:r w:rsidR="00612C5A" w:rsidRPr="00102E66">
              <w:rPr>
                <w:rFonts w:ascii="Arial" w:hAnsi="Arial" w:cs="Arial"/>
                <w:b/>
                <w:color w:val="auto"/>
              </w:rPr>
              <w:t xml:space="preserve"> (%)</w:t>
            </w:r>
          </w:p>
        </w:tc>
        <w:tc>
          <w:tcPr>
            <w:tcW w:w="1846" w:type="dxa"/>
            <w:tcBorders>
              <w:top w:val="single" w:sz="24" w:space="0" w:color="000000"/>
              <w:left w:val="nil"/>
              <w:bottom w:val="nil"/>
              <w:right w:val="nil"/>
            </w:tcBorders>
            <w:vAlign w:val="center"/>
          </w:tcPr>
          <w:p w14:paraId="4D4FD412" w14:textId="77777777" w:rsidR="00EA3564" w:rsidRPr="00102E66" w:rsidRDefault="00EA3564" w:rsidP="00FD45DE">
            <w:pPr>
              <w:jc w:val="center"/>
              <w:rPr>
                <w:rFonts w:ascii="Arial" w:hAnsi="Arial" w:cs="Arial"/>
                <w:b/>
                <w:i/>
                <w:color w:val="auto"/>
              </w:rPr>
            </w:pPr>
            <w:proofErr w:type="gramStart"/>
            <w:r w:rsidRPr="00102E66">
              <w:rPr>
                <w:rFonts w:ascii="Arial" w:hAnsi="Arial" w:cs="Arial"/>
                <w:b/>
                <w:i/>
                <w:color w:val="auto"/>
              </w:rPr>
              <w:t>p</w:t>
            </w:r>
            <w:proofErr w:type="gramEnd"/>
            <w:r w:rsidRPr="00102E66">
              <w:rPr>
                <w:rFonts w:ascii="Arial" w:hAnsi="Arial" w:cs="Arial"/>
                <w:b/>
                <w:i/>
                <w:color w:val="auto"/>
              </w:rPr>
              <w:t>-value</w:t>
            </w:r>
          </w:p>
        </w:tc>
      </w:tr>
      <w:tr w:rsidR="00EA3564" w:rsidRPr="00102E66" w14:paraId="62F99C0A" w14:textId="77777777" w:rsidTr="00A70636">
        <w:trPr>
          <w:trHeight w:val="235"/>
        </w:trPr>
        <w:tc>
          <w:tcPr>
            <w:tcW w:w="2552" w:type="dxa"/>
            <w:tcBorders>
              <w:top w:val="nil"/>
              <w:left w:val="nil"/>
              <w:bottom w:val="single" w:sz="12" w:space="0" w:color="auto"/>
              <w:right w:val="nil"/>
            </w:tcBorders>
            <w:vAlign w:val="center"/>
          </w:tcPr>
          <w:p w14:paraId="10CE477A" w14:textId="77777777" w:rsidR="00EA3564" w:rsidRPr="00102E66" w:rsidRDefault="00EA3564" w:rsidP="00EA3564">
            <w:pPr>
              <w:rPr>
                <w:rFonts w:ascii="Arial" w:hAnsi="Arial" w:cs="Arial"/>
                <w:color w:val="auto"/>
              </w:rPr>
            </w:pPr>
          </w:p>
        </w:tc>
        <w:tc>
          <w:tcPr>
            <w:tcW w:w="1672" w:type="dxa"/>
            <w:tcBorders>
              <w:top w:val="nil"/>
              <w:left w:val="nil"/>
              <w:bottom w:val="single" w:sz="12" w:space="0" w:color="auto"/>
              <w:right w:val="nil"/>
            </w:tcBorders>
            <w:vAlign w:val="center"/>
          </w:tcPr>
          <w:p w14:paraId="5498DC13" w14:textId="77777777" w:rsidR="00EA3564" w:rsidRPr="00102E66" w:rsidRDefault="00EA3564" w:rsidP="00FD45DE">
            <w:pPr>
              <w:jc w:val="center"/>
              <w:rPr>
                <w:rFonts w:ascii="Arial" w:hAnsi="Arial" w:cs="Arial"/>
                <w:color w:val="auto"/>
              </w:rPr>
            </w:pPr>
          </w:p>
        </w:tc>
        <w:tc>
          <w:tcPr>
            <w:tcW w:w="1899" w:type="dxa"/>
            <w:tcBorders>
              <w:top w:val="single" w:sz="12" w:space="0" w:color="auto"/>
              <w:left w:val="nil"/>
              <w:bottom w:val="single" w:sz="12" w:space="0" w:color="auto"/>
              <w:right w:val="nil"/>
            </w:tcBorders>
            <w:vAlign w:val="center"/>
          </w:tcPr>
          <w:p w14:paraId="073FAD0E" w14:textId="1F966FB0" w:rsidR="00EA3564" w:rsidRPr="00102E66" w:rsidRDefault="00EA3564" w:rsidP="00FD45DE">
            <w:pPr>
              <w:jc w:val="center"/>
              <w:rPr>
                <w:rFonts w:ascii="Arial" w:hAnsi="Arial" w:cs="Arial"/>
                <w:color w:val="auto"/>
              </w:rPr>
            </w:pPr>
            <w:proofErr w:type="spellStart"/>
            <w:r w:rsidRPr="00102E66">
              <w:rPr>
                <w:rFonts w:ascii="Arial" w:hAnsi="Arial" w:cs="Arial"/>
                <w:color w:val="auto"/>
              </w:rPr>
              <w:t>Presen</w:t>
            </w:r>
            <w:r w:rsidR="00206910" w:rsidRPr="00102E66">
              <w:rPr>
                <w:rFonts w:ascii="Arial" w:hAnsi="Arial" w:cs="Arial"/>
                <w:color w:val="auto"/>
              </w:rPr>
              <w:t>t</w:t>
            </w:r>
            <w:proofErr w:type="spellEnd"/>
          </w:p>
        </w:tc>
        <w:tc>
          <w:tcPr>
            <w:tcW w:w="1890" w:type="dxa"/>
            <w:tcBorders>
              <w:top w:val="single" w:sz="12" w:space="0" w:color="auto"/>
              <w:left w:val="nil"/>
              <w:bottom w:val="single" w:sz="12" w:space="0" w:color="auto"/>
              <w:right w:val="nil"/>
            </w:tcBorders>
            <w:vAlign w:val="center"/>
          </w:tcPr>
          <w:p w14:paraId="30DEB7FF" w14:textId="1B87309C" w:rsidR="00EA3564" w:rsidRPr="00102E66" w:rsidRDefault="00EA3564" w:rsidP="00FD45DE">
            <w:pPr>
              <w:jc w:val="center"/>
              <w:rPr>
                <w:rFonts w:ascii="Arial" w:hAnsi="Arial" w:cs="Arial"/>
                <w:color w:val="auto"/>
              </w:rPr>
            </w:pPr>
            <w:r w:rsidRPr="00102E66">
              <w:rPr>
                <w:rFonts w:ascii="Arial" w:hAnsi="Arial" w:cs="Arial"/>
                <w:color w:val="auto"/>
              </w:rPr>
              <w:t>Absen</w:t>
            </w:r>
            <w:r w:rsidR="00206910" w:rsidRPr="00102E66">
              <w:rPr>
                <w:rFonts w:ascii="Arial" w:hAnsi="Arial" w:cs="Arial"/>
                <w:color w:val="auto"/>
              </w:rPr>
              <w:t>t</w:t>
            </w:r>
          </w:p>
        </w:tc>
        <w:tc>
          <w:tcPr>
            <w:tcW w:w="1846" w:type="dxa"/>
            <w:tcBorders>
              <w:top w:val="nil"/>
              <w:left w:val="nil"/>
              <w:bottom w:val="single" w:sz="12" w:space="0" w:color="auto"/>
              <w:right w:val="nil"/>
            </w:tcBorders>
            <w:vAlign w:val="center"/>
          </w:tcPr>
          <w:p w14:paraId="6B45772B" w14:textId="77777777" w:rsidR="00EA3564" w:rsidRPr="00102E66" w:rsidRDefault="00EA3564" w:rsidP="00FD45DE">
            <w:pPr>
              <w:jc w:val="center"/>
              <w:rPr>
                <w:rFonts w:ascii="Arial" w:hAnsi="Arial" w:cs="Arial"/>
                <w:color w:val="auto"/>
              </w:rPr>
            </w:pPr>
          </w:p>
        </w:tc>
      </w:tr>
      <w:tr w:rsidR="00EA3564" w:rsidRPr="00102E66" w14:paraId="24C3E30D" w14:textId="77777777" w:rsidTr="00A70636">
        <w:trPr>
          <w:trHeight w:val="210"/>
        </w:trPr>
        <w:tc>
          <w:tcPr>
            <w:tcW w:w="2552" w:type="dxa"/>
            <w:tcBorders>
              <w:top w:val="single" w:sz="12" w:space="0" w:color="auto"/>
              <w:left w:val="nil"/>
              <w:bottom w:val="nil"/>
              <w:right w:val="nil"/>
            </w:tcBorders>
            <w:vAlign w:val="center"/>
          </w:tcPr>
          <w:p w14:paraId="1CE4095F" w14:textId="77777777" w:rsidR="00EA3564" w:rsidRPr="00102E66" w:rsidRDefault="00EA3564" w:rsidP="00EA3564">
            <w:pPr>
              <w:rPr>
                <w:rFonts w:ascii="Arial" w:hAnsi="Arial" w:cs="Arial"/>
                <w:b/>
                <w:color w:val="auto"/>
              </w:rPr>
            </w:pPr>
            <w:r w:rsidRPr="00102E66">
              <w:rPr>
                <w:rFonts w:ascii="Arial" w:hAnsi="Arial" w:cs="Arial"/>
                <w:b/>
                <w:color w:val="auto"/>
              </w:rPr>
              <w:t>Age</w:t>
            </w:r>
          </w:p>
        </w:tc>
        <w:tc>
          <w:tcPr>
            <w:tcW w:w="1672" w:type="dxa"/>
            <w:tcBorders>
              <w:top w:val="single" w:sz="12" w:space="0" w:color="auto"/>
              <w:left w:val="nil"/>
              <w:bottom w:val="nil"/>
              <w:right w:val="nil"/>
            </w:tcBorders>
            <w:vAlign w:val="center"/>
          </w:tcPr>
          <w:p w14:paraId="73483DE7" w14:textId="77777777" w:rsidR="00EA3564" w:rsidRPr="00102E66" w:rsidRDefault="00EA3564" w:rsidP="00FD45DE">
            <w:pPr>
              <w:jc w:val="center"/>
              <w:rPr>
                <w:rFonts w:ascii="Arial" w:hAnsi="Arial" w:cs="Arial"/>
                <w:color w:val="auto"/>
              </w:rPr>
            </w:pPr>
          </w:p>
        </w:tc>
        <w:tc>
          <w:tcPr>
            <w:tcW w:w="1899" w:type="dxa"/>
            <w:tcBorders>
              <w:top w:val="single" w:sz="12" w:space="0" w:color="auto"/>
              <w:left w:val="nil"/>
              <w:bottom w:val="nil"/>
              <w:right w:val="nil"/>
            </w:tcBorders>
            <w:vAlign w:val="center"/>
          </w:tcPr>
          <w:p w14:paraId="357BB031" w14:textId="77777777" w:rsidR="00EA3564" w:rsidRPr="00102E66" w:rsidRDefault="00EA3564" w:rsidP="00FD45DE">
            <w:pPr>
              <w:jc w:val="center"/>
              <w:rPr>
                <w:rFonts w:ascii="Arial" w:hAnsi="Arial" w:cs="Arial"/>
                <w:color w:val="auto"/>
              </w:rPr>
            </w:pPr>
          </w:p>
        </w:tc>
        <w:tc>
          <w:tcPr>
            <w:tcW w:w="1890" w:type="dxa"/>
            <w:tcBorders>
              <w:top w:val="single" w:sz="12" w:space="0" w:color="auto"/>
              <w:left w:val="nil"/>
              <w:bottom w:val="nil"/>
              <w:right w:val="nil"/>
            </w:tcBorders>
            <w:vAlign w:val="center"/>
          </w:tcPr>
          <w:p w14:paraId="65232995" w14:textId="77777777" w:rsidR="00EA3564" w:rsidRPr="00102E66" w:rsidRDefault="00EA3564" w:rsidP="00FD45DE">
            <w:pPr>
              <w:jc w:val="center"/>
              <w:rPr>
                <w:rFonts w:ascii="Arial" w:hAnsi="Arial" w:cs="Arial"/>
                <w:color w:val="auto"/>
              </w:rPr>
            </w:pPr>
          </w:p>
        </w:tc>
        <w:tc>
          <w:tcPr>
            <w:tcW w:w="1846" w:type="dxa"/>
            <w:tcBorders>
              <w:top w:val="single" w:sz="12" w:space="0" w:color="auto"/>
              <w:left w:val="nil"/>
              <w:bottom w:val="nil"/>
              <w:right w:val="nil"/>
            </w:tcBorders>
            <w:vAlign w:val="center"/>
          </w:tcPr>
          <w:p w14:paraId="10FF148B" w14:textId="77777777" w:rsidR="00EA3564" w:rsidRPr="00102E66" w:rsidRDefault="00EA3564" w:rsidP="00FD45DE">
            <w:pPr>
              <w:jc w:val="center"/>
              <w:rPr>
                <w:rFonts w:ascii="Arial" w:hAnsi="Arial" w:cs="Arial"/>
                <w:b/>
                <w:color w:val="auto"/>
              </w:rPr>
            </w:pPr>
          </w:p>
        </w:tc>
      </w:tr>
      <w:tr w:rsidR="00EA3564" w:rsidRPr="00102E66" w14:paraId="52007322" w14:textId="77777777" w:rsidTr="00A70636">
        <w:trPr>
          <w:trHeight w:val="233"/>
        </w:trPr>
        <w:tc>
          <w:tcPr>
            <w:tcW w:w="2552" w:type="dxa"/>
            <w:tcBorders>
              <w:top w:val="nil"/>
              <w:left w:val="nil"/>
              <w:bottom w:val="nil"/>
              <w:right w:val="nil"/>
            </w:tcBorders>
            <w:vAlign w:val="center"/>
          </w:tcPr>
          <w:p w14:paraId="09EA394D" w14:textId="77777777" w:rsidR="00EA3564" w:rsidRPr="00102E66" w:rsidRDefault="00EA3564" w:rsidP="00EA3564">
            <w:pPr>
              <w:rPr>
                <w:rFonts w:ascii="Arial" w:hAnsi="Arial" w:cs="Arial"/>
                <w:color w:val="auto"/>
              </w:rPr>
            </w:pPr>
            <w:r w:rsidRPr="00102E66">
              <w:rPr>
                <w:rFonts w:ascii="Arial" w:hAnsi="Arial" w:cs="Arial"/>
                <w:color w:val="auto"/>
              </w:rPr>
              <w:t>16-20</w:t>
            </w:r>
          </w:p>
        </w:tc>
        <w:tc>
          <w:tcPr>
            <w:tcW w:w="1672" w:type="dxa"/>
            <w:tcBorders>
              <w:top w:val="nil"/>
              <w:left w:val="nil"/>
              <w:bottom w:val="nil"/>
              <w:right w:val="nil"/>
            </w:tcBorders>
          </w:tcPr>
          <w:p w14:paraId="79A4EEB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14 (8.1) </w:t>
            </w:r>
          </w:p>
        </w:tc>
        <w:tc>
          <w:tcPr>
            <w:tcW w:w="1899" w:type="dxa"/>
            <w:tcBorders>
              <w:top w:val="nil"/>
              <w:left w:val="nil"/>
              <w:bottom w:val="nil"/>
              <w:right w:val="nil"/>
            </w:tcBorders>
          </w:tcPr>
          <w:p w14:paraId="47663DEA"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 (21.4) </w:t>
            </w:r>
          </w:p>
        </w:tc>
        <w:tc>
          <w:tcPr>
            <w:tcW w:w="1890" w:type="dxa"/>
            <w:tcBorders>
              <w:top w:val="nil"/>
              <w:left w:val="nil"/>
              <w:bottom w:val="nil"/>
              <w:right w:val="nil"/>
            </w:tcBorders>
          </w:tcPr>
          <w:p w14:paraId="386221A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11 (78.6) </w:t>
            </w:r>
          </w:p>
        </w:tc>
        <w:tc>
          <w:tcPr>
            <w:tcW w:w="1846" w:type="dxa"/>
            <w:tcBorders>
              <w:top w:val="nil"/>
              <w:left w:val="nil"/>
              <w:bottom w:val="nil"/>
              <w:right w:val="nil"/>
            </w:tcBorders>
            <w:vAlign w:val="center"/>
          </w:tcPr>
          <w:p w14:paraId="27B125B6" w14:textId="77777777" w:rsidR="00EA3564" w:rsidRPr="00102E66" w:rsidRDefault="00EA3564" w:rsidP="00FD45DE">
            <w:pPr>
              <w:jc w:val="center"/>
              <w:rPr>
                <w:rFonts w:ascii="Arial" w:hAnsi="Arial" w:cs="Arial"/>
                <w:color w:val="auto"/>
              </w:rPr>
            </w:pPr>
            <w:r w:rsidRPr="00102E66">
              <w:rPr>
                <w:rFonts w:ascii="Arial" w:hAnsi="Arial" w:cs="Arial"/>
                <w:b/>
                <w:color w:val="auto"/>
              </w:rPr>
              <w:t>0.000</w:t>
            </w:r>
          </w:p>
        </w:tc>
      </w:tr>
      <w:tr w:rsidR="00EA3564" w:rsidRPr="00102E66" w14:paraId="57FAD2E6" w14:textId="77777777" w:rsidTr="00A70636">
        <w:trPr>
          <w:trHeight w:val="107"/>
        </w:trPr>
        <w:tc>
          <w:tcPr>
            <w:tcW w:w="2552" w:type="dxa"/>
            <w:tcBorders>
              <w:top w:val="nil"/>
              <w:left w:val="nil"/>
              <w:bottom w:val="nil"/>
              <w:right w:val="nil"/>
            </w:tcBorders>
          </w:tcPr>
          <w:p w14:paraId="764DCC25" w14:textId="77777777" w:rsidR="00EA3564" w:rsidRPr="00102E66" w:rsidRDefault="00EA3564" w:rsidP="00EA3564">
            <w:pPr>
              <w:rPr>
                <w:rFonts w:ascii="Arial" w:hAnsi="Arial" w:cs="Arial"/>
                <w:color w:val="auto"/>
              </w:rPr>
            </w:pPr>
            <w:r w:rsidRPr="00102E66">
              <w:rPr>
                <w:rFonts w:ascii="Arial" w:hAnsi="Arial" w:cs="Arial"/>
                <w:color w:val="auto"/>
              </w:rPr>
              <w:t>21-25</w:t>
            </w:r>
          </w:p>
        </w:tc>
        <w:tc>
          <w:tcPr>
            <w:tcW w:w="1672" w:type="dxa"/>
            <w:tcBorders>
              <w:top w:val="nil"/>
              <w:left w:val="nil"/>
              <w:bottom w:val="nil"/>
              <w:right w:val="nil"/>
            </w:tcBorders>
          </w:tcPr>
          <w:p w14:paraId="219D9DC1"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55 (31.8) </w:t>
            </w:r>
          </w:p>
        </w:tc>
        <w:tc>
          <w:tcPr>
            <w:tcW w:w="1899" w:type="dxa"/>
            <w:tcBorders>
              <w:top w:val="nil"/>
              <w:left w:val="nil"/>
              <w:bottom w:val="nil"/>
              <w:right w:val="nil"/>
            </w:tcBorders>
          </w:tcPr>
          <w:p w14:paraId="36B9C7C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33 (60.0) </w:t>
            </w:r>
          </w:p>
        </w:tc>
        <w:tc>
          <w:tcPr>
            <w:tcW w:w="1890" w:type="dxa"/>
            <w:tcBorders>
              <w:top w:val="nil"/>
              <w:left w:val="nil"/>
              <w:bottom w:val="nil"/>
              <w:right w:val="nil"/>
            </w:tcBorders>
          </w:tcPr>
          <w:p w14:paraId="103144BB"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22 (40.0) </w:t>
            </w:r>
          </w:p>
        </w:tc>
        <w:tc>
          <w:tcPr>
            <w:tcW w:w="1846" w:type="dxa"/>
            <w:tcBorders>
              <w:top w:val="nil"/>
              <w:left w:val="nil"/>
              <w:bottom w:val="nil"/>
              <w:right w:val="nil"/>
            </w:tcBorders>
            <w:vAlign w:val="center"/>
          </w:tcPr>
          <w:p w14:paraId="4D2678F3" w14:textId="77777777" w:rsidR="00EA3564" w:rsidRPr="00102E66" w:rsidRDefault="00EA3564" w:rsidP="00FD45DE">
            <w:pPr>
              <w:jc w:val="center"/>
              <w:rPr>
                <w:rFonts w:ascii="Arial" w:hAnsi="Arial" w:cs="Arial"/>
                <w:color w:val="auto"/>
              </w:rPr>
            </w:pPr>
          </w:p>
        </w:tc>
      </w:tr>
      <w:tr w:rsidR="00EA3564" w:rsidRPr="00102E66" w14:paraId="250EFE12" w14:textId="77777777" w:rsidTr="00A70636">
        <w:trPr>
          <w:trHeight w:val="162"/>
        </w:trPr>
        <w:tc>
          <w:tcPr>
            <w:tcW w:w="2552" w:type="dxa"/>
            <w:tcBorders>
              <w:top w:val="nil"/>
              <w:left w:val="nil"/>
              <w:bottom w:val="nil"/>
              <w:right w:val="nil"/>
            </w:tcBorders>
          </w:tcPr>
          <w:p w14:paraId="4C79AC7A" w14:textId="77777777" w:rsidR="00EA3564" w:rsidRPr="00102E66" w:rsidRDefault="00EA3564" w:rsidP="00EA3564">
            <w:pPr>
              <w:rPr>
                <w:rFonts w:ascii="Arial" w:hAnsi="Arial" w:cs="Arial"/>
                <w:color w:val="auto"/>
              </w:rPr>
            </w:pPr>
            <w:r w:rsidRPr="00102E66">
              <w:rPr>
                <w:rFonts w:ascii="Arial" w:hAnsi="Arial" w:cs="Arial"/>
                <w:color w:val="auto"/>
              </w:rPr>
              <w:t>26-30</w:t>
            </w:r>
          </w:p>
        </w:tc>
        <w:tc>
          <w:tcPr>
            <w:tcW w:w="1672" w:type="dxa"/>
            <w:tcBorders>
              <w:top w:val="nil"/>
              <w:left w:val="nil"/>
              <w:bottom w:val="nil"/>
              <w:right w:val="nil"/>
            </w:tcBorders>
          </w:tcPr>
          <w:p w14:paraId="72DAA5E0"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10 (5.8) </w:t>
            </w:r>
          </w:p>
        </w:tc>
        <w:tc>
          <w:tcPr>
            <w:tcW w:w="1899" w:type="dxa"/>
            <w:tcBorders>
              <w:top w:val="nil"/>
              <w:left w:val="nil"/>
              <w:bottom w:val="nil"/>
              <w:right w:val="nil"/>
            </w:tcBorders>
          </w:tcPr>
          <w:p w14:paraId="491A6F3F"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 (80.0) </w:t>
            </w:r>
          </w:p>
        </w:tc>
        <w:tc>
          <w:tcPr>
            <w:tcW w:w="1890" w:type="dxa"/>
            <w:tcBorders>
              <w:top w:val="nil"/>
              <w:left w:val="nil"/>
              <w:bottom w:val="nil"/>
              <w:right w:val="nil"/>
            </w:tcBorders>
          </w:tcPr>
          <w:p w14:paraId="162A9AE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2 (20.0) </w:t>
            </w:r>
          </w:p>
        </w:tc>
        <w:tc>
          <w:tcPr>
            <w:tcW w:w="1846" w:type="dxa"/>
            <w:tcBorders>
              <w:top w:val="nil"/>
              <w:left w:val="nil"/>
              <w:bottom w:val="nil"/>
              <w:right w:val="nil"/>
            </w:tcBorders>
            <w:vAlign w:val="center"/>
          </w:tcPr>
          <w:p w14:paraId="7B847F27" w14:textId="77777777" w:rsidR="00EA3564" w:rsidRPr="00102E66" w:rsidRDefault="00EA3564" w:rsidP="00FD45DE">
            <w:pPr>
              <w:jc w:val="center"/>
              <w:rPr>
                <w:rFonts w:ascii="Arial" w:hAnsi="Arial" w:cs="Arial"/>
                <w:color w:val="auto"/>
              </w:rPr>
            </w:pPr>
          </w:p>
        </w:tc>
      </w:tr>
      <w:tr w:rsidR="00EA3564" w:rsidRPr="00102E66" w14:paraId="5A330CFD" w14:textId="77777777" w:rsidTr="00A70636">
        <w:trPr>
          <w:trHeight w:val="76"/>
        </w:trPr>
        <w:tc>
          <w:tcPr>
            <w:tcW w:w="2552" w:type="dxa"/>
            <w:tcBorders>
              <w:top w:val="nil"/>
              <w:left w:val="nil"/>
              <w:bottom w:val="nil"/>
              <w:right w:val="nil"/>
            </w:tcBorders>
          </w:tcPr>
          <w:p w14:paraId="4B35B89A" w14:textId="77777777" w:rsidR="00EA3564" w:rsidRPr="00102E66" w:rsidRDefault="00EA3564" w:rsidP="00EA3564">
            <w:pPr>
              <w:rPr>
                <w:rFonts w:ascii="Arial" w:hAnsi="Arial" w:cs="Arial"/>
                <w:color w:val="auto"/>
              </w:rPr>
            </w:pPr>
            <w:r w:rsidRPr="00102E66">
              <w:rPr>
                <w:rFonts w:ascii="Arial" w:hAnsi="Arial" w:cs="Arial"/>
                <w:color w:val="auto"/>
              </w:rPr>
              <w:t>31-35</w:t>
            </w:r>
          </w:p>
        </w:tc>
        <w:tc>
          <w:tcPr>
            <w:tcW w:w="1672" w:type="dxa"/>
            <w:tcBorders>
              <w:top w:val="nil"/>
              <w:left w:val="nil"/>
              <w:bottom w:val="nil"/>
              <w:right w:val="nil"/>
            </w:tcBorders>
          </w:tcPr>
          <w:p w14:paraId="66F7D16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 (4) </w:t>
            </w:r>
          </w:p>
        </w:tc>
        <w:tc>
          <w:tcPr>
            <w:tcW w:w="1899" w:type="dxa"/>
            <w:tcBorders>
              <w:top w:val="nil"/>
              <w:left w:val="nil"/>
              <w:bottom w:val="nil"/>
              <w:right w:val="nil"/>
            </w:tcBorders>
          </w:tcPr>
          <w:p w14:paraId="4C290DA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4 (57.1) </w:t>
            </w:r>
          </w:p>
        </w:tc>
        <w:tc>
          <w:tcPr>
            <w:tcW w:w="1890" w:type="dxa"/>
            <w:tcBorders>
              <w:top w:val="nil"/>
              <w:left w:val="nil"/>
              <w:bottom w:val="nil"/>
              <w:right w:val="nil"/>
            </w:tcBorders>
          </w:tcPr>
          <w:p w14:paraId="5DFD59BE"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3 (42.9) </w:t>
            </w:r>
          </w:p>
        </w:tc>
        <w:tc>
          <w:tcPr>
            <w:tcW w:w="1846" w:type="dxa"/>
            <w:tcBorders>
              <w:top w:val="nil"/>
              <w:left w:val="nil"/>
              <w:bottom w:val="nil"/>
              <w:right w:val="nil"/>
            </w:tcBorders>
            <w:vAlign w:val="center"/>
          </w:tcPr>
          <w:p w14:paraId="5B68AFF4" w14:textId="77777777" w:rsidR="00EA3564" w:rsidRPr="00102E66" w:rsidRDefault="00EA3564" w:rsidP="00FD45DE">
            <w:pPr>
              <w:jc w:val="center"/>
              <w:rPr>
                <w:rFonts w:ascii="Arial" w:hAnsi="Arial" w:cs="Arial"/>
                <w:color w:val="auto"/>
              </w:rPr>
            </w:pPr>
          </w:p>
        </w:tc>
      </w:tr>
      <w:tr w:rsidR="00EA3564" w:rsidRPr="00102E66" w14:paraId="11B68320" w14:textId="77777777" w:rsidTr="00A70636">
        <w:trPr>
          <w:trHeight w:val="104"/>
        </w:trPr>
        <w:tc>
          <w:tcPr>
            <w:tcW w:w="2552" w:type="dxa"/>
            <w:tcBorders>
              <w:top w:val="nil"/>
              <w:left w:val="nil"/>
              <w:bottom w:val="single" w:sz="4" w:space="0" w:color="000000"/>
              <w:right w:val="nil"/>
            </w:tcBorders>
            <w:vAlign w:val="center"/>
          </w:tcPr>
          <w:p w14:paraId="73862E95" w14:textId="77777777" w:rsidR="00EA3564" w:rsidRPr="00102E66" w:rsidRDefault="00EA3564" w:rsidP="00EA3564">
            <w:pPr>
              <w:rPr>
                <w:rFonts w:ascii="Arial" w:hAnsi="Arial" w:cs="Arial"/>
                <w:color w:val="auto"/>
              </w:rPr>
            </w:pPr>
            <w:r w:rsidRPr="00102E66">
              <w:rPr>
                <w:rFonts w:ascii="Arial" w:hAnsi="Arial" w:cs="Arial"/>
                <w:color w:val="auto"/>
              </w:rPr>
              <w:t>≥36</w:t>
            </w:r>
          </w:p>
        </w:tc>
        <w:tc>
          <w:tcPr>
            <w:tcW w:w="1672" w:type="dxa"/>
            <w:tcBorders>
              <w:top w:val="nil"/>
              <w:left w:val="nil"/>
              <w:bottom w:val="single" w:sz="4" w:space="0" w:color="000000"/>
              <w:right w:val="nil"/>
            </w:tcBorders>
          </w:tcPr>
          <w:p w14:paraId="7DB600D0"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87 (50.3) </w:t>
            </w:r>
          </w:p>
        </w:tc>
        <w:tc>
          <w:tcPr>
            <w:tcW w:w="1899" w:type="dxa"/>
            <w:tcBorders>
              <w:top w:val="nil"/>
              <w:left w:val="nil"/>
              <w:bottom w:val="single" w:sz="4" w:space="0" w:color="000000"/>
              <w:right w:val="nil"/>
            </w:tcBorders>
          </w:tcPr>
          <w:p w14:paraId="4A4A20FA"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70 (80.5) </w:t>
            </w:r>
          </w:p>
        </w:tc>
        <w:tc>
          <w:tcPr>
            <w:tcW w:w="1890" w:type="dxa"/>
            <w:tcBorders>
              <w:top w:val="nil"/>
              <w:left w:val="nil"/>
              <w:bottom w:val="single" w:sz="4" w:space="0" w:color="000000"/>
              <w:right w:val="nil"/>
            </w:tcBorders>
          </w:tcPr>
          <w:p w14:paraId="18DFE293"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17 (19.5) </w:t>
            </w:r>
          </w:p>
        </w:tc>
        <w:tc>
          <w:tcPr>
            <w:tcW w:w="1846" w:type="dxa"/>
            <w:tcBorders>
              <w:top w:val="nil"/>
              <w:left w:val="nil"/>
              <w:bottom w:val="single" w:sz="4" w:space="0" w:color="000000"/>
              <w:right w:val="nil"/>
            </w:tcBorders>
            <w:vAlign w:val="center"/>
          </w:tcPr>
          <w:p w14:paraId="6003ED61" w14:textId="77777777" w:rsidR="00EA3564" w:rsidRPr="00102E66" w:rsidRDefault="00EA3564" w:rsidP="00FD45DE">
            <w:pPr>
              <w:jc w:val="center"/>
              <w:rPr>
                <w:rFonts w:ascii="Arial" w:hAnsi="Arial" w:cs="Arial"/>
                <w:color w:val="auto"/>
              </w:rPr>
            </w:pPr>
          </w:p>
        </w:tc>
      </w:tr>
      <w:tr w:rsidR="00EA3564" w:rsidRPr="00102E66" w14:paraId="2004C880" w14:textId="77777777" w:rsidTr="00A70636">
        <w:trPr>
          <w:trHeight w:val="48"/>
        </w:trPr>
        <w:tc>
          <w:tcPr>
            <w:tcW w:w="2552" w:type="dxa"/>
            <w:tcBorders>
              <w:top w:val="single" w:sz="4" w:space="0" w:color="000000"/>
              <w:left w:val="nil"/>
              <w:bottom w:val="nil"/>
              <w:right w:val="nil"/>
            </w:tcBorders>
            <w:vAlign w:val="center"/>
          </w:tcPr>
          <w:p w14:paraId="21D110C8"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Sex</w:t>
            </w:r>
            <w:proofErr w:type="spellEnd"/>
          </w:p>
        </w:tc>
        <w:tc>
          <w:tcPr>
            <w:tcW w:w="1672" w:type="dxa"/>
            <w:tcBorders>
              <w:top w:val="single" w:sz="4" w:space="0" w:color="000000"/>
              <w:left w:val="nil"/>
              <w:bottom w:val="nil"/>
              <w:right w:val="nil"/>
            </w:tcBorders>
            <w:vAlign w:val="center"/>
          </w:tcPr>
          <w:p w14:paraId="6C7D9E4C" w14:textId="77777777" w:rsidR="00EA3564" w:rsidRPr="00102E66" w:rsidRDefault="00EA3564" w:rsidP="00FD45DE">
            <w:pPr>
              <w:jc w:val="center"/>
              <w:rPr>
                <w:rFonts w:ascii="Arial" w:hAnsi="Arial" w:cs="Arial"/>
                <w:b/>
                <w:color w:val="auto"/>
              </w:rPr>
            </w:pPr>
          </w:p>
        </w:tc>
        <w:tc>
          <w:tcPr>
            <w:tcW w:w="1899" w:type="dxa"/>
            <w:tcBorders>
              <w:top w:val="single" w:sz="4" w:space="0" w:color="000000"/>
              <w:left w:val="nil"/>
              <w:bottom w:val="nil"/>
              <w:right w:val="nil"/>
            </w:tcBorders>
            <w:vAlign w:val="center"/>
          </w:tcPr>
          <w:p w14:paraId="2A2EBB0D" w14:textId="77777777" w:rsidR="00EA3564" w:rsidRPr="00102E66" w:rsidRDefault="00EA3564" w:rsidP="00FD45DE">
            <w:pPr>
              <w:jc w:val="center"/>
              <w:rPr>
                <w:rFonts w:ascii="Arial" w:hAnsi="Arial" w:cs="Arial"/>
                <w:b/>
                <w:color w:val="auto"/>
              </w:rPr>
            </w:pPr>
          </w:p>
        </w:tc>
        <w:tc>
          <w:tcPr>
            <w:tcW w:w="1890" w:type="dxa"/>
            <w:tcBorders>
              <w:top w:val="single" w:sz="4" w:space="0" w:color="000000"/>
              <w:left w:val="nil"/>
              <w:bottom w:val="nil"/>
              <w:right w:val="nil"/>
            </w:tcBorders>
            <w:vAlign w:val="center"/>
          </w:tcPr>
          <w:p w14:paraId="5DCABBDC" w14:textId="77777777" w:rsidR="00EA3564" w:rsidRPr="00102E66" w:rsidRDefault="00EA3564" w:rsidP="00FD45DE">
            <w:pPr>
              <w:jc w:val="center"/>
              <w:rPr>
                <w:rFonts w:ascii="Arial" w:hAnsi="Arial" w:cs="Arial"/>
                <w:b/>
                <w:color w:val="auto"/>
              </w:rPr>
            </w:pPr>
          </w:p>
        </w:tc>
        <w:tc>
          <w:tcPr>
            <w:tcW w:w="1846" w:type="dxa"/>
            <w:tcBorders>
              <w:top w:val="single" w:sz="4" w:space="0" w:color="000000"/>
              <w:left w:val="nil"/>
              <w:bottom w:val="nil"/>
              <w:right w:val="nil"/>
            </w:tcBorders>
            <w:vAlign w:val="center"/>
          </w:tcPr>
          <w:p w14:paraId="4595D478" w14:textId="77777777" w:rsidR="00EA3564" w:rsidRPr="00102E66" w:rsidRDefault="00EA3564" w:rsidP="00FD45DE">
            <w:pPr>
              <w:jc w:val="center"/>
              <w:rPr>
                <w:rFonts w:ascii="Arial" w:hAnsi="Arial" w:cs="Arial"/>
                <w:color w:val="auto"/>
              </w:rPr>
            </w:pPr>
          </w:p>
        </w:tc>
      </w:tr>
      <w:tr w:rsidR="00EA3564" w:rsidRPr="00102E66" w14:paraId="029C2163" w14:textId="77777777" w:rsidTr="00A70636">
        <w:trPr>
          <w:trHeight w:val="59"/>
        </w:trPr>
        <w:tc>
          <w:tcPr>
            <w:tcW w:w="2552" w:type="dxa"/>
            <w:tcBorders>
              <w:top w:val="nil"/>
              <w:left w:val="nil"/>
              <w:bottom w:val="nil"/>
              <w:right w:val="nil"/>
            </w:tcBorders>
            <w:vAlign w:val="center"/>
          </w:tcPr>
          <w:p w14:paraId="728CA639" w14:textId="77777777" w:rsidR="00EA3564" w:rsidRPr="00102E66" w:rsidRDefault="00EA3564" w:rsidP="00EA3564">
            <w:pPr>
              <w:rPr>
                <w:rFonts w:ascii="Arial" w:hAnsi="Arial" w:cs="Arial"/>
                <w:color w:val="auto"/>
              </w:rPr>
            </w:pPr>
            <w:r w:rsidRPr="00102E66">
              <w:rPr>
                <w:rFonts w:ascii="Arial" w:hAnsi="Arial" w:cs="Arial"/>
                <w:color w:val="auto"/>
              </w:rPr>
              <w:t>Male</w:t>
            </w:r>
          </w:p>
        </w:tc>
        <w:tc>
          <w:tcPr>
            <w:tcW w:w="1672" w:type="dxa"/>
            <w:tcBorders>
              <w:top w:val="nil"/>
              <w:left w:val="nil"/>
              <w:bottom w:val="nil"/>
              <w:right w:val="nil"/>
            </w:tcBorders>
          </w:tcPr>
          <w:p w14:paraId="18D1BCBD"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15 (8.7) </w:t>
            </w:r>
          </w:p>
        </w:tc>
        <w:tc>
          <w:tcPr>
            <w:tcW w:w="1899" w:type="dxa"/>
            <w:tcBorders>
              <w:top w:val="nil"/>
              <w:left w:val="nil"/>
              <w:bottom w:val="nil"/>
              <w:right w:val="nil"/>
            </w:tcBorders>
          </w:tcPr>
          <w:p w14:paraId="41426505"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8 (53.7) </w:t>
            </w:r>
          </w:p>
        </w:tc>
        <w:tc>
          <w:tcPr>
            <w:tcW w:w="1890" w:type="dxa"/>
            <w:tcBorders>
              <w:top w:val="nil"/>
              <w:left w:val="nil"/>
              <w:bottom w:val="nil"/>
              <w:right w:val="nil"/>
            </w:tcBorders>
          </w:tcPr>
          <w:p w14:paraId="2B2A39CC"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7 (46.7) </w:t>
            </w:r>
          </w:p>
        </w:tc>
        <w:tc>
          <w:tcPr>
            <w:tcW w:w="1846" w:type="dxa"/>
            <w:tcBorders>
              <w:top w:val="nil"/>
              <w:left w:val="nil"/>
              <w:bottom w:val="nil"/>
              <w:right w:val="nil"/>
            </w:tcBorders>
            <w:vAlign w:val="center"/>
          </w:tcPr>
          <w:p w14:paraId="0DF81DCE" w14:textId="77777777" w:rsidR="00EA3564" w:rsidRPr="00102E66" w:rsidRDefault="00EA3564" w:rsidP="00FD45DE">
            <w:pPr>
              <w:jc w:val="center"/>
              <w:rPr>
                <w:rFonts w:ascii="Arial" w:hAnsi="Arial" w:cs="Arial"/>
                <w:color w:val="auto"/>
              </w:rPr>
            </w:pPr>
            <w:r w:rsidRPr="00102E66">
              <w:rPr>
                <w:rFonts w:ascii="Arial" w:hAnsi="Arial" w:cs="Arial"/>
                <w:color w:val="auto"/>
              </w:rPr>
              <w:t>0.195</w:t>
            </w:r>
          </w:p>
        </w:tc>
      </w:tr>
      <w:tr w:rsidR="00EA3564" w:rsidRPr="00102E66" w14:paraId="19E7ADD2" w14:textId="77777777" w:rsidTr="00A70636">
        <w:trPr>
          <w:trHeight w:val="89"/>
        </w:trPr>
        <w:tc>
          <w:tcPr>
            <w:tcW w:w="2552" w:type="dxa"/>
            <w:tcBorders>
              <w:top w:val="nil"/>
              <w:left w:val="nil"/>
              <w:bottom w:val="single" w:sz="4" w:space="0" w:color="000000"/>
              <w:right w:val="nil"/>
            </w:tcBorders>
            <w:vAlign w:val="center"/>
          </w:tcPr>
          <w:p w14:paraId="3AB97342"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Female</w:t>
            </w:r>
            <w:proofErr w:type="spellEnd"/>
          </w:p>
        </w:tc>
        <w:tc>
          <w:tcPr>
            <w:tcW w:w="1672" w:type="dxa"/>
            <w:tcBorders>
              <w:top w:val="nil"/>
              <w:left w:val="nil"/>
              <w:bottom w:val="single" w:sz="4" w:space="0" w:color="000000"/>
              <w:right w:val="nil"/>
            </w:tcBorders>
          </w:tcPr>
          <w:p w14:paraId="77878FD4"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158 (91.3) </w:t>
            </w:r>
          </w:p>
        </w:tc>
        <w:tc>
          <w:tcPr>
            <w:tcW w:w="1899" w:type="dxa"/>
            <w:tcBorders>
              <w:top w:val="nil"/>
              <w:left w:val="nil"/>
              <w:bottom w:val="single" w:sz="4" w:space="0" w:color="000000"/>
              <w:right w:val="nil"/>
            </w:tcBorders>
          </w:tcPr>
          <w:p w14:paraId="26A5BB97"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110 (69.6) </w:t>
            </w:r>
          </w:p>
        </w:tc>
        <w:tc>
          <w:tcPr>
            <w:tcW w:w="1890" w:type="dxa"/>
            <w:tcBorders>
              <w:top w:val="nil"/>
              <w:left w:val="nil"/>
              <w:bottom w:val="single" w:sz="4" w:space="0" w:color="000000"/>
              <w:right w:val="nil"/>
            </w:tcBorders>
          </w:tcPr>
          <w:p w14:paraId="3F1A6832" w14:textId="77777777" w:rsidR="00EA3564" w:rsidRPr="00102E66" w:rsidRDefault="00EA3564" w:rsidP="00FD45DE">
            <w:pPr>
              <w:jc w:val="center"/>
              <w:rPr>
                <w:rFonts w:ascii="Arial" w:hAnsi="Arial" w:cs="Arial"/>
                <w:color w:val="auto"/>
              </w:rPr>
            </w:pPr>
            <w:r w:rsidRPr="00102E66">
              <w:rPr>
                <w:rFonts w:ascii="Arial" w:hAnsi="Arial" w:cs="Arial"/>
                <w:color w:val="auto"/>
              </w:rPr>
              <w:t xml:space="preserve">48 (30.4) </w:t>
            </w:r>
          </w:p>
        </w:tc>
        <w:tc>
          <w:tcPr>
            <w:tcW w:w="1846" w:type="dxa"/>
            <w:tcBorders>
              <w:top w:val="nil"/>
              <w:left w:val="nil"/>
              <w:bottom w:val="single" w:sz="4" w:space="0" w:color="000000"/>
              <w:right w:val="nil"/>
            </w:tcBorders>
            <w:vAlign w:val="center"/>
          </w:tcPr>
          <w:p w14:paraId="731C25EB" w14:textId="77777777" w:rsidR="00EA3564" w:rsidRPr="00102E66" w:rsidRDefault="00EA3564" w:rsidP="00FD45DE">
            <w:pPr>
              <w:jc w:val="center"/>
              <w:rPr>
                <w:rFonts w:ascii="Arial" w:hAnsi="Arial" w:cs="Arial"/>
                <w:color w:val="auto"/>
              </w:rPr>
            </w:pPr>
          </w:p>
        </w:tc>
      </w:tr>
      <w:tr w:rsidR="00EA3564" w:rsidRPr="00102E66" w14:paraId="1703A391" w14:textId="77777777" w:rsidTr="00A70636">
        <w:trPr>
          <w:trHeight w:val="48"/>
        </w:trPr>
        <w:tc>
          <w:tcPr>
            <w:tcW w:w="2552" w:type="dxa"/>
            <w:tcBorders>
              <w:left w:val="nil"/>
              <w:bottom w:val="nil"/>
              <w:right w:val="nil"/>
            </w:tcBorders>
            <w:vAlign w:val="center"/>
          </w:tcPr>
          <w:p w14:paraId="68041818"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Residence</w:t>
            </w:r>
            <w:proofErr w:type="spellEnd"/>
          </w:p>
        </w:tc>
        <w:tc>
          <w:tcPr>
            <w:tcW w:w="1672" w:type="dxa"/>
            <w:tcBorders>
              <w:left w:val="nil"/>
              <w:bottom w:val="nil"/>
              <w:right w:val="nil"/>
            </w:tcBorders>
            <w:vAlign w:val="center"/>
          </w:tcPr>
          <w:p w14:paraId="001D4383" w14:textId="77777777" w:rsidR="00EA3564" w:rsidRPr="00102E66" w:rsidRDefault="00EA3564" w:rsidP="00FD45DE">
            <w:pPr>
              <w:jc w:val="center"/>
              <w:rPr>
                <w:rFonts w:ascii="Arial" w:hAnsi="Arial" w:cs="Arial"/>
                <w:color w:val="auto"/>
              </w:rPr>
            </w:pPr>
          </w:p>
        </w:tc>
        <w:tc>
          <w:tcPr>
            <w:tcW w:w="1899" w:type="dxa"/>
            <w:tcBorders>
              <w:left w:val="nil"/>
              <w:bottom w:val="nil"/>
              <w:right w:val="nil"/>
            </w:tcBorders>
            <w:vAlign w:val="center"/>
          </w:tcPr>
          <w:p w14:paraId="7DB3B68D" w14:textId="77777777" w:rsidR="00EA3564" w:rsidRPr="00102E66" w:rsidRDefault="00EA3564" w:rsidP="00FD45DE">
            <w:pPr>
              <w:jc w:val="center"/>
              <w:rPr>
                <w:rFonts w:ascii="Arial" w:hAnsi="Arial" w:cs="Arial"/>
                <w:color w:val="auto"/>
              </w:rPr>
            </w:pPr>
          </w:p>
        </w:tc>
        <w:tc>
          <w:tcPr>
            <w:tcW w:w="1890" w:type="dxa"/>
            <w:tcBorders>
              <w:left w:val="nil"/>
              <w:bottom w:val="nil"/>
              <w:right w:val="nil"/>
            </w:tcBorders>
            <w:vAlign w:val="center"/>
          </w:tcPr>
          <w:p w14:paraId="726F47BE" w14:textId="77777777" w:rsidR="00EA3564" w:rsidRPr="00102E66" w:rsidRDefault="00EA3564" w:rsidP="00FD45DE">
            <w:pPr>
              <w:jc w:val="center"/>
              <w:rPr>
                <w:rFonts w:ascii="Arial" w:hAnsi="Arial" w:cs="Arial"/>
                <w:color w:val="auto"/>
              </w:rPr>
            </w:pPr>
          </w:p>
        </w:tc>
        <w:tc>
          <w:tcPr>
            <w:tcW w:w="1846" w:type="dxa"/>
            <w:tcBorders>
              <w:left w:val="nil"/>
              <w:bottom w:val="nil"/>
              <w:right w:val="nil"/>
            </w:tcBorders>
            <w:vAlign w:val="center"/>
          </w:tcPr>
          <w:p w14:paraId="32202A4D" w14:textId="77777777" w:rsidR="00EA3564" w:rsidRPr="00102E66" w:rsidRDefault="00EA3564" w:rsidP="00FD45DE">
            <w:pPr>
              <w:jc w:val="center"/>
              <w:rPr>
                <w:rFonts w:ascii="Arial" w:hAnsi="Arial" w:cs="Arial"/>
                <w:color w:val="auto"/>
              </w:rPr>
            </w:pPr>
          </w:p>
        </w:tc>
      </w:tr>
      <w:tr w:rsidR="00EA3564" w:rsidRPr="00102E66" w14:paraId="30E46816" w14:textId="77777777" w:rsidTr="00A70636">
        <w:trPr>
          <w:trHeight w:val="55"/>
        </w:trPr>
        <w:tc>
          <w:tcPr>
            <w:tcW w:w="2552" w:type="dxa"/>
            <w:tcBorders>
              <w:top w:val="nil"/>
              <w:left w:val="nil"/>
              <w:bottom w:val="nil"/>
              <w:right w:val="nil"/>
            </w:tcBorders>
            <w:vAlign w:val="center"/>
          </w:tcPr>
          <w:p w14:paraId="01A6B21E" w14:textId="77777777" w:rsidR="00EA3564" w:rsidRPr="00102E66" w:rsidRDefault="00EA3564" w:rsidP="00EA3564">
            <w:pPr>
              <w:rPr>
                <w:rFonts w:ascii="Arial" w:hAnsi="Arial" w:cs="Arial"/>
                <w:color w:val="auto"/>
              </w:rPr>
            </w:pPr>
            <w:r w:rsidRPr="00102E66">
              <w:rPr>
                <w:rFonts w:ascii="Arial" w:hAnsi="Arial" w:cs="Arial"/>
                <w:color w:val="auto"/>
                <w:lang w:val="en-US"/>
              </w:rPr>
              <w:t>Urban</w:t>
            </w:r>
          </w:p>
        </w:tc>
        <w:tc>
          <w:tcPr>
            <w:tcW w:w="1672" w:type="dxa"/>
            <w:tcBorders>
              <w:top w:val="nil"/>
              <w:left w:val="nil"/>
              <w:bottom w:val="nil"/>
              <w:right w:val="nil"/>
            </w:tcBorders>
            <w:vAlign w:val="center"/>
          </w:tcPr>
          <w:p w14:paraId="730BE477" w14:textId="77777777" w:rsidR="00EA3564" w:rsidRPr="00102E66" w:rsidRDefault="00EA3564" w:rsidP="00FD45DE">
            <w:pPr>
              <w:jc w:val="center"/>
              <w:rPr>
                <w:rFonts w:ascii="Arial" w:hAnsi="Arial" w:cs="Arial"/>
                <w:color w:val="auto"/>
              </w:rPr>
            </w:pPr>
            <w:r w:rsidRPr="00102E66">
              <w:rPr>
                <w:rFonts w:ascii="Arial" w:hAnsi="Arial" w:cs="Arial"/>
                <w:color w:val="auto"/>
              </w:rPr>
              <w:t>152 (87.6)</w:t>
            </w:r>
          </w:p>
        </w:tc>
        <w:tc>
          <w:tcPr>
            <w:tcW w:w="1899" w:type="dxa"/>
            <w:tcBorders>
              <w:top w:val="nil"/>
              <w:left w:val="nil"/>
              <w:bottom w:val="nil"/>
              <w:right w:val="nil"/>
            </w:tcBorders>
            <w:vAlign w:val="center"/>
          </w:tcPr>
          <w:p w14:paraId="2A489295" w14:textId="77777777" w:rsidR="00EA3564" w:rsidRPr="00102E66" w:rsidRDefault="00EA3564" w:rsidP="00FD45DE">
            <w:pPr>
              <w:jc w:val="center"/>
              <w:rPr>
                <w:rFonts w:ascii="Arial" w:hAnsi="Arial" w:cs="Arial"/>
                <w:color w:val="auto"/>
              </w:rPr>
            </w:pPr>
            <w:r w:rsidRPr="00102E66">
              <w:rPr>
                <w:rFonts w:ascii="Arial" w:hAnsi="Arial" w:cs="Arial"/>
                <w:color w:val="auto"/>
              </w:rPr>
              <w:t>105 (69.1)</w:t>
            </w:r>
          </w:p>
        </w:tc>
        <w:tc>
          <w:tcPr>
            <w:tcW w:w="1890" w:type="dxa"/>
            <w:tcBorders>
              <w:top w:val="nil"/>
              <w:left w:val="nil"/>
              <w:bottom w:val="nil"/>
              <w:right w:val="nil"/>
            </w:tcBorders>
            <w:vAlign w:val="center"/>
          </w:tcPr>
          <w:p w14:paraId="3D2C2BFB" w14:textId="77777777" w:rsidR="00EA3564" w:rsidRPr="00102E66" w:rsidRDefault="00EA3564" w:rsidP="00FD45DE">
            <w:pPr>
              <w:jc w:val="center"/>
              <w:rPr>
                <w:rFonts w:ascii="Arial" w:hAnsi="Arial" w:cs="Arial"/>
                <w:color w:val="auto"/>
              </w:rPr>
            </w:pPr>
            <w:r w:rsidRPr="00102E66">
              <w:rPr>
                <w:rFonts w:ascii="Arial" w:hAnsi="Arial" w:cs="Arial"/>
                <w:color w:val="auto"/>
              </w:rPr>
              <w:t>47 (30.9)</w:t>
            </w:r>
          </w:p>
        </w:tc>
        <w:tc>
          <w:tcPr>
            <w:tcW w:w="1846" w:type="dxa"/>
            <w:tcBorders>
              <w:top w:val="nil"/>
              <w:left w:val="nil"/>
              <w:bottom w:val="nil"/>
              <w:right w:val="nil"/>
            </w:tcBorders>
            <w:vAlign w:val="center"/>
          </w:tcPr>
          <w:p w14:paraId="62A00B75" w14:textId="77777777" w:rsidR="00EA3564" w:rsidRPr="00102E66" w:rsidRDefault="00EA3564" w:rsidP="00FD45DE">
            <w:pPr>
              <w:jc w:val="center"/>
              <w:rPr>
                <w:rFonts w:ascii="Arial" w:hAnsi="Arial" w:cs="Arial"/>
                <w:color w:val="auto"/>
              </w:rPr>
            </w:pPr>
            <w:r w:rsidRPr="00102E66">
              <w:rPr>
                <w:rFonts w:ascii="Arial" w:hAnsi="Arial" w:cs="Arial"/>
                <w:color w:val="auto"/>
              </w:rPr>
              <w:t>0.377</w:t>
            </w:r>
          </w:p>
        </w:tc>
      </w:tr>
      <w:tr w:rsidR="00EA3564" w:rsidRPr="00102E66" w14:paraId="55C86B85" w14:textId="77777777" w:rsidTr="00A70636">
        <w:trPr>
          <w:trHeight w:val="85"/>
        </w:trPr>
        <w:tc>
          <w:tcPr>
            <w:tcW w:w="2552" w:type="dxa"/>
            <w:tcBorders>
              <w:top w:val="nil"/>
              <w:left w:val="nil"/>
              <w:bottom w:val="single" w:sz="4" w:space="0" w:color="auto"/>
              <w:right w:val="nil"/>
            </w:tcBorders>
            <w:vAlign w:val="center"/>
          </w:tcPr>
          <w:p w14:paraId="4579F300" w14:textId="77777777" w:rsidR="00EA3564" w:rsidRPr="00102E66" w:rsidRDefault="00EA3564" w:rsidP="00EA3564">
            <w:pPr>
              <w:rPr>
                <w:rFonts w:ascii="Arial" w:hAnsi="Arial" w:cs="Arial"/>
                <w:color w:val="auto"/>
              </w:rPr>
            </w:pPr>
            <w:r w:rsidRPr="00102E66">
              <w:rPr>
                <w:rFonts w:ascii="Arial" w:hAnsi="Arial" w:cs="Arial"/>
                <w:color w:val="auto"/>
              </w:rPr>
              <w:t>Rural</w:t>
            </w:r>
          </w:p>
        </w:tc>
        <w:tc>
          <w:tcPr>
            <w:tcW w:w="1672" w:type="dxa"/>
            <w:tcBorders>
              <w:top w:val="nil"/>
              <w:left w:val="nil"/>
              <w:bottom w:val="single" w:sz="4" w:space="0" w:color="auto"/>
              <w:right w:val="nil"/>
            </w:tcBorders>
            <w:vAlign w:val="center"/>
          </w:tcPr>
          <w:p w14:paraId="726C2D20" w14:textId="77777777" w:rsidR="00EA3564" w:rsidRPr="00102E66" w:rsidRDefault="00EA3564" w:rsidP="00FD45DE">
            <w:pPr>
              <w:jc w:val="center"/>
              <w:rPr>
                <w:rFonts w:ascii="Arial" w:hAnsi="Arial" w:cs="Arial"/>
                <w:color w:val="auto"/>
              </w:rPr>
            </w:pPr>
            <w:r w:rsidRPr="00102E66">
              <w:rPr>
                <w:rFonts w:ascii="Arial" w:hAnsi="Arial" w:cs="Arial"/>
                <w:color w:val="auto"/>
              </w:rPr>
              <w:t>21.0 (12.4)</w:t>
            </w:r>
          </w:p>
        </w:tc>
        <w:tc>
          <w:tcPr>
            <w:tcW w:w="1899" w:type="dxa"/>
            <w:tcBorders>
              <w:top w:val="nil"/>
              <w:left w:val="nil"/>
              <w:bottom w:val="single" w:sz="4" w:space="0" w:color="auto"/>
              <w:right w:val="nil"/>
            </w:tcBorders>
            <w:vAlign w:val="center"/>
          </w:tcPr>
          <w:p w14:paraId="3B0C1492" w14:textId="77777777" w:rsidR="00EA3564" w:rsidRPr="00102E66" w:rsidRDefault="00EA3564" w:rsidP="00FD45DE">
            <w:pPr>
              <w:jc w:val="center"/>
              <w:rPr>
                <w:rFonts w:ascii="Arial" w:hAnsi="Arial" w:cs="Arial"/>
                <w:color w:val="auto"/>
              </w:rPr>
            </w:pPr>
            <w:r w:rsidRPr="00102E66">
              <w:rPr>
                <w:rFonts w:ascii="Arial" w:hAnsi="Arial" w:cs="Arial"/>
                <w:color w:val="auto"/>
              </w:rPr>
              <w:t>14 (64.7)</w:t>
            </w:r>
          </w:p>
        </w:tc>
        <w:tc>
          <w:tcPr>
            <w:tcW w:w="1890" w:type="dxa"/>
            <w:tcBorders>
              <w:top w:val="nil"/>
              <w:left w:val="nil"/>
              <w:bottom w:val="single" w:sz="4" w:space="0" w:color="auto"/>
              <w:right w:val="nil"/>
            </w:tcBorders>
            <w:vAlign w:val="center"/>
          </w:tcPr>
          <w:p w14:paraId="597DE6E6" w14:textId="77777777" w:rsidR="00EA3564" w:rsidRPr="00102E66" w:rsidRDefault="00EA3564" w:rsidP="00FD45DE">
            <w:pPr>
              <w:jc w:val="center"/>
              <w:rPr>
                <w:rFonts w:ascii="Arial" w:hAnsi="Arial" w:cs="Arial"/>
                <w:color w:val="auto"/>
              </w:rPr>
            </w:pPr>
            <w:r w:rsidRPr="00102E66">
              <w:rPr>
                <w:rFonts w:ascii="Arial" w:hAnsi="Arial" w:cs="Arial"/>
                <w:color w:val="auto"/>
              </w:rPr>
              <w:t>7 (33.3)</w:t>
            </w:r>
          </w:p>
        </w:tc>
        <w:tc>
          <w:tcPr>
            <w:tcW w:w="1846" w:type="dxa"/>
            <w:tcBorders>
              <w:top w:val="nil"/>
              <w:left w:val="nil"/>
              <w:bottom w:val="single" w:sz="4" w:space="0" w:color="auto"/>
              <w:right w:val="nil"/>
            </w:tcBorders>
            <w:vAlign w:val="center"/>
          </w:tcPr>
          <w:p w14:paraId="4E0FF8CB" w14:textId="77777777" w:rsidR="00EA3564" w:rsidRPr="00102E66" w:rsidRDefault="00EA3564" w:rsidP="00FD45DE">
            <w:pPr>
              <w:jc w:val="center"/>
              <w:rPr>
                <w:rFonts w:ascii="Arial" w:hAnsi="Arial" w:cs="Arial"/>
                <w:color w:val="auto"/>
              </w:rPr>
            </w:pPr>
          </w:p>
        </w:tc>
      </w:tr>
      <w:tr w:rsidR="00EA3564" w:rsidRPr="00102E66" w14:paraId="48FC7C67" w14:textId="77777777" w:rsidTr="00A70636">
        <w:trPr>
          <w:trHeight w:val="48"/>
        </w:trPr>
        <w:tc>
          <w:tcPr>
            <w:tcW w:w="2552" w:type="dxa"/>
            <w:tcBorders>
              <w:top w:val="single" w:sz="4" w:space="0" w:color="auto"/>
              <w:left w:val="nil"/>
              <w:bottom w:val="nil"/>
              <w:right w:val="nil"/>
            </w:tcBorders>
            <w:vAlign w:val="center"/>
          </w:tcPr>
          <w:p w14:paraId="04D1BD1D" w14:textId="77777777" w:rsidR="00EA3564" w:rsidRPr="00102E66" w:rsidRDefault="00EA3564" w:rsidP="00EA3564">
            <w:pPr>
              <w:rPr>
                <w:rFonts w:ascii="Arial" w:hAnsi="Arial" w:cs="Arial"/>
                <w:b/>
                <w:color w:val="auto"/>
              </w:rPr>
            </w:pPr>
            <w:r w:rsidRPr="00102E66">
              <w:rPr>
                <w:rFonts w:ascii="Arial" w:hAnsi="Arial" w:cs="Arial"/>
                <w:b/>
                <w:color w:val="auto"/>
              </w:rPr>
              <w:t>Profession</w:t>
            </w:r>
          </w:p>
        </w:tc>
        <w:tc>
          <w:tcPr>
            <w:tcW w:w="1672" w:type="dxa"/>
            <w:tcBorders>
              <w:top w:val="single" w:sz="4" w:space="0" w:color="auto"/>
              <w:left w:val="nil"/>
              <w:bottom w:val="nil"/>
              <w:right w:val="nil"/>
            </w:tcBorders>
            <w:vAlign w:val="center"/>
          </w:tcPr>
          <w:p w14:paraId="7D50B54F" w14:textId="77777777" w:rsidR="00EA3564" w:rsidRPr="00102E66" w:rsidRDefault="00EA3564" w:rsidP="00FD45DE">
            <w:pPr>
              <w:jc w:val="center"/>
              <w:rPr>
                <w:rFonts w:ascii="Arial" w:hAnsi="Arial" w:cs="Arial"/>
                <w:b/>
                <w:color w:val="auto"/>
              </w:rPr>
            </w:pPr>
          </w:p>
        </w:tc>
        <w:tc>
          <w:tcPr>
            <w:tcW w:w="1899" w:type="dxa"/>
            <w:tcBorders>
              <w:top w:val="single" w:sz="4" w:space="0" w:color="auto"/>
              <w:left w:val="nil"/>
              <w:bottom w:val="nil"/>
              <w:right w:val="nil"/>
            </w:tcBorders>
            <w:vAlign w:val="center"/>
          </w:tcPr>
          <w:p w14:paraId="1C48853F" w14:textId="77777777" w:rsidR="00EA3564" w:rsidRPr="00102E66" w:rsidRDefault="00EA3564" w:rsidP="00FD45DE">
            <w:pPr>
              <w:jc w:val="center"/>
              <w:rPr>
                <w:rFonts w:ascii="Arial" w:hAnsi="Arial" w:cs="Arial"/>
                <w:b/>
                <w:color w:val="auto"/>
              </w:rPr>
            </w:pPr>
          </w:p>
        </w:tc>
        <w:tc>
          <w:tcPr>
            <w:tcW w:w="1890" w:type="dxa"/>
            <w:tcBorders>
              <w:top w:val="single" w:sz="4" w:space="0" w:color="auto"/>
              <w:left w:val="nil"/>
              <w:bottom w:val="nil"/>
              <w:right w:val="nil"/>
            </w:tcBorders>
            <w:vAlign w:val="center"/>
          </w:tcPr>
          <w:p w14:paraId="252C8AF2" w14:textId="77777777" w:rsidR="00EA3564" w:rsidRPr="00102E66" w:rsidRDefault="00EA3564" w:rsidP="00FD45DE">
            <w:pPr>
              <w:jc w:val="center"/>
              <w:rPr>
                <w:rFonts w:ascii="Arial" w:hAnsi="Arial" w:cs="Arial"/>
                <w:b/>
                <w:color w:val="auto"/>
              </w:rPr>
            </w:pPr>
          </w:p>
        </w:tc>
        <w:tc>
          <w:tcPr>
            <w:tcW w:w="1846" w:type="dxa"/>
            <w:tcBorders>
              <w:top w:val="single" w:sz="4" w:space="0" w:color="auto"/>
              <w:left w:val="nil"/>
              <w:bottom w:val="nil"/>
              <w:right w:val="nil"/>
            </w:tcBorders>
            <w:vAlign w:val="center"/>
          </w:tcPr>
          <w:p w14:paraId="38DB1D36" w14:textId="77777777" w:rsidR="00EA3564" w:rsidRPr="00102E66" w:rsidRDefault="00EA3564" w:rsidP="00FD45DE">
            <w:pPr>
              <w:jc w:val="center"/>
              <w:rPr>
                <w:rFonts w:ascii="Arial" w:hAnsi="Arial" w:cs="Arial"/>
                <w:color w:val="auto"/>
              </w:rPr>
            </w:pPr>
          </w:p>
        </w:tc>
      </w:tr>
      <w:tr w:rsidR="00EA3564" w:rsidRPr="00102E66" w14:paraId="4ADE91B0" w14:textId="77777777" w:rsidTr="00A70636">
        <w:trPr>
          <w:trHeight w:val="168"/>
        </w:trPr>
        <w:tc>
          <w:tcPr>
            <w:tcW w:w="2552" w:type="dxa"/>
            <w:tcBorders>
              <w:top w:val="nil"/>
              <w:left w:val="nil"/>
              <w:bottom w:val="nil"/>
              <w:right w:val="nil"/>
            </w:tcBorders>
            <w:vAlign w:val="center"/>
          </w:tcPr>
          <w:p w14:paraId="193D68D1"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Students</w:t>
            </w:r>
            <w:proofErr w:type="spellEnd"/>
          </w:p>
        </w:tc>
        <w:tc>
          <w:tcPr>
            <w:tcW w:w="1672" w:type="dxa"/>
            <w:tcBorders>
              <w:top w:val="nil"/>
              <w:left w:val="nil"/>
              <w:bottom w:val="nil"/>
              <w:right w:val="nil"/>
            </w:tcBorders>
            <w:vAlign w:val="center"/>
          </w:tcPr>
          <w:p w14:paraId="63EAD4E4" w14:textId="77777777" w:rsidR="00EA3564" w:rsidRPr="00102E66" w:rsidRDefault="00EA3564" w:rsidP="00FD45DE">
            <w:pPr>
              <w:jc w:val="center"/>
              <w:rPr>
                <w:rFonts w:ascii="Arial" w:hAnsi="Arial" w:cs="Arial"/>
                <w:color w:val="auto"/>
              </w:rPr>
            </w:pPr>
            <w:r w:rsidRPr="00102E66">
              <w:rPr>
                <w:rFonts w:ascii="Arial" w:hAnsi="Arial" w:cs="Arial"/>
                <w:color w:val="auto"/>
              </w:rPr>
              <w:t>75 (43.4)</w:t>
            </w:r>
          </w:p>
        </w:tc>
        <w:tc>
          <w:tcPr>
            <w:tcW w:w="1899" w:type="dxa"/>
            <w:tcBorders>
              <w:top w:val="nil"/>
              <w:left w:val="nil"/>
              <w:bottom w:val="nil"/>
              <w:right w:val="nil"/>
            </w:tcBorders>
            <w:vAlign w:val="center"/>
          </w:tcPr>
          <w:p w14:paraId="42F62D28" w14:textId="77777777" w:rsidR="00EA3564" w:rsidRPr="00102E66" w:rsidRDefault="00EA3564" w:rsidP="00FD45DE">
            <w:pPr>
              <w:jc w:val="center"/>
              <w:rPr>
                <w:rFonts w:ascii="Arial" w:hAnsi="Arial" w:cs="Arial"/>
                <w:color w:val="auto"/>
              </w:rPr>
            </w:pPr>
            <w:r w:rsidRPr="00102E66">
              <w:rPr>
                <w:rFonts w:ascii="Arial" w:hAnsi="Arial" w:cs="Arial"/>
                <w:color w:val="auto"/>
              </w:rPr>
              <w:t>40 (53.3)</w:t>
            </w:r>
          </w:p>
        </w:tc>
        <w:tc>
          <w:tcPr>
            <w:tcW w:w="1890" w:type="dxa"/>
            <w:tcBorders>
              <w:top w:val="nil"/>
              <w:left w:val="nil"/>
              <w:bottom w:val="nil"/>
              <w:right w:val="nil"/>
            </w:tcBorders>
            <w:vAlign w:val="center"/>
          </w:tcPr>
          <w:p w14:paraId="792F3ACF" w14:textId="77777777" w:rsidR="00EA3564" w:rsidRPr="00102E66" w:rsidRDefault="00EA3564" w:rsidP="00FD45DE">
            <w:pPr>
              <w:jc w:val="center"/>
              <w:rPr>
                <w:rFonts w:ascii="Arial" w:hAnsi="Arial" w:cs="Arial"/>
                <w:color w:val="auto"/>
              </w:rPr>
            </w:pPr>
            <w:r w:rsidRPr="00102E66">
              <w:rPr>
                <w:rFonts w:ascii="Arial" w:hAnsi="Arial" w:cs="Arial"/>
                <w:color w:val="auto"/>
              </w:rPr>
              <w:t>35 (46.7)</w:t>
            </w:r>
          </w:p>
        </w:tc>
        <w:tc>
          <w:tcPr>
            <w:tcW w:w="1846" w:type="dxa"/>
            <w:tcBorders>
              <w:top w:val="nil"/>
              <w:left w:val="nil"/>
              <w:bottom w:val="nil"/>
              <w:right w:val="nil"/>
            </w:tcBorders>
            <w:vAlign w:val="center"/>
          </w:tcPr>
          <w:p w14:paraId="23F00AE4" w14:textId="77777777" w:rsidR="00EA3564" w:rsidRPr="00102E66" w:rsidRDefault="00EA3564" w:rsidP="00FD45DE">
            <w:pPr>
              <w:jc w:val="center"/>
              <w:rPr>
                <w:rFonts w:ascii="Arial" w:hAnsi="Arial" w:cs="Arial"/>
                <w:color w:val="auto"/>
              </w:rPr>
            </w:pPr>
            <w:r w:rsidRPr="00102E66">
              <w:rPr>
                <w:rFonts w:ascii="Arial" w:hAnsi="Arial" w:cs="Arial"/>
                <w:color w:val="auto"/>
              </w:rPr>
              <w:t>0.146</w:t>
            </w:r>
          </w:p>
        </w:tc>
      </w:tr>
      <w:tr w:rsidR="00EA3564" w:rsidRPr="00102E66" w14:paraId="1F2113B3" w14:textId="77777777" w:rsidTr="00A70636">
        <w:trPr>
          <w:trHeight w:val="68"/>
        </w:trPr>
        <w:tc>
          <w:tcPr>
            <w:tcW w:w="2552" w:type="dxa"/>
            <w:tcBorders>
              <w:top w:val="nil"/>
              <w:left w:val="nil"/>
              <w:bottom w:val="nil"/>
              <w:right w:val="nil"/>
            </w:tcBorders>
          </w:tcPr>
          <w:p w14:paraId="5787E401"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Housewives</w:t>
            </w:r>
            <w:proofErr w:type="spellEnd"/>
          </w:p>
        </w:tc>
        <w:tc>
          <w:tcPr>
            <w:tcW w:w="1672" w:type="dxa"/>
            <w:tcBorders>
              <w:top w:val="nil"/>
              <w:left w:val="nil"/>
              <w:bottom w:val="nil"/>
              <w:right w:val="nil"/>
            </w:tcBorders>
            <w:vAlign w:val="center"/>
          </w:tcPr>
          <w:p w14:paraId="1342D6C1" w14:textId="77777777" w:rsidR="00EA3564" w:rsidRPr="00102E66" w:rsidRDefault="00EA3564" w:rsidP="00FD45DE">
            <w:pPr>
              <w:jc w:val="center"/>
              <w:rPr>
                <w:rFonts w:ascii="Arial" w:hAnsi="Arial" w:cs="Arial"/>
                <w:color w:val="auto"/>
              </w:rPr>
            </w:pPr>
            <w:r w:rsidRPr="00102E66">
              <w:rPr>
                <w:rFonts w:ascii="Arial" w:hAnsi="Arial" w:cs="Arial"/>
                <w:color w:val="auto"/>
              </w:rPr>
              <w:t>37 (21.4)</w:t>
            </w:r>
          </w:p>
        </w:tc>
        <w:tc>
          <w:tcPr>
            <w:tcW w:w="1899" w:type="dxa"/>
            <w:tcBorders>
              <w:top w:val="nil"/>
              <w:left w:val="nil"/>
              <w:bottom w:val="nil"/>
              <w:right w:val="nil"/>
            </w:tcBorders>
            <w:vAlign w:val="center"/>
          </w:tcPr>
          <w:p w14:paraId="06355C2B" w14:textId="77777777" w:rsidR="00EA3564" w:rsidRPr="00102E66" w:rsidRDefault="00EA3564" w:rsidP="00FD45DE">
            <w:pPr>
              <w:jc w:val="center"/>
              <w:rPr>
                <w:rFonts w:ascii="Arial" w:hAnsi="Arial" w:cs="Arial"/>
                <w:color w:val="auto"/>
              </w:rPr>
            </w:pPr>
            <w:r w:rsidRPr="00102E66">
              <w:rPr>
                <w:rFonts w:ascii="Arial" w:hAnsi="Arial" w:cs="Arial"/>
                <w:color w:val="auto"/>
              </w:rPr>
              <w:t>29 (78.4)</w:t>
            </w:r>
          </w:p>
        </w:tc>
        <w:tc>
          <w:tcPr>
            <w:tcW w:w="1890" w:type="dxa"/>
            <w:tcBorders>
              <w:top w:val="nil"/>
              <w:left w:val="nil"/>
              <w:bottom w:val="nil"/>
              <w:right w:val="nil"/>
            </w:tcBorders>
            <w:vAlign w:val="center"/>
          </w:tcPr>
          <w:p w14:paraId="481D9DFC" w14:textId="77777777" w:rsidR="00EA3564" w:rsidRPr="00102E66" w:rsidRDefault="00EA3564" w:rsidP="00FD45DE">
            <w:pPr>
              <w:jc w:val="center"/>
              <w:rPr>
                <w:rFonts w:ascii="Arial" w:hAnsi="Arial" w:cs="Arial"/>
                <w:color w:val="auto"/>
              </w:rPr>
            </w:pPr>
            <w:r w:rsidRPr="00102E66">
              <w:rPr>
                <w:rFonts w:ascii="Arial" w:hAnsi="Arial" w:cs="Arial"/>
                <w:color w:val="auto"/>
              </w:rPr>
              <w:t>8 (21.6)</w:t>
            </w:r>
          </w:p>
        </w:tc>
        <w:tc>
          <w:tcPr>
            <w:tcW w:w="1846" w:type="dxa"/>
            <w:tcBorders>
              <w:top w:val="nil"/>
              <w:left w:val="nil"/>
              <w:bottom w:val="nil"/>
              <w:right w:val="nil"/>
            </w:tcBorders>
            <w:vAlign w:val="center"/>
          </w:tcPr>
          <w:p w14:paraId="3342A783" w14:textId="77777777" w:rsidR="00EA3564" w:rsidRPr="00102E66" w:rsidRDefault="00EA3564" w:rsidP="00FD45DE">
            <w:pPr>
              <w:jc w:val="center"/>
              <w:rPr>
                <w:rFonts w:ascii="Arial" w:hAnsi="Arial" w:cs="Arial"/>
                <w:color w:val="auto"/>
              </w:rPr>
            </w:pPr>
          </w:p>
        </w:tc>
      </w:tr>
      <w:tr w:rsidR="00EA3564" w:rsidRPr="00102E66" w14:paraId="122E623F" w14:textId="77777777" w:rsidTr="00A70636">
        <w:trPr>
          <w:trHeight w:val="122"/>
        </w:trPr>
        <w:tc>
          <w:tcPr>
            <w:tcW w:w="2552" w:type="dxa"/>
            <w:tcBorders>
              <w:top w:val="nil"/>
              <w:left w:val="nil"/>
              <w:bottom w:val="nil"/>
              <w:right w:val="nil"/>
            </w:tcBorders>
          </w:tcPr>
          <w:p w14:paraId="52FD7BF7" w14:textId="77777777" w:rsidR="00EA3564" w:rsidRPr="00102E66" w:rsidRDefault="00EA3564" w:rsidP="00EA3564">
            <w:pPr>
              <w:rPr>
                <w:rFonts w:ascii="Arial" w:hAnsi="Arial" w:cs="Arial"/>
                <w:color w:val="auto"/>
              </w:rPr>
            </w:pPr>
            <w:r w:rsidRPr="00102E66">
              <w:rPr>
                <w:rFonts w:ascii="Arial" w:hAnsi="Arial" w:cs="Arial"/>
                <w:color w:val="auto"/>
              </w:rPr>
              <w:t>Business</w:t>
            </w:r>
          </w:p>
        </w:tc>
        <w:tc>
          <w:tcPr>
            <w:tcW w:w="1672" w:type="dxa"/>
            <w:tcBorders>
              <w:top w:val="nil"/>
              <w:left w:val="nil"/>
              <w:bottom w:val="nil"/>
              <w:right w:val="nil"/>
            </w:tcBorders>
            <w:vAlign w:val="center"/>
          </w:tcPr>
          <w:p w14:paraId="61898693" w14:textId="77777777" w:rsidR="00EA3564" w:rsidRPr="00102E66" w:rsidRDefault="00EA3564" w:rsidP="00FD45DE">
            <w:pPr>
              <w:jc w:val="center"/>
              <w:rPr>
                <w:rFonts w:ascii="Arial" w:hAnsi="Arial" w:cs="Arial"/>
                <w:color w:val="auto"/>
              </w:rPr>
            </w:pPr>
            <w:r w:rsidRPr="00102E66">
              <w:rPr>
                <w:rFonts w:ascii="Arial" w:hAnsi="Arial" w:cs="Arial"/>
                <w:color w:val="auto"/>
              </w:rPr>
              <w:t>15 (8.7)</w:t>
            </w:r>
          </w:p>
        </w:tc>
        <w:tc>
          <w:tcPr>
            <w:tcW w:w="1899" w:type="dxa"/>
            <w:tcBorders>
              <w:top w:val="nil"/>
              <w:left w:val="nil"/>
              <w:bottom w:val="nil"/>
              <w:right w:val="nil"/>
            </w:tcBorders>
            <w:vAlign w:val="center"/>
          </w:tcPr>
          <w:p w14:paraId="73FC990E" w14:textId="77777777" w:rsidR="00EA3564" w:rsidRPr="00102E66" w:rsidRDefault="00EA3564" w:rsidP="00FD45DE">
            <w:pPr>
              <w:jc w:val="center"/>
              <w:rPr>
                <w:rFonts w:ascii="Arial" w:hAnsi="Arial" w:cs="Arial"/>
                <w:color w:val="auto"/>
              </w:rPr>
            </w:pPr>
            <w:r w:rsidRPr="00102E66">
              <w:rPr>
                <w:rFonts w:ascii="Arial" w:hAnsi="Arial" w:cs="Arial"/>
                <w:color w:val="auto"/>
              </w:rPr>
              <w:t>15 (100.0)</w:t>
            </w:r>
          </w:p>
        </w:tc>
        <w:tc>
          <w:tcPr>
            <w:tcW w:w="1890" w:type="dxa"/>
            <w:tcBorders>
              <w:top w:val="nil"/>
              <w:left w:val="nil"/>
              <w:bottom w:val="nil"/>
              <w:right w:val="nil"/>
            </w:tcBorders>
            <w:vAlign w:val="center"/>
          </w:tcPr>
          <w:p w14:paraId="3C889E41"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602BFA4E" w14:textId="77777777" w:rsidR="00EA3564" w:rsidRPr="00102E66" w:rsidRDefault="00EA3564" w:rsidP="00FD45DE">
            <w:pPr>
              <w:jc w:val="center"/>
              <w:rPr>
                <w:rFonts w:ascii="Arial" w:hAnsi="Arial" w:cs="Arial"/>
                <w:color w:val="auto"/>
              </w:rPr>
            </w:pPr>
          </w:p>
        </w:tc>
      </w:tr>
      <w:tr w:rsidR="00EA3564" w:rsidRPr="00102E66" w14:paraId="4E306527" w14:textId="77777777" w:rsidTr="00A70636">
        <w:trPr>
          <w:trHeight w:val="163"/>
        </w:trPr>
        <w:tc>
          <w:tcPr>
            <w:tcW w:w="2552" w:type="dxa"/>
            <w:tcBorders>
              <w:top w:val="nil"/>
              <w:left w:val="nil"/>
              <w:bottom w:val="nil"/>
              <w:right w:val="nil"/>
            </w:tcBorders>
          </w:tcPr>
          <w:p w14:paraId="187BD18C" w14:textId="77777777" w:rsidR="00EA3564" w:rsidRPr="00102E66" w:rsidRDefault="00EA3564" w:rsidP="00EA3564">
            <w:pPr>
              <w:rPr>
                <w:rFonts w:ascii="Arial" w:hAnsi="Arial" w:cs="Arial"/>
                <w:color w:val="auto"/>
              </w:rPr>
            </w:pPr>
            <w:r w:rsidRPr="00102E66">
              <w:rPr>
                <w:rFonts w:ascii="Arial" w:hAnsi="Arial" w:cs="Arial"/>
                <w:color w:val="auto"/>
              </w:rPr>
              <w:t>Farmers</w:t>
            </w:r>
          </w:p>
        </w:tc>
        <w:tc>
          <w:tcPr>
            <w:tcW w:w="1672" w:type="dxa"/>
            <w:tcBorders>
              <w:top w:val="nil"/>
              <w:left w:val="nil"/>
              <w:bottom w:val="nil"/>
              <w:right w:val="nil"/>
            </w:tcBorders>
            <w:vAlign w:val="center"/>
          </w:tcPr>
          <w:p w14:paraId="6122A659" w14:textId="77777777" w:rsidR="00EA3564" w:rsidRPr="00102E66" w:rsidRDefault="00EA3564" w:rsidP="00FD45DE">
            <w:pPr>
              <w:jc w:val="center"/>
              <w:rPr>
                <w:rFonts w:ascii="Arial" w:hAnsi="Arial" w:cs="Arial"/>
                <w:color w:val="auto"/>
              </w:rPr>
            </w:pPr>
            <w:r w:rsidRPr="00102E66">
              <w:rPr>
                <w:rFonts w:ascii="Arial" w:hAnsi="Arial" w:cs="Arial"/>
                <w:color w:val="auto"/>
              </w:rPr>
              <w:t>14 (8.1)</w:t>
            </w:r>
          </w:p>
        </w:tc>
        <w:tc>
          <w:tcPr>
            <w:tcW w:w="1899" w:type="dxa"/>
            <w:tcBorders>
              <w:top w:val="nil"/>
              <w:left w:val="nil"/>
              <w:bottom w:val="nil"/>
              <w:right w:val="nil"/>
            </w:tcBorders>
            <w:vAlign w:val="center"/>
          </w:tcPr>
          <w:p w14:paraId="095490E8" w14:textId="77777777" w:rsidR="00EA3564" w:rsidRPr="00102E66" w:rsidRDefault="00EA3564" w:rsidP="00FD45DE">
            <w:pPr>
              <w:jc w:val="center"/>
              <w:rPr>
                <w:rFonts w:ascii="Arial" w:hAnsi="Arial" w:cs="Arial"/>
                <w:color w:val="auto"/>
              </w:rPr>
            </w:pPr>
            <w:r w:rsidRPr="00102E66">
              <w:rPr>
                <w:rFonts w:ascii="Arial" w:hAnsi="Arial" w:cs="Arial"/>
                <w:color w:val="auto"/>
              </w:rPr>
              <w:t>12 (85.7)</w:t>
            </w:r>
          </w:p>
        </w:tc>
        <w:tc>
          <w:tcPr>
            <w:tcW w:w="1890" w:type="dxa"/>
            <w:tcBorders>
              <w:top w:val="nil"/>
              <w:left w:val="nil"/>
              <w:bottom w:val="nil"/>
              <w:right w:val="nil"/>
            </w:tcBorders>
            <w:vAlign w:val="center"/>
          </w:tcPr>
          <w:p w14:paraId="0C47CF54" w14:textId="77777777" w:rsidR="00EA3564" w:rsidRPr="00102E66" w:rsidRDefault="00EA3564" w:rsidP="00FD45DE">
            <w:pPr>
              <w:jc w:val="center"/>
              <w:rPr>
                <w:rFonts w:ascii="Arial" w:hAnsi="Arial" w:cs="Arial"/>
                <w:color w:val="auto"/>
              </w:rPr>
            </w:pPr>
            <w:r w:rsidRPr="00102E66">
              <w:rPr>
                <w:rFonts w:ascii="Arial" w:hAnsi="Arial" w:cs="Arial"/>
                <w:color w:val="auto"/>
              </w:rPr>
              <w:t>2 (14.3)</w:t>
            </w:r>
          </w:p>
        </w:tc>
        <w:tc>
          <w:tcPr>
            <w:tcW w:w="1846" w:type="dxa"/>
            <w:tcBorders>
              <w:top w:val="nil"/>
              <w:left w:val="nil"/>
              <w:bottom w:val="nil"/>
              <w:right w:val="nil"/>
            </w:tcBorders>
            <w:vAlign w:val="center"/>
          </w:tcPr>
          <w:p w14:paraId="39E98216" w14:textId="77777777" w:rsidR="00EA3564" w:rsidRPr="00102E66" w:rsidRDefault="00EA3564" w:rsidP="00FD45DE">
            <w:pPr>
              <w:jc w:val="center"/>
              <w:rPr>
                <w:rFonts w:ascii="Arial" w:hAnsi="Arial" w:cs="Arial"/>
                <w:color w:val="auto"/>
              </w:rPr>
            </w:pPr>
          </w:p>
        </w:tc>
      </w:tr>
      <w:tr w:rsidR="00EA3564" w:rsidRPr="00102E66" w14:paraId="44D3BF03" w14:textId="77777777" w:rsidTr="00A70636">
        <w:trPr>
          <w:trHeight w:val="263"/>
        </w:trPr>
        <w:tc>
          <w:tcPr>
            <w:tcW w:w="2552" w:type="dxa"/>
            <w:tcBorders>
              <w:top w:val="nil"/>
              <w:left w:val="nil"/>
              <w:bottom w:val="nil"/>
              <w:right w:val="nil"/>
            </w:tcBorders>
          </w:tcPr>
          <w:p w14:paraId="31A556DF" w14:textId="77777777" w:rsidR="00EA3564" w:rsidRPr="00102E66" w:rsidRDefault="00EA3564" w:rsidP="00EA3564">
            <w:pPr>
              <w:rPr>
                <w:rFonts w:ascii="Arial" w:hAnsi="Arial" w:cs="Arial"/>
                <w:color w:val="auto"/>
              </w:rPr>
            </w:pPr>
            <w:r w:rsidRPr="00102E66">
              <w:rPr>
                <w:rFonts w:ascii="Arial" w:hAnsi="Arial" w:cs="Arial"/>
                <w:color w:val="auto"/>
              </w:rPr>
              <w:t>Civil servants</w:t>
            </w:r>
          </w:p>
        </w:tc>
        <w:tc>
          <w:tcPr>
            <w:tcW w:w="1672" w:type="dxa"/>
            <w:tcBorders>
              <w:top w:val="nil"/>
              <w:left w:val="nil"/>
              <w:bottom w:val="nil"/>
              <w:right w:val="nil"/>
            </w:tcBorders>
            <w:vAlign w:val="center"/>
          </w:tcPr>
          <w:p w14:paraId="2F026A5A" w14:textId="77777777" w:rsidR="00EA3564" w:rsidRPr="00102E66" w:rsidRDefault="00EA3564" w:rsidP="00FD45DE">
            <w:pPr>
              <w:jc w:val="center"/>
              <w:rPr>
                <w:rFonts w:ascii="Arial" w:hAnsi="Arial" w:cs="Arial"/>
                <w:color w:val="auto"/>
              </w:rPr>
            </w:pPr>
            <w:r w:rsidRPr="00102E66">
              <w:rPr>
                <w:rFonts w:ascii="Arial" w:hAnsi="Arial" w:cs="Arial"/>
                <w:color w:val="auto"/>
              </w:rPr>
              <w:t>28 (16.2)</w:t>
            </w:r>
          </w:p>
        </w:tc>
        <w:tc>
          <w:tcPr>
            <w:tcW w:w="1899" w:type="dxa"/>
            <w:tcBorders>
              <w:top w:val="nil"/>
              <w:left w:val="nil"/>
              <w:bottom w:val="nil"/>
              <w:right w:val="nil"/>
            </w:tcBorders>
            <w:vAlign w:val="center"/>
          </w:tcPr>
          <w:p w14:paraId="0AB6C129" w14:textId="77777777" w:rsidR="00EA3564" w:rsidRPr="00102E66" w:rsidRDefault="00EA3564" w:rsidP="00FD45DE">
            <w:pPr>
              <w:jc w:val="center"/>
              <w:rPr>
                <w:rFonts w:ascii="Arial" w:hAnsi="Arial" w:cs="Arial"/>
                <w:color w:val="auto"/>
              </w:rPr>
            </w:pPr>
            <w:r w:rsidRPr="00102E66">
              <w:rPr>
                <w:rFonts w:ascii="Arial" w:hAnsi="Arial" w:cs="Arial"/>
                <w:color w:val="auto"/>
              </w:rPr>
              <w:t>19 (67.8)</w:t>
            </w:r>
          </w:p>
        </w:tc>
        <w:tc>
          <w:tcPr>
            <w:tcW w:w="1890" w:type="dxa"/>
            <w:tcBorders>
              <w:top w:val="nil"/>
              <w:left w:val="nil"/>
              <w:bottom w:val="nil"/>
              <w:right w:val="nil"/>
            </w:tcBorders>
            <w:vAlign w:val="center"/>
          </w:tcPr>
          <w:p w14:paraId="201CF9CB" w14:textId="77777777" w:rsidR="00EA3564" w:rsidRPr="00102E66" w:rsidRDefault="00EA3564" w:rsidP="00FD45DE">
            <w:pPr>
              <w:jc w:val="center"/>
              <w:rPr>
                <w:rFonts w:ascii="Arial" w:hAnsi="Arial" w:cs="Arial"/>
                <w:color w:val="auto"/>
              </w:rPr>
            </w:pPr>
            <w:r w:rsidRPr="00102E66">
              <w:rPr>
                <w:rFonts w:ascii="Arial" w:hAnsi="Arial" w:cs="Arial"/>
                <w:color w:val="auto"/>
              </w:rPr>
              <w:t>9 (32.2)</w:t>
            </w:r>
          </w:p>
        </w:tc>
        <w:tc>
          <w:tcPr>
            <w:tcW w:w="1846" w:type="dxa"/>
            <w:tcBorders>
              <w:top w:val="nil"/>
              <w:left w:val="nil"/>
              <w:bottom w:val="nil"/>
              <w:right w:val="nil"/>
            </w:tcBorders>
            <w:vAlign w:val="center"/>
          </w:tcPr>
          <w:p w14:paraId="12A7A78E" w14:textId="77777777" w:rsidR="00EA3564" w:rsidRPr="00102E66" w:rsidRDefault="00EA3564" w:rsidP="00FD45DE">
            <w:pPr>
              <w:jc w:val="center"/>
              <w:rPr>
                <w:rFonts w:ascii="Arial" w:hAnsi="Arial" w:cs="Arial"/>
                <w:color w:val="auto"/>
              </w:rPr>
            </w:pPr>
          </w:p>
        </w:tc>
      </w:tr>
      <w:tr w:rsidR="00EA3564" w:rsidRPr="00102E66" w14:paraId="7BB9333D" w14:textId="77777777" w:rsidTr="00A70636">
        <w:trPr>
          <w:trHeight w:val="106"/>
        </w:trPr>
        <w:tc>
          <w:tcPr>
            <w:tcW w:w="2552" w:type="dxa"/>
            <w:tcBorders>
              <w:top w:val="nil"/>
              <w:left w:val="nil"/>
              <w:bottom w:val="single" w:sz="4" w:space="0" w:color="000000"/>
              <w:right w:val="nil"/>
            </w:tcBorders>
            <w:vAlign w:val="center"/>
          </w:tcPr>
          <w:p w14:paraId="0A53BA6C" w14:textId="77777777" w:rsidR="00EA3564" w:rsidRPr="00102E66" w:rsidRDefault="00742A5D" w:rsidP="00EA3564">
            <w:pPr>
              <w:rPr>
                <w:rFonts w:ascii="Arial" w:hAnsi="Arial" w:cs="Arial"/>
                <w:color w:val="auto"/>
              </w:rPr>
            </w:pPr>
            <w:proofErr w:type="spellStart"/>
            <w:r w:rsidRPr="00102E66">
              <w:rPr>
                <w:rFonts w:ascii="Arial" w:hAnsi="Arial" w:cs="Arial"/>
                <w:color w:val="auto"/>
              </w:rPr>
              <w:t>O</w:t>
            </w:r>
            <w:r w:rsidR="00EA3564" w:rsidRPr="00102E66">
              <w:rPr>
                <w:rFonts w:ascii="Arial" w:hAnsi="Arial" w:cs="Arial"/>
                <w:color w:val="auto"/>
              </w:rPr>
              <w:t>thers</w:t>
            </w:r>
            <w:proofErr w:type="spellEnd"/>
          </w:p>
        </w:tc>
        <w:tc>
          <w:tcPr>
            <w:tcW w:w="1672" w:type="dxa"/>
            <w:tcBorders>
              <w:top w:val="nil"/>
              <w:left w:val="nil"/>
              <w:bottom w:val="single" w:sz="4" w:space="0" w:color="000000"/>
              <w:right w:val="nil"/>
            </w:tcBorders>
            <w:vAlign w:val="center"/>
          </w:tcPr>
          <w:p w14:paraId="49237D07" w14:textId="77777777" w:rsidR="00EA3564" w:rsidRPr="00102E66" w:rsidRDefault="00EA3564" w:rsidP="00FD45DE">
            <w:pPr>
              <w:jc w:val="center"/>
              <w:rPr>
                <w:rFonts w:ascii="Arial" w:hAnsi="Arial" w:cs="Arial"/>
                <w:color w:val="auto"/>
              </w:rPr>
            </w:pPr>
            <w:r w:rsidRPr="00102E66">
              <w:rPr>
                <w:rFonts w:ascii="Arial" w:hAnsi="Arial" w:cs="Arial"/>
                <w:color w:val="auto"/>
              </w:rPr>
              <w:t>4(2.3)</w:t>
            </w:r>
          </w:p>
        </w:tc>
        <w:tc>
          <w:tcPr>
            <w:tcW w:w="1899" w:type="dxa"/>
            <w:tcBorders>
              <w:top w:val="nil"/>
              <w:left w:val="nil"/>
              <w:bottom w:val="single" w:sz="4" w:space="0" w:color="000000"/>
              <w:right w:val="nil"/>
            </w:tcBorders>
            <w:vAlign w:val="center"/>
          </w:tcPr>
          <w:p w14:paraId="71804D6E" w14:textId="77777777" w:rsidR="00EA3564" w:rsidRPr="00102E66" w:rsidRDefault="00EA3564" w:rsidP="00FD45DE">
            <w:pPr>
              <w:jc w:val="center"/>
              <w:rPr>
                <w:rFonts w:ascii="Arial" w:hAnsi="Arial" w:cs="Arial"/>
                <w:color w:val="auto"/>
              </w:rPr>
            </w:pPr>
            <w:r w:rsidRPr="00102E66">
              <w:rPr>
                <w:rFonts w:ascii="Arial" w:hAnsi="Arial" w:cs="Arial"/>
                <w:color w:val="auto"/>
              </w:rPr>
              <w:t>3 (75.0)</w:t>
            </w:r>
          </w:p>
        </w:tc>
        <w:tc>
          <w:tcPr>
            <w:tcW w:w="1890" w:type="dxa"/>
            <w:tcBorders>
              <w:top w:val="nil"/>
              <w:left w:val="nil"/>
              <w:bottom w:val="single" w:sz="4" w:space="0" w:color="000000"/>
              <w:right w:val="nil"/>
            </w:tcBorders>
            <w:vAlign w:val="center"/>
          </w:tcPr>
          <w:p w14:paraId="622777A2" w14:textId="77777777" w:rsidR="00EA3564" w:rsidRPr="00102E66" w:rsidRDefault="00EA3564" w:rsidP="00FD45DE">
            <w:pPr>
              <w:jc w:val="center"/>
              <w:rPr>
                <w:rFonts w:ascii="Arial" w:hAnsi="Arial" w:cs="Arial"/>
                <w:color w:val="auto"/>
              </w:rPr>
            </w:pPr>
            <w:r w:rsidRPr="00102E66">
              <w:rPr>
                <w:rFonts w:ascii="Arial" w:hAnsi="Arial" w:cs="Arial"/>
                <w:color w:val="auto"/>
              </w:rPr>
              <w:t>1 (25.0)</w:t>
            </w:r>
          </w:p>
        </w:tc>
        <w:tc>
          <w:tcPr>
            <w:tcW w:w="1846" w:type="dxa"/>
            <w:tcBorders>
              <w:top w:val="nil"/>
              <w:left w:val="nil"/>
              <w:bottom w:val="single" w:sz="4" w:space="0" w:color="000000"/>
              <w:right w:val="nil"/>
            </w:tcBorders>
            <w:vAlign w:val="center"/>
          </w:tcPr>
          <w:p w14:paraId="1F2579AA" w14:textId="77777777" w:rsidR="00EA3564" w:rsidRPr="00102E66" w:rsidRDefault="00EA3564" w:rsidP="00FD45DE">
            <w:pPr>
              <w:jc w:val="center"/>
              <w:rPr>
                <w:rFonts w:ascii="Arial" w:hAnsi="Arial" w:cs="Arial"/>
                <w:color w:val="auto"/>
              </w:rPr>
            </w:pPr>
          </w:p>
        </w:tc>
      </w:tr>
      <w:tr w:rsidR="00EA3564" w:rsidRPr="00102E66" w14:paraId="6FEB5AAF" w14:textId="77777777" w:rsidTr="00A70636">
        <w:trPr>
          <w:trHeight w:val="147"/>
        </w:trPr>
        <w:tc>
          <w:tcPr>
            <w:tcW w:w="2552" w:type="dxa"/>
            <w:tcBorders>
              <w:left w:val="nil"/>
              <w:bottom w:val="nil"/>
              <w:right w:val="nil"/>
            </w:tcBorders>
            <w:vAlign w:val="center"/>
          </w:tcPr>
          <w:p w14:paraId="0AEFAC1E"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Dysuria</w:t>
            </w:r>
            <w:proofErr w:type="spellEnd"/>
          </w:p>
        </w:tc>
        <w:tc>
          <w:tcPr>
            <w:tcW w:w="1672" w:type="dxa"/>
            <w:tcBorders>
              <w:left w:val="nil"/>
              <w:bottom w:val="nil"/>
              <w:right w:val="nil"/>
            </w:tcBorders>
            <w:vAlign w:val="center"/>
          </w:tcPr>
          <w:p w14:paraId="27AA9F3E"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57ABC4AB"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73A4C855"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13A65A85" w14:textId="77777777" w:rsidR="00EA3564" w:rsidRPr="00102E66" w:rsidRDefault="00EA3564" w:rsidP="00FD45DE">
            <w:pPr>
              <w:jc w:val="center"/>
              <w:rPr>
                <w:rFonts w:ascii="Arial" w:hAnsi="Arial" w:cs="Arial"/>
                <w:color w:val="auto"/>
              </w:rPr>
            </w:pPr>
          </w:p>
        </w:tc>
      </w:tr>
      <w:tr w:rsidR="00EA3564" w:rsidRPr="00102E66" w14:paraId="6310E404" w14:textId="77777777" w:rsidTr="00A70636">
        <w:trPr>
          <w:trHeight w:val="49"/>
        </w:trPr>
        <w:tc>
          <w:tcPr>
            <w:tcW w:w="2552" w:type="dxa"/>
            <w:tcBorders>
              <w:top w:val="nil"/>
              <w:left w:val="nil"/>
              <w:bottom w:val="nil"/>
              <w:right w:val="nil"/>
            </w:tcBorders>
            <w:vAlign w:val="center"/>
          </w:tcPr>
          <w:p w14:paraId="3302D885"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0F39445B" w14:textId="77777777" w:rsidR="00EA3564" w:rsidRPr="00102E66" w:rsidRDefault="00EA3564" w:rsidP="00FD45DE">
            <w:pPr>
              <w:jc w:val="center"/>
              <w:rPr>
                <w:rFonts w:ascii="Arial" w:hAnsi="Arial" w:cs="Arial"/>
                <w:color w:val="auto"/>
              </w:rPr>
            </w:pPr>
            <w:r w:rsidRPr="00102E66">
              <w:rPr>
                <w:rFonts w:ascii="Arial" w:hAnsi="Arial" w:cs="Arial"/>
                <w:color w:val="auto"/>
              </w:rPr>
              <w:t>117 (67.6)</w:t>
            </w:r>
          </w:p>
        </w:tc>
        <w:tc>
          <w:tcPr>
            <w:tcW w:w="1899" w:type="dxa"/>
            <w:tcBorders>
              <w:top w:val="nil"/>
              <w:left w:val="nil"/>
              <w:bottom w:val="nil"/>
              <w:right w:val="nil"/>
            </w:tcBorders>
            <w:vAlign w:val="center"/>
          </w:tcPr>
          <w:p w14:paraId="230008F7" w14:textId="77777777" w:rsidR="00EA3564" w:rsidRPr="00102E66" w:rsidRDefault="00EA3564" w:rsidP="00FD45DE">
            <w:pPr>
              <w:jc w:val="center"/>
              <w:rPr>
                <w:rFonts w:ascii="Arial" w:hAnsi="Arial" w:cs="Arial"/>
                <w:color w:val="auto"/>
              </w:rPr>
            </w:pPr>
            <w:r w:rsidRPr="00102E66">
              <w:rPr>
                <w:rFonts w:ascii="Arial" w:hAnsi="Arial" w:cs="Arial"/>
                <w:color w:val="auto"/>
              </w:rPr>
              <w:t>114 (100.0)</w:t>
            </w:r>
          </w:p>
        </w:tc>
        <w:tc>
          <w:tcPr>
            <w:tcW w:w="1890" w:type="dxa"/>
            <w:tcBorders>
              <w:top w:val="nil"/>
              <w:left w:val="nil"/>
              <w:bottom w:val="nil"/>
              <w:right w:val="nil"/>
            </w:tcBorders>
            <w:vAlign w:val="center"/>
          </w:tcPr>
          <w:p w14:paraId="53649E28"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561447BC" w14:textId="77777777" w:rsidR="00EA3564" w:rsidRPr="00102E66" w:rsidRDefault="00EA3564" w:rsidP="00FD45DE">
            <w:pPr>
              <w:jc w:val="center"/>
              <w:rPr>
                <w:rFonts w:ascii="Arial" w:hAnsi="Arial" w:cs="Arial"/>
                <w:color w:val="auto"/>
              </w:rPr>
            </w:pPr>
            <w:r w:rsidRPr="00102E66">
              <w:rPr>
                <w:rFonts w:ascii="Arial" w:hAnsi="Arial" w:cs="Arial"/>
                <w:color w:val="auto"/>
              </w:rPr>
              <w:t>0.342</w:t>
            </w:r>
          </w:p>
        </w:tc>
      </w:tr>
      <w:tr w:rsidR="00EA3564" w:rsidRPr="00102E66" w14:paraId="36000B96" w14:textId="77777777" w:rsidTr="00A70636">
        <w:trPr>
          <w:trHeight w:val="102"/>
        </w:trPr>
        <w:tc>
          <w:tcPr>
            <w:tcW w:w="2552" w:type="dxa"/>
            <w:tcBorders>
              <w:top w:val="nil"/>
              <w:left w:val="nil"/>
              <w:bottom w:val="single" w:sz="4" w:space="0" w:color="000000"/>
              <w:right w:val="nil"/>
            </w:tcBorders>
            <w:vAlign w:val="center"/>
          </w:tcPr>
          <w:p w14:paraId="1A085CCD"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4DDCD4CD" w14:textId="77777777" w:rsidR="00EA3564" w:rsidRPr="00102E66" w:rsidRDefault="00EA3564" w:rsidP="00FD45DE">
            <w:pPr>
              <w:jc w:val="center"/>
              <w:rPr>
                <w:rFonts w:ascii="Arial" w:hAnsi="Arial" w:cs="Arial"/>
                <w:color w:val="auto"/>
              </w:rPr>
            </w:pPr>
            <w:r w:rsidRPr="00102E66">
              <w:rPr>
                <w:rFonts w:ascii="Arial" w:hAnsi="Arial" w:cs="Arial"/>
                <w:color w:val="auto"/>
              </w:rPr>
              <w:t>56 (32.4)</w:t>
            </w:r>
          </w:p>
        </w:tc>
        <w:tc>
          <w:tcPr>
            <w:tcW w:w="1899" w:type="dxa"/>
            <w:tcBorders>
              <w:top w:val="nil"/>
              <w:left w:val="nil"/>
              <w:bottom w:val="single" w:sz="4" w:space="0" w:color="000000"/>
              <w:right w:val="nil"/>
            </w:tcBorders>
            <w:vAlign w:val="center"/>
          </w:tcPr>
          <w:p w14:paraId="2BDC9C62" w14:textId="77777777" w:rsidR="00EA3564" w:rsidRPr="00102E66" w:rsidRDefault="00EA3564" w:rsidP="00FD45DE">
            <w:pPr>
              <w:jc w:val="center"/>
              <w:rPr>
                <w:rFonts w:ascii="Arial" w:hAnsi="Arial" w:cs="Arial"/>
                <w:color w:val="auto"/>
              </w:rPr>
            </w:pPr>
            <w:r w:rsidRPr="00102E66">
              <w:rPr>
                <w:rFonts w:ascii="Arial" w:hAnsi="Arial" w:cs="Arial"/>
                <w:color w:val="auto"/>
              </w:rPr>
              <w:t>56 (94.9)</w:t>
            </w:r>
          </w:p>
        </w:tc>
        <w:tc>
          <w:tcPr>
            <w:tcW w:w="1890" w:type="dxa"/>
            <w:tcBorders>
              <w:top w:val="nil"/>
              <w:left w:val="nil"/>
              <w:bottom w:val="single" w:sz="4" w:space="0" w:color="000000"/>
              <w:right w:val="nil"/>
            </w:tcBorders>
            <w:vAlign w:val="center"/>
          </w:tcPr>
          <w:p w14:paraId="49682242" w14:textId="77777777" w:rsidR="00EA3564" w:rsidRPr="00102E66" w:rsidRDefault="00EA3564" w:rsidP="00FD45DE">
            <w:pPr>
              <w:jc w:val="center"/>
              <w:rPr>
                <w:rFonts w:ascii="Arial" w:hAnsi="Arial" w:cs="Arial"/>
                <w:color w:val="auto"/>
              </w:rPr>
            </w:pPr>
            <w:r w:rsidRPr="00102E66">
              <w:rPr>
                <w:rFonts w:ascii="Arial" w:hAnsi="Arial" w:cs="Arial"/>
                <w:color w:val="auto"/>
              </w:rPr>
              <w:t>3 (5.1)</w:t>
            </w:r>
          </w:p>
        </w:tc>
        <w:tc>
          <w:tcPr>
            <w:tcW w:w="1846" w:type="dxa"/>
            <w:tcBorders>
              <w:top w:val="nil"/>
              <w:left w:val="nil"/>
              <w:bottom w:val="single" w:sz="4" w:space="0" w:color="000000"/>
              <w:right w:val="nil"/>
            </w:tcBorders>
            <w:vAlign w:val="center"/>
          </w:tcPr>
          <w:p w14:paraId="3AF722D5" w14:textId="77777777" w:rsidR="00EA3564" w:rsidRPr="00102E66" w:rsidRDefault="00EA3564" w:rsidP="00FD45DE">
            <w:pPr>
              <w:jc w:val="center"/>
              <w:rPr>
                <w:rFonts w:ascii="Arial" w:hAnsi="Arial" w:cs="Arial"/>
                <w:color w:val="auto"/>
              </w:rPr>
            </w:pPr>
          </w:p>
        </w:tc>
      </w:tr>
      <w:tr w:rsidR="00EA3564" w:rsidRPr="00102E66" w14:paraId="6C11CC1D" w14:textId="77777777" w:rsidTr="00A70636">
        <w:trPr>
          <w:trHeight w:val="144"/>
        </w:trPr>
        <w:tc>
          <w:tcPr>
            <w:tcW w:w="2552" w:type="dxa"/>
            <w:tcBorders>
              <w:left w:val="nil"/>
              <w:bottom w:val="nil"/>
              <w:right w:val="nil"/>
            </w:tcBorders>
            <w:vAlign w:val="center"/>
          </w:tcPr>
          <w:p w14:paraId="3AC95AE6" w14:textId="77777777" w:rsidR="00EA3564" w:rsidRPr="00102E66" w:rsidRDefault="00EA3564" w:rsidP="00EA3564">
            <w:pPr>
              <w:rPr>
                <w:rFonts w:ascii="Arial" w:hAnsi="Arial" w:cs="Arial"/>
                <w:b/>
                <w:color w:val="auto"/>
              </w:rPr>
            </w:pPr>
            <w:r w:rsidRPr="00102E66">
              <w:rPr>
                <w:rFonts w:ascii="Arial" w:hAnsi="Arial" w:cs="Arial"/>
                <w:b/>
                <w:color w:val="auto"/>
                <w:lang w:val="en-US"/>
              </w:rPr>
              <w:t>Hematuria</w:t>
            </w:r>
          </w:p>
        </w:tc>
        <w:tc>
          <w:tcPr>
            <w:tcW w:w="1672" w:type="dxa"/>
            <w:tcBorders>
              <w:left w:val="nil"/>
              <w:bottom w:val="nil"/>
              <w:right w:val="nil"/>
            </w:tcBorders>
            <w:vAlign w:val="center"/>
          </w:tcPr>
          <w:p w14:paraId="59B1087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779F8291"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3D60E8BD" w14:textId="77777777" w:rsidR="00EA3564" w:rsidRPr="00102E66" w:rsidRDefault="00EA3564" w:rsidP="00FD45DE">
            <w:pPr>
              <w:jc w:val="center"/>
              <w:rPr>
                <w:rFonts w:ascii="Arial" w:hAnsi="Arial" w:cs="Arial"/>
                <w:b/>
                <w:color w:val="auto"/>
              </w:rPr>
            </w:pPr>
          </w:p>
        </w:tc>
        <w:tc>
          <w:tcPr>
            <w:tcW w:w="1846" w:type="dxa"/>
            <w:tcBorders>
              <w:top w:val="single" w:sz="4" w:space="0" w:color="000000"/>
              <w:left w:val="nil"/>
              <w:bottom w:val="nil"/>
              <w:right w:val="nil"/>
            </w:tcBorders>
            <w:vAlign w:val="center"/>
          </w:tcPr>
          <w:p w14:paraId="49CD8270" w14:textId="77777777" w:rsidR="00EA3564" w:rsidRPr="00102E66" w:rsidRDefault="00EA3564" w:rsidP="00FD45DE">
            <w:pPr>
              <w:jc w:val="center"/>
              <w:rPr>
                <w:rFonts w:ascii="Arial" w:hAnsi="Arial" w:cs="Arial"/>
                <w:color w:val="auto"/>
              </w:rPr>
            </w:pPr>
          </w:p>
        </w:tc>
      </w:tr>
      <w:tr w:rsidR="00EA3564" w:rsidRPr="00102E66" w14:paraId="5D33B367" w14:textId="77777777" w:rsidTr="00A70636">
        <w:trPr>
          <w:trHeight w:val="48"/>
        </w:trPr>
        <w:tc>
          <w:tcPr>
            <w:tcW w:w="2552" w:type="dxa"/>
            <w:tcBorders>
              <w:top w:val="nil"/>
              <w:left w:val="nil"/>
              <w:bottom w:val="nil"/>
              <w:right w:val="nil"/>
            </w:tcBorders>
            <w:vAlign w:val="center"/>
          </w:tcPr>
          <w:p w14:paraId="01D0750B"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3526C7E4" w14:textId="77777777" w:rsidR="00EA3564" w:rsidRPr="00102E66" w:rsidRDefault="00EA3564" w:rsidP="00FD45DE">
            <w:pPr>
              <w:jc w:val="center"/>
              <w:rPr>
                <w:rFonts w:ascii="Arial" w:hAnsi="Arial" w:cs="Arial"/>
                <w:color w:val="auto"/>
              </w:rPr>
            </w:pPr>
            <w:r w:rsidRPr="00102E66">
              <w:rPr>
                <w:rFonts w:ascii="Arial" w:hAnsi="Arial" w:cs="Arial"/>
                <w:color w:val="auto"/>
              </w:rPr>
              <w:t>4 (2.3)</w:t>
            </w:r>
          </w:p>
        </w:tc>
        <w:tc>
          <w:tcPr>
            <w:tcW w:w="1899" w:type="dxa"/>
            <w:tcBorders>
              <w:top w:val="nil"/>
              <w:left w:val="nil"/>
              <w:bottom w:val="nil"/>
              <w:right w:val="nil"/>
            </w:tcBorders>
            <w:vAlign w:val="center"/>
          </w:tcPr>
          <w:p w14:paraId="2BCF45B5" w14:textId="77777777" w:rsidR="00EA3564" w:rsidRPr="00102E66" w:rsidRDefault="00EA3564" w:rsidP="00FD45DE">
            <w:pPr>
              <w:jc w:val="center"/>
              <w:rPr>
                <w:rFonts w:ascii="Arial" w:hAnsi="Arial" w:cs="Arial"/>
                <w:color w:val="auto"/>
              </w:rPr>
            </w:pPr>
            <w:r w:rsidRPr="00102E66">
              <w:rPr>
                <w:rFonts w:ascii="Arial" w:hAnsi="Arial" w:cs="Arial"/>
                <w:color w:val="auto"/>
              </w:rPr>
              <w:t>4 (100.0)</w:t>
            </w:r>
          </w:p>
        </w:tc>
        <w:tc>
          <w:tcPr>
            <w:tcW w:w="1890" w:type="dxa"/>
            <w:tcBorders>
              <w:top w:val="nil"/>
              <w:left w:val="nil"/>
              <w:bottom w:val="nil"/>
              <w:right w:val="nil"/>
            </w:tcBorders>
            <w:vAlign w:val="center"/>
          </w:tcPr>
          <w:p w14:paraId="49B1ECFF" w14:textId="77777777" w:rsidR="00EA3564" w:rsidRPr="00102E66" w:rsidRDefault="00EA3564" w:rsidP="00FD45DE">
            <w:pPr>
              <w:jc w:val="center"/>
              <w:rPr>
                <w:rFonts w:ascii="Arial" w:hAnsi="Arial" w:cs="Arial"/>
                <w:color w:val="auto"/>
              </w:rPr>
            </w:pPr>
            <w:r w:rsidRPr="00102E66">
              <w:rPr>
                <w:rFonts w:ascii="Arial" w:hAnsi="Arial" w:cs="Arial"/>
                <w:color w:val="auto"/>
              </w:rPr>
              <w:t>0 (0.0)</w:t>
            </w:r>
          </w:p>
        </w:tc>
        <w:tc>
          <w:tcPr>
            <w:tcW w:w="1846" w:type="dxa"/>
            <w:tcBorders>
              <w:top w:val="nil"/>
              <w:left w:val="nil"/>
              <w:bottom w:val="nil"/>
              <w:right w:val="nil"/>
            </w:tcBorders>
            <w:vAlign w:val="center"/>
          </w:tcPr>
          <w:p w14:paraId="49DDCDF9" w14:textId="77777777" w:rsidR="00EA3564" w:rsidRPr="00102E66" w:rsidRDefault="00EA3564" w:rsidP="00FD45DE">
            <w:pPr>
              <w:jc w:val="center"/>
              <w:rPr>
                <w:rFonts w:ascii="Arial" w:hAnsi="Arial" w:cs="Arial"/>
                <w:color w:val="auto"/>
              </w:rPr>
            </w:pPr>
            <w:r w:rsidRPr="00102E66">
              <w:rPr>
                <w:rFonts w:ascii="Arial" w:hAnsi="Arial" w:cs="Arial"/>
                <w:color w:val="auto"/>
              </w:rPr>
              <w:t>0.167</w:t>
            </w:r>
          </w:p>
        </w:tc>
      </w:tr>
      <w:tr w:rsidR="00EA3564" w:rsidRPr="00102E66" w14:paraId="7F7ADB9D" w14:textId="77777777" w:rsidTr="00A70636">
        <w:trPr>
          <w:trHeight w:val="48"/>
        </w:trPr>
        <w:tc>
          <w:tcPr>
            <w:tcW w:w="2552" w:type="dxa"/>
            <w:tcBorders>
              <w:top w:val="nil"/>
              <w:left w:val="nil"/>
              <w:bottom w:val="single" w:sz="4" w:space="0" w:color="000000"/>
              <w:right w:val="nil"/>
            </w:tcBorders>
            <w:vAlign w:val="center"/>
          </w:tcPr>
          <w:p w14:paraId="2376707A"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11C5CE0B" w14:textId="77777777" w:rsidR="00EA3564" w:rsidRPr="00102E66" w:rsidRDefault="00EA3564" w:rsidP="00FD45DE">
            <w:pPr>
              <w:jc w:val="center"/>
              <w:rPr>
                <w:rFonts w:ascii="Arial" w:hAnsi="Arial" w:cs="Arial"/>
                <w:color w:val="auto"/>
              </w:rPr>
            </w:pPr>
            <w:r w:rsidRPr="00102E66">
              <w:rPr>
                <w:rFonts w:ascii="Arial" w:hAnsi="Arial" w:cs="Arial"/>
                <w:color w:val="auto"/>
              </w:rPr>
              <w:t>169 (97.7)</w:t>
            </w:r>
          </w:p>
        </w:tc>
        <w:tc>
          <w:tcPr>
            <w:tcW w:w="1899" w:type="dxa"/>
            <w:tcBorders>
              <w:top w:val="nil"/>
              <w:left w:val="nil"/>
              <w:bottom w:val="single" w:sz="4" w:space="0" w:color="000000"/>
              <w:right w:val="nil"/>
            </w:tcBorders>
            <w:vAlign w:val="center"/>
          </w:tcPr>
          <w:p w14:paraId="6C7E27AD" w14:textId="77777777" w:rsidR="00EA3564" w:rsidRPr="00102E66" w:rsidRDefault="00EA3564" w:rsidP="00FD45DE">
            <w:pPr>
              <w:jc w:val="center"/>
              <w:rPr>
                <w:rFonts w:ascii="Arial" w:hAnsi="Arial" w:cs="Arial"/>
                <w:color w:val="auto"/>
              </w:rPr>
            </w:pPr>
            <w:r w:rsidRPr="00102E66">
              <w:rPr>
                <w:rFonts w:ascii="Arial" w:hAnsi="Arial" w:cs="Arial"/>
                <w:color w:val="auto"/>
              </w:rPr>
              <w:t>114 (67.5)</w:t>
            </w:r>
          </w:p>
        </w:tc>
        <w:tc>
          <w:tcPr>
            <w:tcW w:w="1890" w:type="dxa"/>
            <w:tcBorders>
              <w:top w:val="nil"/>
              <w:left w:val="nil"/>
              <w:bottom w:val="single" w:sz="4" w:space="0" w:color="000000"/>
              <w:right w:val="nil"/>
            </w:tcBorders>
            <w:vAlign w:val="center"/>
          </w:tcPr>
          <w:p w14:paraId="3EC51414" w14:textId="77777777" w:rsidR="00EA3564" w:rsidRPr="00102E66" w:rsidRDefault="00EA3564" w:rsidP="00FD45DE">
            <w:pPr>
              <w:jc w:val="center"/>
              <w:rPr>
                <w:rFonts w:ascii="Arial" w:hAnsi="Arial" w:cs="Arial"/>
                <w:color w:val="auto"/>
              </w:rPr>
            </w:pPr>
            <w:r w:rsidRPr="00102E66">
              <w:rPr>
                <w:rFonts w:ascii="Arial" w:hAnsi="Arial" w:cs="Arial"/>
                <w:color w:val="auto"/>
              </w:rPr>
              <w:t>55 (32.5)</w:t>
            </w:r>
          </w:p>
        </w:tc>
        <w:tc>
          <w:tcPr>
            <w:tcW w:w="1846" w:type="dxa"/>
            <w:tcBorders>
              <w:top w:val="nil"/>
              <w:left w:val="nil"/>
              <w:bottom w:val="single" w:sz="4" w:space="0" w:color="000000"/>
              <w:right w:val="nil"/>
            </w:tcBorders>
            <w:vAlign w:val="center"/>
          </w:tcPr>
          <w:p w14:paraId="29A02366" w14:textId="77777777" w:rsidR="00EA3564" w:rsidRPr="00102E66" w:rsidRDefault="00EA3564" w:rsidP="00FD45DE">
            <w:pPr>
              <w:jc w:val="center"/>
              <w:rPr>
                <w:rFonts w:ascii="Arial" w:hAnsi="Arial" w:cs="Arial"/>
                <w:color w:val="auto"/>
              </w:rPr>
            </w:pPr>
          </w:p>
        </w:tc>
      </w:tr>
      <w:tr w:rsidR="00EA3564" w:rsidRPr="00102E66" w14:paraId="35565A67" w14:textId="77777777" w:rsidTr="00A70636">
        <w:trPr>
          <w:trHeight w:val="222"/>
        </w:trPr>
        <w:tc>
          <w:tcPr>
            <w:tcW w:w="2552" w:type="dxa"/>
            <w:tcBorders>
              <w:left w:val="nil"/>
              <w:bottom w:val="nil"/>
              <w:right w:val="nil"/>
            </w:tcBorders>
            <w:vAlign w:val="center"/>
          </w:tcPr>
          <w:p w14:paraId="274814E4" w14:textId="77777777" w:rsidR="00EA3564" w:rsidRPr="00102E66" w:rsidRDefault="00EA3564" w:rsidP="00EA3564">
            <w:pPr>
              <w:rPr>
                <w:rFonts w:ascii="Arial" w:hAnsi="Arial" w:cs="Arial"/>
                <w:b/>
                <w:color w:val="auto"/>
              </w:rPr>
            </w:pPr>
            <w:r w:rsidRPr="00102E66">
              <w:rPr>
                <w:rFonts w:ascii="Arial" w:hAnsi="Arial" w:cs="Arial"/>
                <w:b/>
                <w:color w:val="auto"/>
                <w:lang w:val="en-US"/>
              </w:rPr>
              <w:t>High urinary frequency</w:t>
            </w:r>
          </w:p>
        </w:tc>
        <w:tc>
          <w:tcPr>
            <w:tcW w:w="1672" w:type="dxa"/>
            <w:tcBorders>
              <w:left w:val="nil"/>
              <w:bottom w:val="nil"/>
              <w:right w:val="nil"/>
            </w:tcBorders>
            <w:vAlign w:val="center"/>
          </w:tcPr>
          <w:p w14:paraId="1356363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6D6B799B"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4F251908"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5D3E2D22" w14:textId="77777777" w:rsidR="00EA3564" w:rsidRPr="00102E66" w:rsidRDefault="00EA3564" w:rsidP="00FD45DE">
            <w:pPr>
              <w:jc w:val="center"/>
              <w:rPr>
                <w:rFonts w:ascii="Arial" w:hAnsi="Arial" w:cs="Arial"/>
                <w:b/>
                <w:color w:val="auto"/>
              </w:rPr>
            </w:pPr>
          </w:p>
        </w:tc>
      </w:tr>
      <w:tr w:rsidR="00EA3564" w:rsidRPr="00102E66" w14:paraId="2287F947" w14:textId="77777777" w:rsidTr="00A70636">
        <w:trPr>
          <w:trHeight w:val="96"/>
        </w:trPr>
        <w:tc>
          <w:tcPr>
            <w:tcW w:w="2552" w:type="dxa"/>
            <w:tcBorders>
              <w:top w:val="nil"/>
              <w:left w:val="nil"/>
              <w:bottom w:val="nil"/>
              <w:right w:val="nil"/>
            </w:tcBorders>
            <w:vAlign w:val="center"/>
          </w:tcPr>
          <w:p w14:paraId="4CD6EE38"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6C7DBB26" w14:textId="77777777" w:rsidR="00EA3564" w:rsidRPr="00102E66" w:rsidRDefault="00EA3564" w:rsidP="00FD45DE">
            <w:pPr>
              <w:jc w:val="center"/>
              <w:rPr>
                <w:rFonts w:ascii="Arial" w:hAnsi="Arial" w:cs="Arial"/>
                <w:color w:val="auto"/>
              </w:rPr>
            </w:pPr>
            <w:r w:rsidRPr="00102E66">
              <w:rPr>
                <w:rFonts w:ascii="Arial" w:hAnsi="Arial" w:cs="Arial"/>
                <w:color w:val="auto"/>
              </w:rPr>
              <w:t>39 (22.5)</w:t>
            </w:r>
          </w:p>
        </w:tc>
        <w:tc>
          <w:tcPr>
            <w:tcW w:w="1899" w:type="dxa"/>
            <w:tcBorders>
              <w:top w:val="nil"/>
              <w:left w:val="nil"/>
              <w:bottom w:val="nil"/>
              <w:right w:val="nil"/>
            </w:tcBorders>
            <w:vAlign w:val="center"/>
          </w:tcPr>
          <w:p w14:paraId="2E8194B8" w14:textId="77777777" w:rsidR="00EA3564" w:rsidRPr="00102E66" w:rsidRDefault="00EA3564" w:rsidP="00FD45DE">
            <w:pPr>
              <w:jc w:val="center"/>
              <w:rPr>
                <w:rFonts w:ascii="Arial" w:hAnsi="Arial" w:cs="Arial"/>
                <w:color w:val="auto"/>
              </w:rPr>
            </w:pPr>
            <w:r w:rsidRPr="00102E66">
              <w:rPr>
                <w:rFonts w:ascii="Arial" w:hAnsi="Arial" w:cs="Arial"/>
                <w:color w:val="auto"/>
              </w:rPr>
              <w:t>37 (94.1)</w:t>
            </w:r>
          </w:p>
        </w:tc>
        <w:tc>
          <w:tcPr>
            <w:tcW w:w="1890" w:type="dxa"/>
            <w:tcBorders>
              <w:top w:val="nil"/>
              <w:left w:val="nil"/>
              <w:bottom w:val="nil"/>
              <w:right w:val="nil"/>
            </w:tcBorders>
            <w:vAlign w:val="center"/>
          </w:tcPr>
          <w:p w14:paraId="3C3330AF" w14:textId="77777777" w:rsidR="00EA3564" w:rsidRPr="00102E66" w:rsidRDefault="00EA3564" w:rsidP="00FD45DE">
            <w:pPr>
              <w:jc w:val="center"/>
              <w:rPr>
                <w:rFonts w:ascii="Arial" w:hAnsi="Arial" w:cs="Arial"/>
                <w:color w:val="auto"/>
              </w:rPr>
            </w:pPr>
            <w:r w:rsidRPr="00102E66">
              <w:rPr>
                <w:rFonts w:ascii="Arial" w:hAnsi="Arial" w:cs="Arial"/>
                <w:color w:val="auto"/>
              </w:rPr>
              <w:t>2 (5.1)</w:t>
            </w:r>
          </w:p>
        </w:tc>
        <w:tc>
          <w:tcPr>
            <w:tcW w:w="1846" w:type="dxa"/>
            <w:tcBorders>
              <w:top w:val="nil"/>
              <w:left w:val="nil"/>
              <w:bottom w:val="nil"/>
              <w:right w:val="nil"/>
            </w:tcBorders>
            <w:vAlign w:val="center"/>
          </w:tcPr>
          <w:p w14:paraId="12DF7B40" w14:textId="77777777" w:rsidR="00EA3564" w:rsidRPr="00102E66" w:rsidRDefault="00EA3564" w:rsidP="00FD45DE">
            <w:pPr>
              <w:jc w:val="center"/>
              <w:rPr>
                <w:rFonts w:ascii="Arial" w:hAnsi="Arial" w:cs="Arial"/>
                <w:color w:val="auto"/>
              </w:rPr>
            </w:pPr>
            <w:r w:rsidRPr="00102E66">
              <w:rPr>
                <w:rFonts w:ascii="Arial" w:hAnsi="Arial" w:cs="Arial"/>
                <w:b/>
                <w:color w:val="auto"/>
              </w:rPr>
              <w:t>0.000</w:t>
            </w:r>
          </w:p>
        </w:tc>
      </w:tr>
      <w:tr w:rsidR="00EA3564" w:rsidRPr="00102E66" w14:paraId="19270A7C" w14:textId="77777777" w:rsidTr="00A70636">
        <w:trPr>
          <w:trHeight w:val="48"/>
        </w:trPr>
        <w:tc>
          <w:tcPr>
            <w:tcW w:w="2552" w:type="dxa"/>
            <w:tcBorders>
              <w:top w:val="nil"/>
              <w:left w:val="nil"/>
              <w:bottom w:val="single" w:sz="4" w:space="0" w:color="000000"/>
              <w:right w:val="nil"/>
            </w:tcBorders>
            <w:vAlign w:val="center"/>
          </w:tcPr>
          <w:p w14:paraId="5572E704" w14:textId="77777777" w:rsidR="00EA3564" w:rsidRPr="00102E66" w:rsidRDefault="00EA3564" w:rsidP="00EA3564">
            <w:pPr>
              <w:rPr>
                <w:rFonts w:ascii="Arial" w:hAnsi="Arial" w:cs="Arial"/>
                <w:color w:val="auto"/>
              </w:rPr>
            </w:pPr>
            <w:r w:rsidRPr="00102E66">
              <w:rPr>
                <w:rFonts w:ascii="Arial" w:hAnsi="Arial" w:cs="Arial"/>
                <w:color w:val="auto"/>
              </w:rPr>
              <w:lastRenderedPageBreak/>
              <w:t>Absence</w:t>
            </w:r>
          </w:p>
        </w:tc>
        <w:tc>
          <w:tcPr>
            <w:tcW w:w="1672" w:type="dxa"/>
            <w:tcBorders>
              <w:top w:val="nil"/>
              <w:left w:val="nil"/>
              <w:bottom w:val="single" w:sz="4" w:space="0" w:color="000000"/>
              <w:right w:val="nil"/>
            </w:tcBorders>
            <w:vAlign w:val="center"/>
          </w:tcPr>
          <w:p w14:paraId="34157692" w14:textId="77777777" w:rsidR="00EA3564" w:rsidRPr="00102E66" w:rsidRDefault="00EA3564" w:rsidP="00FD45DE">
            <w:pPr>
              <w:jc w:val="center"/>
              <w:rPr>
                <w:rFonts w:ascii="Arial" w:hAnsi="Arial" w:cs="Arial"/>
                <w:color w:val="auto"/>
              </w:rPr>
            </w:pPr>
            <w:r w:rsidRPr="00102E66">
              <w:rPr>
                <w:rFonts w:ascii="Arial" w:hAnsi="Arial" w:cs="Arial"/>
                <w:color w:val="auto"/>
              </w:rPr>
              <w:t>134 (77.5)</w:t>
            </w:r>
          </w:p>
        </w:tc>
        <w:tc>
          <w:tcPr>
            <w:tcW w:w="1899" w:type="dxa"/>
            <w:tcBorders>
              <w:top w:val="nil"/>
              <w:left w:val="nil"/>
              <w:bottom w:val="single" w:sz="4" w:space="0" w:color="000000"/>
              <w:right w:val="nil"/>
            </w:tcBorders>
            <w:vAlign w:val="center"/>
          </w:tcPr>
          <w:p w14:paraId="36728B04" w14:textId="77777777" w:rsidR="00EA3564" w:rsidRPr="00102E66" w:rsidRDefault="00EA3564" w:rsidP="00FD45DE">
            <w:pPr>
              <w:jc w:val="center"/>
              <w:rPr>
                <w:rFonts w:ascii="Arial" w:hAnsi="Arial" w:cs="Arial"/>
                <w:color w:val="auto"/>
              </w:rPr>
            </w:pPr>
            <w:r w:rsidRPr="00102E66">
              <w:rPr>
                <w:rFonts w:ascii="Arial" w:hAnsi="Arial" w:cs="Arial"/>
                <w:color w:val="auto"/>
              </w:rPr>
              <w:t>81 (60.4)</w:t>
            </w:r>
          </w:p>
        </w:tc>
        <w:tc>
          <w:tcPr>
            <w:tcW w:w="1890" w:type="dxa"/>
            <w:tcBorders>
              <w:top w:val="nil"/>
              <w:left w:val="nil"/>
              <w:bottom w:val="single" w:sz="4" w:space="0" w:color="000000"/>
              <w:right w:val="nil"/>
            </w:tcBorders>
            <w:vAlign w:val="center"/>
          </w:tcPr>
          <w:p w14:paraId="634BF955" w14:textId="77777777" w:rsidR="00EA3564" w:rsidRPr="00102E66" w:rsidRDefault="00EA3564" w:rsidP="00FD45DE">
            <w:pPr>
              <w:jc w:val="center"/>
              <w:rPr>
                <w:rFonts w:ascii="Arial" w:hAnsi="Arial" w:cs="Arial"/>
                <w:color w:val="auto"/>
              </w:rPr>
            </w:pPr>
            <w:r w:rsidRPr="00102E66">
              <w:rPr>
                <w:rFonts w:ascii="Arial" w:hAnsi="Arial" w:cs="Arial"/>
                <w:color w:val="auto"/>
              </w:rPr>
              <w:t>53 (39.6)</w:t>
            </w:r>
          </w:p>
        </w:tc>
        <w:tc>
          <w:tcPr>
            <w:tcW w:w="1846" w:type="dxa"/>
            <w:tcBorders>
              <w:top w:val="nil"/>
              <w:left w:val="nil"/>
              <w:bottom w:val="single" w:sz="4" w:space="0" w:color="000000"/>
              <w:right w:val="nil"/>
            </w:tcBorders>
            <w:vAlign w:val="center"/>
          </w:tcPr>
          <w:p w14:paraId="74A92CC2" w14:textId="77777777" w:rsidR="00EA3564" w:rsidRPr="00102E66" w:rsidRDefault="00EA3564" w:rsidP="00FD45DE">
            <w:pPr>
              <w:jc w:val="center"/>
              <w:rPr>
                <w:rFonts w:ascii="Arial" w:hAnsi="Arial" w:cs="Arial"/>
                <w:color w:val="auto"/>
              </w:rPr>
            </w:pPr>
          </w:p>
        </w:tc>
      </w:tr>
      <w:tr w:rsidR="00EA3564" w:rsidRPr="00102E66" w14:paraId="00D31193" w14:textId="77777777" w:rsidTr="00A70636">
        <w:trPr>
          <w:trHeight w:val="165"/>
        </w:trPr>
        <w:tc>
          <w:tcPr>
            <w:tcW w:w="2552" w:type="dxa"/>
            <w:tcBorders>
              <w:left w:val="nil"/>
              <w:bottom w:val="nil"/>
              <w:right w:val="nil"/>
            </w:tcBorders>
            <w:vAlign w:val="center"/>
          </w:tcPr>
          <w:p w14:paraId="09CA0234"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Cleaning</w:t>
            </w:r>
            <w:proofErr w:type="spellEnd"/>
            <w:r w:rsidRPr="00102E66">
              <w:rPr>
                <w:rFonts w:ascii="Arial" w:hAnsi="Arial" w:cs="Arial"/>
                <w:b/>
                <w:color w:val="auto"/>
              </w:rPr>
              <w:t xml:space="preserve"> </w:t>
            </w:r>
            <w:proofErr w:type="spellStart"/>
            <w:r w:rsidRPr="00102E66">
              <w:rPr>
                <w:rFonts w:ascii="Arial" w:hAnsi="Arial" w:cs="Arial"/>
                <w:b/>
                <w:color w:val="auto"/>
              </w:rPr>
              <w:t>method</w:t>
            </w:r>
            <w:proofErr w:type="spellEnd"/>
            <w:r w:rsidRPr="00102E66">
              <w:rPr>
                <w:rFonts w:ascii="Arial" w:hAnsi="Arial" w:cs="Arial"/>
                <w:b/>
                <w:color w:val="auto"/>
              </w:rPr>
              <w:t xml:space="preserve"> </w:t>
            </w:r>
            <w:proofErr w:type="spellStart"/>
            <w:r w:rsidRPr="00102E66">
              <w:rPr>
                <w:rFonts w:ascii="Arial" w:hAnsi="Arial" w:cs="Arial"/>
                <w:b/>
                <w:color w:val="auto"/>
              </w:rPr>
              <w:t>after</w:t>
            </w:r>
            <w:proofErr w:type="spellEnd"/>
            <w:r w:rsidRPr="00102E66">
              <w:rPr>
                <w:rFonts w:ascii="Arial" w:hAnsi="Arial" w:cs="Arial"/>
                <w:b/>
                <w:color w:val="auto"/>
              </w:rPr>
              <w:t xml:space="preserve"> </w:t>
            </w:r>
            <w:proofErr w:type="spellStart"/>
            <w:r w:rsidRPr="00102E66">
              <w:rPr>
                <w:rFonts w:ascii="Arial" w:hAnsi="Arial" w:cs="Arial"/>
                <w:b/>
                <w:color w:val="auto"/>
              </w:rPr>
              <w:t>defecation</w:t>
            </w:r>
            <w:proofErr w:type="spellEnd"/>
          </w:p>
        </w:tc>
        <w:tc>
          <w:tcPr>
            <w:tcW w:w="1672" w:type="dxa"/>
            <w:tcBorders>
              <w:left w:val="nil"/>
              <w:bottom w:val="nil"/>
              <w:right w:val="nil"/>
            </w:tcBorders>
            <w:vAlign w:val="center"/>
          </w:tcPr>
          <w:p w14:paraId="25C33F7D"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4E675389"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6CFC804A"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2DD288B3" w14:textId="77777777" w:rsidR="00EA3564" w:rsidRPr="00102E66" w:rsidRDefault="00EA3564" w:rsidP="00FD45DE">
            <w:pPr>
              <w:jc w:val="center"/>
              <w:rPr>
                <w:rFonts w:ascii="Arial" w:hAnsi="Arial" w:cs="Arial"/>
                <w:color w:val="auto"/>
              </w:rPr>
            </w:pPr>
          </w:p>
        </w:tc>
      </w:tr>
      <w:tr w:rsidR="00EA3564" w:rsidRPr="00102E66" w14:paraId="51C55A3A" w14:textId="77777777" w:rsidTr="00A70636">
        <w:trPr>
          <w:trHeight w:val="79"/>
        </w:trPr>
        <w:tc>
          <w:tcPr>
            <w:tcW w:w="2552" w:type="dxa"/>
            <w:tcBorders>
              <w:top w:val="nil"/>
              <w:left w:val="nil"/>
              <w:bottom w:val="nil"/>
              <w:right w:val="nil"/>
            </w:tcBorders>
            <w:vAlign w:val="center"/>
          </w:tcPr>
          <w:p w14:paraId="3C55E003" w14:textId="77777777" w:rsidR="00EA3564" w:rsidRPr="00102E66" w:rsidRDefault="00EA3564" w:rsidP="00EA3564">
            <w:pPr>
              <w:rPr>
                <w:rFonts w:ascii="Arial" w:hAnsi="Arial" w:cs="Arial"/>
                <w:color w:val="auto"/>
              </w:rPr>
            </w:pPr>
            <w:r w:rsidRPr="00102E66">
              <w:rPr>
                <w:rFonts w:ascii="Arial" w:hAnsi="Arial" w:cs="Arial"/>
                <w:color w:val="auto"/>
                <w:lang w:val="en-US"/>
              </w:rPr>
              <w:t>From front to back</w:t>
            </w:r>
          </w:p>
        </w:tc>
        <w:tc>
          <w:tcPr>
            <w:tcW w:w="1672" w:type="dxa"/>
            <w:tcBorders>
              <w:top w:val="nil"/>
              <w:left w:val="nil"/>
              <w:bottom w:val="nil"/>
              <w:right w:val="nil"/>
            </w:tcBorders>
            <w:vAlign w:val="center"/>
          </w:tcPr>
          <w:p w14:paraId="457FA1FE" w14:textId="77777777" w:rsidR="00EA3564" w:rsidRPr="00102E66" w:rsidRDefault="00EA3564" w:rsidP="00FD45DE">
            <w:pPr>
              <w:jc w:val="center"/>
              <w:rPr>
                <w:rFonts w:ascii="Arial" w:hAnsi="Arial" w:cs="Arial"/>
                <w:color w:val="auto"/>
              </w:rPr>
            </w:pPr>
            <w:r w:rsidRPr="00102E66">
              <w:rPr>
                <w:rFonts w:ascii="Arial" w:hAnsi="Arial" w:cs="Arial"/>
                <w:color w:val="auto"/>
              </w:rPr>
              <w:t>147 (85.0)</w:t>
            </w:r>
          </w:p>
        </w:tc>
        <w:tc>
          <w:tcPr>
            <w:tcW w:w="1899" w:type="dxa"/>
            <w:tcBorders>
              <w:top w:val="nil"/>
              <w:left w:val="nil"/>
              <w:bottom w:val="nil"/>
              <w:right w:val="nil"/>
            </w:tcBorders>
            <w:vAlign w:val="center"/>
          </w:tcPr>
          <w:p w14:paraId="4C76567A" w14:textId="77777777" w:rsidR="00EA3564" w:rsidRPr="00102E66" w:rsidRDefault="00EA3564" w:rsidP="00FD45DE">
            <w:pPr>
              <w:jc w:val="center"/>
              <w:rPr>
                <w:rFonts w:ascii="Arial" w:hAnsi="Arial" w:cs="Arial"/>
                <w:color w:val="auto"/>
              </w:rPr>
            </w:pPr>
            <w:r w:rsidRPr="00102E66">
              <w:rPr>
                <w:rFonts w:ascii="Arial" w:hAnsi="Arial" w:cs="Arial"/>
                <w:color w:val="auto"/>
              </w:rPr>
              <w:t>100 (68.0)</w:t>
            </w:r>
          </w:p>
        </w:tc>
        <w:tc>
          <w:tcPr>
            <w:tcW w:w="1890" w:type="dxa"/>
            <w:tcBorders>
              <w:top w:val="nil"/>
              <w:left w:val="nil"/>
              <w:bottom w:val="nil"/>
              <w:right w:val="nil"/>
            </w:tcBorders>
            <w:vAlign w:val="center"/>
          </w:tcPr>
          <w:p w14:paraId="72E071EA" w14:textId="77777777" w:rsidR="00EA3564" w:rsidRPr="00102E66" w:rsidRDefault="00EA3564" w:rsidP="00FD45DE">
            <w:pPr>
              <w:jc w:val="center"/>
              <w:rPr>
                <w:rFonts w:ascii="Arial" w:hAnsi="Arial" w:cs="Arial"/>
                <w:color w:val="auto"/>
              </w:rPr>
            </w:pPr>
            <w:r w:rsidRPr="00102E66">
              <w:rPr>
                <w:rFonts w:ascii="Arial" w:hAnsi="Arial" w:cs="Arial"/>
                <w:color w:val="auto"/>
              </w:rPr>
              <w:t>47 (32.0)</w:t>
            </w:r>
          </w:p>
        </w:tc>
        <w:tc>
          <w:tcPr>
            <w:tcW w:w="1846" w:type="dxa"/>
            <w:tcBorders>
              <w:top w:val="nil"/>
              <w:left w:val="nil"/>
              <w:bottom w:val="nil"/>
              <w:right w:val="nil"/>
            </w:tcBorders>
            <w:vAlign w:val="center"/>
          </w:tcPr>
          <w:p w14:paraId="277F17EB" w14:textId="77777777" w:rsidR="00EA3564" w:rsidRPr="00102E66" w:rsidRDefault="00EA3564" w:rsidP="00FD45DE">
            <w:pPr>
              <w:jc w:val="center"/>
              <w:rPr>
                <w:rFonts w:ascii="Arial" w:hAnsi="Arial" w:cs="Arial"/>
                <w:color w:val="auto"/>
              </w:rPr>
            </w:pPr>
            <w:r w:rsidRPr="00102E66">
              <w:rPr>
                <w:rFonts w:ascii="Arial" w:hAnsi="Arial" w:cs="Arial"/>
                <w:color w:val="auto"/>
              </w:rPr>
              <w:t>0.903</w:t>
            </w:r>
          </w:p>
        </w:tc>
      </w:tr>
      <w:tr w:rsidR="00EA3564" w:rsidRPr="00102E66" w14:paraId="6CA05472" w14:textId="77777777" w:rsidTr="00A70636">
        <w:trPr>
          <w:trHeight w:val="107"/>
        </w:trPr>
        <w:tc>
          <w:tcPr>
            <w:tcW w:w="2552" w:type="dxa"/>
            <w:tcBorders>
              <w:top w:val="nil"/>
              <w:left w:val="nil"/>
              <w:bottom w:val="single" w:sz="4" w:space="0" w:color="000000"/>
              <w:right w:val="nil"/>
            </w:tcBorders>
            <w:vAlign w:val="center"/>
          </w:tcPr>
          <w:p w14:paraId="1B234454" w14:textId="77777777" w:rsidR="00EA3564" w:rsidRPr="00102E66" w:rsidRDefault="00EA3564" w:rsidP="00EA3564">
            <w:pPr>
              <w:rPr>
                <w:rFonts w:ascii="Arial" w:hAnsi="Arial" w:cs="Arial"/>
                <w:color w:val="auto"/>
              </w:rPr>
            </w:pPr>
            <w:r w:rsidRPr="00102E66">
              <w:rPr>
                <w:rFonts w:ascii="Arial" w:hAnsi="Arial" w:cs="Arial"/>
                <w:color w:val="auto"/>
                <w:lang w:val="en-US"/>
              </w:rPr>
              <w:t>From back to front</w:t>
            </w:r>
          </w:p>
        </w:tc>
        <w:tc>
          <w:tcPr>
            <w:tcW w:w="1672" w:type="dxa"/>
            <w:tcBorders>
              <w:top w:val="nil"/>
              <w:left w:val="nil"/>
              <w:bottom w:val="single" w:sz="4" w:space="0" w:color="000000"/>
              <w:right w:val="nil"/>
            </w:tcBorders>
            <w:vAlign w:val="center"/>
          </w:tcPr>
          <w:p w14:paraId="33011B84" w14:textId="77777777" w:rsidR="00EA3564" w:rsidRPr="00102E66" w:rsidRDefault="00EA3564" w:rsidP="00FD45DE">
            <w:pPr>
              <w:jc w:val="center"/>
              <w:rPr>
                <w:rFonts w:ascii="Arial" w:hAnsi="Arial" w:cs="Arial"/>
                <w:color w:val="auto"/>
              </w:rPr>
            </w:pPr>
            <w:r w:rsidRPr="00102E66">
              <w:rPr>
                <w:rFonts w:ascii="Arial" w:hAnsi="Arial" w:cs="Arial"/>
                <w:color w:val="auto"/>
              </w:rPr>
              <w:t>26 (15.0)</w:t>
            </w:r>
          </w:p>
        </w:tc>
        <w:tc>
          <w:tcPr>
            <w:tcW w:w="1899" w:type="dxa"/>
            <w:tcBorders>
              <w:top w:val="nil"/>
              <w:left w:val="nil"/>
              <w:bottom w:val="single" w:sz="4" w:space="0" w:color="000000"/>
              <w:right w:val="nil"/>
            </w:tcBorders>
            <w:vAlign w:val="center"/>
          </w:tcPr>
          <w:p w14:paraId="4C8957FE" w14:textId="77777777" w:rsidR="00EA3564" w:rsidRPr="00102E66" w:rsidRDefault="00EA3564" w:rsidP="00FD45DE">
            <w:pPr>
              <w:jc w:val="center"/>
              <w:rPr>
                <w:rFonts w:ascii="Arial" w:hAnsi="Arial" w:cs="Arial"/>
                <w:color w:val="auto"/>
              </w:rPr>
            </w:pPr>
            <w:r w:rsidRPr="00102E66">
              <w:rPr>
                <w:rFonts w:ascii="Arial" w:hAnsi="Arial" w:cs="Arial"/>
                <w:color w:val="auto"/>
              </w:rPr>
              <w:t>18 (69.2)</w:t>
            </w:r>
          </w:p>
        </w:tc>
        <w:tc>
          <w:tcPr>
            <w:tcW w:w="1890" w:type="dxa"/>
            <w:tcBorders>
              <w:top w:val="nil"/>
              <w:left w:val="nil"/>
              <w:bottom w:val="single" w:sz="4" w:space="0" w:color="000000"/>
              <w:right w:val="nil"/>
            </w:tcBorders>
            <w:vAlign w:val="center"/>
          </w:tcPr>
          <w:p w14:paraId="4C017839" w14:textId="77777777" w:rsidR="00EA3564" w:rsidRPr="00102E66" w:rsidRDefault="00EA3564" w:rsidP="00FD45DE">
            <w:pPr>
              <w:jc w:val="center"/>
              <w:rPr>
                <w:rFonts w:ascii="Arial" w:hAnsi="Arial" w:cs="Arial"/>
                <w:color w:val="auto"/>
              </w:rPr>
            </w:pPr>
            <w:r w:rsidRPr="00102E66">
              <w:rPr>
                <w:rFonts w:ascii="Arial" w:hAnsi="Arial" w:cs="Arial"/>
                <w:color w:val="auto"/>
              </w:rPr>
              <w:t>8 (30.8)</w:t>
            </w:r>
          </w:p>
        </w:tc>
        <w:tc>
          <w:tcPr>
            <w:tcW w:w="1846" w:type="dxa"/>
            <w:tcBorders>
              <w:top w:val="nil"/>
              <w:left w:val="nil"/>
              <w:bottom w:val="single" w:sz="4" w:space="0" w:color="000000"/>
              <w:right w:val="nil"/>
            </w:tcBorders>
            <w:vAlign w:val="center"/>
          </w:tcPr>
          <w:p w14:paraId="6F6E1173" w14:textId="77777777" w:rsidR="00EA3564" w:rsidRPr="00102E66" w:rsidRDefault="00EA3564" w:rsidP="00FD45DE">
            <w:pPr>
              <w:jc w:val="center"/>
              <w:rPr>
                <w:rFonts w:ascii="Arial" w:hAnsi="Arial" w:cs="Arial"/>
                <w:color w:val="auto"/>
              </w:rPr>
            </w:pPr>
          </w:p>
        </w:tc>
      </w:tr>
      <w:tr w:rsidR="00EA3564" w:rsidRPr="00102E66" w14:paraId="3E048895" w14:textId="77777777" w:rsidTr="00A70636">
        <w:trPr>
          <w:trHeight w:val="48"/>
        </w:trPr>
        <w:tc>
          <w:tcPr>
            <w:tcW w:w="2552" w:type="dxa"/>
            <w:tcBorders>
              <w:left w:val="nil"/>
              <w:bottom w:val="nil"/>
              <w:right w:val="nil"/>
            </w:tcBorders>
            <w:vAlign w:val="center"/>
          </w:tcPr>
          <w:p w14:paraId="5DD49A5D" w14:textId="77777777" w:rsidR="00EA3564" w:rsidRPr="00102E66" w:rsidRDefault="00EA3564" w:rsidP="00EA3564">
            <w:pPr>
              <w:rPr>
                <w:rFonts w:ascii="Arial" w:hAnsi="Arial" w:cs="Arial"/>
                <w:b/>
                <w:color w:val="auto"/>
              </w:rPr>
            </w:pPr>
            <w:r w:rsidRPr="00102E66">
              <w:rPr>
                <w:rFonts w:ascii="Arial" w:hAnsi="Arial" w:cs="Arial"/>
                <w:b/>
                <w:color w:val="auto"/>
                <w:lang w:val="en-US"/>
              </w:rPr>
              <w:t>Source of bathing water</w:t>
            </w:r>
          </w:p>
        </w:tc>
        <w:tc>
          <w:tcPr>
            <w:tcW w:w="1672" w:type="dxa"/>
            <w:tcBorders>
              <w:left w:val="nil"/>
              <w:bottom w:val="nil"/>
              <w:right w:val="nil"/>
            </w:tcBorders>
            <w:vAlign w:val="center"/>
          </w:tcPr>
          <w:p w14:paraId="4032D2DA"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78CFD2B4"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7D3379A"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5D0904A8" w14:textId="77777777" w:rsidR="00EA3564" w:rsidRPr="00102E66" w:rsidRDefault="00EA3564" w:rsidP="00FD45DE">
            <w:pPr>
              <w:jc w:val="center"/>
              <w:rPr>
                <w:rFonts w:ascii="Arial" w:hAnsi="Arial" w:cs="Arial"/>
                <w:color w:val="auto"/>
              </w:rPr>
            </w:pPr>
            <w:r w:rsidRPr="00102E66">
              <w:rPr>
                <w:rFonts w:ascii="Arial" w:hAnsi="Arial" w:cs="Arial"/>
                <w:color w:val="auto"/>
              </w:rPr>
              <w:t>0.139</w:t>
            </w:r>
          </w:p>
        </w:tc>
      </w:tr>
      <w:tr w:rsidR="00EA3564" w:rsidRPr="00102E66" w14:paraId="63C8945D" w14:textId="77777777" w:rsidTr="00A70636">
        <w:trPr>
          <w:trHeight w:val="76"/>
        </w:trPr>
        <w:tc>
          <w:tcPr>
            <w:tcW w:w="2552" w:type="dxa"/>
            <w:tcBorders>
              <w:top w:val="nil"/>
              <w:left w:val="nil"/>
              <w:bottom w:val="nil"/>
              <w:right w:val="nil"/>
            </w:tcBorders>
            <w:vAlign w:val="center"/>
          </w:tcPr>
          <w:p w14:paraId="4EF89704" w14:textId="77777777" w:rsidR="00EA3564" w:rsidRPr="00102E66" w:rsidRDefault="00EA3564" w:rsidP="00EA3564">
            <w:pPr>
              <w:rPr>
                <w:rFonts w:ascii="Arial" w:hAnsi="Arial" w:cs="Arial"/>
                <w:color w:val="auto"/>
              </w:rPr>
            </w:pPr>
            <w:r w:rsidRPr="00102E66">
              <w:rPr>
                <w:rFonts w:ascii="Arial" w:hAnsi="Arial" w:cs="Arial"/>
                <w:color w:val="auto"/>
              </w:rPr>
              <w:t>Pipe-borne water</w:t>
            </w:r>
          </w:p>
        </w:tc>
        <w:tc>
          <w:tcPr>
            <w:tcW w:w="1672" w:type="dxa"/>
            <w:tcBorders>
              <w:top w:val="nil"/>
              <w:left w:val="nil"/>
              <w:bottom w:val="nil"/>
              <w:right w:val="nil"/>
            </w:tcBorders>
            <w:vAlign w:val="center"/>
          </w:tcPr>
          <w:p w14:paraId="31C65AF5" w14:textId="77777777" w:rsidR="00EA3564" w:rsidRPr="00102E66" w:rsidRDefault="00EA3564" w:rsidP="00FD45DE">
            <w:pPr>
              <w:jc w:val="center"/>
              <w:rPr>
                <w:rFonts w:ascii="Arial" w:hAnsi="Arial" w:cs="Arial"/>
                <w:color w:val="auto"/>
              </w:rPr>
            </w:pPr>
            <w:r w:rsidRPr="00102E66">
              <w:rPr>
                <w:rFonts w:ascii="Arial" w:hAnsi="Arial" w:cs="Arial"/>
                <w:color w:val="auto"/>
              </w:rPr>
              <w:t>68 (39.3)</w:t>
            </w:r>
          </w:p>
        </w:tc>
        <w:tc>
          <w:tcPr>
            <w:tcW w:w="1899" w:type="dxa"/>
            <w:tcBorders>
              <w:top w:val="nil"/>
              <w:left w:val="nil"/>
              <w:bottom w:val="nil"/>
              <w:right w:val="nil"/>
            </w:tcBorders>
            <w:vAlign w:val="center"/>
          </w:tcPr>
          <w:p w14:paraId="219C2F10" w14:textId="77777777" w:rsidR="00EA3564" w:rsidRPr="00102E66" w:rsidRDefault="00EA3564" w:rsidP="00FD45DE">
            <w:pPr>
              <w:jc w:val="center"/>
              <w:rPr>
                <w:rFonts w:ascii="Arial" w:hAnsi="Arial" w:cs="Arial"/>
                <w:color w:val="auto"/>
              </w:rPr>
            </w:pPr>
            <w:r w:rsidRPr="00102E66">
              <w:rPr>
                <w:rFonts w:ascii="Arial" w:hAnsi="Arial" w:cs="Arial"/>
                <w:color w:val="auto"/>
              </w:rPr>
              <w:t>46 (67.6)</w:t>
            </w:r>
          </w:p>
        </w:tc>
        <w:tc>
          <w:tcPr>
            <w:tcW w:w="1890" w:type="dxa"/>
            <w:tcBorders>
              <w:top w:val="nil"/>
              <w:left w:val="nil"/>
              <w:bottom w:val="nil"/>
              <w:right w:val="nil"/>
            </w:tcBorders>
            <w:vAlign w:val="center"/>
          </w:tcPr>
          <w:p w14:paraId="7FC64C47" w14:textId="77777777" w:rsidR="00EA3564" w:rsidRPr="00102E66" w:rsidRDefault="00EA3564" w:rsidP="00FD45DE">
            <w:pPr>
              <w:jc w:val="center"/>
              <w:rPr>
                <w:rFonts w:ascii="Arial" w:hAnsi="Arial" w:cs="Arial"/>
                <w:color w:val="auto"/>
              </w:rPr>
            </w:pPr>
            <w:r w:rsidRPr="00102E66">
              <w:rPr>
                <w:rFonts w:ascii="Arial" w:hAnsi="Arial" w:cs="Arial"/>
                <w:color w:val="auto"/>
              </w:rPr>
              <w:t>22 (32.4)</w:t>
            </w:r>
          </w:p>
        </w:tc>
        <w:tc>
          <w:tcPr>
            <w:tcW w:w="1846" w:type="dxa"/>
            <w:tcBorders>
              <w:top w:val="nil"/>
              <w:left w:val="nil"/>
              <w:bottom w:val="nil"/>
              <w:right w:val="nil"/>
            </w:tcBorders>
            <w:vAlign w:val="center"/>
          </w:tcPr>
          <w:p w14:paraId="75694D54" w14:textId="77777777" w:rsidR="00EA3564" w:rsidRPr="00102E66" w:rsidRDefault="00EA3564" w:rsidP="00FD45DE">
            <w:pPr>
              <w:jc w:val="center"/>
              <w:rPr>
                <w:rFonts w:ascii="Arial" w:hAnsi="Arial" w:cs="Arial"/>
                <w:color w:val="auto"/>
              </w:rPr>
            </w:pPr>
          </w:p>
        </w:tc>
      </w:tr>
      <w:tr w:rsidR="00EA3564" w:rsidRPr="00102E66" w14:paraId="41335DC6" w14:textId="77777777" w:rsidTr="00A70636">
        <w:trPr>
          <w:trHeight w:val="48"/>
        </w:trPr>
        <w:tc>
          <w:tcPr>
            <w:tcW w:w="2552" w:type="dxa"/>
            <w:tcBorders>
              <w:top w:val="nil"/>
              <w:left w:val="nil"/>
              <w:bottom w:val="nil"/>
              <w:right w:val="nil"/>
            </w:tcBorders>
          </w:tcPr>
          <w:p w14:paraId="20F08F93" w14:textId="77777777" w:rsidR="00EA3564" w:rsidRPr="00102E66" w:rsidRDefault="00EA3564" w:rsidP="00EA3564">
            <w:pPr>
              <w:rPr>
                <w:rFonts w:ascii="Arial" w:hAnsi="Arial" w:cs="Arial"/>
                <w:color w:val="auto"/>
              </w:rPr>
            </w:pPr>
            <w:r w:rsidRPr="00102E66">
              <w:rPr>
                <w:rFonts w:ascii="Arial" w:hAnsi="Arial" w:cs="Arial"/>
                <w:color w:val="auto"/>
              </w:rPr>
              <w:t>Stream water</w:t>
            </w:r>
          </w:p>
        </w:tc>
        <w:tc>
          <w:tcPr>
            <w:tcW w:w="1672" w:type="dxa"/>
            <w:tcBorders>
              <w:top w:val="nil"/>
              <w:left w:val="nil"/>
              <w:bottom w:val="nil"/>
              <w:right w:val="nil"/>
            </w:tcBorders>
            <w:vAlign w:val="center"/>
          </w:tcPr>
          <w:p w14:paraId="47C0C16F" w14:textId="77777777" w:rsidR="00EA3564" w:rsidRPr="00102E66" w:rsidRDefault="00EA3564" w:rsidP="00FD45DE">
            <w:pPr>
              <w:jc w:val="center"/>
              <w:rPr>
                <w:rFonts w:ascii="Arial" w:hAnsi="Arial" w:cs="Arial"/>
                <w:color w:val="auto"/>
              </w:rPr>
            </w:pPr>
            <w:r w:rsidRPr="00102E66">
              <w:rPr>
                <w:rFonts w:ascii="Arial" w:hAnsi="Arial" w:cs="Arial"/>
                <w:color w:val="auto"/>
              </w:rPr>
              <w:t>16 (9.2)</w:t>
            </w:r>
          </w:p>
        </w:tc>
        <w:tc>
          <w:tcPr>
            <w:tcW w:w="1899" w:type="dxa"/>
            <w:tcBorders>
              <w:top w:val="nil"/>
              <w:left w:val="nil"/>
              <w:bottom w:val="nil"/>
              <w:right w:val="nil"/>
            </w:tcBorders>
            <w:vAlign w:val="center"/>
          </w:tcPr>
          <w:p w14:paraId="48C9A0A8" w14:textId="77777777" w:rsidR="00EA3564" w:rsidRPr="00102E66" w:rsidRDefault="00EA3564" w:rsidP="00FD45DE">
            <w:pPr>
              <w:jc w:val="center"/>
              <w:rPr>
                <w:rFonts w:ascii="Arial" w:hAnsi="Arial" w:cs="Arial"/>
                <w:color w:val="auto"/>
              </w:rPr>
            </w:pPr>
            <w:r w:rsidRPr="00102E66">
              <w:rPr>
                <w:rFonts w:ascii="Arial" w:hAnsi="Arial" w:cs="Arial"/>
                <w:color w:val="auto"/>
              </w:rPr>
              <w:t>11 (31.2)</w:t>
            </w:r>
          </w:p>
        </w:tc>
        <w:tc>
          <w:tcPr>
            <w:tcW w:w="1890" w:type="dxa"/>
            <w:tcBorders>
              <w:top w:val="nil"/>
              <w:left w:val="nil"/>
              <w:bottom w:val="nil"/>
              <w:right w:val="nil"/>
            </w:tcBorders>
            <w:vAlign w:val="center"/>
          </w:tcPr>
          <w:p w14:paraId="7A2524FE" w14:textId="77777777" w:rsidR="00EA3564" w:rsidRPr="00102E66" w:rsidRDefault="00EA3564" w:rsidP="00FD45DE">
            <w:pPr>
              <w:jc w:val="center"/>
              <w:rPr>
                <w:rFonts w:ascii="Arial" w:hAnsi="Arial" w:cs="Arial"/>
                <w:color w:val="auto"/>
              </w:rPr>
            </w:pPr>
            <w:r w:rsidRPr="00102E66">
              <w:rPr>
                <w:rFonts w:ascii="Arial" w:hAnsi="Arial" w:cs="Arial"/>
                <w:color w:val="auto"/>
              </w:rPr>
              <w:t>5 (68.8)</w:t>
            </w:r>
          </w:p>
        </w:tc>
        <w:tc>
          <w:tcPr>
            <w:tcW w:w="1846" w:type="dxa"/>
            <w:tcBorders>
              <w:top w:val="nil"/>
              <w:left w:val="nil"/>
              <w:bottom w:val="nil"/>
              <w:right w:val="nil"/>
            </w:tcBorders>
            <w:vAlign w:val="center"/>
          </w:tcPr>
          <w:p w14:paraId="7E092DEA" w14:textId="77777777" w:rsidR="00EA3564" w:rsidRPr="00102E66" w:rsidRDefault="00EA3564" w:rsidP="00FD45DE">
            <w:pPr>
              <w:jc w:val="center"/>
              <w:rPr>
                <w:rFonts w:ascii="Arial" w:hAnsi="Arial" w:cs="Arial"/>
                <w:color w:val="auto"/>
              </w:rPr>
            </w:pPr>
          </w:p>
        </w:tc>
      </w:tr>
      <w:tr w:rsidR="00EA3564" w:rsidRPr="00102E66" w14:paraId="7F23F0C8" w14:textId="77777777" w:rsidTr="00A70636">
        <w:trPr>
          <w:trHeight w:val="48"/>
        </w:trPr>
        <w:tc>
          <w:tcPr>
            <w:tcW w:w="2552" w:type="dxa"/>
            <w:tcBorders>
              <w:top w:val="nil"/>
              <w:left w:val="nil"/>
              <w:bottom w:val="nil"/>
              <w:right w:val="nil"/>
            </w:tcBorders>
          </w:tcPr>
          <w:p w14:paraId="6AA140D4"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Well</w:t>
            </w:r>
            <w:proofErr w:type="spellEnd"/>
            <w:r w:rsidRPr="00102E66">
              <w:rPr>
                <w:rFonts w:ascii="Arial" w:hAnsi="Arial" w:cs="Arial"/>
                <w:color w:val="auto"/>
              </w:rPr>
              <w:t xml:space="preserve"> water</w:t>
            </w:r>
          </w:p>
        </w:tc>
        <w:tc>
          <w:tcPr>
            <w:tcW w:w="1672" w:type="dxa"/>
            <w:tcBorders>
              <w:top w:val="nil"/>
              <w:left w:val="nil"/>
              <w:bottom w:val="nil"/>
              <w:right w:val="nil"/>
            </w:tcBorders>
            <w:vAlign w:val="center"/>
          </w:tcPr>
          <w:p w14:paraId="4741054B" w14:textId="77777777" w:rsidR="00EA3564" w:rsidRPr="00102E66" w:rsidRDefault="00EA3564" w:rsidP="00FD45DE">
            <w:pPr>
              <w:jc w:val="center"/>
              <w:rPr>
                <w:rFonts w:ascii="Arial" w:hAnsi="Arial" w:cs="Arial"/>
                <w:color w:val="auto"/>
              </w:rPr>
            </w:pPr>
            <w:r w:rsidRPr="00102E66">
              <w:rPr>
                <w:rFonts w:ascii="Arial" w:hAnsi="Arial" w:cs="Arial"/>
                <w:color w:val="auto"/>
              </w:rPr>
              <w:t>57(32.9)</w:t>
            </w:r>
          </w:p>
        </w:tc>
        <w:tc>
          <w:tcPr>
            <w:tcW w:w="1899" w:type="dxa"/>
            <w:tcBorders>
              <w:top w:val="nil"/>
              <w:left w:val="nil"/>
              <w:bottom w:val="nil"/>
              <w:right w:val="nil"/>
            </w:tcBorders>
            <w:vAlign w:val="center"/>
          </w:tcPr>
          <w:p w14:paraId="2474E6E3" w14:textId="77777777" w:rsidR="00EA3564" w:rsidRPr="00102E66" w:rsidRDefault="00EA3564" w:rsidP="00FD45DE">
            <w:pPr>
              <w:jc w:val="center"/>
              <w:rPr>
                <w:rFonts w:ascii="Arial" w:hAnsi="Arial" w:cs="Arial"/>
                <w:color w:val="auto"/>
              </w:rPr>
            </w:pPr>
            <w:r w:rsidRPr="00102E66">
              <w:rPr>
                <w:rFonts w:ascii="Arial" w:hAnsi="Arial" w:cs="Arial"/>
                <w:color w:val="auto"/>
              </w:rPr>
              <w:t>44 (77.2)</w:t>
            </w:r>
          </w:p>
        </w:tc>
        <w:tc>
          <w:tcPr>
            <w:tcW w:w="1890" w:type="dxa"/>
            <w:tcBorders>
              <w:top w:val="nil"/>
              <w:left w:val="nil"/>
              <w:bottom w:val="nil"/>
              <w:right w:val="nil"/>
            </w:tcBorders>
            <w:vAlign w:val="center"/>
          </w:tcPr>
          <w:p w14:paraId="33CA67BC" w14:textId="77777777" w:rsidR="00EA3564" w:rsidRPr="00102E66" w:rsidRDefault="00EA3564" w:rsidP="00FD45DE">
            <w:pPr>
              <w:jc w:val="center"/>
              <w:rPr>
                <w:rFonts w:ascii="Arial" w:hAnsi="Arial" w:cs="Arial"/>
                <w:color w:val="auto"/>
              </w:rPr>
            </w:pPr>
            <w:r w:rsidRPr="00102E66">
              <w:rPr>
                <w:rFonts w:ascii="Arial" w:hAnsi="Arial" w:cs="Arial"/>
                <w:color w:val="auto"/>
              </w:rPr>
              <w:t>13 (22.8)</w:t>
            </w:r>
          </w:p>
        </w:tc>
        <w:tc>
          <w:tcPr>
            <w:tcW w:w="1846" w:type="dxa"/>
            <w:tcBorders>
              <w:top w:val="nil"/>
              <w:left w:val="nil"/>
              <w:bottom w:val="nil"/>
              <w:right w:val="nil"/>
            </w:tcBorders>
            <w:vAlign w:val="center"/>
          </w:tcPr>
          <w:p w14:paraId="76FA65E5" w14:textId="77777777" w:rsidR="00EA3564" w:rsidRPr="00102E66" w:rsidRDefault="00EA3564" w:rsidP="00FD45DE">
            <w:pPr>
              <w:jc w:val="center"/>
              <w:rPr>
                <w:rFonts w:ascii="Arial" w:hAnsi="Arial" w:cs="Arial"/>
                <w:color w:val="auto"/>
              </w:rPr>
            </w:pPr>
          </w:p>
        </w:tc>
      </w:tr>
      <w:tr w:rsidR="00EA3564" w:rsidRPr="00102E66" w14:paraId="1D56C72F" w14:textId="77777777" w:rsidTr="00A70636">
        <w:trPr>
          <w:trHeight w:val="59"/>
        </w:trPr>
        <w:tc>
          <w:tcPr>
            <w:tcW w:w="2552" w:type="dxa"/>
            <w:tcBorders>
              <w:top w:val="nil"/>
              <w:left w:val="nil"/>
              <w:bottom w:val="single" w:sz="4" w:space="0" w:color="000000"/>
              <w:right w:val="nil"/>
            </w:tcBorders>
            <w:vAlign w:val="center"/>
          </w:tcPr>
          <w:p w14:paraId="20D92CC2" w14:textId="77777777" w:rsidR="00EA3564" w:rsidRPr="00102E66" w:rsidRDefault="00EA3564" w:rsidP="00EA3564">
            <w:pPr>
              <w:rPr>
                <w:rFonts w:ascii="Arial" w:hAnsi="Arial" w:cs="Arial"/>
                <w:color w:val="auto"/>
              </w:rPr>
            </w:pPr>
            <w:r w:rsidRPr="00102E66">
              <w:rPr>
                <w:rFonts w:ascii="Arial" w:hAnsi="Arial" w:cs="Arial"/>
                <w:color w:val="auto"/>
              </w:rPr>
              <w:t xml:space="preserve">Water </w:t>
            </w:r>
            <w:proofErr w:type="spellStart"/>
            <w:r w:rsidRPr="00102E66">
              <w:rPr>
                <w:rFonts w:ascii="Arial" w:hAnsi="Arial" w:cs="Arial"/>
                <w:color w:val="auto"/>
              </w:rPr>
              <w:t>from</w:t>
            </w:r>
            <w:proofErr w:type="spellEnd"/>
            <w:r w:rsidRPr="00102E66">
              <w:rPr>
                <w:rFonts w:ascii="Arial" w:hAnsi="Arial" w:cs="Arial"/>
                <w:color w:val="auto"/>
              </w:rPr>
              <w:t xml:space="preserve"> </w:t>
            </w:r>
            <w:proofErr w:type="spellStart"/>
            <w:r w:rsidRPr="00102E66">
              <w:rPr>
                <w:rFonts w:ascii="Arial" w:hAnsi="Arial" w:cs="Arial"/>
                <w:color w:val="auto"/>
              </w:rPr>
              <w:t>borehole</w:t>
            </w:r>
            <w:proofErr w:type="spellEnd"/>
          </w:p>
        </w:tc>
        <w:tc>
          <w:tcPr>
            <w:tcW w:w="1672" w:type="dxa"/>
            <w:tcBorders>
              <w:top w:val="nil"/>
              <w:left w:val="nil"/>
              <w:bottom w:val="single" w:sz="4" w:space="0" w:color="000000"/>
              <w:right w:val="nil"/>
            </w:tcBorders>
            <w:vAlign w:val="center"/>
          </w:tcPr>
          <w:p w14:paraId="4696CAF2" w14:textId="77777777" w:rsidR="00EA3564" w:rsidRPr="00102E66" w:rsidRDefault="00EA3564" w:rsidP="00FD45DE">
            <w:pPr>
              <w:jc w:val="center"/>
              <w:rPr>
                <w:rFonts w:ascii="Arial" w:hAnsi="Arial" w:cs="Arial"/>
                <w:color w:val="auto"/>
              </w:rPr>
            </w:pPr>
            <w:r w:rsidRPr="00102E66">
              <w:rPr>
                <w:rFonts w:ascii="Arial" w:hAnsi="Arial" w:cs="Arial"/>
                <w:color w:val="auto"/>
              </w:rPr>
              <w:t>32 (18.5)</w:t>
            </w:r>
          </w:p>
        </w:tc>
        <w:tc>
          <w:tcPr>
            <w:tcW w:w="1899" w:type="dxa"/>
            <w:tcBorders>
              <w:top w:val="nil"/>
              <w:left w:val="nil"/>
              <w:bottom w:val="single" w:sz="4" w:space="0" w:color="000000"/>
              <w:right w:val="nil"/>
            </w:tcBorders>
            <w:vAlign w:val="center"/>
          </w:tcPr>
          <w:p w14:paraId="21F46FCC" w14:textId="77777777" w:rsidR="00EA3564" w:rsidRPr="00102E66" w:rsidRDefault="00EA3564" w:rsidP="00FD45DE">
            <w:pPr>
              <w:jc w:val="center"/>
              <w:rPr>
                <w:rFonts w:ascii="Arial" w:hAnsi="Arial" w:cs="Arial"/>
                <w:color w:val="auto"/>
              </w:rPr>
            </w:pPr>
            <w:r w:rsidRPr="00102E66">
              <w:rPr>
                <w:rFonts w:ascii="Arial" w:hAnsi="Arial" w:cs="Arial"/>
                <w:color w:val="auto"/>
              </w:rPr>
              <w:t>17 (53.1)</w:t>
            </w:r>
          </w:p>
        </w:tc>
        <w:tc>
          <w:tcPr>
            <w:tcW w:w="1890" w:type="dxa"/>
            <w:tcBorders>
              <w:top w:val="nil"/>
              <w:left w:val="nil"/>
              <w:bottom w:val="single" w:sz="4" w:space="0" w:color="000000"/>
              <w:right w:val="nil"/>
            </w:tcBorders>
            <w:vAlign w:val="center"/>
          </w:tcPr>
          <w:p w14:paraId="39719C55" w14:textId="77777777" w:rsidR="00EA3564" w:rsidRPr="00102E66" w:rsidRDefault="00EA3564" w:rsidP="00FD45DE">
            <w:pPr>
              <w:jc w:val="center"/>
              <w:rPr>
                <w:rFonts w:ascii="Arial" w:hAnsi="Arial" w:cs="Arial"/>
                <w:color w:val="auto"/>
              </w:rPr>
            </w:pPr>
            <w:r w:rsidRPr="00102E66">
              <w:rPr>
                <w:rFonts w:ascii="Arial" w:hAnsi="Arial" w:cs="Arial"/>
                <w:color w:val="auto"/>
              </w:rPr>
              <w:t>15 (46.9)</w:t>
            </w:r>
          </w:p>
        </w:tc>
        <w:tc>
          <w:tcPr>
            <w:tcW w:w="1846" w:type="dxa"/>
            <w:tcBorders>
              <w:top w:val="nil"/>
              <w:left w:val="nil"/>
              <w:bottom w:val="single" w:sz="4" w:space="0" w:color="000000"/>
              <w:right w:val="nil"/>
            </w:tcBorders>
            <w:vAlign w:val="center"/>
          </w:tcPr>
          <w:p w14:paraId="56873DB2" w14:textId="77777777" w:rsidR="00EA3564" w:rsidRPr="00102E66" w:rsidRDefault="00EA3564" w:rsidP="00FD45DE">
            <w:pPr>
              <w:jc w:val="center"/>
              <w:rPr>
                <w:rFonts w:ascii="Arial" w:hAnsi="Arial" w:cs="Arial"/>
                <w:color w:val="auto"/>
              </w:rPr>
            </w:pPr>
          </w:p>
        </w:tc>
      </w:tr>
      <w:tr w:rsidR="00EA3564" w:rsidRPr="00102E66" w14:paraId="5F852CCD" w14:textId="77777777" w:rsidTr="00A70636">
        <w:trPr>
          <w:trHeight w:val="88"/>
        </w:trPr>
        <w:tc>
          <w:tcPr>
            <w:tcW w:w="2552" w:type="dxa"/>
            <w:tcBorders>
              <w:left w:val="nil"/>
              <w:bottom w:val="nil"/>
              <w:right w:val="nil"/>
            </w:tcBorders>
            <w:vAlign w:val="center"/>
          </w:tcPr>
          <w:p w14:paraId="252410AC" w14:textId="77777777" w:rsidR="00EA3564" w:rsidRPr="00102E66" w:rsidRDefault="00EA3564" w:rsidP="00EA3564">
            <w:pPr>
              <w:rPr>
                <w:rFonts w:ascii="Arial" w:hAnsi="Arial" w:cs="Arial"/>
                <w:b/>
                <w:color w:val="auto"/>
              </w:rPr>
            </w:pPr>
            <w:r w:rsidRPr="00102E66">
              <w:rPr>
                <w:rFonts w:ascii="Arial" w:hAnsi="Arial" w:cs="Arial"/>
                <w:b/>
                <w:color w:val="auto"/>
                <w:lang w:val="en-US"/>
              </w:rPr>
              <w:t>History of UTIs</w:t>
            </w:r>
          </w:p>
        </w:tc>
        <w:tc>
          <w:tcPr>
            <w:tcW w:w="1672" w:type="dxa"/>
            <w:tcBorders>
              <w:left w:val="nil"/>
              <w:bottom w:val="nil"/>
              <w:right w:val="nil"/>
            </w:tcBorders>
            <w:vAlign w:val="center"/>
          </w:tcPr>
          <w:p w14:paraId="73A04B9B"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67817131"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6BE0569D"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1867C1DE" w14:textId="77777777" w:rsidR="00EA3564" w:rsidRPr="00102E66" w:rsidRDefault="00EA3564" w:rsidP="00FD45DE">
            <w:pPr>
              <w:jc w:val="center"/>
              <w:rPr>
                <w:rFonts w:ascii="Arial" w:hAnsi="Arial" w:cs="Arial"/>
                <w:color w:val="auto"/>
              </w:rPr>
            </w:pPr>
          </w:p>
        </w:tc>
      </w:tr>
      <w:tr w:rsidR="00EA3564" w:rsidRPr="00102E66" w14:paraId="0839492F" w14:textId="77777777" w:rsidTr="00A70636">
        <w:trPr>
          <w:trHeight w:val="48"/>
        </w:trPr>
        <w:tc>
          <w:tcPr>
            <w:tcW w:w="2552" w:type="dxa"/>
            <w:tcBorders>
              <w:top w:val="nil"/>
              <w:left w:val="nil"/>
              <w:bottom w:val="nil"/>
              <w:right w:val="nil"/>
            </w:tcBorders>
            <w:vAlign w:val="center"/>
          </w:tcPr>
          <w:p w14:paraId="1314956F" w14:textId="77777777" w:rsidR="00EA3564" w:rsidRPr="00102E66" w:rsidRDefault="00EA3564" w:rsidP="00EA3564">
            <w:pPr>
              <w:rPr>
                <w:rFonts w:ascii="Arial" w:hAnsi="Arial" w:cs="Arial"/>
                <w:color w:val="auto"/>
              </w:rPr>
            </w:pPr>
            <w:proofErr w:type="spellStart"/>
            <w:r w:rsidRPr="00102E66">
              <w:rPr>
                <w:rFonts w:ascii="Arial" w:hAnsi="Arial" w:cs="Arial"/>
                <w:color w:val="auto"/>
              </w:rPr>
              <w:t>Presence</w:t>
            </w:r>
            <w:proofErr w:type="spellEnd"/>
          </w:p>
        </w:tc>
        <w:tc>
          <w:tcPr>
            <w:tcW w:w="1672" w:type="dxa"/>
            <w:tcBorders>
              <w:top w:val="nil"/>
              <w:left w:val="nil"/>
              <w:bottom w:val="nil"/>
              <w:right w:val="nil"/>
            </w:tcBorders>
            <w:vAlign w:val="center"/>
          </w:tcPr>
          <w:p w14:paraId="17B57873" w14:textId="77777777" w:rsidR="00EA3564" w:rsidRPr="00102E66" w:rsidRDefault="00EA3564" w:rsidP="00FD45DE">
            <w:pPr>
              <w:jc w:val="center"/>
              <w:rPr>
                <w:rFonts w:ascii="Arial" w:hAnsi="Arial" w:cs="Arial"/>
                <w:color w:val="auto"/>
              </w:rPr>
            </w:pPr>
            <w:r w:rsidRPr="00102E66">
              <w:rPr>
                <w:rFonts w:ascii="Arial" w:hAnsi="Arial" w:cs="Arial"/>
                <w:color w:val="auto"/>
              </w:rPr>
              <w:t>50 (28.9)</w:t>
            </w:r>
          </w:p>
        </w:tc>
        <w:tc>
          <w:tcPr>
            <w:tcW w:w="1899" w:type="dxa"/>
            <w:tcBorders>
              <w:top w:val="nil"/>
              <w:left w:val="nil"/>
              <w:bottom w:val="nil"/>
              <w:right w:val="nil"/>
            </w:tcBorders>
            <w:vAlign w:val="center"/>
          </w:tcPr>
          <w:p w14:paraId="27DAA54D" w14:textId="77777777" w:rsidR="00EA3564" w:rsidRPr="00102E66" w:rsidRDefault="00EA3564" w:rsidP="00FD45DE">
            <w:pPr>
              <w:jc w:val="center"/>
              <w:rPr>
                <w:rFonts w:ascii="Arial" w:hAnsi="Arial" w:cs="Arial"/>
                <w:color w:val="auto"/>
              </w:rPr>
            </w:pPr>
            <w:r w:rsidRPr="00102E66">
              <w:rPr>
                <w:rFonts w:ascii="Arial" w:hAnsi="Arial" w:cs="Arial"/>
                <w:color w:val="auto"/>
              </w:rPr>
              <w:t>37 (74.0)</w:t>
            </w:r>
          </w:p>
        </w:tc>
        <w:tc>
          <w:tcPr>
            <w:tcW w:w="1890" w:type="dxa"/>
            <w:tcBorders>
              <w:top w:val="nil"/>
              <w:left w:val="nil"/>
              <w:bottom w:val="nil"/>
              <w:right w:val="nil"/>
            </w:tcBorders>
            <w:vAlign w:val="center"/>
          </w:tcPr>
          <w:p w14:paraId="0A04466E" w14:textId="77777777" w:rsidR="00EA3564" w:rsidRPr="00102E66" w:rsidRDefault="00EA3564" w:rsidP="00FD45DE">
            <w:pPr>
              <w:jc w:val="center"/>
              <w:rPr>
                <w:rFonts w:ascii="Arial" w:hAnsi="Arial" w:cs="Arial"/>
                <w:color w:val="auto"/>
              </w:rPr>
            </w:pPr>
            <w:r w:rsidRPr="00102E66">
              <w:rPr>
                <w:rFonts w:ascii="Arial" w:hAnsi="Arial" w:cs="Arial"/>
                <w:color w:val="auto"/>
              </w:rPr>
              <w:t>13 (27.0)</w:t>
            </w:r>
          </w:p>
        </w:tc>
        <w:tc>
          <w:tcPr>
            <w:tcW w:w="1846" w:type="dxa"/>
            <w:tcBorders>
              <w:top w:val="nil"/>
              <w:left w:val="nil"/>
              <w:bottom w:val="nil"/>
              <w:right w:val="nil"/>
            </w:tcBorders>
            <w:vAlign w:val="center"/>
          </w:tcPr>
          <w:p w14:paraId="610E9A10" w14:textId="77777777" w:rsidR="00EA3564" w:rsidRPr="00102E66" w:rsidRDefault="00EA3564" w:rsidP="00FD45DE">
            <w:pPr>
              <w:jc w:val="center"/>
              <w:rPr>
                <w:rFonts w:ascii="Arial" w:hAnsi="Arial" w:cs="Arial"/>
                <w:color w:val="auto"/>
              </w:rPr>
            </w:pPr>
            <w:r w:rsidRPr="00102E66">
              <w:rPr>
                <w:rFonts w:ascii="Arial" w:hAnsi="Arial" w:cs="Arial"/>
                <w:color w:val="auto"/>
              </w:rPr>
              <w:t>0.297</w:t>
            </w:r>
          </w:p>
        </w:tc>
      </w:tr>
      <w:tr w:rsidR="00EA3564" w:rsidRPr="00102E66" w14:paraId="48FA21ED" w14:textId="77777777" w:rsidTr="00A70636">
        <w:trPr>
          <w:trHeight w:val="48"/>
        </w:trPr>
        <w:tc>
          <w:tcPr>
            <w:tcW w:w="2552" w:type="dxa"/>
            <w:tcBorders>
              <w:top w:val="nil"/>
              <w:left w:val="nil"/>
              <w:bottom w:val="single" w:sz="4" w:space="0" w:color="000000"/>
              <w:right w:val="nil"/>
            </w:tcBorders>
            <w:vAlign w:val="center"/>
          </w:tcPr>
          <w:p w14:paraId="18B93CBC" w14:textId="77777777" w:rsidR="00EA3564" w:rsidRPr="00102E66" w:rsidRDefault="00EA3564" w:rsidP="00EA3564">
            <w:pPr>
              <w:rPr>
                <w:rFonts w:ascii="Arial" w:hAnsi="Arial" w:cs="Arial"/>
                <w:color w:val="auto"/>
              </w:rPr>
            </w:pPr>
            <w:r w:rsidRPr="00102E66">
              <w:rPr>
                <w:rFonts w:ascii="Arial" w:hAnsi="Arial" w:cs="Arial"/>
                <w:color w:val="auto"/>
              </w:rPr>
              <w:t>Absence</w:t>
            </w:r>
          </w:p>
        </w:tc>
        <w:tc>
          <w:tcPr>
            <w:tcW w:w="1672" w:type="dxa"/>
            <w:tcBorders>
              <w:top w:val="nil"/>
              <w:left w:val="nil"/>
              <w:bottom w:val="single" w:sz="4" w:space="0" w:color="000000"/>
              <w:right w:val="nil"/>
            </w:tcBorders>
            <w:vAlign w:val="center"/>
          </w:tcPr>
          <w:p w14:paraId="155BB5AB" w14:textId="77777777" w:rsidR="00EA3564" w:rsidRPr="00102E66" w:rsidRDefault="00EA3564" w:rsidP="00FD45DE">
            <w:pPr>
              <w:jc w:val="center"/>
              <w:rPr>
                <w:rFonts w:ascii="Arial" w:hAnsi="Arial" w:cs="Arial"/>
                <w:color w:val="auto"/>
              </w:rPr>
            </w:pPr>
            <w:r w:rsidRPr="00102E66">
              <w:rPr>
                <w:rFonts w:ascii="Arial" w:hAnsi="Arial" w:cs="Arial"/>
                <w:color w:val="auto"/>
              </w:rPr>
              <w:t>123 (71.1)</w:t>
            </w:r>
          </w:p>
        </w:tc>
        <w:tc>
          <w:tcPr>
            <w:tcW w:w="1899" w:type="dxa"/>
            <w:tcBorders>
              <w:top w:val="nil"/>
              <w:left w:val="nil"/>
              <w:bottom w:val="single" w:sz="4" w:space="0" w:color="000000"/>
              <w:right w:val="nil"/>
            </w:tcBorders>
            <w:vAlign w:val="center"/>
          </w:tcPr>
          <w:p w14:paraId="7A550B87" w14:textId="77777777" w:rsidR="00EA3564" w:rsidRPr="00102E66" w:rsidRDefault="00EA3564" w:rsidP="00FD45DE">
            <w:pPr>
              <w:jc w:val="center"/>
              <w:rPr>
                <w:rFonts w:ascii="Arial" w:hAnsi="Arial" w:cs="Arial"/>
                <w:color w:val="auto"/>
              </w:rPr>
            </w:pPr>
            <w:r w:rsidRPr="00102E66">
              <w:rPr>
                <w:rFonts w:ascii="Arial" w:hAnsi="Arial" w:cs="Arial"/>
                <w:color w:val="auto"/>
              </w:rPr>
              <w:t>81 (65.9)</w:t>
            </w:r>
          </w:p>
        </w:tc>
        <w:tc>
          <w:tcPr>
            <w:tcW w:w="1890" w:type="dxa"/>
            <w:tcBorders>
              <w:top w:val="nil"/>
              <w:left w:val="nil"/>
              <w:bottom w:val="single" w:sz="4" w:space="0" w:color="000000"/>
              <w:right w:val="nil"/>
            </w:tcBorders>
            <w:vAlign w:val="center"/>
          </w:tcPr>
          <w:p w14:paraId="2BA832E7" w14:textId="77777777" w:rsidR="00EA3564" w:rsidRPr="00102E66" w:rsidRDefault="00EA3564" w:rsidP="00FD45DE">
            <w:pPr>
              <w:jc w:val="center"/>
              <w:rPr>
                <w:rFonts w:ascii="Arial" w:hAnsi="Arial" w:cs="Arial"/>
                <w:color w:val="auto"/>
              </w:rPr>
            </w:pPr>
            <w:r w:rsidRPr="00102E66">
              <w:rPr>
                <w:rFonts w:ascii="Arial" w:hAnsi="Arial" w:cs="Arial"/>
                <w:color w:val="auto"/>
              </w:rPr>
              <w:t>42 (34.1)</w:t>
            </w:r>
          </w:p>
        </w:tc>
        <w:tc>
          <w:tcPr>
            <w:tcW w:w="1846" w:type="dxa"/>
            <w:tcBorders>
              <w:top w:val="nil"/>
              <w:left w:val="nil"/>
              <w:bottom w:val="single" w:sz="4" w:space="0" w:color="000000"/>
              <w:right w:val="nil"/>
            </w:tcBorders>
            <w:vAlign w:val="center"/>
          </w:tcPr>
          <w:p w14:paraId="6EB5A14E" w14:textId="77777777" w:rsidR="00EA3564" w:rsidRPr="00102E66" w:rsidRDefault="00EA3564" w:rsidP="00FD45DE">
            <w:pPr>
              <w:jc w:val="center"/>
              <w:rPr>
                <w:rFonts w:ascii="Arial" w:hAnsi="Arial" w:cs="Arial"/>
                <w:color w:val="auto"/>
              </w:rPr>
            </w:pPr>
          </w:p>
        </w:tc>
      </w:tr>
      <w:tr w:rsidR="00EA3564" w:rsidRPr="00102E66" w14:paraId="2C6342C8" w14:textId="77777777" w:rsidTr="00A70636">
        <w:trPr>
          <w:trHeight w:val="84"/>
        </w:trPr>
        <w:tc>
          <w:tcPr>
            <w:tcW w:w="2552" w:type="dxa"/>
            <w:tcBorders>
              <w:left w:val="nil"/>
              <w:bottom w:val="nil"/>
              <w:right w:val="nil"/>
            </w:tcBorders>
            <w:vAlign w:val="center"/>
          </w:tcPr>
          <w:p w14:paraId="3EF44CDA"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Frequent</w:t>
            </w:r>
            <w:proofErr w:type="spellEnd"/>
            <w:r w:rsidRPr="00102E66">
              <w:rPr>
                <w:rFonts w:ascii="Arial" w:hAnsi="Arial" w:cs="Arial"/>
                <w:b/>
                <w:color w:val="auto"/>
              </w:rPr>
              <w:t xml:space="preserve"> </w:t>
            </w:r>
            <w:proofErr w:type="spellStart"/>
            <w:r w:rsidRPr="00102E66">
              <w:rPr>
                <w:rFonts w:ascii="Arial" w:hAnsi="Arial" w:cs="Arial"/>
                <w:b/>
                <w:color w:val="auto"/>
              </w:rPr>
              <w:t>utilization</w:t>
            </w:r>
            <w:proofErr w:type="spellEnd"/>
            <w:r w:rsidRPr="00102E66">
              <w:rPr>
                <w:rFonts w:ascii="Arial" w:hAnsi="Arial" w:cs="Arial"/>
                <w:b/>
                <w:color w:val="auto"/>
              </w:rPr>
              <w:t xml:space="preserve"> of </w:t>
            </w:r>
            <w:proofErr w:type="spellStart"/>
            <w:r w:rsidRPr="00102E66">
              <w:rPr>
                <w:rFonts w:ascii="Arial" w:hAnsi="Arial" w:cs="Arial"/>
                <w:b/>
                <w:color w:val="auto"/>
              </w:rPr>
              <w:t>antibiotics</w:t>
            </w:r>
            <w:proofErr w:type="spellEnd"/>
          </w:p>
        </w:tc>
        <w:tc>
          <w:tcPr>
            <w:tcW w:w="1672" w:type="dxa"/>
            <w:tcBorders>
              <w:left w:val="nil"/>
              <w:bottom w:val="nil"/>
              <w:right w:val="nil"/>
            </w:tcBorders>
            <w:vAlign w:val="center"/>
          </w:tcPr>
          <w:p w14:paraId="3D35132C"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382D5FDE"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3FC39C2B"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4E4AF343" w14:textId="77777777" w:rsidR="00EA3564" w:rsidRPr="00102E66" w:rsidRDefault="00EA3564" w:rsidP="00FD45DE">
            <w:pPr>
              <w:jc w:val="center"/>
              <w:rPr>
                <w:rFonts w:ascii="Arial" w:hAnsi="Arial" w:cs="Arial"/>
                <w:color w:val="auto"/>
              </w:rPr>
            </w:pPr>
          </w:p>
        </w:tc>
      </w:tr>
      <w:tr w:rsidR="00EA3564" w:rsidRPr="00102E66" w14:paraId="1E0BD023" w14:textId="77777777" w:rsidTr="00A70636">
        <w:trPr>
          <w:trHeight w:val="48"/>
        </w:trPr>
        <w:tc>
          <w:tcPr>
            <w:tcW w:w="2552" w:type="dxa"/>
            <w:tcBorders>
              <w:top w:val="nil"/>
              <w:left w:val="nil"/>
              <w:bottom w:val="nil"/>
              <w:right w:val="nil"/>
            </w:tcBorders>
            <w:vAlign w:val="center"/>
          </w:tcPr>
          <w:p w14:paraId="7705CCA4"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3488B58D" w14:textId="77777777" w:rsidR="00EA3564" w:rsidRPr="00102E66" w:rsidRDefault="00EA3564" w:rsidP="00FD45DE">
            <w:pPr>
              <w:jc w:val="center"/>
              <w:rPr>
                <w:rFonts w:ascii="Arial" w:hAnsi="Arial" w:cs="Arial"/>
                <w:color w:val="auto"/>
              </w:rPr>
            </w:pPr>
            <w:r w:rsidRPr="00102E66">
              <w:rPr>
                <w:rFonts w:ascii="Arial" w:hAnsi="Arial" w:cs="Arial"/>
                <w:color w:val="auto"/>
              </w:rPr>
              <w:t>61 (30.0)</w:t>
            </w:r>
          </w:p>
        </w:tc>
        <w:tc>
          <w:tcPr>
            <w:tcW w:w="1899" w:type="dxa"/>
            <w:tcBorders>
              <w:top w:val="nil"/>
              <w:left w:val="nil"/>
              <w:bottom w:val="nil"/>
              <w:right w:val="nil"/>
            </w:tcBorders>
            <w:vAlign w:val="center"/>
          </w:tcPr>
          <w:p w14:paraId="7BA9B35E" w14:textId="77777777" w:rsidR="00EA3564" w:rsidRPr="00102E66" w:rsidRDefault="00EA3564" w:rsidP="00FD45DE">
            <w:pPr>
              <w:jc w:val="center"/>
              <w:rPr>
                <w:rFonts w:ascii="Arial" w:hAnsi="Arial" w:cs="Arial"/>
                <w:color w:val="auto"/>
              </w:rPr>
            </w:pPr>
            <w:r w:rsidRPr="00102E66">
              <w:rPr>
                <w:rFonts w:ascii="Arial" w:hAnsi="Arial" w:cs="Arial"/>
                <w:color w:val="auto"/>
              </w:rPr>
              <w:t>54 (88.5)</w:t>
            </w:r>
          </w:p>
        </w:tc>
        <w:tc>
          <w:tcPr>
            <w:tcW w:w="1890" w:type="dxa"/>
            <w:tcBorders>
              <w:top w:val="nil"/>
              <w:left w:val="nil"/>
              <w:bottom w:val="nil"/>
              <w:right w:val="nil"/>
            </w:tcBorders>
            <w:vAlign w:val="center"/>
          </w:tcPr>
          <w:p w14:paraId="3853127D" w14:textId="77777777" w:rsidR="00EA3564" w:rsidRPr="00102E66" w:rsidRDefault="00EA3564" w:rsidP="00FD45DE">
            <w:pPr>
              <w:jc w:val="center"/>
              <w:rPr>
                <w:rFonts w:ascii="Arial" w:hAnsi="Arial" w:cs="Arial"/>
                <w:color w:val="auto"/>
              </w:rPr>
            </w:pPr>
            <w:r w:rsidRPr="00102E66">
              <w:rPr>
                <w:rFonts w:ascii="Arial" w:hAnsi="Arial" w:cs="Arial"/>
                <w:color w:val="auto"/>
              </w:rPr>
              <w:t>7 (11.5)</w:t>
            </w:r>
          </w:p>
        </w:tc>
        <w:tc>
          <w:tcPr>
            <w:tcW w:w="1846" w:type="dxa"/>
            <w:tcBorders>
              <w:top w:val="nil"/>
              <w:left w:val="nil"/>
              <w:bottom w:val="nil"/>
              <w:right w:val="nil"/>
            </w:tcBorders>
            <w:vAlign w:val="center"/>
          </w:tcPr>
          <w:p w14:paraId="65F90A44" w14:textId="77777777" w:rsidR="00EA3564" w:rsidRPr="00102E66" w:rsidRDefault="00EA3564" w:rsidP="00FD45DE">
            <w:pPr>
              <w:jc w:val="center"/>
              <w:rPr>
                <w:rFonts w:ascii="Arial" w:hAnsi="Arial" w:cs="Arial"/>
                <w:color w:val="auto"/>
              </w:rPr>
            </w:pPr>
            <w:r w:rsidRPr="00102E66">
              <w:rPr>
                <w:rFonts w:ascii="Arial" w:hAnsi="Arial" w:cs="Arial"/>
                <w:color w:val="auto"/>
              </w:rPr>
              <w:t>0.060</w:t>
            </w:r>
          </w:p>
        </w:tc>
      </w:tr>
      <w:tr w:rsidR="00EA3564" w:rsidRPr="00102E66" w14:paraId="5EDF5B2F" w14:textId="77777777" w:rsidTr="00A70636">
        <w:trPr>
          <w:trHeight w:val="81"/>
        </w:trPr>
        <w:tc>
          <w:tcPr>
            <w:tcW w:w="2552" w:type="dxa"/>
            <w:tcBorders>
              <w:top w:val="nil"/>
              <w:left w:val="nil"/>
              <w:bottom w:val="single" w:sz="4" w:space="0" w:color="000000"/>
              <w:right w:val="nil"/>
            </w:tcBorders>
            <w:vAlign w:val="center"/>
          </w:tcPr>
          <w:p w14:paraId="463C84BD"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4" w:space="0" w:color="000000"/>
              <w:right w:val="nil"/>
            </w:tcBorders>
            <w:vAlign w:val="center"/>
          </w:tcPr>
          <w:p w14:paraId="1ABD1F14" w14:textId="77777777" w:rsidR="00EA3564" w:rsidRPr="00102E66" w:rsidRDefault="00EA3564" w:rsidP="00FD45DE">
            <w:pPr>
              <w:jc w:val="center"/>
              <w:rPr>
                <w:rFonts w:ascii="Arial" w:hAnsi="Arial" w:cs="Arial"/>
                <w:color w:val="auto"/>
              </w:rPr>
            </w:pPr>
            <w:r w:rsidRPr="00102E66">
              <w:rPr>
                <w:rFonts w:ascii="Arial" w:hAnsi="Arial" w:cs="Arial"/>
                <w:color w:val="auto"/>
              </w:rPr>
              <w:t>112 (70.0)</w:t>
            </w:r>
          </w:p>
        </w:tc>
        <w:tc>
          <w:tcPr>
            <w:tcW w:w="1899" w:type="dxa"/>
            <w:tcBorders>
              <w:top w:val="nil"/>
              <w:left w:val="nil"/>
              <w:bottom w:val="single" w:sz="4" w:space="0" w:color="000000"/>
              <w:right w:val="nil"/>
            </w:tcBorders>
            <w:vAlign w:val="center"/>
          </w:tcPr>
          <w:p w14:paraId="645E02A1" w14:textId="77777777" w:rsidR="00EA3564" w:rsidRPr="00102E66" w:rsidRDefault="00EA3564" w:rsidP="00FD45DE">
            <w:pPr>
              <w:jc w:val="center"/>
              <w:rPr>
                <w:rFonts w:ascii="Arial" w:hAnsi="Arial" w:cs="Arial"/>
                <w:color w:val="auto"/>
              </w:rPr>
            </w:pPr>
            <w:r w:rsidRPr="00102E66">
              <w:rPr>
                <w:rFonts w:ascii="Arial" w:hAnsi="Arial" w:cs="Arial"/>
                <w:color w:val="auto"/>
              </w:rPr>
              <w:t>59 (52.7)</w:t>
            </w:r>
          </w:p>
        </w:tc>
        <w:tc>
          <w:tcPr>
            <w:tcW w:w="1890" w:type="dxa"/>
            <w:tcBorders>
              <w:top w:val="nil"/>
              <w:left w:val="nil"/>
              <w:bottom w:val="single" w:sz="4" w:space="0" w:color="000000"/>
              <w:right w:val="nil"/>
            </w:tcBorders>
            <w:vAlign w:val="center"/>
          </w:tcPr>
          <w:p w14:paraId="0597B575" w14:textId="77777777" w:rsidR="00EA3564" w:rsidRPr="00102E66" w:rsidRDefault="00EA3564" w:rsidP="00FD45DE">
            <w:pPr>
              <w:jc w:val="center"/>
              <w:rPr>
                <w:rFonts w:ascii="Arial" w:hAnsi="Arial" w:cs="Arial"/>
                <w:color w:val="auto"/>
              </w:rPr>
            </w:pPr>
            <w:r w:rsidRPr="00102E66">
              <w:rPr>
                <w:rFonts w:ascii="Arial" w:hAnsi="Arial" w:cs="Arial"/>
                <w:color w:val="auto"/>
              </w:rPr>
              <w:t>53 (47.3)</w:t>
            </w:r>
          </w:p>
        </w:tc>
        <w:tc>
          <w:tcPr>
            <w:tcW w:w="1846" w:type="dxa"/>
            <w:tcBorders>
              <w:top w:val="nil"/>
              <w:left w:val="nil"/>
              <w:bottom w:val="single" w:sz="4" w:space="0" w:color="000000"/>
              <w:right w:val="nil"/>
            </w:tcBorders>
            <w:vAlign w:val="center"/>
          </w:tcPr>
          <w:p w14:paraId="2818EA40" w14:textId="77777777" w:rsidR="00EA3564" w:rsidRPr="00102E66" w:rsidRDefault="00EA3564" w:rsidP="00FD45DE">
            <w:pPr>
              <w:jc w:val="center"/>
              <w:rPr>
                <w:rFonts w:ascii="Arial" w:hAnsi="Arial" w:cs="Arial"/>
                <w:color w:val="auto"/>
              </w:rPr>
            </w:pPr>
          </w:p>
        </w:tc>
      </w:tr>
      <w:tr w:rsidR="00EA3564" w:rsidRPr="00102E66" w14:paraId="3D3F8438" w14:textId="77777777" w:rsidTr="00A70636">
        <w:trPr>
          <w:trHeight w:val="250"/>
        </w:trPr>
        <w:tc>
          <w:tcPr>
            <w:tcW w:w="2552" w:type="dxa"/>
            <w:tcBorders>
              <w:left w:val="nil"/>
              <w:bottom w:val="nil"/>
              <w:right w:val="nil"/>
            </w:tcBorders>
            <w:vAlign w:val="center"/>
          </w:tcPr>
          <w:p w14:paraId="39BA1448" w14:textId="77777777" w:rsidR="00EA3564" w:rsidRPr="00102E66" w:rsidRDefault="00EA3564" w:rsidP="00EA3564">
            <w:pPr>
              <w:rPr>
                <w:rFonts w:ascii="Arial" w:hAnsi="Arial" w:cs="Arial"/>
                <w:b/>
                <w:color w:val="auto"/>
              </w:rPr>
            </w:pPr>
            <w:r w:rsidRPr="00102E66">
              <w:rPr>
                <w:rFonts w:ascii="Arial" w:hAnsi="Arial" w:cs="Arial"/>
                <w:b/>
                <w:color w:val="auto"/>
                <w:lang w:val="en-US"/>
              </w:rPr>
              <w:t>Interruption of treatment</w:t>
            </w:r>
          </w:p>
        </w:tc>
        <w:tc>
          <w:tcPr>
            <w:tcW w:w="1672" w:type="dxa"/>
            <w:tcBorders>
              <w:left w:val="nil"/>
              <w:bottom w:val="nil"/>
              <w:right w:val="nil"/>
            </w:tcBorders>
            <w:vAlign w:val="center"/>
          </w:tcPr>
          <w:p w14:paraId="32A8F1D0"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1651825F"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00326C4"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23F30625" w14:textId="77777777" w:rsidR="00EA3564" w:rsidRPr="00102E66" w:rsidRDefault="00EA3564" w:rsidP="00FD45DE">
            <w:pPr>
              <w:jc w:val="center"/>
              <w:rPr>
                <w:rFonts w:ascii="Arial" w:hAnsi="Arial" w:cs="Arial"/>
                <w:color w:val="auto"/>
              </w:rPr>
            </w:pPr>
          </w:p>
        </w:tc>
      </w:tr>
      <w:tr w:rsidR="00EA3564" w:rsidRPr="00102E66" w14:paraId="0FD00B3C" w14:textId="77777777" w:rsidTr="00A70636">
        <w:trPr>
          <w:trHeight w:val="78"/>
        </w:trPr>
        <w:tc>
          <w:tcPr>
            <w:tcW w:w="2552" w:type="dxa"/>
            <w:tcBorders>
              <w:top w:val="nil"/>
              <w:left w:val="nil"/>
              <w:bottom w:val="nil"/>
              <w:right w:val="nil"/>
            </w:tcBorders>
            <w:vAlign w:val="center"/>
          </w:tcPr>
          <w:p w14:paraId="48C03CD3"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11EA3463" w14:textId="77777777" w:rsidR="00EA3564" w:rsidRPr="00102E66" w:rsidRDefault="00EA3564" w:rsidP="00FD45DE">
            <w:pPr>
              <w:jc w:val="center"/>
              <w:rPr>
                <w:rFonts w:ascii="Arial" w:hAnsi="Arial" w:cs="Arial"/>
                <w:color w:val="auto"/>
              </w:rPr>
            </w:pPr>
            <w:r w:rsidRPr="00102E66">
              <w:rPr>
                <w:rFonts w:ascii="Arial" w:hAnsi="Arial" w:cs="Arial"/>
                <w:color w:val="auto"/>
              </w:rPr>
              <w:t>55 (31.8)</w:t>
            </w:r>
          </w:p>
        </w:tc>
        <w:tc>
          <w:tcPr>
            <w:tcW w:w="1899" w:type="dxa"/>
            <w:tcBorders>
              <w:top w:val="nil"/>
              <w:left w:val="nil"/>
              <w:bottom w:val="nil"/>
              <w:right w:val="nil"/>
            </w:tcBorders>
            <w:vAlign w:val="center"/>
          </w:tcPr>
          <w:p w14:paraId="60E86340" w14:textId="77777777" w:rsidR="00EA3564" w:rsidRPr="00102E66" w:rsidRDefault="00EA3564" w:rsidP="00FD45DE">
            <w:pPr>
              <w:jc w:val="center"/>
              <w:rPr>
                <w:rFonts w:ascii="Arial" w:hAnsi="Arial" w:cs="Arial"/>
                <w:color w:val="auto"/>
              </w:rPr>
            </w:pPr>
            <w:r w:rsidRPr="00102E66">
              <w:rPr>
                <w:rFonts w:ascii="Arial" w:hAnsi="Arial" w:cs="Arial"/>
                <w:color w:val="auto"/>
              </w:rPr>
              <w:t>43 (78.2)</w:t>
            </w:r>
          </w:p>
        </w:tc>
        <w:tc>
          <w:tcPr>
            <w:tcW w:w="1890" w:type="dxa"/>
            <w:tcBorders>
              <w:top w:val="nil"/>
              <w:left w:val="nil"/>
              <w:bottom w:val="nil"/>
              <w:right w:val="nil"/>
            </w:tcBorders>
            <w:vAlign w:val="center"/>
          </w:tcPr>
          <w:p w14:paraId="4E346B4F" w14:textId="77777777" w:rsidR="00EA3564" w:rsidRPr="00102E66" w:rsidRDefault="00EA3564" w:rsidP="00FD45DE">
            <w:pPr>
              <w:jc w:val="center"/>
              <w:rPr>
                <w:rFonts w:ascii="Arial" w:hAnsi="Arial" w:cs="Arial"/>
                <w:color w:val="auto"/>
              </w:rPr>
            </w:pPr>
            <w:r w:rsidRPr="00102E66">
              <w:rPr>
                <w:rFonts w:ascii="Arial" w:hAnsi="Arial" w:cs="Arial"/>
                <w:color w:val="auto"/>
              </w:rPr>
              <w:t>12 (21.5)</w:t>
            </w:r>
          </w:p>
        </w:tc>
        <w:tc>
          <w:tcPr>
            <w:tcW w:w="1846" w:type="dxa"/>
            <w:tcBorders>
              <w:top w:val="nil"/>
              <w:left w:val="nil"/>
              <w:bottom w:val="nil"/>
              <w:right w:val="nil"/>
            </w:tcBorders>
            <w:vAlign w:val="center"/>
          </w:tcPr>
          <w:p w14:paraId="4C05A677" w14:textId="77777777" w:rsidR="00EA3564" w:rsidRPr="00102E66" w:rsidRDefault="00EA3564" w:rsidP="00FD45DE">
            <w:pPr>
              <w:jc w:val="center"/>
              <w:rPr>
                <w:rFonts w:ascii="Arial" w:hAnsi="Arial" w:cs="Arial"/>
                <w:color w:val="auto"/>
              </w:rPr>
            </w:pPr>
            <w:r w:rsidRPr="00102E66">
              <w:rPr>
                <w:rFonts w:ascii="Arial" w:hAnsi="Arial" w:cs="Arial"/>
                <w:color w:val="auto"/>
              </w:rPr>
              <w:t>0.186</w:t>
            </w:r>
          </w:p>
        </w:tc>
      </w:tr>
      <w:tr w:rsidR="00EA3564" w:rsidRPr="00102E66" w14:paraId="656D4AA8" w14:textId="77777777" w:rsidTr="00A70636">
        <w:trPr>
          <w:trHeight w:val="48"/>
        </w:trPr>
        <w:tc>
          <w:tcPr>
            <w:tcW w:w="2552" w:type="dxa"/>
            <w:tcBorders>
              <w:top w:val="nil"/>
              <w:left w:val="nil"/>
              <w:bottom w:val="single" w:sz="4" w:space="0" w:color="000000"/>
              <w:right w:val="nil"/>
            </w:tcBorders>
            <w:vAlign w:val="center"/>
          </w:tcPr>
          <w:p w14:paraId="3B4BB4C5"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4" w:space="0" w:color="000000"/>
              <w:right w:val="nil"/>
            </w:tcBorders>
            <w:vAlign w:val="center"/>
          </w:tcPr>
          <w:p w14:paraId="6262B757" w14:textId="77777777" w:rsidR="00EA3564" w:rsidRPr="00102E66" w:rsidRDefault="00EA3564" w:rsidP="00FD45DE">
            <w:pPr>
              <w:jc w:val="center"/>
              <w:rPr>
                <w:rFonts w:ascii="Arial" w:hAnsi="Arial" w:cs="Arial"/>
                <w:color w:val="auto"/>
              </w:rPr>
            </w:pPr>
            <w:r w:rsidRPr="00102E66">
              <w:rPr>
                <w:rFonts w:ascii="Arial" w:hAnsi="Arial" w:cs="Arial"/>
                <w:color w:val="auto"/>
              </w:rPr>
              <w:t>118 (68.2)</w:t>
            </w:r>
          </w:p>
        </w:tc>
        <w:tc>
          <w:tcPr>
            <w:tcW w:w="1899" w:type="dxa"/>
            <w:tcBorders>
              <w:top w:val="nil"/>
              <w:left w:val="nil"/>
              <w:bottom w:val="single" w:sz="4" w:space="0" w:color="000000"/>
              <w:right w:val="nil"/>
            </w:tcBorders>
            <w:vAlign w:val="center"/>
          </w:tcPr>
          <w:p w14:paraId="00207347" w14:textId="77777777" w:rsidR="00EA3564" w:rsidRPr="00102E66" w:rsidRDefault="00EA3564" w:rsidP="00FD45DE">
            <w:pPr>
              <w:jc w:val="center"/>
              <w:rPr>
                <w:rFonts w:ascii="Arial" w:hAnsi="Arial" w:cs="Arial"/>
                <w:color w:val="auto"/>
              </w:rPr>
            </w:pPr>
            <w:r w:rsidRPr="00102E66">
              <w:rPr>
                <w:rFonts w:ascii="Arial" w:hAnsi="Arial" w:cs="Arial"/>
                <w:color w:val="auto"/>
              </w:rPr>
              <w:t>98 (83.0)</w:t>
            </w:r>
          </w:p>
        </w:tc>
        <w:tc>
          <w:tcPr>
            <w:tcW w:w="1890" w:type="dxa"/>
            <w:tcBorders>
              <w:top w:val="nil"/>
              <w:left w:val="nil"/>
              <w:bottom w:val="single" w:sz="4" w:space="0" w:color="000000"/>
              <w:right w:val="nil"/>
            </w:tcBorders>
            <w:vAlign w:val="center"/>
          </w:tcPr>
          <w:p w14:paraId="77F32921" w14:textId="77777777" w:rsidR="00EA3564" w:rsidRPr="00102E66" w:rsidRDefault="00EA3564" w:rsidP="00FD45DE">
            <w:pPr>
              <w:jc w:val="center"/>
              <w:rPr>
                <w:rFonts w:ascii="Arial" w:hAnsi="Arial" w:cs="Arial"/>
                <w:color w:val="auto"/>
              </w:rPr>
            </w:pPr>
            <w:r w:rsidRPr="00102E66">
              <w:rPr>
                <w:rFonts w:ascii="Arial" w:hAnsi="Arial" w:cs="Arial"/>
                <w:color w:val="auto"/>
              </w:rPr>
              <w:t>20 (17.0)</w:t>
            </w:r>
          </w:p>
        </w:tc>
        <w:tc>
          <w:tcPr>
            <w:tcW w:w="1846" w:type="dxa"/>
            <w:tcBorders>
              <w:top w:val="nil"/>
              <w:left w:val="nil"/>
              <w:bottom w:val="single" w:sz="4" w:space="0" w:color="000000"/>
              <w:right w:val="nil"/>
            </w:tcBorders>
            <w:vAlign w:val="center"/>
          </w:tcPr>
          <w:p w14:paraId="467DDBFD" w14:textId="77777777" w:rsidR="00EA3564" w:rsidRPr="00102E66" w:rsidRDefault="00EA3564" w:rsidP="00FD45DE">
            <w:pPr>
              <w:jc w:val="center"/>
              <w:rPr>
                <w:rFonts w:ascii="Arial" w:hAnsi="Arial" w:cs="Arial"/>
                <w:color w:val="auto"/>
              </w:rPr>
            </w:pPr>
          </w:p>
        </w:tc>
      </w:tr>
      <w:tr w:rsidR="00EA3564" w:rsidRPr="00102E66" w14:paraId="77BB0C50" w14:textId="77777777" w:rsidTr="00A70636">
        <w:trPr>
          <w:trHeight w:val="48"/>
        </w:trPr>
        <w:tc>
          <w:tcPr>
            <w:tcW w:w="2552" w:type="dxa"/>
            <w:tcBorders>
              <w:left w:val="nil"/>
              <w:bottom w:val="nil"/>
              <w:right w:val="nil"/>
            </w:tcBorders>
            <w:vAlign w:val="center"/>
          </w:tcPr>
          <w:p w14:paraId="2CD5EF64" w14:textId="77777777" w:rsidR="00EA3564" w:rsidRPr="00102E66" w:rsidRDefault="00EA3564" w:rsidP="00EA3564">
            <w:pPr>
              <w:rPr>
                <w:rFonts w:ascii="Arial" w:hAnsi="Arial" w:cs="Arial"/>
                <w:b/>
                <w:color w:val="auto"/>
              </w:rPr>
            </w:pPr>
            <w:proofErr w:type="spellStart"/>
            <w:r w:rsidRPr="00102E66">
              <w:rPr>
                <w:rFonts w:ascii="Arial" w:hAnsi="Arial" w:cs="Arial"/>
                <w:b/>
                <w:color w:val="auto"/>
              </w:rPr>
              <w:t>Diabete</w:t>
            </w:r>
            <w:proofErr w:type="spellEnd"/>
          </w:p>
        </w:tc>
        <w:tc>
          <w:tcPr>
            <w:tcW w:w="1672" w:type="dxa"/>
            <w:tcBorders>
              <w:left w:val="nil"/>
              <w:bottom w:val="nil"/>
              <w:right w:val="nil"/>
            </w:tcBorders>
            <w:vAlign w:val="center"/>
          </w:tcPr>
          <w:p w14:paraId="264D996F" w14:textId="77777777" w:rsidR="00EA3564" w:rsidRPr="00102E66" w:rsidRDefault="00EA3564" w:rsidP="00FD45DE">
            <w:pPr>
              <w:jc w:val="center"/>
              <w:rPr>
                <w:rFonts w:ascii="Arial" w:hAnsi="Arial" w:cs="Arial"/>
                <w:b/>
                <w:color w:val="auto"/>
              </w:rPr>
            </w:pPr>
          </w:p>
        </w:tc>
        <w:tc>
          <w:tcPr>
            <w:tcW w:w="1899" w:type="dxa"/>
            <w:tcBorders>
              <w:left w:val="nil"/>
              <w:bottom w:val="nil"/>
              <w:right w:val="nil"/>
            </w:tcBorders>
            <w:vAlign w:val="center"/>
          </w:tcPr>
          <w:p w14:paraId="0A040374" w14:textId="77777777" w:rsidR="00EA3564" w:rsidRPr="00102E66" w:rsidRDefault="00EA3564" w:rsidP="00FD45DE">
            <w:pPr>
              <w:jc w:val="center"/>
              <w:rPr>
                <w:rFonts w:ascii="Arial" w:hAnsi="Arial" w:cs="Arial"/>
                <w:b/>
                <w:color w:val="auto"/>
              </w:rPr>
            </w:pPr>
          </w:p>
        </w:tc>
        <w:tc>
          <w:tcPr>
            <w:tcW w:w="1890" w:type="dxa"/>
            <w:tcBorders>
              <w:left w:val="nil"/>
              <w:bottom w:val="nil"/>
              <w:right w:val="nil"/>
            </w:tcBorders>
            <w:vAlign w:val="center"/>
          </w:tcPr>
          <w:p w14:paraId="57054198" w14:textId="77777777" w:rsidR="00EA3564" w:rsidRPr="00102E66" w:rsidRDefault="00EA3564" w:rsidP="00FD45DE">
            <w:pPr>
              <w:jc w:val="center"/>
              <w:rPr>
                <w:rFonts w:ascii="Arial" w:hAnsi="Arial" w:cs="Arial"/>
                <w:b/>
                <w:color w:val="auto"/>
              </w:rPr>
            </w:pPr>
          </w:p>
        </w:tc>
        <w:tc>
          <w:tcPr>
            <w:tcW w:w="1846" w:type="dxa"/>
            <w:tcBorders>
              <w:left w:val="nil"/>
              <w:bottom w:val="nil"/>
              <w:right w:val="nil"/>
            </w:tcBorders>
            <w:vAlign w:val="center"/>
          </w:tcPr>
          <w:p w14:paraId="7FB256DB" w14:textId="77777777" w:rsidR="00EA3564" w:rsidRPr="00102E66" w:rsidRDefault="00EA3564" w:rsidP="00FD45DE">
            <w:pPr>
              <w:jc w:val="center"/>
              <w:rPr>
                <w:rFonts w:ascii="Arial" w:hAnsi="Arial" w:cs="Arial"/>
                <w:color w:val="auto"/>
              </w:rPr>
            </w:pPr>
          </w:p>
        </w:tc>
      </w:tr>
      <w:tr w:rsidR="00EA3564" w:rsidRPr="00102E66" w14:paraId="1F819576" w14:textId="77777777" w:rsidTr="00A70636">
        <w:trPr>
          <w:trHeight w:val="83"/>
        </w:trPr>
        <w:tc>
          <w:tcPr>
            <w:tcW w:w="2552" w:type="dxa"/>
            <w:tcBorders>
              <w:top w:val="nil"/>
              <w:left w:val="nil"/>
              <w:bottom w:val="nil"/>
              <w:right w:val="nil"/>
            </w:tcBorders>
            <w:vAlign w:val="center"/>
          </w:tcPr>
          <w:p w14:paraId="5DD44389" w14:textId="77777777" w:rsidR="00EA3564" w:rsidRPr="00102E66" w:rsidRDefault="00EA3564" w:rsidP="00EA3564">
            <w:pPr>
              <w:rPr>
                <w:rFonts w:ascii="Arial" w:hAnsi="Arial" w:cs="Arial"/>
                <w:color w:val="auto"/>
              </w:rPr>
            </w:pPr>
            <w:r w:rsidRPr="00102E66">
              <w:rPr>
                <w:rFonts w:ascii="Arial" w:hAnsi="Arial" w:cs="Arial"/>
                <w:color w:val="auto"/>
              </w:rPr>
              <w:t>Yes</w:t>
            </w:r>
          </w:p>
        </w:tc>
        <w:tc>
          <w:tcPr>
            <w:tcW w:w="1672" w:type="dxa"/>
            <w:tcBorders>
              <w:top w:val="nil"/>
              <w:left w:val="nil"/>
              <w:bottom w:val="nil"/>
              <w:right w:val="nil"/>
            </w:tcBorders>
            <w:vAlign w:val="center"/>
          </w:tcPr>
          <w:p w14:paraId="332FBCF5" w14:textId="77777777" w:rsidR="00EA3564" w:rsidRPr="00102E66" w:rsidRDefault="00EA3564" w:rsidP="00FD45DE">
            <w:pPr>
              <w:jc w:val="center"/>
              <w:rPr>
                <w:rFonts w:ascii="Arial" w:hAnsi="Arial" w:cs="Arial"/>
                <w:color w:val="auto"/>
              </w:rPr>
            </w:pPr>
            <w:r w:rsidRPr="00102E66">
              <w:rPr>
                <w:rFonts w:ascii="Arial" w:hAnsi="Arial" w:cs="Arial"/>
                <w:color w:val="auto"/>
              </w:rPr>
              <w:t>4 (2.3)</w:t>
            </w:r>
          </w:p>
        </w:tc>
        <w:tc>
          <w:tcPr>
            <w:tcW w:w="1899" w:type="dxa"/>
            <w:tcBorders>
              <w:top w:val="nil"/>
              <w:left w:val="nil"/>
              <w:bottom w:val="nil"/>
              <w:right w:val="nil"/>
            </w:tcBorders>
            <w:vAlign w:val="center"/>
          </w:tcPr>
          <w:p w14:paraId="4970C2D8" w14:textId="77777777" w:rsidR="00EA3564" w:rsidRPr="00102E66" w:rsidRDefault="00EA3564" w:rsidP="00FD45DE">
            <w:pPr>
              <w:jc w:val="center"/>
              <w:rPr>
                <w:rFonts w:ascii="Arial" w:hAnsi="Arial" w:cs="Arial"/>
                <w:color w:val="auto"/>
              </w:rPr>
            </w:pPr>
            <w:r w:rsidRPr="00102E66">
              <w:rPr>
                <w:rFonts w:ascii="Arial" w:hAnsi="Arial" w:cs="Arial"/>
                <w:color w:val="auto"/>
              </w:rPr>
              <w:t>3 (75.0)</w:t>
            </w:r>
          </w:p>
        </w:tc>
        <w:tc>
          <w:tcPr>
            <w:tcW w:w="1890" w:type="dxa"/>
            <w:tcBorders>
              <w:top w:val="nil"/>
              <w:left w:val="nil"/>
              <w:bottom w:val="nil"/>
              <w:right w:val="nil"/>
            </w:tcBorders>
            <w:vAlign w:val="center"/>
          </w:tcPr>
          <w:p w14:paraId="05EFA905" w14:textId="77777777" w:rsidR="00EA3564" w:rsidRPr="00102E66" w:rsidRDefault="00EA3564" w:rsidP="00FD45DE">
            <w:pPr>
              <w:jc w:val="center"/>
              <w:rPr>
                <w:rFonts w:ascii="Arial" w:hAnsi="Arial" w:cs="Arial"/>
                <w:color w:val="auto"/>
              </w:rPr>
            </w:pPr>
            <w:r w:rsidRPr="00102E66">
              <w:rPr>
                <w:rFonts w:ascii="Arial" w:hAnsi="Arial" w:cs="Arial"/>
                <w:color w:val="auto"/>
              </w:rPr>
              <w:t>1 (25.0)</w:t>
            </w:r>
          </w:p>
        </w:tc>
        <w:tc>
          <w:tcPr>
            <w:tcW w:w="1846" w:type="dxa"/>
            <w:tcBorders>
              <w:top w:val="nil"/>
              <w:left w:val="nil"/>
              <w:bottom w:val="nil"/>
              <w:right w:val="nil"/>
            </w:tcBorders>
            <w:vAlign w:val="center"/>
          </w:tcPr>
          <w:p w14:paraId="5633E268" w14:textId="77777777" w:rsidR="00EA3564" w:rsidRPr="00102E66" w:rsidRDefault="00EA3564" w:rsidP="00FD45DE">
            <w:pPr>
              <w:jc w:val="center"/>
              <w:rPr>
                <w:rFonts w:ascii="Arial" w:hAnsi="Arial" w:cs="Arial"/>
                <w:color w:val="auto"/>
              </w:rPr>
            </w:pPr>
            <w:r w:rsidRPr="00102E66">
              <w:rPr>
                <w:rFonts w:ascii="Arial" w:hAnsi="Arial" w:cs="Arial"/>
                <w:color w:val="auto"/>
              </w:rPr>
              <w:t>0.768</w:t>
            </w:r>
          </w:p>
        </w:tc>
      </w:tr>
      <w:tr w:rsidR="00EA3564" w:rsidRPr="00102E66" w14:paraId="29B4412E" w14:textId="77777777" w:rsidTr="00A70636">
        <w:trPr>
          <w:trHeight w:val="48"/>
        </w:trPr>
        <w:tc>
          <w:tcPr>
            <w:tcW w:w="2552" w:type="dxa"/>
            <w:tcBorders>
              <w:top w:val="nil"/>
              <w:left w:val="nil"/>
              <w:bottom w:val="single" w:sz="24" w:space="0" w:color="000000"/>
              <w:right w:val="nil"/>
            </w:tcBorders>
            <w:vAlign w:val="center"/>
          </w:tcPr>
          <w:p w14:paraId="494F9600" w14:textId="77777777" w:rsidR="00EA3564" w:rsidRPr="00102E66" w:rsidRDefault="00EA3564" w:rsidP="00EA3564">
            <w:pPr>
              <w:rPr>
                <w:rFonts w:ascii="Arial" w:hAnsi="Arial" w:cs="Arial"/>
                <w:color w:val="auto"/>
              </w:rPr>
            </w:pPr>
            <w:r w:rsidRPr="00102E66">
              <w:rPr>
                <w:rFonts w:ascii="Arial" w:hAnsi="Arial" w:cs="Arial"/>
                <w:color w:val="auto"/>
              </w:rPr>
              <w:t>No</w:t>
            </w:r>
          </w:p>
        </w:tc>
        <w:tc>
          <w:tcPr>
            <w:tcW w:w="1672" w:type="dxa"/>
            <w:tcBorders>
              <w:top w:val="nil"/>
              <w:left w:val="nil"/>
              <w:bottom w:val="single" w:sz="24" w:space="0" w:color="000000"/>
              <w:right w:val="nil"/>
            </w:tcBorders>
            <w:vAlign w:val="center"/>
          </w:tcPr>
          <w:p w14:paraId="0D3A5871" w14:textId="77777777" w:rsidR="00EA3564" w:rsidRPr="00102E66" w:rsidRDefault="00EA3564" w:rsidP="00FD45DE">
            <w:pPr>
              <w:jc w:val="center"/>
              <w:rPr>
                <w:rFonts w:ascii="Arial" w:hAnsi="Arial" w:cs="Arial"/>
                <w:color w:val="auto"/>
              </w:rPr>
            </w:pPr>
            <w:r w:rsidRPr="00102E66">
              <w:rPr>
                <w:rFonts w:ascii="Arial" w:hAnsi="Arial" w:cs="Arial"/>
                <w:color w:val="auto"/>
              </w:rPr>
              <w:t>169 (97.3)</w:t>
            </w:r>
          </w:p>
        </w:tc>
        <w:tc>
          <w:tcPr>
            <w:tcW w:w="1899" w:type="dxa"/>
            <w:tcBorders>
              <w:top w:val="nil"/>
              <w:left w:val="nil"/>
              <w:bottom w:val="single" w:sz="24" w:space="0" w:color="000000"/>
              <w:right w:val="nil"/>
            </w:tcBorders>
            <w:vAlign w:val="center"/>
          </w:tcPr>
          <w:p w14:paraId="125FA3BF" w14:textId="77777777" w:rsidR="00EA3564" w:rsidRPr="00102E66" w:rsidRDefault="00EA3564" w:rsidP="00FD45DE">
            <w:pPr>
              <w:jc w:val="center"/>
              <w:rPr>
                <w:rFonts w:ascii="Arial" w:hAnsi="Arial" w:cs="Arial"/>
                <w:color w:val="auto"/>
              </w:rPr>
            </w:pPr>
            <w:r w:rsidRPr="00102E66">
              <w:rPr>
                <w:rFonts w:ascii="Arial" w:hAnsi="Arial" w:cs="Arial"/>
                <w:color w:val="auto"/>
              </w:rPr>
              <w:t>115 (64.0)</w:t>
            </w:r>
          </w:p>
        </w:tc>
        <w:tc>
          <w:tcPr>
            <w:tcW w:w="1890" w:type="dxa"/>
            <w:tcBorders>
              <w:top w:val="nil"/>
              <w:left w:val="nil"/>
              <w:bottom w:val="single" w:sz="24" w:space="0" w:color="000000"/>
              <w:right w:val="nil"/>
            </w:tcBorders>
            <w:vAlign w:val="center"/>
          </w:tcPr>
          <w:p w14:paraId="7A198ECE" w14:textId="77777777" w:rsidR="00EA3564" w:rsidRPr="00102E66" w:rsidRDefault="00EA3564" w:rsidP="00FD45DE">
            <w:pPr>
              <w:jc w:val="center"/>
              <w:rPr>
                <w:rFonts w:ascii="Arial" w:hAnsi="Arial" w:cs="Arial"/>
                <w:color w:val="auto"/>
              </w:rPr>
            </w:pPr>
            <w:r w:rsidRPr="00102E66">
              <w:rPr>
                <w:rFonts w:ascii="Arial" w:hAnsi="Arial" w:cs="Arial"/>
                <w:color w:val="auto"/>
              </w:rPr>
              <w:t>54 (32.0)</w:t>
            </w:r>
          </w:p>
        </w:tc>
        <w:tc>
          <w:tcPr>
            <w:tcW w:w="1846" w:type="dxa"/>
            <w:tcBorders>
              <w:top w:val="nil"/>
              <w:left w:val="nil"/>
              <w:bottom w:val="single" w:sz="24" w:space="0" w:color="000000"/>
              <w:right w:val="nil"/>
            </w:tcBorders>
            <w:vAlign w:val="center"/>
          </w:tcPr>
          <w:p w14:paraId="41886C6C" w14:textId="77777777" w:rsidR="00EA3564" w:rsidRPr="00102E66" w:rsidRDefault="00EA3564" w:rsidP="00FD45DE">
            <w:pPr>
              <w:jc w:val="center"/>
              <w:rPr>
                <w:rFonts w:ascii="Arial" w:hAnsi="Arial" w:cs="Arial"/>
                <w:color w:val="auto"/>
              </w:rPr>
            </w:pPr>
          </w:p>
        </w:tc>
      </w:tr>
    </w:tbl>
    <w:p w14:paraId="2D3D4D7B" w14:textId="3732E8ED" w:rsidR="006234EA" w:rsidRPr="00102E66" w:rsidRDefault="00B31959" w:rsidP="00102E66">
      <w:pPr>
        <w:pStyle w:val="NoSpacing"/>
        <w:rPr>
          <w:rFonts w:ascii="Arial" w:hAnsi="Arial" w:cs="Arial"/>
          <w:sz w:val="20"/>
          <w:szCs w:val="20"/>
        </w:rPr>
      </w:pPr>
      <w:r w:rsidRPr="00102E66">
        <w:rPr>
          <w:rFonts w:ascii="Arial" w:hAnsi="Arial" w:cs="Arial"/>
          <w:sz w:val="20"/>
          <w:szCs w:val="20"/>
        </w:rPr>
        <w:t xml:space="preserve">3.2. </w:t>
      </w:r>
      <w:r w:rsidR="00A47BE6" w:rsidRPr="00102E66">
        <w:rPr>
          <w:rFonts w:ascii="Arial" w:hAnsi="Arial" w:cs="Arial"/>
          <w:sz w:val="20"/>
          <w:szCs w:val="20"/>
        </w:rPr>
        <w:t>Prevalence</w:t>
      </w:r>
      <w:r w:rsidR="006234EA" w:rsidRPr="00102E66">
        <w:rPr>
          <w:rFonts w:ascii="Arial" w:hAnsi="Arial" w:cs="Arial"/>
          <w:sz w:val="20"/>
          <w:szCs w:val="20"/>
        </w:rPr>
        <w:t xml:space="preserve"> of urinary tract infections in patients</w:t>
      </w:r>
    </w:p>
    <w:p w14:paraId="23D2226F" w14:textId="5E2924EC" w:rsidR="006234EA" w:rsidRPr="00102E66" w:rsidRDefault="006234EA" w:rsidP="00FF70C8">
      <w:pPr>
        <w:tabs>
          <w:tab w:val="center" w:pos="567"/>
          <w:tab w:val="center" w:pos="5689"/>
          <w:tab w:val="center" w:pos="7206"/>
          <w:tab w:val="center" w:pos="8584"/>
        </w:tabs>
        <w:spacing w:after="0" w:line="480" w:lineRule="auto"/>
        <w:jc w:val="both"/>
        <w:rPr>
          <w:rFonts w:ascii="Arial" w:hAnsi="Arial" w:cs="Arial"/>
          <w:sz w:val="20"/>
          <w:szCs w:val="20"/>
        </w:rPr>
      </w:pPr>
      <w:r>
        <w:rPr>
          <w:rFonts w:ascii="Times New Roman" w:hAnsi="Times New Roman" w:cs="Times New Roman"/>
          <w:sz w:val="24"/>
          <w:szCs w:val="24"/>
        </w:rPr>
        <w:tab/>
      </w:r>
      <w:r w:rsidR="00B31959" w:rsidRPr="00102E66">
        <w:rPr>
          <w:rFonts w:ascii="Arial" w:hAnsi="Arial" w:cs="Arial"/>
          <w:sz w:val="20"/>
          <w:szCs w:val="20"/>
        </w:rPr>
        <w:t xml:space="preserve">Figure 1 below presents the prevalence of UTI. </w:t>
      </w:r>
      <w:r w:rsidRPr="00102E66">
        <w:rPr>
          <w:rFonts w:ascii="Arial" w:hAnsi="Arial" w:cs="Arial"/>
          <w:sz w:val="20"/>
          <w:szCs w:val="20"/>
        </w:rPr>
        <w:t>From the 173 patients recruited in this study</w:t>
      </w:r>
      <w:r w:rsidR="00B31959" w:rsidRPr="00102E66">
        <w:rPr>
          <w:rFonts w:ascii="Arial" w:hAnsi="Arial" w:cs="Arial"/>
          <w:sz w:val="20"/>
          <w:szCs w:val="20"/>
        </w:rPr>
        <w:t>,</w:t>
      </w:r>
      <w:r w:rsidRPr="00102E66">
        <w:rPr>
          <w:rFonts w:ascii="Arial" w:hAnsi="Arial" w:cs="Arial"/>
          <w:sz w:val="20"/>
          <w:szCs w:val="20"/>
        </w:rPr>
        <w:t xml:space="preserve"> 49.7% (86/173)</w:t>
      </w:r>
      <w:r w:rsidR="00E4716C" w:rsidRPr="00102E66">
        <w:rPr>
          <w:rFonts w:ascii="Arial" w:hAnsi="Arial" w:cs="Arial"/>
          <w:sz w:val="20"/>
          <w:szCs w:val="20"/>
        </w:rPr>
        <w:t xml:space="preserve"> had </w:t>
      </w:r>
      <w:r w:rsidRPr="00102E66">
        <w:rPr>
          <w:rFonts w:ascii="Arial" w:hAnsi="Arial" w:cs="Arial"/>
          <w:sz w:val="20"/>
          <w:szCs w:val="20"/>
        </w:rPr>
        <w:t>positive</w:t>
      </w:r>
      <w:r w:rsidR="00E4716C" w:rsidRPr="00102E66">
        <w:rPr>
          <w:rFonts w:ascii="Arial" w:hAnsi="Arial" w:cs="Arial"/>
          <w:sz w:val="20"/>
          <w:szCs w:val="20"/>
        </w:rPr>
        <w:t xml:space="preserve"> samples</w:t>
      </w:r>
      <w:r w:rsidRPr="00102E66">
        <w:rPr>
          <w:rFonts w:ascii="Arial" w:hAnsi="Arial" w:cs="Arial"/>
          <w:sz w:val="20"/>
          <w:szCs w:val="20"/>
        </w:rPr>
        <w:t xml:space="preserve"> for UTIs while 87 (50.</w:t>
      </w:r>
      <w:r w:rsidR="00206910" w:rsidRPr="00102E66">
        <w:rPr>
          <w:rFonts w:ascii="Arial" w:hAnsi="Arial" w:cs="Arial"/>
          <w:sz w:val="20"/>
          <w:szCs w:val="20"/>
        </w:rPr>
        <w:t>3</w:t>
      </w:r>
      <w:r w:rsidRPr="00102E66">
        <w:rPr>
          <w:rFonts w:ascii="Arial" w:hAnsi="Arial" w:cs="Arial"/>
          <w:sz w:val="20"/>
          <w:szCs w:val="20"/>
        </w:rPr>
        <w:t xml:space="preserve">%) were negative. </w:t>
      </w:r>
    </w:p>
    <w:p w14:paraId="4F7FB006" w14:textId="77777777" w:rsidR="00CE2BF8" w:rsidRPr="00102E66" w:rsidRDefault="00C72947" w:rsidP="00C72947">
      <w:pPr>
        <w:tabs>
          <w:tab w:val="center" w:pos="3341"/>
          <w:tab w:val="center" w:pos="5689"/>
          <w:tab w:val="center" w:pos="7206"/>
          <w:tab w:val="center" w:pos="8584"/>
        </w:tabs>
        <w:spacing w:after="21" w:line="265" w:lineRule="auto"/>
        <w:jc w:val="center"/>
        <w:rPr>
          <w:rFonts w:ascii="Arial" w:hAnsi="Arial" w:cs="Arial"/>
          <w:b/>
          <w:sz w:val="20"/>
          <w:szCs w:val="20"/>
        </w:rPr>
      </w:pPr>
      <w:r w:rsidRPr="00102E66">
        <w:rPr>
          <w:rFonts w:ascii="Arial" w:hAnsi="Arial" w:cs="Arial"/>
          <w:noProof/>
          <w:sz w:val="20"/>
          <w:szCs w:val="20"/>
          <w:lang w:val="fr-FR" w:eastAsia="fr-FR"/>
        </w:rPr>
        <mc:AlternateContent>
          <mc:Choice Requires="wps">
            <w:drawing>
              <wp:anchor distT="0" distB="0" distL="114300" distR="114300" simplePos="0" relativeHeight="251666432" behindDoc="0" locked="0" layoutInCell="1" allowOverlap="1" wp14:anchorId="1014E678" wp14:editId="50E16765">
                <wp:simplePos x="0" y="0"/>
                <wp:positionH relativeFrom="column">
                  <wp:posOffset>2346960</wp:posOffset>
                </wp:positionH>
                <wp:positionV relativeFrom="paragraph">
                  <wp:posOffset>83820</wp:posOffset>
                </wp:positionV>
                <wp:extent cx="465485" cy="166764"/>
                <wp:effectExtent l="0" t="0" r="0" b="0"/>
                <wp:wrapNone/>
                <wp:docPr id="2" name="Rectangle 1"/>
                <wp:cNvGraphicFramePr/>
                <a:graphic xmlns:a="http://schemas.openxmlformats.org/drawingml/2006/main">
                  <a:graphicData uri="http://schemas.microsoft.com/office/word/2010/wordprocessingShape">
                    <wps:wsp>
                      <wps:cNvSpPr/>
                      <wps:spPr>
                        <a:xfrm>
                          <a:off x="0" y="0"/>
                          <a:ext cx="465485" cy="166764"/>
                        </a:xfrm>
                        <a:prstGeom prst="rect">
                          <a:avLst/>
                        </a:prstGeom>
                        <a:ln>
                          <a:noFill/>
                        </a:ln>
                      </wps:spPr>
                      <wps:txbx>
                        <w:txbxContent>
                          <w:p w14:paraId="3A9C148E" w14:textId="6DCE867E" w:rsidR="00B95B8E" w:rsidRPr="00206910" w:rsidRDefault="00B95B8E" w:rsidP="00206910">
                            <w:pPr>
                              <w:spacing w:line="256" w:lineRule="auto"/>
                              <w:jc w:val="center"/>
                              <w:rPr>
                                <w:rFonts w:ascii="Times New Roman" w:eastAsia="Calibri" w:hAnsi="Times New Roman" w:cs="Times New Roman"/>
                                <w:b/>
                                <w:bCs/>
                                <w:sz w:val="18"/>
                                <w:szCs w:val="18"/>
                              </w:rPr>
                            </w:pPr>
                            <w:r w:rsidRPr="00206910">
                              <w:rPr>
                                <w:rFonts w:ascii="Times New Roman" w:eastAsia="Calibri" w:hAnsi="Times New Roman" w:cs="Times New Roman"/>
                                <w:b/>
                                <w:bCs/>
                                <w:sz w:val="18"/>
                                <w:szCs w:val="18"/>
                              </w:rPr>
                              <w:t>49.7</w:t>
                            </w:r>
                          </w:p>
                        </w:txbxContent>
                      </wps:txbx>
                      <wps:bodyPr vert="horz" wrap="square" lIns="0" tIns="0" rIns="0" bIns="0" rtlCol="0">
                        <a:noAutofit/>
                      </wps:bodyPr>
                    </wps:wsp>
                  </a:graphicData>
                </a:graphic>
              </wp:anchor>
            </w:drawing>
          </mc:Choice>
          <mc:Fallback>
            <w:pict>
              <v:rect w14:anchorId="1014E678" id="_x0000_s1027" style="position:absolute;left:0;text-align:left;margin-left:184.8pt;margin-top:6.6pt;width:36.65pt;height:13.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" filled="f" stroked="f">
                <v:textbox inset="0,0,0,0">
                  <w:txbxContent>
                    <w:p w14:paraId="3A9C148E" w14:textId="6DCE867E" w:rsidR="00B95B8E" w:rsidRPr="00206910" w:rsidRDefault="00B95B8E" w:rsidP="00206910">
                      <w:pPr>
                        <w:spacing w:line="256" w:lineRule="auto"/>
                        <w:jc w:val="center"/>
                        <w:rPr>
                          <w:rFonts w:ascii="Times New Roman" w:eastAsia="Calibri" w:hAnsi="Times New Roman" w:cs="Times New Roman"/>
                          <w:b/>
                          <w:bCs/>
                          <w:sz w:val="18"/>
                          <w:szCs w:val="18"/>
                        </w:rPr>
                      </w:pPr>
                      <w:r w:rsidRPr="00206910">
                        <w:rPr>
                          <w:rFonts w:ascii="Times New Roman" w:eastAsia="Calibri" w:hAnsi="Times New Roman" w:cs="Times New Roman"/>
                          <w:b/>
                          <w:bCs/>
                          <w:sz w:val="18"/>
                          <w:szCs w:val="18"/>
                        </w:rPr>
                        <w:t>49.7</w:t>
                      </w:r>
                    </w:p>
                  </w:txbxContent>
                </v:textbox>
              </v:rect>
            </w:pict>
          </mc:Fallback>
        </mc:AlternateContent>
      </w:r>
      <w:r w:rsidRPr="00102E66">
        <w:rPr>
          <w:rFonts w:ascii="Arial" w:hAnsi="Arial" w:cs="Arial"/>
          <w:noProof/>
          <w:sz w:val="20"/>
          <w:szCs w:val="20"/>
          <w:lang w:val="fr-FR" w:eastAsia="fr-FR"/>
        </w:rPr>
        <w:drawing>
          <wp:inline distT="0" distB="0" distL="0" distR="0" wp14:anchorId="2BC1A913" wp14:editId="28695AF3">
            <wp:extent cx="4168140" cy="2103120"/>
            <wp:effectExtent l="0" t="0" r="3810" b="11430"/>
            <wp:docPr id="119191018" name="Graphique 1">
              <a:extLst xmlns:a="http://schemas.openxmlformats.org/drawingml/2006/main">
                <a:ext uri="{FF2B5EF4-FFF2-40B4-BE49-F238E27FC236}">
                  <a16:creationId xmlns:a16="http://schemas.microsoft.com/office/drawing/2014/main" id="{179EA86F-A138-C346-3981-8DB0A061A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A60D7" w14:textId="1C83CA86" w:rsidR="00102E66" w:rsidRDefault="006234E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r w:rsidRPr="00102E66">
        <w:rPr>
          <w:rFonts w:ascii="Arial" w:hAnsi="Arial" w:cs="Arial"/>
          <w:b/>
          <w:sz w:val="20"/>
          <w:szCs w:val="20"/>
        </w:rPr>
        <w:t>Figure 1</w:t>
      </w:r>
      <w:r w:rsidR="007D63D3" w:rsidRPr="00102E66">
        <w:rPr>
          <w:rFonts w:ascii="Arial" w:hAnsi="Arial" w:cs="Arial"/>
          <w:b/>
          <w:sz w:val="20"/>
          <w:szCs w:val="20"/>
        </w:rPr>
        <w:t>.</w:t>
      </w:r>
      <w:r w:rsidRPr="00102E66">
        <w:rPr>
          <w:rFonts w:ascii="Arial" w:hAnsi="Arial" w:cs="Arial"/>
          <w:b/>
          <w:sz w:val="20"/>
          <w:szCs w:val="20"/>
        </w:rPr>
        <w:t xml:space="preserve"> </w:t>
      </w:r>
      <w:r w:rsidR="00A55940" w:rsidRPr="00102E66">
        <w:rPr>
          <w:rFonts w:ascii="Arial" w:hAnsi="Arial" w:cs="Arial"/>
          <w:sz w:val="20"/>
          <w:szCs w:val="20"/>
        </w:rPr>
        <w:t>Prevalence</w:t>
      </w:r>
      <w:r w:rsidRPr="00102E66">
        <w:rPr>
          <w:rFonts w:ascii="Arial" w:hAnsi="Arial" w:cs="Arial"/>
          <w:sz w:val="20"/>
          <w:szCs w:val="20"/>
        </w:rPr>
        <w:t xml:space="preserve"> of urinary tract infections in patients.</w:t>
      </w:r>
    </w:p>
    <w:p w14:paraId="06FD3AA5" w14:textId="072E3492" w:rsidR="00244F3A" w:rsidRDefault="00244F3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p>
    <w:p w14:paraId="12A37A8B" w14:textId="77777777" w:rsidR="00244F3A" w:rsidRPr="00102E66" w:rsidRDefault="00244F3A" w:rsidP="00244F3A">
      <w:pPr>
        <w:tabs>
          <w:tab w:val="center" w:pos="3341"/>
          <w:tab w:val="center" w:pos="5689"/>
          <w:tab w:val="center" w:pos="7206"/>
          <w:tab w:val="center" w:pos="8584"/>
        </w:tabs>
        <w:spacing w:before="240" w:after="21" w:line="265" w:lineRule="auto"/>
        <w:jc w:val="center"/>
        <w:rPr>
          <w:rFonts w:ascii="Arial" w:hAnsi="Arial" w:cs="Arial"/>
          <w:sz w:val="20"/>
          <w:szCs w:val="20"/>
        </w:rPr>
      </w:pPr>
    </w:p>
    <w:p w14:paraId="7BA62B80" w14:textId="16D08DAC" w:rsidR="006234EA" w:rsidRPr="00102E66" w:rsidRDefault="00B31959" w:rsidP="00102E66">
      <w:pPr>
        <w:pStyle w:val="NoSpacing"/>
        <w:rPr>
          <w:b/>
          <w:i/>
        </w:rPr>
      </w:pPr>
      <w:r w:rsidRPr="00102E66">
        <w:rPr>
          <w:b/>
        </w:rPr>
        <w:t xml:space="preserve">3.3. </w:t>
      </w:r>
      <w:r w:rsidR="006234EA" w:rsidRPr="00102E66">
        <w:rPr>
          <w:b/>
        </w:rPr>
        <w:t xml:space="preserve">Diversity of </w:t>
      </w:r>
      <w:r w:rsidR="005A4357" w:rsidRPr="00102E66">
        <w:rPr>
          <w:b/>
        </w:rPr>
        <w:t xml:space="preserve">the isolated </w:t>
      </w:r>
      <w:proofErr w:type="spellStart"/>
      <w:r w:rsidR="006234EA" w:rsidRPr="00102E66">
        <w:rPr>
          <w:b/>
        </w:rPr>
        <w:t>uropathogen</w:t>
      </w:r>
      <w:r w:rsidR="005A4357" w:rsidRPr="00102E66">
        <w:rPr>
          <w:b/>
        </w:rPr>
        <w:t>s</w:t>
      </w:r>
      <w:proofErr w:type="spellEnd"/>
      <w:r w:rsidR="006234EA" w:rsidRPr="00102E66">
        <w:rPr>
          <w:b/>
        </w:rPr>
        <w:t xml:space="preserve"> </w:t>
      </w:r>
    </w:p>
    <w:p w14:paraId="30DFC337" w14:textId="66ED75F7" w:rsidR="006234EA" w:rsidRPr="00102E66" w:rsidRDefault="007D63D3" w:rsidP="0032501F">
      <w:pPr>
        <w:tabs>
          <w:tab w:val="center" w:pos="567"/>
          <w:tab w:val="center" w:pos="5689"/>
          <w:tab w:val="center" w:pos="7206"/>
          <w:tab w:val="center" w:pos="8584"/>
        </w:tabs>
        <w:spacing w:after="0" w:line="480" w:lineRule="auto"/>
        <w:jc w:val="both"/>
        <w:rPr>
          <w:rFonts w:ascii="Arial" w:hAnsi="Arial" w:cs="Arial"/>
          <w:sz w:val="20"/>
          <w:szCs w:val="20"/>
        </w:rPr>
      </w:pPr>
      <w:r>
        <w:rPr>
          <w:rFonts w:ascii="Times New Roman" w:hAnsi="Times New Roman" w:cs="Times New Roman"/>
          <w:sz w:val="24"/>
          <w:szCs w:val="24"/>
        </w:rPr>
        <w:tab/>
      </w:r>
      <w:r w:rsidR="00A53146" w:rsidRPr="00102E66">
        <w:rPr>
          <w:rFonts w:ascii="Arial" w:hAnsi="Arial" w:cs="Arial"/>
          <w:sz w:val="20"/>
          <w:szCs w:val="20"/>
        </w:rPr>
        <w:t>During the period of this study</w:t>
      </w:r>
      <w:r w:rsidR="006234EA" w:rsidRPr="00102E66">
        <w:rPr>
          <w:rFonts w:ascii="Arial" w:hAnsi="Arial" w:cs="Arial"/>
          <w:sz w:val="20"/>
          <w:szCs w:val="20"/>
        </w:rPr>
        <w:t xml:space="preserve"> a diversity of </w:t>
      </w:r>
      <w:r w:rsidR="00A53146" w:rsidRPr="00102E66">
        <w:rPr>
          <w:rFonts w:ascii="Arial" w:hAnsi="Arial" w:cs="Arial"/>
          <w:sz w:val="20"/>
          <w:szCs w:val="20"/>
        </w:rPr>
        <w:t>bacteria</w:t>
      </w:r>
      <w:r w:rsidR="00E4716C" w:rsidRPr="00102E66">
        <w:rPr>
          <w:rFonts w:ascii="Arial" w:hAnsi="Arial" w:cs="Arial"/>
          <w:sz w:val="20"/>
          <w:szCs w:val="20"/>
        </w:rPr>
        <w:t xml:space="preserve"> species</w:t>
      </w:r>
      <w:r w:rsidR="00A53146" w:rsidRPr="00102E66">
        <w:rPr>
          <w:rFonts w:ascii="Arial" w:hAnsi="Arial" w:cs="Arial"/>
          <w:sz w:val="20"/>
          <w:szCs w:val="20"/>
        </w:rPr>
        <w:t xml:space="preserve"> </w:t>
      </w:r>
      <w:r w:rsidR="00E4716C" w:rsidRPr="00102E66">
        <w:rPr>
          <w:rFonts w:ascii="Arial" w:hAnsi="Arial" w:cs="Arial"/>
          <w:sz w:val="20"/>
          <w:szCs w:val="20"/>
        </w:rPr>
        <w:t>was</w:t>
      </w:r>
      <w:r w:rsidR="006234EA" w:rsidRPr="00102E66">
        <w:rPr>
          <w:rFonts w:ascii="Arial" w:hAnsi="Arial" w:cs="Arial"/>
          <w:sz w:val="20"/>
          <w:szCs w:val="20"/>
        </w:rPr>
        <w:t xml:space="preserve"> isolated from urine samples</w:t>
      </w:r>
      <w:r w:rsidR="00B31959" w:rsidRPr="00102E66">
        <w:rPr>
          <w:rFonts w:ascii="Arial" w:hAnsi="Arial" w:cs="Arial"/>
          <w:sz w:val="20"/>
          <w:szCs w:val="20"/>
        </w:rPr>
        <w:t xml:space="preserve"> (Figure 2)</w:t>
      </w:r>
      <w:r w:rsidR="006234EA" w:rsidRPr="00102E66">
        <w:rPr>
          <w:rFonts w:ascii="Arial" w:hAnsi="Arial" w:cs="Arial"/>
          <w:sz w:val="20"/>
          <w:szCs w:val="20"/>
        </w:rPr>
        <w:t xml:space="preserve">. Majority (83.72%) of the isolates were Gram-negative bacilli. The most prevalent </w:t>
      </w:r>
      <w:r w:rsidR="009002B7" w:rsidRPr="00102E66">
        <w:rPr>
          <w:rFonts w:ascii="Arial" w:hAnsi="Arial" w:cs="Arial"/>
          <w:sz w:val="20"/>
          <w:szCs w:val="20"/>
        </w:rPr>
        <w:t xml:space="preserve">Gram-negative bacilli </w:t>
      </w:r>
      <w:r w:rsidR="006234EA" w:rsidRPr="00102E66">
        <w:rPr>
          <w:rFonts w:ascii="Arial" w:hAnsi="Arial" w:cs="Arial"/>
          <w:sz w:val="20"/>
          <w:szCs w:val="20"/>
        </w:rPr>
        <w:t xml:space="preserve">were </w:t>
      </w:r>
      <w:r w:rsidR="006234EA" w:rsidRPr="00102E66">
        <w:rPr>
          <w:rFonts w:ascii="Arial" w:hAnsi="Arial" w:cs="Arial"/>
          <w:i/>
          <w:sz w:val="20"/>
          <w:szCs w:val="20"/>
        </w:rPr>
        <w:t>E. coli</w:t>
      </w:r>
      <w:r w:rsidR="006234EA" w:rsidRPr="00102E66">
        <w:rPr>
          <w:rFonts w:ascii="Arial" w:hAnsi="Arial" w:cs="Arial"/>
          <w:sz w:val="20"/>
          <w:szCs w:val="20"/>
        </w:rPr>
        <w:t xml:space="preserve"> (38.37</w:t>
      </w:r>
      <w:r w:rsidR="009002B7" w:rsidRPr="00102E66">
        <w:rPr>
          <w:rFonts w:ascii="Arial" w:hAnsi="Arial" w:cs="Arial"/>
          <w:sz w:val="20"/>
          <w:szCs w:val="20"/>
        </w:rPr>
        <w:t>%), followed</w:t>
      </w:r>
      <w:r w:rsidR="006234EA" w:rsidRPr="00102E66">
        <w:rPr>
          <w:rFonts w:ascii="Arial" w:hAnsi="Arial" w:cs="Arial"/>
          <w:sz w:val="20"/>
          <w:szCs w:val="20"/>
        </w:rPr>
        <w:t xml:space="preserve"> by </w:t>
      </w:r>
      <w:r w:rsidR="006234EA" w:rsidRPr="00102E66">
        <w:rPr>
          <w:rFonts w:ascii="Arial" w:hAnsi="Arial" w:cs="Arial"/>
          <w:i/>
          <w:sz w:val="20"/>
          <w:szCs w:val="20"/>
        </w:rPr>
        <w:t xml:space="preserve">Klebsiella </w:t>
      </w:r>
      <w:r w:rsidR="009002B7" w:rsidRPr="00102E66">
        <w:rPr>
          <w:rFonts w:ascii="Arial" w:hAnsi="Arial" w:cs="Arial"/>
          <w:sz w:val="20"/>
          <w:szCs w:val="20"/>
        </w:rPr>
        <w:t xml:space="preserve">spp. (20.93%). </w:t>
      </w:r>
      <w:r w:rsidR="006234EA" w:rsidRPr="00102E66">
        <w:rPr>
          <w:rFonts w:ascii="Arial" w:hAnsi="Arial" w:cs="Arial"/>
          <w:sz w:val="20"/>
          <w:szCs w:val="20"/>
        </w:rPr>
        <w:t xml:space="preserve">The least prevalent were </w:t>
      </w:r>
      <w:r w:rsidR="006234EA" w:rsidRPr="00102E66">
        <w:rPr>
          <w:rFonts w:ascii="Arial" w:hAnsi="Arial" w:cs="Arial"/>
          <w:i/>
          <w:sz w:val="20"/>
          <w:szCs w:val="20"/>
        </w:rPr>
        <w:t xml:space="preserve">Hafnia alvei </w:t>
      </w:r>
      <w:r w:rsidR="006234EA" w:rsidRPr="00102E66">
        <w:rPr>
          <w:rFonts w:ascii="Arial" w:hAnsi="Arial" w:cs="Arial"/>
          <w:sz w:val="20"/>
          <w:szCs w:val="20"/>
        </w:rPr>
        <w:t>and</w:t>
      </w:r>
      <w:r w:rsidR="006234EA" w:rsidRPr="00102E66">
        <w:rPr>
          <w:rFonts w:ascii="Arial" w:hAnsi="Arial" w:cs="Arial"/>
          <w:i/>
          <w:sz w:val="20"/>
          <w:szCs w:val="20"/>
        </w:rPr>
        <w:t xml:space="preserve"> </w:t>
      </w:r>
      <w:r w:rsidR="006234EA" w:rsidRPr="00102E66">
        <w:rPr>
          <w:rFonts w:ascii="Arial" w:hAnsi="Arial" w:cs="Arial"/>
          <w:i/>
          <w:sz w:val="20"/>
          <w:szCs w:val="20"/>
        </w:rPr>
        <w:lastRenderedPageBreak/>
        <w:t xml:space="preserve">Pseudomonas aeruginosa </w:t>
      </w:r>
      <w:r w:rsidR="006234EA" w:rsidRPr="00102E66">
        <w:rPr>
          <w:rFonts w:ascii="Arial" w:hAnsi="Arial" w:cs="Arial"/>
          <w:sz w:val="20"/>
          <w:szCs w:val="20"/>
        </w:rPr>
        <w:t xml:space="preserve">representing (1.70%) each. </w:t>
      </w:r>
      <w:r w:rsidR="006234EA" w:rsidRPr="00102E66">
        <w:rPr>
          <w:rFonts w:ascii="Arial" w:hAnsi="Arial" w:cs="Arial"/>
          <w:i/>
          <w:sz w:val="20"/>
          <w:szCs w:val="20"/>
        </w:rPr>
        <w:t xml:space="preserve">Staphylococcus </w:t>
      </w:r>
      <w:r w:rsidR="006234EA" w:rsidRPr="00102E66">
        <w:rPr>
          <w:rFonts w:ascii="Arial" w:hAnsi="Arial" w:cs="Arial"/>
          <w:sz w:val="20"/>
          <w:szCs w:val="20"/>
        </w:rPr>
        <w:t>spp</w:t>
      </w:r>
      <w:r w:rsidR="006234EA" w:rsidRPr="00102E66">
        <w:rPr>
          <w:rFonts w:ascii="Arial" w:hAnsi="Arial" w:cs="Arial"/>
          <w:i/>
          <w:sz w:val="20"/>
          <w:szCs w:val="20"/>
        </w:rPr>
        <w:t xml:space="preserve">. </w:t>
      </w:r>
      <w:r w:rsidR="006234EA" w:rsidRPr="00102E66">
        <w:rPr>
          <w:rFonts w:ascii="Arial" w:hAnsi="Arial" w:cs="Arial"/>
          <w:sz w:val="20"/>
          <w:szCs w:val="20"/>
        </w:rPr>
        <w:t>(16.27%) was the only Gram-positive</w:t>
      </w:r>
      <w:r w:rsidR="009002B7" w:rsidRPr="00102E66">
        <w:rPr>
          <w:rFonts w:ascii="Arial" w:hAnsi="Arial" w:cs="Arial"/>
          <w:sz w:val="20"/>
          <w:szCs w:val="20"/>
        </w:rPr>
        <w:t xml:space="preserve"> bacteria</w:t>
      </w:r>
      <w:r w:rsidR="006234EA" w:rsidRPr="00102E66">
        <w:rPr>
          <w:rFonts w:ascii="Arial" w:hAnsi="Arial" w:cs="Arial"/>
          <w:sz w:val="20"/>
          <w:szCs w:val="20"/>
        </w:rPr>
        <w:t xml:space="preserve"> i</w:t>
      </w:r>
      <w:r w:rsidR="0032501F" w:rsidRPr="00102E66">
        <w:rPr>
          <w:rFonts w:ascii="Arial" w:hAnsi="Arial" w:cs="Arial"/>
          <w:sz w:val="20"/>
          <w:szCs w:val="20"/>
        </w:rPr>
        <w:t>dentified in the present study.</w:t>
      </w:r>
      <w:r w:rsidR="006234EA" w:rsidRPr="00102E66">
        <w:rPr>
          <w:rFonts w:ascii="Arial" w:hAnsi="Arial" w:cs="Arial"/>
          <w:sz w:val="20"/>
          <w:szCs w:val="20"/>
        </w:rPr>
        <w:t xml:space="preserve"> </w:t>
      </w:r>
    </w:p>
    <w:p w14:paraId="1350D63F" w14:textId="77777777" w:rsidR="00FF70C8" w:rsidRPr="00102E66" w:rsidRDefault="00FF70C8" w:rsidP="006F18D2">
      <w:pPr>
        <w:tabs>
          <w:tab w:val="center" w:pos="567"/>
          <w:tab w:val="center" w:pos="5689"/>
          <w:tab w:val="center" w:pos="7206"/>
          <w:tab w:val="center" w:pos="8584"/>
        </w:tabs>
        <w:spacing w:after="0" w:line="276" w:lineRule="auto"/>
        <w:jc w:val="center"/>
        <w:rPr>
          <w:rFonts w:ascii="Arial" w:hAnsi="Arial" w:cs="Arial"/>
          <w:sz w:val="20"/>
          <w:szCs w:val="20"/>
        </w:rPr>
      </w:pPr>
      <w:r w:rsidRPr="00102E66">
        <w:rPr>
          <w:rFonts w:ascii="Arial" w:hAnsi="Arial" w:cs="Arial"/>
          <w:noProof/>
          <w:color w:val="000000" w:themeColor="text1"/>
          <w:sz w:val="20"/>
          <w:szCs w:val="20"/>
          <w:lang w:val="fr-FR" w:eastAsia="fr-FR"/>
        </w:rPr>
        <w:drawing>
          <wp:inline distT="0" distB="0" distL="0" distR="0" wp14:anchorId="2D868371" wp14:editId="652B5871">
            <wp:extent cx="5562600" cy="3649980"/>
            <wp:effectExtent l="0" t="0" r="0" b="7620"/>
            <wp:docPr id="66" name="Graphique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F0C1FB" w14:textId="77777777" w:rsidR="005A4357" w:rsidRPr="00102E66" w:rsidRDefault="005A4357" w:rsidP="002310BF">
      <w:pPr>
        <w:tabs>
          <w:tab w:val="center" w:pos="3341"/>
          <w:tab w:val="center" w:pos="5689"/>
          <w:tab w:val="center" w:pos="7206"/>
          <w:tab w:val="center" w:pos="8584"/>
        </w:tabs>
        <w:spacing w:after="21" w:line="265" w:lineRule="auto"/>
        <w:rPr>
          <w:rFonts w:ascii="Times New Roman" w:hAnsi="Times New Roman" w:cs="Times New Roman"/>
          <w:b/>
          <w:sz w:val="24"/>
          <w:szCs w:val="24"/>
        </w:rPr>
      </w:pPr>
    </w:p>
    <w:p w14:paraId="1F37EA62" w14:textId="1E4FC2CC" w:rsidR="00FF70C8" w:rsidRPr="00102E66" w:rsidRDefault="004F6E4B" w:rsidP="002310BF">
      <w:pPr>
        <w:tabs>
          <w:tab w:val="center" w:pos="3341"/>
          <w:tab w:val="center" w:pos="5689"/>
          <w:tab w:val="center" w:pos="7206"/>
          <w:tab w:val="center" w:pos="8584"/>
        </w:tabs>
        <w:spacing w:after="21" w:line="265" w:lineRule="auto"/>
        <w:rPr>
          <w:rFonts w:ascii="Arial" w:hAnsi="Arial" w:cs="Arial"/>
          <w:b/>
          <w:sz w:val="20"/>
          <w:szCs w:val="20"/>
        </w:rPr>
      </w:pPr>
      <w:r w:rsidRPr="00102E66">
        <w:rPr>
          <w:rFonts w:ascii="Arial" w:hAnsi="Arial" w:cs="Arial"/>
          <w:b/>
          <w:sz w:val="20"/>
          <w:szCs w:val="20"/>
        </w:rPr>
        <w:t>Fi</w:t>
      </w:r>
      <w:r w:rsidR="00653B1C" w:rsidRPr="00102E66">
        <w:rPr>
          <w:rFonts w:ascii="Arial" w:hAnsi="Arial" w:cs="Arial"/>
          <w:b/>
          <w:sz w:val="20"/>
          <w:szCs w:val="20"/>
        </w:rPr>
        <w:t>g</w:t>
      </w:r>
      <w:r w:rsidRPr="00102E66">
        <w:rPr>
          <w:rFonts w:ascii="Arial" w:hAnsi="Arial" w:cs="Arial"/>
          <w:b/>
          <w:sz w:val="20"/>
          <w:szCs w:val="20"/>
        </w:rPr>
        <w:t xml:space="preserve">ure </w:t>
      </w:r>
      <w:r w:rsidR="005A303D" w:rsidRPr="00102E66">
        <w:rPr>
          <w:rFonts w:ascii="Arial" w:hAnsi="Arial" w:cs="Arial"/>
          <w:b/>
          <w:sz w:val="20"/>
          <w:szCs w:val="20"/>
        </w:rPr>
        <w:t>2</w:t>
      </w:r>
      <w:r w:rsidR="007D63D3" w:rsidRPr="00102E66">
        <w:rPr>
          <w:rFonts w:ascii="Arial" w:hAnsi="Arial" w:cs="Arial"/>
          <w:b/>
          <w:sz w:val="20"/>
          <w:szCs w:val="20"/>
        </w:rPr>
        <w:t>.</w:t>
      </w:r>
      <w:r w:rsidRPr="00102E66">
        <w:rPr>
          <w:rFonts w:ascii="Arial" w:hAnsi="Arial" w:cs="Arial"/>
          <w:b/>
          <w:sz w:val="20"/>
          <w:szCs w:val="20"/>
        </w:rPr>
        <w:t xml:space="preserve"> Diversity of </w:t>
      </w:r>
      <w:r w:rsidR="005A4357" w:rsidRPr="00102E66">
        <w:rPr>
          <w:rFonts w:ascii="Arial" w:hAnsi="Arial" w:cs="Arial"/>
          <w:b/>
          <w:sz w:val="20"/>
          <w:szCs w:val="20"/>
        </w:rPr>
        <w:t xml:space="preserve">the isolated </w:t>
      </w:r>
      <w:proofErr w:type="spellStart"/>
      <w:r w:rsidRPr="00102E66">
        <w:rPr>
          <w:rFonts w:ascii="Arial" w:hAnsi="Arial" w:cs="Arial"/>
          <w:b/>
          <w:sz w:val="20"/>
          <w:szCs w:val="20"/>
        </w:rPr>
        <w:t>uropathogens</w:t>
      </w:r>
      <w:proofErr w:type="spellEnd"/>
      <w:r w:rsidRPr="00102E66">
        <w:rPr>
          <w:rFonts w:ascii="Arial" w:hAnsi="Arial" w:cs="Arial"/>
          <w:b/>
          <w:sz w:val="20"/>
          <w:szCs w:val="20"/>
        </w:rPr>
        <w:t xml:space="preserve"> </w:t>
      </w:r>
    </w:p>
    <w:p w14:paraId="3F276D9F" w14:textId="4DD9A915" w:rsidR="00D629DF" w:rsidRPr="00102E66" w:rsidRDefault="00D629DF" w:rsidP="00774C8F">
      <w:pPr>
        <w:tabs>
          <w:tab w:val="left" w:pos="1665"/>
        </w:tabs>
        <w:spacing w:after="21" w:line="265" w:lineRule="auto"/>
        <w:jc w:val="both"/>
        <w:rPr>
          <w:rFonts w:ascii="Times New Roman" w:hAnsi="Times New Roman" w:cs="Times New Roman"/>
          <w:b/>
          <w:sz w:val="24"/>
          <w:szCs w:val="24"/>
        </w:rPr>
      </w:pPr>
    </w:p>
    <w:p w14:paraId="6AA9D51C" w14:textId="1797BF01" w:rsidR="006234EA" w:rsidRPr="00102E66" w:rsidRDefault="004F6E4B" w:rsidP="00102E66">
      <w:pPr>
        <w:pStyle w:val="NoSpacing"/>
        <w:rPr>
          <w:b/>
        </w:rPr>
      </w:pPr>
      <w:r w:rsidRPr="00102E66">
        <w:rPr>
          <w:rFonts w:ascii="Times New Roman" w:hAnsi="Times New Roman" w:cs="Times New Roman"/>
          <w:b/>
          <w:sz w:val="24"/>
          <w:szCs w:val="24"/>
        </w:rPr>
        <w:t xml:space="preserve"> </w:t>
      </w:r>
      <w:r w:rsidR="00B31959" w:rsidRPr="00102E66">
        <w:rPr>
          <w:b/>
        </w:rPr>
        <w:t xml:space="preserve">3.4. </w:t>
      </w:r>
      <w:r w:rsidR="006234EA" w:rsidRPr="00102E66">
        <w:rPr>
          <w:b/>
        </w:rPr>
        <w:t>Antimicrobial sus</w:t>
      </w:r>
      <w:r w:rsidR="00D629DF" w:rsidRPr="00102E66">
        <w:rPr>
          <w:b/>
        </w:rPr>
        <w:t>ceptibility patterns of isolated bacteria</w:t>
      </w:r>
      <w:r w:rsidR="006234EA" w:rsidRPr="00102E66">
        <w:rPr>
          <w:b/>
        </w:rPr>
        <w:t xml:space="preserve"> </w:t>
      </w:r>
    </w:p>
    <w:p w14:paraId="10618C1C" w14:textId="3DF54379" w:rsidR="006234EA" w:rsidRPr="00102E66" w:rsidRDefault="006234EA" w:rsidP="00B31959">
      <w:pPr>
        <w:tabs>
          <w:tab w:val="center" w:pos="567"/>
          <w:tab w:val="center" w:pos="5689"/>
          <w:tab w:val="center" w:pos="7206"/>
          <w:tab w:val="center" w:pos="8584"/>
        </w:tabs>
        <w:spacing w:after="21" w:line="480" w:lineRule="auto"/>
        <w:jc w:val="both"/>
        <w:rPr>
          <w:rFonts w:ascii="Arial" w:hAnsi="Arial" w:cs="Arial"/>
          <w:sz w:val="20"/>
          <w:szCs w:val="20"/>
        </w:rPr>
      </w:pPr>
      <w:r w:rsidRPr="007D63D3">
        <w:rPr>
          <w:rFonts w:ascii="Times New Roman" w:hAnsi="Times New Roman" w:cs="Times New Roman"/>
          <w:sz w:val="24"/>
          <w:szCs w:val="24"/>
        </w:rPr>
        <w:tab/>
      </w:r>
      <w:r w:rsidRPr="00102E66">
        <w:rPr>
          <w:rFonts w:ascii="Arial" w:hAnsi="Arial" w:cs="Arial"/>
          <w:sz w:val="20"/>
          <w:szCs w:val="20"/>
        </w:rPr>
        <w:t>Table</w:t>
      </w:r>
      <w:r w:rsidR="002310BF" w:rsidRPr="00102E66">
        <w:rPr>
          <w:rFonts w:ascii="Arial" w:hAnsi="Arial" w:cs="Arial"/>
          <w:sz w:val="20"/>
          <w:szCs w:val="20"/>
        </w:rPr>
        <w:t xml:space="preserve"> </w:t>
      </w:r>
      <w:r w:rsidRPr="00102E66">
        <w:rPr>
          <w:rFonts w:ascii="Arial" w:hAnsi="Arial" w:cs="Arial"/>
          <w:sz w:val="20"/>
          <w:szCs w:val="20"/>
        </w:rPr>
        <w:t>2</w:t>
      </w:r>
      <w:r w:rsidRPr="00102E66">
        <w:rPr>
          <w:rFonts w:ascii="Arial" w:hAnsi="Arial" w:cs="Arial"/>
          <w:color w:val="0070C0"/>
          <w:sz w:val="20"/>
          <w:szCs w:val="20"/>
        </w:rPr>
        <w:t xml:space="preserve"> </w:t>
      </w:r>
      <w:r w:rsidRPr="00102E66">
        <w:rPr>
          <w:rFonts w:ascii="Arial" w:hAnsi="Arial" w:cs="Arial"/>
          <w:sz w:val="20"/>
          <w:szCs w:val="20"/>
        </w:rPr>
        <w:t xml:space="preserve">below shows the antimicrobial potency and spectrum of the tested antibiotics. </w:t>
      </w:r>
      <w:proofErr w:type="spellStart"/>
      <w:r w:rsidRPr="00102E66">
        <w:rPr>
          <w:rFonts w:ascii="Arial" w:hAnsi="Arial" w:cs="Arial"/>
          <w:sz w:val="20"/>
          <w:szCs w:val="20"/>
        </w:rPr>
        <w:t>Amoxicillin+clavulanic</w:t>
      </w:r>
      <w:proofErr w:type="spellEnd"/>
      <w:r w:rsidRPr="00102E66">
        <w:rPr>
          <w:rFonts w:ascii="Arial" w:hAnsi="Arial" w:cs="Arial"/>
          <w:sz w:val="20"/>
          <w:szCs w:val="20"/>
        </w:rPr>
        <w:t xml:space="preserve"> acid was the most inactive drug in Gram-negative bacilli as isolates were 100% resistant to it.  However, these isolates showed </w:t>
      </w:r>
      <w:r w:rsidR="007765D9" w:rsidRPr="00102E66">
        <w:rPr>
          <w:rFonts w:ascii="Arial" w:hAnsi="Arial" w:cs="Arial"/>
          <w:sz w:val="20"/>
          <w:szCs w:val="20"/>
        </w:rPr>
        <w:t xml:space="preserve">good </w:t>
      </w:r>
      <w:r w:rsidRPr="00102E66">
        <w:rPr>
          <w:rFonts w:ascii="Arial" w:hAnsi="Arial" w:cs="Arial"/>
          <w:sz w:val="20"/>
          <w:szCs w:val="20"/>
        </w:rPr>
        <w:t xml:space="preserve">susceptibility patterns towards imipenem (68.05%) and gentamycin (70.83%). </w:t>
      </w:r>
      <w:r w:rsidRPr="00102E66">
        <w:rPr>
          <w:rFonts w:ascii="Arial" w:hAnsi="Arial" w:cs="Arial"/>
          <w:i/>
          <w:sz w:val="20"/>
          <w:szCs w:val="20"/>
        </w:rPr>
        <w:t>E. coli</w:t>
      </w:r>
      <w:r w:rsidR="000E0F43" w:rsidRPr="00102E66">
        <w:rPr>
          <w:rFonts w:ascii="Arial" w:hAnsi="Arial" w:cs="Arial"/>
          <w:i/>
          <w:sz w:val="20"/>
          <w:szCs w:val="20"/>
        </w:rPr>
        <w:t>,</w:t>
      </w:r>
      <w:r w:rsidRPr="00102E66">
        <w:rPr>
          <w:rFonts w:ascii="Arial" w:hAnsi="Arial" w:cs="Arial"/>
          <w:i/>
          <w:sz w:val="20"/>
          <w:szCs w:val="20"/>
        </w:rPr>
        <w:t xml:space="preserve"> </w:t>
      </w:r>
      <w:r w:rsidRPr="00102E66">
        <w:rPr>
          <w:rFonts w:ascii="Arial" w:hAnsi="Arial" w:cs="Arial"/>
          <w:sz w:val="20"/>
          <w:szCs w:val="20"/>
        </w:rPr>
        <w:t xml:space="preserve">the most prevalent </w:t>
      </w:r>
      <w:proofErr w:type="spellStart"/>
      <w:r w:rsidRPr="00102E66">
        <w:rPr>
          <w:rFonts w:ascii="Arial" w:hAnsi="Arial" w:cs="Arial"/>
          <w:sz w:val="20"/>
          <w:szCs w:val="20"/>
        </w:rPr>
        <w:t>uropathogen</w:t>
      </w:r>
      <w:proofErr w:type="spellEnd"/>
      <w:r w:rsidRPr="00102E66">
        <w:rPr>
          <w:rFonts w:ascii="Arial" w:hAnsi="Arial" w:cs="Arial"/>
          <w:i/>
          <w:sz w:val="20"/>
          <w:szCs w:val="20"/>
        </w:rPr>
        <w:t xml:space="preserve"> </w:t>
      </w:r>
      <w:r w:rsidRPr="00102E66">
        <w:rPr>
          <w:rFonts w:ascii="Arial" w:hAnsi="Arial" w:cs="Arial"/>
          <w:sz w:val="20"/>
          <w:szCs w:val="20"/>
        </w:rPr>
        <w:t>showed a resistant rate of more</w:t>
      </w:r>
      <w:r w:rsidR="007765D9" w:rsidRPr="00102E66">
        <w:rPr>
          <w:rFonts w:ascii="Arial" w:hAnsi="Arial" w:cs="Arial"/>
          <w:sz w:val="20"/>
          <w:szCs w:val="20"/>
        </w:rPr>
        <w:t xml:space="preserve"> than</w:t>
      </w:r>
      <w:r w:rsidRPr="00102E66">
        <w:rPr>
          <w:rFonts w:ascii="Arial" w:hAnsi="Arial" w:cs="Arial"/>
          <w:sz w:val="20"/>
          <w:szCs w:val="20"/>
        </w:rPr>
        <w:t xml:space="preserve"> 50% to the third generation cephalosporins tested. </w:t>
      </w:r>
      <w:r w:rsidRPr="00102E66">
        <w:rPr>
          <w:rFonts w:ascii="Arial" w:hAnsi="Arial" w:cs="Arial"/>
          <w:i/>
          <w:sz w:val="20"/>
          <w:szCs w:val="20"/>
        </w:rPr>
        <w:t xml:space="preserve">Staphylococcus </w:t>
      </w:r>
      <w:proofErr w:type="spellStart"/>
      <w:r w:rsidRPr="00102E66">
        <w:rPr>
          <w:rFonts w:ascii="Arial" w:hAnsi="Arial" w:cs="Arial"/>
          <w:sz w:val="20"/>
          <w:szCs w:val="20"/>
        </w:rPr>
        <w:t>spp</w:t>
      </w:r>
      <w:proofErr w:type="spellEnd"/>
      <w:r w:rsidRPr="00102E66">
        <w:rPr>
          <w:rFonts w:ascii="Arial" w:hAnsi="Arial" w:cs="Arial"/>
          <w:sz w:val="20"/>
          <w:szCs w:val="20"/>
        </w:rPr>
        <w:t xml:space="preserve"> the only Gram-positive bacteria isolated was 100% resistant to </w:t>
      </w:r>
      <w:proofErr w:type="spellStart"/>
      <w:r w:rsidRPr="00102E66">
        <w:rPr>
          <w:rFonts w:ascii="Arial" w:hAnsi="Arial" w:cs="Arial"/>
          <w:sz w:val="20"/>
          <w:szCs w:val="20"/>
        </w:rPr>
        <w:t>ceftazidim</w:t>
      </w:r>
      <w:proofErr w:type="spellEnd"/>
      <w:r w:rsidRPr="00102E66">
        <w:rPr>
          <w:rFonts w:ascii="Arial" w:hAnsi="Arial" w:cs="Arial"/>
          <w:sz w:val="20"/>
          <w:szCs w:val="20"/>
        </w:rPr>
        <w:t xml:space="preserve"> but showed a good susceptibility pattern to ceftriaxone (92.85%). </w:t>
      </w:r>
    </w:p>
    <w:p w14:paraId="0948C818" w14:textId="77777777" w:rsidR="00014AA8" w:rsidRDefault="00014AA8" w:rsidP="00095B81">
      <w:pPr>
        <w:tabs>
          <w:tab w:val="center" w:pos="3341"/>
          <w:tab w:val="center" w:pos="5689"/>
          <w:tab w:val="center" w:pos="7206"/>
          <w:tab w:val="center" w:pos="8584"/>
        </w:tabs>
        <w:spacing w:after="21" w:line="265" w:lineRule="auto"/>
        <w:jc w:val="both"/>
        <w:sectPr w:rsidR="00014AA8" w:rsidSect="00A14995">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709" w:footer="709" w:gutter="0"/>
          <w:cols w:space="708"/>
          <w:docGrid w:linePitch="360"/>
        </w:sectPr>
      </w:pPr>
    </w:p>
    <w:p w14:paraId="483103DB" w14:textId="77777777" w:rsidR="004F6E4B" w:rsidRPr="00102E66" w:rsidRDefault="004F6E4B" w:rsidP="00095B81">
      <w:pPr>
        <w:tabs>
          <w:tab w:val="center" w:pos="3341"/>
          <w:tab w:val="center" w:pos="5689"/>
          <w:tab w:val="center" w:pos="7206"/>
          <w:tab w:val="center" w:pos="8584"/>
        </w:tabs>
        <w:spacing w:after="21" w:line="265" w:lineRule="auto"/>
        <w:jc w:val="both"/>
        <w:rPr>
          <w:rFonts w:ascii="Arial" w:hAnsi="Arial" w:cs="Arial"/>
          <w:sz w:val="20"/>
          <w:szCs w:val="20"/>
        </w:rPr>
      </w:pPr>
      <w:r w:rsidRPr="00102E66">
        <w:rPr>
          <w:rFonts w:ascii="Arial" w:hAnsi="Arial" w:cs="Arial"/>
          <w:b/>
          <w:sz w:val="20"/>
          <w:szCs w:val="20"/>
        </w:rPr>
        <w:lastRenderedPageBreak/>
        <w:t>Table 2</w:t>
      </w:r>
      <w:r w:rsidR="007D63D3" w:rsidRPr="00102E66">
        <w:rPr>
          <w:rFonts w:ascii="Arial" w:hAnsi="Arial" w:cs="Arial"/>
          <w:sz w:val="20"/>
          <w:szCs w:val="20"/>
        </w:rPr>
        <w:t xml:space="preserve">. </w:t>
      </w:r>
      <w:r w:rsidRPr="00102E66">
        <w:rPr>
          <w:rFonts w:ascii="Arial" w:hAnsi="Arial" w:cs="Arial"/>
          <w:sz w:val="20"/>
          <w:szCs w:val="20"/>
        </w:rPr>
        <w:t xml:space="preserve">Antimicrobial susceptibility patterns of isolates </w:t>
      </w:r>
    </w:p>
    <w:tbl>
      <w:tblPr>
        <w:tblStyle w:val="3"/>
        <w:tblW w:w="5000" w:type="pct"/>
        <w:tblInd w:w="0" w:type="dxa"/>
        <w:tblBorders>
          <w:top w:val="nil"/>
          <w:left w:val="nil"/>
          <w:bottom w:val="nil"/>
          <w:right w:val="nil"/>
          <w:insideH w:val="nil"/>
          <w:insideV w:val="nil"/>
        </w:tblBorders>
        <w:tblLook w:val="0400" w:firstRow="0" w:lastRow="0" w:firstColumn="0" w:lastColumn="0" w:noHBand="0" w:noVBand="1"/>
      </w:tblPr>
      <w:tblGrid>
        <w:gridCol w:w="1335"/>
        <w:gridCol w:w="1229"/>
        <w:gridCol w:w="770"/>
        <w:gridCol w:w="903"/>
        <w:gridCol w:w="903"/>
        <w:gridCol w:w="903"/>
        <w:gridCol w:w="903"/>
        <w:gridCol w:w="903"/>
        <w:gridCol w:w="903"/>
        <w:gridCol w:w="946"/>
        <w:gridCol w:w="903"/>
        <w:gridCol w:w="903"/>
        <w:gridCol w:w="903"/>
        <w:gridCol w:w="903"/>
        <w:gridCol w:w="866"/>
      </w:tblGrid>
      <w:tr w:rsidR="00B948BC" w:rsidRPr="00DA5693" w14:paraId="7CADEA8A" w14:textId="77777777" w:rsidTr="003C2339">
        <w:trPr>
          <w:trHeight w:val="96"/>
        </w:trPr>
        <w:tc>
          <w:tcPr>
            <w:tcW w:w="471" w:type="pct"/>
            <w:vMerge w:val="restart"/>
            <w:tcBorders>
              <w:top w:val="single" w:sz="24" w:space="0" w:color="000000"/>
            </w:tcBorders>
            <w:vAlign w:val="center"/>
          </w:tcPr>
          <w:p w14:paraId="1B6DB8CF"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Bacterial</w:t>
            </w:r>
            <w:proofErr w:type="spellEnd"/>
            <w:r w:rsidRPr="00DA5693">
              <w:rPr>
                <w:b/>
                <w:color w:val="000000" w:themeColor="text1"/>
                <w:sz w:val="18"/>
                <w:szCs w:val="18"/>
              </w:rPr>
              <w:t xml:space="preserve"> profile (no.)</w:t>
            </w:r>
          </w:p>
        </w:tc>
        <w:tc>
          <w:tcPr>
            <w:tcW w:w="433" w:type="pct"/>
            <w:vMerge w:val="restart"/>
            <w:tcBorders>
              <w:top w:val="single" w:sz="24" w:space="0" w:color="000000"/>
            </w:tcBorders>
            <w:vAlign w:val="center"/>
          </w:tcPr>
          <w:p w14:paraId="5B57A547"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Susceptibility</w:t>
            </w:r>
            <w:proofErr w:type="spellEnd"/>
          </w:p>
          <w:p w14:paraId="4C6C8AF4" w14:textId="77777777" w:rsidR="00B948BC" w:rsidRPr="00DA5693" w:rsidRDefault="00B948BC" w:rsidP="00B948BC">
            <w:pPr>
              <w:jc w:val="center"/>
              <w:rPr>
                <w:color w:val="000000" w:themeColor="text1"/>
                <w:sz w:val="18"/>
                <w:szCs w:val="18"/>
              </w:rPr>
            </w:pPr>
            <w:proofErr w:type="gramStart"/>
            <w:r w:rsidRPr="00DA5693">
              <w:rPr>
                <w:b/>
                <w:color w:val="000000" w:themeColor="text1"/>
                <w:sz w:val="18"/>
                <w:szCs w:val="18"/>
              </w:rPr>
              <w:t>to</w:t>
            </w:r>
            <w:proofErr w:type="gramEnd"/>
            <w:r w:rsidRPr="00DA5693">
              <w:rPr>
                <w:b/>
                <w:color w:val="000000" w:themeColor="text1"/>
                <w:sz w:val="18"/>
                <w:szCs w:val="18"/>
              </w:rPr>
              <w:t xml:space="preserve"> </w:t>
            </w:r>
            <w:proofErr w:type="spellStart"/>
            <w:r w:rsidRPr="00DA5693">
              <w:rPr>
                <w:b/>
                <w:color w:val="000000" w:themeColor="text1"/>
                <w:sz w:val="18"/>
                <w:szCs w:val="18"/>
              </w:rPr>
              <w:t>antibiotics</w:t>
            </w:r>
            <w:proofErr w:type="spellEnd"/>
          </w:p>
        </w:tc>
        <w:tc>
          <w:tcPr>
            <w:tcW w:w="272" w:type="pct"/>
            <w:tcBorders>
              <w:top w:val="single" w:sz="24" w:space="0" w:color="000000"/>
            </w:tcBorders>
          </w:tcPr>
          <w:p w14:paraId="7B1B9DA3" w14:textId="77777777" w:rsidR="00B948BC" w:rsidRPr="00DA5693" w:rsidRDefault="00B948BC" w:rsidP="00B948BC">
            <w:pPr>
              <w:jc w:val="center"/>
              <w:rPr>
                <w:b/>
                <w:color w:val="000000" w:themeColor="text1"/>
                <w:sz w:val="18"/>
                <w:szCs w:val="18"/>
              </w:rPr>
            </w:pPr>
          </w:p>
        </w:tc>
        <w:tc>
          <w:tcPr>
            <w:tcW w:w="2882" w:type="pct"/>
            <w:gridSpan w:val="9"/>
            <w:tcBorders>
              <w:top w:val="single" w:sz="24" w:space="0" w:color="000000"/>
              <w:bottom w:val="single" w:sz="6" w:space="0" w:color="000000"/>
            </w:tcBorders>
            <w:vAlign w:val="center"/>
          </w:tcPr>
          <w:p w14:paraId="6D7B5EBD" w14:textId="77777777" w:rsidR="00B948BC" w:rsidRPr="00DA5693" w:rsidRDefault="00B948BC" w:rsidP="00B948BC">
            <w:pPr>
              <w:jc w:val="center"/>
              <w:rPr>
                <w:b/>
                <w:color w:val="000000" w:themeColor="text1"/>
                <w:sz w:val="18"/>
                <w:szCs w:val="18"/>
              </w:rPr>
            </w:pPr>
            <w:proofErr w:type="spellStart"/>
            <w:r w:rsidRPr="00DA5693">
              <w:rPr>
                <w:b/>
                <w:color w:val="000000" w:themeColor="text1"/>
                <w:sz w:val="18"/>
                <w:szCs w:val="18"/>
              </w:rPr>
              <w:t>Tested</w:t>
            </w:r>
            <w:proofErr w:type="spellEnd"/>
            <w:r w:rsidRPr="00DA5693">
              <w:rPr>
                <w:b/>
                <w:color w:val="000000" w:themeColor="text1"/>
                <w:sz w:val="18"/>
                <w:szCs w:val="18"/>
              </w:rPr>
              <w:t xml:space="preserve"> </w:t>
            </w:r>
            <w:proofErr w:type="spellStart"/>
            <w:r w:rsidRPr="00DA5693">
              <w:rPr>
                <w:b/>
                <w:color w:val="000000" w:themeColor="text1"/>
                <w:sz w:val="18"/>
                <w:szCs w:val="18"/>
              </w:rPr>
              <w:t>antibiotics</w:t>
            </w:r>
            <w:proofErr w:type="spellEnd"/>
          </w:p>
        </w:tc>
        <w:tc>
          <w:tcPr>
            <w:tcW w:w="318" w:type="pct"/>
            <w:tcBorders>
              <w:top w:val="single" w:sz="24" w:space="0" w:color="000000"/>
              <w:bottom w:val="single" w:sz="6" w:space="0" w:color="000000"/>
            </w:tcBorders>
          </w:tcPr>
          <w:p w14:paraId="30EE617C" w14:textId="77777777" w:rsidR="00B948BC" w:rsidRPr="00DA5693" w:rsidRDefault="00B948BC" w:rsidP="00B948BC">
            <w:pPr>
              <w:rPr>
                <w:color w:val="000000" w:themeColor="text1"/>
                <w:sz w:val="18"/>
                <w:szCs w:val="18"/>
              </w:rPr>
            </w:pPr>
          </w:p>
        </w:tc>
        <w:tc>
          <w:tcPr>
            <w:tcW w:w="318" w:type="pct"/>
            <w:tcBorders>
              <w:top w:val="single" w:sz="24" w:space="0" w:color="000000"/>
              <w:bottom w:val="single" w:sz="6" w:space="0" w:color="000000"/>
            </w:tcBorders>
          </w:tcPr>
          <w:p w14:paraId="441EB062" w14:textId="77777777" w:rsidR="00B948BC" w:rsidRPr="00DA5693" w:rsidRDefault="00B948BC" w:rsidP="00B948BC">
            <w:pPr>
              <w:rPr>
                <w:color w:val="000000" w:themeColor="text1"/>
                <w:sz w:val="18"/>
                <w:szCs w:val="18"/>
              </w:rPr>
            </w:pPr>
          </w:p>
        </w:tc>
        <w:tc>
          <w:tcPr>
            <w:tcW w:w="305" w:type="pct"/>
            <w:tcBorders>
              <w:top w:val="single" w:sz="24" w:space="0" w:color="000000"/>
              <w:bottom w:val="single" w:sz="6" w:space="0" w:color="000000"/>
            </w:tcBorders>
          </w:tcPr>
          <w:p w14:paraId="68616D60" w14:textId="77777777" w:rsidR="00B948BC" w:rsidRPr="00DA5693" w:rsidRDefault="00B948BC" w:rsidP="00B948BC">
            <w:pPr>
              <w:rPr>
                <w:color w:val="000000" w:themeColor="text1"/>
                <w:sz w:val="18"/>
                <w:szCs w:val="18"/>
              </w:rPr>
            </w:pPr>
          </w:p>
        </w:tc>
      </w:tr>
      <w:tr w:rsidR="00B948BC" w:rsidRPr="00DA5693" w14:paraId="3AFBD37C" w14:textId="77777777" w:rsidTr="003C2339">
        <w:trPr>
          <w:trHeight w:val="227"/>
        </w:trPr>
        <w:tc>
          <w:tcPr>
            <w:tcW w:w="471" w:type="pct"/>
            <w:vMerge/>
            <w:tcBorders>
              <w:top w:val="single" w:sz="24" w:space="0" w:color="000000"/>
            </w:tcBorders>
            <w:vAlign w:val="center"/>
          </w:tcPr>
          <w:p w14:paraId="370BBB33" w14:textId="77777777" w:rsidR="00B948BC" w:rsidRPr="00DA5693" w:rsidRDefault="00B948BC" w:rsidP="00B948BC">
            <w:pPr>
              <w:widowControl w:val="0"/>
              <w:pBdr>
                <w:top w:val="nil"/>
                <w:left w:val="nil"/>
                <w:bottom w:val="nil"/>
                <w:right w:val="nil"/>
                <w:between w:val="nil"/>
              </w:pBdr>
              <w:rPr>
                <w:color w:val="000000" w:themeColor="text1"/>
                <w:sz w:val="18"/>
                <w:szCs w:val="18"/>
              </w:rPr>
            </w:pPr>
          </w:p>
        </w:tc>
        <w:tc>
          <w:tcPr>
            <w:tcW w:w="433" w:type="pct"/>
            <w:vMerge/>
            <w:tcBorders>
              <w:top w:val="single" w:sz="24" w:space="0" w:color="000000"/>
            </w:tcBorders>
            <w:vAlign w:val="center"/>
          </w:tcPr>
          <w:p w14:paraId="58197229" w14:textId="77777777" w:rsidR="00B948BC" w:rsidRPr="00DA5693" w:rsidRDefault="00B948BC" w:rsidP="00B948BC">
            <w:pPr>
              <w:widowControl w:val="0"/>
              <w:pBdr>
                <w:top w:val="nil"/>
                <w:left w:val="nil"/>
                <w:bottom w:val="nil"/>
                <w:right w:val="nil"/>
                <w:between w:val="nil"/>
              </w:pBdr>
              <w:rPr>
                <w:color w:val="000000" w:themeColor="text1"/>
                <w:sz w:val="18"/>
                <w:szCs w:val="18"/>
              </w:rPr>
            </w:pPr>
          </w:p>
        </w:tc>
        <w:tc>
          <w:tcPr>
            <w:tcW w:w="272" w:type="pct"/>
            <w:tcBorders>
              <w:top w:val="single" w:sz="6" w:space="0" w:color="000000"/>
              <w:bottom w:val="single" w:sz="24" w:space="0" w:color="000000"/>
            </w:tcBorders>
            <w:vAlign w:val="center"/>
          </w:tcPr>
          <w:p w14:paraId="633D788B" w14:textId="77777777" w:rsidR="00B948BC" w:rsidRPr="00DA5693" w:rsidRDefault="00B948BC" w:rsidP="00B948BC">
            <w:pPr>
              <w:jc w:val="center"/>
              <w:rPr>
                <w:color w:val="000000" w:themeColor="text1"/>
                <w:sz w:val="18"/>
                <w:szCs w:val="18"/>
              </w:rPr>
            </w:pPr>
            <w:r w:rsidRPr="00DA5693">
              <w:rPr>
                <w:color w:val="000000" w:themeColor="text1"/>
                <w:sz w:val="18"/>
                <w:szCs w:val="18"/>
              </w:rPr>
              <w:t>AMC</w:t>
            </w:r>
          </w:p>
        </w:tc>
        <w:tc>
          <w:tcPr>
            <w:tcW w:w="318" w:type="pct"/>
            <w:tcBorders>
              <w:top w:val="single" w:sz="6" w:space="0" w:color="000000"/>
              <w:bottom w:val="single" w:sz="24" w:space="0" w:color="000000"/>
            </w:tcBorders>
            <w:vAlign w:val="center"/>
          </w:tcPr>
          <w:p w14:paraId="48464AAE" w14:textId="77777777" w:rsidR="00B948BC" w:rsidRPr="00DA5693" w:rsidRDefault="00B948BC" w:rsidP="00B948BC">
            <w:pPr>
              <w:jc w:val="center"/>
              <w:rPr>
                <w:color w:val="000000" w:themeColor="text1"/>
                <w:sz w:val="18"/>
                <w:szCs w:val="18"/>
              </w:rPr>
            </w:pPr>
            <w:r w:rsidRPr="00DA5693">
              <w:rPr>
                <w:color w:val="000000" w:themeColor="text1"/>
                <w:sz w:val="18"/>
                <w:szCs w:val="18"/>
              </w:rPr>
              <w:t>AMK</w:t>
            </w:r>
          </w:p>
        </w:tc>
        <w:tc>
          <w:tcPr>
            <w:tcW w:w="318" w:type="pct"/>
            <w:tcBorders>
              <w:top w:val="single" w:sz="6" w:space="0" w:color="000000"/>
              <w:bottom w:val="single" w:sz="24" w:space="0" w:color="000000"/>
            </w:tcBorders>
            <w:vAlign w:val="center"/>
          </w:tcPr>
          <w:p w14:paraId="4BABDB6A" w14:textId="77777777" w:rsidR="00B948BC" w:rsidRPr="00DA5693" w:rsidRDefault="00B948BC" w:rsidP="00B948BC">
            <w:pPr>
              <w:jc w:val="center"/>
              <w:rPr>
                <w:color w:val="000000" w:themeColor="text1"/>
                <w:sz w:val="18"/>
                <w:szCs w:val="18"/>
              </w:rPr>
            </w:pPr>
            <w:r w:rsidRPr="00DA5693">
              <w:rPr>
                <w:color w:val="000000" w:themeColor="text1"/>
                <w:sz w:val="18"/>
                <w:szCs w:val="18"/>
              </w:rPr>
              <w:t>CAZ</w:t>
            </w:r>
          </w:p>
        </w:tc>
        <w:tc>
          <w:tcPr>
            <w:tcW w:w="318" w:type="pct"/>
            <w:tcBorders>
              <w:top w:val="single" w:sz="6" w:space="0" w:color="000000"/>
              <w:bottom w:val="single" w:sz="24" w:space="0" w:color="000000"/>
            </w:tcBorders>
            <w:vAlign w:val="center"/>
          </w:tcPr>
          <w:p w14:paraId="1B0D420F" w14:textId="77777777" w:rsidR="00B948BC" w:rsidRPr="00DA5693" w:rsidRDefault="00B948BC" w:rsidP="00B948BC">
            <w:pPr>
              <w:jc w:val="center"/>
              <w:rPr>
                <w:color w:val="000000" w:themeColor="text1"/>
                <w:sz w:val="18"/>
                <w:szCs w:val="18"/>
              </w:rPr>
            </w:pPr>
            <w:r w:rsidRPr="00DA5693">
              <w:rPr>
                <w:color w:val="000000" w:themeColor="text1"/>
                <w:sz w:val="18"/>
                <w:szCs w:val="18"/>
              </w:rPr>
              <w:t>IMP</w:t>
            </w:r>
          </w:p>
        </w:tc>
        <w:tc>
          <w:tcPr>
            <w:tcW w:w="318" w:type="pct"/>
            <w:tcBorders>
              <w:top w:val="single" w:sz="6" w:space="0" w:color="000000"/>
              <w:bottom w:val="single" w:sz="24" w:space="0" w:color="000000"/>
            </w:tcBorders>
            <w:vAlign w:val="center"/>
          </w:tcPr>
          <w:p w14:paraId="66ABF70A" w14:textId="77777777" w:rsidR="00B948BC" w:rsidRPr="00DA5693" w:rsidRDefault="00B948BC" w:rsidP="00B948BC">
            <w:pPr>
              <w:jc w:val="center"/>
              <w:rPr>
                <w:color w:val="000000" w:themeColor="text1"/>
                <w:sz w:val="18"/>
                <w:szCs w:val="18"/>
              </w:rPr>
            </w:pPr>
            <w:r w:rsidRPr="00DA5693">
              <w:rPr>
                <w:color w:val="000000" w:themeColor="text1"/>
                <w:sz w:val="18"/>
                <w:szCs w:val="18"/>
              </w:rPr>
              <w:t>CTX</w:t>
            </w:r>
          </w:p>
        </w:tc>
        <w:tc>
          <w:tcPr>
            <w:tcW w:w="318" w:type="pct"/>
            <w:tcBorders>
              <w:top w:val="single" w:sz="6" w:space="0" w:color="000000"/>
              <w:bottom w:val="single" w:sz="24" w:space="0" w:color="000000"/>
            </w:tcBorders>
            <w:vAlign w:val="center"/>
          </w:tcPr>
          <w:p w14:paraId="6E31204F" w14:textId="77777777" w:rsidR="00B948BC" w:rsidRPr="00DA5693" w:rsidRDefault="00B948BC" w:rsidP="00B948BC">
            <w:pPr>
              <w:jc w:val="center"/>
              <w:rPr>
                <w:color w:val="000000" w:themeColor="text1"/>
                <w:sz w:val="18"/>
                <w:szCs w:val="18"/>
              </w:rPr>
            </w:pPr>
            <w:r w:rsidRPr="00DA5693">
              <w:rPr>
                <w:color w:val="000000" w:themeColor="text1"/>
                <w:sz w:val="18"/>
                <w:szCs w:val="18"/>
              </w:rPr>
              <w:t>CRO</w:t>
            </w:r>
          </w:p>
        </w:tc>
        <w:tc>
          <w:tcPr>
            <w:tcW w:w="318" w:type="pct"/>
            <w:tcBorders>
              <w:top w:val="single" w:sz="6" w:space="0" w:color="000000"/>
              <w:bottom w:val="single" w:sz="24" w:space="0" w:color="000000"/>
            </w:tcBorders>
            <w:vAlign w:val="center"/>
          </w:tcPr>
          <w:p w14:paraId="6DB16331" w14:textId="77777777" w:rsidR="00B948BC" w:rsidRPr="00DA5693" w:rsidRDefault="00B948BC" w:rsidP="00B948BC">
            <w:pPr>
              <w:jc w:val="center"/>
              <w:rPr>
                <w:color w:val="000000" w:themeColor="text1"/>
                <w:sz w:val="18"/>
                <w:szCs w:val="18"/>
              </w:rPr>
            </w:pPr>
            <w:r w:rsidRPr="00DA5693">
              <w:rPr>
                <w:color w:val="000000" w:themeColor="text1"/>
                <w:sz w:val="18"/>
                <w:szCs w:val="18"/>
              </w:rPr>
              <w:t>CIP</w:t>
            </w:r>
          </w:p>
        </w:tc>
        <w:tc>
          <w:tcPr>
            <w:tcW w:w="334" w:type="pct"/>
            <w:tcBorders>
              <w:top w:val="single" w:sz="6" w:space="0" w:color="000000"/>
              <w:bottom w:val="single" w:sz="24" w:space="0" w:color="000000"/>
            </w:tcBorders>
            <w:vAlign w:val="center"/>
          </w:tcPr>
          <w:p w14:paraId="49374F9A" w14:textId="77777777" w:rsidR="00B948BC" w:rsidRPr="00DA5693" w:rsidRDefault="00B948BC" w:rsidP="00B948BC">
            <w:pPr>
              <w:jc w:val="center"/>
              <w:rPr>
                <w:color w:val="000000" w:themeColor="text1"/>
                <w:sz w:val="18"/>
                <w:szCs w:val="18"/>
              </w:rPr>
            </w:pPr>
            <w:r w:rsidRPr="00DA5693">
              <w:rPr>
                <w:color w:val="000000" w:themeColor="text1"/>
                <w:sz w:val="18"/>
                <w:szCs w:val="18"/>
              </w:rPr>
              <w:t>LEV</w:t>
            </w:r>
          </w:p>
        </w:tc>
        <w:tc>
          <w:tcPr>
            <w:tcW w:w="318" w:type="pct"/>
            <w:tcBorders>
              <w:top w:val="single" w:sz="6" w:space="0" w:color="000000"/>
              <w:bottom w:val="single" w:sz="24" w:space="0" w:color="000000"/>
            </w:tcBorders>
            <w:vAlign w:val="center"/>
          </w:tcPr>
          <w:p w14:paraId="69F5AA13" w14:textId="77777777" w:rsidR="00B948BC" w:rsidRPr="00DA5693" w:rsidRDefault="00B948BC" w:rsidP="00B948BC">
            <w:pPr>
              <w:jc w:val="center"/>
              <w:rPr>
                <w:color w:val="000000" w:themeColor="text1"/>
                <w:sz w:val="18"/>
                <w:szCs w:val="18"/>
              </w:rPr>
            </w:pPr>
            <w:r w:rsidRPr="00DA5693">
              <w:rPr>
                <w:color w:val="000000" w:themeColor="text1"/>
                <w:sz w:val="18"/>
                <w:szCs w:val="18"/>
              </w:rPr>
              <w:t>OFX</w:t>
            </w:r>
          </w:p>
        </w:tc>
        <w:tc>
          <w:tcPr>
            <w:tcW w:w="318" w:type="pct"/>
            <w:tcBorders>
              <w:top w:val="single" w:sz="6" w:space="0" w:color="000000"/>
              <w:bottom w:val="single" w:sz="24" w:space="0" w:color="000000"/>
            </w:tcBorders>
            <w:vAlign w:val="center"/>
          </w:tcPr>
          <w:p w14:paraId="108A80A8" w14:textId="77777777" w:rsidR="00B948BC" w:rsidRPr="00DA5693" w:rsidRDefault="00B948BC" w:rsidP="00B948BC">
            <w:pPr>
              <w:jc w:val="center"/>
              <w:rPr>
                <w:color w:val="000000" w:themeColor="text1"/>
                <w:sz w:val="18"/>
                <w:szCs w:val="18"/>
              </w:rPr>
            </w:pPr>
            <w:r w:rsidRPr="00DA5693">
              <w:rPr>
                <w:color w:val="000000" w:themeColor="text1"/>
                <w:sz w:val="18"/>
                <w:szCs w:val="18"/>
              </w:rPr>
              <w:t>TOB</w:t>
            </w:r>
          </w:p>
        </w:tc>
        <w:tc>
          <w:tcPr>
            <w:tcW w:w="318" w:type="pct"/>
            <w:tcBorders>
              <w:top w:val="single" w:sz="6" w:space="0" w:color="000000"/>
              <w:bottom w:val="single" w:sz="24" w:space="0" w:color="000000"/>
            </w:tcBorders>
            <w:vAlign w:val="center"/>
          </w:tcPr>
          <w:p w14:paraId="2C767A22" w14:textId="77777777" w:rsidR="00B948BC" w:rsidRPr="00DA5693" w:rsidRDefault="00B948BC" w:rsidP="00B948BC">
            <w:pPr>
              <w:jc w:val="center"/>
              <w:rPr>
                <w:color w:val="000000" w:themeColor="text1"/>
                <w:sz w:val="18"/>
                <w:szCs w:val="18"/>
              </w:rPr>
            </w:pPr>
            <w:r w:rsidRPr="00DA5693">
              <w:rPr>
                <w:color w:val="000000" w:themeColor="text1"/>
                <w:sz w:val="18"/>
                <w:szCs w:val="18"/>
              </w:rPr>
              <w:t>CN</w:t>
            </w:r>
          </w:p>
        </w:tc>
        <w:tc>
          <w:tcPr>
            <w:tcW w:w="318" w:type="pct"/>
            <w:tcBorders>
              <w:top w:val="single" w:sz="6" w:space="0" w:color="000000"/>
              <w:bottom w:val="single" w:sz="24" w:space="0" w:color="000000"/>
            </w:tcBorders>
            <w:vAlign w:val="center"/>
          </w:tcPr>
          <w:p w14:paraId="583840AB" w14:textId="77777777" w:rsidR="00B948BC" w:rsidRPr="00DA5693" w:rsidRDefault="00B948BC" w:rsidP="00B948BC">
            <w:pPr>
              <w:jc w:val="center"/>
              <w:rPr>
                <w:color w:val="000000" w:themeColor="text1"/>
                <w:sz w:val="18"/>
                <w:szCs w:val="18"/>
              </w:rPr>
            </w:pPr>
            <w:r w:rsidRPr="00DA5693">
              <w:rPr>
                <w:color w:val="000000" w:themeColor="text1"/>
                <w:sz w:val="18"/>
                <w:szCs w:val="18"/>
              </w:rPr>
              <w:t>AZM</w:t>
            </w:r>
          </w:p>
        </w:tc>
        <w:tc>
          <w:tcPr>
            <w:tcW w:w="305" w:type="pct"/>
            <w:tcBorders>
              <w:top w:val="single" w:sz="6" w:space="0" w:color="000000"/>
              <w:bottom w:val="single" w:sz="24" w:space="0" w:color="000000"/>
            </w:tcBorders>
            <w:vAlign w:val="center"/>
          </w:tcPr>
          <w:p w14:paraId="0115C38E" w14:textId="77777777" w:rsidR="00B948BC" w:rsidRPr="00DA5693" w:rsidRDefault="00B948BC" w:rsidP="00B948BC">
            <w:pPr>
              <w:jc w:val="center"/>
              <w:rPr>
                <w:color w:val="000000" w:themeColor="text1"/>
                <w:sz w:val="18"/>
                <w:szCs w:val="18"/>
              </w:rPr>
            </w:pPr>
            <w:r w:rsidRPr="00DA5693">
              <w:rPr>
                <w:color w:val="000000" w:themeColor="text1"/>
                <w:sz w:val="18"/>
                <w:szCs w:val="18"/>
              </w:rPr>
              <w:t>TE</w:t>
            </w:r>
          </w:p>
        </w:tc>
      </w:tr>
      <w:tr w:rsidR="00B948BC" w:rsidRPr="00DA5693" w14:paraId="73F5D1B0" w14:textId="77777777" w:rsidTr="003C2339">
        <w:trPr>
          <w:trHeight w:val="333"/>
        </w:trPr>
        <w:tc>
          <w:tcPr>
            <w:tcW w:w="471" w:type="pct"/>
            <w:tcBorders>
              <w:top w:val="single" w:sz="24" w:space="0" w:color="000000"/>
              <w:bottom w:val="single" w:sz="4" w:space="0" w:color="000000"/>
            </w:tcBorders>
            <w:vAlign w:val="center"/>
          </w:tcPr>
          <w:p w14:paraId="69ED1F07"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E. coli </w:t>
            </w:r>
            <w:r w:rsidRPr="00DA5693">
              <w:rPr>
                <w:color w:val="000000" w:themeColor="text1"/>
                <w:sz w:val="18"/>
                <w:szCs w:val="18"/>
              </w:rPr>
              <w:t>(33)</w:t>
            </w:r>
          </w:p>
        </w:tc>
        <w:tc>
          <w:tcPr>
            <w:tcW w:w="433" w:type="pct"/>
            <w:tcBorders>
              <w:top w:val="single" w:sz="24" w:space="0" w:color="000000"/>
              <w:bottom w:val="single" w:sz="4" w:space="0" w:color="000000"/>
            </w:tcBorders>
            <w:vAlign w:val="center"/>
          </w:tcPr>
          <w:p w14:paraId="48CC32D3"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5CC695FA"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4974830B"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24" w:space="0" w:color="000000"/>
              <w:bottom w:val="single" w:sz="4" w:space="0" w:color="000000"/>
            </w:tcBorders>
            <w:vAlign w:val="center"/>
          </w:tcPr>
          <w:p w14:paraId="15D4141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412863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5B32AF1" w14:textId="77777777" w:rsidR="00B948BC" w:rsidRPr="00DA5693" w:rsidRDefault="00B948BC" w:rsidP="00B948BC">
            <w:pPr>
              <w:jc w:val="center"/>
              <w:rPr>
                <w:color w:val="000000" w:themeColor="text1"/>
                <w:sz w:val="18"/>
                <w:szCs w:val="18"/>
              </w:rPr>
            </w:pPr>
            <w:r w:rsidRPr="00DA5693">
              <w:rPr>
                <w:color w:val="000000" w:themeColor="text1"/>
                <w:sz w:val="18"/>
                <w:szCs w:val="18"/>
              </w:rPr>
              <w:t>33</w:t>
            </w:r>
          </w:p>
        </w:tc>
        <w:tc>
          <w:tcPr>
            <w:tcW w:w="318" w:type="pct"/>
            <w:tcBorders>
              <w:top w:val="single" w:sz="24" w:space="0" w:color="000000"/>
              <w:bottom w:val="single" w:sz="4" w:space="0" w:color="000000"/>
            </w:tcBorders>
            <w:vAlign w:val="center"/>
          </w:tcPr>
          <w:p w14:paraId="55834647" w14:textId="77777777" w:rsidR="00B948BC" w:rsidRPr="00DA5693" w:rsidRDefault="00B948BC" w:rsidP="00B948BC">
            <w:pPr>
              <w:jc w:val="center"/>
              <w:rPr>
                <w:color w:val="000000" w:themeColor="text1"/>
                <w:sz w:val="18"/>
                <w:szCs w:val="18"/>
              </w:rPr>
            </w:pPr>
            <w:r w:rsidRPr="00DA5693">
              <w:rPr>
                <w:color w:val="000000" w:themeColor="text1"/>
                <w:sz w:val="18"/>
                <w:szCs w:val="18"/>
              </w:rPr>
              <w:t>20</w:t>
            </w:r>
          </w:p>
          <w:p w14:paraId="282BECC2"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38269596"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tc>
        <w:tc>
          <w:tcPr>
            <w:tcW w:w="318" w:type="pct"/>
            <w:tcBorders>
              <w:top w:val="single" w:sz="24" w:space="0" w:color="000000"/>
              <w:bottom w:val="single" w:sz="4" w:space="0" w:color="000000"/>
            </w:tcBorders>
            <w:vAlign w:val="center"/>
          </w:tcPr>
          <w:p w14:paraId="3B455D6E"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p w14:paraId="6F1E18CE"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0AA7A7D" w14:textId="77777777" w:rsidR="00B948BC" w:rsidRPr="00DA5693" w:rsidRDefault="00B948BC" w:rsidP="00B948BC">
            <w:pPr>
              <w:jc w:val="center"/>
              <w:rPr>
                <w:color w:val="000000" w:themeColor="text1"/>
                <w:sz w:val="18"/>
                <w:szCs w:val="18"/>
              </w:rPr>
            </w:pPr>
            <w:r w:rsidRPr="00DA5693">
              <w:rPr>
                <w:color w:val="000000" w:themeColor="text1"/>
                <w:sz w:val="18"/>
                <w:szCs w:val="18"/>
              </w:rPr>
              <w:t>23</w:t>
            </w:r>
          </w:p>
        </w:tc>
        <w:tc>
          <w:tcPr>
            <w:tcW w:w="318" w:type="pct"/>
            <w:tcBorders>
              <w:top w:val="single" w:sz="24" w:space="0" w:color="000000"/>
              <w:bottom w:val="single" w:sz="4" w:space="0" w:color="000000"/>
            </w:tcBorders>
            <w:vAlign w:val="center"/>
          </w:tcPr>
          <w:p w14:paraId="5729FDBA" w14:textId="77777777" w:rsidR="00B948BC" w:rsidRPr="00DA5693" w:rsidRDefault="00B948BC" w:rsidP="00B948BC">
            <w:pPr>
              <w:jc w:val="center"/>
              <w:rPr>
                <w:color w:val="000000" w:themeColor="text1"/>
                <w:sz w:val="18"/>
                <w:szCs w:val="18"/>
              </w:rPr>
            </w:pPr>
            <w:r w:rsidRPr="00DA5693">
              <w:rPr>
                <w:color w:val="000000" w:themeColor="text1"/>
                <w:sz w:val="18"/>
                <w:szCs w:val="18"/>
              </w:rPr>
              <w:t>25</w:t>
            </w:r>
          </w:p>
          <w:p w14:paraId="00F7AD34"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8BC5532"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24" w:space="0" w:color="000000"/>
              <w:bottom w:val="single" w:sz="4" w:space="0" w:color="000000"/>
            </w:tcBorders>
            <w:vAlign w:val="center"/>
          </w:tcPr>
          <w:p w14:paraId="2C1D269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755D984F"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22A916C5" w14:textId="77777777" w:rsidR="00B948BC" w:rsidRPr="00DA5693" w:rsidRDefault="00B948BC" w:rsidP="00B948BC">
            <w:pPr>
              <w:jc w:val="center"/>
              <w:rPr>
                <w:color w:val="000000" w:themeColor="text1"/>
                <w:sz w:val="18"/>
                <w:szCs w:val="18"/>
              </w:rPr>
            </w:pPr>
            <w:r w:rsidRPr="00DA5693">
              <w:rPr>
                <w:color w:val="000000" w:themeColor="text1"/>
                <w:sz w:val="18"/>
                <w:szCs w:val="18"/>
              </w:rPr>
              <w:t>19</w:t>
            </w:r>
          </w:p>
        </w:tc>
        <w:tc>
          <w:tcPr>
            <w:tcW w:w="318" w:type="pct"/>
            <w:tcBorders>
              <w:top w:val="single" w:sz="24" w:space="0" w:color="000000"/>
              <w:bottom w:val="single" w:sz="4" w:space="0" w:color="000000"/>
            </w:tcBorders>
            <w:vAlign w:val="center"/>
          </w:tcPr>
          <w:p w14:paraId="4BDB5803"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p w14:paraId="38CC39C4"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0DD0E368" w14:textId="77777777" w:rsidR="00B948BC" w:rsidRPr="00DA5693" w:rsidRDefault="00B948BC" w:rsidP="00B948BC">
            <w:pPr>
              <w:jc w:val="center"/>
              <w:rPr>
                <w:color w:val="000000" w:themeColor="text1"/>
                <w:sz w:val="18"/>
                <w:szCs w:val="18"/>
              </w:rPr>
            </w:pPr>
            <w:r w:rsidRPr="00DA5693">
              <w:rPr>
                <w:color w:val="000000" w:themeColor="text1"/>
                <w:sz w:val="18"/>
                <w:szCs w:val="18"/>
              </w:rPr>
              <w:t>19</w:t>
            </w:r>
          </w:p>
        </w:tc>
        <w:tc>
          <w:tcPr>
            <w:tcW w:w="318" w:type="pct"/>
            <w:tcBorders>
              <w:top w:val="single" w:sz="24" w:space="0" w:color="000000"/>
              <w:bottom w:val="single" w:sz="4" w:space="0" w:color="000000"/>
            </w:tcBorders>
            <w:vAlign w:val="center"/>
          </w:tcPr>
          <w:p w14:paraId="21B0C009" w14:textId="77777777" w:rsidR="00B948BC" w:rsidRPr="00DA5693" w:rsidRDefault="00B948BC" w:rsidP="00B948BC">
            <w:pPr>
              <w:jc w:val="center"/>
              <w:rPr>
                <w:color w:val="000000" w:themeColor="text1"/>
                <w:sz w:val="18"/>
                <w:szCs w:val="18"/>
              </w:rPr>
            </w:pPr>
            <w:r w:rsidRPr="00DA5693">
              <w:rPr>
                <w:color w:val="000000" w:themeColor="text1"/>
                <w:sz w:val="18"/>
                <w:szCs w:val="18"/>
              </w:rPr>
              <w:t>16</w:t>
            </w:r>
          </w:p>
          <w:p w14:paraId="14C3D60A"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37F6FD06" w14:textId="77777777" w:rsidR="00B948BC" w:rsidRPr="00DA5693" w:rsidRDefault="00B948BC" w:rsidP="00B948BC">
            <w:pPr>
              <w:jc w:val="center"/>
              <w:rPr>
                <w:color w:val="000000" w:themeColor="text1"/>
                <w:sz w:val="18"/>
                <w:szCs w:val="18"/>
              </w:rPr>
            </w:pPr>
            <w:r w:rsidRPr="00DA5693">
              <w:rPr>
                <w:color w:val="000000" w:themeColor="text1"/>
                <w:sz w:val="18"/>
                <w:szCs w:val="18"/>
              </w:rPr>
              <w:t>14</w:t>
            </w:r>
          </w:p>
        </w:tc>
        <w:tc>
          <w:tcPr>
            <w:tcW w:w="334" w:type="pct"/>
            <w:tcBorders>
              <w:top w:val="single" w:sz="24" w:space="0" w:color="000000"/>
              <w:bottom w:val="single" w:sz="4" w:space="0" w:color="000000"/>
            </w:tcBorders>
            <w:vAlign w:val="center"/>
          </w:tcPr>
          <w:p w14:paraId="19559C49"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p w14:paraId="04594C7A"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70D7A162"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24" w:space="0" w:color="000000"/>
              <w:bottom w:val="single" w:sz="4" w:space="0" w:color="000000"/>
            </w:tcBorders>
            <w:vAlign w:val="center"/>
          </w:tcPr>
          <w:p w14:paraId="1B572E3B"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p w14:paraId="7A954A32"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4C4C6C48"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tc>
        <w:tc>
          <w:tcPr>
            <w:tcW w:w="318" w:type="pct"/>
            <w:tcBorders>
              <w:top w:val="single" w:sz="24" w:space="0" w:color="000000"/>
              <w:bottom w:val="single" w:sz="4" w:space="0" w:color="000000"/>
            </w:tcBorders>
            <w:vAlign w:val="center"/>
          </w:tcPr>
          <w:p w14:paraId="2AE2D369" w14:textId="77777777" w:rsidR="00B948BC" w:rsidRPr="00DA5693" w:rsidRDefault="00B948BC" w:rsidP="00B948BC">
            <w:pPr>
              <w:jc w:val="center"/>
              <w:rPr>
                <w:color w:val="000000" w:themeColor="text1"/>
                <w:sz w:val="18"/>
                <w:szCs w:val="18"/>
              </w:rPr>
            </w:pPr>
            <w:r w:rsidRPr="00DA5693">
              <w:rPr>
                <w:color w:val="000000" w:themeColor="text1"/>
                <w:sz w:val="18"/>
                <w:szCs w:val="18"/>
              </w:rPr>
              <w:t>16</w:t>
            </w:r>
          </w:p>
          <w:p w14:paraId="5AD52109"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p w14:paraId="3D613175"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tc>
        <w:tc>
          <w:tcPr>
            <w:tcW w:w="318" w:type="pct"/>
            <w:tcBorders>
              <w:top w:val="single" w:sz="24" w:space="0" w:color="000000"/>
              <w:bottom w:val="single" w:sz="4" w:space="0" w:color="000000"/>
            </w:tcBorders>
            <w:vAlign w:val="center"/>
          </w:tcPr>
          <w:p w14:paraId="54B33184" w14:textId="77777777" w:rsidR="00B948BC" w:rsidRPr="00DA5693" w:rsidRDefault="00B948BC" w:rsidP="00B948BC">
            <w:pPr>
              <w:jc w:val="center"/>
              <w:rPr>
                <w:color w:val="000000" w:themeColor="text1"/>
                <w:sz w:val="18"/>
                <w:szCs w:val="18"/>
              </w:rPr>
            </w:pPr>
            <w:r w:rsidRPr="00DA5693">
              <w:rPr>
                <w:color w:val="000000" w:themeColor="text1"/>
                <w:sz w:val="18"/>
                <w:szCs w:val="18"/>
              </w:rPr>
              <w:t>28</w:t>
            </w:r>
          </w:p>
          <w:p w14:paraId="797F70E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91AAFCC"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24" w:space="0" w:color="000000"/>
              <w:bottom w:val="single" w:sz="4" w:space="0" w:color="000000"/>
            </w:tcBorders>
            <w:vAlign w:val="center"/>
          </w:tcPr>
          <w:p w14:paraId="7FD6FE58"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24" w:space="0" w:color="000000"/>
              <w:bottom w:val="single" w:sz="4" w:space="0" w:color="000000"/>
            </w:tcBorders>
            <w:vAlign w:val="center"/>
          </w:tcPr>
          <w:p w14:paraId="75E882FB"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3EEF27A9" w14:textId="77777777" w:rsidTr="003C2339">
        <w:trPr>
          <w:trHeight w:val="298"/>
        </w:trPr>
        <w:tc>
          <w:tcPr>
            <w:tcW w:w="471" w:type="pct"/>
            <w:tcBorders>
              <w:top w:val="single" w:sz="4" w:space="0" w:color="000000"/>
              <w:bottom w:val="single" w:sz="4" w:space="0" w:color="000000"/>
            </w:tcBorders>
            <w:vAlign w:val="center"/>
          </w:tcPr>
          <w:p w14:paraId="387A4C8B" w14:textId="77777777" w:rsidR="00B948BC" w:rsidRPr="00DA5693" w:rsidRDefault="00B948BC" w:rsidP="00B948BC">
            <w:pPr>
              <w:jc w:val="center"/>
              <w:rPr>
                <w:i/>
                <w:color w:val="000000" w:themeColor="text1"/>
                <w:sz w:val="18"/>
                <w:szCs w:val="18"/>
              </w:rPr>
            </w:pPr>
            <w:proofErr w:type="spellStart"/>
            <w:r w:rsidRPr="00DA5693">
              <w:rPr>
                <w:i/>
                <w:color w:val="000000" w:themeColor="text1"/>
                <w:sz w:val="18"/>
                <w:szCs w:val="18"/>
              </w:rPr>
              <w:t>Klebsiela</w:t>
            </w:r>
            <w:proofErr w:type="spellEnd"/>
            <w:r w:rsidRPr="00DA5693">
              <w:rPr>
                <w:i/>
                <w:color w:val="000000" w:themeColor="text1"/>
                <w:sz w:val="18"/>
                <w:szCs w:val="18"/>
              </w:rPr>
              <w:t xml:space="preserve">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(18)</w:t>
            </w:r>
          </w:p>
        </w:tc>
        <w:tc>
          <w:tcPr>
            <w:tcW w:w="433" w:type="pct"/>
            <w:tcBorders>
              <w:top w:val="single" w:sz="4" w:space="0" w:color="000000"/>
              <w:bottom w:val="single" w:sz="4" w:space="0" w:color="000000"/>
            </w:tcBorders>
            <w:vAlign w:val="center"/>
          </w:tcPr>
          <w:p w14:paraId="46D730DC"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87A42E2"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1564C593"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55FC5A5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D228F7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1E6126F" w14:textId="77777777" w:rsidR="00B948BC" w:rsidRPr="00DA5693" w:rsidRDefault="00B948BC" w:rsidP="00B948BC">
            <w:pPr>
              <w:jc w:val="center"/>
              <w:rPr>
                <w:color w:val="000000" w:themeColor="text1"/>
                <w:sz w:val="18"/>
                <w:szCs w:val="18"/>
              </w:rPr>
            </w:pPr>
            <w:r w:rsidRPr="00DA5693">
              <w:rPr>
                <w:color w:val="000000" w:themeColor="text1"/>
                <w:sz w:val="18"/>
                <w:szCs w:val="18"/>
              </w:rPr>
              <w:t>18</w:t>
            </w:r>
          </w:p>
        </w:tc>
        <w:tc>
          <w:tcPr>
            <w:tcW w:w="318" w:type="pct"/>
            <w:tcBorders>
              <w:top w:val="single" w:sz="4" w:space="0" w:color="000000"/>
              <w:bottom w:val="single" w:sz="4" w:space="0" w:color="000000"/>
            </w:tcBorders>
            <w:vAlign w:val="center"/>
          </w:tcPr>
          <w:p w14:paraId="325DF621"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59B8269B"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08ADE141"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11A71F08"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35E34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FFE93E8" w14:textId="77777777" w:rsidR="00B948BC" w:rsidRPr="00DA5693" w:rsidRDefault="00B948BC" w:rsidP="00B948BC">
            <w:pPr>
              <w:jc w:val="center"/>
              <w:rPr>
                <w:color w:val="000000" w:themeColor="text1"/>
                <w:sz w:val="18"/>
                <w:szCs w:val="18"/>
              </w:rPr>
            </w:pPr>
            <w:r w:rsidRPr="00DA5693">
              <w:rPr>
                <w:color w:val="000000" w:themeColor="text1"/>
                <w:sz w:val="18"/>
                <w:szCs w:val="18"/>
              </w:rPr>
              <w:t>12</w:t>
            </w:r>
          </w:p>
        </w:tc>
        <w:tc>
          <w:tcPr>
            <w:tcW w:w="318" w:type="pct"/>
            <w:tcBorders>
              <w:top w:val="single" w:sz="4" w:space="0" w:color="000000"/>
              <w:bottom w:val="single" w:sz="4" w:space="0" w:color="000000"/>
            </w:tcBorders>
            <w:vAlign w:val="center"/>
          </w:tcPr>
          <w:p w14:paraId="447D214B" w14:textId="77777777" w:rsidR="00B948BC" w:rsidRPr="00DA5693" w:rsidRDefault="00B948BC" w:rsidP="00B948BC">
            <w:pPr>
              <w:jc w:val="center"/>
              <w:rPr>
                <w:color w:val="000000" w:themeColor="text1"/>
                <w:sz w:val="18"/>
                <w:szCs w:val="18"/>
              </w:rPr>
            </w:pPr>
            <w:r w:rsidRPr="00DA5693">
              <w:rPr>
                <w:color w:val="000000" w:themeColor="text1"/>
                <w:sz w:val="18"/>
                <w:szCs w:val="18"/>
              </w:rPr>
              <w:t>9</w:t>
            </w:r>
          </w:p>
          <w:p w14:paraId="0F73174F"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D51FC1A"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4" w:space="0" w:color="000000"/>
              <w:bottom w:val="single" w:sz="4" w:space="0" w:color="000000"/>
            </w:tcBorders>
            <w:vAlign w:val="center"/>
          </w:tcPr>
          <w:p w14:paraId="5D415972"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F1148C0"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520BB87" w14:textId="77777777" w:rsidR="00B948BC" w:rsidRPr="00DA5693" w:rsidRDefault="00B948BC" w:rsidP="00B948BC">
            <w:pPr>
              <w:jc w:val="center"/>
              <w:rPr>
                <w:color w:val="000000" w:themeColor="text1"/>
                <w:sz w:val="18"/>
                <w:szCs w:val="18"/>
              </w:rPr>
            </w:pPr>
            <w:r w:rsidRPr="00DA5693">
              <w:rPr>
                <w:color w:val="000000" w:themeColor="text1"/>
                <w:sz w:val="18"/>
                <w:szCs w:val="18"/>
              </w:rPr>
              <w:t>12</w:t>
            </w:r>
          </w:p>
        </w:tc>
        <w:tc>
          <w:tcPr>
            <w:tcW w:w="318" w:type="pct"/>
            <w:tcBorders>
              <w:top w:val="single" w:sz="4" w:space="0" w:color="000000"/>
              <w:bottom w:val="single" w:sz="4" w:space="0" w:color="000000"/>
            </w:tcBorders>
            <w:vAlign w:val="center"/>
          </w:tcPr>
          <w:p w14:paraId="13C6F25A"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24C250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4E35A8E7"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tc>
        <w:tc>
          <w:tcPr>
            <w:tcW w:w="318" w:type="pct"/>
            <w:tcBorders>
              <w:top w:val="single" w:sz="4" w:space="0" w:color="000000"/>
              <w:bottom w:val="single" w:sz="4" w:space="0" w:color="000000"/>
            </w:tcBorders>
            <w:vAlign w:val="center"/>
          </w:tcPr>
          <w:p w14:paraId="7B9D8F90"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66998BDC"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B975D33"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34" w:type="pct"/>
            <w:tcBorders>
              <w:top w:val="single" w:sz="4" w:space="0" w:color="000000"/>
              <w:bottom w:val="single" w:sz="4" w:space="0" w:color="000000"/>
            </w:tcBorders>
            <w:vAlign w:val="center"/>
          </w:tcPr>
          <w:p w14:paraId="68DF450B"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p w14:paraId="586896D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F6F2911"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tc>
        <w:tc>
          <w:tcPr>
            <w:tcW w:w="318" w:type="pct"/>
            <w:tcBorders>
              <w:top w:val="single" w:sz="4" w:space="0" w:color="000000"/>
              <w:bottom w:val="single" w:sz="4" w:space="0" w:color="000000"/>
            </w:tcBorders>
            <w:vAlign w:val="center"/>
          </w:tcPr>
          <w:p w14:paraId="26875A27" w14:textId="77777777" w:rsidR="00B948BC" w:rsidRPr="00DA5693" w:rsidRDefault="00B948BC" w:rsidP="00B948BC">
            <w:pPr>
              <w:jc w:val="center"/>
              <w:rPr>
                <w:color w:val="000000" w:themeColor="text1"/>
                <w:sz w:val="18"/>
                <w:szCs w:val="18"/>
              </w:rPr>
            </w:pPr>
            <w:r w:rsidRPr="00DA5693">
              <w:rPr>
                <w:color w:val="000000" w:themeColor="text1"/>
                <w:sz w:val="18"/>
                <w:szCs w:val="18"/>
              </w:rPr>
              <w:t>7</w:t>
            </w:r>
          </w:p>
          <w:p w14:paraId="319A5001"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07FBF4EF"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4" w:space="0" w:color="000000"/>
              <w:bottom w:val="single" w:sz="4" w:space="0" w:color="000000"/>
            </w:tcBorders>
            <w:vAlign w:val="center"/>
          </w:tcPr>
          <w:p w14:paraId="67F01BA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01611981"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051C22D0" w14:textId="77777777" w:rsidR="00B948BC" w:rsidRPr="00DA5693" w:rsidRDefault="00B948BC" w:rsidP="00B948BC">
            <w:pPr>
              <w:jc w:val="center"/>
              <w:rPr>
                <w:color w:val="000000" w:themeColor="text1"/>
                <w:sz w:val="18"/>
                <w:szCs w:val="18"/>
              </w:rPr>
            </w:pPr>
            <w:r w:rsidRPr="00DA5693">
              <w:rPr>
                <w:color w:val="000000" w:themeColor="text1"/>
                <w:sz w:val="18"/>
                <w:szCs w:val="18"/>
              </w:rPr>
              <w:t>10</w:t>
            </w:r>
          </w:p>
        </w:tc>
        <w:tc>
          <w:tcPr>
            <w:tcW w:w="318" w:type="pct"/>
            <w:tcBorders>
              <w:top w:val="single" w:sz="4" w:space="0" w:color="000000"/>
              <w:bottom w:val="single" w:sz="4" w:space="0" w:color="000000"/>
            </w:tcBorders>
            <w:vAlign w:val="center"/>
          </w:tcPr>
          <w:p w14:paraId="23703AD7" w14:textId="77777777" w:rsidR="00B948BC" w:rsidRPr="00DA5693" w:rsidRDefault="00B948BC" w:rsidP="00B948BC">
            <w:pPr>
              <w:jc w:val="center"/>
              <w:rPr>
                <w:color w:val="000000" w:themeColor="text1"/>
                <w:sz w:val="18"/>
                <w:szCs w:val="18"/>
              </w:rPr>
            </w:pPr>
            <w:r w:rsidRPr="00DA5693">
              <w:rPr>
                <w:color w:val="000000" w:themeColor="text1"/>
                <w:sz w:val="18"/>
                <w:szCs w:val="18"/>
              </w:rPr>
              <w:t>11</w:t>
            </w:r>
          </w:p>
          <w:p w14:paraId="238E0EB3"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1BD6B33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16A73B4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289A34F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5A46DF1B" w14:textId="77777777" w:rsidTr="003C2339">
        <w:trPr>
          <w:trHeight w:val="487"/>
        </w:trPr>
        <w:tc>
          <w:tcPr>
            <w:tcW w:w="471" w:type="pct"/>
            <w:tcBorders>
              <w:top w:val="single" w:sz="4" w:space="0" w:color="000000"/>
              <w:bottom w:val="single" w:sz="4" w:space="0" w:color="000000"/>
            </w:tcBorders>
            <w:vAlign w:val="center"/>
          </w:tcPr>
          <w:p w14:paraId="77D14F80"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Proteus </w:t>
            </w:r>
            <w:proofErr w:type="spellStart"/>
            <w:r w:rsidRPr="00DA5693">
              <w:rPr>
                <w:color w:val="000000" w:themeColor="text1"/>
                <w:sz w:val="18"/>
                <w:szCs w:val="18"/>
              </w:rPr>
              <w:t>sp</w:t>
            </w:r>
            <w:r w:rsidR="00C864F3" w:rsidRPr="00DA5693">
              <w:rPr>
                <w:color w:val="000000" w:themeColor="text1"/>
                <w:sz w:val="18"/>
                <w:szCs w:val="18"/>
              </w:rPr>
              <w:t>p</w:t>
            </w:r>
            <w:proofErr w:type="spellEnd"/>
            <w:r w:rsidRPr="00DA5693">
              <w:rPr>
                <w:color w:val="000000" w:themeColor="text1"/>
                <w:sz w:val="18"/>
                <w:szCs w:val="18"/>
              </w:rPr>
              <w:t>. (8)</w:t>
            </w:r>
          </w:p>
        </w:tc>
        <w:tc>
          <w:tcPr>
            <w:tcW w:w="433" w:type="pct"/>
            <w:tcBorders>
              <w:top w:val="single" w:sz="4" w:space="0" w:color="000000"/>
              <w:bottom w:val="single" w:sz="4" w:space="0" w:color="000000"/>
            </w:tcBorders>
            <w:vAlign w:val="center"/>
          </w:tcPr>
          <w:p w14:paraId="33E3E693"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9115FA8"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3A8F8A19"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2FB1A14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C85ADA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F631590" w14:textId="77777777" w:rsidR="00B948BC" w:rsidRPr="00DA5693" w:rsidRDefault="00B948BC" w:rsidP="00B948BC">
            <w:pPr>
              <w:jc w:val="center"/>
              <w:rPr>
                <w:color w:val="000000" w:themeColor="text1"/>
                <w:sz w:val="18"/>
                <w:szCs w:val="18"/>
              </w:rPr>
            </w:pPr>
            <w:r w:rsidRPr="00DA5693">
              <w:rPr>
                <w:color w:val="000000" w:themeColor="text1"/>
                <w:sz w:val="18"/>
                <w:szCs w:val="18"/>
              </w:rPr>
              <w:t>8</w:t>
            </w:r>
          </w:p>
        </w:tc>
        <w:tc>
          <w:tcPr>
            <w:tcW w:w="318" w:type="pct"/>
            <w:tcBorders>
              <w:top w:val="single" w:sz="4" w:space="0" w:color="000000"/>
              <w:bottom w:val="single" w:sz="4" w:space="0" w:color="000000"/>
            </w:tcBorders>
            <w:vAlign w:val="center"/>
          </w:tcPr>
          <w:p w14:paraId="573F1CDD"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2B43252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9F5EF7C"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AF1547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742531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6797423"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5C694F0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4F0AE55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00C195B"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tc>
        <w:tc>
          <w:tcPr>
            <w:tcW w:w="318" w:type="pct"/>
            <w:tcBorders>
              <w:top w:val="single" w:sz="4" w:space="0" w:color="000000"/>
              <w:bottom w:val="single" w:sz="4" w:space="0" w:color="000000"/>
            </w:tcBorders>
            <w:vAlign w:val="center"/>
          </w:tcPr>
          <w:p w14:paraId="1B35BC76"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778BACD7"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4472BA3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05F224F"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5CB3DF01"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B7F0CF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4207123"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p w14:paraId="7BA121A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F9510FB"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34" w:type="pct"/>
            <w:tcBorders>
              <w:top w:val="single" w:sz="4" w:space="0" w:color="000000"/>
              <w:bottom w:val="single" w:sz="4" w:space="0" w:color="000000"/>
            </w:tcBorders>
            <w:vAlign w:val="center"/>
          </w:tcPr>
          <w:p w14:paraId="44B95D34"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6395CA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1A40E18"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7DBD74A0"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68300A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FD513D"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32224875"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68428C4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C0CE047"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504E51F"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7D6D49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7A6884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7AC733C7"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471A62A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423FF44" w14:textId="77777777" w:rsidTr="003C2339">
        <w:trPr>
          <w:trHeight w:val="356"/>
        </w:trPr>
        <w:tc>
          <w:tcPr>
            <w:tcW w:w="471" w:type="pct"/>
            <w:tcBorders>
              <w:top w:val="single" w:sz="4" w:space="0" w:color="000000"/>
              <w:bottom w:val="single" w:sz="4" w:space="0" w:color="000000"/>
            </w:tcBorders>
            <w:vAlign w:val="center"/>
          </w:tcPr>
          <w:p w14:paraId="6BE9EB1E" w14:textId="77777777" w:rsidR="00B948BC" w:rsidRPr="00DA5693" w:rsidRDefault="00B948BC" w:rsidP="00B948BC">
            <w:pPr>
              <w:jc w:val="center"/>
              <w:rPr>
                <w:i/>
                <w:color w:val="000000" w:themeColor="text1"/>
                <w:sz w:val="18"/>
                <w:szCs w:val="18"/>
              </w:rPr>
            </w:pPr>
            <w:r w:rsidRPr="00DA5693">
              <w:rPr>
                <w:i/>
                <w:color w:val="000000" w:themeColor="text1"/>
                <w:sz w:val="18"/>
                <w:szCs w:val="18"/>
              </w:rPr>
              <w:t xml:space="preserve">Serratia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(6)</w:t>
            </w:r>
          </w:p>
        </w:tc>
        <w:tc>
          <w:tcPr>
            <w:tcW w:w="433" w:type="pct"/>
            <w:tcBorders>
              <w:top w:val="single" w:sz="4" w:space="0" w:color="000000"/>
              <w:bottom w:val="single" w:sz="4" w:space="0" w:color="000000"/>
            </w:tcBorders>
            <w:vAlign w:val="center"/>
          </w:tcPr>
          <w:p w14:paraId="07EDD5B6"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A2C6BAD"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252BAD68"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17A8354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112EC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D3D3CEC"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tc>
        <w:tc>
          <w:tcPr>
            <w:tcW w:w="318" w:type="pct"/>
            <w:tcBorders>
              <w:top w:val="single" w:sz="4" w:space="0" w:color="000000"/>
              <w:bottom w:val="single" w:sz="4" w:space="0" w:color="000000"/>
            </w:tcBorders>
            <w:vAlign w:val="center"/>
          </w:tcPr>
          <w:p w14:paraId="41570A64"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p w14:paraId="4336844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D7E865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9F4A7E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9DAED4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ECE0095"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7FF91FA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13404D7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4E8BB8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F6FEA97" w14:textId="77777777" w:rsidR="00B948BC" w:rsidRPr="00DA5693" w:rsidRDefault="00B948BC" w:rsidP="00B948BC">
            <w:pPr>
              <w:jc w:val="center"/>
              <w:rPr>
                <w:color w:val="000000" w:themeColor="text1"/>
                <w:sz w:val="18"/>
                <w:szCs w:val="18"/>
              </w:rPr>
            </w:pPr>
            <w:r w:rsidRPr="00DA5693">
              <w:rPr>
                <w:color w:val="000000" w:themeColor="text1"/>
                <w:sz w:val="18"/>
                <w:szCs w:val="18"/>
              </w:rPr>
              <w:t>6</w:t>
            </w:r>
          </w:p>
          <w:p w14:paraId="5387589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A5E08A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547F7F55"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3A44B95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9873A29"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53CF24E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CC70B2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04C113"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34" w:type="pct"/>
            <w:tcBorders>
              <w:top w:val="single" w:sz="4" w:space="0" w:color="000000"/>
              <w:bottom w:val="single" w:sz="4" w:space="0" w:color="000000"/>
            </w:tcBorders>
            <w:vAlign w:val="center"/>
          </w:tcPr>
          <w:p w14:paraId="506FB5D1"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689EEA7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394D0E3"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6F1E5427"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98F452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85C625A" w14:textId="77777777" w:rsidR="00B948BC" w:rsidRPr="00DA5693" w:rsidRDefault="00B948BC" w:rsidP="00B948BC">
            <w:pPr>
              <w:jc w:val="center"/>
              <w:rPr>
                <w:color w:val="000000" w:themeColor="text1"/>
                <w:sz w:val="18"/>
                <w:szCs w:val="18"/>
              </w:rPr>
            </w:pPr>
            <w:r w:rsidRPr="00DA5693">
              <w:rPr>
                <w:color w:val="000000" w:themeColor="text1"/>
                <w:sz w:val="18"/>
                <w:szCs w:val="18"/>
              </w:rPr>
              <w:t>4</w:t>
            </w:r>
          </w:p>
        </w:tc>
        <w:tc>
          <w:tcPr>
            <w:tcW w:w="318" w:type="pct"/>
            <w:tcBorders>
              <w:top w:val="single" w:sz="4" w:space="0" w:color="000000"/>
              <w:bottom w:val="single" w:sz="4" w:space="0" w:color="000000"/>
            </w:tcBorders>
            <w:vAlign w:val="center"/>
          </w:tcPr>
          <w:p w14:paraId="5B35DC4D"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C516C5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AB6DEF7" w14:textId="77777777" w:rsidR="00B948BC" w:rsidRPr="00DA5693" w:rsidRDefault="00B948BC" w:rsidP="00B948BC">
            <w:pPr>
              <w:jc w:val="center"/>
              <w:rPr>
                <w:color w:val="000000" w:themeColor="text1"/>
                <w:sz w:val="18"/>
                <w:szCs w:val="18"/>
              </w:rPr>
            </w:pPr>
            <w:r w:rsidRPr="00DA5693">
              <w:rPr>
                <w:color w:val="000000" w:themeColor="text1"/>
                <w:sz w:val="18"/>
                <w:szCs w:val="18"/>
              </w:rPr>
              <w:t>5</w:t>
            </w:r>
          </w:p>
        </w:tc>
        <w:tc>
          <w:tcPr>
            <w:tcW w:w="318" w:type="pct"/>
            <w:tcBorders>
              <w:top w:val="single" w:sz="4" w:space="0" w:color="000000"/>
              <w:bottom w:val="single" w:sz="4" w:space="0" w:color="000000"/>
            </w:tcBorders>
            <w:vAlign w:val="center"/>
          </w:tcPr>
          <w:p w14:paraId="74945F87"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B21A7EA" w14:textId="77777777" w:rsidR="00B948BC" w:rsidRPr="00DA5693" w:rsidRDefault="00B948BC" w:rsidP="00B948BC">
            <w:pPr>
              <w:jc w:val="center"/>
              <w:rPr>
                <w:color w:val="000000" w:themeColor="text1"/>
                <w:sz w:val="18"/>
                <w:szCs w:val="18"/>
              </w:rPr>
            </w:pPr>
            <w:r w:rsidRPr="00DA5693">
              <w:rPr>
                <w:color w:val="000000" w:themeColor="text1"/>
                <w:sz w:val="18"/>
                <w:szCs w:val="18"/>
              </w:rPr>
              <w:t>3</w:t>
            </w:r>
          </w:p>
          <w:p w14:paraId="5533AF2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AD40BDE"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73D8182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5FEFBEC" w14:textId="77777777" w:rsidTr="003C2339">
        <w:trPr>
          <w:trHeight w:val="298"/>
        </w:trPr>
        <w:tc>
          <w:tcPr>
            <w:tcW w:w="471" w:type="pct"/>
            <w:tcBorders>
              <w:top w:val="single" w:sz="4" w:space="0" w:color="000000"/>
              <w:bottom w:val="single" w:sz="4" w:space="0" w:color="000000"/>
            </w:tcBorders>
            <w:vAlign w:val="center"/>
          </w:tcPr>
          <w:p w14:paraId="34049EDB"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Yersinia </w:t>
            </w:r>
            <w:proofErr w:type="spellStart"/>
            <w:r w:rsidRPr="00DA5693">
              <w:rPr>
                <w:color w:val="000000" w:themeColor="text1"/>
                <w:sz w:val="18"/>
                <w:szCs w:val="18"/>
              </w:rPr>
              <w:t>s</w:t>
            </w:r>
            <w:r w:rsidR="00C864F3" w:rsidRPr="00DA5693">
              <w:rPr>
                <w:color w:val="000000" w:themeColor="text1"/>
                <w:sz w:val="18"/>
                <w:szCs w:val="18"/>
              </w:rPr>
              <w:t>p</w:t>
            </w:r>
            <w:r w:rsidRPr="00DA5693">
              <w:rPr>
                <w:color w:val="000000" w:themeColor="text1"/>
                <w:sz w:val="18"/>
                <w:szCs w:val="18"/>
              </w:rPr>
              <w:t>p</w:t>
            </w:r>
            <w:proofErr w:type="spellEnd"/>
            <w:r w:rsidRPr="00DA5693">
              <w:rPr>
                <w:color w:val="000000" w:themeColor="text1"/>
                <w:sz w:val="18"/>
                <w:szCs w:val="18"/>
              </w:rPr>
              <w:t>. (2)</w:t>
            </w:r>
          </w:p>
        </w:tc>
        <w:tc>
          <w:tcPr>
            <w:tcW w:w="433" w:type="pct"/>
            <w:tcBorders>
              <w:top w:val="single" w:sz="4" w:space="0" w:color="000000"/>
              <w:bottom w:val="single" w:sz="4" w:space="0" w:color="000000"/>
            </w:tcBorders>
            <w:vAlign w:val="center"/>
          </w:tcPr>
          <w:p w14:paraId="304F1884"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656C5B70"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08FCCF94"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65B405D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651790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E9CCC8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05FE9E2"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1A9C407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7620C5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78144A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533475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B44561B"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7A81590"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p w14:paraId="7650014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64E54C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616B7C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095E9C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2370509"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3C9008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1257E0D"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661981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915266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6F8B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154C76B"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34" w:type="pct"/>
            <w:tcBorders>
              <w:top w:val="single" w:sz="4" w:space="0" w:color="000000"/>
              <w:bottom w:val="single" w:sz="4" w:space="0" w:color="000000"/>
            </w:tcBorders>
            <w:vAlign w:val="center"/>
          </w:tcPr>
          <w:p w14:paraId="3C73279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8C1BB6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3EE3BD"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26B39F8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3FBDE0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081802C" w14:textId="77777777" w:rsidR="00B948BC" w:rsidRPr="00DA5693" w:rsidRDefault="00B948BC" w:rsidP="00B948BC">
            <w:pPr>
              <w:jc w:val="center"/>
              <w:rPr>
                <w:color w:val="000000" w:themeColor="text1"/>
                <w:sz w:val="18"/>
                <w:szCs w:val="18"/>
              </w:rPr>
            </w:pPr>
            <w:r w:rsidRPr="00DA5693">
              <w:rPr>
                <w:color w:val="000000" w:themeColor="text1"/>
                <w:sz w:val="18"/>
                <w:szCs w:val="18"/>
              </w:rPr>
              <w:t>2</w:t>
            </w:r>
          </w:p>
        </w:tc>
        <w:tc>
          <w:tcPr>
            <w:tcW w:w="318" w:type="pct"/>
            <w:tcBorders>
              <w:top w:val="single" w:sz="4" w:space="0" w:color="000000"/>
              <w:bottom w:val="single" w:sz="4" w:space="0" w:color="000000"/>
            </w:tcBorders>
            <w:vAlign w:val="center"/>
          </w:tcPr>
          <w:p w14:paraId="031ED25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5078B3A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19083F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60235CB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7A9BFD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6315446"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D7AF1F9"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30A1B08E"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663AE6C4" w14:textId="77777777" w:rsidTr="003C2339">
        <w:trPr>
          <w:trHeight w:val="298"/>
        </w:trPr>
        <w:tc>
          <w:tcPr>
            <w:tcW w:w="471" w:type="pct"/>
            <w:tcBorders>
              <w:top w:val="single" w:sz="4" w:space="0" w:color="000000"/>
              <w:bottom w:val="single" w:sz="4" w:space="0" w:color="000000"/>
            </w:tcBorders>
            <w:vAlign w:val="center"/>
          </w:tcPr>
          <w:p w14:paraId="62135962" w14:textId="77777777" w:rsidR="00B948BC" w:rsidRPr="00DA5693" w:rsidRDefault="00B948BC" w:rsidP="00B948BC">
            <w:pPr>
              <w:jc w:val="center"/>
              <w:rPr>
                <w:color w:val="000000" w:themeColor="text1"/>
                <w:sz w:val="18"/>
                <w:szCs w:val="18"/>
                <w:lang w:val="en-US"/>
              </w:rPr>
            </w:pPr>
            <w:r w:rsidRPr="00DA5693">
              <w:rPr>
                <w:i/>
                <w:color w:val="000000" w:themeColor="text1"/>
                <w:sz w:val="18"/>
                <w:szCs w:val="18"/>
                <w:lang w:val="en-US"/>
              </w:rPr>
              <w:t xml:space="preserve">Shigella </w:t>
            </w:r>
            <w:r w:rsidRPr="00DA5693">
              <w:rPr>
                <w:color w:val="000000" w:themeColor="text1"/>
                <w:sz w:val="18"/>
                <w:szCs w:val="18"/>
                <w:lang w:val="en-US"/>
              </w:rPr>
              <w:t>s</w:t>
            </w:r>
            <w:r w:rsidR="00C864F3" w:rsidRPr="00DA5693">
              <w:rPr>
                <w:color w:val="000000" w:themeColor="text1"/>
                <w:sz w:val="18"/>
                <w:szCs w:val="18"/>
                <w:lang w:val="en-US"/>
              </w:rPr>
              <w:t>p</w:t>
            </w:r>
            <w:r w:rsidRPr="00DA5693">
              <w:rPr>
                <w:color w:val="000000" w:themeColor="text1"/>
                <w:sz w:val="18"/>
                <w:szCs w:val="18"/>
                <w:lang w:val="en-US"/>
              </w:rPr>
              <w:t>p. (2)</w:t>
            </w:r>
          </w:p>
        </w:tc>
        <w:tc>
          <w:tcPr>
            <w:tcW w:w="433" w:type="pct"/>
            <w:tcBorders>
              <w:top w:val="single" w:sz="4" w:space="0" w:color="000000"/>
              <w:bottom w:val="single" w:sz="4" w:space="0" w:color="000000"/>
            </w:tcBorders>
            <w:vAlign w:val="center"/>
          </w:tcPr>
          <w:p w14:paraId="1B58FDD7"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S</w:t>
            </w:r>
          </w:p>
          <w:p w14:paraId="400ED08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I</w:t>
            </w:r>
          </w:p>
          <w:p w14:paraId="1362F0C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R</w:t>
            </w:r>
          </w:p>
        </w:tc>
        <w:tc>
          <w:tcPr>
            <w:tcW w:w="272" w:type="pct"/>
            <w:tcBorders>
              <w:top w:val="single" w:sz="4" w:space="0" w:color="000000"/>
              <w:bottom w:val="single" w:sz="4" w:space="0" w:color="000000"/>
            </w:tcBorders>
            <w:vAlign w:val="center"/>
          </w:tcPr>
          <w:p w14:paraId="55BC20C4"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D41DF9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32A616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1BE8120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3107527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00F31EC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09F0B50D"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25E77C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p w14:paraId="2D25301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06B3E10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3DCC226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B51B6D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68E050F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08FCF8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81A45A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12EF64C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4F8DE8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A7C8DE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tc>
        <w:tc>
          <w:tcPr>
            <w:tcW w:w="318" w:type="pct"/>
            <w:tcBorders>
              <w:top w:val="single" w:sz="4" w:space="0" w:color="000000"/>
              <w:bottom w:val="single" w:sz="4" w:space="0" w:color="000000"/>
            </w:tcBorders>
            <w:vAlign w:val="center"/>
          </w:tcPr>
          <w:p w14:paraId="775DD935"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6662C46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616ABAA"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34" w:type="pct"/>
            <w:tcBorders>
              <w:top w:val="single" w:sz="4" w:space="0" w:color="000000"/>
              <w:bottom w:val="single" w:sz="4" w:space="0" w:color="000000"/>
            </w:tcBorders>
            <w:vAlign w:val="center"/>
          </w:tcPr>
          <w:p w14:paraId="5EC494B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36890E9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3006FF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02D560A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4EE8D5E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56301D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5249AC4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6F631B92"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825B2F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694E879D"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2</w:t>
            </w:r>
          </w:p>
          <w:p w14:paraId="04B5777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0B5CE0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tc>
        <w:tc>
          <w:tcPr>
            <w:tcW w:w="318" w:type="pct"/>
            <w:tcBorders>
              <w:top w:val="single" w:sz="4" w:space="0" w:color="000000"/>
              <w:bottom w:val="single" w:sz="4" w:space="0" w:color="000000"/>
            </w:tcBorders>
            <w:vAlign w:val="center"/>
          </w:tcPr>
          <w:p w14:paraId="19ACBCC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w:t>
            </w:r>
          </w:p>
        </w:tc>
        <w:tc>
          <w:tcPr>
            <w:tcW w:w="305" w:type="pct"/>
            <w:tcBorders>
              <w:top w:val="single" w:sz="4" w:space="0" w:color="000000"/>
              <w:bottom w:val="single" w:sz="4" w:space="0" w:color="000000"/>
            </w:tcBorders>
            <w:vAlign w:val="center"/>
          </w:tcPr>
          <w:p w14:paraId="12D3E668"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w:t>
            </w:r>
          </w:p>
        </w:tc>
      </w:tr>
      <w:tr w:rsidR="00B948BC" w:rsidRPr="00DA5693" w14:paraId="25A25640" w14:textId="77777777" w:rsidTr="003C2339">
        <w:trPr>
          <w:trHeight w:val="298"/>
        </w:trPr>
        <w:tc>
          <w:tcPr>
            <w:tcW w:w="471" w:type="pct"/>
            <w:tcBorders>
              <w:top w:val="single" w:sz="4" w:space="0" w:color="000000"/>
              <w:bottom w:val="single" w:sz="4" w:space="0" w:color="000000"/>
            </w:tcBorders>
            <w:vAlign w:val="center"/>
          </w:tcPr>
          <w:p w14:paraId="7CB3D5E0" w14:textId="77777777" w:rsidR="00B948BC" w:rsidRPr="00DA5693" w:rsidRDefault="00B948BC" w:rsidP="00B948BC">
            <w:pPr>
              <w:jc w:val="center"/>
              <w:rPr>
                <w:i/>
                <w:color w:val="000000" w:themeColor="text1"/>
                <w:sz w:val="18"/>
                <w:szCs w:val="18"/>
                <w:lang w:val="en-US"/>
              </w:rPr>
            </w:pPr>
            <w:r w:rsidRPr="00DA5693">
              <w:rPr>
                <w:i/>
                <w:color w:val="000000" w:themeColor="text1"/>
                <w:sz w:val="18"/>
                <w:szCs w:val="18"/>
                <w:lang w:val="en-US"/>
              </w:rPr>
              <w:t xml:space="preserve">Enterobacter </w:t>
            </w:r>
            <w:r w:rsidRPr="00DA5693">
              <w:rPr>
                <w:color w:val="000000" w:themeColor="text1"/>
                <w:sz w:val="18"/>
                <w:szCs w:val="18"/>
                <w:lang w:val="en-US"/>
              </w:rPr>
              <w:t>s</w:t>
            </w:r>
            <w:r w:rsidR="00C864F3" w:rsidRPr="00DA5693">
              <w:rPr>
                <w:color w:val="000000" w:themeColor="text1"/>
                <w:sz w:val="18"/>
                <w:szCs w:val="18"/>
                <w:lang w:val="en-US"/>
              </w:rPr>
              <w:t>p</w:t>
            </w:r>
            <w:r w:rsidRPr="00DA5693">
              <w:rPr>
                <w:color w:val="000000" w:themeColor="text1"/>
                <w:sz w:val="18"/>
                <w:szCs w:val="18"/>
                <w:lang w:val="en-US"/>
              </w:rPr>
              <w:t>p.</w:t>
            </w:r>
            <w:r w:rsidRPr="00DA5693">
              <w:rPr>
                <w:i/>
                <w:color w:val="000000" w:themeColor="text1"/>
                <w:sz w:val="18"/>
                <w:szCs w:val="18"/>
                <w:lang w:val="en-US"/>
              </w:rPr>
              <w:t xml:space="preserve"> </w:t>
            </w:r>
            <w:r w:rsidRPr="00DA5693">
              <w:rPr>
                <w:color w:val="000000" w:themeColor="text1"/>
                <w:sz w:val="18"/>
                <w:szCs w:val="18"/>
                <w:lang w:val="en-US"/>
              </w:rPr>
              <w:t>(1)</w:t>
            </w:r>
          </w:p>
        </w:tc>
        <w:tc>
          <w:tcPr>
            <w:tcW w:w="433" w:type="pct"/>
            <w:tcBorders>
              <w:top w:val="single" w:sz="4" w:space="0" w:color="000000"/>
              <w:bottom w:val="single" w:sz="4" w:space="0" w:color="000000"/>
            </w:tcBorders>
            <w:vAlign w:val="center"/>
          </w:tcPr>
          <w:p w14:paraId="1A20E91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S</w:t>
            </w:r>
          </w:p>
          <w:p w14:paraId="7B99D9D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I</w:t>
            </w:r>
          </w:p>
          <w:p w14:paraId="5847BEF6"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R</w:t>
            </w:r>
          </w:p>
        </w:tc>
        <w:tc>
          <w:tcPr>
            <w:tcW w:w="272" w:type="pct"/>
            <w:tcBorders>
              <w:top w:val="single" w:sz="4" w:space="0" w:color="000000"/>
              <w:bottom w:val="single" w:sz="4" w:space="0" w:color="000000"/>
            </w:tcBorders>
            <w:vAlign w:val="center"/>
          </w:tcPr>
          <w:p w14:paraId="5375CEE3"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98ECD67"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266ADAAF"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6C54457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77FAA50C"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59AB910"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7BBA96D1"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4038C15E"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5C5F0D49"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458D9711"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63E93014"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0</w:t>
            </w:r>
          </w:p>
          <w:p w14:paraId="03E6655B" w14:textId="77777777" w:rsidR="00B948BC" w:rsidRPr="00DA5693" w:rsidRDefault="00B948BC" w:rsidP="00B948BC">
            <w:pPr>
              <w:jc w:val="center"/>
              <w:rPr>
                <w:color w:val="000000" w:themeColor="text1"/>
                <w:sz w:val="18"/>
                <w:szCs w:val="18"/>
                <w:lang w:val="en-US"/>
              </w:rPr>
            </w:pPr>
            <w:r w:rsidRPr="00DA5693">
              <w:rPr>
                <w:color w:val="000000" w:themeColor="text1"/>
                <w:sz w:val="18"/>
                <w:szCs w:val="18"/>
                <w:lang w:val="en-US"/>
              </w:rPr>
              <w:t>1</w:t>
            </w:r>
          </w:p>
        </w:tc>
        <w:tc>
          <w:tcPr>
            <w:tcW w:w="318" w:type="pct"/>
            <w:tcBorders>
              <w:top w:val="single" w:sz="4" w:space="0" w:color="000000"/>
              <w:bottom w:val="single" w:sz="4" w:space="0" w:color="000000"/>
            </w:tcBorders>
            <w:vAlign w:val="center"/>
          </w:tcPr>
          <w:p w14:paraId="38CB11B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173D2D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36CDD9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27D04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12FFEB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94C162F"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26FC0981"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E055A1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E5D7E4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34" w:type="pct"/>
            <w:tcBorders>
              <w:top w:val="single" w:sz="4" w:space="0" w:color="000000"/>
              <w:bottom w:val="single" w:sz="4" w:space="0" w:color="000000"/>
            </w:tcBorders>
            <w:vAlign w:val="center"/>
          </w:tcPr>
          <w:p w14:paraId="03C2D29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415F8C5"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9F5787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91AE0A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728E00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263379"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29169C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F9388F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9FAB39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51C785D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E672D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75C911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0537DA95"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4AC93FD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E4FFC31" w14:textId="77777777" w:rsidTr="003C2339">
        <w:trPr>
          <w:trHeight w:val="679"/>
        </w:trPr>
        <w:tc>
          <w:tcPr>
            <w:tcW w:w="471" w:type="pct"/>
            <w:tcBorders>
              <w:top w:val="single" w:sz="4" w:space="0" w:color="000000"/>
              <w:bottom w:val="single" w:sz="4" w:space="0" w:color="000000"/>
            </w:tcBorders>
            <w:vAlign w:val="center"/>
          </w:tcPr>
          <w:p w14:paraId="5FD38B7F" w14:textId="77777777" w:rsidR="00B948BC" w:rsidRPr="00DA5693" w:rsidRDefault="00B948BC" w:rsidP="00B948BC">
            <w:pPr>
              <w:jc w:val="center"/>
              <w:rPr>
                <w:color w:val="000000" w:themeColor="text1"/>
                <w:sz w:val="18"/>
                <w:szCs w:val="18"/>
              </w:rPr>
            </w:pPr>
            <w:proofErr w:type="spellStart"/>
            <w:r w:rsidRPr="00DA5693">
              <w:rPr>
                <w:i/>
                <w:color w:val="000000" w:themeColor="text1"/>
                <w:sz w:val="18"/>
                <w:szCs w:val="18"/>
              </w:rPr>
              <w:t>Hafnia</w:t>
            </w:r>
            <w:proofErr w:type="spellEnd"/>
            <w:r w:rsidRPr="00DA5693">
              <w:rPr>
                <w:i/>
                <w:color w:val="000000" w:themeColor="text1"/>
                <w:sz w:val="18"/>
                <w:szCs w:val="18"/>
              </w:rPr>
              <w:t xml:space="preserve"> </w:t>
            </w:r>
            <w:proofErr w:type="spellStart"/>
            <w:r w:rsidRPr="00DA5693">
              <w:rPr>
                <w:i/>
                <w:color w:val="000000" w:themeColor="text1"/>
                <w:sz w:val="18"/>
                <w:szCs w:val="18"/>
              </w:rPr>
              <w:t>alvei</w:t>
            </w:r>
            <w:proofErr w:type="spellEnd"/>
            <w:r w:rsidRPr="00DA5693">
              <w:rPr>
                <w:color w:val="000000" w:themeColor="text1"/>
                <w:sz w:val="18"/>
                <w:szCs w:val="18"/>
              </w:rPr>
              <w:t xml:space="preserve"> (1)</w:t>
            </w:r>
          </w:p>
        </w:tc>
        <w:tc>
          <w:tcPr>
            <w:tcW w:w="433" w:type="pct"/>
            <w:tcBorders>
              <w:top w:val="single" w:sz="4" w:space="0" w:color="000000"/>
              <w:bottom w:val="single" w:sz="4" w:space="0" w:color="000000"/>
            </w:tcBorders>
            <w:vAlign w:val="center"/>
          </w:tcPr>
          <w:p w14:paraId="519B7475"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53CF86DE"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5B75CEBC"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5188E53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BCDCCB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134481F"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DBFC8D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4187E7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DBF50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254141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E947F1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1DB838D"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D52599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B42E30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100B40E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1AC4D554"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0C38A5F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4440C9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71A49DA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340052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A117C28"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6BD4FB1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4B0DAF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FCE536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34" w:type="pct"/>
            <w:tcBorders>
              <w:top w:val="single" w:sz="4" w:space="0" w:color="000000"/>
              <w:bottom w:val="single" w:sz="4" w:space="0" w:color="000000"/>
            </w:tcBorders>
            <w:vAlign w:val="center"/>
          </w:tcPr>
          <w:p w14:paraId="5962B6C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3B0A4BF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10A5D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AB5CBB1"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6B5428C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6AE491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3735F01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B49415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45C2795"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4E67407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A20FE0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EBF3D59" w14:textId="77777777" w:rsidR="00B948BC" w:rsidRPr="00DA5693" w:rsidRDefault="00B948BC" w:rsidP="00B948BC">
            <w:pPr>
              <w:ind w:right="159"/>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9A14623"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1B0C9F82"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9BB45F6" w14:textId="77777777" w:rsidTr="003C2339">
        <w:trPr>
          <w:trHeight w:val="251"/>
        </w:trPr>
        <w:tc>
          <w:tcPr>
            <w:tcW w:w="471" w:type="pct"/>
            <w:tcBorders>
              <w:top w:val="single" w:sz="4" w:space="0" w:color="000000"/>
              <w:bottom w:val="single" w:sz="4" w:space="0" w:color="000000"/>
            </w:tcBorders>
            <w:vAlign w:val="center"/>
          </w:tcPr>
          <w:p w14:paraId="6D8AC5F4" w14:textId="77777777" w:rsidR="00B948BC" w:rsidRPr="00DA5693" w:rsidRDefault="00B948BC" w:rsidP="00B948BC">
            <w:pPr>
              <w:jc w:val="center"/>
              <w:rPr>
                <w:color w:val="000000" w:themeColor="text1"/>
                <w:sz w:val="18"/>
                <w:szCs w:val="18"/>
              </w:rPr>
            </w:pPr>
            <w:r w:rsidRPr="00DA5693">
              <w:rPr>
                <w:i/>
                <w:color w:val="000000" w:themeColor="text1"/>
                <w:sz w:val="18"/>
                <w:szCs w:val="18"/>
              </w:rPr>
              <w:t xml:space="preserve">Pseudomonas </w:t>
            </w:r>
            <w:proofErr w:type="spellStart"/>
            <w:r w:rsidRPr="00DA5693">
              <w:rPr>
                <w:i/>
                <w:color w:val="000000" w:themeColor="text1"/>
                <w:sz w:val="18"/>
                <w:szCs w:val="18"/>
              </w:rPr>
              <w:t>aeruginosa</w:t>
            </w:r>
            <w:proofErr w:type="spellEnd"/>
            <w:r w:rsidRPr="00DA5693">
              <w:rPr>
                <w:color w:val="000000" w:themeColor="text1"/>
                <w:sz w:val="18"/>
                <w:szCs w:val="18"/>
              </w:rPr>
              <w:t xml:space="preserve"> (1)</w:t>
            </w:r>
          </w:p>
        </w:tc>
        <w:tc>
          <w:tcPr>
            <w:tcW w:w="433" w:type="pct"/>
            <w:tcBorders>
              <w:top w:val="single" w:sz="4" w:space="0" w:color="000000"/>
              <w:bottom w:val="single" w:sz="4" w:space="0" w:color="000000"/>
            </w:tcBorders>
            <w:vAlign w:val="center"/>
          </w:tcPr>
          <w:p w14:paraId="7FD91FE4" w14:textId="77777777" w:rsidR="00B948BC" w:rsidRPr="00DA5693" w:rsidRDefault="00B948BC" w:rsidP="00B948BC">
            <w:pPr>
              <w:jc w:val="center"/>
              <w:rPr>
                <w:color w:val="000000" w:themeColor="text1"/>
                <w:sz w:val="18"/>
                <w:szCs w:val="18"/>
              </w:rPr>
            </w:pPr>
            <w:r w:rsidRPr="00DA5693">
              <w:rPr>
                <w:color w:val="000000" w:themeColor="text1"/>
                <w:sz w:val="18"/>
                <w:szCs w:val="18"/>
              </w:rPr>
              <w:t>S</w:t>
            </w:r>
          </w:p>
          <w:p w14:paraId="47A97094" w14:textId="77777777" w:rsidR="00B948BC" w:rsidRPr="00DA5693" w:rsidRDefault="00B948BC" w:rsidP="00B948BC">
            <w:pPr>
              <w:jc w:val="center"/>
              <w:rPr>
                <w:color w:val="000000" w:themeColor="text1"/>
                <w:sz w:val="18"/>
                <w:szCs w:val="18"/>
              </w:rPr>
            </w:pPr>
            <w:r w:rsidRPr="00DA5693">
              <w:rPr>
                <w:color w:val="000000" w:themeColor="text1"/>
                <w:sz w:val="18"/>
                <w:szCs w:val="18"/>
              </w:rPr>
              <w:t>I</w:t>
            </w:r>
          </w:p>
          <w:p w14:paraId="4A50B641" w14:textId="77777777" w:rsidR="00B948BC" w:rsidRPr="00DA5693" w:rsidRDefault="00B948BC" w:rsidP="00B948BC">
            <w:pPr>
              <w:jc w:val="center"/>
              <w:rPr>
                <w:color w:val="000000" w:themeColor="text1"/>
                <w:sz w:val="18"/>
                <w:szCs w:val="18"/>
              </w:rPr>
            </w:pPr>
            <w:r w:rsidRPr="00DA5693">
              <w:rPr>
                <w:color w:val="000000" w:themeColor="text1"/>
                <w:sz w:val="18"/>
                <w:szCs w:val="18"/>
              </w:rPr>
              <w:t>R</w:t>
            </w:r>
          </w:p>
        </w:tc>
        <w:tc>
          <w:tcPr>
            <w:tcW w:w="272" w:type="pct"/>
            <w:tcBorders>
              <w:top w:val="single" w:sz="4" w:space="0" w:color="000000"/>
              <w:bottom w:val="single" w:sz="4" w:space="0" w:color="000000"/>
            </w:tcBorders>
            <w:vAlign w:val="center"/>
          </w:tcPr>
          <w:p w14:paraId="156CC95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973B28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9545FB"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17AA6C9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0150F3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2F4639A"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349DE982"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p w14:paraId="2913EA2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C0BCB4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tc>
        <w:tc>
          <w:tcPr>
            <w:tcW w:w="318" w:type="pct"/>
            <w:tcBorders>
              <w:top w:val="single" w:sz="4" w:space="0" w:color="000000"/>
              <w:bottom w:val="single" w:sz="4" w:space="0" w:color="000000"/>
            </w:tcBorders>
            <w:vAlign w:val="center"/>
          </w:tcPr>
          <w:p w14:paraId="6B81C06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BBEFB0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8B0D34C"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52A6D46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52FBD1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3774D9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42E77E7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5EB0CC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555B93B"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24AFFA3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E1E7AB4"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2560EC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34" w:type="pct"/>
            <w:tcBorders>
              <w:top w:val="single" w:sz="4" w:space="0" w:color="000000"/>
              <w:bottom w:val="single" w:sz="4" w:space="0" w:color="000000"/>
            </w:tcBorders>
            <w:vAlign w:val="center"/>
          </w:tcPr>
          <w:p w14:paraId="7A80C0E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875400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5251100"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7A09EE0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9FDC29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71EBCF3"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143828F"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5F457F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9DFFC38"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00DBD2FE"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C39FF97"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80F08DE" w14:textId="77777777" w:rsidR="00B948BC" w:rsidRPr="00DA5693" w:rsidRDefault="00B948BC" w:rsidP="00B948BC">
            <w:pPr>
              <w:jc w:val="center"/>
              <w:rPr>
                <w:color w:val="000000" w:themeColor="text1"/>
                <w:sz w:val="18"/>
                <w:szCs w:val="18"/>
              </w:rPr>
            </w:pPr>
            <w:r w:rsidRPr="00DA5693">
              <w:rPr>
                <w:color w:val="000000" w:themeColor="text1"/>
                <w:sz w:val="18"/>
                <w:szCs w:val="18"/>
              </w:rPr>
              <w:t>1</w:t>
            </w:r>
          </w:p>
        </w:tc>
        <w:tc>
          <w:tcPr>
            <w:tcW w:w="318" w:type="pct"/>
            <w:tcBorders>
              <w:top w:val="single" w:sz="4" w:space="0" w:color="000000"/>
              <w:bottom w:val="single" w:sz="4" w:space="0" w:color="000000"/>
            </w:tcBorders>
            <w:vAlign w:val="center"/>
          </w:tcPr>
          <w:p w14:paraId="63D3F6CA"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c>
          <w:tcPr>
            <w:tcW w:w="305" w:type="pct"/>
            <w:tcBorders>
              <w:top w:val="single" w:sz="4" w:space="0" w:color="000000"/>
              <w:bottom w:val="single" w:sz="4" w:space="0" w:color="000000"/>
            </w:tcBorders>
            <w:vAlign w:val="center"/>
          </w:tcPr>
          <w:p w14:paraId="55AF862D" w14:textId="77777777" w:rsidR="00B948BC" w:rsidRPr="00DA5693" w:rsidRDefault="00B948BC" w:rsidP="00B948BC">
            <w:pPr>
              <w:jc w:val="center"/>
              <w:rPr>
                <w:color w:val="000000" w:themeColor="text1"/>
                <w:sz w:val="18"/>
                <w:szCs w:val="18"/>
              </w:rPr>
            </w:pPr>
            <w:r w:rsidRPr="00DA5693">
              <w:rPr>
                <w:color w:val="000000" w:themeColor="text1"/>
                <w:sz w:val="18"/>
                <w:szCs w:val="18"/>
              </w:rPr>
              <w:t>/</w:t>
            </w:r>
          </w:p>
        </w:tc>
      </w:tr>
      <w:tr w:rsidR="00B948BC" w:rsidRPr="00DA5693" w14:paraId="45A786AF" w14:textId="77777777" w:rsidTr="003C2339">
        <w:trPr>
          <w:trHeight w:val="298"/>
        </w:trPr>
        <w:tc>
          <w:tcPr>
            <w:tcW w:w="471" w:type="pct"/>
            <w:tcBorders>
              <w:top w:val="single" w:sz="4" w:space="0" w:color="000000"/>
              <w:bottom w:val="single" w:sz="4" w:space="0" w:color="000000"/>
            </w:tcBorders>
            <w:vAlign w:val="center"/>
          </w:tcPr>
          <w:p w14:paraId="3077D18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Subtotal</w:t>
            </w:r>
          </w:p>
        </w:tc>
        <w:tc>
          <w:tcPr>
            <w:tcW w:w="433" w:type="pct"/>
            <w:tcBorders>
              <w:top w:val="single" w:sz="4" w:space="0" w:color="000000"/>
              <w:bottom w:val="single" w:sz="4" w:space="0" w:color="000000"/>
            </w:tcBorders>
            <w:vAlign w:val="center"/>
          </w:tcPr>
          <w:p w14:paraId="7FACDAE3" w14:textId="77777777" w:rsidR="00B948BC" w:rsidRPr="00DA5693" w:rsidRDefault="00B948BC" w:rsidP="00B948BC">
            <w:pPr>
              <w:jc w:val="center"/>
              <w:rPr>
                <w:color w:val="000000" w:themeColor="text1"/>
                <w:sz w:val="18"/>
                <w:szCs w:val="18"/>
              </w:rPr>
            </w:pPr>
            <w:r w:rsidRPr="00DA5693">
              <w:rPr>
                <w:color w:val="000000" w:themeColor="text1"/>
                <w:sz w:val="18"/>
                <w:szCs w:val="18"/>
              </w:rPr>
              <w:t>S (%)</w:t>
            </w:r>
          </w:p>
          <w:p w14:paraId="255629EE" w14:textId="77777777" w:rsidR="00B948BC" w:rsidRPr="00DA5693" w:rsidRDefault="00B948BC" w:rsidP="00B948BC">
            <w:pPr>
              <w:jc w:val="center"/>
              <w:rPr>
                <w:color w:val="000000" w:themeColor="text1"/>
                <w:sz w:val="18"/>
                <w:szCs w:val="18"/>
              </w:rPr>
            </w:pPr>
            <w:r w:rsidRPr="00DA5693">
              <w:rPr>
                <w:color w:val="000000" w:themeColor="text1"/>
                <w:sz w:val="18"/>
                <w:szCs w:val="18"/>
              </w:rPr>
              <w:t>I (%)</w:t>
            </w:r>
          </w:p>
          <w:p w14:paraId="759365DA" w14:textId="77777777" w:rsidR="00B948BC" w:rsidRPr="00DA5693" w:rsidRDefault="00B948BC" w:rsidP="00B948BC">
            <w:pPr>
              <w:jc w:val="center"/>
              <w:rPr>
                <w:b/>
                <w:color w:val="000000" w:themeColor="text1"/>
                <w:sz w:val="18"/>
                <w:szCs w:val="18"/>
              </w:rPr>
            </w:pPr>
            <w:r w:rsidRPr="00DA5693">
              <w:rPr>
                <w:b/>
                <w:color w:val="000000" w:themeColor="text1"/>
                <w:sz w:val="18"/>
                <w:szCs w:val="18"/>
              </w:rPr>
              <w:t>R (%)</w:t>
            </w:r>
          </w:p>
        </w:tc>
        <w:tc>
          <w:tcPr>
            <w:tcW w:w="272" w:type="pct"/>
            <w:tcBorders>
              <w:top w:val="single" w:sz="4" w:space="0" w:color="000000"/>
              <w:bottom w:val="single" w:sz="4" w:space="0" w:color="000000"/>
            </w:tcBorders>
            <w:vAlign w:val="center"/>
          </w:tcPr>
          <w:p w14:paraId="32B7469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C1C0C5C"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1B1308C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72(100)</w:t>
            </w:r>
          </w:p>
        </w:tc>
        <w:tc>
          <w:tcPr>
            <w:tcW w:w="318" w:type="pct"/>
            <w:tcBorders>
              <w:top w:val="single" w:sz="4" w:space="0" w:color="000000"/>
              <w:bottom w:val="single" w:sz="4" w:space="0" w:color="000000"/>
            </w:tcBorders>
            <w:vAlign w:val="center"/>
          </w:tcPr>
          <w:p w14:paraId="44448E96" w14:textId="77777777" w:rsidR="00B948BC" w:rsidRPr="00DA5693" w:rsidRDefault="00B948BC" w:rsidP="00B948BC">
            <w:pPr>
              <w:jc w:val="center"/>
              <w:rPr>
                <w:color w:val="000000" w:themeColor="text1"/>
                <w:sz w:val="18"/>
                <w:szCs w:val="18"/>
              </w:rPr>
            </w:pPr>
            <w:r w:rsidRPr="00DA5693">
              <w:rPr>
                <w:color w:val="000000" w:themeColor="text1"/>
                <w:sz w:val="18"/>
                <w:szCs w:val="18"/>
              </w:rPr>
              <w:t>41(56</w:t>
            </w:r>
            <w:r w:rsidR="0054539E" w:rsidRPr="00DA5693">
              <w:rPr>
                <w:color w:val="000000" w:themeColor="text1"/>
                <w:sz w:val="18"/>
                <w:szCs w:val="18"/>
              </w:rPr>
              <w:t>.</w:t>
            </w:r>
            <w:r w:rsidRPr="00DA5693">
              <w:rPr>
                <w:color w:val="000000" w:themeColor="text1"/>
                <w:sz w:val="18"/>
                <w:szCs w:val="18"/>
              </w:rPr>
              <w:t>94)</w:t>
            </w:r>
          </w:p>
          <w:p w14:paraId="151EF799" w14:textId="77777777" w:rsidR="00B948BC" w:rsidRPr="00DA5693" w:rsidRDefault="00B948BC" w:rsidP="00B948BC">
            <w:pPr>
              <w:jc w:val="center"/>
              <w:rPr>
                <w:color w:val="000000" w:themeColor="text1"/>
                <w:sz w:val="18"/>
                <w:szCs w:val="18"/>
              </w:rPr>
            </w:pPr>
            <w:r w:rsidRPr="00DA5693">
              <w:rPr>
                <w:color w:val="000000" w:themeColor="text1"/>
                <w:sz w:val="18"/>
                <w:szCs w:val="18"/>
              </w:rPr>
              <w:t>11(15</w:t>
            </w:r>
            <w:r w:rsidR="0054539E" w:rsidRPr="00DA5693">
              <w:rPr>
                <w:color w:val="000000" w:themeColor="text1"/>
                <w:sz w:val="18"/>
                <w:szCs w:val="18"/>
              </w:rPr>
              <w:t>.</w:t>
            </w:r>
            <w:r w:rsidRPr="00DA5693">
              <w:rPr>
                <w:color w:val="000000" w:themeColor="text1"/>
                <w:sz w:val="18"/>
                <w:szCs w:val="18"/>
              </w:rPr>
              <w:t>27)</w:t>
            </w:r>
          </w:p>
          <w:p w14:paraId="600D59A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20(27</w:t>
            </w:r>
            <w:r w:rsidR="0054539E" w:rsidRPr="00DA5693">
              <w:rPr>
                <w:b/>
                <w:color w:val="000000" w:themeColor="text1"/>
                <w:sz w:val="18"/>
                <w:szCs w:val="18"/>
              </w:rPr>
              <w:t>.</w:t>
            </w:r>
            <w:r w:rsidRPr="00DA5693">
              <w:rPr>
                <w:b/>
                <w:color w:val="000000" w:themeColor="text1"/>
                <w:sz w:val="18"/>
                <w:szCs w:val="18"/>
              </w:rPr>
              <w:t>77)</w:t>
            </w:r>
          </w:p>
        </w:tc>
        <w:tc>
          <w:tcPr>
            <w:tcW w:w="318" w:type="pct"/>
            <w:tcBorders>
              <w:top w:val="single" w:sz="4" w:space="0" w:color="000000"/>
              <w:bottom w:val="single" w:sz="4" w:space="0" w:color="000000"/>
            </w:tcBorders>
            <w:vAlign w:val="center"/>
          </w:tcPr>
          <w:p w14:paraId="7B358142" w14:textId="77777777" w:rsidR="00B948BC" w:rsidRPr="00DA5693" w:rsidRDefault="00B948BC" w:rsidP="00B948BC">
            <w:pPr>
              <w:jc w:val="center"/>
              <w:rPr>
                <w:color w:val="000000" w:themeColor="text1"/>
                <w:sz w:val="18"/>
                <w:szCs w:val="18"/>
              </w:rPr>
            </w:pPr>
            <w:r w:rsidRPr="00DA5693">
              <w:rPr>
                <w:color w:val="000000" w:themeColor="text1"/>
                <w:sz w:val="18"/>
                <w:szCs w:val="18"/>
              </w:rPr>
              <w:t>21(29</w:t>
            </w:r>
            <w:r w:rsidR="0054539E" w:rsidRPr="00DA5693">
              <w:rPr>
                <w:color w:val="000000" w:themeColor="text1"/>
                <w:sz w:val="18"/>
                <w:szCs w:val="18"/>
              </w:rPr>
              <w:t>.</w:t>
            </w:r>
            <w:r w:rsidRPr="00DA5693">
              <w:rPr>
                <w:color w:val="000000" w:themeColor="text1"/>
                <w:sz w:val="18"/>
                <w:szCs w:val="18"/>
              </w:rPr>
              <w:t>16)</w:t>
            </w:r>
          </w:p>
          <w:p w14:paraId="4EACAB26" w14:textId="77777777" w:rsidR="00B948BC" w:rsidRPr="00DA5693" w:rsidRDefault="00B948BC" w:rsidP="00B948BC">
            <w:pPr>
              <w:jc w:val="center"/>
              <w:rPr>
                <w:color w:val="000000" w:themeColor="text1"/>
                <w:sz w:val="18"/>
                <w:szCs w:val="18"/>
              </w:rPr>
            </w:pPr>
            <w:r w:rsidRPr="00DA5693">
              <w:rPr>
                <w:color w:val="000000" w:themeColor="text1"/>
                <w:sz w:val="18"/>
                <w:szCs w:val="18"/>
              </w:rPr>
              <w:t>5(6</w:t>
            </w:r>
            <w:r w:rsidR="0054539E" w:rsidRPr="00DA5693">
              <w:rPr>
                <w:color w:val="000000" w:themeColor="text1"/>
                <w:sz w:val="18"/>
                <w:szCs w:val="18"/>
              </w:rPr>
              <w:t>.</w:t>
            </w:r>
            <w:r w:rsidRPr="00DA5693">
              <w:rPr>
                <w:color w:val="000000" w:themeColor="text1"/>
                <w:sz w:val="18"/>
                <w:szCs w:val="18"/>
              </w:rPr>
              <w:t>94)</w:t>
            </w:r>
          </w:p>
          <w:p w14:paraId="512EB97B" w14:textId="77777777" w:rsidR="00B948BC" w:rsidRPr="00DA5693" w:rsidRDefault="00B948BC" w:rsidP="00B948BC">
            <w:pPr>
              <w:jc w:val="center"/>
              <w:rPr>
                <w:b/>
                <w:color w:val="000000" w:themeColor="text1"/>
                <w:sz w:val="18"/>
                <w:szCs w:val="18"/>
              </w:rPr>
            </w:pPr>
            <w:r w:rsidRPr="00DA5693">
              <w:rPr>
                <w:b/>
                <w:color w:val="000000" w:themeColor="text1"/>
                <w:sz w:val="18"/>
                <w:szCs w:val="18"/>
              </w:rPr>
              <w:t>46(63</w:t>
            </w:r>
            <w:r w:rsidR="0054539E" w:rsidRPr="00DA5693">
              <w:rPr>
                <w:b/>
                <w:color w:val="000000" w:themeColor="text1"/>
                <w:sz w:val="18"/>
                <w:szCs w:val="18"/>
              </w:rPr>
              <w:t>.</w:t>
            </w:r>
            <w:r w:rsidRPr="00DA5693">
              <w:rPr>
                <w:b/>
                <w:color w:val="000000" w:themeColor="text1"/>
                <w:sz w:val="18"/>
                <w:szCs w:val="18"/>
              </w:rPr>
              <w:t>88)</w:t>
            </w:r>
          </w:p>
        </w:tc>
        <w:tc>
          <w:tcPr>
            <w:tcW w:w="318" w:type="pct"/>
            <w:tcBorders>
              <w:top w:val="single" w:sz="4" w:space="0" w:color="000000"/>
              <w:bottom w:val="single" w:sz="4" w:space="0" w:color="000000"/>
            </w:tcBorders>
            <w:vAlign w:val="center"/>
          </w:tcPr>
          <w:p w14:paraId="088E7403" w14:textId="77777777" w:rsidR="00B948BC" w:rsidRPr="00DA5693" w:rsidRDefault="00B948BC" w:rsidP="00B948BC">
            <w:pPr>
              <w:jc w:val="center"/>
              <w:rPr>
                <w:color w:val="000000" w:themeColor="text1"/>
                <w:sz w:val="18"/>
                <w:szCs w:val="18"/>
              </w:rPr>
            </w:pPr>
            <w:r w:rsidRPr="00DA5693">
              <w:rPr>
                <w:color w:val="000000" w:themeColor="text1"/>
                <w:sz w:val="18"/>
                <w:szCs w:val="18"/>
              </w:rPr>
              <w:t>49(68</w:t>
            </w:r>
            <w:r w:rsidR="0054539E" w:rsidRPr="00DA5693">
              <w:rPr>
                <w:color w:val="000000" w:themeColor="text1"/>
                <w:sz w:val="18"/>
                <w:szCs w:val="18"/>
              </w:rPr>
              <w:t>.</w:t>
            </w:r>
            <w:r w:rsidRPr="00DA5693">
              <w:rPr>
                <w:color w:val="000000" w:themeColor="text1"/>
                <w:sz w:val="18"/>
                <w:szCs w:val="18"/>
              </w:rPr>
              <w:t>05)</w:t>
            </w:r>
          </w:p>
          <w:p w14:paraId="5C053FC6" w14:textId="77777777" w:rsidR="00B948BC" w:rsidRPr="00DA5693" w:rsidRDefault="00B948BC" w:rsidP="00B948BC">
            <w:pPr>
              <w:jc w:val="center"/>
              <w:rPr>
                <w:color w:val="000000" w:themeColor="text1"/>
                <w:sz w:val="18"/>
                <w:szCs w:val="18"/>
              </w:rPr>
            </w:pPr>
            <w:r w:rsidRPr="00DA5693">
              <w:rPr>
                <w:color w:val="000000" w:themeColor="text1"/>
                <w:sz w:val="18"/>
                <w:szCs w:val="18"/>
              </w:rPr>
              <w:t>6(8</w:t>
            </w:r>
            <w:r w:rsidR="0054539E" w:rsidRPr="00DA5693">
              <w:rPr>
                <w:color w:val="000000" w:themeColor="text1"/>
                <w:sz w:val="18"/>
                <w:szCs w:val="18"/>
              </w:rPr>
              <w:t>.</w:t>
            </w:r>
            <w:r w:rsidRPr="00DA5693">
              <w:rPr>
                <w:color w:val="000000" w:themeColor="text1"/>
                <w:sz w:val="18"/>
                <w:szCs w:val="18"/>
              </w:rPr>
              <w:t>33)</w:t>
            </w:r>
          </w:p>
          <w:p w14:paraId="506C80F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17(23</w:t>
            </w:r>
            <w:r w:rsidR="0054539E" w:rsidRPr="00DA5693">
              <w:rPr>
                <w:b/>
                <w:color w:val="000000" w:themeColor="text1"/>
                <w:sz w:val="18"/>
                <w:szCs w:val="18"/>
              </w:rPr>
              <w:t>.</w:t>
            </w:r>
            <w:r w:rsidRPr="00DA5693">
              <w:rPr>
                <w:b/>
                <w:color w:val="000000" w:themeColor="text1"/>
                <w:sz w:val="18"/>
                <w:szCs w:val="18"/>
              </w:rPr>
              <w:t>61)</w:t>
            </w:r>
          </w:p>
        </w:tc>
        <w:tc>
          <w:tcPr>
            <w:tcW w:w="318" w:type="pct"/>
            <w:tcBorders>
              <w:top w:val="single" w:sz="4" w:space="0" w:color="000000"/>
              <w:bottom w:val="single" w:sz="4" w:space="0" w:color="000000"/>
            </w:tcBorders>
            <w:vAlign w:val="center"/>
          </w:tcPr>
          <w:p w14:paraId="6D9C9577" w14:textId="77777777" w:rsidR="00B948BC" w:rsidRPr="00DA5693" w:rsidRDefault="00B948BC" w:rsidP="00B948BC">
            <w:pPr>
              <w:jc w:val="center"/>
              <w:rPr>
                <w:color w:val="000000" w:themeColor="text1"/>
                <w:sz w:val="18"/>
                <w:szCs w:val="18"/>
              </w:rPr>
            </w:pPr>
            <w:r w:rsidRPr="00DA5693">
              <w:rPr>
                <w:color w:val="000000" w:themeColor="text1"/>
                <w:sz w:val="18"/>
                <w:szCs w:val="18"/>
              </w:rPr>
              <w:t>19(26</w:t>
            </w:r>
            <w:r w:rsidR="0054539E" w:rsidRPr="00DA5693">
              <w:rPr>
                <w:color w:val="000000" w:themeColor="text1"/>
                <w:sz w:val="18"/>
                <w:szCs w:val="18"/>
              </w:rPr>
              <w:t>.</w:t>
            </w:r>
            <w:r w:rsidRPr="00DA5693">
              <w:rPr>
                <w:color w:val="000000" w:themeColor="text1"/>
                <w:sz w:val="18"/>
                <w:szCs w:val="18"/>
              </w:rPr>
              <w:t>38)</w:t>
            </w:r>
          </w:p>
          <w:p w14:paraId="2B1EDB3C" w14:textId="77777777" w:rsidR="00B948BC" w:rsidRPr="00DA5693" w:rsidRDefault="00B948BC" w:rsidP="00B948BC">
            <w:pPr>
              <w:jc w:val="center"/>
              <w:rPr>
                <w:color w:val="000000" w:themeColor="text1"/>
                <w:sz w:val="18"/>
                <w:szCs w:val="18"/>
              </w:rPr>
            </w:pPr>
            <w:r w:rsidRPr="00DA5693">
              <w:rPr>
                <w:color w:val="000000" w:themeColor="text1"/>
                <w:sz w:val="18"/>
                <w:szCs w:val="18"/>
              </w:rPr>
              <w:t>15(20</w:t>
            </w:r>
            <w:r w:rsidR="0054539E" w:rsidRPr="00DA5693">
              <w:rPr>
                <w:color w:val="000000" w:themeColor="text1"/>
                <w:sz w:val="18"/>
                <w:szCs w:val="18"/>
              </w:rPr>
              <w:t>.</w:t>
            </w:r>
            <w:r w:rsidRPr="00DA5693">
              <w:rPr>
                <w:color w:val="000000" w:themeColor="text1"/>
                <w:sz w:val="18"/>
                <w:szCs w:val="18"/>
              </w:rPr>
              <w:t>83)</w:t>
            </w:r>
          </w:p>
          <w:p w14:paraId="59CD60F1"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38(52</w:t>
            </w:r>
            <w:r w:rsidR="0054539E" w:rsidRPr="00DA5693">
              <w:rPr>
                <w:b/>
                <w:color w:val="000000" w:themeColor="text1"/>
                <w:sz w:val="18"/>
                <w:szCs w:val="18"/>
              </w:rPr>
              <w:t>.</w:t>
            </w:r>
            <w:r w:rsidRPr="00DA5693">
              <w:rPr>
                <w:b/>
                <w:color w:val="000000" w:themeColor="text1"/>
                <w:sz w:val="18"/>
                <w:szCs w:val="18"/>
              </w:rPr>
              <w:t>77)</w:t>
            </w:r>
          </w:p>
        </w:tc>
        <w:tc>
          <w:tcPr>
            <w:tcW w:w="318" w:type="pct"/>
            <w:tcBorders>
              <w:top w:val="single" w:sz="4" w:space="0" w:color="000000"/>
              <w:bottom w:val="single" w:sz="4" w:space="0" w:color="000000"/>
            </w:tcBorders>
            <w:vAlign w:val="center"/>
          </w:tcPr>
          <w:p w14:paraId="370CD6B7" w14:textId="77777777" w:rsidR="00B948BC" w:rsidRPr="00DA5693" w:rsidRDefault="00B948BC" w:rsidP="00B948BC">
            <w:pPr>
              <w:jc w:val="center"/>
              <w:rPr>
                <w:color w:val="000000" w:themeColor="text1"/>
                <w:sz w:val="18"/>
                <w:szCs w:val="18"/>
              </w:rPr>
            </w:pPr>
            <w:r w:rsidRPr="00DA5693">
              <w:rPr>
                <w:color w:val="000000" w:themeColor="text1"/>
                <w:sz w:val="18"/>
                <w:szCs w:val="18"/>
              </w:rPr>
              <w:t>23(31</w:t>
            </w:r>
            <w:r w:rsidR="0054539E" w:rsidRPr="00DA5693">
              <w:rPr>
                <w:color w:val="000000" w:themeColor="text1"/>
                <w:sz w:val="18"/>
                <w:szCs w:val="18"/>
              </w:rPr>
              <w:t>.</w:t>
            </w:r>
            <w:r w:rsidRPr="00DA5693">
              <w:rPr>
                <w:color w:val="000000" w:themeColor="text1"/>
                <w:sz w:val="18"/>
                <w:szCs w:val="18"/>
              </w:rPr>
              <w:t>94)</w:t>
            </w:r>
          </w:p>
          <w:p w14:paraId="02960A2B" w14:textId="77777777" w:rsidR="00B948BC" w:rsidRPr="00DA5693" w:rsidRDefault="00B948BC" w:rsidP="00B948BC">
            <w:pPr>
              <w:jc w:val="center"/>
              <w:rPr>
                <w:color w:val="000000" w:themeColor="text1"/>
                <w:sz w:val="18"/>
                <w:szCs w:val="18"/>
              </w:rPr>
            </w:pPr>
            <w:r w:rsidRPr="00DA5693">
              <w:rPr>
                <w:color w:val="000000" w:themeColor="text1"/>
                <w:sz w:val="18"/>
                <w:szCs w:val="18"/>
              </w:rPr>
              <w:t>8(11</w:t>
            </w:r>
            <w:r w:rsidR="0054539E" w:rsidRPr="00DA5693">
              <w:rPr>
                <w:color w:val="000000" w:themeColor="text1"/>
                <w:sz w:val="18"/>
                <w:szCs w:val="18"/>
              </w:rPr>
              <w:t>.</w:t>
            </w:r>
            <w:r w:rsidRPr="00DA5693">
              <w:rPr>
                <w:color w:val="000000" w:themeColor="text1"/>
                <w:sz w:val="18"/>
                <w:szCs w:val="18"/>
              </w:rPr>
              <w:t>11)</w:t>
            </w:r>
          </w:p>
          <w:p w14:paraId="5110C55F" w14:textId="77777777" w:rsidR="00B948BC" w:rsidRPr="00DA5693" w:rsidRDefault="00B948BC" w:rsidP="00B948BC">
            <w:pPr>
              <w:jc w:val="center"/>
              <w:rPr>
                <w:b/>
                <w:color w:val="000000" w:themeColor="text1"/>
                <w:sz w:val="18"/>
                <w:szCs w:val="18"/>
              </w:rPr>
            </w:pPr>
            <w:r w:rsidRPr="00DA5693">
              <w:rPr>
                <w:b/>
                <w:color w:val="000000" w:themeColor="text1"/>
                <w:sz w:val="18"/>
                <w:szCs w:val="18"/>
              </w:rPr>
              <w:t>41(56</w:t>
            </w:r>
            <w:r w:rsidR="0054539E" w:rsidRPr="00DA5693">
              <w:rPr>
                <w:b/>
                <w:color w:val="000000" w:themeColor="text1"/>
                <w:sz w:val="18"/>
                <w:szCs w:val="18"/>
              </w:rPr>
              <w:t>.</w:t>
            </w:r>
            <w:r w:rsidRPr="00DA5693">
              <w:rPr>
                <w:b/>
                <w:color w:val="000000" w:themeColor="text1"/>
                <w:sz w:val="18"/>
                <w:szCs w:val="18"/>
              </w:rPr>
              <w:t>94)</w:t>
            </w:r>
          </w:p>
        </w:tc>
        <w:tc>
          <w:tcPr>
            <w:tcW w:w="318" w:type="pct"/>
            <w:tcBorders>
              <w:top w:val="single" w:sz="4" w:space="0" w:color="000000"/>
              <w:bottom w:val="single" w:sz="4" w:space="0" w:color="000000"/>
            </w:tcBorders>
            <w:vAlign w:val="center"/>
          </w:tcPr>
          <w:p w14:paraId="0B70BEBC" w14:textId="77777777" w:rsidR="00B948BC" w:rsidRPr="00DA5693" w:rsidRDefault="00B948BC" w:rsidP="00B948BC">
            <w:pPr>
              <w:jc w:val="center"/>
              <w:rPr>
                <w:color w:val="000000" w:themeColor="text1"/>
                <w:sz w:val="18"/>
                <w:szCs w:val="18"/>
              </w:rPr>
            </w:pPr>
            <w:r w:rsidRPr="00DA5693">
              <w:rPr>
                <w:color w:val="000000" w:themeColor="text1"/>
                <w:sz w:val="18"/>
                <w:szCs w:val="18"/>
              </w:rPr>
              <w:t>31(43</w:t>
            </w:r>
            <w:r w:rsidR="0054539E" w:rsidRPr="00DA5693">
              <w:rPr>
                <w:color w:val="000000" w:themeColor="text1"/>
                <w:sz w:val="18"/>
                <w:szCs w:val="18"/>
              </w:rPr>
              <w:t>.</w:t>
            </w:r>
            <w:r w:rsidRPr="00DA5693">
              <w:rPr>
                <w:color w:val="000000" w:themeColor="text1"/>
                <w:sz w:val="18"/>
                <w:szCs w:val="18"/>
              </w:rPr>
              <w:t>05)</w:t>
            </w:r>
          </w:p>
          <w:p w14:paraId="7F51E804" w14:textId="77777777" w:rsidR="00B948BC" w:rsidRPr="00DA5693" w:rsidRDefault="00B948BC" w:rsidP="00B948BC">
            <w:pPr>
              <w:jc w:val="center"/>
              <w:rPr>
                <w:color w:val="000000" w:themeColor="text1"/>
                <w:sz w:val="18"/>
                <w:szCs w:val="18"/>
              </w:rPr>
            </w:pPr>
            <w:r w:rsidRPr="00DA5693">
              <w:rPr>
                <w:color w:val="000000" w:themeColor="text1"/>
                <w:sz w:val="18"/>
                <w:szCs w:val="18"/>
              </w:rPr>
              <w:t>7(9</w:t>
            </w:r>
            <w:r w:rsidR="0054539E" w:rsidRPr="00DA5693">
              <w:rPr>
                <w:color w:val="000000" w:themeColor="text1"/>
                <w:sz w:val="18"/>
                <w:szCs w:val="18"/>
              </w:rPr>
              <w:t>.</w:t>
            </w:r>
            <w:r w:rsidRPr="00DA5693">
              <w:rPr>
                <w:color w:val="000000" w:themeColor="text1"/>
                <w:sz w:val="18"/>
                <w:szCs w:val="18"/>
              </w:rPr>
              <w:t>72)</w:t>
            </w:r>
          </w:p>
          <w:p w14:paraId="043EEABA"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34(47</w:t>
            </w:r>
            <w:r w:rsidR="0054539E" w:rsidRPr="00DA5693">
              <w:rPr>
                <w:b/>
                <w:color w:val="000000" w:themeColor="text1"/>
                <w:sz w:val="18"/>
                <w:szCs w:val="18"/>
              </w:rPr>
              <w:t>.</w:t>
            </w:r>
            <w:r w:rsidRPr="00DA5693">
              <w:rPr>
                <w:b/>
                <w:color w:val="000000" w:themeColor="text1"/>
                <w:sz w:val="18"/>
                <w:szCs w:val="18"/>
              </w:rPr>
              <w:t>22)</w:t>
            </w:r>
          </w:p>
        </w:tc>
        <w:tc>
          <w:tcPr>
            <w:tcW w:w="334" w:type="pct"/>
            <w:tcBorders>
              <w:top w:val="single" w:sz="4" w:space="0" w:color="000000"/>
              <w:bottom w:val="single" w:sz="4" w:space="0" w:color="000000"/>
            </w:tcBorders>
            <w:vAlign w:val="center"/>
          </w:tcPr>
          <w:p w14:paraId="7CBF8C0D" w14:textId="77777777" w:rsidR="00B948BC" w:rsidRPr="00DA5693" w:rsidRDefault="00B948BC" w:rsidP="00B948BC">
            <w:pPr>
              <w:jc w:val="center"/>
              <w:rPr>
                <w:color w:val="000000" w:themeColor="text1"/>
                <w:sz w:val="18"/>
                <w:szCs w:val="18"/>
              </w:rPr>
            </w:pPr>
            <w:r w:rsidRPr="00DA5693">
              <w:rPr>
                <w:color w:val="000000" w:themeColor="text1"/>
                <w:sz w:val="18"/>
                <w:szCs w:val="18"/>
              </w:rPr>
              <w:t>40(55 </w:t>
            </w:r>
            <w:r w:rsidR="0054539E" w:rsidRPr="00DA5693">
              <w:rPr>
                <w:color w:val="000000" w:themeColor="text1"/>
                <w:sz w:val="18"/>
                <w:szCs w:val="18"/>
              </w:rPr>
              <w:t>.</w:t>
            </w:r>
            <w:r w:rsidRPr="00DA5693">
              <w:rPr>
                <w:color w:val="000000" w:themeColor="text1"/>
                <w:sz w:val="18"/>
                <w:szCs w:val="18"/>
              </w:rPr>
              <w:t>55)</w:t>
            </w:r>
          </w:p>
          <w:p w14:paraId="5B6CCE8D" w14:textId="77777777" w:rsidR="00B948BC" w:rsidRPr="00DA5693" w:rsidRDefault="00B948BC" w:rsidP="00B948BC">
            <w:pPr>
              <w:jc w:val="center"/>
              <w:rPr>
                <w:b/>
                <w:color w:val="000000" w:themeColor="text1"/>
                <w:sz w:val="18"/>
                <w:szCs w:val="18"/>
              </w:rPr>
            </w:pPr>
            <w:r w:rsidRPr="00DA5693">
              <w:rPr>
                <w:color w:val="000000" w:themeColor="text1"/>
                <w:sz w:val="18"/>
                <w:szCs w:val="18"/>
              </w:rPr>
              <w:t>8(11</w:t>
            </w:r>
            <w:r w:rsidR="0054539E" w:rsidRPr="00DA5693">
              <w:rPr>
                <w:color w:val="000000" w:themeColor="text1"/>
                <w:sz w:val="18"/>
                <w:szCs w:val="18"/>
              </w:rPr>
              <w:t>.</w:t>
            </w:r>
            <w:r w:rsidRPr="00DA5693">
              <w:rPr>
                <w:color w:val="000000" w:themeColor="text1"/>
                <w:sz w:val="18"/>
                <w:szCs w:val="18"/>
              </w:rPr>
              <w:t>11)</w:t>
            </w:r>
          </w:p>
          <w:p w14:paraId="783CCC9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24(34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4" w:space="0" w:color="000000"/>
            </w:tcBorders>
            <w:vAlign w:val="center"/>
          </w:tcPr>
          <w:p w14:paraId="4F80AC3E" w14:textId="77777777" w:rsidR="00B948BC" w:rsidRPr="00DA5693" w:rsidRDefault="00B948BC" w:rsidP="00B948BC">
            <w:pPr>
              <w:jc w:val="center"/>
              <w:rPr>
                <w:color w:val="000000" w:themeColor="text1"/>
                <w:sz w:val="18"/>
                <w:szCs w:val="18"/>
              </w:rPr>
            </w:pPr>
            <w:r w:rsidRPr="00DA5693">
              <w:rPr>
                <w:color w:val="000000" w:themeColor="text1"/>
                <w:sz w:val="18"/>
                <w:szCs w:val="18"/>
              </w:rPr>
              <w:t>36(50)</w:t>
            </w:r>
          </w:p>
          <w:p w14:paraId="165CB126" w14:textId="77777777" w:rsidR="00B948BC" w:rsidRPr="00DA5693" w:rsidRDefault="00B948BC" w:rsidP="00B948BC">
            <w:pPr>
              <w:jc w:val="center"/>
              <w:rPr>
                <w:color w:val="000000" w:themeColor="text1"/>
                <w:sz w:val="18"/>
                <w:szCs w:val="18"/>
              </w:rPr>
            </w:pPr>
            <w:r w:rsidRPr="00DA5693">
              <w:rPr>
                <w:color w:val="000000" w:themeColor="text1"/>
                <w:sz w:val="18"/>
                <w:szCs w:val="18"/>
              </w:rPr>
              <w:t>7(9</w:t>
            </w:r>
            <w:r w:rsidR="0054539E" w:rsidRPr="00DA5693">
              <w:rPr>
                <w:color w:val="000000" w:themeColor="text1"/>
                <w:sz w:val="18"/>
                <w:szCs w:val="18"/>
              </w:rPr>
              <w:t>.</w:t>
            </w:r>
            <w:r w:rsidRPr="00DA5693">
              <w:rPr>
                <w:color w:val="000000" w:themeColor="text1"/>
                <w:sz w:val="18"/>
                <w:szCs w:val="18"/>
              </w:rPr>
              <w:t>72)</w:t>
            </w:r>
          </w:p>
          <w:p w14:paraId="7D04C47C"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29(40</w:t>
            </w:r>
            <w:r w:rsidR="0054539E" w:rsidRPr="00DA5693">
              <w:rPr>
                <w:b/>
                <w:color w:val="000000" w:themeColor="text1"/>
                <w:sz w:val="18"/>
                <w:szCs w:val="18"/>
              </w:rPr>
              <w:t>.</w:t>
            </w:r>
            <w:r w:rsidRPr="00DA5693">
              <w:rPr>
                <w:b/>
                <w:color w:val="000000" w:themeColor="text1"/>
                <w:sz w:val="18"/>
                <w:szCs w:val="18"/>
              </w:rPr>
              <w:t>27)</w:t>
            </w:r>
          </w:p>
        </w:tc>
        <w:tc>
          <w:tcPr>
            <w:tcW w:w="318" w:type="pct"/>
            <w:tcBorders>
              <w:top w:val="single" w:sz="4" w:space="0" w:color="000000"/>
              <w:bottom w:val="single" w:sz="4" w:space="0" w:color="000000"/>
            </w:tcBorders>
            <w:vAlign w:val="center"/>
          </w:tcPr>
          <w:p w14:paraId="3AF2C667" w14:textId="77777777" w:rsidR="00B948BC" w:rsidRPr="00DA5693" w:rsidRDefault="00B948BC" w:rsidP="00B948BC">
            <w:pPr>
              <w:jc w:val="center"/>
              <w:rPr>
                <w:color w:val="000000" w:themeColor="text1"/>
                <w:sz w:val="18"/>
                <w:szCs w:val="18"/>
              </w:rPr>
            </w:pPr>
            <w:r w:rsidRPr="00DA5693">
              <w:rPr>
                <w:color w:val="000000" w:themeColor="text1"/>
                <w:sz w:val="18"/>
                <w:szCs w:val="18"/>
              </w:rPr>
              <w:t>28(38</w:t>
            </w:r>
            <w:r w:rsidR="0054539E" w:rsidRPr="00DA5693">
              <w:rPr>
                <w:color w:val="000000" w:themeColor="text1"/>
                <w:sz w:val="18"/>
                <w:szCs w:val="18"/>
              </w:rPr>
              <w:t>.</w:t>
            </w:r>
            <w:r w:rsidRPr="00DA5693">
              <w:rPr>
                <w:color w:val="000000" w:themeColor="text1"/>
                <w:sz w:val="18"/>
                <w:szCs w:val="18"/>
              </w:rPr>
              <w:t>88)</w:t>
            </w:r>
          </w:p>
          <w:p w14:paraId="0EB232EA" w14:textId="77777777" w:rsidR="00B948BC" w:rsidRPr="00DA5693" w:rsidRDefault="00B948BC" w:rsidP="00B948BC">
            <w:pPr>
              <w:jc w:val="center"/>
              <w:rPr>
                <w:color w:val="000000" w:themeColor="text1"/>
                <w:sz w:val="18"/>
                <w:szCs w:val="18"/>
              </w:rPr>
            </w:pPr>
            <w:r w:rsidRPr="00DA5693">
              <w:rPr>
                <w:color w:val="000000" w:themeColor="text1"/>
                <w:sz w:val="18"/>
                <w:szCs w:val="18"/>
              </w:rPr>
              <w:t>15(20</w:t>
            </w:r>
            <w:r w:rsidR="0054539E" w:rsidRPr="00DA5693">
              <w:rPr>
                <w:color w:val="000000" w:themeColor="text1"/>
                <w:sz w:val="18"/>
                <w:szCs w:val="18"/>
              </w:rPr>
              <w:t>.</w:t>
            </w:r>
            <w:r w:rsidRPr="00DA5693">
              <w:rPr>
                <w:color w:val="000000" w:themeColor="text1"/>
                <w:sz w:val="18"/>
                <w:szCs w:val="18"/>
              </w:rPr>
              <w:t>83)</w:t>
            </w:r>
          </w:p>
          <w:p w14:paraId="6557F82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29(40</w:t>
            </w:r>
            <w:r w:rsidR="0054539E" w:rsidRPr="00DA5693">
              <w:rPr>
                <w:b/>
                <w:color w:val="000000" w:themeColor="text1"/>
                <w:sz w:val="18"/>
                <w:szCs w:val="18"/>
              </w:rPr>
              <w:t>.</w:t>
            </w:r>
            <w:r w:rsidRPr="00DA5693">
              <w:rPr>
                <w:b/>
                <w:color w:val="000000" w:themeColor="text1"/>
                <w:sz w:val="18"/>
                <w:szCs w:val="18"/>
              </w:rPr>
              <w:t>27)</w:t>
            </w:r>
          </w:p>
        </w:tc>
        <w:tc>
          <w:tcPr>
            <w:tcW w:w="318" w:type="pct"/>
            <w:tcBorders>
              <w:top w:val="single" w:sz="4" w:space="0" w:color="000000"/>
              <w:bottom w:val="single" w:sz="4" w:space="0" w:color="000000"/>
            </w:tcBorders>
            <w:vAlign w:val="center"/>
          </w:tcPr>
          <w:p w14:paraId="7AD7AC08" w14:textId="77777777" w:rsidR="00B948BC" w:rsidRPr="00DA5693" w:rsidRDefault="00B948BC" w:rsidP="00B948BC">
            <w:pPr>
              <w:jc w:val="center"/>
              <w:rPr>
                <w:color w:val="000000" w:themeColor="text1"/>
                <w:sz w:val="18"/>
                <w:szCs w:val="18"/>
              </w:rPr>
            </w:pPr>
            <w:r w:rsidRPr="00DA5693">
              <w:rPr>
                <w:color w:val="000000" w:themeColor="text1"/>
                <w:sz w:val="18"/>
                <w:szCs w:val="18"/>
              </w:rPr>
              <w:t>51(70</w:t>
            </w:r>
            <w:r w:rsidR="0054539E" w:rsidRPr="00DA5693">
              <w:rPr>
                <w:color w:val="000000" w:themeColor="text1"/>
                <w:sz w:val="18"/>
                <w:szCs w:val="18"/>
              </w:rPr>
              <w:t>.</w:t>
            </w:r>
            <w:r w:rsidRPr="00DA5693">
              <w:rPr>
                <w:color w:val="000000" w:themeColor="text1"/>
                <w:sz w:val="18"/>
                <w:szCs w:val="18"/>
              </w:rPr>
              <w:t>83)</w:t>
            </w:r>
          </w:p>
          <w:p w14:paraId="3EEFB421" w14:textId="77777777" w:rsidR="00B948BC" w:rsidRPr="00DA5693" w:rsidRDefault="00B948BC" w:rsidP="00B948BC">
            <w:pPr>
              <w:jc w:val="center"/>
              <w:rPr>
                <w:color w:val="000000" w:themeColor="text1"/>
                <w:sz w:val="18"/>
                <w:szCs w:val="18"/>
              </w:rPr>
            </w:pPr>
            <w:r w:rsidRPr="00DA5693">
              <w:rPr>
                <w:color w:val="000000" w:themeColor="text1"/>
                <w:sz w:val="18"/>
                <w:szCs w:val="18"/>
              </w:rPr>
              <w:t>5(6</w:t>
            </w:r>
            <w:r w:rsidR="0054539E" w:rsidRPr="00DA5693">
              <w:rPr>
                <w:color w:val="000000" w:themeColor="text1"/>
                <w:sz w:val="18"/>
                <w:szCs w:val="18"/>
              </w:rPr>
              <w:t>.</w:t>
            </w:r>
            <w:r w:rsidRPr="00DA5693">
              <w:rPr>
                <w:color w:val="000000" w:themeColor="text1"/>
                <w:sz w:val="18"/>
                <w:szCs w:val="18"/>
              </w:rPr>
              <w:t>94)</w:t>
            </w:r>
          </w:p>
          <w:p w14:paraId="0CDE2E5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16(22</w:t>
            </w:r>
            <w:r w:rsidR="0054539E" w:rsidRPr="00DA5693">
              <w:rPr>
                <w:b/>
                <w:color w:val="000000" w:themeColor="text1"/>
                <w:sz w:val="18"/>
                <w:szCs w:val="18"/>
              </w:rPr>
              <w:t>.</w:t>
            </w:r>
            <w:r w:rsidRPr="00DA5693">
              <w:rPr>
                <w:b/>
                <w:color w:val="000000" w:themeColor="text1"/>
                <w:sz w:val="18"/>
                <w:szCs w:val="18"/>
              </w:rPr>
              <w:t>22)</w:t>
            </w:r>
          </w:p>
        </w:tc>
        <w:tc>
          <w:tcPr>
            <w:tcW w:w="318" w:type="pct"/>
            <w:tcBorders>
              <w:top w:val="single" w:sz="4" w:space="0" w:color="000000"/>
              <w:bottom w:val="single" w:sz="4" w:space="0" w:color="000000"/>
            </w:tcBorders>
            <w:vAlign w:val="center"/>
          </w:tcPr>
          <w:p w14:paraId="42A42C4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w:t>
            </w:r>
          </w:p>
        </w:tc>
        <w:tc>
          <w:tcPr>
            <w:tcW w:w="305" w:type="pct"/>
            <w:tcBorders>
              <w:top w:val="single" w:sz="4" w:space="0" w:color="000000"/>
              <w:bottom w:val="single" w:sz="4" w:space="0" w:color="000000"/>
            </w:tcBorders>
            <w:vAlign w:val="center"/>
          </w:tcPr>
          <w:p w14:paraId="2F43588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w:t>
            </w:r>
          </w:p>
        </w:tc>
      </w:tr>
      <w:tr w:rsidR="00B948BC" w:rsidRPr="00DA5693" w14:paraId="14172B86" w14:textId="77777777" w:rsidTr="003C2339">
        <w:trPr>
          <w:trHeight w:val="298"/>
        </w:trPr>
        <w:tc>
          <w:tcPr>
            <w:tcW w:w="471" w:type="pct"/>
            <w:tcBorders>
              <w:top w:val="single" w:sz="4" w:space="0" w:color="000000"/>
              <w:bottom w:val="single" w:sz="24" w:space="0" w:color="000000"/>
            </w:tcBorders>
            <w:vAlign w:val="center"/>
          </w:tcPr>
          <w:p w14:paraId="46E6D365" w14:textId="77777777" w:rsidR="00B948BC" w:rsidRPr="00DA5693" w:rsidRDefault="00B948BC" w:rsidP="00B948BC">
            <w:pPr>
              <w:jc w:val="center"/>
              <w:rPr>
                <w:b/>
                <w:color w:val="000000" w:themeColor="text1"/>
                <w:sz w:val="18"/>
                <w:szCs w:val="18"/>
              </w:rPr>
            </w:pPr>
            <w:r w:rsidRPr="00DA5693">
              <w:rPr>
                <w:b/>
                <w:i/>
                <w:color w:val="000000" w:themeColor="text1"/>
                <w:sz w:val="18"/>
                <w:szCs w:val="18"/>
              </w:rPr>
              <w:t xml:space="preserve">Staphylococcus </w:t>
            </w:r>
            <w:proofErr w:type="spellStart"/>
            <w:r w:rsidRPr="00DA5693">
              <w:rPr>
                <w:b/>
                <w:color w:val="000000" w:themeColor="text1"/>
                <w:sz w:val="18"/>
                <w:szCs w:val="18"/>
              </w:rPr>
              <w:t>sp</w:t>
            </w:r>
            <w:proofErr w:type="spellEnd"/>
            <w:r w:rsidRPr="00DA5693">
              <w:rPr>
                <w:b/>
                <w:color w:val="000000" w:themeColor="text1"/>
                <w:sz w:val="18"/>
                <w:szCs w:val="18"/>
              </w:rPr>
              <w:t>. (14)</w:t>
            </w:r>
          </w:p>
        </w:tc>
        <w:tc>
          <w:tcPr>
            <w:tcW w:w="433" w:type="pct"/>
            <w:tcBorders>
              <w:top w:val="single" w:sz="4" w:space="0" w:color="000000"/>
              <w:bottom w:val="single" w:sz="24" w:space="0" w:color="000000"/>
            </w:tcBorders>
            <w:vAlign w:val="center"/>
          </w:tcPr>
          <w:p w14:paraId="2048B225" w14:textId="77777777" w:rsidR="00B948BC" w:rsidRPr="00DA5693" w:rsidRDefault="00B948BC" w:rsidP="00B948BC">
            <w:pPr>
              <w:jc w:val="center"/>
              <w:rPr>
                <w:color w:val="000000" w:themeColor="text1"/>
                <w:sz w:val="18"/>
                <w:szCs w:val="18"/>
              </w:rPr>
            </w:pPr>
            <w:r w:rsidRPr="00DA5693">
              <w:rPr>
                <w:color w:val="000000" w:themeColor="text1"/>
                <w:sz w:val="18"/>
                <w:szCs w:val="18"/>
              </w:rPr>
              <w:t>S (%)</w:t>
            </w:r>
          </w:p>
          <w:p w14:paraId="1FE6F0DD" w14:textId="77777777" w:rsidR="00B948BC" w:rsidRPr="00DA5693" w:rsidRDefault="00B948BC" w:rsidP="00B948BC">
            <w:pPr>
              <w:jc w:val="center"/>
              <w:rPr>
                <w:color w:val="000000" w:themeColor="text1"/>
                <w:sz w:val="18"/>
                <w:szCs w:val="18"/>
              </w:rPr>
            </w:pPr>
            <w:r w:rsidRPr="00DA5693">
              <w:rPr>
                <w:color w:val="000000" w:themeColor="text1"/>
                <w:sz w:val="18"/>
                <w:szCs w:val="18"/>
              </w:rPr>
              <w:t>I (%)</w:t>
            </w:r>
          </w:p>
          <w:p w14:paraId="79B3035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R (%)</w:t>
            </w:r>
          </w:p>
        </w:tc>
        <w:tc>
          <w:tcPr>
            <w:tcW w:w="272" w:type="pct"/>
            <w:tcBorders>
              <w:top w:val="single" w:sz="4" w:space="0" w:color="000000"/>
              <w:bottom w:val="single" w:sz="24" w:space="0" w:color="000000"/>
            </w:tcBorders>
            <w:vAlign w:val="center"/>
          </w:tcPr>
          <w:p w14:paraId="6393C4C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6F195C2"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D0B108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0</w:t>
            </w:r>
          </w:p>
        </w:tc>
        <w:tc>
          <w:tcPr>
            <w:tcW w:w="318" w:type="pct"/>
            <w:tcBorders>
              <w:top w:val="single" w:sz="4" w:space="0" w:color="000000"/>
              <w:bottom w:val="single" w:sz="24" w:space="0" w:color="000000"/>
            </w:tcBorders>
            <w:vAlign w:val="center"/>
          </w:tcPr>
          <w:p w14:paraId="5C864889" w14:textId="77777777" w:rsidR="00B948BC" w:rsidRPr="00DA5693" w:rsidRDefault="00B948BC" w:rsidP="00B948BC">
            <w:pPr>
              <w:jc w:val="center"/>
              <w:rPr>
                <w:color w:val="000000" w:themeColor="text1"/>
                <w:sz w:val="18"/>
                <w:szCs w:val="18"/>
              </w:rPr>
            </w:pPr>
            <w:r w:rsidRPr="00DA5693">
              <w:rPr>
                <w:color w:val="000000" w:themeColor="text1"/>
                <w:sz w:val="18"/>
                <w:szCs w:val="18"/>
              </w:rPr>
              <w:t>11(78</w:t>
            </w:r>
            <w:r w:rsidR="0054539E" w:rsidRPr="00DA5693">
              <w:rPr>
                <w:color w:val="000000" w:themeColor="text1"/>
                <w:sz w:val="18"/>
                <w:szCs w:val="18"/>
              </w:rPr>
              <w:t>.</w:t>
            </w:r>
            <w:r w:rsidRPr="00DA5693">
              <w:rPr>
                <w:color w:val="000000" w:themeColor="text1"/>
                <w:sz w:val="18"/>
                <w:szCs w:val="18"/>
              </w:rPr>
              <w:t>57)</w:t>
            </w:r>
          </w:p>
          <w:p w14:paraId="269997D9"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D631EC5"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0EA05B96"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38E65240"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6EE2309"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14(100)</w:t>
            </w:r>
          </w:p>
        </w:tc>
        <w:tc>
          <w:tcPr>
            <w:tcW w:w="318" w:type="pct"/>
            <w:tcBorders>
              <w:top w:val="single" w:sz="4" w:space="0" w:color="000000"/>
              <w:bottom w:val="single" w:sz="24" w:space="0" w:color="000000"/>
            </w:tcBorders>
            <w:vAlign w:val="center"/>
          </w:tcPr>
          <w:p w14:paraId="28C2FC8B" w14:textId="77777777" w:rsidR="00B948BC" w:rsidRPr="00DA5693" w:rsidRDefault="00B948BC" w:rsidP="00B948BC">
            <w:pPr>
              <w:jc w:val="center"/>
              <w:rPr>
                <w:color w:val="000000" w:themeColor="text1"/>
                <w:sz w:val="18"/>
                <w:szCs w:val="18"/>
              </w:rPr>
            </w:pPr>
            <w:r w:rsidRPr="00DA5693">
              <w:rPr>
                <w:color w:val="000000" w:themeColor="text1"/>
                <w:sz w:val="18"/>
                <w:szCs w:val="18"/>
              </w:rPr>
              <w:t>12(85</w:t>
            </w:r>
            <w:r w:rsidR="0054539E" w:rsidRPr="00DA5693">
              <w:rPr>
                <w:color w:val="000000" w:themeColor="text1"/>
                <w:sz w:val="18"/>
                <w:szCs w:val="18"/>
              </w:rPr>
              <w:t>.</w:t>
            </w:r>
            <w:r w:rsidRPr="00DA5693">
              <w:rPr>
                <w:color w:val="000000" w:themeColor="text1"/>
                <w:sz w:val="18"/>
                <w:szCs w:val="18"/>
              </w:rPr>
              <w:t>71)</w:t>
            </w:r>
          </w:p>
          <w:p w14:paraId="5B5F261A"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6C45A9D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2(14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479129EB"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2701F89C"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11AB4327" w14:textId="77777777" w:rsidR="00B948BC" w:rsidRPr="00DA5693" w:rsidRDefault="00B948BC" w:rsidP="00B948BC">
            <w:pPr>
              <w:jc w:val="center"/>
              <w:rPr>
                <w:b/>
                <w:color w:val="000000" w:themeColor="text1"/>
                <w:sz w:val="18"/>
                <w:szCs w:val="18"/>
              </w:rPr>
            </w:pPr>
            <w:r w:rsidRPr="00DA5693">
              <w:rPr>
                <w:b/>
                <w:color w:val="000000" w:themeColor="text1"/>
                <w:sz w:val="18"/>
                <w:szCs w:val="18"/>
              </w:rPr>
              <w:t>9(64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723BF7C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019D4126" w14:textId="77777777" w:rsidR="00B948BC" w:rsidRPr="00DA5693" w:rsidRDefault="00B948BC" w:rsidP="00B948BC">
            <w:pPr>
              <w:jc w:val="center"/>
              <w:rPr>
                <w:color w:val="000000" w:themeColor="text1"/>
                <w:sz w:val="18"/>
                <w:szCs w:val="18"/>
              </w:rPr>
            </w:pPr>
            <w:r w:rsidRPr="00DA5693">
              <w:rPr>
                <w:color w:val="000000" w:themeColor="text1"/>
                <w:sz w:val="18"/>
                <w:szCs w:val="18"/>
              </w:rPr>
              <w:t>1(7</w:t>
            </w:r>
            <w:r w:rsidR="0054539E" w:rsidRPr="00DA5693">
              <w:rPr>
                <w:color w:val="000000" w:themeColor="text1"/>
                <w:sz w:val="18"/>
                <w:szCs w:val="18"/>
              </w:rPr>
              <w:t>.</w:t>
            </w:r>
            <w:r w:rsidRPr="00DA5693">
              <w:rPr>
                <w:color w:val="000000" w:themeColor="text1"/>
                <w:sz w:val="18"/>
                <w:szCs w:val="18"/>
              </w:rPr>
              <w:t>14)</w:t>
            </w:r>
          </w:p>
          <w:p w14:paraId="08D8F698"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13(97</w:t>
            </w:r>
            <w:r w:rsidR="0054539E" w:rsidRPr="00DA5693">
              <w:rPr>
                <w:b/>
                <w:color w:val="000000" w:themeColor="text1"/>
                <w:sz w:val="18"/>
                <w:szCs w:val="18"/>
              </w:rPr>
              <w:t>.</w:t>
            </w:r>
            <w:r w:rsidRPr="00DA5693">
              <w:rPr>
                <w:b/>
                <w:color w:val="000000" w:themeColor="text1"/>
                <w:sz w:val="18"/>
                <w:szCs w:val="18"/>
              </w:rPr>
              <w:t>85)</w:t>
            </w:r>
          </w:p>
        </w:tc>
        <w:tc>
          <w:tcPr>
            <w:tcW w:w="318" w:type="pct"/>
            <w:tcBorders>
              <w:top w:val="single" w:sz="4" w:space="0" w:color="000000"/>
              <w:bottom w:val="single" w:sz="24" w:space="0" w:color="000000"/>
            </w:tcBorders>
            <w:vAlign w:val="center"/>
          </w:tcPr>
          <w:p w14:paraId="0678EA02"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67B603F6" w14:textId="77777777" w:rsidR="00B948BC" w:rsidRPr="00DA5693" w:rsidRDefault="00B948BC" w:rsidP="00B948BC">
            <w:pPr>
              <w:jc w:val="center"/>
              <w:rPr>
                <w:color w:val="000000" w:themeColor="text1"/>
                <w:sz w:val="18"/>
                <w:szCs w:val="18"/>
              </w:rPr>
            </w:pPr>
            <w:r w:rsidRPr="00DA5693">
              <w:rPr>
                <w:color w:val="000000" w:themeColor="text1"/>
                <w:sz w:val="18"/>
                <w:szCs w:val="18"/>
              </w:rPr>
              <w:t>1(7</w:t>
            </w:r>
            <w:r w:rsidR="0054539E" w:rsidRPr="00DA5693">
              <w:rPr>
                <w:color w:val="000000" w:themeColor="text1"/>
                <w:sz w:val="18"/>
                <w:szCs w:val="18"/>
              </w:rPr>
              <w:t>.</w:t>
            </w:r>
            <w:r w:rsidRPr="00DA5693">
              <w:rPr>
                <w:color w:val="000000" w:themeColor="text1"/>
                <w:sz w:val="18"/>
                <w:szCs w:val="18"/>
              </w:rPr>
              <w:t>14)</w:t>
            </w:r>
          </w:p>
          <w:p w14:paraId="4CC2E386" w14:textId="77777777" w:rsidR="00B948BC" w:rsidRPr="00DA5693" w:rsidRDefault="00B948BC" w:rsidP="00B948BC">
            <w:pPr>
              <w:jc w:val="center"/>
              <w:rPr>
                <w:b/>
                <w:color w:val="000000" w:themeColor="text1"/>
                <w:sz w:val="18"/>
                <w:szCs w:val="18"/>
              </w:rPr>
            </w:pPr>
            <w:r w:rsidRPr="00DA5693">
              <w:rPr>
                <w:b/>
                <w:color w:val="000000" w:themeColor="text1"/>
                <w:sz w:val="18"/>
                <w:szCs w:val="18"/>
              </w:rPr>
              <w:t>8(57</w:t>
            </w:r>
            <w:r w:rsidR="0054539E" w:rsidRPr="00DA5693">
              <w:rPr>
                <w:b/>
                <w:color w:val="000000" w:themeColor="text1"/>
                <w:sz w:val="18"/>
                <w:szCs w:val="18"/>
              </w:rPr>
              <w:t>.</w:t>
            </w:r>
            <w:r w:rsidRPr="00DA5693">
              <w:rPr>
                <w:b/>
                <w:color w:val="000000" w:themeColor="text1"/>
                <w:sz w:val="18"/>
                <w:szCs w:val="18"/>
              </w:rPr>
              <w:t>14)</w:t>
            </w:r>
          </w:p>
        </w:tc>
        <w:tc>
          <w:tcPr>
            <w:tcW w:w="334" w:type="pct"/>
            <w:tcBorders>
              <w:top w:val="single" w:sz="4" w:space="0" w:color="000000"/>
              <w:bottom w:val="single" w:sz="24" w:space="0" w:color="000000"/>
            </w:tcBorders>
            <w:vAlign w:val="center"/>
          </w:tcPr>
          <w:p w14:paraId="6B9F6418" w14:textId="77777777" w:rsidR="00B948BC" w:rsidRPr="00DA5693" w:rsidRDefault="00B948BC" w:rsidP="00B948BC">
            <w:pPr>
              <w:jc w:val="center"/>
              <w:rPr>
                <w:color w:val="000000" w:themeColor="text1"/>
                <w:sz w:val="18"/>
                <w:szCs w:val="18"/>
              </w:rPr>
            </w:pPr>
            <w:r w:rsidRPr="00DA5693">
              <w:rPr>
                <w:color w:val="000000" w:themeColor="text1"/>
                <w:sz w:val="18"/>
                <w:szCs w:val="18"/>
              </w:rPr>
              <w:t>7(50)</w:t>
            </w:r>
          </w:p>
          <w:p w14:paraId="5CCFD372" w14:textId="77777777" w:rsidR="00B948BC" w:rsidRPr="00DA5693" w:rsidRDefault="00B948BC" w:rsidP="00B948BC">
            <w:pPr>
              <w:jc w:val="center"/>
              <w:rPr>
                <w:color w:val="000000" w:themeColor="text1"/>
                <w:sz w:val="18"/>
                <w:szCs w:val="18"/>
              </w:rPr>
            </w:pPr>
            <w:r w:rsidRPr="00DA5693">
              <w:rPr>
                <w:color w:val="000000" w:themeColor="text1"/>
                <w:sz w:val="18"/>
                <w:szCs w:val="18"/>
              </w:rPr>
              <w:t>6(42</w:t>
            </w:r>
            <w:r w:rsidR="0054539E" w:rsidRPr="00DA5693">
              <w:rPr>
                <w:color w:val="000000" w:themeColor="text1"/>
                <w:sz w:val="18"/>
                <w:szCs w:val="18"/>
              </w:rPr>
              <w:t>.</w:t>
            </w:r>
            <w:r w:rsidRPr="00DA5693">
              <w:rPr>
                <w:color w:val="000000" w:themeColor="text1"/>
                <w:sz w:val="18"/>
                <w:szCs w:val="18"/>
              </w:rPr>
              <w:t>85)</w:t>
            </w:r>
          </w:p>
          <w:p w14:paraId="2BEF977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1(7</w:t>
            </w:r>
            <w:r w:rsidR="0054539E" w:rsidRPr="00DA5693">
              <w:rPr>
                <w:b/>
                <w:color w:val="000000" w:themeColor="text1"/>
                <w:sz w:val="18"/>
                <w:szCs w:val="18"/>
              </w:rPr>
              <w:t>.</w:t>
            </w:r>
            <w:r w:rsidRPr="00DA5693">
              <w:rPr>
                <w:b/>
                <w:color w:val="000000" w:themeColor="text1"/>
                <w:sz w:val="18"/>
                <w:szCs w:val="18"/>
              </w:rPr>
              <w:t>14)</w:t>
            </w:r>
          </w:p>
        </w:tc>
        <w:tc>
          <w:tcPr>
            <w:tcW w:w="318" w:type="pct"/>
            <w:tcBorders>
              <w:top w:val="single" w:sz="4" w:space="0" w:color="000000"/>
              <w:bottom w:val="single" w:sz="24" w:space="0" w:color="000000"/>
            </w:tcBorders>
            <w:vAlign w:val="center"/>
          </w:tcPr>
          <w:p w14:paraId="21920B38" w14:textId="77777777" w:rsidR="00B948BC" w:rsidRPr="00DA5693" w:rsidRDefault="00B948BC" w:rsidP="00B948BC">
            <w:pPr>
              <w:jc w:val="center"/>
              <w:rPr>
                <w:color w:val="000000" w:themeColor="text1"/>
                <w:sz w:val="18"/>
                <w:szCs w:val="18"/>
              </w:rPr>
            </w:pPr>
            <w:r w:rsidRPr="00DA5693">
              <w:rPr>
                <w:color w:val="000000" w:themeColor="text1"/>
                <w:sz w:val="18"/>
                <w:szCs w:val="18"/>
              </w:rPr>
              <w:t>5(35</w:t>
            </w:r>
            <w:r w:rsidR="0054539E" w:rsidRPr="00DA5693">
              <w:rPr>
                <w:color w:val="000000" w:themeColor="text1"/>
                <w:sz w:val="18"/>
                <w:szCs w:val="18"/>
              </w:rPr>
              <w:t>.</w:t>
            </w:r>
            <w:r w:rsidRPr="00DA5693">
              <w:rPr>
                <w:color w:val="000000" w:themeColor="text1"/>
                <w:sz w:val="18"/>
                <w:szCs w:val="18"/>
              </w:rPr>
              <w:t>71)</w:t>
            </w:r>
          </w:p>
          <w:p w14:paraId="7AC52128"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7795F61C" w14:textId="77777777" w:rsidR="00B948BC" w:rsidRPr="00DA5693" w:rsidRDefault="00B948BC" w:rsidP="00B948BC">
            <w:pPr>
              <w:jc w:val="center"/>
              <w:rPr>
                <w:b/>
                <w:color w:val="000000" w:themeColor="text1"/>
                <w:sz w:val="18"/>
                <w:szCs w:val="18"/>
              </w:rPr>
            </w:pPr>
            <w:r w:rsidRPr="00DA5693">
              <w:rPr>
                <w:b/>
                <w:color w:val="000000" w:themeColor="text1"/>
                <w:sz w:val="18"/>
                <w:szCs w:val="18"/>
              </w:rPr>
              <w:t>9(64</w:t>
            </w:r>
            <w:r w:rsidR="0054539E" w:rsidRPr="00DA5693">
              <w:rPr>
                <w:b/>
                <w:color w:val="000000" w:themeColor="text1"/>
                <w:sz w:val="18"/>
                <w:szCs w:val="18"/>
              </w:rPr>
              <w:t>.</w:t>
            </w:r>
            <w:r w:rsidRPr="00DA5693">
              <w:rPr>
                <w:b/>
                <w:color w:val="000000" w:themeColor="text1"/>
                <w:sz w:val="18"/>
                <w:szCs w:val="18"/>
              </w:rPr>
              <w:t>28)</w:t>
            </w:r>
          </w:p>
        </w:tc>
        <w:tc>
          <w:tcPr>
            <w:tcW w:w="318" w:type="pct"/>
            <w:tcBorders>
              <w:top w:val="single" w:sz="4" w:space="0" w:color="000000"/>
              <w:bottom w:val="single" w:sz="24" w:space="0" w:color="000000"/>
            </w:tcBorders>
            <w:vAlign w:val="center"/>
          </w:tcPr>
          <w:p w14:paraId="4F0F96AB" w14:textId="77777777" w:rsidR="00B948BC" w:rsidRPr="00DA5693" w:rsidRDefault="00B948BC" w:rsidP="00B948BC">
            <w:pPr>
              <w:jc w:val="center"/>
              <w:rPr>
                <w:color w:val="000000" w:themeColor="text1"/>
                <w:sz w:val="18"/>
                <w:szCs w:val="18"/>
              </w:rPr>
            </w:pPr>
            <w:r w:rsidRPr="00DA5693">
              <w:rPr>
                <w:color w:val="000000" w:themeColor="text1"/>
                <w:sz w:val="18"/>
                <w:szCs w:val="18"/>
              </w:rPr>
              <w:t>9(64</w:t>
            </w:r>
            <w:r w:rsidR="0054539E" w:rsidRPr="00DA5693">
              <w:rPr>
                <w:color w:val="000000" w:themeColor="text1"/>
                <w:sz w:val="18"/>
                <w:szCs w:val="18"/>
              </w:rPr>
              <w:t>.</w:t>
            </w:r>
            <w:r w:rsidRPr="00DA5693">
              <w:rPr>
                <w:color w:val="000000" w:themeColor="text1"/>
                <w:sz w:val="18"/>
                <w:szCs w:val="18"/>
              </w:rPr>
              <w:t>28)</w:t>
            </w:r>
          </w:p>
          <w:p w14:paraId="2413F9C3" w14:textId="77777777" w:rsidR="00B948BC" w:rsidRPr="00DA5693" w:rsidRDefault="00B948BC" w:rsidP="00B948BC">
            <w:pPr>
              <w:jc w:val="center"/>
              <w:rPr>
                <w:color w:val="000000" w:themeColor="text1"/>
                <w:sz w:val="18"/>
                <w:szCs w:val="18"/>
              </w:rPr>
            </w:pPr>
            <w:r w:rsidRPr="00DA5693">
              <w:rPr>
                <w:color w:val="000000" w:themeColor="text1"/>
                <w:sz w:val="18"/>
                <w:szCs w:val="18"/>
              </w:rPr>
              <w:t>2(14</w:t>
            </w:r>
            <w:r w:rsidR="0054539E" w:rsidRPr="00DA5693">
              <w:rPr>
                <w:color w:val="000000" w:themeColor="text1"/>
                <w:sz w:val="18"/>
                <w:szCs w:val="18"/>
              </w:rPr>
              <w:t>.</w:t>
            </w:r>
            <w:r w:rsidRPr="00DA5693">
              <w:rPr>
                <w:color w:val="000000" w:themeColor="text1"/>
                <w:sz w:val="18"/>
                <w:szCs w:val="18"/>
              </w:rPr>
              <w:t>28)</w:t>
            </w:r>
          </w:p>
          <w:p w14:paraId="2D6166F0"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0CB6C867" w14:textId="77777777" w:rsidR="00B948BC" w:rsidRPr="00DA5693" w:rsidRDefault="00B948BC" w:rsidP="00B948BC">
            <w:pPr>
              <w:jc w:val="center"/>
              <w:rPr>
                <w:color w:val="000000" w:themeColor="text1"/>
                <w:sz w:val="18"/>
                <w:szCs w:val="18"/>
              </w:rPr>
            </w:pPr>
            <w:r w:rsidRPr="00DA5693">
              <w:rPr>
                <w:color w:val="000000" w:themeColor="text1"/>
                <w:sz w:val="18"/>
                <w:szCs w:val="18"/>
              </w:rPr>
              <w:t>11(78</w:t>
            </w:r>
            <w:r w:rsidR="0054539E" w:rsidRPr="00DA5693">
              <w:rPr>
                <w:color w:val="000000" w:themeColor="text1"/>
                <w:sz w:val="18"/>
                <w:szCs w:val="18"/>
              </w:rPr>
              <w:t>.</w:t>
            </w:r>
            <w:r w:rsidRPr="00DA5693">
              <w:rPr>
                <w:color w:val="000000" w:themeColor="text1"/>
                <w:sz w:val="18"/>
                <w:szCs w:val="18"/>
              </w:rPr>
              <w:t>57)</w:t>
            </w:r>
          </w:p>
          <w:p w14:paraId="5B32C845"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4639E964" w14:textId="77777777" w:rsidR="00B948BC" w:rsidRPr="00DA5693" w:rsidRDefault="00B948BC" w:rsidP="00B948BC">
            <w:pPr>
              <w:jc w:val="center"/>
              <w:rPr>
                <w:b/>
                <w:color w:val="000000" w:themeColor="text1"/>
                <w:sz w:val="18"/>
                <w:szCs w:val="18"/>
              </w:rPr>
            </w:pPr>
            <w:r w:rsidRPr="00DA5693">
              <w:rPr>
                <w:b/>
                <w:color w:val="000000" w:themeColor="text1"/>
                <w:sz w:val="18"/>
                <w:szCs w:val="18"/>
              </w:rPr>
              <w:t>3(21</w:t>
            </w:r>
            <w:r w:rsidR="0054539E" w:rsidRPr="00DA5693">
              <w:rPr>
                <w:b/>
                <w:color w:val="000000" w:themeColor="text1"/>
                <w:sz w:val="18"/>
                <w:szCs w:val="18"/>
              </w:rPr>
              <w:t>.</w:t>
            </w:r>
            <w:r w:rsidRPr="00DA5693">
              <w:rPr>
                <w:b/>
                <w:color w:val="000000" w:themeColor="text1"/>
                <w:sz w:val="18"/>
                <w:szCs w:val="18"/>
              </w:rPr>
              <w:t>42)</w:t>
            </w:r>
          </w:p>
        </w:tc>
        <w:tc>
          <w:tcPr>
            <w:tcW w:w="318" w:type="pct"/>
            <w:tcBorders>
              <w:top w:val="single" w:sz="4" w:space="0" w:color="000000"/>
              <w:bottom w:val="single" w:sz="24" w:space="0" w:color="000000"/>
            </w:tcBorders>
            <w:vAlign w:val="center"/>
          </w:tcPr>
          <w:p w14:paraId="36BB7181" w14:textId="77777777" w:rsidR="00B948BC" w:rsidRPr="00DA5693" w:rsidRDefault="00B948BC" w:rsidP="00B948BC">
            <w:pPr>
              <w:jc w:val="center"/>
              <w:rPr>
                <w:color w:val="000000" w:themeColor="text1"/>
                <w:sz w:val="18"/>
                <w:szCs w:val="18"/>
              </w:rPr>
            </w:pPr>
            <w:r w:rsidRPr="00DA5693">
              <w:rPr>
                <w:color w:val="000000" w:themeColor="text1"/>
                <w:sz w:val="18"/>
                <w:szCs w:val="18"/>
              </w:rPr>
              <w:t>4(528</w:t>
            </w:r>
            <w:r w:rsidR="0054539E" w:rsidRPr="00DA5693">
              <w:rPr>
                <w:color w:val="000000" w:themeColor="text1"/>
                <w:sz w:val="18"/>
                <w:szCs w:val="18"/>
              </w:rPr>
              <w:t>.</w:t>
            </w:r>
            <w:r w:rsidRPr="00DA5693">
              <w:rPr>
                <w:color w:val="000000" w:themeColor="text1"/>
                <w:sz w:val="18"/>
                <w:szCs w:val="18"/>
              </w:rPr>
              <w:t>57)</w:t>
            </w:r>
          </w:p>
          <w:p w14:paraId="4FFE22FA" w14:textId="77777777" w:rsidR="00B948BC" w:rsidRPr="00DA5693" w:rsidRDefault="00B948BC" w:rsidP="00B948BC">
            <w:pPr>
              <w:jc w:val="center"/>
              <w:rPr>
                <w:color w:val="000000" w:themeColor="text1"/>
                <w:sz w:val="18"/>
                <w:szCs w:val="18"/>
              </w:rPr>
            </w:pPr>
            <w:r w:rsidRPr="00DA5693">
              <w:rPr>
                <w:color w:val="000000" w:themeColor="text1"/>
                <w:sz w:val="18"/>
                <w:szCs w:val="18"/>
              </w:rPr>
              <w:t>2(14</w:t>
            </w:r>
            <w:r w:rsidR="0054539E" w:rsidRPr="00DA5693">
              <w:rPr>
                <w:color w:val="000000" w:themeColor="text1"/>
                <w:sz w:val="18"/>
                <w:szCs w:val="18"/>
              </w:rPr>
              <w:t>.</w:t>
            </w:r>
            <w:r w:rsidRPr="00DA5693">
              <w:rPr>
                <w:color w:val="000000" w:themeColor="text1"/>
                <w:sz w:val="18"/>
                <w:szCs w:val="18"/>
              </w:rPr>
              <w:t>28)</w:t>
            </w:r>
          </w:p>
          <w:p w14:paraId="6390A4BD" w14:textId="77777777" w:rsidR="00B948BC" w:rsidRPr="00DA5693" w:rsidRDefault="00B948BC" w:rsidP="00B948BC">
            <w:pPr>
              <w:jc w:val="center"/>
              <w:rPr>
                <w:b/>
                <w:color w:val="000000" w:themeColor="text1"/>
                <w:sz w:val="18"/>
                <w:szCs w:val="18"/>
              </w:rPr>
            </w:pPr>
            <w:r w:rsidRPr="00DA5693">
              <w:rPr>
                <w:b/>
                <w:color w:val="000000" w:themeColor="text1"/>
                <w:sz w:val="18"/>
                <w:szCs w:val="18"/>
              </w:rPr>
              <w:t>8(57</w:t>
            </w:r>
            <w:r w:rsidR="0054539E" w:rsidRPr="00DA5693">
              <w:rPr>
                <w:b/>
                <w:color w:val="000000" w:themeColor="text1"/>
                <w:sz w:val="18"/>
                <w:szCs w:val="18"/>
              </w:rPr>
              <w:t>.</w:t>
            </w:r>
            <w:r w:rsidRPr="00DA5693">
              <w:rPr>
                <w:b/>
                <w:color w:val="000000" w:themeColor="text1"/>
                <w:sz w:val="18"/>
                <w:szCs w:val="18"/>
              </w:rPr>
              <w:t>14)</w:t>
            </w:r>
          </w:p>
        </w:tc>
        <w:tc>
          <w:tcPr>
            <w:tcW w:w="305" w:type="pct"/>
            <w:tcBorders>
              <w:top w:val="single" w:sz="4" w:space="0" w:color="000000"/>
              <w:bottom w:val="single" w:sz="24" w:space="0" w:color="000000"/>
            </w:tcBorders>
            <w:vAlign w:val="center"/>
          </w:tcPr>
          <w:p w14:paraId="3F0CD149" w14:textId="77777777" w:rsidR="00B948BC" w:rsidRPr="00DA5693" w:rsidRDefault="00B948BC" w:rsidP="00B948BC">
            <w:pPr>
              <w:jc w:val="center"/>
              <w:rPr>
                <w:color w:val="000000" w:themeColor="text1"/>
                <w:sz w:val="18"/>
                <w:szCs w:val="18"/>
              </w:rPr>
            </w:pPr>
            <w:r w:rsidRPr="00DA5693">
              <w:rPr>
                <w:color w:val="000000" w:themeColor="text1"/>
                <w:sz w:val="18"/>
                <w:szCs w:val="18"/>
              </w:rPr>
              <w:t>3(21</w:t>
            </w:r>
            <w:r w:rsidR="0054539E" w:rsidRPr="00DA5693">
              <w:rPr>
                <w:color w:val="000000" w:themeColor="text1"/>
                <w:sz w:val="18"/>
                <w:szCs w:val="18"/>
              </w:rPr>
              <w:t>.</w:t>
            </w:r>
            <w:r w:rsidRPr="00DA5693">
              <w:rPr>
                <w:color w:val="000000" w:themeColor="text1"/>
                <w:sz w:val="18"/>
                <w:szCs w:val="18"/>
              </w:rPr>
              <w:t>42)</w:t>
            </w:r>
          </w:p>
          <w:p w14:paraId="69C5A333" w14:textId="77777777" w:rsidR="00B948BC" w:rsidRPr="00DA5693" w:rsidRDefault="00B948BC" w:rsidP="00B948BC">
            <w:pPr>
              <w:jc w:val="center"/>
              <w:rPr>
                <w:color w:val="000000" w:themeColor="text1"/>
                <w:sz w:val="18"/>
                <w:szCs w:val="18"/>
              </w:rPr>
            </w:pPr>
            <w:r w:rsidRPr="00DA5693">
              <w:rPr>
                <w:color w:val="000000" w:themeColor="text1"/>
                <w:sz w:val="18"/>
                <w:szCs w:val="18"/>
              </w:rPr>
              <w:t>0</w:t>
            </w:r>
          </w:p>
          <w:p w14:paraId="5E12D8E2" w14:textId="77777777" w:rsidR="00B948BC" w:rsidRPr="00DA5693" w:rsidRDefault="00B948BC" w:rsidP="00B948BC">
            <w:pPr>
              <w:ind w:left="-38"/>
              <w:jc w:val="center"/>
              <w:rPr>
                <w:b/>
                <w:color w:val="000000" w:themeColor="text1"/>
                <w:sz w:val="18"/>
                <w:szCs w:val="18"/>
              </w:rPr>
            </w:pPr>
            <w:r w:rsidRPr="00DA5693">
              <w:rPr>
                <w:b/>
                <w:color w:val="000000" w:themeColor="text1"/>
                <w:sz w:val="18"/>
                <w:szCs w:val="18"/>
              </w:rPr>
              <w:t>11(78</w:t>
            </w:r>
            <w:r w:rsidR="0054539E" w:rsidRPr="00DA5693">
              <w:rPr>
                <w:b/>
                <w:color w:val="000000" w:themeColor="text1"/>
                <w:sz w:val="18"/>
                <w:szCs w:val="18"/>
              </w:rPr>
              <w:t>.</w:t>
            </w:r>
            <w:r w:rsidRPr="00DA5693">
              <w:rPr>
                <w:b/>
                <w:color w:val="000000" w:themeColor="text1"/>
                <w:sz w:val="18"/>
                <w:szCs w:val="18"/>
              </w:rPr>
              <w:t>57)</w:t>
            </w:r>
          </w:p>
        </w:tc>
      </w:tr>
    </w:tbl>
    <w:p w14:paraId="57ED69DA" w14:textId="77777777" w:rsidR="00C67020" w:rsidRPr="00DA5693" w:rsidRDefault="00C67020" w:rsidP="00DA5693">
      <w:pPr>
        <w:tabs>
          <w:tab w:val="center" w:pos="3341"/>
          <w:tab w:val="center" w:pos="5689"/>
          <w:tab w:val="center" w:pos="7206"/>
          <w:tab w:val="center" w:pos="8584"/>
        </w:tabs>
        <w:spacing w:after="21" w:line="265" w:lineRule="auto"/>
        <w:ind w:left="-993"/>
        <w:jc w:val="both"/>
        <w:rPr>
          <w:rFonts w:ascii="Times New Roman" w:hAnsi="Times New Roman" w:cs="Times New Roman"/>
          <w:sz w:val="4"/>
          <w:szCs w:val="6"/>
        </w:rPr>
      </w:pPr>
    </w:p>
    <w:p w14:paraId="4A02B68C" w14:textId="77777777" w:rsidR="004F6E4B" w:rsidRDefault="00C67020" w:rsidP="00DA5693">
      <w:pPr>
        <w:tabs>
          <w:tab w:val="center" w:pos="3341"/>
          <w:tab w:val="center" w:pos="5689"/>
          <w:tab w:val="center" w:pos="7206"/>
          <w:tab w:val="center" w:pos="8584"/>
        </w:tabs>
        <w:spacing w:after="21" w:line="265" w:lineRule="auto"/>
        <w:ind w:left="-993"/>
        <w:jc w:val="both"/>
      </w:pPr>
      <w:r>
        <w:rPr>
          <w:rFonts w:ascii="Times New Roman" w:hAnsi="Times New Roman" w:cs="Times New Roman"/>
          <w:sz w:val="20"/>
        </w:rPr>
        <w:lastRenderedPageBreak/>
        <w:t xml:space="preserve">S: sensitive; </w:t>
      </w:r>
      <w:proofErr w:type="gramStart"/>
      <w:r>
        <w:rPr>
          <w:rFonts w:ascii="Times New Roman" w:hAnsi="Times New Roman" w:cs="Times New Roman"/>
          <w:sz w:val="20"/>
        </w:rPr>
        <w:t>I :</w:t>
      </w:r>
      <w:proofErr w:type="gramEnd"/>
      <w:r>
        <w:rPr>
          <w:rFonts w:ascii="Times New Roman" w:hAnsi="Times New Roman" w:cs="Times New Roman"/>
          <w:sz w:val="20"/>
        </w:rPr>
        <w:t xml:space="preserve"> intermediate</w:t>
      </w:r>
      <w:r w:rsidRPr="003D4CA4">
        <w:rPr>
          <w:rFonts w:ascii="Times New Roman" w:hAnsi="Times New Roman" w:cs="Times New Roman"/>
          <w:sz w:val="20"/>
        </w:rPr>
        <w:t xml:space="preserve">; R: resistant; AMC : </w:t>
      </w:r>
      <w:proofErr w:type="spellStart"/>
      <w:r w:rsidRPr="003D4CA4">
        <w:rPr>
          <w:rFonts w:ascii="Times New Roman" w:hAnsi="Times New Roman" w:cs="Times New Roman"/>
          <w:sz w:val="20"/>
        </w:rPr>
        <w:t>amoxicilline</w:t>
      </w:r>
      <w:proofErr w:type="spellEnd"/>
      <w:r w:rsidRPr="003D4CA4">
        <w:rPr>
          <w:rFonts w:ascii="Times New Roman" w:hAnsi="Times New Roman" w:cs="Times New Roman"/>
          <w:sz w:val="20"/>
        </w:rPr>
        <w:t>+</w:t>
      </w:r>
      <w:r>
        <w:rPr>
          <w:rFonts w:ascii="Times New Roman" w:hAnsi="Times New Roman" w:cs="Times New Roman"/>
          <w:sz w:val="20"/>
        </w:rPr>
        <w:t xml:space="preserve"> clavulanic</w:t>
      </w:r>
      <w:r w:rsidRPr="003D4CA4">
        <w:rPr>
          <w:rFonts w:ascii="Times New Roman" w:hAnsi="Times New Roman" w:cs="Times New Roman"/>
          <w:sz w:val="20"/>
        </w:rPr>
        <w:t xml:space="preserve"> </w:t>
      </w:r>
      <w:r>
        <w:rPr>
          <w:rFonts w:ascii="Times New Roman" w:hAnsi="Times New Roman" w:cs="Times New Roman"/>
          <w:sz w:val="20"/>
        </w:rPr>
        <w:t>acid; AMK : amikacin</w:t>
      </w:r>
      <w:r w:rsidRPr="003D4CA4">
        <w:rPr>
          <w:rFonts w:ascii="Times New Roman" w:hAnsi="Times New Roman" w:cs="Times New Roman"/>
          <w:sz w:val="20"/>
        </w:rPr>
        <w:t xml:space="preserve">; CTX : </w:t>
      </w:r>
      <w:r>
        <w:rPr>
          <w:rFonts w:ascii="Times New Roman" w:hAnsi="Times New Roman" w:cs="Times New Roman"/>
          <w:sz w:val="20"/>
        </w:rPr>
        <w:t>cefotaxime ; LEV : levofloxacin</w:t>
      </w:r>
      <w:r w:rsidRPr="003D4CA4">
        <w:rPr>
          <w:rFonts w:ascii="Times New Roman" w:hAnsi="Times New Roman" w:cs="Times New Roman"/>
          <w:sz w:val="20"/>
        </w:rPr>
        <w:t>; TE : tetracycline; AZM</w:t>
      </w:r>
      <w:r>
        <w:rPr>
          <w:rFonts w:ascii="Times New Roman" w:hAnsi="Times New Roman" w:cs="Times New Roman"/>
          <w:sz w:val="20"/>
        </w:rPr>
        <w:t xml:space="preserve"> : </w:t>
      </w:r>
      <w:proofErr w:type="spellStart"/>
      <w:r>
        <w:rPr>
          <w:rFonts w:ascii="Times New Roman" w:hAnsi="Times New Roman" w:cs="Times New Roman"/>
          <w:sz w:val="20"/>
        </w:rPr>
        <w:t>azythromycin</w:t>
      </w:r>
      <w:proofErr w:type="spellEnd"/>
      <w:r>
        <w:rPr>
          <w:rFonts w:ascii="Times New Roman" w:hAnsi="Times New Roman" w:cs="Times New Roman"/>
          <w:sz w:val="20"/>
        </w:rPr>
        <w:t xml:space="preserve"> ; IMP : imipenem; TOB : tobramycin</w:t>
      </w:r>
      <w:r w:rsidRPr="003D4CA4">
        <w:rPr>
          <w:rFonts w:ascii="Times New Roman" w:hAnsi="Times New Roman" w:cs="Times New Roman"/>
          <w:sz w:val="20"/>
        </w:rPr>
        <w:t>; CIP: ciprofloxacin; CN: gentamicin; CRO : ceftriaxone; OFX : ofloxacin; CAZ: ceftazidime</w:t>
      </w:r>
    </w:p>
    <w:p w14:paraId="6521F758" w14:textId="77777777" w:rsidR="003D4CA4" w:rsidRDefault="003D4CA4" w:rsidP="00DA5693">
      <w:pPr>
        <w:tabs>
          <w:tab w:val="center" w:pos="3341"/>
          <w:tab w:val="center" w:pos="5689"/>
          <w:tab w:val="center" w:pos="7206"/>
          <w:tab w:val="center" w:pos="8584"/>
        </w:tabs>
        <w:spacing w:after="21" w:line="265" w:lineRule="auto"/>
        <w:ind w:left="-993"/>
        <w:jc w:val="both"/>
        <w:sectPr w:rsidR="003D4CA4" w:rsidSect="00A14995">
          <w:pgSz w:w="15840" w:h="12240" w:orient="landscape"/>
          <w:pgMar w:top="1417" w:right="247" w:bottom="1417" w:left="1417" w:header="708" w:footer="708" w:gutter="0"/>
          <w:cols w:space="708"/>
          <w:docGrid w:linePitch="360"/>
        </w:sectPr>
      </w:pPr>
    </w:p>
    <w:p w14:paraId="631AC6AE" w14:textId="2F1C9FE3" w:rsidR="00B22103" w:rsidRPr="00102E66" w:rsidRDefault="000E0F43" w:rsidP="00102E66">
      <w:pPr>
        <w:pStyle w:val="NoSpacing"/>
        <w:rPr>
          <w:b/>
        </w:rPr>
      </w:pPr>
      <w:r w:rsidRPr="00102E66">
        <w:rPr>
          <w:b/>
        </w:rPr>
        <w:lastRenderedPageBreak/>
        <w:t xml:space="preserve">3.5. Frequency </w:t>
      </w:r>
      <w:r w:rsidR="00B22103" w:rsidRPr="00102E66">
        <w:rPr>
          <w:b/>
        </w:rPr>
        <w:t>of multidrug resistant isolates</w:t>
      </w:r>
    </w:p>
    <w:p w14:paraId="1544E7A4" w14:textId="25768C58" w:rsidR="00EA3564" w:rsidRPr="00102E66" w:rsidRDefault="004F6E4B" w:rsidP="002310BF">
      <w:pPr>
        <w:tabs>
          <w:tab w:val="center" w:pos="3341"/>
          <w:tab w:val="center" w:pos="5689"/>
          <w:tab w:val="center" w:pos="7206"/>
          <w:tab w:val="center" w:pos="8584"/>
        </w:tabs>
        <w:spacing w:after="0" w:line="480" w:lineRule="auto"/>
        <w:jc w:val="both"/>
        <w:rPr>
          <w:rFonts w:ascii="Arial" w:hAnsi="Arial" w:cs="Arial"/>
          <w:sz w:val="20"/>
          <w:szCs w:val="20"/>
        </w:rPr>
      </w:pPr>
      <w:r w:rsidRPr="00102E66">
        <w:rPr>
          <w:rFonts w:ascii="Arial" w:hAnsi="Arial" w:cs="Arial"/>
          <w:sz w:val="20"/>
          <w:szCs w:val="20"/>
        </w:rPr>
        <w:t>Of the total isolates</w:t>
      </w:r>
      <w:r w:rsidR="00CB174E" w:rsidRPr="00102E66">
        <w:rPr>
          <w:rFonts w:ascii="Arial" w:hAnsi="Arial" w:cs="Arial"/>
          <w:sz w:val="20"/>
          <w:szCs w:val="20"/>
        </w:rPr>
        <w:t xml:space="preserve">, </w:t>
      </w:r>
      <w:r w:rsidR="001F4E99" w:rsidRPr="00102E66">
        <w:rPr>
          <w:rFonts w:ascii="Arial" w:hAnsi="Arial" w:cs="Arial"/>
          <w:sz w:val="20"/>
          <w:szCs w:val="20"/>
        </w:rPr>
        <w:t>38.37% (33/86)</w:t>
      </w:r>
      <w:r w:rsidR="00095B81" w:rsidRPr="00102E66">
        <w:rPr>
          <w:rFonts w:ascii="Arial" w:hAnsi="Arial" w:cs="Arial"/>
          <w:sz w:val="20"/>
          <w:szCs w:val="20"/>
        </w:rPr>
        <w:t xml:space="preserve"> were multi-drug resistant</w:t>
      </w:r>
      <w:r w:rsidR="000E0F43" w:rsidRPr="00102E66">
        <w:rPr>
          <w:rFonts w:ascii="Arial" w:hAnsi="Arial" w:cs="Arial"/>
          <w:sz w:val="20"/>
          <w:szCs w:val="20"/>
        </w:rPr>
        <w:t xml:space="preserve"> (MDR)</w:t>
      </w:r>
      <w:r w:rsidR="00095B81" w:rsidRPr="00102E66">
        <w:rPr>
          <w:rFonts w:ascii="Arial" w:hAnsi="Arial" w:cs="Arial"/>
          <w:sz w:val="20"/>
          <w:szCs w:val="20"/>
        </w:rPr>
        <w:t xml:space="preserve">. </w:t>
      </w:r>
      <w:r w:rsidR="00095B81" w:rsidRPr="00102E66">
        <w:rPr>
          <w:rFonts w:ascii="Arial" w:hAnsi="Arial" w:cs="Arial"/>
          <w:i/>
          <w:sz w:val="20"/>
          <w:szCs w:val="20"/>
        </w:rPr>
        <w:t xml:space="preserve">Staphylococcus </w:t>
      </w:r>
      <w:r w:rsidR="0032501F" w:rsidRPr="00102E66">
        <w:rPr>
          <w:rFonts w:ascii="Arial" w:hAnsi="Arial" w:cs="Arial"/>
          <w:sz w:val="20"/>
          <w:szCs w:val="20"/>
        </w:rPr>
        <w:t xml:space="preserve">spp. (10.46%), </w:t>
      </w:r>
      <w:proofErr w:type="spellStart"/>
      <w:r w:rsidR="00095B81" w:rsidRPr="00102E66">
        <w:rPr>
          <w:rFonts w:ascii="Arial" w:hAnsi="Arial" w:cs="Arial"/>
          <w:i/>
          <w:sz w:val="20"/>
          <w:szCs w:val="20"/>
        </w:rPr>
        <w:t>Klebsiela</w:t>
      </w:r>
      <w:proofErr w:type="spellEnd"/>
      <w:r w:rsidR="00095B81" w:rsidRPr="00102E66">
        <w:rPr>
          <w:rFonts w:ascii="Arial" w:hAnsi="Arial" w:cs="Arial"/>
          <w:i/>
          <w:sz w:val="20"/>
          <w:szCs w:val="20"/>
        </w:rPr>
        <w:t xml:space="preserve"> </w:t>
      </w:r>
      <w:r w:rsidR="00095B81" w:rsidRPr="00102E66">
        <w:rPr>
          <w:rFonts w:ascii="Arial" w:hAnsi="Arial" w:cs="Arial"/>
          <w:sz w:val="20"/>
          <w:szCs w:val="20"/>
        </w:rPr>
        <w:t xml:space="preserve">spp. (9.30%) and </w:t>
      </w:r>
      <w:r w:rsidR="00095B81" w:rsidRPr="00102E66">
        <w:rPr>
          <w:rFonts w:ascii="Arial" w:hAnsi="Arial" w:cs="Arial"/>
          <w:i/>
          <w:sz w:val="20"/>
          <w:szCs w:val="20"/>
        </w:rPr>
        <w:t xml:space="preserve">E. coli </w:t>
      </w:r>
      <w:r w:rsidR="00095B81" w:rsidRPr="00102E66">
        <w:rPr>
          <w:rFonts w:ascii="Arial" w:hAnsi="Arial" w:cs="Arial"/>
          <w:sz w:val="20"/>
          <w:szCs w:val="20"/>
        </w:rPr>
        <w:t>(8.14%) were the most MDR isolates</w:t>
      </w:r>
      <w:r w:rsidRPr="00102E66">
        <w:rPr>
          <w:rFonts w:ascii="Arial" w:hAnsi="Arial" w:cs="Arial"/>
          <w:sz w:val="20"/>
          <w:szCs w:val="20"/>
        </w:rPr>
        <w:t xml:space="preserve"> </w:t>
      </w:r>
      <w:r w:rsidR="0032501F" w:rsidRPr="00102E66">
        <w:rPr>
          <w:rFonts w:ascii="Arial" w:hAnsi="Arial" w:cs="Arial"/>
          <w:sz w:val="20"/>
          <w:szCs w:val="20"/>
        </w:rPr>
        <w:t>(</w:t>
      </w:r>
      <w:r w:rsidR="0032501F" w:rsidRPr="00102E66">
        <w:rPr>
          <w:rFonts w:ascii="Arial" w:hAnsi="Arial" w:cs="Arial"/>
          <w:color w:val="0070C0"/>
          <w:sz w:val="20"/>
          <w:szCs w:val="20"/>
        </w:rPr>
        <w:t>F</w:t>
      </w:r>
      <w:r w:rsidRPr="00102E66">
        <w:rPr>
          <w:rFonts w:ascii="Arial" w:hAnsi="Arial" w:cs="Arial"/>
          <w:color w:val="0070C0"/>
          <w:sz w:val="20"/>
          <w:szCs w:val="20"/>
        </w:rPr>
        <w:t>igure 3</w:t>
      </w:r>
      <w:r w:rsidR="0032501F" w:rsidRPr="00102E66">
        <w:rPr>
          <w:rFonts w:ascii="Arial" w:hAnsi="Arial" w:cs="Arial"/>
          <w:sz w:val="20"/>
          <w:szCs w:val="20"/>
        </w:rPr>
        <w:t>)</w:t>
      </w:r>
      <w:r w:rsidRPr="00102E66">
        <w:rPr>
          <w:rFonts w:ascii="Arial" w:hAnsi="Arial" w:cs="Arial"/>
          <w:sz w:val="20"/>
          <w:szCs w:val="20"/>
        </w:rPr>
        <w:t>.</w:t>
      </w:r>
    </w:p>
    <w:p w14:paraId="0F773DAC" w14:textId="3BEC3A10" w:rsidR="00DA5693" w:rsidRPr="00102E66" w:rsidRDefault="00EA3564" w:rsidP="00CF7E3A">
      <w:pPr>
        <w:tabs>
          <w:tab w:val="center" w:pos="3341"/>
          <w:tab w:val="center" w:pos="5689"/>
          <w:tab w:val="center" w:pos="7206"/>
          <w:tab w:val="center" w:pos="8584"/>
        </w:tabs>
        <w:spacing w:after="0" w:line="480" w:lineRule="auto"/>
        <w:jc w:val="both"/>
        <w:rPr>
          <w:rFonts w:ascii="Arial" w:hAnsi="Arial" w:cs="Arial"/>
          <w:sz w:val="20"/>
          <w:szCs w:val="20"/>
        </w:rPr>
      </w:pPr>
      <w:r w:rsidRPr="00102E66">
        <w:rPr>
          <w:rFonts w:ascii="Arial" w:hAnsi="Arial" w:cs="Arial"/>
          <w:noProof/>
          <w:sz w:val="20"/>
          <w:szCs w:val="20"/>
          <w:lang w:val="fr-FR" w:eastAsia="fr-FR"/>
        </w:rPr>
        <w:drawing>
          <wp:inline distT="0" distB="0" distL="0" distR="0" wp14:anchorId="294413AD" wp14:editId="4EC17F46">
            <wp:extent cx="5990729" cy="2804160"/>
            <wp:effectExtent l="0" t="0" r="10160" b="15240"/>
            <wp:docPr id="1805381781" name="Graphiqu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5A0B6" w14:textId="38E43721" w:rsidR="004F6E4B" w:rsidRPr="00102E66" w:rsidRDefault="00ED4D2B" w:rsidP="00DA5693">
      <w:pPr>
        <w:spacing w:after="0" w:line="360" w:lineRule="auto"/>
        <w:jc w:val="center"/>
        <w:rPr>
          <w:rFonts w:ascii="Arial" w:hAnsi="Arial" w:cs="Arial"/>
          <w:sz w:val="20"/>
          <w:szCs w:val="20"/>
        </w:rPr>
      </w:pPr>
      <w:r w:rsidRPr="00102E66">
        <w:rPr>
          <w:rFonts w:ascii="Arial" w:hAnsi="Arial" w:cs="Arial"/>
          <w:b/>
          <w:sz w:val="20"/>
          <w:szCs w:val="20"/>
        </w:rPr>
        <w:t>Figure 3</w:t>
      </w:r>
      <w:r w:rsidR="007D63D3" w:rsidRPr="00102E66">
        <w:rPr>
          <w:rFonts w:ascii="Arial" w:hAnsi="Arial" w:cs="Arial"/>
          <w:b/>
          <w:sz w:val="20"/>
          <w:szCs w:val="20"/>
        </w:rPr>
        <w:t>.</w:t>
      </w:r>
      <w:r w:rsidRPr="00102E66">
        <w:rPr>
          <w:rFonts w:ascii="Arial" w:hAnsi="Arial" w:cs="Arial"/>
          <w:sz w:val="20"/>
          <w:szCs w:val="20"/>
        </w:rPr>
        <w:t xml:space="preserve"> Frequency of MDR </w:t>
      </w:r>
      <w:proofErr w:type="spellStart"/>
      <w:r w:rsidRPr="00102E66">
        <w:rPr>
          <w:rFonts w:ascii="Arial" w:hAnsi="Arial" w:cs="Arial"/>
          <w:sz w:val="20"/>
          <w:szCs w:val="20"/>
        </w:rPr>
        <w:t>uropathogens</w:t>
      </w:r>
      <w:proofErr w:type="spellEnd"/>
      <w:r w:rsidR="007D63D3" w:rsidRPr="00102E66">
        <w:rPr>
          <w:rFonts w:ascii="Arial" w:hAnsi="Arial" w:cs="Arial"/>
          <w:sz w:val="20"/>
          <w:szCs w:val="20"/>
        </w:rPr>
        <w:t xml:space="preserve"> in the study </w:t>
      </w:r>
      <w:r w:rsidR="000E0F43" w:rsidRPr="00102E66">
        <w:rPr>
          <w:rFonts w:ascii="Arial" w:hAnsi="Arial" w:cs="Arial"/>
          <w:sz w:val="20"/>
          <w:szCs w:val="20"/>
        </w:rPr>
        <w:t>bacteria</w:t>
      </w:r>
    </w:p>
    <w:p w14:paraId="5D734CEB" w14:textId="77777777" w:rsidR="00E21E71" w:rsidRPr="001938BC" w:rsidRDefault="00E21E71" w:rsidP="00C67020">
      <w:pPr>
        <w:spacing w:after="0" w:line="480" w:lineRule="auto"/>
        <w:jc w:val="both"/>
        <w:rPr>
          <w:rFonts w:ascii="Arial" w:hAnsi="Arial" w:cs="Arial"/>
          <w:b/>
        </w:rPr>
      </w:pPr>
    </w:p>
    <w:p w14:paraId="2B5AB54E" w14:textId="2DC19615" w:rsidR="00583591" w:rsidRPr="001938BC" w:rsidRDefault="000E0F43" w:rsidP="00102E66">
      <w:pPr>
        <w:pStyle w:val="NoSpacing"/>
        <w:rPr>
          <w:rFonts w:ascii="Arial" w:hAnsi="Arial" w:cs="Arial"/>
          <w:b/>
        </w:rPr>
      </w:pPr>
      <w:r w:rsidRPr="001938BC">
        <w:rPr>
          <w:rFonts w:ascii="Arial" w:hAnsi="Arial" w:cs="Arial"/>
          <w:b/>
        </w:rPr>
        <w:t>3</w:t>
      </w:r>
      <w:r w:rsidRPr="001938BC">
        <w:rPr>
          <w:rFonts w:ascii="Arial" w:hAnsi="Arial" w:cs="Arial"/>
        </w:rPr>
        <w:t>.</w:t>
      </w:r>
      <w:r w:rsidRPr="001938BC">
        <w:rPr>
          <w:rFonts w:ascii="Arial" w:hAnsi="Arial" w:cs="Arial"/>
          <w:b/>
        </w:rPr>
        <w:t>6. R</w:t>
      </w:r>
      <w:r w:rsidR="00583591" w:rsidRPr="001938BC">
        <w:rPr>
          <w:rFonts w:ascii="Arial" w:hAnsi="Arial" w:cs="Arial"/>
          <w:b/>
        </w:rPr>
        <w:t xml:space="preserve">isk factors associated with UTI infections </w:t>
      </w:r>
    </w:p>
    <w:p w14:paraId="51EA3452" w14:textId="41222D35" w:rsidR="00D365BC" w:rsidRPr="00102E66" w:rsidRDefault="00B27F95" w:rsidP="00D365BC">
      <w:pPr>
        <w:spacing w:after="0" w:line="360" w:lineRule="auto"/>
        <w:jc w:val="both"/>
        <w:rPr>
          <w:rFonts w:ascii="Arial" w:hAnsi="Arial" w:cs="Arial"/>
          <w:color w:val="000000"/>
          <w:sz w:val="20"/>
          <w:szCs w:val="20"/>
        </w:rPr>
      </w:pPr>
      <w:r w:rsidRPr="00102E66">
        <w:rPr>
          <w:rFonts w:ascii="Arial" w:hAnsi="Arial" w:cs="Arial"/>
          <w:sz w:val="20"/>
          <w:szCs w:val="20"/>
        </w:rPr>
        <w:t>Potential risk factor</w:t>
      </w:r>
      <w:r w:rsidR="000E0F43" w:rsidRPr="00102E66">
        <w:rPr>
          <w:rFonts w:ascii="Arial" w:hAnsi="Arial" w:cs="Arial"/>
          <w:sz w:val="20"/>
          <w:szCs w:val="20"/>
        </w:rPr>
        <w:t>s</w:t>
      </w:r>
      <w:r w:rsidRPr="00102E66">
        <w:rPr>
          <w:rFonts w:ascii="Arial" w:hAnsi="Arial" w:cs="Arial"/>
          <w:sz w:val="20"/>
          <w:szCs w:val="20"/>
        </w:rPr>
        <w:t xml:space="preserve"> of UTI such as: age (OR=3.355, 95%CI of </w:t>
      </w:r>
      <w:r w:rsidRPr="00102E66">
        <w:rPr>
          <w:rFonts w:ascii="Arial" w:hAnsi="Arial" w:cs="Arial"/>
          <w:color w:val="000000"/>
          <w:sz w:val="20"/>
          <w:szCs w:val="20"/>
        </w:rPr>
        <w:t>0.292-38.541), c</w:t>
      </w:r>
      <w:r w:rsidR="0042616F" w:rsidRPr="00102E66">
        <w:rPr>
          <w:rFonts w:ascii="Arial" w:hAnsi="Arial" w:cs="Arial"/>
          <w:color w:val="000000"/>
          <w:sz w:val="20"/>
          <w:szCs w:val="20"/>
        </w:rPr>
        <w:t xml:space="preserve">loudy/foul-smell urine </w:t>
      </w:r>
      <w:r w:rsidRPr="00102E66">
        <w:rPr>
          <w:rFonts w:ascii="Arial" w:hAnsi="Arial" w:cs="Arial"/>
          <w:sz w:val="20"/>
          <w:szCs w:val="20"/>
        </w:rPr>
        <w:t>(OR=</w:t>
      </w:r>
      <w:r w:rsidRPr="00102E66">
        <w:rPr>
          <w:rFonts w:ascii="Arial" w:hAnsi="Arial" w:cs="Arial"/>
          <w:color w:val="000000"/>
          <w:sz w:val="20"/>
          <w:szCs w:val="20"/>
        </w:rPr>
        <w:t xml:space="preserve">1.690, </w:t>
      </w:r>
      <w:r w:rsidRPr="00102E66">
        <w:rPr>
          <w:rFonts w:ascii="Arial" w:hAnsi="Arial" w:cs="Arial"/>
          <w:sz w:val="20"/>
          <w:szCs w:val="20"/>
        </w:rPr>
        <w:t xml:space="preserve">95%CI of </w:t>
      </w:r>
      <w:r w:rsidRPr="00102E66">
        <w:rPr>
          <w:rFonts w:ascii="Arial" w:hAnsi="Arial" w:cs="Arial"/>
          <w:color w:val="000000"/>
          <w:sz w:val="20"/>
          <w:szCs w:val="20"/>
        </w:rPr>
        <w:t xml:space="preserve">0.392-7.276), </w:t>
      </w:r>
      <w:r w:rsidR="00D365BC" w:rsidRPr="00102E66">
        <w:rPr>
          <w:rFonts w:ascii="Arial" w:hAnsi="Arial" w:cs="Arial"/>
          <w:color w:val="000000"/>
          <w:sz w:val="20"/>
          <w:szCs w:val="20"/>
        </w:rPr>
        <w:t>s</w:t>
      </w:r>
      <w:r w:rsidRPr="00102E66">
        <w:rPr>
          <w:rFonts w:ascii="Arial" w:hAnsi="Arial" w:cs="Arial"/>
          <w:color w:val="000000"/>
          <w:sz w:val="20"/>
          <w:szCs w:val="20"/>
        </w:rPr>
        <w:t xml:space="preserve">ensation to frequently urinate </w:t>
      </w:r>
      <w:r w:rsidRPr="00102E66">
        <w:rPr>
          <w:rFonts w:ascii="Arial" w:hAnsi="Arial" w:cs="Arial"/>
          <w:sz w:val="20"/>
          <w:szCs w:val="20"/>
        </w:rPr>
        <w:t>(OR=</w:t>
      </w:r>
      <w:r w:rsidRPr="00102E66">
        <w:rPr>
          <w:rFonts w:ascii="Arial" w:hAnsi="Arial" w:cs="Arial"/>
          <w:color w:val="000000"/>
          <w:sz w:val="20"/>
          <w:szCs w:val="20"/>
        </w:rPr>
        <w:t xml:space="preserve">1.158, 95%CI of 0.392-3.415), </w:t>
      </w:r>
      <w:r w:rsidR="00D365BC" w:rsidRPr="00102E66">
        <w:rPr>
          <w:rFonts w:ascii="Arial" w:hAnsi="Arial" w:cs="Arial"/>
          <w:color w:val="000000"/>
          <w:sz w:val="20"/>
          <w:szCs w:val="20"/>
        </w:rPr>
        <w:t xml:space="preserve">general alteration </w:t>
      </w:r>
      <w:r w:rsidR="00D365BC" w:rsidRPr="00102E66">
        <w:rPr>
          <w:rFonts w:ascii="Arial" w:hAnsi="Arial" w:cs="Arial"/>
          <w:sz w:val="20"/>
          <w:szCs w:val="20"/>
        </w:rPr>
        <w:t>(OR=</w:t>
      </w:r>
      <w:r w:rsidR="00D365BC" w:rsidRPr="00102E66">
        <w:rPr>
          <w:rFonts w:ascii="Arial" w:hAnsi="Arial" w:cs="Arial"/>
          <w:color w:val="000000"/>
          <w:sz w:val="20"/>
          <w:szCs w:val="20"/>
        </w:rPr>
        <w:t>2.464, 95%CI of 0.817-7.434), fever episode</w:t>
      </w:r>
      <w:r w:rsidR="00D365BC" w:rsidRPr="00102E66">
        <w:rPr>
          <w:rFonts w:ascii="Arial" w:hAnsi="Arial" w:cs="Arial"/>
          <w:sz w:val="20"/>
          <w:szCs w:val="20"/>
        </w:rPr>
        <w:t>(OR=</w:t>
      </w:r>
      <w:r w:rsidR="00D365BC" w:rsidRPr="00102E66">
        <w:rPr>
          <w:rFonts w:ascii="Arial" w:hAnsi="Arial" w:cs="Arial"/>
          <w:color w:val="000000"/>
          <w:sz w:val="20"/>
          <w:szCs w:val="20"/>
        </w:rPr>
        <w:t xml:space="preserve">3.216, 95%CI of 1.259-8.216), douching with detergent </w:t>
      </w:r>
      <w:r w:rsidR="00D365BC" w:rsidRPr="00102E66">
        <w:rPr>
          <w:rFonts w:ascii="Arial" w:hAnsi="Arial" w:cs="Arial"/>
          <w:sz w:val="20"/>
          <w:szCs w:val="20"/>
        </w:rPr>
        <w:t>(OR=</w:t>
      </w:r>
      <w:r w:rsidR="00D365BC" w:rsidRPr="00102E66">
        <w:rPr>
          <w:rFonts w:ascii="Arial" w:hAnsi="Arial" w:cs="Arial"/>
          <w:color w:val="000000"/>
          <w:sz w:val="20"/>
          <w:szCs w:val="20"/>
        </w:rPr>
        <w:t xml:space="preserve">5.326, 95%CI of 1.509-18.794), </w:t>
      </w:r>
      <w:r w:rsidR="000E0F43" w:rsidRPr="00102E66">
        <w:rPr>
          <w:rFonts w:ascii="Arial" w:hAnsi="Arial" w:cs="Arial"/>
          <w:color w:val="000000"/>
          <w:sz w:val="20"/>
          <w:szCs w:val="20"/>
        </w:rPr>
        <w:t xml:space="preserve">previous </w:t>
      </w:r>
      <w:r w:rsidR="00D365BC" w:rsidRPr="00102E66">
        <w:rPr>
          <w:rFonts w:ascii="Arial" w:hAnsi="Arial" w:cs="Arial"/>
          <w:color w:val="000000"/>
          <w:sz w:val="20"/>
          <w:szCs w:val="20"/>
        </w:rPr>
        <w:t xml:space="preserve">history of UTI </w:t>
      </w:r>
      <w:r w:rsidR="00D365BC" w:rsidRPr="00102E66">
        <w:rPr>
          <w:rFonts w:ascii="Arial" w:hAnsi="Arial" w:cs="Arial"/>
          <w:sz w:val="20"/>
          <w:szCs w:val="20"/>
        </w:rPr>
        <w:t>(OR=</w:t>
      </w:r>
      <w:r w:rsidR="00D365BC" w:rsidRPr="00102E66">
        <w:rPr>
          <w:rFonts w:ascii="Arial" w:hAnsi="Arial" w:cs="Arial"/>
          <w:color w:val="000000"/>
          <w:sz w:val="20"/>
          <w:szCs w:val="20"/>
        </w:rPr>
        <w:t xml:space="preserve">1.389, 95%CI of 0.454-4.250), interruption of  antibiotic treatment following previous UTI </w:t>
      </w:r>
      <w:r w:rsidR="00D365BC" w:rsidRPr="00102E66">
        <w:rPr>
          <w:rFonts w:ascii="Arial" w:hAnsi="Arial" w:cs="Arial"/>
          <w:sz w:val="20"/>
          <w:szCs w:val="20"/>
        </w:rPr>
        <w:t>(OR=</w:t>
      </w:r>
      <w:r w:rsidR="00D365BC" w:rsidRPr="00102E66">
        <w:rPr>
          <w:rFonts w:ascii="Arial" w:hAnsi="Arial" w:cs="Arial"/>
          <w:color w:val="000000"/>
          <w:sz w:val="20"/>
          <w:szCs w:val="20"/>
        </w:rPr>
        <w:t>9.167, 95%CI of 1.147-73.239)</w:t>
      </w:r>
      <w:r w:rsidR="009867EE" w:rsidRPr="00102E66">
        <w:rPr>
          <w:rFonts w:ascii="Arial" w:hAnsi="Arial" w:cs="Arial"/>
          <w:color w:val="000000"/>
          <w:sz w:val="20"/>
          <w:szCs w:val="20"/>
        </w:rPr>
        <w:t>,</w:t>
      </w:r>
      <w:r w:rsidR="00D365BC" w:rsidRPr="00102E66">
        <w:rPr>
          <w:rFonts w:ascii="Arial" w:hAnsi="Arial" w:cs="Arial"/>
          <w:color w:val="000000"/>
          <w:sz w:val="20"/>
          <w:szCs w:val="20"/>
        </w:rPr>
        <w:t xml:space="preserve"> and used of oral contraceptives (</w:t>
      </w:r>
      <w:r w:rsidR="00D365BC" w:rsidRPr="00102E66">
        <w:rPr>
          <w:rFonts w:ascii="Arial" w:hAnsi="Arial" w:cs="Arial"/>
          <w:sz w:val="20"/>
          <w:szCs w:val="20"/>
        </w:rPr>
        <w:t>OR=</w:t>
      </w:r>
      <w:r w:rsidR="00D365BC" w:rsidRPr="00102E66">
        <w:rPr>
          <w:rFonts w:ascii="Arial" w:hAnsi="Arial" w:cs="Arial"/>
          <w:color w:val="000000"/>
          <w:sz w:val="20"/>
          <w:szCs w:val="20"/>
        </w:rPr>
        <w:t>4.500, 95%CI of 1.002-20.209)</w:t>
      </w:r>
      <w:r w:rsidR="009867EE" w:rsidRPr="00102E66">
        <w:rPr>
          <w:rFonts w:ascii="Arial" w:hAnsi="Arial" w:cs="Arial"/>
          <w:color w:val="000000"/>
          <w:sz w:val="20"/>
          <w:szCs w:val="20"/>
        </w:rPr>
        <w:t xml:space="preserve"> and </w:t>
      </w:r>
      <w:r w:rsidR="000E0F43" w:rsidRPr="00102E66">
        <w:rPr>
          <w:rFonts w:ascii="Arial" w:hAnsi="Arial" w:cs="Arial"/>
          <w:color w:val="000000"/>
          <w:sz w:val="20"/>
          <w:szCs w:val="20"/>
        </w:rPr>
        <w:t xml:space="preserve">cleaning </w:t>
      </w:r>
      <w:r w:rsidR="009867EE" w:rsidRPr="00102E66">
        <w:rPr>
          <w:rFonts w:ascii="Arial" w:hAnsi="Arial" w:cs="Arial"/>
          <w:color w:val="000000"/>
          <w:sz w:val="20"/>
          <w:szCs w:val="20"/>
        </w:rPr>
        <w:t xml:space="preserve">from back to front </w:t>
      </w:r>
      <w:r w:rsidR="009867EE" w:rsidRPr="00102E66">
        <w:rPr>
          <w:rFonts w:ascii="Arial" w:hAnsi="Arial" w:cs="Arial"/>
          <w:sz w:val="20"/>
          <w:szCs w:val="20"/>
        </w:rPr>
        <w:t>(OR=</w:t>
      </w:r>
      <w:r w:rsidR="009867EE" w:rsidRPr="00102E66">
        <w:rPr>
          <w:rFonts w:ascii="Arial" w:hAnsi="Arial" w:cs="Arial"/>
          <w:color w:val="000000"/>
          <w:sz w:val="20"/>
          <w:szCs w:val="20"/>
        </w:rPr>
        <w:t>1.067, 95%CI of 0.206-5.525)</w:t>
      </w:r>
      <w:r w:rsidR="00D365BC" w:rsidRPr="00102E66">
        <w:rPr>
          <w:rFonts w:ascii="Arial" w:hAnsi="Arial" w:cs="Arial"/>
          <w:color w:val="000000"/>
          <w:sz w:val="20"/>
          <w:szCs w:val="20"/>
        </w:rPr>
        <w:t xml:space="preserve"> were found to be associated with urinary infections</w:t>
      </w:r>
      <w:r w:rsidR="00100759" w:rsidRPr="00102E66">
        <w:rPr>
          <w:rFonts w:ascii="Arial" w:hAnsi="Arial" w:cs="Arial"/>
          <w:color w:val="000000"/>
          <w:sz w:val="20"/>
          <w:szCs w:val="20"/>
        </w:rPr>
        <w:t xml:space="preserve"> (Table 3)</w:t>
      </w:r>
      <w:r w:rsidR="00D365BC" w:rsidRPr="00102E66">
        <w:rPr>
          <w:rFonts w:ascii="Arial" w:hAnsi="Arial" w:cs="Arial"/>
          <w:color w:val="000000"/>
          <w:sz w:val="20"/>
          <w:szCs w:val="20"/>
        </w:rPr>
        <w:t>.</w:t>
      </w:r>
      <w:r w:rsidR="000E0F43" w:rsidRPr="00102E66">
        <w:rPr>
          <w:rFonts w:ascii="Arial" w:hAnsi="Arial" w:cs="Arial"/>
          <w:color w:val="000000"/>
          <w:sz w:val="20"/>
          <w:szCs w:val="20"/>
        </w:rPr>
        <w:t xml:space="preserve"> Therefore, only factors such as douching with detergent, interruption of antibiotic treatment following previous UTI, and used of oral contraceptives were statistically associated to UTIs (P &lt; 0.05).</w:t>
      </w:r>
      <w:r w:rsidR="00D365BC" w:rsidRPr="00102E66">
        <w:rPr>
          <w:rFonts w:ascii="Arial" w:hAnsi="Arial" w:cs="Arial"/>
          <w:color w:val="000000"/>
          <w:sz w:val="20"/>
          <w:szCs w:val="20"/>
        </w:rPr>
        <w:t xml:space="preserve">  </w:t>
      </w:r>
    </w:p>
    <w:p w14:paraId="20E61677" w14:textId="77777777" w:rsidR="00836F00" w:rsidRPr="00102E66" w:rsidRDefault="00836F00" w:rsidP="00D365BC">
      <w:pPr>
        <w:spacing w:after="0" w:line="360" w:lineRule="auto"/>
        <w:jc w:val="both"/>
        <w:rPr>
          <w:rFonts w:ascii="Arial" w:hAnsi="Arial" w:cs="Arial"/>
          <w:color w:val="000000"/>
          <w:sz w:val="20"/>
          <w:szCs w:val="20"/>
        </w:rPr>
      </w:pPr>
    </w:p>
    <w:p w14:paraId="35F8A38E" w14:textId="77777777" w:rsidR="00836F00" w:rsidRPr="00102E66" w:rsidRDefault="00836F00" w:rsidP="00D365BC">
      <w:pPr>
        <w:spacing w:after="0" w:line="360" w:lineRule="auto"/>
        <w:jc w:val="both"/>
        <w:rPr>
          <w:rFonts w:ascii="Arial" w:hAnsi="Arial" w:cs="Arial"/>
          <w:color w:val="000000"/>
          <w:sz w:val="20"/>
          <w:szCs w:val="20"/>
        </w:rPr>
      </w:pPr>
    </w:p>
    <w:p w14:paraId="4F710088" w14:textId="77777777" w:rsidR="00B27F95" w:rsidRPr="00102E66" w:rsidRDefault="00D41AA1" w:rsidP="00D365BC">
      <w:pPr>
        <w:spacing w:after="0" w:line="360" w:lineRule="auto"/>
        <w:jc w:val="both"/>
        <w:rPr>
          <w:rFonts w:ascii="Arial" w:hAnsi="Arial" w:cs="Arial"/>
          <w:b/>
          <w:sz w:val="20"/>
          <w:szCs w:val="20"/>
        </w:rPr>
      </w:pPr>
      <w:r w:rsidRPr="00102E66">
        <w:rPr>
          <w:rFonts w:ascii="Arial" w:hAnsi="Arial" w:cs="Arial"/>
          <w:b/>
          <w:sz w:val="20"/>
          <w:szCs w:val="20"/>
        </w:rPr>
        <w:t>Table 3: Bivariate logistic regression of risk factors for UTI</w:t>
      </w:r>
    </w:p>
    <w:tbl>
      <w:tblPr>
        <w:tblStyle w:val="TableGrid0"/>
        <w:tblW w:w="0" w:type="auto"/>
        <w:jc w:val="center"/>
        <w:tblLook w:val="04A0" w:firstRow="1" w:lastRow="0" w:firstColumn="1" w:lastColumn="0" w:noHBand="0" w:noVBand="1"/>
      </w:tblPr>
      <w:tblGrid>
        <w:gridCol w:w="3679"/>
        <w:gridCol w:w="3523"/>
        <w:gridCol w:w="1460"/>
      </w:tblGrid>
      <w:tr w:rsidR="00E44915" w:rsidRPr="00102E66" w14:paraId="74A2CC6B" w14:textId="77777777" w:rsidTr="002310BF">
        <w:trPr>
          <w:trHeight w:val="226"/>
          <w:jc w:val="center"/>
        </w:trPr>
        <w:tc>
          <w:tcPr>
            <w:tcW w:w="3679" w:type="dxa"/>
            <w:tcBorders>
              <w:top w:val="single" w:sz="12" w:space="0" w:color="auto"/>
              <w:left w:val="nil"/>
              <w:bottom w:val="single" w:sz="8" w:space="0" w:color="auto"/>
              <w:right w:val="nil"/>
            </w:tcBorders>
          </w:tcPr>
          <w:p w14:paraId="3D2E358D"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 xml:space="preserve">Factors </w:t>
            </w:r>
          </w:p>
        </w:tc>
        <w:tc>
          <w:tcPr>
            <w:tcW w:w="3523" w:type="dxa"/>
            <w:tcBorders>
              <w:top w:val="single" w:sz="12" w:space="0" w:color="auto"/>
              <w:left w:val="nil"/>
              <w:bottom w:val="single" w:sz="8" w:space="0" w:color="auto"/>
              <w:right w:val="nil"/>
            </w:tcBorders>
          </w:tcPr>
          <w:p w14:paraId="30C93B63"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Odd ratio (OR)</w:t>
            </w:r>
            <w:r w:rsidR="00B27F95" w:rsidRPr="00102E66">
              <w:rPr>
                <w:rFonts w:ascii="Arial" w:hAnsi="Arial" w:cs="Arial"/>
                <w:b/>
                <w:sz w:val="20"/>
                <w:szCs w:val="20"/>
              </w:rPr>
              <w:t xml:space="preserve"> 95%CI</w:t>
            </w:r>
          </w:p>
        </w:tc>
        <w:tc>
          <w:tcPr>
            <w:tcW w:w="1460" w:type="dxa"/>
            <w:tcBorders>
              <w:top w:val="single" w:sz="12" w:space="0" w:color="auto"/>
              <w:left w:val="nil"/>
              <w:bottom w:val="single" w:sz="8" w:space="0" w:color="auto"/>
              <w:right w:val="nil"/>
            </w:tcBorders>
          </w:tcPr>
          <w:p w14:paraId="32F824A6" w14:textId="77777777" w:rsidR="00583591" w:rsidRPr="00102E66" w:rsidRDefault="00583591" w:rsidP="00125019">
            <w:pPr>
              <w:spacing w:line="360" w:lineRule="auto"/>
              <w:rPr>
                <w:rFonts w:ascii="Arial" w:hAnsi="Arial" w:cs="Arial"/>
                <w:b/>
                <w:sz w:val="20"/>
                <w:szCs w:val="20"/>
              </w:rPr>
            </w:pPr>
            <w:r w:rsidRPr="00102E66">
              <w:rPr>
                <w:rFonts w:ascii="Arial" w:hAnsi="Arial" w:cs="Arial"/>
                <w:b/>
                <w:sz w:val="20"/>
                <w:szCs w:val="20"/>
              </w:rPr>
              <w:t>P-value</w:t>
            </w:r>
          </w:p>
        </w:tc>
      </w:tr>
      <w:tr w:rsidR="00E44915" w:rsidRPr="00102E66" w14:paraId="7F228E4E" w14:textId="77777777" w:rsidTr="002310BF">
        <w:trPr>
          <w:trHeight w:val="226"/>
          <w:jc w:val="center"/>
        </w:trPr>
        <w:tc>
          <w:tcPr>
            <w:tcW w:w="3679" w:type="dxa"/>
            <w:tcBorders>
              <w:top w:val="single" w:sz="8" w:space="0" w:color="auto"/>
              <w:left w:val="nil"/>
              <w:bottom w:val="nil"/>
              <w:right w:val="nil"/>
            </w:tcBorders>
          </w:tcPr>
          <w:p w14:paraId="2489161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Age </w:t>
            </w:r>
          </w:p>
        </w:tc>
        <w:tc>
          <w:tcPr>
            <w:tcW w:w="3523" w:type="dxa"/>
            <w:tcBorders>
              <w:top w:val="single" w:sz="8" w:space="0" w:color="auto"/>
              <w:left w:val="nil"/>
              <w:bottom w:val="nil"/>
              <w:right w:val="nil"/>
            </w:tcBorders>
          </w:tcPr>
          <w:p w14:paraId="3A213584"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3.355 (</w:t>
            </w:r>
            <w:r w:rsidRPr="00102E66">
              <w:rPr>
                <w:rFonts w:ascii="Arial" w:hAnsi="Arial" w:cs="Arial"/>
                <w:color w:val="000000"/>
                <w:sz w:val="20"/>
                <w:szCs w:val="20"/>
              </w:rPr>
              <w:t>0.292-38.541)</w:t>
            </w:r>
          </w:p>
        </w:tc>
        <w:tc>
          <w:tcPr>
            <w:tcW w:w="1460" w:type="dxa"/>
            <w:tcBorders>
              <w:top w:val="single" w:sz="8" w:space="0" w:color="auto"/>
              <w:left w:val="nil"/>
              <w:bottom w:val="nil"/>
              <w:right w:val="nil"/>
            </w:tcBorders>
          </w:tcPr>
          <w:p w14:paraId="270ED588"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0.305</w:t>
            </w:r>
          </w:p>
        </w:tc>
      </w:tr>
      <w:tr w:rsidR="00E44915" w:rsidRPr="00102E66" w14:paraId="16F99C5F" w14:textId="77777777" w:rsidTr="002310BF">
        <w:trPr>
          <w:trHeight w:val="226"/>
          <w:jc w:val="center"/>
        </w:trPr>
        <w:tc>
          <w:tcPr>
            <w:tcW w:w="3679" w:type="dxa"/>
            <w:tcBorders>
              <w:top w:val="nil"/>
              <w:left w:val="nil"/>
              <w:bottom w:val="nil"/>
              <w:right w:val="nil"/>
            </w:tcBorders>
          </w:tcPr>
          <w:p w14:paraId="6BBA469C"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Cloudy/foul-smell urine</w:t>
            </w:r>
          </w:p>
        </w:tc>
        <w:tc>
          <w:tcPr>
            <w:tcW w:w="3523" w:type="dxa"/>
            <w:tcBorders>
              <w:top w:val="nil"/>
              <w:left w:val="nil"/>
              <w:bottom w:val="nil"/>
              <w:right w:val="nil"/>
            </w:tcBorders>
          </w:tcPr>
          <w:p w14:paraId="6433CDAC"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1.690(0.392-7.276)</w:t>
            </w:r>
          </w:p>
        </w:tc>
        <w:tc>
          <w:tcPr>
            <w:tcW w:w="1460" w:type="dxa"/>
            <w:tcBorders>
              <w:top w:val="nil"/>
              <w:left w:val="nil"/>
              <w:bottom w:val="nil"/>
              <w:right w:val="nil"/>
            </w:tcBorders>
          </w:tcPr>
          <w:p w14:paraId="32663B31"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0.478</w:t>
            </w:r>
          </w:p>
        </w:tc>
      </w:tr>
      <w:tr w:rsidR="00E44915" w:rsidRPr="00102E66" w14:paraId="1E72880F" w14:textId="77777777" w:rsidTr="002310BF">
        <w:trPr>
          <w:trHeight w:val="453"/>
          <w:jc w:val="center"/>
        </w:trPr>
        <w:tc>
          <w:tcPr>
            <w:tcW w:w="3679" w:type="dxa"/>
            <w:tcBorders>
              <w:top w:val="nil"/>
              <w:left w:val="nil"/>
              <w:bottom w:val="nil"/>
              <w:right w:val="nil"/>
            </w:tcBorders>
          </w:tcPr>
          <w:p w14:paraId="00F0ACA0"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Sensation to frequently urinate </w:t>
            </w:r>
          </w:p>
        </w:tc>
        <w:tc>
          <w:tcPr>
            <w:tcW w:w="3523" w:type="dxa"/>
            <w:tcBorders>
              <w:top w:val="nil"/>
              <w:left w:val="nil"/>
              <w:bottom w:val="nil"/>
              <w:right w:val="nil"/>
            </w:tcBorders>
          </w:tcPr>
          <w:p w14:paraId="2C1B2DE0"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1.158(0.392-3.415)</w:t>
            </w:r>
          </w:p>
        </w:tc>
        <w:tc>
          <w:tcPr>
            <w:tcW w:w="1460" w:type="dxa"/>
            <w:tcBorders>
              <w:top w:val="nil"/>
              <w:left w:val="nil"/>
              <w:bottom w:val="nil"/>
              <w:right w:val="nil"/>
            </w:tcBorders>
          </w:tcPr>
          <w:p w14:paraId="29BBA340"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0.791</w:t>
            </w:r>
          </w:p>
        </w:tc>
      </w:tr>
      <w:tr w:rsidR="00E44915" w:rsidRPr="00102E66" w14:paraId="4259243B" w14:textId="77777777" w:rsidTr="002310BF">
        <w:trPr>
          <w:trHeight w:val="226"/>
          <w:jc w:val="center"/>
        </w:trPr>
        <w:tc>
          <w:tcPr>
            <w:tcW w:w="3679" w:type="dxa"/>
            <w:tcBorders>
              <w:top w:val="nil"/>
              <w:left w:val="nil"/>
              <w:bottom w:val="nil"/>
              <w:right w:val="nil"/>
            </w:tcBorders>
          </w:tcPr>
          <w:p w14:paraId="2ADA7351" w14:textId="77777777" w:rsidR="00583591" w:rsidRPr="00102E66" w:rsidRDefault="00B27F95" w:rsidP="00125019">
            <w:pPr>
              <w:spacing w:line="360" w:lineRule="auto"/>
              <w:rPr>
                <w:rFonts w:ascii="Arial" w:hAnsi="Arial" w:cs="Arial"/>
                <w:sz w:val="20"/>
                <w:szCs w:val="20"/>
              </w:rPr>
            </w:pPr>
            <w:r w:rsidRPr="00102E66">
              <w:rPr>
                <w:rFonts w:ascii="Arial" w:hAnsi="Arial" w:cs="Arial"/>
                <w:sz w:val="20"/>
                <w:szCs w:val="20"/>
              </w:rPr>
              <w:t>D</w:t>
            </w:r>
            <w:r w:rsidR="00583591" w:rsidRPr="00102E66">
              <w:rPr>
                <w:rFonts w:ascii="Arial" w:hAnsi="Arial" w:cs="Arial"/>
                <w:sz w:val="20"/>
                <w:szCs w:val="20"/>
              </w:rPr>
              <w:t>ysuria</w:t>
            </w:r>
          </w:p>
        </w:tc>
        <w:tc>
          <w:tcPr>
            <w:tcW w:w="3523" w:type="dxa"/>
            <w:tcBorders>
              <w:top w:val="nil"/>
              <w:left w:val="nil"/>
              <w:bottom w:val="nil"/>
              <w:right w:val="nil"/>
            </w:tcBorders>
          </w:tcPr>
          <w:p w14:paraId="1986ADAD"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0.985 (0.358-2.710)</w:t>
            </w:r>
          </w:p>
        </w:tc>
        <w:tc>
          <w:tcPr>
            <w:tcW w:w="1460" w:type="dxa"/>
            <w:tcBorders>
              <w:top w:val="nil"/>
              <w:left w:val="nil"/>
              <w:bottom w:val="nil"/>
              <w:right w:val="nil"/>
            </w:tcBorders>
          </w:tcPr>
          <w:p w14:paraId="5EC18D5D"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0.976</w:t>
            </w:r>
          </w:p>
        </w:tc>
      </w:tr>
      <w:tr w:rsidR="00E44915" w:rsidRPr="00102E66" w14:paraId="1A33DC2A" w14:textId="77777777" w:rsidTr="002310BF">
        <w:trPr>
          <w:trHeight w:val="226"/>
          <w:jc w:val="center"/>
        </w:trPr>
        <w:tc>
          <w:tcPr>
            <w:tcW w:w="3679" w:type="dxa"/>
            <w:tcBorders>
              <w:top w:val="nil"/>
              <w:left w:val="nil"/>
              <w:bottom w:val="nil"/>
              <w:right w:val="nil"/>
            </w:tcBorders>
          </w:tcPr>
          <w:p w14:paraId="70CFBBC1"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lastRenderedPageBreak/>
              <w:t>Nocturnal sweat</w:t>
            </w:r>
          </w:p>
        </w:tc>
        <w:tc>
          <w:tcPr>
            <w:tcW w:w="3523" w:type="dxa"/>
            <w:tcBorders>
              <w:top w:val="nil"/>
              <w:left w:val="nil"/>
              <w:bottom w:val="nil"/>
              <w:right w:val="nil"/>
            </w:tcBorders>
          </w:tcPr>
          <w:p w14:paraId="6C62D086"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1.514(0.492-4.657)</w:t>
            </w:r>
          </w:p>
        </w:tc>
        <w:tc>
          <w:tcPr>
            <w:tcW w:w="1460" w:type="dxa"/>
            <w:tcBorders>
              <w:top w:val="nil"/>
              <w:left w:val="nil"/>
              <w:bottom w:val="nil"/>
              <w:right w:val="nil"/>
            </w:tcBorders>
          </w:tcPr>
          <w:p w14:paraId="25E696CC"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0.467</w:t>
            </w:r>
          </w:p>
        </w:tc>
      </w:tr>
      <w:tr w:rsidR="00E44915" w:rsidRPr="00102E66" w14:paraId="241C4731" w14:textId="77777777" w:rsidTr="002310BF">
        <w:trPr>
          <w:trHeight w:val="226"/>
          <w:jc w:val="center"/>
        </w:trPr>
        <w:tc>
          <w:tcPr>
            <w:tcW w:w="3679" w:type="dxa"/>
            <w:tcBorders>
              <w:top w:val="nil"/>
              <w:left w:val="nil"/>
              <w:bottom w:val="nil"/>
              <w:right w:val="nil"/>
            </w:tcBorders>
          </w:tcPr>
          <w:p w14:paraId="5291F8B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General alteration</w:t>
            </w:r>
          </w:p>
        </w:tc>
        <w:tc>
          <w:tcPr>
            <w:tcW w:w="3523" w:type="dxa"/>
            <w:tcBorders>
              <w:top w:val="nil"/>
              <w:left w:val="nil"/>
              <w:bottom w:val="nil"/>
              <w:right w:val="nil"/>
            </w:tcBorders>
          </w:tcPr>
          <w:p w14:paraId="450087C9"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2.464(0.817-7.434)</w:t>
            </w:r>
          </w:p>
        </w:tc>
        <w:tc>
          <w:tcPr>
            <w:tcW w:w="1460" w:type="dxa"/>
            <w:tcBorders>
              <w:top w:val="nil"/>
              <w:left w:val="nil"/>
              <w:bottom w:val="nil"/>
              <w:right w:val="nil"/>
            </w:tcBorders>
          </w:tcPr>
          <w:p w14:paraId="4066000A"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0.103</w:t>
            </w:r>
          </w:p>
        </w:tc>
      </w:tr>
      <w:tr w:rsidR="00E44915" w:rsidRPr="00102E66" w14:paraId="75CEA351" w14:textId="77777777" w:rsidTr="002310BF">
        <w:trPr>
          <w:trHeight w:val="226"/>
          <w:jc w:val="center"/>
        </w:trPr>
        <w:tc>
          <w:tcPr>
            <w:tcW w:w="3679" w:type="dxa"/>
            <w:tcBorders>
              <w:top w:val="nil"/>
              <w:left w:val="nil"/>
              <w:bottom w:val="nil"/>
              <w:right w:val="nil"/>
            </w:tcBorders>
          </w:tcPr>
          <w:p w14:paraId="6BE3E82F" w14:textId="77777777" w:rsidR="00583591" w:rsidRPr="00102E66" w:rsidRDefault="00B27F95" w:rsidP="00125019">
            <w:pPr>
              <w:spacing w:line="360" w:lineRule="auto"/>
              <w:rPr>
                <w:rFonts w:ascii="Arial" w:hAnsi="Arial" w:cs="Arial"/>
                <w:sz w:val="20"/>
                <w:szCs w:val="20"/>
              </w:rPr>
            </w:pPr>
            <w:r w:rsidRPr="00102E66">
              <w:rPr>
                <w:rFonts w:ascii="Arial" w:hAnsi="Arial" w:cs="Arial"/>
                <w:sz w:val="20"/>
                <w:szCs w:val="20"/>
              </w:rPr>
              <w:t>H</w:t>
            </w:r>
            <w:r w:rsidR="00583591" w:rsidRPr="00102E66">
              <w:rPr>
                <w:rFonts w:ascii="Arial" w:hAnsi="Arial" w:cs="Arial"/>
                <w:sz w:val="20"/>
                <w:szCs w:val="20"/>
              </w:rPr>
              <w:t>ematuria</w:t>
            </w:r>
          </w:p>
        </w:tc>
        <w:tc>
          <w:tcPr>
            <w:tcW w:w="3523" w:type="dxa"/>
            <w:tcBorders>
              <w:top w:val="nil"/>
              <w:left w:val="nil"/>
              <w:bottom w:val="nil"/>
              <w:right w:val="nil"/>
            </w:tcBorders>
          </w:tcPr>
          <w:p w14:paraId="214F348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0.939(0.861-1.024)</w:t>
            </w:r>
          </w:p>
        </w:tc>
        <w:tc>
          <w:tcPr>
            <w:tcW w:w="1460" w:type="dxa"/>
            <w:tcBorders>
              <w:top w:val="nil"/>
              <w:left w:val="nil"/>
              <w:bottom w:val="nil"/>
              <w:right w:val="nil"/>
            </w:tcBorders>
          </w:tcPr>
          <w:p w14:paraId="76A0118F"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0.70</w:t>
            </w:r>
          </w:p>
        </w:tc>
      </w:tr>
      <w:tr w:rsidR="00E44915" w:rsidRPr="00102E66" w14:paraId="4F8FC7A6" w14:textId="77777777" w:rsidTr="002310BF">
        <w:trPr>
          <w:trHeight w:val="226"/>
          <w:jc w:val="center"/>
        </w:trPr>
        <w:tc>
          <w:tcPr>
            <w:tcW w:w="3679" w:type="dxa"/>
            <w:tcBorders>
              <w:top w:val="nil"/>
              <w:left w:val="nil"/>
              <w:bottom w:val="nil"/>
              <w:right w:val="nil"/>
            </w:tcBorders>
          </w:tcPr>
          <w:p w14:paraId="135C4AB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Fever </w:t>
            </w:r>
          </w:p>
        </w:tc>
        <w:tc>
          <w:tcPr>
            <w:tcW w:w="3523" w:type="dxa"/>
            <w:tcBorders>
              <w:top w:val="nil"/>
              <w:left w:val="nil"/>
              <w:bottom w:val="nil"/>
              <w:right w:val="nil"/>
            </w:tcBorders>
          </w:tcPr>
          <w:p w14:paraId="56AC3FA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3.216(1.259-8.216)</w:t>
            </w:r>
          </w:p>
        </w:tc>
        <w:tc>
          <w:tcPr>
            <w:tcW w:w="1460" w:type="dxa"/>
            <w:tcBorders>
              <w:top w:val="nil"/>
              <w:left w:val="nil"/>
              <w:bottom w:val="nil"/>
              <w:right w:val="nil"/>
            </w:tcBorders>
          </w:tcPr>
          <w:p w14:paraId="2912C156"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0.013</w:t>
            </w:r>
          </w:p>
        </w:tc>
      </w:tr>
      <w:tr w:rsidR="00E44915" w:rsidRPr="00102E66" w14:paraId="5C14D811" w14:textId="77777777" w:rsidTr="002310BF">
        <w:trPr>
          <w:trHeight w:val="453"/>
          <w:jc w:val="center"/>
        </w:trPr>
        <w:tc>
          <w:tcPr>
            <w:tcW w:w="3679" w:type="dxa"/>
            <w:tcBorders>
              <w:top w:val="nil"/>
              <w:left w:val="nil"/>
              <w:bottom w:val="nil"/>
              <w:right w:val="nil"/>
            </w:tcBorders>
          </w:tcPr>
          <w:p w14:paraId="59EB091D"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Douching with detergent</w:t>
            </w:r>
          </w:p>
        </w:tc>
        <w:tc>
          <w:tcPr>
            <w:tcW w:w="3523" w:type="dxa"/>
            <w:tcBorders>
              <w:top w:val="nil"/>
              <w:left w:val="nil"/>
              <w:bottom w:val="nil"/>
              <w:right w:val="nil"/>
            </w:tcBorders>
          </w:tcPr>
          <w:p w14:paraId="28C98743"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5.326(1.509-18.794)</w:t>
            </w:r>
          </w:p>
        </w:tc>
        <w:tc>
          <w:tcPr>
            <w:tcW w:w="1460" w:type="dxa"/>
            <w:tcBorders>
              <w:top w:val="nil"/>
              <w:left w:val="nil"/>
              <w:bottom w:val="nil"/>
              <w:right w:val="nil"/>
            </w:tcBorders>
          </w:tcPr>
          <w:p w14:paraId="5656D421"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0.05</w:t>
            </w:r>
          </w:p>
        </w:tc>
      </w:tr>
      <w:tr w:rsidR="00E44915" w:rsidRPr="00102E66" w14:paraId="4A8CD15D" w14:textId="77777777" w:rsidTr="002310BF">
        <w:trPr>
          <w:trHeight w:val="453"/>
          <w:jc w:val="center"/>
        </w:trPr>
        <w:tc>
          <w:tcPr>
            <w:tcW w:w="3679" w:type="dxa"/>
            <w:tcBorders>
              <w:top w:val="nil"/>
              <w:left w:val="nil"/>
              <w:bottom w:val="nil"/>
              <w:right w:val="nil"/>
            </w:tcBorders>
          </w:tcPr>
          <w:p w14:paraId="26B1FB77"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 xml:space="preserve">Putting on tight underwear </w:t>
            </w:r>
          </w:p>
        </w:tc>
        <w:tc>
          <w:tcPr>
            <w:tcW w:w="3523" w:type="dxa"/>
            <w:tcBorders>
              <w:top w:val="nil"/>
              <w:left w:val="nil"/>
              <w:bottom w:val="nil"/>
              <w:right w:val="nil"/>
            </w:tcBorders>
          </w:tcPr>
          <w:p w14:paraId="1508BE4E"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1.677(0.594-4.740)</w:t>
            </w:r>
          </w:p>
        </w:tc>
        <w:tc>
          <w:tcPr>
            <w:tcW w:w="1460" w:type="dxa"/>
            <w:tcBorders>
              <w:top w:val="nil"/>
              <w:left w:val="nil"/>
              <w:bottom w:val="nil"/>
              <w:right w:val="nil"/>
            </w:tcBorders>
          </w:tcPr>
          <w:p w14:paraId="0B79610C"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0.420</w:t>
            </w:r>
          </w:p>
        </w:tc>
      </w:tr>
      <w:tr w:rsidR="00E44915" w:rsidRPr="00102E66" w14:paraId="4B1B1683" w14:textId="77777777" w:rsidTr="002310BF">
        <w:trPr>
          <w:trHeight w:val="453"/>
          <w:jc w:val="center"/>
        </w:trPr>
        <w:tc>
          <w:tcPr>
            <w:tcW w:w="3679" w:type="dxa"/>
            <w:tcBorders>
              <w:top w:val="nil"/>
              <w:left w:val="nil"/>
              <w:bottom w:val="nil"/>
              <w:right w:val="nil"/>
            </w:tcBorders>
          </w:tcPr>
          <w:p w14:paraId="1748CBFB"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Previous UTI</w:t>
            </w:r>
          </w:p>
        </w:tc>
        <w:tc>
          <w:tcPr>
            <w:tcW w:w="3523" w:type="dxa"/>
            <w:tcBorders>
              <w:top w:val="nil"/>
              <w:left w:val="nil"/>
              <w:bottom w:val="nil"/>
              <w:right w:val="nil"/>
            </w:tcBorders>
          </w:tcPr>
          <w:p w14:paraId="5EC624F0"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1.389(0.454-4.250)</w:t>
            </w:r>
          </w:p>
        </w:tc>
        <w:tc>
          <w:tcPr>
            <w:tcW w:w="1460" w:type="dxa"/>
            <w:tcBorders>
              <w:top w:val="nil"/>
              <w:left w:val="nil"/>
              <w:bottom w:val="nil"/>
              <w:right w:val="nil"/>
            </w:tcBorders>
          </w:tcPr>
          <w:p w14:paraId="7283F356"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0.564</w:t>
            </w:r>
          </w:p>
        </w:tc>
      </w:tr>
      <w:tr w:rsidR="00E44915" w:rsidRPr="00102E66" w14:paraId="37025BD2" w14:textId="77777777" w:rsidTr="002310BF">
        <w:trPr>
          <w:trHeight w:val="453"/>
          <w:jc w:val="center"/>
        </w:trPr>
        <w:tc>
          <w:tcPr>
            <w:tcW w:w="3679" w:type="dxa"/>
            <w:tcBorders>
              <w:top w:val="nil"/>
              <w:left w:val="nil"/>
              <w:bottom w:val="nil"/>
              <w:right w:val="nil"/>
            </w:tcBorders>
          </w:tcPr>
          <w:p w14:paraId="693B8B8F" w14:textId="77777777" w:rsidR="00583591" w:rsidRPr="00102E66" w:rsidRDefault="00583591" w:rsidP="00125019">
            <w:pPr>
              <w:spacing w:line="360" w:lineRule="auto"/>
              <w:rPr>
                <w:rFonts w:ascii="Arial" w:hAnsi="Arial" w:cs="Arial"/>
                <w:sz w:val="20"/>
                <w:szCs w:val="20"/>
              </w:rPr>
            </w:pPr>
            <w:r w:rsidRPr="00102E66">
              <w:rPr>
                <w:rFonts w:ascii="Arial" w:hAnsi="Arial" w:cs="Arial"/>
                <w:sz w:val="20"/>
                <w:szCs w:val="20"/>
              </w:rPr>
              <w:t>Previous used of antibiotics</w:t>
            </w:r>
          </w:p>
        </w:tc>
        <w:tc>
          <w:tcPr>
            <w:tcW w:w="3523" w:type="dxa"/>
            <w:tcBorders>
              <w:top w:val="nil"/>
              <w:left w:val="nil"/>
              <w:bottom w:val="nil"/>
              <w:right w:val="nil"/>
            </w:tcBorders>
          </w:tcPr>
          <w:p w14:paraId="2C65E356"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1.600(0.325-7.888)</w:t>
            </w:r>
          </w:p>
        </w:tc>
        <w:tc>
          <w:tcPr>
            <w:tcW w:w="1460" w:type="dxa"/>
            <w:tcBorders>
              <w:top w:val="nil"/>
              <w:left w:val="nil"/>
              <w:bottom w:val="nil"/>
              <w:right w:val="nil"/>
            </w:tcBorders>
          </w:tcPr>
          <w:p w14:paraId="5BCF33C8"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0.562</w:t>
            </w:r>
          </w:p>
        </w:tc>
      </w:tr>
      <w:tr w:rsidR="00E44915" w:rsidRPr="00102E66" w14:paraId="201B8CD3" w14:textId="77777777" w:rsidTr="002310BF">
        <w:trPr>
          <w:trHeight w:val="453"/>
          <w:jc w:val="center"/>
        </w:trPr>
        <w:tc>
          <w:tcPr>
            <w:tcW w:w="3679" w:type="dxa"/>
            <w:tcBorders>
              <w:top w:val="nil"/>
              <w:left w:val="nil"/>
              <w:bottom w:val="nil"/>
              <w:right w:val="nil"/>
            </w:tcBorders>
          </w:tcPr>
          <w:p w14:paraId="70894ACC"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Interruption of antibiotic treatment following previous UTI</w:t>
            </w:r>
          </w:p>
        </w:tc>
        <w:tc>
          <w:tcPr>
            <w:tcW w:w="3523" w:type="dxa"/>
            <w:tcBorders>
              <w:top w:val="nil"/>
              <w:left w:val="nil"/>
              <w:bottom w:val="nil"/>
              <w:right w:val="nil"/>
            </w:tcBorders>
          </w:tcPr>
          <w:p w14:paraId="5E076733"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9.167(1.147-73.239)</w:t>
            </w:r>
          </w:p>
        </w:tc>
        <w:tc>
          <w:tcPr>
            <w:tcW w:w="1460" w:type="dxa"/>
            <w:tcBorders>
              <w:top w:val="nil"/>
              <w:left w:val="nil"/>
              <w:bottom w:val="nil"/>
              <w:right w:val="nil"/>
            </w:tcBorders>
          </w:tcPr>
          <w:p w14:paraId="5D0EE95D" w14:textId="77777777" w:rsidR="00583591" w:rsidRPr="00102E66" w:rsidRDefault="00583591" w:rsidP="00125019">
            <w:pPr>
              <w:spacing w:line="360" w:lineRule="auto"/>
              <w:rPr>
                <w:rFonts w:ascii="Arial" w:hAnsi="Arial" w:cs="Arial"/>
                <w:b/>
                <w:color w:val="000000"/>
                <w:sz w:val="20"/>
                <w:szCs w:val="20"/>
                <w:lang w:val="en-CA"/>
              </w:rPr>
            </w:pPr>
            <w:r w:rsidRPr="00102E66">
              <w:rPr>
                <w:rFonts w:ascii="Arial" w:hAnsi="Arial" w:cs="Arial"/>
                <w:b/>
                <w:color w:val="000000"/>
                <w:sz w:val="20"/>
                <w:szCs w:val="20"/>
                <w:lang w:val="en-CA"/>
              </w:rPr>
              <w:t>0.026</w:t>
            </w:r>
          </w:p>
        </w:tc>
      </w:tr>
      <w:tr w:rsidR="00E44915" w:rsidRPr="00102E66" w14:paraId="736F0906" w14:textId="77777777" w:rsidTr="002310BF">
        <w:trPr>
          <w:trHeight w:val="453"/>
          <w:jc w:val="center"/>
        </w:trPr>
        <w:tc>
          <w:tcPr>
            <w:tcW w:w="3679" w:type="dxa"/>
            <w:tcBorders>
              <w:top w:val="nil"/>
              <w:left w:val="nil"/>
              <w:bottom w:val="nil"/>
              <w:right w:val="nil"/>
            </w:tcBorders>
          </w:tcPr>
          <w:p w14:paraId="5BF62DAD"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Presence of nitrites </w:t>
            </w:r>
          </w:p>
        </w:tc>
        <w:tc>
          <w:tcPr>
            <w:tcW w:w="3523" w:type="dxa"/>
            <w:tcBorders>
              <w:top w:val="nil"/>
              <w:left w:val="nil"/>
              <w:bottom w:val="nil"/>
              <w:right w:val="nil"/>
            </w:tcBorders>
          </w:tcPr>
          <w:p w14:paraId="0E433A70"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1.255(0.109-14-409) </w:t>
            </w:r>
          </w:p>
        </w:tc>
        <w:tc>
          <w:tcPr>
            <w:tcW w:w="1460" w:type="dxa"/>
            <w:tcBorders>
              <w:top w:val="nil"/>
              <w:left w:val="nil"/>
              <w:bottom w:val="nil"/>
              <w:right w:val="nil"/>
            </w:tcBorders>
          </w:tcPr>
          <w:p w14:paraId="4425A671" w14:textId="77777777" w:rsidR="00583591" w:rsidRPr="00102E66" w:rsidRDefault="00583591" w:rsidP="00125019">
            <w:pPr>
              <w:spacing w:line="360" w:lineRule="auto"/>
              <w:rPr>
                <w:rFonts w:ascii="Arial" w:hAnsi="Arial" w:cs="Arial"/>
                <w:color w:val="000000"/>
                <w:sz w:val="20"/>
                <w:szCs w:val="20"/>
              </w:rPr>
            </w:pPr>
            <w:r w:rsidRPr="00102E66">
              <w:rPr>
                <w:rFonts w:ascii="Arial" w:hAnsi="Arial" w:cs="Arial"/>
                <w:color w:val="000000"/>
                <w:sz w:val="20"/>
                <w:szCs w:val="20"/>
              </w:rPr>
              <w:t>0.855</w:t>
            </w:r>
          </w:p>
        </w:tc>
      </w:tr>
      <w:tr w:rsidR="00E44915" w:rsidRPr="00102E66" w14:paraId="62C68177" w14:textId="77777777" w:rsidTr="002310BF">
        <w:trPr>
          <w:trHeight w:val="453"/>
          <w:jc w:val="center"/>
        </w:trPr>
        <w:tc>
          <w:tcPr>
            <w:tcW w:w="3679" w:type="dxa"/>
            <w:tcBorders>
              <w:top w:val="nil"/>
              <w:left w:val="nil"/>
              <w:bottom w:val="nil"/>
              <w:right w:val="nil"/>
            </w:tcBorders>
          </w:tcPr>
          <w:p w14:paraId="05BA326E" w14:textId="77777777" w:rsidR="00583591" w:rsidRPr="00102E66" w:rsidRDefault="00B27F95" w:rsidP="00125019">
            <w:pPr>
              <w:spacing w:line="360" w:lineRule="auto"/>
              <w:rPr>
                <w:rFonts w:ascii="Arial" w:hAnsi="Arial" w:cs="Arial"/>
                <w:sz w:val="20"/>
                <w:szCs w:val="20"/>
                <w:lang w:val="en-CA"/>
              </w:rPr>
            </w:pPr>
            <w:r w:rsidRPr="00102E66">
              <w:rPr>
                <w:rFonts w:ascii="Arial" w:hAnsi="Arial" w:cs="Arial"/>
                <w:sz w:val="20"/>
                <w:szCs w:val="20"/>
                <w:lang w:val="en-CA"/>
              </w:rPr>
              <w:t>P</w:t>
            </w:r>
            <w:r w:rsidR="00583591" w:rsidRPr="00102E66">
              <w:rPr>
                <w:rFonts w:ascii="Arial" w:hAnsi="Arial" w:cs="Arial"/>
                <w:sz w:val="20"/>
                <w:szCs w:val="20"/>
                <w:lang w:val="en-CA"/>
              </w:rPr>
              <w:t>roteinuria</w:t>
            </w:r>
          </w:p>
        </w:tc>
        <w:tc>
          <w:tcPr>
            <w:tcW w:w="3523" w:type="dxa"/>
            <w:tcBorders>
              <w:top w:val="nil"/>
              <w:left w:val="nil"/>
              <w:bottom w:val="nil"/>
              <w:right w:val="nil"/>
            </w:tcBorders>
          </w:tcPr>
          <w:p w14:paraId="532D5431"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NA</w:t>
            </w:r>
          </w:p>
        </w:tc>
        <w:tc>
          <w:tcPr>
            <w:tcW w:w="1460" w:type="dxa"/>
            <w:tcBorders>
              <w:top w:val="nil"/>
              <w:left w:val="nil"/>
              <w:bottom w:val="nil"/>
              <w:right w:val="nil"/>
            </w:tcBorders>
          </w:tcPr>
          <w:p w14:paraId="0D03B86A" w14:textId="77777777" w:rsidR="00583591" w:rsidRPr="00102E66" w:rsidRDefault="00583591" w:rsidP="00125019">
            <w:pPr>
              <w:spacing w:line="360" w:lineRule="auto"/>
              <w:rPr>
                <w:rFonts w:ascii="Arial" w:hAnsi="Arial" w:cs="Arial"/>
                <w:color w:val="000000"/>
                <w:sz w:val="20"/>
                <w:szCs w:val="20"/>
              </w:rPr>
            </w:pPr>
          </w:p>
        </w:tc>
      </w:tr>
      <w:tr w:rsidR="00E44915" w:rsidRPr="00102E66" w14:paraId="3372193E" w14:textId="77777777" w:rsidTr="002310BF">
        <w:trPr>
          <w:trHeight w:val="453"/>
          <w:jc w:val="center"/>
        </w:trPr>
        <w:tc>
          <w:tcPr>
            <w:tcW w:w="3679" w:type="dxa"/>
            <w:tcBorders>
              <w:top w:val="nil"/>
              <w:left w:val="nil"/>
              <w:bottom w:val="nil"/>
              <w:right w:val="nil"/>
            </w:tcBorders>
          </w:tcPr>
          <w:p w14:paraId="74618C97"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 xml:space="preserve">Used of oral contraceptives </w:t>
            </w:r>
          </w:p>
        </w:tc>
        <w:tc>
          <w:tcPr>
            <w:tcW w:w="3523" w:type="dxa"/>
            <w:tcBorders>
              <w:top w:val="nil"/>
              <w:left w:val="nil"/>
              <w:bottom w:val="nil"/>
              <w:right w:val="nil"/>
            </w:tcBorders>
          </w:tcPr>
          <w:p w14:paraId="5D5B7F4E"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4.500(1.002-20.209)</w:t>
            </w:r>
          </w:p>
        </w:tc>
        <w:tc>
          <w:tcPr>
            <w:tcW w:w="1460" w:type="dxa"/>
            <w:tcBorders>
              <w:top w:val="nil"/>
              <w:left w:val="nil"/>
              <w:bottom w:val="nil"/>
              <w:right w:val="nil"/>
            </w:tcBorders>
          </w:tcPr>
          <w:p w14:paraId="1A2FB652" w14:textId="77777777" w:rsidR="00583591" w:rsidRPr="00102E66" w:rsidRDefault="00583591" w:rsidP="00125019">
            <w:pPr>
              <w:spacing w:line="360" w:lineRule="auto"/>
              <w:rPr>
                <w:rFonts w:ascii="Arial" w:hAnsi="Arial" w:cs="Arial"/>
                <w:b/>
                <w:color w:val="000000"/>
                <w:sz w:val="20"/>
                <w:szCs w:val="20"/>
              </w:rPr>
            </w:pPr>
            <w:r w:rsidRPr="00102E66">
              <w:rPr>
                <w:rFonts w:ascii="Arial" w:hAnsi="Arial" w:cs="Arial"/>
                <w:b/>
                <w:color w:val="000000"/>
                <w:sz w:val="20"/>
                <w:szCs w:val="20"/>
              </w:rPr>
              <w:t>0.036</w:t>
            </w:r>
          </w:p>
        </w:tc>
      </w:tr>
      <w:tr w:rsidR="00E44915" w:rsidRPr="00102E66" w14:paraId="40FE3641" w14:textId="77777777" w:rsidTr="002310BF">
        <w:trPr>
          <w:trHeight w:val="453"/>
          <w:jc w:val="center"/>
        </w:trPr>
        <w:tc>
          <w:tcPr>
            <w:tcW w:w="3679" w:type="dxa"/>
            <w:tcBorders>
              <w:top w:val="nil"/>
              <w:left w:val="nil"/>
              <w:bottom w:val="single" w:sz="12" w:space="0" w:color="auto"/>
              <w:right w:val="nil"/>
            </w:tcBorders>
          </w:tcPr>
          <w:p w14:paraId="3B3F34DE" w14:textId="77777777" w:rsidR="00583591" w:rsidRPr="00102E66" w:rsidRDefault="00B27F95" w:rsidP="00125019">
            <w:pPr>
              <w:spacing w:line="360" w:lineRule="auto"/>
              <w:rPr>
                <w:rFonts w:ascii="Arial" w:hAnsi="Arial" w:cs="Arial"/>
                <w:sz w:val="20"/>
                <w:szCs w:val="20"/>
                <w:lang w:val="en-CA"/>
              </w:rPr>
            </w:pPr>
            <w:r w:rsidRPr="00102E66">
              <w:rPr>
                <w:rFonts w:ascii="Arial" w:hAnsi="Arial" w:cs="Arial"/>
                <w:sz w:val="20"/>
                <w:szCs w:val="20"/>
                <w:lang w:val="en-CA"/>
              </w:rPr>
              <w:t>Cleaning from back</w:t>
            </w:r>
            <w:r w:rsidR="00583591" w:rsidRPr="00102E66">
              <w:rPr>
                <w:rFonts w:ascii="Arial" w:hAnsi="Arial" w:cs="Arial"/>
                <w:sz w:val="20"/>
                <w:szCs w:val="20"/>
                <w:lang w:val="en-CA"/>
              </w:rPr>
              <w:t xml:space="preserve"> to front </w:t>
            </w:r>
          </w:p>
        </w:tc>
        <w:tc>
          <w:tcPr>
            <w:tcW w:w="3523" w:type="dxa"/>
            <w:tcBorders>
              <w:top w:val="nil"/>
              <w:left w:val="nil"/>
              <w:bottom w:val="single" w:sz="12" w:space="0" w:color="auto"/>
              <w:right w:val="nil"/>
            </w:tcBorders>
          </w:tcPr>
          <w:p w14:paraId="02DBFE38" w14:textId="77777777" w:rsidR="00583591" w:rsidRPr="00102E66" w:rsidRDefault="00583591" w:rsidP="00125019">
            <w:pPr>
              <w:spacing w:line="360" w:lineRule="auto"/>
              <w:rPr>
                <w:rFonts w:ascii="Arial" w:hAnsi="Arial" w:cs="Arial"/>
                <w:sz w:val="20"/>
                <w:szCs w:val="20"/>
                <w:lang w:val="en-CA"/>
              </w:rPr>
            </w:pPr>
            <w:r w:rsidRPr="00102E66">
              <w:rPr>
                <w:rFonts w:ascii="Arial" w:hAnsi="Arial" w:cs="Arial"/>
                <w:sz w:val="20"/>
                <w:szCs w:val="20"/>
                <w:lang w:val="en-CA"/>
              </w:rPr>
              <w:t>1.067(0.206-5.525)</w:t>
            </w:r>
          </w:p>
        </w:tc>
        <w:tc>
          <w:tcPr>
            <w:tcW w:w="1460" w:type="dxa"/>
            <w:tcBorders>
              <w:top w:val="nil"/>
              <w:left w:val="nil"/>
              <w:bottom w:val="single" w:sz="12" w:space="0" w:color="auto"/>
              <w:right w:val="nil"/>
            </w:tcBorders>
          </w:tcPr>
          <w:p w14:paraId="4CB46E74" w14:textId="77777777" w:rsidR="00583591" w:rsidRPr="00102E66" w:rsidRDefault="00583591" w:rsidP="00125019">
            <w:pPr>
              <w:spacing w:line="360" w:lineRule="auto"/>
              <w:rPr>
                <w:rFonts w:ascii="Arial" w:hAnsi="Arial" w:cs="Arial"/>
                <w:color w:val="000000"/>
                <w:sz w:val="20"/>
                <w:szCs w:val="20"/>
                <w:lang w:val="en-CA"/>
              </w:rPr>
            </w:pPr>
            <w:r w:rsidRPr="00102E66">
              <w:rPr>
                <w:rFonts w:ascii="Arial" w:hAnsi="Arial" w:cs="Arial"/>
                <w:color w:val="000000"/>
                <w:sz w:val="20"/>
                <w:szCs w:val="20"/>
                <w:lang w:val="en-CA"/>
              </w:rPr>
              <w:t>0.939</w:t>
            </w:r>
          </w:p>
        </w:tc>
      </w:tr>
    </w:tbl>
    <w:p w14:paraId="73742B7C" w14:textId="77777777" w:rsidR="00583591" w:rsidRPr="00102E66" w:rsidRDefault="00583591" w:rsidP="00C67020">
      <w:pPr>
        <w:spacing w:after="0" w:line="480" w:lineRule="auto"/>
        <w:jc w:val="both"/>
        <w:rPr>
          <w:rFonts w:ascii="Arial" w:hAnsi="Arial" w:cs="Arial"/>
          <w:b/>
          <w:sz w:val="20"/>
          <w:szCs w:val="20"/>
        </w:rPr>
      </w:pPr>
    </w:p>
    <w:p w14:paraId="0B5F9F6D" w14:textId="4C1EBFEE" w:rsidR="004B64EC" w:rsidRPr="001938BC" w:rsidRDefault="001938BC" w:rsidP="00203715">
      <w:pPr>
        <w:rPr>
          <w:rFonts w:ascii="Arial" w:hAnsi="Arial" w:cs="Arial"/>
          <w:b/>
        </w:rPr>
      </w:pPr>
      <w:r w:rsidRPr="001938BC">
        <w:rPr>
          <w:rFonts w:ascii="Arial" w:hAnsi="Arial" w:cs="Arial"/>
          <w:b/>
        </w:rPr>
        <w:t xml:space="preserve">4. DISCUSSION </w:t>
      </w:r>
    </w:p>
    <w:p w14:paraId="6E73C002" w14:textId="44DCAB46"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 xml:space="preserve">Urinary tract infections </w:t>
      </w:r>
      <w:r w:rsidR="001D73F0" w:rsidRPr="00203715">
        <w:rPr>
          <w:rFonts w:ascii="Arial" w:hAnsi="Arial" w:cs="Arial"/>
          <w:sz w:val="20"/>
          <w:szCs w:val="20"/>
        </w:rPr>
        <w:t>are</w:t>
      </w:r>
      <w:r w:rsidRPr="00203715">
        <w:rPr>
          <w:rFonts w:ascii="Arial" w:hAnsi="Arial" w:cs="Arial"/>
          <w:sz w:val="20"/>
          <w:szCs w:val="20"/>
        </w:rPr>
        <w:t xml:space="preserve"> one of the major causes of frequent medical consultation. Urinary tract infections affect people of all ages. Factors such as sociodemographic and level of hygiene favors the occurrence of these infections. The prevalence of UTIs in the present study shows that 49.71% of patients who consulted for the said infection tested positive for UTIs of bacterial origin. This can be explain</w:t>
      </w:r>
      <w:r w:rsidR="002310BF" w:rsidRPr="00203715">
        <w:rPr>
          <w:rFonts w:ascii="Arial" w:hAnsi="Arial" w:cs="Arial"/>
          <w:sz w:val="20"/>
          <w:szCs w:val="20"/>
        </w:rPr>
        <w:t>ed</w:t>
      </w:r>
      <w:r w:rsidRPr="00203715">
        <w:rPr>
          <w:rFonts w:ascii="Arial" w:hAnsi="Arial" w:cs="Arial"/>
          <w:sz w:val="20"/>
          <w:szCs w:val="20"/>
        </w:rPr>
        <w:t xml:space="preserve"> by sociodemographic factors such as social habits and poor level of hygiene practiced by most patients. The prevalence reported by this study is less than the 58.3% reported in two Cameroonian towns by </w:t>
      </w:r>
      <w:proofErr w:type="spellStart"/>
      <w:r w:rsidRPr="00203715">
        <w:rPr>
          <w:rFonts w:ascii="Arial" w:hAnsi="Arial" w:cs="Arial"/>
          <w:sz w:val="20"/>
          <w:szCs w:val="20"/>
        </w:rPr>
        <w:t>Akoachere</w:t>
      </w:r>
      <w:proofErr w:type="spellEnd"/>
      <w:r w:rsidRPr="00203715">
        <w:rPr>
          <w:rFonts w:ascii="Arial" w:hAnsi="Arial" w:cs="Arial"/>
          <w:sz w:val="20"/>
          <w:szCs w:val="20"/>
        </w:rPr>
        <w:t xml:space="preserve"> </w:t>
      </w:r>
      <w:r w:rsidRPr="00203715">
        <w:rPr>
          <w:rFonts w:ascii="Arial" w:hAnsi="Arial" w:cs="Arial"/>
          <w:i/>
          <w:sz w:val="20"/>
          <w:szCs w:val="20"/>
        </w:rPr>
        <w:t>et al.</w:t>
      </w:r>
      <w:r w:rsidR="00224AAA" w:rsidRPr="00203715">
        <w:rPr>
          <w:rFonts w:ascii="Arial" w:hAnsi="Arial" w:cs="Arial"/>
          <w:sz w:val="20"/>
          <w:szCs w:val="20"/>
        </w:rPr>
        <w:t xml:space="preserve"> in 2012 [16</w:t>
      </w:r>
      <w:r w:rsidRPr="00203715">
        <w:rPr>
          <w:rFonts w:ascii="Arial" w:hAnsi="Arial" w:cs="Arial"/>
          <w:sz w:val="20"/>
          <w:szCs w:val="20"/>
        </w:rPr>
        <w:t xml:space="preserve">]. The difference in prevalence could be due to difference in sample size and exposure to risk factors.  However, our prevalence is similar to the 49.06% reported in </w:t>
      </w:r>
      <w:proofErr w:type="spellStart"/>
      <w:r w:rsidRPr="00203715">
        <w:rPr>
          <w:rFonts w:ascii="Arial" w:hAnsi="Arial" w:cs="Arial"/>
          <w:sz w:val="20"/>
          <w:szCs w:val="20"/>
        </w:rPr>
        <w:t>Bue</w:t>
      </w:r>
      <w:r w:rsidR="00224AAA" w:rsidRPr="00203715">
        <w:rPr>
          <w:rFonts w:ascii="Arial" w:hAnsi="Arial" w:cs="Arial"/>
          <w:sz w:val="20"/>
          <w:szCs w:val="20"/>
        </w:rPr>
        <w:t>a</w:t>
      </w:r>
      <w:proofErr w:type="spellEnd"/>
      <w:r w:rsidR="00224AAA" w:rsidRPr="00203715">
        <w:rPr>
          <w:rFonts w:ascii="Arial" w:hAnsi="Arial" w:cs="Arial"/>
          <w:sz w:val="20"/>
          <w:szCs w:val="20"/>
        </w:rPr>
        <w:t xml:space="preserve"> by </w:t>
      </w:r>
      <w:proofErr w:type="spellStart"/>
      <w:r w:rsidR="00224AAA" w:rsidRPr="00203715">
        <w:rPr>
          <w:rFonts w:ascii="Arial" w:hAnsi="Arial" w:cs="Arial"/>
          <w:sz w:val="20"/>
          <w:szCs w:val="20"/>
        </w:rPr>
        <w:t>Assob</w:t>
      </w:r>
      <w:proofErr w:type="spellEnd"/>
      <w:r w:rsidR="00224AAA" w:rsidRPr="00203715">
        <w:rPr>
          <w:rFonts w:ascii="Arial" w:hAnsi="Arial" w:cs="Arial"/>
          <w:sz w:val="20"/>
          <w:szCs w:val="20"/>
        </w:rPr>
        <w:t xml:space="preserve"> and collaborators [17</w:t>
      </w:r>
      <w:r w:rsidRPr="00203715">
        <w:rPr>
          <w:rFonts w:ascii="Arial" w:hAnsi="Arial" w:cs="Arial"/>
          <w:sz w:val="20"/>
          <w:szCs w:val="20"/>
        </w:rPr>
        <w:t>].  91.3% of the patients who tested positive were of the female gender, this could be explain by the anatomical configuration of their urinary tract apparatus which is very short about 5 cm contrary to 12 cm in men and its close proximity to the perianal region. This opening exposes the bladder to intestinal bacteria from the rectum; this generally provokes cystitis, urethritis and p</w:t>
      </w:r>
      <w:r w:rsidR="00224AAA" w:rsidRPr="00203715">
        <w:rPr>
          <w:rFonts w:ascii="Arial" w:hAnsi="Arial" w:cs="Arial"/>
          <w:sz w:val="20"/>
          <w:szCs w:val="20"/>
        </w:rPr>
        <w:t>yelonephritis [18</w:t>
      </w:r>
      <w:r w:rsidRPr="00203715">
        <w:rPr>
          <w:rFonts w:ascii="Arial" w:hAnsi="Arial" w:cs="Arial"/>
          <w:sz w:val="20"/>
          <w:szCs w:val="20"/>
        </w:rPr>
        <w:t xml:space="preserve">].  A study </w:t>
      </w:r>
      <w:proofErr w:type="gramStart"/>
      <w:r w:rsidRPr="00203715">
        <w:rPr>
          <w:rFonts w:ascii="Arial" w:hAnsi="Arial" w:cs="Arial"/>
          <w:sz w:val="20"/>
          <w:szCs w:val="20"/>
        </w:rPr>
        <w:t>conduct</w:t>
      </w:r>
      <w:proofErr w:type="gramEnd"/>
      <w:r w:rsidRPr="00203715">
        <w:rPr>
          <w:rFonts w:ascii="Arial" w:hAnsi="Arial" w:cs="Arial"/>
          <w:sz w:val="20"/>
          <w:szCs w:val="20"/>
        </w:rPr>
        <w:t xml:space="preserve"> by Parajuli and collaborators reported a prevalence of 44.6% when they conducted a microbiological profil</w:t>
      </w:r>
      <w:r w:rsidR="00224AAA" w:rsidRPr="00203715">
        <w:rPr>
          <w:rFonts w:ascii="Arial" w:hAnsi="Arial" w:cs="Arial"/>
          <w:sz w:val="20"/>
          <w:szCs w:val="20"/>
        </w:rPr>
        <w:t xml:space="preserve">e study among </w:t>
      </w:r>
      <w:r w:rsidR="00224AAA" w:rsidRPr="00203715">
        <w:rPr>
          <w:rFonts w:ascii="Arial" w:hAnsi="Arial" w:cs="Arial"/>
          <w:sz w:val="20"/>
          <w:szCs w:val="20"/>
        </w:rPr>
        <w:lastRenderedPageBreak/>
        <w:t>pregnant women [19</w:t>
      </w:r>
      <w:r w:rsidRPr="00203715">
        <w:rPr>
          <w:rFonts w:ascii="Arial" w:hAnsi="Arial" w:cs="Arial"/>
          <w:sz w:val="20"/>
          <w:szCs w:val="20"/>
        </w:rPr>
        <w:t>]. In addition, poor hygiene practices like cleaning from back to front after defecation transport microorganisms from the perianal zone to the uret</w:t>
      </w:r>
      <w:r w:rsidR="00224AAA" w:rsidRPr="00203715">
        <w:rPr>
          <w:rFonts w:ascii="Arial" w:hAnsi="Arial" w:cs="Arial"/>
          <w:sz w:val="20"/>
          <w:szCs w:val="20"/>
        </w:rPr>
        <w:t>hra increasing exposure rate [20</w:t>
      </w:r>
      <w:r w:rsidRPr="00203715">
        <w:rPr>
          <w:rFonts w:ascii="Arial" w:hAnsi="Arial" w:cs="Arial"/>
          <w:sz w:val="20"/>
          <w:szCs w:val="20"/>
        </w:rPr>
        <w:t xml:space="preserve">].  </w:t>
      </w:r>
    </w:p>
    <w:p w14:paraId="6999FB65" w14:textId="77777777"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Gram-negative organisms were the most prominent cause of UTIs in the present study (83.72%). The high prevalence of these organisms can be due to the presence of several adhesion factors facilitating their adherence to the epithelial cells of the host preventing their elimination during miction leading to invasion and pyelonephritis. Some previous studies have reported high prevalence of Gram-negative bact</w:t>
      </w:r>
      <w:r w:rsidR="00D04A1F" w:rsidRPr="00203715">
        <w:rPr>
          <w:rFonts w:ascii="Arial" w:hAnsi="Arial" w:cs="Arial"/>
          <w:sz w:val="20"/>
          <w:szCs w:val="20"/>
        </w:rPr>
        <w:t>eria in urine samples [16</w:t>
      </w:r>
      <w:r w:rsidR="007D63D3" w:rsidRPr="00203715">
        <w:rPr>
          <w:rFonts w:ascii="Arial" w:hAnsi="Arial" w:cs="Arial"/>
          <w:sz w:val="20"/>
          <w:szCs w:val="20"/>
        </w:rPr>
        <w:t xml:space="preserve">, </w:t>
      </w:r>
      <w:r w:rsidR="00D04A1F" w:rsidRPr="00203715">
        <w:rPr>
          <w:rFonts w:ascii="Arial" w:hAnsi="Arial" w:cs="Arial"/>
          <w:sz w:val="20"/>
          <w:szCs w:val="20"/>
        </w:rPr>
        <w:t>19</w:t>
      </w:r>
      <w:r w:rsidRPr="00203715">
        <w:rPr>
          <w:rFonts w:ascii="Arial" w:hAnsi="Arial" w:cs="Arial"/>
          <w:sz w:val="20"/>
          <w:szCs w:val="20"/>
        </w:rPr>
        <w:t xml:space="preserve">]. </w:t>
      </w:r>
      <w:r w:rsidRPr="00203715">
        <w:rPr>
          <w:rFonts w:ascii="Arial" w:hAnsi="Arial" w:cs="Arial"/>
          <w:i/>
          <w:sz w:val="20"/>
          <w:szCs w:val="20"/>
        </w:rPr>
        <w:t xml:space="preserve">E. coli </w:t>
      </w:r>
      <w:r w:rsidRPr="00203715">
        <w:rPr>
          <w:rFonts w:ascii="Arial" w:hAnsi="Arial" w:cs="Arial"/>
          <w:sz w:val="20"/>
          <w:szCs w:val="20"/>
        </w:rPr>
        <w:t xml:space="preserve">(38.37%) was the most prevalent microorganisms identified in this study. This is in line with several studies that have reported </w:t>
      </w:r>
      <w:r w:rsidRPr="00203715">
        <w:rPr>
          <w:rFonts w:ascii="Arial" w:hAnsi="Arial" w:cs="Arial"/>
          <w:i/>
          <w:sz w:val="20"/>
          <w:szCs w:val="20"/>
        </w:rPr>
        <w:t xml:space="preserve">E. coli </w:t>
      </w:r>
      <w:r w:rsidRPr="00203715">
        <w:rPr>
          <w:rFonts w:ascii="Arial" w:hAnsi="Arial" w:cs="Arial"/>
          <w:sz w:val="20"/>
          <w:szCs w:val="20"/>
        </w:rPr>
        <w:t xml:space="preserve">to be the principal </w:t>
      </w:r>
      <w:proofErr w:type="spellStart"/>
      <w:r w:rsidRPr="00203715">
        <w:rPr>
          <w:rFonts w:ascii="Arial" w:hAnsi="Arial" w:cs="Arial"/>
          <w:sz w:val="20"/>
          <w:szCs w:val="20"/>
        </w:rPr>
        <w:t>uropathog</w:t>
      </w:r>
      <w:r w:rsidR="00D04A1F" w:rsidRPr="00203715">
        <w:rPr>
          <w:rFonts w:ascii="Arial" w:hAnsi="Arial" w:cs="Arial"/>
          <w:sz w:val="20"/>
          <w:szCs w:val="20"/>
        </w:rPr>
        <w:t>en</w:t>
      </w:r>
      <w:proofErr w:type="spellEnd"/>
      <w:r w:rsidR="00D04A1F" w:rsidRPr="00203715">
        <w:rPr>
          <w:rFonts w:ascii="Arial" w:hAnsi="Arial" w:cs="Arial"/>
          <w:sz w:val="20"/>
          <w:szCs w:val="20"/>
        </w:rPr>
        <w:t xml:space="preserve"> isolated in urine samples [16</w:t>
      </w:r>
      <w:r w:rsidR="00AB06C0" w:rsidRPr="00203715">
        <w:rPr>
          <w:rFonts w:ascii="Arial" w:hAnsi="Arial" w:cs="Arial"/>
          <w:sz w:val="20"/>
          <w:szCs w:val="20"/>
        </w:rPr>
        <w:t>, 21</w:t>
      </w:r>
      <w:r w:rsidRPr="00203715">
        <w:rPr>
          <w:rFonts w:ascii="Arial" w:hAnsi="Arial" w:cs="Arial"/>
          <w:sz w:val="20"/>
          <w:szCs w:val="20"/>
        </w:rPr>
        <w:t xml:space="preserve">]. The high prevalence of this organism can be due to its ability to produce adhesion factors and predominance in the GIT, which could favor it’s cross-over to the urinary tract especially during poor hygienic conditions.  </w:t>
      </w:r>
      <w:r w:rsidRPr="00203715">
        <w:rPr>
          <w:rFonts w:ascii="Arial" w:hAnsi="Arial" w:cs="Arial"/>
          <w:i/>
          <w:sz w:val="20"/>
          <w:szCs w:val="20"/>
        </w:rPr>
        <w:t xml:space="preserve">Klebsiella </w:t>
      </w:r>
      <w:r w:rsidRPr="00203715">
        <w:rPr>
          <w:rFonts w:ascii="Arial" w:hAnsi="Arial" w:cs="Arial"/>
          <w:sz w:val="20"/>
          <w:szCs w:val="20"/>
        </w:rPr>
        <w:t xml:space="preserve">spp. (20.93%) was the second most prevalent </w:t>
      </w:r>
      <w:proofErr w:type="spellStart"/>
      <w:r w:rsidRPr="00203715">
        <w:rPr>
          <w:rFonts w:ascii="Arial" w:hAnsi="Arial" w:cs="Arial"/>
          <w:sz w:val="20"/>
          <w:szCs w:val="20"/>
        </w:rPr>
        <w:t>uropatho</w:t>
      </w:r>
      <w:r w:rsidR="00847061" w:rsidRPr="00203715">
        <w:rPr>
          <w:rFonts w:ascii="Arial" w:hAnsi="Arial" w:cs="Arial"/>
          <w:sz w:val="20"/>
          <w:szCs w:val="20"/>
        </w:rPr>
        <w:t>g</w:t>
      </w:r>
      <w:r w:rsidRPr="00203715">
        <w:rPr>
          <w:rFonts w:ascii="Arial" w:hAnsi="Arial" w:cs="Arial"/>
          <w:sz w:val="20"/>
          <w:szCs w:val="20"/>
        </w:rPr>
        <w:t>en</w:t>
      </w:r>
      <w:proofErr w:type="spellEnd"/>
      <w:r w:rsidRPr="00203715">
        <w:rPr>
          <w:rFonts w:ascii="Arial" w:hAnsi="Arial" w:cs="Arial"/>
          <w:sz w:val="20"/>
          <w:szCs w:val="20"/>
        </w:rPr>
        <w:t xml:space="preserve"> isolated during this study. This predominance can be justified by the ability of this organism to produce urease, which makes urine alkaline and favors the growth of the later. </w:t>
      </w:r>
    </w:p>
    <w:p w14:paraId="534E3678" w14:textId="77777777" w:rsidR="004B64EC" w:rsidRPr="00203715" w:rsidRDefault="004B64EC" w:rsidP="00C67020">
      <w:pPr>
        <w:spacing w:after="0" w:line="480" w:lineRule="auto"/>
        <w:jc w:val="both"/>
        <w:rPr>
          <w:rFonts w:ascii="Arial" w:hAnsi="Arial" w:cs="Arial"/>
          <w:i/>
          <w:sz w:val="20"/>
          <w:szCs w:val="20"/>
        </w:rPr>
      </w:pPr>
      <w:r w:rsidRPr="00203715">
        <w:rPr>
          <w:rFonts w:ascii="Arial" w:hAnsi="Arial" w:cs="Arial"/>
          <w:sz w:val="20"/>
          <w:szCs w:val="20"/>
        </w:rPr>
        <w:t xml:space="preserve">Concerning Gram-positive, </w:t>
      </w:r>
      <w:r w:rsidRPr="00203715">
        <w:rPr>
          <w:rFonts w:ascii="Arial" w:hAnsi="Arial" w:cs="Arial"/>
          <w:i/>
          <w:sz w:val="20"/>
          <w:szCs w:val="20"/>
        </w:rPr>
        <w:t>Staphylococcus</w:t>
      </w:r>
      <w:r w:rsidR="00F32098" w:rsidRPr="00203715">
        <w:rPr>
          <w:rFonts w:ascii="Arial" w:hAnsi="Arial" w:cs="Arial"/>
          <w:sz w:val="20"/>
          <w:szCs w:val="20"/>
        </w:rPr>
        <w:t xml:space="preserve"> spp.  was</w:t>
      </w:r>
      <w:r w:rsidRPr="00203715">
        <w:rPr>
          <w:rFonts w:ascii="Arial" w:hAnsi="Arial" w:cs="Arial"/>
          <w:sz w:val="20"/>
          <w:szCs w:val="20"/>
        </w:rPr>
        <w:t xml:space="preserve"> the only organism identified in this study. However, studies have stipulated that </w:t>
      </w:r>
      <w:r w:rsidRPr="00203715">
        <w:rPr>
          <w:rFonts w:ascii="Arial" w:hAnsi="Arial" w:cs="Arial"/>
          <w:i/>
          <w:sz w:val="20"/>
          <w:szCs w:val="20"/>
        </w:rPr>
        <w:t xml:space="preserve">Staphylococci coagulase </w:t>
      </w:r>
      <w:r w:rsidRPr="00203715">
        <w:rPr>
          <w:rFonts w:ascii="Arial" w:hAnsi="Arial" w:cs="Arial"/>
          <w:sz w:val="20"/>
          <w:szCs w:val="20"/>
        </w:rPr>
        <w:t>positive are known to be genital or skin contaminants</w:t>
      </w:r>
      <w:r w:rsidRPr="00203715">
        <w:rPr>
          <w:rFonts w:ascii="Arial" w:hAnsi="Arial" w:cs="Arial"/>
          <w:i/>
          <w:sz w:val="20"/>
          <w:szCs w:val="20"/>
        </w:rPr>
        <w:t xml:space="preserve"> </w:t>
      </w:r>
      <w:r w:rsidR="00FD45E3" w:rsidRPr="00203715">
        <w:rPr>
          <w:rFonts w:ascii="Arial" w:hAnsi="Arial" w:cs="Arial"/>
          <w:sz w:val="20"/>
          <w:szCs w:val="20"/>
        </w:rPr>
        <w:t>[22</w:t>
      </w:r>
      <w:r w:rsidRPr="00203715">
        <w:rPr>
          <w:rFonts w:ascii="Arial" w:hAnsi="Arial" w:cs="Arial"/>
          <w:sz w:val="20"/>
          <w:szCs w:val="20"/>
        </w:rPr>
        <w:t>].</w:t>
      </w:r>
      <w:r w:rsidRPr="00203715">
        <w:rPr>
          <w:rFonts w:ascii="Arial" w:hAnsi="Arial" w:cs="Arial"/>
          <w:i/>
          <w:sz w:val="20"/>
          <w:szCs w:val="20"/>
        </w:rPr>
        <w:t xml:space="preserve"> </w:t>
      </w:r>
    </w:p>
    <w:p w14:paraId="7A8C7F31" w14:textId="79C16837" w:rsidR="004B64EC" w:rsidRPr="00203715" w:rsidRDefault="004B64EC" w:rsidP="00C67020">
      <w:pPr>
        <w:spacing w:after="0" w:line="480" w:lineRule="auto"/>
        <w:jc w:val="both"/>
        <w:rPr>
          <w:rFonts w:ascii="Arial" w:hAnsi="Arial" w:cs="Arial"/>
          <w:sz w:val="20"/>
          <w:szCs w:val="20"/>
        </w:rPr>
      </w:pPr>
      <w:r w:rsidRPr="00203715">
        <w:rPr>
          <w:rFonts w:ascii="Arial" w:hAnsi="Arial" w:cs="Arial"/>
          <w:sz w:val="20"/>
          <w:szCs w:val="20"/>
        </w:rPr>
        <w:t>Treatment of urinary tract infections due to bacteria origin has become difficult due to the development of resistance by these organisms. Emergence of multi</w:t>
      </w:r>
      <w:r w:rsidR="00250D6E" w:rsidRPr="00203715">
        <w:rPr>
          <w:rFonts w:ascii="Arial" w:hAnsi="Arial" w:cs="Arial"/>
          <w:sz w:val="20"/>
          <w:szCs w:val="20"/>
        </w:rPr>
        <w:t>drug-resistant</w:t>
      </w:r>
      <w:r w:rsidRPr="00203715">
        <w:rPr>
          <w:rFonts w:ascii="Arial" w:hAnsi="Arial" w:cs="Arial"/>
          <w:sz w:val="20"/>
          <w:szCs w:val="20"/>
        </w:rPr>
        <w:t xml:space="preserve"> micro</w:t>
      </w:r>
      <w:r w:rsidR="00FD45E3" w:rsidRPr="00203715">
        <w:rPr>
          <w:rFonts w:ascii="Arial" w:hAnsi="Arial" w:cs="Arial"/>
          <w:sz w:val="20"/>
          <w:szCs w:val="20"/>
        </w:rPr>
        <w:t>organisms have been reported [23</w:t>
      </w:r>
      <w:r w:rsidRPr="00203715">
        <w:rPr>
          <w:rFonts w:ascii="Arial" w:hAnsi="Arial" w:cs="Arial"/>
          <w:sz w:val="20"/>
          <w:szCs w:val="20"/>
        </w:rPr>
        <w:t xml:space="preserve">].  Un-complicated UTIs are self-limiting, cohesion due to stigma push most patients to go for auto-medication, which is a risk for the development of resistance and this can also reduce the frequency of hospital attendance. In the present study, Gram-negative </w:t>
      </w:r>
      <w:proofErr w:type="spellStart"/>
      <w:r w:rsidRPr="00203715">
        <w:rPr>
          <w:rFonts w:ascii="Arial" w:hAnsi="Arial" w:cs="Arial"/>
          <w:sz w:val="20"/>
          <w:szCs w:val="20"/>
        </w:rPr>
        <w:t>uropathogens</w:t>
      </w:r>
      <w:proofErr w:type="spellEnd"/>
      <w:r w:rsidRPr="00203715">
        <w:rPr>
          <w:rFonts w:ascii="Arial" w:hAnsi="Arial" w:cs="Arial"/>
          <w:sz w:val="20"/>
          <w:szCs w:val="20"/>
        </w:rPr>
        <w:t xml:space="preserve"> showed a high resistance rate to three families of antibiotics, β-lactams: amoxicillin + clavulanic acid (100%), ceftazidime (63.88%), cefotaxime (52.77%), ceftriaxone (56.94%), quinolones: ciprofloxacin (43.05%) and aminoglycosides: tobramycin (40.27%)). This high rate of prevalence could be attributed to the inappropriate use of antibiotics by patients, the production of beta-lactamase enzymes and the expressio</w:t>
      </w:r>
      <w:r w:rsidR="00FD45E3" w:rsidRPr="00203715">
        <w:rPr>
          <w:rFonts w:ascii="Arial" w:hAnsi="Arial" w:cs="Arial"/>
          <w:sz w:val="20"/>
          <w:szCs w:val="20"/>
        </w:rPr>
        <w:t xml:space="preserve">n of efflux </w:t>
      </w:r>
      <w:proofErr w:type="spellStart"/>
      <w:r w:rsidR="00FD45E3" w:rsidRPr="00203715">
        <w:rPr>
          <w:rFonts w:ascii="Arial" w:hAnsi="Arial" w:cs="Arial"/>
          <w:sz w:val="20"/>
          <w:szCs w:val="20"/>
        </w:rPr>
        <w:t>pomps</w:t>
      </w:r>
      <w:proofErr w:type="spellEnd"/>
      <w:r w:rsidR="00FD45E3" w:rsidRPr="00203715">
        <w:rPr>
          <w:rFonts w:ascii="Arial" w:hAnsi="Arial" w:cs="Arial"/>
          <w:sz w:val="20"/>
          <w:szCs w:val="20"/>
        </w:rPr>
        <w:t xml:space="preserve"> [24</w:t>
      </w:r>
      <w:r w:rsidRPr="00203715">
        <w:rPr>
          <w:rFonts w:ascii="Arial" w:hAnsi="Arial" w:cs="Arial"/>
          <w:sz w:val="20"/>
          <w:szCs w:val="20"/>
        </w:rPr>
        <w:t>]. However, a study conducted by Tula and collaborators in 2020 have shown that Gram-negative bacteria were 78.3% susceptible to ciproflox</w:t>
      </w:r>
      <w:r w:rsidR="00FD45E3" w:rsidRPr="00203715">
        <w:rPr>
          <w:rFonts w:ascii="Arial" w:hAnsi="Arial" w:cs="Arial"/>
          <w:sz w:val="20"/>
          <w:szCs w:val="20"/>
        </w:rPr>
        <w:t>acin and 91.3% to gentamycin [21</w:t>
      </w:r>
      <w:r w:rsidRPr="00203715">
        <w:rPr>
          <w:rFonts w:ascii="Arial" w:hAnsi="Arial" w:cs="Arial"/>
          <w:sz w:val="20"/>
          <w:szCs w:val="20"/>
        </w:rPr>
        <w:t xml:space="preserve">].  </w:t>
      </w:r>
    </w:p>
    <w:p w14:paraId="7AF886B0" w14:textId="277EBA44" w:rsidR="004B64EC" w:rsidRPr="00203715" w:rsidRDefault="004B64EC" w:rsidP="00C67020">
      <w:pPr>
        <w:spacing w:after="0" w:line="480" w:lineRule="auto"/>
        <w:jc w:val="both"/>
        <w:rPr>
          <w:rFonts w:ascii="Arial" w:hAnsi="Arial" w:cs="Arial"/>
          <w:bCs/>
          <w:sz w:val="20"/>
          <w:szCs w:val="20"/>
        </w:rPr>
      </w:pPr>
      <w:r w:rsidRPr="00203715">
        <w:rPr>
          <w:rFonts w:ascii="Arial" w:hAnsi="Arial" w:cs="Arial"/>
          <w:bCs/>
          <w:i/>
          <w:sz w:val="20"/>
          <w:szCs w:val="20"/>
        </w:rPr>
        <w:lastRenderedPageBreak/>
        <w:t>E. coli</w:t>
      </w:r>
      <w:r w:rsidRPr="00203715">
        <w:rPr>
          <w:rFonts w:ascii="Arial" w:hAnsi="Arial" w:cs="Arial"/>
          <w:b/>
          <w:bCs/>
          <w:sz w:val="20"/>
          <w:szCs w:val="20"/>
        </w:rPr>
        <w:t xml:space="preserve"> </w:t>
      </w:r>
      <w:r w:rsidRPr="00203715">
        <w:rPr>
          <w:rFonts w:ascii="Arial" w:hAnsi="Arial" w:cs="Arial"/>
          <w:sz w:val="20"/>
          <w:szCs w:val="20"/>
        </w:rPr>
        <w:t xml:space="preserve">and </w:t>
      </w:r>
      <w:r w:rsidRPr="00203715">
        <w:rPr>
          <w:rFonts w:ascii="Arial" w:hAnsi="Arial" w:cs="Arial"/>
          <w:bCs/>
          <w:i/>
          <w:sz w:val="20"/>
          <w:szCs w:val="20"/>
        </w:rPr>
        <w:t>Klebsiella</w:t>
      </w:r>
      <w:r w:rsidRPr="00203715">
        <w:rPr>
          <w:rFonts w:ascii="Arial" w:hAnsi="Arial" w:cs="Arial"/>
          <w:b/>
          <w:bCs/>
          <w:sz w:val="20"/>
          <w:szCs w:val="20"/>
        </w:rPr>
        <w:t xml:space="preserve"> </w:t>
      </w:r>
      <w:r w:rsidRPr="00203715">
        <w:rPr>
          <w:rFonts w:ascii="Arial" w:hAnsi="Arial" w:cs="Arial"/>
          <w:sz w:val="20"/>
          <w:szCs w:val="20"/>
        </w:rPr>
        <w:t>spp.</w:t>
      </w:r>
      <w:r w:rsidR="006E3E57" w:rsidRPr="00203715">
        <w:rPr>
          <w:rFonts w:ascii="Arial" w:hAnsi="Arial" w:cs="Arial"/>
          <w:sz w:val="20"/>
          <w:szCs w:val="20"/>
        </w:rPr>
        <w:t>,</w:t>
      </w:r>
      <w:r w:rsidRPr="00203715">
        <w:rPr>
          <w:rFonts w:ascii="Arial" w:hAnsi="Arial" w:cs="Arial"/>
          <w:sz w:val="20"/>
          <w:szCs w:val="20"/>
        </w:rPr>
        <w:t xml:space="preserve"> the most prevalent </w:t>
      </w:r>
      <w:proofErr w:type="spellStart"/>
      <w:r w:rsidRPr="00203715">
        <w:rPr>
          <w:rFonts w:ascii="Arial" w:hAnsi="Arial" w:cs="Arial"/>
          <w:sz w:val="20"/>
          <w:szCs w:val="20"/>
        </w:rPr>
        <w:t>uropathogens</w:t>
      </w:r>
      <w:proofErr w:type="spellEnd"/>
      <w:r w:rsidRPr="00203715">
        <w:rPr>
          <w:rFonts w:ascii="Arial" w:hAnsi="Arial" w:cs="Arial"/>
          <w:sz w:val="20"/>
          <w:szCs w:val="20"/>
        </w:rPr>
        <w:t xml:space="preserve"> were resistant to amoxicillin +clavulanic acid and third generation cephalosporins. Th</w:t>
      </w:r>
      <w:r w:rsidR="006E3E57" w:rsidRPr="00203715">
        <w:rPr>
          <w:rFonts w:ascii="Arial" w:hAnsi="Arial" w:cs="Arial"/>
          <w:sz w:val="20"/>
          <w:szCs w:val="20"/>
        </w:rPr>
        <w:t xml:space="preserve">is </w:t>
      </w:r>
      <w:r w:rsidRPr="00203715">
        <w:rPr>
          <w:rFonts w:ascii="Arial" w:hAnsi="Arial" w:cs="Arial"/>
          <w:sz w:val="20"/>
          <w:szCs w:val="20"/>
        </w:rPr>
        <w:t>could be due to production of beta-lactamase enzymes that inactivates th</w:t>
      </w:r>
      <w:r w:rsidR="00FD45E3" w:rsidRPr="00203715">
        <w:rPr>
          <w:rFonts w:ascii="Arial" w:hAnsi="Arial" w:cs="Arial"/>
          <w:sz w:val="20"/>
          <w:szCs w:val="20"/>
        </w:rPr>
        <w:t>e activity of cephalosporins [24</w:t>
      </w:r>
      <w:r w:rsidRPr="00203715">
        <w:rPr>
          <w:rFonts w:ascii="Arial" w:hAnsi="Arial" w:cs="Arial"/>
          <w:sz w:val="20"/>
          <w:szCs w:val="20"/>
        </w:rPr>
        <w:t xml:space="preserve">]. These results are contrary to those reported by </w:t>
      </w:r>
      <w:proofErr w:type="spellStart"/>
      <w:r w:rsidRPr="00203715">
        <w:rPr>
          <w:rFonts w:ascii="Arial" w:hAnsi="Arial" w:cs="Arial"/>
          <w:sz w:val="20"/>
          <w:szCs w:val="20"/>
        </w:rPr>
        <w:t>Lambou</w:t>
      </w:r>
      <w:proofErr w:type="spellEnd"/>
      <w:r w:rsidRPr="00203715">
        <w:rPr>
          <w:rFonts w:ascii="Arial" w:hAnsi="Arial" w:cs="Arial"/>
          <w:sz w:val="20"/>
          <w:szCs w:val="20"/>
        </w:rPr>
        <w:t xml:space="preserve"> </w:t>
      </w:r>
      <w:r w:rsidRPr="00203715">
        <w:rPr>
          <w:rFonts w:ascii="Arial" w:hAnsi="Arial" w:cs="Arial"/>
          <w:i/>
          <w:sz w:val="20"/>
          <w:szCs w:val="20"/>
        </w:rPr>
        <w:t>et al.</w:t>
      </w:r>
      <w:r w:rsidR="00FD45E3" w:rsidRPr="00203715">
        <w:rPr>
          <w:rFonts w:ascii="Arial" w:hAnsi="Arial" w:cs="Arial"/>
          <w:sz w:val="20"/>
          <w:szCs w:val="20"/>
        </w:rPr>
        <w:t xml:space="preserve"> [25</w:t>
      </w:r>
      <w:r w:rsidRPr="00203715">
        <w:rPr>
          <w:rFonts w:ascii="Arial" w:hAnsi="Arial" w:cs="Arial"/>
          <w:sz w:val="20"/>
          <w:szCs w:val="20"/>
        </w:rPr>
        <w:t xml:space="preserve">] in Douala-Cameroon among diabetic patients; their study showed that </w:t>
      </w:r>
      <w:r w:rsidRPr="00203715">
        <w:rPr>
          <w:rFonts w:ascii="Arial" w:hAnsi="Arial" w:cs="Arial"/>
          <w:bCs/>
          <w:i/>
          <w:sz w:val="20"/>
          <w:szCs w:val="20"/>
        </w:rPr>
        <w:t xml:space="preserve">E. coli </w:t>
      </w:r>
      <w:r w:rsidRPr="00203715">
        <w:rPr>
          <w:rFonts w:ascii="Arial" w:hAnsi="Arial" w:cs="Arial"/>
          <w:bCs/>
          <w:sz w:val="20"/>
          <w:szCs w:val="20"/>
        </w:rPr>
        <w:t>was susceptible to</w:t>
      </w:r>
      <w:r w:rsidRPr="00203715">
        <w:rPr>
          <w:rFonts w:ascii="Arial" w:hAnsi="Arial" w:cs="Arial"/>
          <w:bCs/>
          <w:i/>
          <w:sz w:val="20"/>
          <w:szCs w:val="20"/>
        </w:rPr>
        <w:t xml:space="preserve"> </w:t>
      </w:r>
      <w:r w:rsidRPr="00203715">
        <w:rPr>
          <w:rFonts w:ascii="Arial" w:hAnsi="Arial" w:cs="Arial"/>
          <w:bCs/>
          <w:sz w:val="20"/>
          <w:szCs w:val="20"/>
        </w:rPr>
        <w:t>ceftriaxone and</w:t>
      </w:r>
      <w:r w:rsidR="00E911DA" w:rsidRPr="00203715">
        <w:rPr>
          <w:rFonts w:ascii="Arial" w:hAnsi="Arial" w:cs="Arial"/>
          <w:b/>
          <w:sz w:val="20"/>
          <w:szCs w:val="20"/>
        </w:rPr>
        <w:t xml:space="preserve"> </w:t>
      </w:r>
      <w:r w:rsidRPr="00203715">
        <w:rPr>
          <w:rFonts w:ascii="Arial" w:hAnsi="Arial" w:cs="Arial"/>
          <w:bCs/>
          <w:sz w:val="20"/>
          <w:szCs w:val="20"/>
        </w:rPr>
        <w:t>cefotaxime.</w:t>
      </w:r>
      <w:r w:rsidR="00B250E4" w:rsidRPr="00203715">
        <w:rPr>
          <w:rFonts w:ascii="Arial" w:hAnsi="Arial" w:cs="Arial"/>
          <w:bCs/>
          <w:sz w:val="20"/>
          <w:szCs w:val="20"/>
        </w:rPr>
        <w:t xml:space="preserve"> This is an indication that resistance varies from region to another making it necessary to evaluate resistance profile of </w:t>
      </w:r>
      <w:proofErr w:type="spellStart"/>
      <w:r w:rsidR="00B250E4" w:rsidRPr="00203715">
        <w:rPr>
          <w:rFonts w:ascii="Arial" w:hAnsi="Arial" w:cs="Arial"/>
          <w:bCs/>
          <w:sz w:val="20"/>
          <w:szCs w:val="20"/>
        </w:rPr>
        <w:t>uropathogens</w:t>
      </w:r>
      <w:proofErr w:type="spellEnd"/>
      <w:r w:rsidR="00B250E4" w:rsidRPr="00203715">
        <w:rPr>
          <w:rFonts w:ascii="Arial" w:hAnsi="Arial" w:cs="Arial"/>
          <w:bCs/>
          <w:sz w:val="20"/>
          <w:szCs w:val="20"/>
        </w:rPr>
        <w:t xml:space="preserve"> nationwide. </w:t>
      </w:r>
    </w:p>
    <w:p w14:paraId="2B5412F0" w14:textId="77777777" w:rsidR="004B64EC" w:rsidRPr="00203715" w:rsidRDefault="004B64EC" w:rsidP="00C67020">
      <w:pPr>
        <w:spacing w:after="0" w:line="480" w:lineRule="auto"/>
        <w:jc w:val="both"/>
        <w:rPr>
          <w:rFonts w:ascii="Arial" w:hAnsi="Arial" w:cs="Arial"/>
          <w:bCs/>
          <w:sz w:val="20"/>
          <w:szCs w:val="20"/>
        </w:rPr>
      </w:pPr>
      <w:r w:rsidRPr="00203715">
        <w:rPr>
          <w:rFonts w:ascii="Arial" w:hAnsi="Arial" w:cs="Arial"/>
          <w:bCs/>
          <w:sz w:val="20"/>
          <w:szCs w:val="20"/>
        </w:rPr>
        <w:t xml:space="preserve">Gram-positive isolates on their part presented generalized resistant strength to the entire antibiotics tested. This can be </w:t>
      </w:r>
      <w:r w:rsidR="00337E05" w:rsidRPr="00203715">
        <w:rPr>
          <w:rFonts w:ascii="Arial" w:hAnsi="Arial" w:cs="Arial"/>
          <w:bCs/>
          <w:sz w:val="20"/>
          <w:szCs w:val="20"/>
        </w:rPr>
        <w:t>explaining</w:t>
      </w:r>
      <w:r w:rsidRPr="00203715">
        <w:rPr>
          <w:rFonts w:ascii="Arial" w:hAnsi="Arial" w:cs="Arial"/>
          <w:bCs/>
          <w:sz w:val="20"/>
          <w:szCs w:val="20"/>
        </w:rPr>
        <w:t xml:space="preserve"> by their capacity to produce enzymes that inactivates antibiotics. </w:t>
      </w:r>
    </w:p>
    <w:p w14:paraId="48CFF68D" w14:textId="300460B1" w:rsidR="00994447" w:rsidRPr="00203715" w:rsidRDefault="00994447" w:rsidP="00994447">
      <w:pPr>
        <w:spacing w:after="0" w:line="480" w:lineRule="auto"/>
        <w:jc w:val="both"/>
        <w:rPr>
          <w:rFonts w:ascii="Arial" w:hAnsi="Arial" w:cs="Arial"/>
          <w:bCs/>
          <w:sz w:val="20"/>
          <w:szCs w:val="20"/>
        </w:rPr>
      </w:pPr>
      <w:r w:rsidRPr="00203715">
        <w:rPr>
          <w:rFonts w:ascii="Arial" w:hAnsi="Arial" w:cs="Arial"/>
          <w:bCs/>
          <w:sz w:val="20"/>
          <w:szCs w:val="20"/>
        </w:rPr>
        <w:t xml:space="preserve">Interruption of antibiotic treatment following previous UTI was found to be nine times associated with urinary tract infection this could be justified by that, interruption can lead to incomplete elimination of bacteria leading either to relapse or reinfection with another bacterium. </w:t>
      </w:r>
      <w:r w:rsidR="000377C5" w:rsidRPr="00203715">
        <w:rPr>
          <w:rFonts w:ascii="Arial" w:hAnsi="Arial" w:cs="Arial"/>
          <w:bCs/>
          <w:sz w:val="20"/>
          <w:szCs w:val="20"/>
        </w:rPr>
        <w:t>Timely, appropriate antibiotic therapy mitigates resistance and optimizes outcomes [27].</w:t>
      </w:r>
      <w:r w:rsidR="00D430C1" w:rsidRPr="00203715">
        <w:rPr>
          <w:rFonts w:ascii="Arial" w:hAnsi="Arial" w:cs="Arial"/>
          <w:bCs/>
          <w:sz w:val="20"/>
          <w:szCs w:val="20"/>
        </w:rPr>
        <w:t xml:space="preserve"> </w:t>
      </w:r>
      <w:r w:rsidRPr="00203715">
        <w:rPr>
          <w:rFonts w:ascii="Arial" w:hAnsi="Arial" w:cs="Arial"/>
          <w:bCs/>
          <w:sz w:val="20"/>
          <w:szCs w:val="20"/>
        </w:rPr>
        <w:t>The used of oral contraceptives was found to be about five times risk factor of UTI this could be due to the fact that, oral contraceptives can cause alter the vagina and urinary tract making them vulnerable to infections. Such modifications could be hormonal.</w:t>
      </w:r>
      <w:r w:rsidR="00C9225D" w:rsidRPr="00203715">
        <w:rPr>
          <w:rFonts w:ascii="Arial" w:hAnsi="Arial" w:cs="Arial"/>
          <w:bCs/>
          <w:sz w:val="20"/>
          <w:szCs w:val="20"/>
        </w:rPr>
        <w:t xml:space="preserve"> This indication is in line with a case-control study conducted in Nigeria which indicated that the used of oral contraceptives could be a risk factor for UTI</w:t>
      </w:r>
      <w:r w:rsidR="00C9225D" w:rsidRPr="00203715">
        <w:rPr>
          <w:rFonts w:ascii="Arial" w:hAnsi="Arial" w:cs="Arial"/>
          <w:bCs/>
          <w:color w:val="FF0000"/>
          <w:sz w:val="20"/>
          <w:szCs w:val="20"/>
        </w:rPr>
        <w:t xml:space="preserve"> </w:t>
      </w:r>
      <w:r w:rsidR="00C9225D" w:rsidRPr="00203715">
        <w:rPr>
          <w:rFonts w:ascii="Arial" w:hAnsi="Arial" w:cs="Arial"/>
          <w:bCs/>
          <w:sz w:val="20"/>
          <w:szCs w:val="20"/>
        </w:rPr>
        <w:t>[</w:t>
      </w:r>
      <w:r w:rsidR="000377C5" w:rsidRPr="00203715">
        <w:rPr>
          <w:rFonts w:ascii="Arial" w:hAnsi="Arial" w:cs="Arial"/>
          <w:bCs/>
          <w:sz w:val="20"/>
          <w:szCs w:val="20"/>
        </w:rPr>
        <w:t>28</w:t>
      </w:r>
      <w:r w:rsidR="0085430A" w:rsidRPr="00203715">
        <w:rPr>
          <w:rFonts w:ascii="Arial" w:hAnsi="Arial" w:cs="Arial"/>
          <w:bCs/>
          <w:sz w:val="20"/>
          <w:szCs w:val="20"/>
        </w:rPr>
        <w:t>-</w:t>
      </w:r>
      <w:r w:rsidR="000377C5" w:rsidRPr="00203715">
        <w:rPr>
          <w:rFonts w:ascii="Arial" w:hAnsi="Arial" w:cs="Arial"/>
          <w:bCs/>
          <w:sz w:val="20"/>
          <w:szCs w:val="20"/>
        </w:rPr>
        <w:t>229</w:t>
      </w:r>
      <w:r w:rsidR="00C9225D" w:rsidRPr="00203715">
        <w:rPr>
          <w:rFonts w:ascii="Arial" w:hAnsi="Arial" w:cs="Arial"/>
          <w:bCs/>
          <w:sz w:val="20"/>
          <w:szCs w:val="20"/>
        </w:rPr>
        <w:t>]</w:t>
      </w:r>
      <w:r w:rsidR="00936810" w:rsidRPr="00203715">
        <w:rPr>
          <w:rFonts w:ascii="Arial" w:hAnsi="Arial" w:cs="Arial"/>
          <w:bCs/>
          <w:sz w:val="20"/>
          <w:szCs w:val="20"/>
        </w:rPr>
        <w:t>.</w:t>
      </w:r>
    </w:p>
    <w:p w14:paraId="6D326D97" w14:textId="77777777" w:rsidR="004B64EC" w:rsidRPr="00203715" w:rsidRDefault="004B64EC" w:rsidP="00C67020">
      <w:pPr>
        <w:spacing w:after="0" w:line="480" w:lineRule="auto"/>
        <w:jc w:val="both"/>
        <w:rPr>
          <w:rFonts w:ascii="Arial" w:hAnsi="Arial" w:cs="Arial"/>
          <w:b/>
          <w:sz w:val="20"/>
          <w:szCs w:val="20"/>
        </w:rPr>
      </w:pPr>
      <w:r w:rsidRPr="00203715">
        <w:rPr>
          <w:rFonts w:ascii="Arial" w:hAnsi="Arial" w:cs="Arial"/>
          <w:sz w:val="20"/>
          <w:szCs w:val="20"/>
        </w:rPr>
        <w:t xml:space="preserve">The present study was conducted only in the hospital milieu making it not representative of the community and over a relatively short period.  Another limitation to the present study was the lack molecular tools that could permit the search for resistance genes. </w:t>
      </w:r>
    </w:p>
    <w:p w14:paraId="42A3290D" w14:textId="77777777" w:rsidR="004B64EC" w:rsidRPr="004B64EC" w:rsidRDefault="004B64EC" w:rsidP="00311684">
      <w:pPr>
        <w:spacing w:after="0" w:line="360" w:lineRule="auto"/>
        <w:rPr>
          <w:rFonts w:ascii="Times New Roman" w:hAnsi="Times New Roman" w:cs="Times New Roman"/>
          <w:b/>
          <w:sz w:val="24"/>
          <w:szCs w:val="24"/>
        </w:rPr>
      </w:pPr>
    </w:p>
    <w:p w14:paraId="086AA07B" w14:textId="0BA9E6B5" w:rsidR="004B64EC" w:rsidRPr="001938BC" w:rsidRDefault="001938BC" w:rsidP="001938BC">
      <w:pPr>
        <w:rPr>
          <w:rFonts w:ascii="Arial" w:hAnsi="Arial" w:cs="Arial"/>
          <w:b/>
        </w:rPr>
      </w:pPr>
      <w:r w:rsidRPr="001938BC">
        <w:rPr>
          <w:rFonts w:ascii="Arial" w:hAnsi="Arial" w:cs="Arial"/>
          <w:b/>
        </w:rPr>
        <w:t>5. CONCLUSIONS</w:t>
      </w:r>
    </w:p>
    <w:p w14:paraId="7D9B5078" w14:textId="0DB5FB52" w:rsidR="004B64EC" w:rsidRDefault="004B64EC" w:rsidP="006F18D2">
      <w:pPr>
        <w:spacing w:after="0" w:line="480" w:lineRule="auto"/>
        <w:jc w:val="both"/>
        <w:rPr>
          <w:rFonts w:ascii="Arial" w:hAnsi="Arial" w:cs="Arial"/>
          <w:iCs/>
          <w:sz w:val="20"/>
          <w:szCs w:val="20"/>
        </w:rPr>
      </w:pPr>
      <w:r w:rsidRPr="001938BC">
        <w:rPr>
          <w:rFonts w:ascii="Arial" w:hAnsi="Arial" w:cs="Arial"/>
          <w:sz w:val="20"/>
          <w:szCs w:val="20"/>
        </w:rPr>
        <w:t>The prevalence of UTI was 49.77% and</w:t>
      </w:r>
      <w:r w:rsidRPr="001938BC">
        <w:rPr>
          <w:rFonts w:ascii="Arial" w:hAnsi="Arial" w:cs="Arial"/>
          <w:b/>
          <w:sz w:val="20"/>
          <w:szCs w:val="20"/>
        </w:rPr>
        <w:t xml:space="preserve"> </w:t>
      </w:r>
      <w:r w:rsidRPr="001938BC">
        <w:rPr>
          <w:rFonts w:ascii="Arial" w:hAnsi="Arial" w:cs="Arial"/>
          <w:i/>
          <w:iCs/>
          <w:sz w:val="20"/>
          <w:szCs w:val="20"/>
        </w:rPr>
        <w:t>E. coli</w:t>
      </w:r>
      <w:r w:rsidRPr="001938BC">
        <w:rPr>
          <w:rFonts w:ascii="Arial" w:hAnsi="Arial" w:cs="Arial"/>
          <w:sz w:val="20"/>
          <w:szCs w:val="20"/>
        </w:rPr>
        <w:t xml:space="preserve">, </w:t>
      </w:r>
      <w:r w:rsidRPr="001938BC">
        <w:rPr>
          <w:rFonts w:ascii="Arial" w:hAnsi="Arial" w:cs="Arial"/>
          <w:i/>
          <w:iCs/>
          <w:sz w:val="20"/>
          <w:szCs w:val="20"/>
        </w:rPr>
        <w:t xml:space="preserve">Klebsiella </w:t>
      </w:r>
      <w:r w:rsidRPr="001938BC">
        <w:rPr>
          <w:rFonts w:ascii="Arial" w:hAnsi="Arial" w:cs="Arial"/>
          <w:sz w:val="20"/>
          <w:szCs w:val="20"/>
        </w:rPr>
        <w:t xml:space="preserve">spp. and </w:t>
      </w:r>
      <w:proofErr w:type="spellStart"/>
      <w:r w:rsidRPr="001938BC">
        <w:rPr>
          <w:rFonts w:ascii="Arial" w:hAnsi="Arial" w:cs="Arial"/>
          <w:i/>
          <w:iCs/>
          <w:sz w:val="20"/>
          <w:szCs w:val="20"/>
        </w:rPr>
        <w:t>Staphyloccoccus</w:t>
      </w:r>
      <w:proofErr w:type="spellEnd"/>
      <w:r w:rsidRPr="001938BC">
        <w:rPr>
          <w:rFonts w:ascii="Arial" w:hAnsi="Arial" w:cs="Arial"/>
          <w:i/>
          <w:iCs/>
          <w:sz w:val="20"/>
          <w:szCs w:val="20"/>
        </w:rPr>
        <w:t xml:space="preserve"> </w:t>
      </w:r>
      <w:r w:rsidRPr="001938BC">
        <w:rPr>
          <w:rFonts w:ascii="Arial" w:hAnsi="Arial" w:cs="Arial"/>
          <w:sz w:val="20"/>
          <w:szCs w:val="20"/>
        </w:rPr>
        <w:t xml:space="preserve">spp. were the most prevalent </w:t>
      </w:r>
      <w:proofErr w:type="spellStart"/>
      <w:r w:rsidRPr="001938BC">
        <w:rPr>
          <w:rFonts w:ascii="Arial" w:hAnsi="Arial" w:cs="Arial"/>
          <w:sz w:val="20"/>
          <w:szCs w:val="20"/>
        </w:rPr>
        <w:t>uropathogens</w:t>
      </w:r>
      <w:proofErr w:type="spellEnd"/>
      <w:r w:rsidRPr="001938BC">
        <w:rPr>
          <w:rFonts w:ascii="Arial" w:hAnsi="Arial" w:cs="Arial"/>
          <w:sz w:val="20"/>
          <w:szCs w:val="20"/>
        </w:rPr>
        <w:t xml:space="preserve"> isolated. Gram-negative </w:t>
      </w:r>
      <w:proofErr w:type="spellStart"/>
      <w:r w:rsidRPr="001938BC">
        <w:rPr>
          <w:rFonts w:ascii="Arial" w:hAnsi="Arial" w:cs="Arial"/>
          <w:sz w:val="20"/>
          <w:szCs w:val="20"/>
        </w:rPr>
        <w:t>uropathogens</w:t>
      </w:r>
      <w:proofErr w:type="spellEnd"/>
      <w:r w:rsidRPr="001938BC">
        <w:rPr>
          <w:rFonts w:ascii="Arial" w:hAnsi="Arial" w:cs="Arial"/>
          <w:sz w:val="20"/>
          <w:szCs w:val="20"/>
        </w:rPr>
        <w:t xml:space="preserve"> were 100% resistant to amoxicillin+ clavulanic acid and highly resistant to third generation cephalosporins. Most of the isolates were MDR with the predominance of </w:t>
      </w:r>
      <w:r w:rsidRPr="001938BC">
        <w:rPr>
          <w:rFonts w:ascii="Arial" w:hAnsi="Arial" w:cs="Arial"/>
          <w:i/>
          <w:sz w:val="20"/>
          <w:szCs w:val="20"/>
        </w:rPr>
        <w:t>Staphylococcus</w:t>
      </w:r>
      <w:r w:rsidRPr="001938BC">
        <w:rPr>
          <w:rFonts w:ascii="Arial" w:hAnsi="Arial" w:cs="Arial"/>
          <w:sz w:val="20"/>
          <w:szCs w:val="20"/>
        </w:rPr>
        <w:t xml:space="preserve"> spp., </w:t>
      </w:r>
      <w:r w:rsidR="002310BF" w:rsidRPr="001938BC">
        <w:rPr>
          <w:rFonts w:ascii="Arial" w:hAnsi="Arial" w:cs="Arial"/>
          <w:i/>
          <w:sz w:val="20"/>
          <w:szCs w:val="20"/>
        </w:rPr>
        <w:t>Klebsiella</w:t>
      </w:r>
      <w:r w:rsidRPr="001938BC">
        <w:rPr>
          <w:rFonts w:ascii="Arial" w:hAnsi="Arial" w:cs="Arial"/>
          <w:sz w:val="20"/>
          <w:szCs w:val="20"/>
        </w:rPr>
        <w:t xml:space="preserve"> spp. and </w:t>
      </w:r>
      <w:r w:rsidRPr="001938BC">
        <w:rPr>
          <w:rFonts w:ascii="Arial" w:hAnsi="Arial" w:cs="Arial"/>
          <w:i/>
          <w:sz w:val="20"/>
          <w:szCs w:val="20"/>
        </w:rPr>
        <w:t>E. coli.</w:t>
      </w:r>
      <w:r w:rsidR="00D430C1" w:rsidRPr="001938BC">
        <w:rPr>
          <w:rFonts w:ascii="Arial" w:hAnsi="Arial" w:cs="Arial"/>
          <w:iCs/>
          <w:sz w:val="20"/>
          <w:szCs w:val="20"/>
        </w:rPr>
        <w:t xml:space="preserve"> </w:t>
      </w:r>
      <w:r w:rsidR="002310BF" w:rsidRPr="001938BC">
        <w:rPr>
          <w:rFonts w:ascii="Arial" w:hAnsi="Arial" w:cs="Arial"/>
          <w:iCs/>
          <w:sz w:val="20"/>
          <w:szCs w:val="20"/>
        </w:rPr>
        <w:t>The results showed that it will be good to carry a hospital and community base study in order to get more information about UTI causing organisms, their antimicrobial profile and associated risk factors.</w:t>
      </w:r>
    </w:p>
    <w:p w14:paraId="1356272C" w14:textId="77777777" w:rsidR="001938BC" w:rsidRDefault="001938BC" w:rsidP="001938BC">
      <w:pPr>
        <w:spacing w:after="0" w:line="480" w:lineRule="auto"/>
        <w:jc w:val="both"/>
        <w:rPr>
          <w:rFonts w:ascii="Times New Roman" w:hAnsi="Times New Roman" w:cs="Times New Roman"/>
          <w:b/>
          <w:sz w:val="24"/>
          <w:szCs w:val="24"/>
        </w:rPr>
      </w:pPr>
    </w:p>
    <w:p w14:paraId="03DDD307" w14:textId="3DFF1CBA" w:rsidR="00732650" w:rsidRPr="008B1450" w:rsidRDefault="00732650" w:rsidP="00371E35">
      <w:pPr>
        <w:spacing w:line="480" w:lineRule="auto"/>
        <w:jc w:val="both"/>
        <w:rPr>
          <w:rFonts w:ascii="Arial" w:eastAsia="Times New Roman" w:hAnsi="Arial" w:cs="Arial"/>
          <w:b/>
          <w:bCs/>
        </w:rPr>
      </w:pPr>
      <w:bookmarkStart w:id="0" w:name="_GoBack"/>
      <w:bookmarkEnd w:id="0"/>
      <w:r w:rsidRPr="008B1450">
        <w:rPr>
          <w:rFonts w:ascii="Arial" w:eastAsia="Times New Roman" w:hAnsi="Arial" w:cs="Arial"/>
          <w:b/>
          <w:bCs/>
        </w:rPr>
        <w:lastRenderedPageBreak/>
        <w:t>CONSENT</w:t>
      </w:r>
    </w:p>
    <w:p w14:paraId="7EFDEF99" w14:textId="2D77360B" w:rsidR="00732650" w:rsidRPr="008B1450" w:rsidRDefault="00732650" w:rsidP="00371E35">
      <w:pPr>
        <w:spacing w:line="480" w:lineRule="auto"/>
        <w:jc w:val="both"/>
        <w:rPr>
          <w:rFonts w:ascii="Arial" w:hAnsi="Arial" w:cs="Arial"/>
          <w:bCs/>
          <w:sz w:val="20"/>
          <w:szCs w:val="20"/>
        </w:rPr>
      </w:pPr>
      <w:r w:rsidRPr="008B1450">
        <w:rPr>
          <w:rFonts w:ascii="Arial" w:eastAsia="Times New Roman" w:hAnsi="Arial" w:cs="Arial"/>
          <w:bCs/>
          <w:sz w:val="20"/>
          <w:szCs w:val="20"/>
        </w:rPr>
        <w:t>All participants signed a written consent form for participation and approved the publication of collected data and results.</w:t>
      </w:r>
    </w:p>
    <w:p w14:paraId="0473AF71" w14:textId="6840AB7B" w:rsidR="008B1450" w:rsidRPr="008B1450" w:rsidRDefault="008B1450" w:rsidP="008B1450">
      <w:pPr>
        <w:spacing w:line="480" w:lineRule="auto"/>
        <w:rPr>
          <w:rFonts w:ascii="Times New Roman" w:hAnsi="Times New Roman" w:cs="Times New Roman"/>
          <w:b/>
          <w:sz w:val="24"/>
          <w:szCs w:val="24"/>
        </w:rPr>
      </w:pPr>
      <w:r w:rsidRPr="008B1450">
        <w:rPr>
          <w:rFonts w:ascii="Arial" w:hAnsi="Arial" w:cs="Arial"/>
          <w:b/>
          <w:bCs/>
        </w:rPr>
        <w:t>ETHICAL APPROVAL</w:t>
      </w:r>
      <w:r w:rsidRPr="008B1450">
        <w:rPr>
          <w:rFonts w:ascii="Times New Roman" w:hAnsi="Times New Roman" w:cs="Times New Roman"/>
          <w:b/>
          <w:sz w:val="24"/>
          <w:szCs w:val="24"/>
        </w:rPr>
        <w:t xml:space="preserve"> </w:t>
      </w:r>
    </w:p>
    <w:p w14:paraId="43660FD0" w14:textId="70B5AB25" w:rsidR="00A65EBA" w:rsidRPr="008B1450" w:rsidRDefault="004B64EC" w:rsidP="00466067">
      <w:pPr>
        <w:spacing w:line="480" w:lineRule="auto"/>
        <w:jc w:val="both"/>
        <w:rPr>
          <w:rFonts w:ascii="Arial" w:hAnsi="Arial" w:cs="Arial"/>
          <w:sz w:val="20"/>
          <w:szCs w:val="20"/>
        </w:rPr>
      </w:pPr>
      <w:r w:rsidRPr="008B1450">
        <w:rPr>
          <w:rFonts w:ascii="Arial" w:hAnsi="Arial" w:cs="Arial"/>
          <w:sz w:val="20"/>
          <w:szCs w:val="20"/>
        </w:rPr>
        <w:t>Consent was obtained or waived by all participants in this study. Cameroon Regional Ethic Committee proved the study in Charge of Human research for the West</w:t>
      </w:r>
      <w:r w:rsidR="008834AE" w:rsidRPr="008B1450">
        <w:rPr>
          <w:rFonts w:ascii="Arial" w:hAnsi="Arial" w:cs="Arial"/>
          <w:sz w:val="20"/>
          <w:szCs w:val="20"/>
        </w:rPr>
        <w:t xml:space="preserve"> Region, reference N°</w:t>
      </w:r>
      <w:r w:rsidR="00311684" w:rsidRPr="008B1450">
        <w:rPr>
          <w:rFonts w:ascii="Arial" w:hAnsi="Arial" w:cs="Arial"/>
          <w:sz w:val="20"/>
          <w:szCs w:val="20"/>
        </w:rPr>
        <w:t>431/31/05/2023/CE/CRERSH-OU/VP.</w:t>
      </w:r>
    </w:p>
    <w:p w14:paraId="777574AE" w14:textId="345F0731" w:rsidR="00D430C1" w:rsidRPr="008B1450" w:rsidRDefault="008B1450" w:rsidP="008B1450">
      <w:pPr>
        <w:spacing w:line="480" w:lineRule="auto"/>
        <w:rPr>
          <w:rFonts w:ascii="Arial" w:hAnsi="Arial" w:cs="Arial"/>
          <w:sz w:val="20"/>
          <w:szCs w:val="20"/>
        </w:rPr>
      </w:pPr>
      <w:r w:rsidRPr="00CF7E3A">
        <w:rPr>
          <w:rFonts w:ascii="Times New Roman" w:hAnsi="Times New Roman" w:cs="Times New Roman"/>
          <w:b/>
          <w:bCs/>
          <w:sz w:val="24"/>
          <w:szCs w:val="24"/>
        </w:rPr>
        <w:t xml:space="preserve">DATA </w:t>
      </w:r>
      <w:r w:rsidRPr="00F64556">
        <w:rPr>
          <w:rFonts w:ascii="Times New Roman" w:hAnsi="Times New Roman" w:cs="Times New Roman"/>
          <w:b/>
          <w:bCs/>
          <w:sz w:val="24"/>
          <w:szCs w:val="24"/>
        </w:rPr>
        <w:t>A</w:t>
      </w:r>
      <w:r>
        <w:rPr>
          <w:rFonts w:ascii="Times New Roman" w:hAnsi="Times New Roman" w:cs="Times New Roman"/>
          <w:b/>
          <w:bCs/>
          <w:sz w:val="24"/>
          <w:szCs w:val="24"/>
        </w:rPr>
        <w:t>V</w:t>
      </w:r>
      <w:r w:rsidRPr="00F64556">
        <w:rPr>
          <w:rFonts w:ascii="Times New Roman" w:hAnsi="Times New Roman" w:cs="Times New Roman"/>
          <w:b/>
          <w:bCs/>
          <w:sz w:val="24"/>
          <w:szCs w:val="24"/>
        </w:rPr>
        <w:t>A</w:t>
      </w:r>
      <w:r>
        <w:rPr>
          <w:rFonts w:ascii="Times New Roman" w:hAnsi="Times New Roman" w:cs="Times New Roman"/>
          <w:b/>
          <w:bCs/>
          <w:sz w:val="24"/>
          <w:szCs w:val="24"/>
        </w:rPr>
        <w:t>IL</w:t>
      </w:r>
      <w:r w:rsidRPr="00F64556">
        <w:rPr>
          <w:rFonts w:ascii="Times New Roman" w:hAnsi="Times New Roman" w:cs="Times New Roman"/>
          <w:b/>
          <w:bCs/>
          <w:sz w:val="24"/>
          <w:szCs w:val="24"/>
        </w:rPr>
        <w:t>ABILITY</w:t>
      </w:r>
      <w:r w:rsidR="0052662E">
        <w:rPr>
          <w:rFonts w:ascii="Times New Roman" w:hAnsi="Times New Roman" w:cs="Times New Roman"/>
          <w:sz w:val="24"/>
          <w:szCs w:val="24"/>
        </w:rPr>
        <w:t xml:space="preserve">: </w:t>
      </w:r>
      <w:r w:rsidR="0052662E" w:rsidRPr="008B1450">
        <w:rPr>
          <w:rFonts w:ascii="Arial" w:hAnsi="Arial" w:cs="Arial"/>
          <w:sz w:val="20"/>
          <w:szCs w:val="20"/>
        </w:rPr>
        <w:t>all</w:t>
      </w:r>
      <w:r w:rsidRPr="008B1450">
        <w:rPr>
          <w:rFonts w:ascii="Arial" w:hAnsi="Arial" w:cs="Arial"/>
          <w:sz w:val="20"/>
          <w:szCs w:val="20"/>
        </w:rPr>
        <w:t xml:space="preserve"> data</w:t>
      </w:r>
      <w:r w:rsidR="0052662E" w:rsidRPr="008B1450">
        <w:rPr>
          <w:rFonts w:ascii="Arial" w:hAnsi="Arial" w:cs="Arial"/>
          <w:sz w:val="20"/>
          <w:szCs w:val="20"/>
        </w:rPr>
        <w:t xml:space="preserve"> of the present study has been included in the manuscript</w:t>
      </w:r>
    </w:p>
    <w:p w14:paraId="128B1EB8" w14:textId="77777777" w:rsidR="008B1450" w:rsidRDefault="008B1450" w:rsidP="00B019A7">
      <w:pPr>
        <w:spacing w:after="0" w:line="480" w:lineRule="auto"/>
        <w:jc w:val="both"/>
        <w:rPr>
          <w:rFonts w:ascii="Times New Roman" w:hAnsi="Times New Roman" w:cs="Times New Roman"/>
          <w:b/>
          <w:sz w:val="24"/>
          <w:szCs w:val="24"/>
        </w:rPr>
      </w:pPr>
    </w:p>
    <w:p w14:paraId="40ADDBE5" w14:textId="6A5679CA" w:rsidR="004B64EC" w:rsidRPr="00D27198" w:rsidRDefault="00D27198" w:rsidP="00B019A7">
      <w:pPr>
        <w:spacing w:after="0" w:line="480" w:lineRule="auto"/>
        <w:jc w:val="both"/>
        <w:rPr>
          <w:rFonts w:ascii="Times New Roman" w:hAnsi="Times New Roman" w:cs="Times New Roman"/>
          <w:b/>
          <w:sz w:val="24"/>
          <w:szCs w:val="24"/>
        </w:rPr>
      </w:pPr>
      <w:r w:rsidRPr="00D27198">
        <w:rPr>
          <w:rFonts w:ascii="Times New Roman" w:hAnsi="Times New Roman" w:cs="Times New Roman"/>
          <w:b/>
          <w:sz w:val="24"/>
          <w:szCs w:val="24"/>
        </w:rPr>
        <w:t>References</w:t>
      </w:r>
    </w:p>
    <w:p w14:paraId="68D9ADBD" w14:textId="241580E9"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sz w:val="24"/>
          <w:szCs w:val="24"/>
        </w:rPr>
        <w:t>Seifu</w:t>
      </w:r>
      <w:proofErr w:type="spellEnd"/>
      <w:r w:rsidRPr="00D27198">
        <w:rPr>
          <w:rFonts w:ascii="Times New Roman" w:hAnsi="Times New Roman" w:cs="Times New Roman"/>
          <w:sz w:val="24"/>
          <w:szCs w:val="24"/>
        </w:rPr>
        <w:t xml:space="preserve"> DW, </w:t>
      </w:r>
      <w:proofErr w:type="spellStart"/>
      <w:r w:rsidRPr="00D27198">
        <w:rPr>
          <w:rFonts w:ascii="Times New Roman" w:hAnsi="Times New Roman" w:cs="Times New Roman"/>
          <w:sz w:val="24"/>
          <w:szCs w:val="24"/>
        </w:rPr>
        <w:t>Gebissa</w:t>
      </w:r>
      <w:proofErr w:type="spellEnd"/>
      <w:r w:rsidRPr="00D27198">
        <w:rPr>
          <w:rFonts w:ascii="Times New Roman" w:hAnsi="Times New Roman" w:cs="Times New Roman"/>
          <w:sz w:val="24"/>
          <w:szCs w:val="24"/>
        </w:rPr>
        <w:t xml:space="preserve">, AD. Prevalence and </w:t>
      </w:r>
      <w:proofErr w:type="spellStart"/>
      <w:r w:rsidRPr="00D27198">
        <w:rPr>
          <w:rFonts w:ascii="Times New Roman" w:hAnsi="Times New Roman" w:cs="Times New Roman"/>
          <w:sz w:val="24"/>
          <w:szCs w:val="24"/>
        </w:rPr>
        <w:t>antbiotc</w:t>
      </w:r>
      <w:proofErr w:type="spellEnd"/>
      <w:r w:rsidRPr="00D27198">
        <w:rPr>
          <w:rFonts w:ascii="Times New Roman" w:hAnsi="Times New Roman" w:cs="Times New Roman"/>
          <w:sz w:val="24"/>
          <w:szCs w:val="24"/>
        </w:rPr>
        <w:t xml:space="preserve"> </w:t>
      </w:r>
      <w:proofErr w:type="spellStart"/>
      <w:r w:rsidRPr="00D27198">
        <w:rPr>
          <w:rFonts w:ascii="Times New Roman" w:hAnsi="Times New Roman" w:cs="Times New Roman"/>
          <w:sz w:val="24"/>
          <w:szCs w:val="24"/>
        </w:rPr>
        <w:t>susceptbility</w:t>
      </w:r>
      <w:proofErr w:type="spellEnd"/>
      <w:r w:rsidRPr="00D27198">
        <w:rPr>
          <w:rFonts w:ascii="Times New Roman" w:hAnsi="Times New Roman" w:cs="Times New Roman"/>
          <w:sz w:val="24"/>
          <w:szCs w:val="24"/>
        </w:rPr>
        <w:t xml:space="preserve"> of </w:t>
      </w:r>
      <w:proofErr w:type="spellStart"/>
      <w:r w:rsidRPr="00D27198">
        <w:rPr>
          <w:rFonts w:ascii="Times New Roman" w:hAnsi="Times New Roman" w:cs="Times New Roman"/>
          <w:sz w:val="24"/>
          <w:szCs w:val="24"/>
        </w:rPr>
        <w:t>uropathogens</w:t>
      </w:r>
      <w:proofErr w:type="spellEnd"/>
      <w:r w:rsidRPr="00D27198">
        <w:rPr>
          <w:rFonts w:ascii="Times New Roman" w:hAnsi="Times New Roman" w:cs="Times New Roman"/>
          <w:sz w:val="24"/>
          <w:szCs w:val="24"/>
        </w:rPr>
        <w:t xml:space="preserve"> from cases of urinary tract </w:t>
      </w:r>
      <w:proofErr w:type="spellStart"/>
      <w:r w:rsidRPr="00D27198">
        <w:rPr>
          <w:rFonts w:ascii="Times New Roman" w:hAnsi="Times New Roman" w:cs="Times New Roman"/>
          <w:sz w:val="24"/>
          <w:szCs w:val="24"/>
        </w:rPr>
        <w:t>infectons</w:t>
      </w:r>
      <w:proofErr w:type="spellEnd"/>
      <w:r w:rsidRPr="00D27198">
        <w:rPr>
          <w:rFonts w:ascii="Times New Roman" w:hAnsi="Times New Roman" w:cs="Times New Roman"/>
          <w:sz w:val="24"/>
          <w:szCs w:val="24"/>
        </w:rPr>
        <w:t xml:space="preserve"> (UTI) in </w:t>
      </w:r>
      <w:proofErr w:type="spellStart"/>
      <w:r w:rsidRPr="00D27198">
        <w:rPr>
          <w:rFonts w:ascii="Times New Roman" w:hAnsi="Times New Roman" w:cs="Times New Roman"/>
          <w:sz w:val="24"/>
          <w:szCs w:val="24"/>
        </w:rPr>
        <w:t>Shashemene</w:t>
      </w:r>
      <w:proofErr w:type="spellEnd"/>
      <w:r w:rsidRPr="00D27198">
        <w:rPr>
          <w:rFonts w:ascii="Times New Roman" w:hAnsi="Times New Roman" w:cs="Times New Roman"/>
          <w:sz w:val="24"/>
          <w:szCs w:val="24"/>
        </w:rPr>
        <w:t xml:space="preserve"> referral hospital, Ethiopia </w:t>
      </w:r>
      <w:proofErr w:type="spellStart"/>
      <w:r w:rsidRPr="00D27198">
        <w:rPr>
          <w:rFonts w:ascii="Times New Roman" w:hAnsi="Times New Roman" w:cs="Times New Roman"/>
          <w:sz w:val="24"/>
          <w:szCs w:val="24"/>
        </w:rPr>
        <w:t>Wubalem</w:t>
      </w:r>
      <w:proofErr w:type="spellEnd"/>
      <w:r w:rsidRPr="00D27198">
        <w:rPr>
          <w:rFonts w:ascii="Times New Roman" w:hAnsi="Times New Roman" w:cs="Times New Roman"/>
          <w:sz w:val="24"/>
          <w:szCs w:val="24"/>
        </w:rPr>
        <w:t>. BMC Infect Dis 2018; 18(1): 30.</w:t>
      </w:r>
      <w:r w:rsidR="00420C86">
        <w:rPr>
          <w:rFonts w:ascii="Times New Roman" w:hAnsi="Times New Roman" w:cs="Times New Roman"/>
          <w:sz w:val="24"/>
          <w:szCs w:val="24"/>
        </w:rPr>
        <w:t xml:space="preserve"> </w:t>
      </w:r>
      <w:hyperlink r:id="rId17" w:history="1">
        <w:r w:rsidR="00420C86" w:rsidRPr="009A3D17">
          <w:rPr>
            <w:rStyle w:val="Hyperlink"/>
            <w:rFonts w:ascii="Times New Roman" w:hAnsi="Times New Roman" w:cs="Times New Roman"/>
            <w:sz w:val="24"/>
            <w:szCs w:val="24"/>
          </w:rPr>
          <w:t>https://doi.org/10.1186/s12879-017-2911-x</w:t>
        </w:r>
      </w:hyperlink>
      <w:r w:rsidR="00420C86">
        <w:rPr>
          <w:rFonts w:ascii="Times New Roman" w:hAnsi="Times New Roman" w:cs="Times New Roman"/>
          <w:sz w:val="24"/>
          <w:szCs w:val="24"/>
        </w:rPr>
        <w:t xml:space="preserve">.   </w:t>
      </w:r>
    </w:p>
    <w:p w14:paraId="01EB2BCB"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lang w:val="fr-CM"/>
        </w:rPr>
      </w:pPr>
      <w:r w:rsidRPr="00D27198">
        <w:rPr>
          <w:rFonts w:ascii="Times New Roman" w:hAnsi="Times New Roman" w:cs="Times New Roman"/>
          <w:sz w:val="24"/>
          <w:szCs w:val="24"/>
        </w:rPr>
        <w:t xml:space="preserve"> Gupta K, </w:t>
      </w:r>
      <w:proofErr w:type="spellStart"/>
      <w:r w:rsidRPr="00D27198">
        <w:rPr>
          <w:rFonts w:ascii="Times New Roman" w:hAnsi="Times New Roman" w:cs="Times New Roman"/>
          <w:sz w:val="24"/>
          <w:szCs w:val="24"/>
        </w:rPr>
        <w:t>Sahm</w:t>
      </w:r>
      <w:proofErr w:type="spellEnd"/>
      <w:r w:rsidRPr="00D27198">
        <w:rPr>
          <w:rFonts w:ascii="Times New Roman" w:hAnsi="Times New Roman" w:cs="Times New Roman"/>
          <w:sz w:val="24"/>
          <w:szCs w:val="24"/>
        </w:rPr>
        <w:t xml:space="preserve"> DF, </w:t>
      </w:r>
      <w:proofErr w:type="spellStart"/>
      <w:r w:rsidRPr="00D27198">
        <w:rPr>
          <w:rFonts w:ascii="Times New Roman" w:hAnsi="Times New Roman" w:cs="Times New Roman"/>
          <w:sz w:val="24"/>
          <w:szCs w:val="24"/>
        </w:rPr>
        <w:t>Mayfeld</w:t>
      </w:r>
      <w:proofErr w:type="spellEnd"/>
      <w:r w:rsidRPr="00D27198">
        <w:rPr>
          <w:rFonts w:ascii="Times New Roman" w:hAnsi="Times New Roman" w:cs="Times New Roman"/>
          <w:sz w:val="24"/>
          <w:szCs w:val="24"/>
        </w:rPr>
        <w:t xml:space="preserve"> D, </w:t>
      </w:r>
      <w:proofErr w:type="spellStart"/>
      <w:r w:rsidRPr="00D27198">
        <w:rPr>
          <w:rFonts w:ascii="Times New Roman" w:hAnsi="Times New Roman" w:cs="Times New Roman"/>
          <w:sz w:val="24"/>
          <w:szCs w:val="24"/>
        </w:rPr>
        <w:t>Stamm</w:t>
      </w:r>
      <w:proofErr w:type="spellEnd"/>
      <w:r w:rsidRPr="00D27198">
        <w:rPr>
          <w:rFonts w:ascii="Times New Roman" w:hAnsi="Times New Roman" w:cs="Times New Roman"/>
          <w:sz w:val="24"/>
          <w:szCs w:val="24"/>
        </w:rPr>
        <w:t xml:space="preserve"> WE. </w:t>
      </w:r>
      <w:proofErr w:type="spellStart"/>
      <w:r w:rsidRPr="00D27198">
        <w:rPr>
          <w:rFonts w:ascii="Times New Roman" w:hAnsi="Times New Roman" w:cs="Times New Roman"/>
          <w:sz w:val="24"/>
          <w:szCs w:val="24"/>
        </w:rPr>
        <w:t>Antmicrobial</w:t>
      </w:r>
      <w:proofErr w:type="spellEnd"/>
      <w:r w:rsidRPr="00D27198">
        <w:rPr>
          <w:rFonts w:ascii="Times New Roman" w:hAnsi="Times New Roman" w:cs="Times New Roman"/>
          <w:sz w:val="24"/>
          <w:szCs w:val="24"/>
        </w:rPr>
        <w:t xml:space="preserve"> resistance among </w:t>
      </w:r>
      <w:proofErr w:type="spellStart"/>
      <w:r w:rsidRPr="00D27198">
        <w:rPr>
          <w:rFonts w:ascii="Times New Roman" w:hAnsi="Times New Roman" w:cs="Times New Roman"/>
          <w:sz w:val="24"/>
          <w:szCs w:val="24"/>
        </w:rPr>
        <w:t>uropathogens</w:t>
      </w:r>
      <w:proofErr w:type="spellEnd"/>
      <w:r w:rsidRPr="00D27198">
        <w:rPr>
          <w:rFonts w:ascii="Times New Roman" w:hAnsi="Times New Roman" w:cs="Times New Roman"/>
          <w:sz w:val="24"/>
          <w:szCs w:val="24"/>
        </w:rPr>
        <w:t xml:space="preserve"> that cause community-acquired urinary tract </w:t>
      </w:r>
      <w:proofErr w:type="spellStart"/>
      <w:r w:rsidRPr="00D27198">
        <w:rPr>
          <w:rFonts w:ascii="Times New Roman" w:hAnsi="Times New Roman" w:cs="Times New Roman"/>
          <w:sz w:val="24"/>
          <w:szCs w:val="24"/>
        </w:rPr>
        <w:t>infectons</w:t>
      </w:r>
      <w:proofErr w:type="spellEnd"/>
      <w:r w:rsidRPr="00D27198">
        <w:rPr>
          <w:rFonts w:ascii="Times New Roman" w:hAnsi="Times New Roman" w:cs="Times New Roman"/>
          <w:sz w:val="24"/>
          <w:szCs w:val="24"/>
        </w:rPr>
        <w:t xml:space="preserve"> in women: a </w:t>
      </w:r>
      <w:proofErr w:type="spellStart"/>
      <w:r w:rsidRPr="00D27198">
        <w:rPr>
          <w:rFonts w:ascii="Times New Roman" w:hAnsi="Times New Roman" w:cs="Times New Roman"/>
          <w:sz w:val="24"/>
          <w:szCs w:val="24"/>
        </w:rPr>
        <w:t>natonwide</w:t>
      </w:r>
      <w:proofErr w:type="spellEnd"/>
      <w:r w:rsidRPr="00D27198">
        <w:rPr>
          <w:rFonts w:ascii="Times New Roman" w:hAnsi="Times New Roman" w:cs="Times New Roman"/>
          <w:sz w:val="24"/>
          <w:szCs w:val="24"/>
        </w:rPr>
        <w:t xml:space="preserve"> analysis. </w:t>
      </w:r>
      <w:r w:rsidRPr="00D27198">
        <w:rPr>
          <w:rFonts w:ascii="Times New Roman" w:hAnsi="Times New Roman" w:cs="Times New Roman"/>
          <w:sz w:val="24"/>
          <w:szCs w:val="24"/>
          <w:lang w:val="fr-CM"/>
        </w:rPr>
        <w:t xml:space="preserve">Clin Infect Dis. 2001 </w:t>
      </w:r>
      <w:proofErr w:type="spellStart"/>
      <w:proofErr w:type="gramStart"/>
      <w:r w:rsidRPr="00D27198">
        <w:rPr>
          <w:rFonts w:ascii="Times New Roman" w:hAnsi="Times New Roman" w:cs="Times New Roman"/>
          <w:sz w:val="24"/>
          <w:szCs w:val="24"/>
          <w:lang w:val="fr-CM"/>
        </w:rPr>
        <w:t>Jul</w:t>
      </w:r>
      <w:proofErr w:type="spellEnd"/>
      <w:r w:rsidRPr="00D27198">
        <w:rPr>
          <w:rFonts w:ascii="Times New Roman" w:hAnsi="Times New Roman" w:cs="Times New Roman"/>
          <w:sz w:val="24"/>
          <w:szCs w:val="24"/>
          <w:lang w:val="fr-CM"/>
        </w:rPr>
        <w:t>;</w:t>
      </w:r>
      <w:proofErr w:type="gramEnd"/>
      <w:r w:rsidRPr="00D27198">
        <w:rPr>
          <w:rFonts w:ascii="Times New Roman" w:hAnsi="Times New Roman" w:cs="Times New Roman"/>
          <w:sz w:val="24"/>
          <w:szCs w:val="24"/>
          <w:lang w:val="fr-CM"/>
        </w:rPr>
        <w:t xml:space="preserve"> 33(1): 89–94. </w:t>
      </w:r>
      <w:proofErr w:type="spellStart"/>
      <w:proofErr w:type="gramStart"/>
      <w:r w:rsidRPr="00D27198">
        <w:rPr>
          <w:rFonts w:ascii="Times New Roman" w:hAnsi="Times New Roman" w:cs="Times New Roman"/>
          <w:sz w:val="24"/>
          <w:szCs w:val="24"/>
          <w:lang w:val="fr-CM"/>
        </w:rPr>
        <w:t>doi</w:t>
      </w:r>
      <w:proofErr w:type="spellEnd"/>
      <w:r w:rsidRPr="00D27198">
        <w:rPr>
          <w:rFonts w:ascii="Times New Roman" w:hAnsi="Times New Roman" w:cs="Times New Roman"/>
          <w:sz w:val="24"/>
          <w:szCs w:val="24"/>
          <w:lang w:val="fr-CM"/>
        </w:rPr>
        <w:t>:</w:t>
      </w:r>
      <w:proofErr w:type="gramEnd"/>
      <w:r w:rsidRPr="00D27198">
        <w:rPr>
          <w:rFonts w:ascii="Times New Roman" w:hAnsi="Times New Roman" w:cs="Times New Roman"/>
          <w:sz w:val="24"/>
          <w:szCs w:val="24"/>
          <w:lang w:val="fr-CM"/>
        </w:rPr>
        <w:t xml:space="preserve"> htps://doi.org/htps://doi.org/10.1086/320880</w:t>
      </w:r>
    </w:p>
    <w:p w14:paraId="35FBAF16" w14:textId="7A3FB701"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r w:rsidRPr="00D27198">
        <w:rPr>
          <w:rFonts w:ascii="Times New Roman" w:hAnsi="Times New Roman" w:cs="Times New Roman"/>
          <w:sz w:val="24"/>
          <w:szCs w:val="24"/>
          <w:lang w:val="fr-CM"/>
        </w:rPr>
        <w:t xml:space="preserve"> </w:t>
      </w:r>
      <w:proofErr w:type="spellStart"/>
      <w:r w:rsidRPr="00D27198">
        <w:rPr>
          <w:rFonts w:ascii="Times New Roman" w:hAnsi="Times New Roman" w:cs="Times New Roman"/>
          <w:sz w:val="24"/>
          <w:szCs w:val="24"/>
          <w:lang w:val="fr-CM"/>
        </w:rPr>
        <w:t>Tchente</w:t>
      </w:r>
      <w:proofErr w:type="spellEnd"/>
      <w:r w:rsidRPr="00D27198">
        <w:rPr>
          <w:rFonts w:ascii="Times New Roman" w:hAnsi="Times New Roman" w:cs="Times New Roman"/>
          <w:sz w:val="24"/>
          <w:szCs w:val="24"/>
          <w:lang w:val="fr-CM"/>
        </w:rPr>
        <w:t xml:space="preserve">, C.N., </w:t>
      </w:r>
      <w:proofErr w:type="spellStart"/>
      <w:r w:rsidRPr="00D27198">
        <w:rPr>
          <w:rFonts w:ascii="Times New Roman" w:hAnsi="Times New Roman" w:cs="Times New Roman"/>
          <w:sz w:val="24"/>
          <w:szCs w:val="24"/>
          <w:lang w:val="fr-CM"/>
        </w:rPr>
        <w:t>Ebongue</w:t>
      </w:r>
      <w:proofErr w:type="spellEnd"/>
      <w:r w:rsidRPr="00D27198">
        <w:rPr>
          <w:rFonts w:ascii="Times New Roman" w:hAnsi="Times New Roman" w:cs="Times New Roman"/>
          <w:sz w:val="24"/>
          <w:szCs w:val="24"/>
          <w:lang w:val="fr-CM"/>
        </w:rPr>
        <w:t xml:space="preserve">, C.O., </w:t>
      </w:r>
      <w:proofErr w:type="spellStart"/>
      <w:r w:rsidRPr="00D27198">
        <w:rPr>
          <w:rFonts w:ascii="Times New Roman" w:hAnsi="Times New Roman" w:cs="Times New Roman"/>
          <w:sz w:val="24"/>
          <w:szCs w:val="24"/>
          <w:lang w:val="fr-CM"/>
        </w:rPr>
        <w:t>Chokotheu</w:t>
      </w:r>
      <w:proofErr w:type="spellEnd"/>
      <w:r w:rsidRPr="00D27198">
        <w:rPr>
          <w:rFonts w:ascii="Times New Roman" w:hAnsi="Times New Roman" w:cs="Times New Roman"/>
          <w:sz w:val="24"/>
          <w:szCs w:val="24"/>
          <w:lang w:val="fr-CM"/>
        </w:rPr>
        <w:t xml:space="preserve">, C.N., </w:t>
      </w:r>
      <w:proofErr w:type="spellStart"/>
      <w:r w:rsidRPr="00D27198">
        <w:rPr>
          <w:rFonts w:ascii="Times New Roman" w:hAnsi="Times New Roman" w:cs="Times New Roman"/>
          <w:sz w:val="24"/>
          <w:szCs w:val="24"/>
          <w:lang w:val="fr-CM"/>
        </w:rPr>
        <w:t>Ewougo</w:t>
      </w:r>
      <w:proofErr w:type="spellEnd"/>
      <w:r w:rsidRPr="00D27198">
        <w:rPr>
          <w:rFonts w:ascii="Times New Roman" w:hAnsi="Times New Roman" w:cs="Times New Roman"/>
          <w:sz w:val="24"/>
          <w:szCs w:val="24"/>
          <w:lang w:val="fr-CM"/>
        </w:rPr>
        <w:t xml:space="preserve">, C.E., </w:t>
      </w:r>
      <w:proofErr w:type="spellStart"/>
      <w:r w:rsidRPr="00D27198">
        <w:rPr>
          <w:rFonts w:ascii="Times New Roman" w:hAnsi="Times New Roman" w:cs="Times New Roman"/>
          <w:sz w:val="24"/>
          <w:szCs w:val="24"/>
          <w:lang w:val="fr-CM"/>
        </w:rPr>
        <w:t>Njamen</w:t>
      </w:r>
      <w:proofErr w:type="spellEnd"/>
      <w:r w:rsidRPr="00D27198">
        <w:rPr>
          <w:rFonts w:ascii="Times New Roman" w:hAnsi="Times New Roman" w:cs="Times New Roman"/>
          <w:sz w:val="24"/>
          <w:szCs w:val="24"/>
          <w:lang w:val="fr-CM"/>
        </w:rPr>
        <w:t xml:space="preserve">, T.N. &amp; </w:t>
      </w:r>
      <w:proofErr w:type="spellStart"/>
      <w:r w:rsidRPr="00D27198">
        <w:rPr>
          <w:rFonts w:ascii="Times New Roman" w:hAnsi="Times New Roman" w:cs="Times New Roman"/>
          <w:sz w:val="24"/>
          <w:szCs w:val="24"/>
          <w:lang w:val="fr-CM"/>
        </w:rPr>
        <w:t>Mboudou</w:t>
      </w:r>
      <w:proofErr w:type="spellEnd"/>
      <w:r w:rsidRPr="00D27198">
        <w:rPr>
          <w:rFonts w:ascii="Times New Roman" w:hAnsi="Times New Roman" w:cs="Times New Roman"/>
          <w:sz w:val="24"/>
          <w:szCs w:val="24"/>
          <w:lang w:val="fr-CM"/>
        </w:rPr>
        <w:t xml:space="preserve">, E. (2019). </w:t>
      </w:r>
      <w:r w:rsidRPr="00D27198">
        <w:rPr>
          <w:rFonts w:ascii="Times New Roman" w:hAnsi="Times New Roman" w:cs="Times New Roman"/>
          <w:sz w:val="24"/>
          <w:szCs w:val="24"/>
        </w:rPr>
        <w:t xml:space="preserve">Clinical presentation, risk factors and pathogens involved in bacteriuria of pregnant women attending antenatal clinic of 3 hospitals in a developing country: a </w:t>
      </w:r>
      <w:r w:rsidR="000D3AB2" w:rsidRPr="00D27198">
        <w:rPr>
          <w:rFonts w:ascii="Times New Roman" w:hAnsi="Times New Roman" w:cs="Times New Roman"/>
          <w:sz w:val="24"/>
          <w:szCs w:val="24"/>
        </w:rPr>
        <w:t>cross-sectional</w:t>
      </w:r>
      <w:r w:rsidRPr="00D27198">
        <w:rPr>
          <w:rFonts w:ascii="Times New Roman" w:hAnsi="Times New Roman" w:cs="Times New Roman"/>
          <w:sz w:val="24"/>
          <w:szCs w:val="24"/>
        </w:rPr>
        <w:t xml:space="preserve"> analytic study. BMC Pregnancy Child. 19:143.</w:t>
      </w:r>
    </w:p>
    <w:p w14:paraId="1378BC82" w14:textId="77777777" w:rsidR="000377C5" w:rsidRPr="00D27198" w:rsidRDefault="000377C5" w:rsidP="000377C5">
      <w:pPr>
        <w:pStyle w:val="ListParagraph"/>
        <w:numPr>
          <w:ilvl w:val="0"/>
          <w:numId w:val="3"/>
        </w:numPr>
        <w:spacing w:line="480" w:lineRule="auto"/>
        <w:ind w:left="426"/>
        <w:jc w:val="both"/>
        <w:rPr>
          <w:rStyle w:val="fontstyle21"/>
          <w:color w:val="auto"/>
        </w:rPr>
      </w:pPr>
      <w:r w:rsidRPr="00D27198">
        <w:rPr>
          <w:rStyle w:val="fontstyle01"/>
          <w:b w:val="0"/>
        </w:rPr>
        <w:t xml:space="preserve">Karki, A., Tiwari, B.R. &amp; Pradhan, S.B. (2004). </w:t>
      </w:r>
      <w:r w:rsidRPr="00D27198">
        <w:rPr>
          <w:rStyle w:val="fontstyle21"/>
          <w:lang w:val="fr-CM"/>
        </w:rPr>
        <w:t>Étude des bactéries isolées des infections</w:t>
      </w:r>
      <w:r w:rsidRPr="00D27198">
        <w:rPr>
          <w:rFonts w:ascii="Times New Roman" w:hAnsi="Times New Roman" w:cs="Times New Roman"/>
          <w:color w:val="000000"/>
          <w:sz w:val="24"/>
          <w:szCs w:val="24"/>
          <w:lang w:val="fr-CM"/>
        </w:rPr>
        <w:t xml:space="preserve"> </w:t>
      </w:r>
      <w:r w:rsidRPr="00D27198">
        <w:rPr>
          <w:rStyle w:val="fontstyle21"/>
          <w:lang w:val="fr-CM"/>
        </w:rPr>
        <w:t xml:space="preserve">des voies urinaires et de leur profil de sensibilité. </w:t>
      </w:r>
      <w:r w:rsidRPr="00D27198">
        <w:rPr>
          <w:rStyle w:val="fontstyle31"/>
        </w:rPr>
        <w:t xml:space="preserve">J Nepal Med Assoc., </w:t>
      </w:r>
      <w:r w:rsidRPr="00D27198">
        <w:rPr>
          <w:rStyle w:val="fontstyle21"/>
        </w:rPr>
        <w:t>43(154):200-203.</w:t>
      </w:r>
    </w:p>
    <w:p w14:paraId="19E485B8"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r w:rsidRPr="00D27198">
        <w:rPr>
          <w:rStyle w:val="fontstyle01"/>
          <w:b w:val="0"/>
        </w:rPr>
        <w:lastRenderedPageBreak/>
        <w:t xml:space="preserve">Akram, M., Shahid, M. &amp; Khan, A.U. (2007). </w:t>
      </w:r>
      <w:r w:rsidRPr="00D27198">
        <w:rPr>
          <w:rStyle w:val="fontstyle21"/>
          <w:lang w:val="fr-CM"/>
        </w:rPr>
        <w:t>Étiologie et profils de résistance aux</w:t>
      </w:r>
      <w:r w:rsidRPr="00D27198">
        <w:rPr>
          <w:rFonts w:ascii="Times New Roman" w:hAnsi="Times New Roman" w:cs="Times New Roman"/>
          <w:color w:val="000000"/>
          <w:sz w:val="24"/>
          <w:szCs w:val="24"/>
          <w:lang w:val="fr-CM"/>
        </w:rPr>
        <w:t xml:space="preserve"> </w:t>
      </w:r>
      <w:r w:rsidRPr="00D27198">
        <w:rPr>
          <w:rStyle w:val="fontstyle21"/>
          <w:lang w:val="fr-CM"/>
        </w:rPr>
        <w:t xml:space="preserve">antibiotiques des infections urinaires communautaires à l'hôpital JNMC d'Aligarh </w:t>
      </w:r>
      <w:proofErr w:type="spellStart"/>
      <w:r w:rsidRPr="00D27198">
        <w:rPr>
          <w:rStyle w:val="fontstyle21"/>
          <w:lang w:val="fr-CM"/>
        </w:rPr>
        <w:t>India</w:t>
      </w:r>
      <w:proofErr w:type="spellEnd"/>
      <w:r w:rsidRPr="00D27198">
        <w:rPr>
          <w:rStyle w:val="fontstyle21"/>
          <w:lang w:val="fr-CM"/>
        </w:rPr>
        <w:t>.</w:t>
      </w:r>
      <w:r w:rsidRPr="00D27198">
        <w:rPr>
          <w:rFonts w:ascii="Times New Roman" w:hAnsi="Times New Roman" w:cs="Times New Roman"/>
          <w:color w:val="000000"/>
          <w:sz w:val="24"/>
          <w:szCs w:val="24"/>
          <w:lang w:val="fr-CM"/>
        </w:rPr>
        <w:t xml:space="preserve"> </w:t>
      </w:r>
      <w:r w:rsidRPr="00D27198">
        <w:rPr>
          <w:rStyle w:val="fontstyle31"/>
          <w:lang w:val="fr-CM"/>
        </w:rPr>
        <w:t xml:space="preserve">Annal of </w:t>
      </w:r>
      <w:proofErr w:type="spellStart"/>
      <w:r w:rsidRPr="00D27198">
        <w:rPr>
          <w:rStyle w:val="fontstyle31"/>
          <w:lang w:val="fr-CM"/>
        </w:rPr>
        <w:t>Clinical</w:t>
      </w:r>
      <w:proofErr w:type="spellEnd"/>
      <w:r w:rsidRPr="00D27198">
        <w:rPr>
          <w:rStyle w:val="fontstyle31"/>
          <w:lang w:val="fr-CM"/>
        </w:rPr>
        <w:t xml:space="preserve"> </w:t>
      </w:r>
      <w:proofErr w:type="spellStart"/>
      <w:r w:rsidRPr="00D27198">
        <w:rPr>
          <w:rStyle w:val="fontstyle31"/>
          <w:lang w:val="fr-CM"/>
        </w:rPr>
        <w:t>Microbiology</w:t>
      </w:r>
      <w:proofErr w:type="spellEnd"/>
      <w:r w:rsidRPr="00D27198">
        <w:rPr>
          <w:rStyle w:val="fontstyle31"/>
          <w:lang w:val="fr-CM"/>
        </w:rPr>
        <w:t xml:space="preserve"> </w:t>
      </w:r>
      <w:proofErr w:type="spellStart"/>
      <w:r w:rsidRPr="00D27198">
        <w:rPr>
          <w:rStyle w:val="fontstyle31"/>
          <w:lang w:val="fr-CM"/>
        </w:rPr>
        <w:t>Antimicrobe</w:t>
      </w:r>
      <w:proofErr w:type="spellEnd"/>
      <w:r w:rsidRPr="00D27198">
        <w:rPr>
          <w:rStyle w:val="fontstyle21"/>
          <w:lang w:val="fr-CM"/>
        </w:rPr>
        <w:t>., 6(4)</w:t>
      </w:r>
    </w:p>
    <w:p w14:paraId="6EEAAA0D"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r w:rsidRPr="00D27198">
        <w:rPr>
          <w:rStyle w:val="fontstyle21"/>
        </w:rPr>
        <w:t xml:space="preserve">Hooton TM, Scholes D, Hughes JP, Winter C, Roberts PL, Stapleton AE, </w:t>
      </w:r>
      <w:proofErr w:type="spellStart"/>
      <w:r w:rsidRPr="00D27198">
        <w:rPr>
          <w:rStyle w:val="fontstyle21"/>
        </w:rPr>
        <w:t>Stergachis</w:t>
      </w:r>
      <w:proofErr w:type="spellEnd"/>
      <w:r w:rsidRPr="00D27198">
        <w:rPr>
          <w:rStyle w:val="fontstyle21"/>
        </w:rPr>
        <w:t xml:space="preserve"> A, </w:t>
      </w:r>
      <w:proofErr w:type="spellStart"/>
      <w:r w:rsidRPr="00D27198">
        <w:rPr>
          <w:rStyle w:val="fontstyle21"/>
        </w:rPr>
        <w:t>Stamm</w:t>
      </w:r>
      <w:proofErr w:type="spellEnd"/>
      <w:r w:rsidRPr="00D27198">
        <w:rPr>
          <w:rStyle w:val="fontstyle21"/>
        </w:rPr>
        <w:t xml:space="preserve"> WE: A prospective study of risk factors for symptomatic urinary tract infection in young women. N Engl J Med 1996,335:468–474</w:t>
      </w:r>
    </w:p>
    <w:p w14:paraId="3B8A9621" w14:textId="1DDA318E" w:rsidR="000377C5" w:rsidRPr="00D25E78" w:rsidRDefault="000377C5" w:rsidP="000377C5">
      <w:pPr>
        <w:pStyle w:val="ListParagraph"/>
        <w:numPr>
          <w:ilvl w:val="0"/>
          <w:numId w:val="3"/>
        </w:numPr>
        <w:spacing w:line="480" w:lineRule="auto"/>
        <w:ind w:left="426"/>
        <w:jc w:val="both"/>
        <w:rPr>
          <w:rStyle w:val="fontstyle21"/>
          <w:color w:val="auto"/>
          <w:lang w:val="en-CA"/>
        </w:rPr>
      </w:pPr>
      <w:r w:rsidRPr="00D27198">
        <w:rPr>
          <w:rStyle w:val="fontstyle21"/>
          <w:color w:val="auto"/>
        </w:rPr>
        <w:t xml:space="preserve">El-Kashif M.M.L. (2019). Urinary Tract Infection among Pregnant Women and its Associated Risk </w:t>
      </w:r>
      <w:r w:rsidR="00420C86" w:rsidRPr="00D27198">
        <w:rPr>
          <w:rStyle w:val="fontstyle21"/>
          <w:color w:val="auto"/>
        </w:rPr>
        <w:t>Factors:</w:t>
      </w:r>
      <w:r w:rsidRPr="00D27198">
        <w:rPr>
          <w:rStyle w:val="fontstyle21"/>
          <w:color w:val="auto"/>
        </w:rPr>
        <w:t xml:space="preserve"> A Cross-Sectional Study. Biomed </w:t>
      </w:r>
      <w:proofErr w:type="spellStart"/>
      <w:r w:rsidRPr="00D27198">
        <w:rPr>
          <w:rStyle w:val="fontstyle21"/>
          <w:color w:val="auto"/>
        </w:rPr>
        <w:t>Pharmacol</w:t>
      </w:r>
      <w:proofErr w:type="spellEnd"/>
      <w:r w:rsidRPr="00D27198">
        <w:rPr>
          <w:rStyle w:val="fontstyle21"/>
          <w:color w:val="auto"/>
        </w:rPr>
        <w:t xml:space="preserve"> J 2019;12(24)</w:t>
      </w:r>
    </w:p>
    <w:p w14:paraId="4EAE4EEC"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lang w:val="fr-CM"/>
        </w:rPr>
      </w:pPr>
      <w:proofErr w:type="spellStart"/>
      <w:r w:rsidRPr="00466067">
        <w:rPr>
          <w:rStyle w:val="fontstyle21"/>
          <w:color w:val="auto"/>
          <w:lang w:val="en-CA"/>
        </w:rPr>
        <w:t>Nkwelle</w:t>
      </w:r>
      <w:proofErr w:type="spellEnd"/>
      <w:r w:rsidRPr="00466067">
        <w:rPr>
          <w:rStyle w:val="fontstyle21"/>
          <w:color w:val="auto"/>
          <w:lang w:val="en-CA"/>
        </w:rPr>
        <w:t xml:space="preserve">, C.E., </w:t>
      </w:r>
      <w:proofErr w:type="spellStart"/>
      <w:r w:rsidRPr="00466067">
        <w:rPr>
          <w:rStyle w:val="fontstyle21"/>
          <w:color w:val="auto"/>
          <w:lang w:val="en-CA"/>
        </w:rPr>
        <w:t>Akoachere</w:t>
      </w:r>
      <w:proofErr w:type="spellEnd"/>
      <w:r w:rsidRPr="00466067">
        <w:rPr>
          <w:rStyle w:val="fontstyle21"/>
          <w:color w:val="auto"/>
          <w:lang w:val="en-CA"/>
        </w:rPr>
        <w:t xml:space="preserve">, J.T.K., </w:t>
      </w:r>
      <w:proofErr w:type="spellStart"/>
      <w:r w:rsidRPr="00466067">
        <w:rPr>
          <w:rStyle w:val="fontstyle21"/>
          <w:color w:val="auto"/>
          <w:lang w:val="en-CA"/>
        </w:rPr>
        <w:t>Ndip</w:t>
      </w:r>
      <w:proofErr w:type="spellEnd"/>
      <w:r w:rsidRPr="00466067">
        <w:rPr>
          <w:rStyle w:val="fontstyle21"/>
          <w:color w:val="auto"/>
          <w:lang w:val="en-CA"/>
        </w:rPr>
        <w:t xml:space="preserve">, L.M., </w:t>
      </w:r>
      <w:proofErr w:type="spellStart"/>
      <w:r w:rsidRPr="00466067">
        <w:rPr>
          <w:rStyle w:val="fontstyle21"/>
          <w:color w:val="auto"/>
          <w:lang w:val="en-CA"/>
        </w:rPr>
        <w:t>Nzang</w:t>
      </w:r>
      <w:proofErr w:type="spellEnd"/>
      <w:r w:rsidRPr="00466067">
        <w:rPr>
          <w:rStyle w:val="fontstyle21"/>
          <w:color w:val="auto"/>
          <w:lang w:val="en-CA"/>
        </w:rPr>
        <w:t xml:space="preserve">, F.A., </w:t>
      </w:r>
      <w:proofErr w:type="spellStart"/>
      <w:r w:rsidRPr="00466067">
        <w:rPr>
          <w:rStyle w:val="fontstyle21"/>
          <w:color w:val="auto"/>
          <w:lang w:val="en-CA"/>
        </w:rPr>
        <w:t>Esemu</w:t>
      </w:r>
      <w:proofErr w:type="spellEnd"/>
      <w:r w:rsidRPr="00466067">
        <w:rPr>
          <w:rStyle w:val="fontstyle21"/>
          <w:color w:val="auto"/>
          <w:lang w:val="en-CA"/>
        </w:rPr>
        <w:t xml:space="preserve">, S.F., Ndip, R.N. (2022). </w:t>
      </w:r>
      <w:r w:rsidRPr="00D27198">
        <w:rPr>
          <w:rStyle w:val="fontstyle21"/>
          <w:color w:val="auto"/>
        </w:rPr>
        <w:t>Asymptomatic Urinary Tract infection in Pregnant and Non-pregnant Women in the Limbe Health District of Cameroon: A Phenotypic and Biochemical analytic study. Research Square. DOI: https://doi.org/10.21203/rs.3.rs-1166457/v1</w:t>
      </w:r>
      <w:r w:rsidRPr="00D27198">
        <w:t xml:space="preserve"> </w:t>
      </w:r>
    </w:p>
    <w:p w14:paraId="101692E6" w14:textId="77777777" w:rsidR="000377C5" w:rsidRPr="00D27198" w:rsidRDefault="000377C5" w:rsidP="000377C5">
      <w:pPr>
        <w:pStyle w:val="ListParagraph"/>
        <w:numPr>
          <w:ilvl w:val="0"/>
          <w:numId w:val="3"/>
        </w:numPr>
        <w:spacing w:line="480" w:lineRule="auto"/>
        <w:ind w:left="426"/>
        <w:jc w:val="both"/>
        <w:rPr>
          <w:rStyle w:val="fontstyle21"/>
          <w:color w:val="auto"/>
          <w:lang w:val="fr-CM"/>
        </w:rPr>
      </w:pPr>
      <w:r w:rsidRPr="00D27198">
        <w:rPr>
          <w:rStyle w:val="fontstyle21"/>
        </w:rPr>
        <w:t>Xavier W, Sukumaran MT, Varma AK, Kumar H, Chellan G: Emergence of multi drug resistant bacteria in diabetic patients with lower limb wounds. Indian J Med Res. 2014, 140:435-437.</w:t>
      </w:r>
    </w:p>
    <w:p w14:paraId="4D0E28E4"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lang w:val="fr-CM"/>
        </w:rPr>
      </w:pPr>
      <w:r w:rsidRPr="00D27198">
        <w:rPr>
          <w:rStyle w:val="fontstyle01"/>
          <w:b w:val="0"/>
        </w:rPr>
        <w:t xml:space="preserve">Fouquet M, Morange V, Bruyère F: [Five years following of infections with extended-spectrum </w:t>
      </w:r>
      <w:proofErr w:type="spellStart"/>
      <w:r w:rsidRPr="00D27198">
        <w:rPr>
          <w:rStyle w:val="fontstyle01"/>
          <w:b w:val="0"/>
        </w:rPr>
        <w:t>betalactamase</w:t>
      </w:r>
      <w:proofErr w:type="spellEnd"/>
      <w:r w:rsidRPr="00D27198">
        <w:rPr>
          <w:rStyle w:val="fontstyle01"/>
          <w:b w:val="0"/>
        </w:rPr>
        <w:t xml:space="preserve"> producing Enterobacteriaceae]. </w:t>
      </w:r>
      <w:proofErr w:type="spellStart"/>
      <w:r w:rsidRPr="00D27198">
        <w:rPr>
          <w:rStyle w:val="fontstyle01"/>
          <w:b w:val="0"/>
        </w:rPr>
        <w:t>Progres</w:t>
      </w:r>
      <w:proofErr w:type="spellEnd"/>
      <w:r w:rsidRPr="00D27198">
        <w:rPr>
          <w:rStyle w:val="fontstyle01"/>
          <w:b w:val="0"/>
        </w:rPr>
        <w:t xml:space="preserve"> </w:t>
      </w:r>
      <w:proofErr w:type="spellStart"/>
      <w:r w:rsidRPr="00D27198">
        <w:rPr>
          <w:rStyle w:val="fontstyle01"/>
          <w:b w:val="0"/>
        </w:rPr>
        <w:t>en</w:t>
      </w:r>
      <w:proofErr w:type="spellEnd"/>
      <w:r w:rsidRPr="00D27198">
        <w:rPr>
          <w:rStyle w:val="fontstyle01"/>
          <w:b w:val="0"/>
        </w:rPr>
        <w:t xml:space="preserve"> </w:t>
      </w:r>
      <w:proofErr w:type="spellStart"/>
      <w:r w:rsidRPr="00D27198">
        <w:rPr>
          <w:rStyle w:val="fontstyle01"/>
          <w:b w:val="0"/>
        </w:rPr>
        <w:t>Urologie</w:t>
      </w:r>
      <w:proofErr w:type="spellEnd"/>
      <w:r w:rsidRPr="00D27198">
        <w:rPr>
          <w:rStyle w:val="fontstyle01"/>
          <w:b w:val="0"/>
        </w:rPr>
        <w:t xml:space="preserve">. 2012, 22:17-21. </w:t>
      </w:r>
      <w:r w:rsidRPr="00D27198">
        <w:rPr>
          <w:rStyle w:val="fontstyle01"/>
          <w:b w:val="0"/>
          <w:color w:val="auto"/>
        </w:rPr>
        <w:t>10.1016/j.purol.2011.07.003</w:t>
      </w:r>
    </w:p>
    <w:p w14:paraId="33439A88"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t xml:space="preserve">Signing A, </w:t>
      </w:r>
      <w:proofErr w:type="spellStart"/>
      <w:r w:rsidRPr="00D27198">
        <w:rPr>
          <w:rStyle w:val="fontstyle01"/>
          <w:b w:val="0"/>
          <w:color w:val="auto"/>
        </w:rPr>
        <w:t>Marbou</w:t>
      </w:r>
      <w:proofErr w:type="spellEnd"/>
      <w:r w:rsidRPr="00D27198">
        <w:rPr>
          <w:rStyle w:val="fontstyle01"/>
          <w:b w:val="0"/>
          <w:color w:val="auto"/>
        </w:rPr>
        <w:t xml:space="preserve"> W, </w:t>
      </w:r>
      <w:proofErr w:type="spellStart"/>
      <w:r w:rsidRPr="00D27198">
        <w:rPr>
          <w:rStyle w:val="fontstyle01"/>
          <w:b w:val="0"/>
          <w:color w:val="auto"/>
        </w:rPr>
        <w:t>Penlap</w:t>
      </w:r>
      <w:proofErr w:type="spellEnd"/>
      <w:r w:rsidRPr="00D27198">
        <w:rPr>
          <w:rStyle w:val="fontstyle01"/>
          <w:b w:val="0"/>
          <w:color w:val="auto"/>
        </w:rPr>
        <w:t xml:space="preserve"> </w:t>
      </w:r>
      <w:proofErr w:type="spellStart"/>
      <w:r w:rsidRPr="00D27198">
        <w:rPr>
          <w:rStyle w:val="fontstyle01"/>
          <w:b w:val="0"/>
          <w:color w:val="auto"/>
        </w:rPr>
        <w:t>Beng</w:t>
      </w:r>
      <w:proofErr w:type="spellEnd"/>
      <w:r w:rsidRPr="00D27198">
        <w:rPr>
          <w:rStyle w:val="fontstyle01"/>
          <w:b w:val="0"/>
          <w:color w:val="auto"/>
        </w:rPr>
        <w:t xml:space="preserve"> V, et al. (July 22, 2020) Antibiotic Resistance Profile of </w:t>
      </w:r>
      <w:proofErr w:type="spellStart"/>
      <w:r w:rsidRPr="00D27198">
        <w:rPr>
          <w:rStyle w:val="fontstyle01"/>
          <w:b w:val="0"/>
          <w:color w:val="auto"/>
        </w:rPr>
        <w:t>Uropathogenic</w:t>
      </w:r>
      <w:proofErr w:type="spellEnd"/>
      <w:r w:rsidRPr="00D27198">
        <w:rPr>
          <w:rStyle w:val="fontstyle01"/>
          <w:b w:val="0"/>
          <w:color w:val="auto"/>
        </w:rPr>
        <w:t xml:space="preserve"> Bacteria in Diabetic Patients at the </w:t>
      </w:r>
      <w:proofErr w:type="spellStart"/>
      <w:r w:rsidRPr="00D27198">
        <w:rPr>
          <w:rStyle w:val="fontstyle01"/>
          <w:b w:val="0"/>
          <w:color w:val="auto"/>
        </w:rPr>
        <w:t>Bafoussam</w:t>
      </w:r>
      <w:proofErr w:type="spellEnd"/>
      <w:r w:rsidRPr="00D27198">
        <w:rPr>
          <w:rStyle w:val="fontstyle01"/>
          <w:b w:val="0"/>
          <w:color w:val="auto"/>
        </w:rPr>
        <w:t xml:space="preserve"> Regional Hospital, West Cameroon Region. </w:t>
      </w:r>
      <w:proofErr w:type="spellStart"/>
      <w:r w:rsidRPr="00D27198">
        <w:rPr>
          <w:rStyle w:val="fontstyle01"/>
          <w:b w:val="0"/>
          <w:color w:val="auto"/>
        </w:rPr>
        <w:t>Cureus</w:t>
      </w:r>
      <w:proofErr w:type="spellEnd"/>
      <w:r w:rsidRPr="00D27198">
        <w:rPr>
          <w:rStyle w:val="fontstyle01"/>
          <w:b w:val="0"/>
          <w:color w:val="auto"/>
        </w:rPr>
        <w:t xml:space="preserve"> 12(7): e9345. DOI 10.7759/cureus.9345</w:t>
      </w:r>
    </w:p>
    <w:p w14:paraId="438C15DE"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t xml:space="preserve">Alemu A, Moges F, Shiferaw Y, </w:t>
      </w:r>
      <w:proofErr w:type="spellStart"/>
      <w:r w:rsidRPr="00D27198">
        <w:rPr>
          <w:rStyle w:val="fontstyle01"/>
          <w:b w:val="0"/>
          <w:color w:val="auto"/>
        </w:rPr>
        <w:t>Tafess</w:t>
      </w:r>
      <w:proofErr w:type="spellEnd"/>
      <w:r w:rsidRPr="00D27198">
        <w:rPr>
          <w:rStyle w:val="fontstyle01"/>
          <w:b w:val="0"/>
          <w:color w:val="auto"/>
        </w:rPr>
        <w:t xml:space="preserve"> K, </w:t>
      </w:r>
      <w:proofErr w:type="spellStart"/>
      <w:r w:rsidRPr="00D27198">
        <w:rPr>
          <w:rStyle w:val="fontstyle01"/>
          <w:b w:val="0"/>
          <w:color w:val="auto"/>
        </w:rPr>
        <w:t>Kassu</w:t>
      </w:r>
      <w:proofErr w:type="spellEnd"/>
      <w:r w:rsidRPr="00D27198">
        <w:rPr>
          <w:rStyle w:val="fontstyle01"/>
          <w:b w:val="0"/>
          <w:color w:val="auto"/>
        </w:rPr>
        <w:t xml:space="preserve"> A, </w:t>
      </w:r>
      <w:proofErr w:type="spellStart"/>
      <w:r w:rsidRPr="00D27198">
        <w:rPr>
          <w:rStyle w:val="fontstyle01"/>
          <w:b w:val="0"/>
          <w:color w:val="auto"/>
        </w:rPr>
        <w:t>Anagaw</w:t>
      </w:r>
      <w:proofErr w:type="spellEnd"/>
      <w:r w:rsidRPr="00D27198">
        <w:rPr>
          <w:rStyle w:val="fontstyle01"/>
          <w:b w:val="0"/>
          <w:color w:val="auto"/>
        </w:rPr>
        <w:t xml:space="preserve"> B, </w:t>
      </w:r>
      <w:proofErr w:type="spellStart"/>
      <w:r w:rsidRPr="00D27198">
        <w:rPr>
          <w:rStyle w:val="fontstyle01"/>
          <w:b w:val="0"/>
          <w:color w:val="auto"/>
        </w:rPr>
        <w:t>Agegn</w:t>
      </w:r>
      <w:proofErr w:type="spellEnd"/>
      <w:r w:rsidRPr="00D27198">
        <w:rPr>
          <w:rStyle w:val="fontstyle01"/>
          <w:b w:val="0"/>
          <w:color w:val="auto"/>
        </w:rPr>
        <w:t xml:space="preserve"> A. Bacterial </w:t>
      </w:r>
      <w:proofErr w:type="spellStart"/>
      <w:r w:rsidRPr="00D27198">
        <w:rPr>
          <w:rStyle w:val="fontstyle01"/>
          <w:b w:val="0"/>
          <w:color w:val="auto"/>
        </w:rPr>
        <w:t>pro¦le</w:t>
      </w:r>
      <w:proofErr w:type="spellEnd"/>
      <w:r w:rsidRPr="00D27198">
        <w:rPr>
          <w:rStyle w:val="fontstyle01"/>
          <w:b w:val="0"/>
          <w:color w:val="auto"/>
        </w:rPr>
        <w:t xml:space="preserve"> and drug susceptibility pattern of urinary tract infection in pregnant women at University of Gondar Teaching Hospital, Northwest Ethiopia. BMC Res Notes. 2012; 5:197.</w:t>
      </w:r>
    </w:p>
    <w:p w14:paraId="702FC3E8" w14:textId="77777777" w:rsidR="000377C5" w:rsidRPr="00D27198" w:rsidRDefault="000377C5" w:rsidP="000377C5">
      <w:pPr>
        <w:pStyle w:val="ListParagraph"/>
        <w:numPr>
          <w:ilvl w:val="0"/>
          <w:numId w:val="3"/>
        </w:numPr>
        <w:spacing w:line="480" w:lineRule="auto"/>
        <w:ind w:left="426"/>
        <w:jc w:val="both"/>
        <w:rPr>
          <w:rStyle w:val="fontstyle01"/>
          <w:b w:val="0"/>
          <w:bCs w:val="0"/>
          <w:color w:val="auto"/>
        </w:rPr>
      </w:pPr>
      <w:r w:rsidRPr="00D27198">
        <w:rPr>
          <w:rStyle w:val="fontstyle01"/>
          <w:b w:val="0"/>
          <w:color w:val="auto"/>
        </w:rPr>
        <w:lastRenderedPageBreak/>
        <w:t xml:space="preserve">Bryce A, Costelloe C, Wootton M, Butler CC and Hay AD. Comparison of risk factors for, and prevalence of, antibiotic resistance in contaminating and pathogenic urinary Escherichia coli in children in primary care: prospective cohort study. J </w:t>
      </w:r>
      <w:proofErr w:type="spellStart"/>
      <w:r w:rsidRPr="00D27198">
        <w:rPr>
          <w:rStyle w:val="fontstyle01"/>
          <w:b w:val="0"/>
          <w:color w:val="auto"/>
        </w:rPr>
        <w:t>Antimicrob</w:t>
      </w:r>
      <w:proofErr w:type="spellEnd"/>
      <w:r w:rsidRPr="00D27198">
        <w:rPr>
          <w:rStyle w:val="fontstyle01"/>
          <w:b w:val="0"/>
          <w:color w:val="auto"/>
        </w:rPr>
        <w:t xml:space="preserve"> Chemother. 2018;73(5):1359–1367.</w:t>
      </w:r>
    </w:p>
    <w:p w14:paraId="737B8873"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Style w:val="fontstyle21"/>
          <w:lang w:val="fr-CM"/>
        </w:rPr>
        <w:t>T</w:t>
      </w:r>
      <w:r w:rsidRPr="00D27198">
        <w:rPr>
          <w:rStyle w:val="fontstyle01"/>
          <w:b w:val="0"/>
          <w:lang w:val="fr-CM"/>
        </w:rPr>
        <w:t xml:space="preserve">ula, A., </w:t>
      </w:r>
      <w:proofErr w:type="spellStart"/>
      <w:r w:rsidRPr="00D27198">
        <w:rPr>
          <w:rStyle w:val="fontstyle01"/>
          <w:b w:val="0"/>
          <w:lang w:val="fr-CM"/>
        </w:rPr>
        <w:t>Mikru</w:t>
      </w:r>
      <w:proofErr w:type="spellEnd"/>
      <w:r w:rsidRPr="00D27198">
        <w:rPr>
          <w:rStyle w:val="fontstyle01"/>
          <w:b w:val="0"/>
          <w:lang w:val="fr-CM"/>
        </w:rPr>
        <w:t xml:space="preserve">, A., </w:t>
      </w:r>
      <w:proofErr w:type="spellStart"/>
      <w:r w:rsidRPr="00D27198">
        <w:rPr>
          <w:rStyle w:val="fontstyle01"/>
          <w:b w:val="0"/>
          <w:lang w:val="fr-CM"/>
        </w:rPr>
        <w:t>Alemayehu</w:t>
      </w:r>
      <w:proofErr w:type="spellEnd"/>
      <w:r w:rsidRPr="00D27198">
        <w:rPr>
          <w:rStyle w:val="fontstyle01"/>
          <w:b w:val="0"/>
          <w:lang w:val="fr-CM"/>
        </w:rPr>
        <w:t xml:space="preserve">, T. &amp; </w:t>
      </w:r>
      <w:proofErr w:type="spellStart"/>
      <w:r w:rsidRPr="00D27198">
        <w:rPr>
          <w:rStyle w:val="fontstyle01"/>
          <w:b w:val="0"/>
          <w:lang w:val="fr-CM"/>
        </w:rPr>
        <w:t>Dobo</w:t>
      </w:r>
      <w:proofErr w:type="spellEnd"/>
      <w:r w:rsidRPr="00D27198">
        <w:rPr>
          <w:rStyle w:val="fontstyle01"/>
          <w:b w:val="0"/>
          <w:lang w:val="fr-CM"/>
        </w:rPr>
        <w:t xml:space="preserve">, B. (2020). </w:t>
      </w:r>
      <w:r w:rsidRPr="00D27198">
        <w:rPr>
          <w:rStyle w:val="fontstyle21"/>
        </w:rPr>
        <w:t>Bacterial Profile and Antibiotic</w:t>
      </w:r>
      <w:r w:rsidRPr="00D27198">
        <w:rPr>
          <w:rFonts w:ascii="Times New Roman" w:hAnsi="Times New Roman" w:cs="Times New Roman"/>
          <w:color w:val="000000"/>
          <w:sz w:val="24"/>
          <w:szCs w:val="24"/>
        </w:rPr>
        <w:t xml:space="preserve"> </w:t>
      </w:r>
      <w:r w:rsidRPr="00D27198">
        <w:rPr>
          <w:rStyle w:val="fontstyle21"/>
        </w:rPr>
        <w:t>Susceptibility Pattern of Urinary Tract Infection among Pregnant Women Attending</w:t>
      </w:r>
      <w:r w:rsidRPr="00D27198">
        <w:rPr>
          <w:rFonts w:ascii="Times New Roman" w:hAnsi="Times New Roman" w:cs="Times New Roman"/>
          <w:color w:val="000000"/>
          <w:sz w:val="24"/>
          <w:szCs w:val="24"/>
        </w:rPr>
        <w:t xml:space="preserve"> </w:t>
      </w:r>
      <w:r w:rsidRPr="00D27198">
        <w:rPr>
          <w:rStyle w:val="fontstyle21"/>
        </w:rPr>
        <w:t xml:space="preserve">Antenatal Care at a Tertiary Care Hospital in Southern Ethiopia. </w:t>
      </w:r>
      <w:r w:rsidRPr="00D27198">
        <w:rPr>
          <w:rStyle w:val="fontstyle31"/>
        </w:rPr>
        <w:t>Canadian Journal of</w:t>
      </w:r>
      <w:r w:rsidRPr="00D27198">
        <w:rPr>
          <w:rFonts w:ascii="Times New Roman" w:hAnsi="Times New Roman" w:cs="Times New Roman"/>
          <w:i/>
          <w:iCs/>
          <w:color w:val="000000"/>
          <w:sz w:val="24"/>
          <w:szCs w:val="24"/>
        </w:rPr>
        <w:t xml:space="preserve"> </w:t>
      </w:r>
      <w:r w:rsidRPr="00D27198">
        <w:rPr>
          <w:rStyle w:val="fontstyle31"/>
        </w:rPr>
        <w:t>Infectious Diseases &amp; Medical Microbiology</w:t>
      </w:r>
      <w:r w:rsidRPr="00D27198">
        <w:rPr>
          <w:rStyle w:val="fontstyle21"/>
        </w:rPr>
        <w:t xml:space="preserve">, </w:t>
      </w:r>
      <w:r w:rsidRPr="00D27198">
        <w:rPr>
          <w:rStyle w:val="fontstyle31"/>
        </w:rPr>
        <w:t>2020</w:t>
      </w:r>
      <w:r w:rsidRPr="00D27198">
        <w:rPr>
          <w:rStyle w:val="fontstyle21"/>
        </w:rPr>
        <w:t>, 1–9.</w:t>
      </w:r>
      <w:r w:rsidRPr="00D27198">
        <w:rPr>
          <w:rFonts w:ascii="Times New Roman" w:hAnsi="Times New Roman" w:cs="Times New Roman"/>
          <w:color w:val="000000"/>
          <w:sz w:val="24"/>
          <w:szCs w:val="24"/>
        </w:rPr>
        <w:t xml:space="preserve"> </w:t>
      </w:r>
      <w:hyperlink r:id="rId18" w:history="1">
        <w:r w:rsidRPr="00D27198">
          <w:rPr>
            <w:rStyle w:val="Hyperlink"/>
            <w:rFonts w:ascii="Times New Roman" w:hAnsi="Times New Roman" w:cs="Times New Roman"/>
            <w:sz w:val="24"/>
            <w:szCs w:val="24"/>
          </w:rPr>
          <w:t>https://doi.org/10.1155/2020/5321276</w:t>
        </w:r>
      </w:hyperlink>
    </w:p>
    <w:p w14:paraId="652E96A4" w14:textId="77777777" w:rsidR="000377C5" w:rsidRPr="00D27198" w:rsidRDefault="000377C5" w:rsidP="000377C5">
      <w:pPr>
        <w:pStyle w:val="ListParagraph"/>
        <w:numPr>
          <w:ilvl w:val="0"/>
          <w:numId w:val="3"/>
        </w:numPr>
        <w:spacing w:line="480" w:lineRule="auto"/>
        <w:ind w:left="426"/>
        <w:jc w:val="both"/>
        <w:rPr>
          <w:rStyle w:val="fontstyle21"/>
          <w:color w:val="auto"/>
        </w:rPr>
      </w:pPr>
      <w:r w:rsidRPr="00D27198">
        <w:rPr>
          <w:rStyle w:val="fontstyle21"/>
          <w:color w:val="auto"/>
        </w:rPr>
        <w:t>National Committee for Clinical Laboratory Standards: Methods for Disk Susceptibility Test for Bacteria that grow Aerobically, Volume NCCLS Document M2-A7. National Committee for Clinical Laboratory Standards 7th edition. Wayne.</w:t>
      </w:r>
    </w:p>
    <w:p w14:paraId="4755FCF3" w14:textId="77777777" w:rsidR="000377C5" w:rsidRPr="00D27198" w:rsidRDefault="000377C5" w:rsidP="000377C5">
      <w:pPr>
        <w:pStyle w:val="ListParagraph"/>
        <w:numPr>
          <w:ilvl w:val="0"/>
          <w:numId w:val="3"/>
        </w:numPr>
        <w:spacing w:line="480" w:lineRule="auto"/>
        <w:ind w:left="426"/>
        <w:jc w:val="both"/>
        <w:rPr>
          <w:rStyle w:val="fontstyle21"/>
          <w:color w:val="auto"/>
        </w:rPr>
      </w:pPr>
      <w:proofErr w:type="spellStart"/>
      <w:r w:rsidRPr="00D27198">
        <w:rPr>
          <w:rStyle w:val="fontstyle21"/>
        </w:rPr>
        <w:t>Akoachere</w:t>
      </w:r>
      <w:proofErr w:type="spellEnd"/>
      <w:r w:rsidRPr="00D27198">
        <w:rPr>
          <w:rStyle w:val="fontstyle21"/>
        </w:rPr>
        <w:t xml:space="preserve"> et al.: Etiologic profile and antimicrobial susceptibility of community-acquired urinary tract infection in two Cameroonian towns. BMC Research Notes 2012 5:219.</w:t>
      </w:r>
    </w:p>
    <w:p w14:paraId="48D5DB48"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Assob</w:t>
      </w:r>
      <w:proofErr w:type="spellEnd"/>
      <w:r w:rsidRPr="00D27198">
        <w:rPr>
          <w:rFonts w:ascii="Times New Roman" w:hAnsi="Times New Roman" w:cs="Times New Roman"/>
          <w:color w:val="000000"/>
          <w:sz w:val="24"/>
          <w:szCs w:val="24"/>
        </w:rPr>
        <w:t xml:space="preserve"> NJC, </w:t>
      </w:r>
      <w:proofErr w:type="spellStart"/>
      <w:r w:rsidRPr="00D27198">
        <w:rPr>
          <w:rFonts w:ascii="Times New Roman" w:hAnsi="Times New Roman" w:cs="Times New Roman"/>
          <w:color w:val="000000"/>
          <w:sz w:val="24"/>
          <w:szCs w:val="24"/>
        </w:rPr>
        <w:t>Weledji</w:t>
      </w:r>
      <w:proofErr w:type="spellEnd"/>
      <w:r w:rsidRPr="00D27198">
        <w:rPr>
          <w:rFonts w:ascii="Times New Roman" w:hAnsi="Times New Roman" w:cs="Times New Roman"/>
          <w:color w:val="000000"/>
          <w:sz w:val="24"/>
          <w:szCs w:val="24"/>
        </w:rPr>
        <w:t xml:space="preserve"> EP, </w:t>
      </w:r>
      <w:proofErr w:type="spellStart"/>
      <w:r w:rsidRPr="00D27198">
        <w:rPr>
          <w:rFonts w:ascii="Times New Roman" w:hAnsi="Times New Roman" w:cs="Times New Roman"/>
          <w:color w:val="000000"/>
          <w:sz w:val="24"/>
          <w:szCs w:val="24"/>
        </w:rPr>
        <w:t>Njunda</w:t>
      </w:r>
      <w:proofErr w:type="spellEnd"/>
      <w:r w:rsidRPr="00D27198">
        <w:rPr>
          <w:rFonts w:ascii="Times New Roman" w:hAnsi="Times New Roman" w:cs="Times New Roman"/>
          <w:color w:val="000000"/>
          <w:sz w:val="24"/>
          <w:szCs w:val="24"/>
        </w:rPr>
        <w:t xml:space="preserve"> AL, </w:t>
      </w:r>
      <w:proofErr w:type="spellStart"/>
      <w:r w:rsidRPr="00D27198">
        <w:rPr>
          <w:rFonts w:ascii="Times New Roman" w:hAnsi="Times New Roman" w:cs="Times New Roman"/>
          <w:color w:val="000000"/>
          <w:sz w:val="24"/>
          <w:szCs w:val="24"/>
        </w:rPr>
        <w:t>Bolimo</w:t>
      </w:r>
      <w:proofErr w:type="spellEnd"/>
      <w:r w:rsidRPr="00D27198">
        <w:rPr>
          <w:rFonts w:ascii="Times New Roman" w:hAnsi="Times New Roman" w:cs="Times New Roman"/>
          <w:color w:val="000000"/>
          <w:sz w:val="24"/>
          <w:szCs w:val="24"/>
        </w:rPr>
        <w:t xml:space="preserve"> F, </w:t>
      </w:r>
      <w:proofErr w:type="spellStart"/>
      <w:r w:rsidRPr="00D27198">
        <w:rPr>
          <w:rFonts w:ascii="Times New Roman" w:hAnsi="Times New Roman" w:cs="Times New Roman"/>
          <w:color w:val="000000"/>
          <w:sz w:val="24"/>
          <w:szCs w:val="24"/>
        </w:rPr>
        <w:t>Asongalem</w:t>
      </w:r>
      <w:proofErr w:type="spellEnd"/>
      <w:r w:rsidRPr="00D27198">
        <w:rPr>
          <w:rFonts w:ascii="Times New Roman" w:hAnsi="Times New Roman" w:cs="Times New Roman"/>
          <w:color w:val="000000"/>
          <w:sz w:val="24"/>
          <w:szCs w:val="24"/>
        </w:rPr>
        <w:t xml:space="preserve"> EA, Kamga FHL, </w:t>
      </w:r>
      <w:proofErr w:type="spellStart"/>
      <w:r w:rsidRPr="00D27198">
        <w:rPr>
          <w:rFonts w:ascii="Times New Roman" w:hAnsi="Times New Roman" w:cs="Times New Roman"/>
          <w:color w:val="000000"/>
          <w:sz w:val="24"/>
          <w:szCs w:val="24"/>
        </w:rPr>
        <w:t>Achidi</w:t>
      </w:r>
      <w:proofErr w:type="spellEnd"/>
      <w:r w:rsidRPr="00D27198">
        <w:rPr>
          <w:rFonts w:ascii="Times New Roman" w:hAnsi="Times New Roman" w:cs="Times New Roman"/>
          <w:color w:val="000000"/>
          <w:sz w:val="24"/>
          <w:szCs w:val="24"/>
        </w:rPr>
        <w:t xml:space="preserve"> EA, </w:t>
      </w:r>
      <w:proofErr w:type="spellStart"/>
      <w:r w:rsidRPr="00D27198">
        <w:rPr>
          <w:rFonts w:ascii="Times New Roman" w:hAnsi="Times New Roman" w:cs="Times New Roman"/>
          <w:color w:val="000000"/>
          <w:sz w:val="24"/>
          <w:szCs w:val="24"/>
        </w:rPr>
        <w:t>Penlap</w:t>
      </w:r>
      <w:proofErr w:type="spellEnd"/>
      <w:r w:rsidRPr="00D27198">
        <w:rPr>
          <w:rFonts w:ascii="Times New Roman" w:hAnsi="Times New Roman" w:cs="Times New Roman"/>
          <w:color w:val="000000"/>
          <w:sz w:val="24"/>
          <w:szCs w:val="24"/>
        </w:rPr>
        <w:t xml:space="preserve"> BV, </w:t>
      </w:r>
      <w:proofErr w:type="spellStart"/>
      <w:r w:rsidRPr="00D27198">
        <w:rPr>
          <w:rFonts w:ascii="Times New Roman" w:hAnsi="Times New Roman" w:cs="Times New Roman"/>
          <w:color w:val="000000"/>
          <w:sz w:val="24"/>
          <w:szCs w:val="24"/>
        </w:rPr>
        <w:t>Ndumbe</w:t>
      </w:r>
      <w:proofErr w:type="spellEnd"/>
      <w:r w:rsidRPr="00D27198">
        <w:rPr>
          <w:rFonts w:ascii="Times New Roman" w:hAnsi="Times New Roman" w:cs="Times New Roman"/>
          <w:color w:val="000000"/>
          <w:sz w:val="24"/>
          <w:szCs w:val="24"/>
        </w:rPr>
        <w:t xml:space="preserve"> PM: Bacteriological and mycological characterization of some pathogens of the urogenital tract in Buea subdivision (South West Region Cameroon). Health Sci &amp; Dis 2009, 10:10–16.</w:t>
      </w:r>
    </w:p>
    <w:p w14:paraId="4F4A2D4D"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r w:rsidRPr="00D27198">
        <w:rPr>
          <w:rFonts w:ascii="Times New Roman" w:hAnsi="Times New Roman" w:cs="Times New Roman"/>
          <w:color w:val="000000"/>
          <w:sz w:val="24"/>
          <w:szCs w:val="24"/>
        </w:rPr>
        <w:t xml:space="preserve">Benaissa, E., </w:t>
      </w:r>
      <w:proofErr w:type="spellStart"/>
      <w:r w:rsidRPr="00D27198">
        <w:rPr>
          <w:rFonts w:ascii="Times New Roman" w:hAnsi="Times New Roman" w:cs="Times New Roman"/>
          <w:color w:val="000000"/>
          <w:sz w:val="24"/>
          <w:szCs w:val="24"/>
        </w:rPr>
        <w:t>Belouad</w:t>
      </w:r>
      <w:proofErr w:type="spellEnd"/>
      <w:r w:rsidRPr="00D27198">
        <w:rPr>
          <w:rFonts w:ascii="Times New Roman" w:hAnsi="Times New Roman" w:cs="Times New Roman"/>
          <w:color w:val="000000"/>
          <w:sz w:val="24"/>
          <w:szCs w:val="24"/>
        </w:rPr>
        <w:t xml:space="preserve">, E.M., </w:t>
      </w:r>
      <w:proofErr w:type="spellStart"/>
      <w:r w:rsidRPr="00D27198">
        <w:rPr>
          <w:rFonts w:ascii="Times New Roman" w:hAnsi="Times New Roman" w:cs="Times New Roman"/>
          <w:color w:val="000000"/>
          <w:sz w:val="24"/>
          <w:szCs w:val="24"/>
        </w:rPr>
        <w:t>Mechal</w:t>
      </w:r>
      <w:proofErr w:type="spellEnd"/>
      <w:r w:rsidRPr="00D27198">
        <w:rPr>
          <w:rFonts w:ascii="Times New Roman" w:hAnsi="Times New Roman" w:cs="Times New Roman"/>
          <w:color w:val="000000"/>
          <w:sz w:val="24"/>
          <w:szCs w:val="24"/>
        </w:rPr>
        <w:t xml:space="preserve">, Y., </w:t>
      </w:r>
      <w:proofErr w:type="spellStart"/>
      <w:r w:rsidRPr="00D27198">
        <w:rPr>
          <w:rFonts w:ascii="Times New Roman" w:hAnsi="Times New Roman" w:cs="Times New Roman"/>
          <w:color w:val="000000"/>
          <w:sz w:val="24"/>
          <w:szCs w:val="24"/>
        </w:rPr>
        <w:t>Benlahlou</w:t>
      </w:r>
      <w:proofErr w:type="spellEnd"/>
      <w:r w:rsidRPr="00D27198">
        <w:rPr>
          <w:rFonts w:ascii="Times New Roman" w:hAnsi="Times New Roman" w:cs="Times New Roman"/>
          <w:color w:val="000000"/>
          <w:sz w:val="24"/>
          <w:szCs w:val="24"/>
        </w:rPr>
        <w:t xml:space="preserve">, Y., Chadli, M., Maleb, A., &amp; </w:t>
      </w:r>
      <w:proofErr w:type="spellStart"/>
      <w:r w:rsidRPr="00D27198">
        <w:rPr>
          <w:rFonts w:ascii="Times New Roman" w:hAnsi="Times New Roman" w:cs="Times New Roman"/>
          <w:color w:val="000000"/>
          <w:sz w:val="24"/>
          <w:szCs w:val="24"/>
        </w:rPr>
        <w:t>Elouennass</w:t>
      </w:r>
      <w:proofErr w:type="spellEnd"/>
      <w:r w:rsidRPr="00D27198">
        <w:rPr>
          <w:rFonts w:ascii="Times New Roman" w:hAnsi="Times New Roman" w:cs="Times New Roman"/>
          <w:color w:val="000000"/>
          <w:sz w:val="24"/>
          <w:szCs w:val="24"/>
        </w:rPr>
        <w:t xml:space="preserve">, M. (2021). Multidrug-resistant community-acquired urinary tract infections in a northern region of Morocco: epidemiology and risk factors. </w:t>
      </w:r>
      <w:proofErr w:type="spellStart"/>
      <w:r w:rsidRPr="00D27198">
        <w:rPr>
          <w:rFonts w:ascii="Times New Roman" w:hAnsi="Times New Roman" w:cs="Times New Roman"/>
          <w:color w:val="000000"/>
          <w:sz w:val="24"/>
          <w:szCs w:val="24"/>
          <w:lang w:val="fr-CM"/>
        </w:rPr>
        <w:t>Germs</w:t>
      </w:r>
      <w:proofErr w:type="spellEnd"/>
      <w:r w:rsidRPr="00D27198">
        <w:rPr>
          <w:rFonts w:ascii="Times New Roman" w:hAnsi="Times New Roman" w:cs="Times New Roman"/>
          <w:color w:val="000000"/>
          <w:sz w:val="24"/>
          <w:szCs w:val="24"/>
          <w:lang w:val="fr-CM"/>
        </w:rPr>
        <w:t xml:space="preserve">, 11(4), 562569. </w:t>
      </w:r>
      <w:hyperlink r:id="rId19" w:history="1">
        <w:r w:rsidRPr="00D27198">
          <w:rPr>
            <w:rStyle w:val="Hyperlink"/>
            <w:rFonts w:ascii="Times New Roman" w:hAnsi="Times New Roman" w:cs="Times New Roman"/>
            <w:sz w:val="24"/>
            <w:szCs w:val="24"/>
            <w:lang w:val="fr-CM"/>
          </w:rPr>
          <w:t>https://doi.org/10.18683/germs.2021.1291</w:t>
        </w:r>
      </w:hyperlink>
      <w:r w:rsidRPr="00D27198">
        <w:rPr>
          <w:rFonts w:ascii="Times New Roman" w:hAnsi="Times New Roman" w:cs="Times New Roman"/>
          <w:color w:val="000000"/>
          <w:sz w:val="24"/>
          <w:szCs w:val="24"/>
          <w:lang w:val="fr-CM"/>
        </w:rPr>
        <w:t>.</w:t>
      </w:r>
    </w:p>
    <w:p w14:paraId="6BB8BC23"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lang w:val="fr-CM"/>
        </w:rPr>
        <w:t>Parajuli</w:t>
      </w:r>
      <w:proofErr w:type="spellEnd"/>
      <w:r w:rsidRPr="00D27198">
        <w:rPr>
          <w:rFonts w:ascii="Times New Roman" w:hAnsi="Times New Roman" w:cs="Times New Roman"/>
          <w:color w:val="000000"/>
          <w:sz w:val="24"/>
          <w:szCs w:val="24"/>
          <w:lang w:val="fr-CM"/>
        </w:rPr>
        <w:t xml:space="preserve">, S., </w:t>
      </w:r>
      <w:proofErr w:type="spellStart"/>
      <w:r w:rsidRPr="00D27198">
        <w:rPr>
          <w:rFonts w:ascii="Times New Roman" w:hAnsi="Times New Roman" w:cs="Times New Roman"/>
          <w:color w:val="000000"/>
          <w:sz w:val="24"/>
          <w:szCs w:val="24"/>
          <w:lang w:val="fr-CM"/>
        </w:rPr>
        <w:t>Thapa</w:t>
      </w:r>
      <w:proofErr w:type="spellEnd"/>
      <w:r w:rsidRPr="00D27198">
        <w:rPr>
          <w:rFonts w:ascii="Times New Roman" w:hAnsi="Times New Roman" w:cs="Times New Roman"/>
          <w:color w:val="000000"/>
          <w:sz w:val="24"/>
          <w:szCs w:val="24"/>
          <w:lang w:val="fr-CM"/>
        </w:rPr>
        <w:t xml:space="preserve">, S. (2014). Microbiologie de l'infection des voies urinaires et statut des isolats urinaires chez les femmes enceintes. Journal Médical de l'hôpital </w:t>
      </w:r>
      <w:proofErr w:type="spellStart"/>
      <w:r w:rsidRPr="00D27198">
        <w:rPr>
          <w:rFonts w:ascii="Times New Roman" w:hAnsi="Times New Roman" w:cs="Times New Roman"/>
          <w:color w:val="000000"/>
          <w:sz w:val="24"/>
          <w:szCs w:val="24"/>
          <w:lang w:val="fr-CM"/>
        </w:rPr>
        <w:t>Shree</w:t>
      </w:r>
      <w:proofErr w:type="spellEnd"/>
      <w:r w:rsidRPr="00D27198">
        <w:rPr>
          <w:rFonts w:ascii="Times New Roman" w:hAnsi="Times New Roman" w:cs="Times New Roman"/>
          <w:color w:val="000000"/>
          <w:sz w:val="24"/>
          <w:szCs w:val="24"/>
          <w:lang w:val="fr-CM"/>
        </w:rPr>
        <w:t xml:space="preserve"> </w:t>
      </w:r>
      <w:proofErr w:type="spellStart"/>
      <w:r w:rsidRPr="00D27198">
        <w:rPr>
          <w:rFonts w:ascii="Times New Roman" w:hAnsi="Times New Roman" w:cs="Times New Roman"/>
          <w:color w:val="000000"/>
          <w:sz w:val="24"/>
          <w:szCs w:val="24"/>
          <w:lang w:val="fr-CM"/>
        </w:rPr>
        <w:t>Birendra</w:t>
      </w:r>
      <w:proofErr w:type="spellEnd"/>
      <w:r w:rsidRPr="00D27198">
        <w:rPr>
          <w:rFonts w:ascii="Times New Roman" w:hAnsi="Times New Roman" w:cs="Times New Roman"/>
          <w:color w:val="000000"/>
          <w:sz w:val="24"/>
          <w:szCs w:val="24"/>
          <w:lang w:val="fr-CM"/>
        </w:rPr>
        <w:t>, 13(2</w:t>
      </w:r>
      <w:proofErr w:type="gramStart"/>
      <w:r w:rsidRPr="00D27198">
        <w:rPr>
          <w:rFonts w:ascii="Times New Roman" w:hAnsi="Times New Roman" w:cs="Times New Roman"/>
          <w:color w:val="000000"/>
          <w:sz w:val="24"/>
          <w:szCs w:val="24"/>
          <w:lang w:val="fr-CM"/>
        </w:rPr>
        <w:t>):</w:t>
      </w:r>
      <w:proofErr w:type="gramEnd"/>
      <w:r w:rsidRPr="00D27198">
        <w:rPr>
          <w:rFonts w:ascii="Times New Roman" w:hAnsi="Times New Roman" w:cs="Times New Roman"/>
          <w:color w:val="000000"/>
          <w:sz w:val="24"/>
          <w:szCs w:val="24"/>
          <w:lang w:val="fr-CM"/>
        </w:rPr>
        <w:t>20-24.</w:t>
      </w:r>
    </w:p>
    <w:p w14:paraId="29166A66"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Fonts w:ascii="Times New Roman" w:hAnsi="Times New Roman" w:cs="Times New Roman"/>
          <w:color w:val="000000"/>
          <w:sz w:val="24"/>
          <w:szCs w:val="24"/>
          <w:lang w:val="fr-CM"/>
        </w:rPr>
        <w:lastRenderedPageBreak/>
        <w:t>Ait-</w:t>
      </w:r>
      <w:proofErr w:type="spellStart"/>
      <w:r w:rsidRPr="00D27198">
        <w:rPr>
          <w:rFonts w:ascii="Times New Roman" w:hAnsi="Times New Roman" w:cs="Times New Roman"/>
          <w:color w:val="000000"/>
          <w:sz w:val="24"/>
          <w:szCs w:val="24"/>
          <w:lang w:val="fr-CM"/>
        </w:rPr>
        <w:t>Mimoune</w:t>
      </w:r>
      <w:proofErr w:type="spellEnd"/>
      <w:r w:rsidRPr="00D27198">
        <w:rPr>
          <w:rFonts w:ascii="Times New Roman" w:hAnsi="Times New Roman" w:cs="Times New Roman"/>
          <w:color w:val="000000"/>
          <w:sz w:val="24"/>
          <w:szCs w:val="24"/>
          <w:lang w:val="fr-CM"/>
        </w:rPr>
        <w:t xml:space="preserve">, N., Hassaine, H., &amp; </w:t>
      </w:r>
      <w:proofErr w:type="spellStart"/>
      <w:r w:rsidRPr="00D27198">
        <w:rPr>
          <w:rFonts w:ascii="Times New Roman" w:hAnsi="Times New Roman" w:cs="Times New Roman"/>
          <w:color w:val="000000"/>
          <w:sz w:val="24"/>
          <w:szCs w:val="24"/>
          <w:lang w:val="fr-CM"/>
        </w:rPr>
        <w:t>Boulanoir</w:t>
      </w:r>
      <w:proofErr w:type="spellEnd"/>
      <w:r w:rsidRPr="00D27198">
        <w:rPr>
          <w:rFonts w:ascii="Times New Roman" w:hAnsi="Times New Roman" w:cs="Times New Roman"/>
          <w:color w:val="000000"/>
          <w:sz w:val="24"/>
          <w:szCs w:val="24"/>
          <w:lang w:val="fr-CM"/>
        </w:rPr>
        <w:t xml:space="preserve">, M. (2022). </w:t>
      </w:r>
      <w:r w:rsidRPr="00D27198">
        <w:rPr>
          <w:rFonts w:ascii="Times New Roman" w:hAnsi="Times New Roman" w:cs="Times New Roman"/>
          <w:color w:val="000000"/>
          <w:sz w:val="24"/>
          <w:szCs w:val="24"/>
        </w:rPr>
        <w:t xml:space="preserve">Bacteriological profile of urinary tract infections and antibiotic susceptibility of Escherichia coli in Algeria. </w:t>
      </w:r>
      <w:r w:rsidRPr="00D27198">
        <w:rPr>
          <w:rFonts w:ascii="Times New Roman" w:hAnsi="Times New Roman" w:cs="Times New Roman"/>
          <w:color w:val="000000"/>
          <w:sz w:val="24"/>
          <w:szCs w:val="24"/>
          <w:lang w:val="fr-CM"/>
        </w:rPr>
        <w:t xml:space="preserve">Iran </w:t>
      </w:r>
      <w:proofErr w:type="spellStart"/>
      <w:r w:rsidRPr="00D27198">
        <w:rPr>
          <w:rFonts w:ascii="Times New Roman" w:hAnsi="Times New Roman" w:cs="Times New Roman"/>
          <w:color w:val="000000"/>
          <w:sz w:val="24"/>
          <w:szCs w:val="24"/>
          <w:lang w:val="fr-CM"/>
        </w:rPr>
        <w:t>JMicrobiol</w:t>
      </w:r>
      <w:proofErr w:type="spellEnd"/>
      <w:r w:rsidRPr="00D27198">
        <w:rPr>
          <w:rFonts w:ascii="Times New Roman" w:hAnsi="Times New Roman" w:cs="Times New Roman"/>
          <w:color w:val="000000"/>
          <w:sz w:val="24"/>
          <w:szCs w:val="24"/>
          <w:lang w:val="fr-CM"/>
        </w:rPr>
        <w:t xml:space="preserve">., </w:t>
      </w:r>
      <w:hyperlink r:id="rId20" w:history="1">
        <w:r w:rsidRPr="00D27198">
          <w:rPr>
            <w:rStyle w:val="Hyperlink"/>
            <w:rFonts w:ascii="Times New Roman" w:hAnsi="Times New Roman" w:cs="Times New Roman"/>
            <w:sz w:val="24"/>
            <w:szCs w:val="24"/>
            <w:lang w:val="fr-CM"/>
          </w:rPr>
          <w:t>https://doi.org/10.18502/ijm.v14i2.9180</w:t>
        </w:r>
      </w:hyperlink>
    </w:p>
    <w:p w14:paraId="5BFCA33E"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Fonts w:ascii="Times New Roman" w:hAnsi="Times New Roman" w:cs="Times New Roman"/>
          <w:color w:val="000000"/>
          <w:sz w:val="24"/>
          <w:szCs w:val="24"/>
          <w:lang w:val="fr-CM"/>
        </w:rPr>
        <w:t xml:space="preserve">Tula, A., </w:t>
      </w:r>
      <w:proofErr w:type="spellStart"/>
      <w:r w:rsidRPr="00D27198">
        <w:rPr>
          <w:rFonts w:ascii="Times New Roman" w:hAnsi="Times New Roman" w:cs="Times New Roman"/>
          <w:color w:val="000000"/>
          <w:sz w:val="24"/>
          <w:szCs w:val="24"/>
          <w:lang w:val="fr-CM"/>
        </w:rPr>
        <w:t>Mikru</w:t>
      </w:r>
      <w:proofErr w:type="spellEnd"/>
      <w:r w:rsidRPr="00D27198">
        <w:rPr>
          <w:rFonts w:ascii="Times New Roman" w:hAnsi="Times New Roman" w:cs="Times New Roman"/>
          <w:color w:val="000000"/>
          <w:sz w:val="24"/>
          <w:szCs w:val="24"/>
          <w:lang w:val="fr-CM"/>
        </w:rPr>
        <w:t xml:space="preserve">, A., </w:t>
      </w:r>
      <w:proofErr w:type="spellStart"/>
      <w:r w:rsidRPr="00D27198">
        <w:rPr>
          <w:rFonts w:ascii="Times New Roman" w:hAnsi="Times New Roman" w:cs="Times New Roman"/>
          <w:color w:val="000000"/>
          <w:sz w:val="24"/>
          <w:szCs w:val="24"/>
          <w:lang w:val="fr-CM"/>
        </w:rPr>
        <w:t>Alemayehu</w:t>
      </w:r>
      <w:proofErr w:type="spellEnd"/>
      <w:r w:rsidRPr="00D27198">
        <w:rPr>
          <w:rFonts w:ascii="Times New Roman" w:hAnsi="Times New Roman" w:cs="Times New Roman"/>
          <w:color w:val="000000"/>
          <w:sz w:val="24"/>
          <w:szCs w:val="24"/>
          <w:lang w:val="fr-CM"/>
        </w:rPr>
        <w:t xml:space="preserve">, T. &amp; </w:t>
      </w:r>
      <w:proofErr w:type="spellStart"/>
      <w:r w:rsidRPr="00D27198">
        <w:rPr>
          <w:rFonts w:ascii="Times New Roman" w:hAnsi="Times New Roman" w:cs="Times New Roman"/>
          <w:color w:val="000000"/>
          <w:sz w:val="24"/>
          <w:szCs w:val="24"/>
          <w:lang w:val="fr-CM"/>
        </w:rPr>
        <w:t>Dobo</w:t>
      </w:r>
      <w:proofErr w:type="spellEnd"/>
      <w:r w:rsidRPr="00D27198">
        <w:rPr>
          <w:rFonts w:ascii="Times New Roman" w:hAnsi="Times New Roman" w:cs="Times New Roman"/>
          <w:color w:val="000000"/>
          <w:sz w:val="24"/>
          <w:szCs w:val="24"/>
          <w:lang w:val="fr-CM"/>
        </w:rPr>
        <w:t xml:space="preserve">, B. (2020). </w:t>
      </w:r>
      <w:r w:rsidRPr="00D27198">
        <w:rPr>
          <w:rFonts w:ascii="Times New Roman" w:hAnsi="Times New Roman" w:cs="Times New Roman"/>
          <w:color w:val="000000"/>
          <w:sz w:val="24"/>
          <w:szCs w:val="24"/>
        </w:rPr>
        <w:t xml:space="preserve">Bacterial Profile and Antibiotic Susceptibility Pattern of Urinary Tract Infection among Pregnant Women Attending Antenatal Care at a Tertiary Care Hospital in Southern Ethiopia. Canadian Journal of Infectious Diseases &amp; Medical Microbiology, 2020, 1–9. </w:t>
      </w:r>
      <w:hyperlink r:id="rId21" w:history="1">
        <w:r w:rsidRPr="00D27198">
          <w:rPr>
            <w:rStyle w:val="Hyperlink"/>
            <w:rFonts w:ascii="Times New Roman" w:hAnsi="Times New Roman" w:cs="Times New Roman"/>
            <w:sz w:val="24"/>
            <w:szCs w:val="24"/>
          </w:rPr>
          <w:t>https://doi.org/10.1155/2020/5321276</w:t>
        </w:r>
      </w:hyperlink>
    </w:p>
    <w:p w14:paraId="060F79B6" w14:textId="77777777"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Nji</w:t>
      </w:r>
      <w:proofErr w:type="spellEnd"/>
      <w:r w:rsidRPr="00D27198">
        <w:rPr>
          <w:rFonts w:ascii="Times New Roman" w:hAnsi="Times New Roman" w:cs="Times New Roman"/>
          <w:color w:val="000000"/>
          <w:sz w:val="24"/>
          <w:szCs w:val="24"/>
        </w:rPr>
        <w:t xml:space="preserve">, C.P., </w:t>
      </w:r>
      <w:proofErr w:type="spellStart"/>
      <w:r w:rsidRPr="00D27198">
        <w:rPr>
          <w:rFonts w:ascii="Times New Roman" w:hAnsi="Times New Roman" w:cs="Times New Roman"/>
          <w:color w:val="000000"/>
          <w:sz w:val="24"/>
          <w:szCs w:val="24"/>
        </w:rPr>
        <w:t>Assob</w:t>
      </w:r>
      <w:proofErr w:type="spellEnd"/>
      <w:r w:rsidRPr="00D27198">
        <w:rPr>
          <w:rFonts w:ascii="Times New Roman" w:hAnsi="Times New Roman" w:cs="Times New Roman"/>
          <w:color w:val="000000"/>
          <w:sz w:val="24"/>
          <w:szCs w:val="24"/>
        </w:rPr>
        <w:t xml:space="preserve">, J. C.N., and </w:t>
      </w:r>
      <w:proofErr w:type="spellStart"/>
      <w:r w:rsidRPr="00D27198">
        <w:rPr>
          <w:rFonts w:ascii="Times New Roman" w:hAnsi="Times New Roman" w:cs="Times New Roman"/>
          <w:color w:val="000000"/>
          <w:sz w:val="24"/>
          <w:szCs w:val="24"/>
        </w:rPr>
        <w:t>Akoachere</w:t>
      </w:r>
      <w:proofErr w:type="spellEnd"/>
      <w:r w:rsidRPr="00D27198">
        <w:rPr>
          <w:rFonts w:ascii="Times New Roman" w:hAnsi="Times New Roman" w:cs="Times New Roman"/>
          <w:color w:val="000000"/>
          <w:sz w:val="24"/>
          <w:szCs w:val="24"/>
        </w:rPr>
        <w:t xml:space="preserve">, J. T. K. (2020). Predictors of Urinary Tract Infections in Children and Antibiotic </w:t>
      </w:r>
      <w:proofErr w:type="spellStart"/>
      <w:r w:rsidRPr="00D27198">
        <w:rPr>
          <w:rFonts w:ascii="Times New Roman" w:hAnsi="Times New Roman" w:cs="Times New Roman"/>
          <w:color w:val="000000"/>
          <w:sz w:val="24"/>
          <w:szCs w:val="24"/>
        </w:rPr>
        <w:t>Suscept</w:t>
      </w:r>
      <w:proofErr w:type="spellEnd"/>
      <w:r w:rsidRPr="00D27198">
        <w:rPr>
          <w:rFonts w:ascii="Times New Roman" w:hAnsi="Times New Roman" w:cs="Times New Roman"/>
          <w:color w:val="000000"/>
          <w:sz w:val="24"/>
          <w:szCs w:val="24"/>
        </w:rPr>
        <w:t xml:space="preserve"> </w:t>
      </w:r>
      <w:proofErr w:type="spellStart"/>
      <w:r w:rsidRPr="00D27198">
        <w:rPr>
          <w:rFonts w:ascii="Times New Roman" w:hAnsi="Times New Roman" w:cs="Times New Roman"/>
          <w:color w:val="000000"/>
          <w:sz w:val="24"/>
          <w:szCs w:val="24"/>
        </w:rPr>
        <w:t>bility</w:t>
      </w:r>
      <w:proofErr w:type="spellEnd"/>
      <w:r w:rsidRPr="00D27198">
        <w:rPr>
          <w:rFonts w:ascii="Times New Roman" w:hAnsi="Times New Roman" w:cs="Times New Roman"/>
          <w:color w:val="000000"/>
          <w:sz w:val="24"/>
          <w:szCs w:val="24"/>
        </w:rPr>
        <w:t xml:space="preserve"> Pattern in the Buea Health District, South West Region, Cameroon. BioMed Research International Volume 2020, Article ID 2176569, 11 pages. </w:t>
      </w:r>
      <w:hyperlink r:id="rId22" w:history="1">
        <w:r w:rsidRPr="00D27198">
          <w:rPr>
            <w:rStyle w:val="Hyperlink"/>
            <w:rFonts w:ascii="Times New Roman" w:hAnsi="Times New Roman" w:cs="Times New Roman"/>
            <w:sz w:val="24"/>
            <w:szCs w:val="24"/>
          </w:rPr>
          <w:t>https://doi.org/10.1155/2020/2176569</w:t>
        </w:r>
      </w:hyperlink>
      <w:r w:rsidRPr="00D27198">
        <w:rPr>
          <w:rFonts w:ascii="Times New Roman" w:hAnsi="Times New Roman" w:cs="Times New Roman"/>
          <w:color w:val="000000"/>
          <w:sz w:val="24"/>
          <w:szCs w:val="24"/>
        </w:rPr>
        <w:t>.</w:t>
      </w:r>
    </w:p>
    <w:p w14:paraId="1ABCFC15" w14:textId="77777777" w:rsidR="000377C5" w:rsidRPr="00D27198" w:rsidRDefault="000377C5" w:rsidP="000377C5">
      <w:pPr>
        <w:pStyle w:val="ListParagraph"/>
        <w:numPr>
          <w:ilvl w:val="0"/>
          <w:numId w:val="3"/>
        </w:numPr>
        <w:spacing w:line="480" w:lineRule="auto"/>
        <w:ind w:left="426"/>
        <w:jc w:val="both"/>
        <w:rPr>
          <w:rStyle w:val="Hyperlink"/>
          <w:rFonts w:ascii="Times New Roman" w:hAnsi="Times New Roman" w:cs="Times New Roman"/>
          <w:color w:val="auto"/>
          <w:sz w:val="24"/>
          <w:szCs w:val="24"/>
          <w:u w:val="none"/>
        </w:rPr>
      </w:pPr>
      <w:r w:rsidRPr="00D27198">
        <w:rPr>
          <w:rFonts w:ascii="Times New Roman" w:hAnsi="Times New Roman" w:cs="Times New Roman"/>
          <w:color w:val="000000"/>
          <w:sz w:val="24"/>
          <w:szCs w:val="24"/>
        </w:rPr>
        <w:t xml:space="preserve">Wanke-Rytt, M., Sobierajski, T., Lachowicz, D., Seliga-Gąsior, D., &amp; </w:t>
      </w:r>
      <w:proofErr w:type="spellStart"/>
      <w:r w:rsidRPr="00D27198">
        <w:rPr>
          <w:rFonts w:ascii="Times New Roman" w:hAnsi="Times New Roman" w:cs="Times New Roman"/>
          <w:color w:val="000000"/>
          <w:sz w:val="24"/>
          <w:szCs w:val="24"/>
        </w:rPr>
        <w:t>Podsiadły</w:t>
      </w:r>
      <w:proofErr w:type="spellEnd"/>
      <w:r w:rsidRPr="00D27198">
        <w:rPr>
          <w:rFonts w:ascii="Times New Roman" w:hAnsi="Times New Roman" w:cs="Times New Roman"/>
          <w:color w:val="000000"/>
          <w:sz w:val="24"/>
          <w:szCs w:val="24"/>
        </w:rPr>
        <w:t xml:space="preserve">, E. (2023). Analysis of etiology of Community Acquired and Nosocomial Urinary Tract Infections and antibiotic resistance of isolated strains: results of a 3-Year Surveillance (2020–2022) at the Pediatric Teaching Hospital in Warsaw. Microorganisms, 11(6), 1438. </w:t>
      </w:r>
      <w:hyperlink r:id="rId23" w:history="1">
        <w:r w:rsidRPr="00D27198">
          <w:rPr>
            <w:rStyle w:val="Hyperlink"/>
            <w:rFonts w:ascii="Times New Roman" w:hAnsi="Times New Roman" w:cs="Times New Roman"/>
            <w:sz w:val="24"/>
            <w:szCs w:val="24"/>
          </w:rPr>
          <w:t>https://doi.org/10.3390/microorganisms11061438</w:t>
        </w:r>
      </w:hyperlink>
    </w:p>
    <w:p w14:paraId="5F1F779C" w14:textId="0B4FAC55" w:rsidR="000377C5" w:rsidRPr="00D27198"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Karyom</w:t>
      </w:r>
      <w:proofErr w:type="spellEnd"/>
      <w:r w:rsidRPr="00D27198">
        <w:rPr>
          <w:rFonts w:ascii="Times New Roman" w:hAnsi="Times New Roman" w:cs="Times New Roman"/>
          <w:color w:val="000000"/>
          <w:sz w:val="24"/>
          <w:szCs w:val="24"/>
        </w:rPr>
        <w:t xml:space="preserve"> </w:t>
      </w:r>
      <w:proofErr w:type="spellStart"/>
      <w:r w:rsidRPr="00D27198">
        <w:rPr>
          <w:rFonts w:ascii="Times New Roman" w:hAnsi="Times New Roman" w:cs="Times New Roman"/>
          <w:color w:val="000000"/>
          <w:sz w:val="24"/>
          <w:szCs w:val="24"/>
        </w:rPr>
        <w:t>Djim-Adjim-Ngana</w:t>
      </w:r>
      <w:proofErr w:type="spellEnd"/>
      <w:r w:rsidRPr="00D27198">
        <w:rPr>
          <w:rFonts w:ascii="Times New Roman" w:hAnsi="Times New Roman" w:cs="Times New Roman"/>
          <w:color w:val="000000"/>
          <w:sz w:val="24"/>
          <w:szCs w:val="24"/>
        </w:rPr>
        <w:t xml:space="preserve"> et al. Prevalence of extended-spectrum beta-lactamase-producing enterobacterial urinary infections and associated risk factors in small children of Garoua, Northern Cameroon. Pan African Medical Journal. 2020;36(157). </w:t>
      </w:r>
      <w:hyperlink r:id="rId24" w:history="1">
        <w:r w:rsidR="00420C86" w:rsidRPr="009A3D17">
          <w:rPr>
            <w:rStyle w:val="Hyperlink"/>
            <w:rFonts w:ascii="Times New Roman" w:hAnsi="Times New Roman" w:cs="Times New Roman"/>
            <w:sz w:val="24"/>
            <w:szCs w:val="24"/>
          </w:rPr>
          <w:t>https://doi.org/10.11604/pamj.2020.36.157.21347</w:t>
        </w:r>
      </w:hyperlink>
      <w:r w:rsidR="00420C86">
        <w:rPr>
          <w:rFonts w:ascii="Times New Roman" w:hAnsi="Times New Roman" w:cs="Times New Roman"/>
          <w:color w:val="000000"/>
          <w:sz w:val="24"/>
          <w:szCs w:val="24"/>
        </w:rPr>
        <w:t xml:space="preserve">. </w:t>
      </w:r>
    </w:p>
    <w:p w14:paraId="553C8E89" w14:textId="00251662" w:rsidR="000377C5" w:rsidRPr="00FE4524" w:rsidRDefault="000377C5" w:rsidP="000377C5">
      <w:pPr>
        <w:pStyle w:val="ListParagraph"/>
        <w:numPr>
          <w:ilvl w:val="0"/>
          <w:numId w:val="3"/>
        </w:numPr>
        <w:spacing w:line="480" w:lineRule="auto"/>
        <w:ind w:left="426"/>
        <w:jc w:val="both"/>
        <w:rPr>
          <w:rFonts w:ascii="Times New Roman" w:hAnsi="Times New Roman" w:cs="Times New Roman"/>
          <w:sz w:val="24"/>
          <w:szCs w:val="24"/>
        </w:rPr>
      </w:pPr>
      <w:proofErr w:type="spellStart"/>
      <w:r w:rsidRPr="00D27198">
        <w:rPr>
          <w:rFonts w:ascii="Times New Roman" w:hAnsi="Times New Roman" w:cs="Times New Roman"/>
          <w:color w:val="000000"/>
          <w:sz w:val="24"/>
          <w:szCs w:val="24"/>
        </w:rPr>
        <w:t>Lambou</w:t>
      </w:r>
      <w:proofErr w:type="spellEnd"/>
      <w:r w:rsidRPr="00D27198">
        <w:rPr>
          <w:rFonts w:ascii="Times New Roman" w:hAnsi="Times New Roman" w:cs="Times New Roman"/>
          <w:color w:val="000000"/>
          <w:sz w:val="24"/>
          <w:szCs w:val="24"/>
        </w:rPr>
        <w:t xml:space="preserve">, J.C.S., </w:t>
      </w:r>
      <w:proofErr w:type="spellStart"/>
      <w:r w:rsidRPr="00D27198">
        <w:rPr>
          <w:rFonts w:ascii="Times New Roman" w:hAnsi="Times New Roman" w:cs="Times New Roman"/>
          <w:color w:val="000000"/>
          <w:sz w:val="24"/>
          <w:szCs w:val="24"/>
        </w:rPr>
        <w:t>Noubom</w:t>
      </w:r>
      <w:proofErr w:type="spellEnd"/>
      <w:r w:rsidRPr="00D27198">
        <w:rPr>
          <w:rFonts w:ascii="Times New Roman" w:hAnsi="Times New Roman" w:cs="Times New Roman"/>
          <w:color w:val="000000"/>
          <w:sz w:val="24"/>
          <w:szCs w:val="24"/>
        </w:rPr>
        <w:t xml:space="preserve">, M., </w:t>
      </w:r>
      <w:proofErr w:type="spellStart"/>
      <w:r w:rsidRPr="00D27198">
        <w:rPr>
          <w:rFonts w:ascii="Times New Roman" w:hAnsi="Times New Roman" w:cs="Times New Roman"/>
          <w:color w:val="000000"/>
          <w:sz w:val="24"/>
          <w:szCs w:val="24"/>
        </w:rPr>
        <w:t>Gomseu</w:t>
      </w:r>
      <w:proofErr w:type="spellEnd"/>
      <w:r w:rsidRPr="00D27198">
        <w:rPr>
          <w:rFonts w:ascii="Times New Roman" w:hAnsi="Times New Roman" w:cs="Times New Roman"/>
          <w:color w:val="000000"/>
          <w:sz w:val="24"/>
          <w:szCs w:val="24"/>
        </w:rPr>
        <w:t xml:space="preserve">, B.E.D., </w:t>
      </w:r>
      <w:proofErr w:type="spellStart"/>
      <w:r w:rsidRPr="00D27198">
        <w:rPr>
          <w:rFonts w:ascii="Times New Roman" w:hAnsi="Times New Roman" w:cs="Times New Roman"/>
          <w:color w:val="000000"/>
          <w:sz w:val="24"/>
          <w:szCs w:val="24"/>
        </w:rPr>
        <w:t>Marbou</w:t>
      </w:r>
      <w:proofErr w:type="spellEnd"/>
      <w:r w:rsidRPr="00D27198">
        <w:rPr>
          <w:rFonts w:ascii="Times New Roman" w:hAnsi="Times New Roman" w:cs="Times New Roman"/>
          <w:color w:val="000000"/>
          <w:sz w:val="24"/>
          <w:szCs w:val="24"/>
        </w:rPr>
        <w:t xml:space="preserve">, W.J.T., </w:t>
      </w:r>
      <w:proofErr w:type="spellStart"/>
      <w:r w:rsidRPr="00D27198">
        <w:rPr>
          <w:rFonts w:ascii="Times New Roman" w:hAnsi="Times New Roman" w:cs="Times New Roman"/>
          <w:color w:val="000000"/>
          <w:sz w:val="24"/>
          <w:szCs w:val="24"/>
        </w:rPr>
        <w:t>Tamokou</w:t>
      </w:r>
      <w:proofErr w:type="spellEnd"/>
      <w:r w:rsidRPr="00D27198">
        <w:rPr>
          <w:rFonts w:ascii="Times New Roman" w:hAnsi="Times New Roman" w:cs="Times New Roman"/>
          <w:color w:val="000000"/>
          <w:sz w:val="24"/>
          <w:szCs w:val="24"/>
        </w:rPr>
        <w:t xml:space="preserve">, J. &amp; </w:t>
      </w:r>
      <w:proofErr w:type="spellStart"/>
      <w:r w:rsidRPr="00D27198">
        <w:rPr>
          <w:rFonts w:ascii="Times New Roman" w:hAnsi="Times New Roman" w:cs="Times New Roman"/>
          <w:color w:val="000000"/>
          <w:sz w:val="24"/>
          <w:szCs w:val="24"/>
        </w:rPr>
        <w:t>Gatsing</w:t>
      </w:r>
      <w:proofErr w:type="spellEnd"/>
      <w:r w:rsidRPr="00D27198">
        <w:rPr>
          <w:rFonts w:ascii="Times New Roman" w:hAnsi="Times New Roman" w:cs="Times New Roman"/>
          <w:color w:val="000000"/>
          <w:sz w:val="24"/>
          <w:szCs w:val="24"/>
        </w:rPr>
        <w:t xml:space="preserve">, D. (2022). Multidrug-Resistant Escherichia coli Causing Urinary Tract Infections among Controlled and Uncontrolled Type 2 Diabetic Patients at </w:t>
      </w:r>
      <w:proofErr w:type="spellStart"/>
      <w:r w:rsidRPr="00D27198">
        <w:rPr>
          <w:rFonts w:ascii="Times New Roman" w:hAnsi="Times New Roman" w:cs="Times New Roman"/>
          <w:color w:val="000000"/>
          <w:sz w:val="24"/>
          <w:szCs w:val="24"/>
        </w:rPr>
        <w:t>Laquintinie</w:t>
      </w:r>
      <w:proofErr w:type="spellEnd"/>
      <w:r w:rsidRPr="00D27198">
        <w:rPr>
          <w:rFonts w:ascii="Times New Roman" w:hAnsi="Times New Roman" w:cs="Times New Roman"/>
          <w:color w:val="000000"/>
          <w:sz w:val="24"/>
          <w:szCs w:val="24"/>
        </w:rPr>
        <w:t xml:space="preserve"> Hospital in Douala, </w:t>
      </w:r>
      <w:r w:rsidRPr="00D27198">
        <w:rPr>
          <w:rFonts w:ascii="Times New Roman" w:hAnsi="Times New Roman" w:cs="Times New Roman"/>
          <w:color w:val="000000"/>
          <w:sz w:val="24"/>
          <w:szCs w:val="24"/>
        </w:rPr>
        <w:lastRenderedPageBreak/>
        <w:t>Cameroon</w:t>
      </w:r>
      <w:r w:rsidRPr="00D27198">
        <w:rPr>
          <w:rFonts w:ascii="Times New Roman" w:hAnsi="Times New Roman" w:cs="Times New Roman"/>
          <w:i/>
          <w:color w:val="000000"/>
          <w:sz w:val="24"/>
          <w:szCs w:val="24"/>
        </w:rPr>
        <w:t xml:space="preserve">. Canadian Journal of Infectious Diseases &amp; Medical Microbiology, </w:t>
      </w:r>
      <w:r w:rsidRPr="00D27198">
        <w:rPr>
          <w:rFonts w:ascii="Times New Roman" w:hAnsi="Times New Roman" w:cs="Times New Roman"/>
          <w:color w:val="000000"/>
          <w:sz w:val="24"/>
          <w:szCs w:val="24"/>
        </w:rPr>
        <w:t>1–13.</w:t>
      </w:r>
      <w:r w:rsidR="00420C86">
        <w:rPr>
          <w:rFonts w:ascii="Times New Roman" w:hAnsi="Times New Roman" w:cs="Times New Roman"/>
          <w:color w:val="000000"/>
          <w:sz w:val="24"/>
          <w:szCs w:val="24"/>
        </w:rPr>
        <w:t xml:space="preserve"> </w:t>
      </w:r>
      <w:hyperlink r:id="rId25" w:history="1">
        <w:r w:rsidR="00420C86" w:rsidRPr="009A3D17">
          <w:rPr>
            <w:rStyle w:val="Hyperlink"/>
            <w:rFonts w:ascii="Times New Roman" w:hAnsi="Times New Roman" w:cs="Times New Roman"/>
            <w:sz w:val="24"/>
            <w:szCs w:val="24"/>
          </w:rPr>
          <w:t>https://doi.org/10.1155/2022/1250264</w:t>
        </w:r>
      </w:hyperlink>
      <w:r w:rsidR="00420C86">
        <w:rPr>
          <w:rFonts w:ascii="Times New Roman" w:hAnsi="Times New Roman" w:cs="Times New Roman"/>
          <w:color w:val="000000"/>
          <w:sz w:val="24"/>
          <w:szCs w:val="24"/>
        </w:rPr>
        <w:t xml:space="preserve">. </w:t>
      </w:r>
    </w:p>
    <w:p w14:paraId="0F350912" w14:textId="77777777" w:rsidR="000377C5"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Times New Roman" w:hAnsi="Times New Roman" w:cs="Times New Roman"/>
          <w:bCs/>
          <w:sz w:val="24"/>
          <w:szCs w:val="24"/>
        </w:rPr>
        <w:t>Ahmed SM, Avasarala AK. Urinary tract infections (</w:t>
      </w:r>
      <w:proofErr w:type="spellStart"/>
      <w:r w:rsidRPr="00286601">
        <w:rPr>
          <w:rFonts w:ascii="Times New Roman" w:hAnsi="Times New Roman" w:cs="Times New Roman"/>
          <w:bCs/>
          <w:sz w:val="24"/>
          <w:szCs w:val="24"/>
        </w:rPr>
        <w:t>uti</w:t>
      </w:r>
      <w:proofErr w:type="spellEnd"/>
      <w:r w:rsidRPr="00286601">
        <w:rPr>
          <w:rFonts w:ascii="Times New Roman" w:hAnsi="Times New Roman" w:cs="Times New Roman"/>
          <w:bCs/>
          <w:sz w:val="24"/>
          <w:szCs w:val="24"/>
        </w:rPr>
        <w:t xml:space="preserve">) among adolescent girls in rural Karimnagar district, ap – </w:t>
      </w:r>
      <w:proofErr w:type="spellStart"/>
      <w:r w:rsidRPr="00286601">
        <w:rPr>
          <w:rFonts w:ascii="Times New Roman" w:hAnsi="Times New Roman" w:cs="Times New Roman"/>
          <w:bCs/>
          <w:sz w:val="24"/>
          <w:szCs w:val="24"/>
        </w:rPr>
        <w:t>k.a.p</w:t>
      </w:r>
      <w:proofErr w:type="spellEnd"/>
      <w:r w:rsidRPr="00286601">
        <w:rPr>
          <w:rFonts w:ascii="Times New Roman" w:hAnsi="Times New Roman" w:cs="Times New Roman"/>
          <w:bCs/>
          <w:sz w:val="24"/>
          <w:szCs w:val="24"/>
        </w:rPr>
        <w:t>. study. Indian J Prev Soc Med Vol. 2009;40(1):2</w:t>
      </w:r>
    </w:p>
    <w:p w14:paraId="00A9AF37" w14:textId="506F2F69" w:rsidR="000377C5"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Times New Roman" w:hAnsi="Times New Roman" w:cs="Times New Roman"/>
          <w:bCs/>
          <w:sz w:val="24"/>
          <w:szCs w:val="24"/>
        </w:rPr>
        <w:t xml:space="preserve">Aggarwal N, Leslie SW. Recurrent Urinary Tract Infections. [Updated 2025 Jan 20]. In: </w:t>
      </w:r>
      <w:proofErr w:type="spellStart"/>
      <w:r w:rsidRPr="00286601">
        <w:rPr>
          <w:rFonts w:ascii="Times New Roman" w:hAnsi="Times New Roman" w:cs="Times New Roman"/>
          <w:bCs/>
          <w:sz w:val="24"/>
          <w:szCs w:val="24"/>
        </w:rPr>
        <w:t>StatPearls</w:t>
      </w:r>
      <w:proofErr w:type="spellEnd"/>
      <w:r w:rsidRPr="00286601">
        <w:rPr>
          <w:rFonts w:ascii="Times New Roman" w:hAnsi="Times New Roman" w:cs="Times New Roman"/>
          <w:bCs/>
          <w:sz w:val="24"/>
          <w:szCs w:val="24"/>
        </w:rPr>
        <w:t xml:space="preserve"> [Internet]. Treasure Island (FL): </w:t>
      </w:r>
      <w:proofErr w:type="spellStart"/>
      <w:r w:rsidRPr="00286601">
        <w:rPr>
          <w:rFonts w:ascii="Times New Roman" w:hAnsi="Times New Roman" w:cs="Times New Roman"/>
          <w:bCs/>
          <w:sz w:val="24"/>
          <w:szCs w:val="24"/>
        </w:rPr>
        <w:t>StatPearls</w:t>
      </w:r>
      <w:proofErr w:type="spellEnd"/>
      <w:r w:rsidRPr="00286601">
        <w:rPr>
          <w:rFonts w:ascii="Times New Roman" w:hAnsi="Times New Roman" w:cs="Times New Roman"/>
          <w:bCs/>
          <w:sz w:val="24"/>
          <w:szCs w:val="24"/>
        </w:rPr>
        <w:t xml:space="preserve"> Publishing; 2025 Jan-. Available from: </w:t>
      </w:r>
      <w:hyperlink r:id="rId26" w:history="1">
        <w:r w:rsidR="00420C86" w:rsidRPr="009A3D17">
          <w:rPr>
            <w:rStyle w:val="Hyperlink"/>
            <w:rFonts w:ascii="Times New Roman" w:hAnsi="Times New Roman" w:cs="Times New Roman"/>
            <w:bCs/>
            <w:sz w:val="24"/>
            <w:szCs w:val="24"/>
          </w:rPr>
          <w:t>https://www.ncbi.nlm.nih.gov/books/NBK557479/</w:t>
        </w:r>
      </w:hyperlink>
      <w:r w:rsidR="00420C86">
        <w:rPr>
          <w:rFonts w:ascii="Times New Roman" w:hAnsi="Times New Roman" w:cs="Times New Roman"/>
          <w:bCs/>
          <w:sz w:val="24"/>
          <w:szCs w:val="24"/>
        </w:rPr>
        <w:t xml:space="preserve">. </w:t>
      </w:r>
    </w:p>
    <w:p w14:paraId="08B382E3" w14:textId="39C3DAE8" w:rsidR="000377C5" w:rsidRPr="00286601" w:rsidRDefault="000377C5" w:rsidP="000377C5">
      <w:pPr>
        <w:pStyle w:val="ListParagraph"/>
        <w:numPr>
          <w:ilvl w:val="0"/>
          <w:numId w:val="3"/>
        </w:numPr>
        <w:spacing w:after="0" w:line="480" w:lineRule="auto"/>
        <w:ind w:left="720"/>
        <w:jc w:val="both"/>
        <w:rPr>
          <w:rFonts w:ascii="Times New Roman" w:hAnsi="Times New Roman" w:cs="Times New Roman"/>
          <w:bCs/>
          <w:sz w:val="24"/>
          <w:szCs w:val="24"/>
        </w:rPr>
      </w:pPr>
      <w:r w:rsidRPr="00286601">
        <w:rPr>
          <w:rFonts w:ascii="Segoe UI" w:hAnsi="Segoe UI" w:cs="Segoe UI"/>
          <w:color w:val="212121"/>
          <w:shd w:val="clear" w:color="auto" w:fill="FFFFFF"/>
        </w:rPr>
        <w:t xml:space="preserve">Lo, C., Abraham, A., Bejan, C. A., Reasoner, S. A., Davidson, M., </w:t>
      </w:r>
      <w:proofErr w:type="spellStart"/>
      <w:r w:rsidRPr="00286601">
        <w:rPr>
          <w:rFonts w:ascii="Segoe UI" w:hAnsi="Segoe UI" w:cs="Segoe UI"/>
          <w:color w:val="212121"/>
          <w:shd w:val="clear" w:color="auto" w:fill="FFFFFF"/>
        </w:rPr>
        <w:t>Lipworth</w:t>
      </w:r>
      <w:proofErr w:type="spellEnd"/>
      <w:r w:rsidRPr="00286601">
        <w:rPr>
          <w:rFonts w:ascii="Segoe UI" w:hAnsi="Segoe UI" w:cs="Segoe UI"/>
          <w:color w:val="212121"/>
          <w:shd w:val="clear" w:color="auto" w:fill="FFFFFF"/>
        </w:rPr>
        <w:t>, L., &amp; Aronoff, D. M. (2023). Contraceptive exposure associates with urinary tract infection risk in a cohort of reproductive-age women: a case control study. </w:t>
      </w:r>
      <w:r w:rsidRPr="00286601">
        <w:rPr>
          <w:rFonts w:ascii="Segoe UI" w:hAnsi="Segoe UI" w:cs="Segoe UI"/>
          <w:i/>
          <w:iCs/>
          <w:color w:val="212121"/>
          <w:shd w:val="clear" w:color="auto" w:fill="FFFFFF"/>
        </w:rPr>
        <w:t xml:space="preserve">The European journal of contraception &amp; reproductive health </w:t>
      </w:r>
      <w:proofErr w:type="gramStart"/>
      <w:r w:rsidRPr="00286601">
        <w:rPr>
          <w:rFonts w:ascii="Segoe UI" w:hAnsi="Segoe UI" w:cs="Segoe UI"/>
          <w:i/>
          <w:iCs/>
          <w:color w:val="212121"/>
          <w:shd w:val="clear" w:color="auto" w:fill="FFFFFF"/>
        </w:rPr>
        <w:t>care :</w:t>
      </w:r>
      <w:proofErr w:type="gramEnd"/>
      <w:r w:rsidRPr="00286601">
        <w:rPr>
          <w:rFonts w:ascii="Segoe UI" w:hAnsi="Segoe UI" w:cs="Segoe UI"/>
          <w:i/>
          <w:iCs/>
          <w:color w:val="212121"/>
          <w:shd w:val="clear" w:color="auto" w:fill="FFFFFF"/>
        </w:rPr>
        <w:t xml:space="preserve"> the official journal of the European Society of Contraception</w:t>
      </w:r>
      <w:r w:rsidRPr="00286601">
        <w:rPr>
          <w:rFonts w:ascii="Segoe UI" w:hAnsi="Segoe UI" w:cs="Segoe UI"/>
          <w:color w:val="212121"/>
          <w:shd w:val="clear" w:color="auto" w:fill="FFFFFF"/>
        </w:rPr>
        <w:t>, </w:t>
      </w:r>
      <w:r w:rsidRPr="00286601">
        <w:rPr>
          <w:rFonts w:ascii="Segoe UI" w:hAnsi="Segoe UI" w:cs="Segoe UI"/>
          <w:i/>
          <w:iCs/>
          <w:color w:val="212121"/>
          <w:shd w:val="clear" w:color="auto" w:fill="FFFFFF"/>
        </w:rPr>
        <w:t>28</w:t>
      </w:r>
      <w:r w:rsidRPr="00286601">
        <w:rPr>
          <w:rFonts w:ascii="Segoe UI" w:hAnsi="Segoe UI" w:cs="Segoe UI"/>
          <w:color w:val="212121"/>
          <w:shd w:val="clear" w:color="auto" w:fill="FFFFFF"/>
        </w:rPr>
        <w:t xml:space="preserve">(1), 17–22. </w:t>
      </w:r>
      <w:hyperlink r:id="rId27" w:history="1">
        <w:r w:rsidR="00420C86" w:rsidRPr="009A3D17">
          <w:rPr>
            <w:rStyle w:val="Hyperlink"/>
            <w:rFonts w:ascii="Segoe UI" w:hAnsi="Segoe UI" w:cs="Segoe UI"/>
            <w:shd w:val="clear" w:color="auto" w:fill="FFFFFF"/>
          </w:rPr>
          <w:t>https://doi.org/10.1080/13625187.2022.2156278</w:t>
        </w:r>
      </w:hyperlink>
      <w:r w:rsidR="00420C86">
        <w:rPr>
          <w:rFonts w:ascii="Segoe UI" w:hAnsi="Segoe UI" w:cs="Segoe UI"/>
          <w:color w:val="212121"/>
          <w:shd w:val="clear" w:color="auto" w:fill="FFFFFF"/>
        </w:rPr>
        <w:t xml:space="preserve">. </w:t>
      </w:r>
    </w:p>
    <w:p w14:paraId="69B0F0E4" w14:textId="77777777" w:rsidR="000377C5" w:rsidRDefault="000377C5" w:rsidP="000377C5">
      <w:pPr>
        <w:pStyle w:val="ListParagraph"/>
        <w:numPr>
          <w:ilvl w:val="0"/>
          <w:numId w:val="3"/>
        </w:numPr>
        <w:spacing w:line="480" w:lineRule="auto"/>
        <w:ind w:left="720"/>
        <w:jc w:val="both"/>
        <w:rPr>
          <w:rFonts w:ascii="Times New Roman" w:hAnsi="Times New Roman" w:cs="Times New Roman"/>
          <w:sz w:val="24"/>
          <w:szCs w:val="24"/>
        </w:rPr>
      </w:pPr>
      <w:proofErr w:type="spellStart"/>
      <w:r w:rsidRPr="00375559">
        <w:rPr>
          <w:rFonts w:ascii="Times New Roman" w:hAnsi="Times New Roman" w:cs="Times New Roman"/>
          <w:sz w:val="24"/>
          <w:szCs w:val="24"/>
        </w:rPr>
        <w:t>Dienye</w:t>
      </w:r>
      <w:proofErr w:type="spellEnd"/>
      <w:r w:rsidRPr="00375559">
        <w:rPr>
          <w:rFonts w:ascii="Times New Roman" w:hAnsi="Times New Roman" w:cs="Times New Roman"/>
          <w:sz w:val="24"/>
          <w:szCs w:val="24"/>
        </w:rPr>
        <w:t xml:space="preserve">, P. O., &amp; </w:t>
      </w:r>
      <w:proofErr w:type="spellStart"/>
      <w:r w:rsidRPr="00375559">
        <w:rPr>
          <w:rFonts w:ascii="Times New Roman" w:hAnsi="Times New Roman" w:cs="Times New Roman"/>
          <w:sz w:val="24"/>
          <w:szCs w:val="24"/>
        </w:rPr>
        <w:t>Gbeneol</w:t>
      </w:r>
      <w:proofErr w:type="spellEnd"/>
      <w:r w:rsidRPr="00375559">
        <w:rPr>
          <w:rFonts w:ascii="Times New Roman" w:hAnsi="Times New Roman" w:cs="Times New Roman"/>
          <w:sz w:val="24"/>
          <w:szCs w:val="24"/>
        </w:rPr>
        <w:t xml:space="preserve">, P. K. (2011). Contraception as a risk factor for urinary tract infection in Port Harcourt, Nigeria: A case control study. African Journal of Primary Health Care &amp; Family Medicine, 3(1), 207. </w:t>
      </w:r>
      <w:hyperlink r:id="rId28" w:history="1">
        <w:r w:rsidRPr="00807906">
          <w:rPr>
            <w:rStyle w:val="Hyperlink"/>
            <w:rFonts w:ascii="Times New Roman" w:hAnsi="Times New Roman" w:cs="Times New Roman"/>
            <w:sz w:val="24"/>
            <w:szCs w:val="24"/>
          </w:rPr>
          <w:t>https://doi.org/10.4102/phcfm.v3i1.207</w:t>
        </w:r>
      </w:hyperlink>
    </w:p>
    <w:p w14:paraId="44164989" w14:textId="77777777" w:rsidR="000377C5" w:rsidRPr="00D27198" w:rsidRDefault="000377C5" w:rsidP="000377C5">
      <w:pPr>
        <w:pStyle w:val="ListParagraph"/>
        <w:spacing w:line="480" w:lineRule="auto"/>
        <w:jc w:val="both"/>
        <w:rPr>
          <w:rFonts w:ascii="Times New Roman" w:hAnsi="Times New Roman" w:cs="Times New Roman"/>
          <w:sz w:val="24"/>
          <w:szCs w:val="24"/>
        </w:rPr>
      </w:pPr>
    </w:p>
    <w:p w14:paraId="260FE1BD" w14:textId="77777777" w:rsidR="000377C5" w:rsidRPr="001B50C3" w:rsidRDefault="000377C5" w:rsidP="000377C5">
      <w:pPr>
        <w:spacing w:after="0"/>
        <w:jc w:val="both"/>
        <w:rPr>
          <w:rStyle w:val="fontstyle01"/>
          <w:color w:val="15BCA4"/>
        </w:rPr>
      </w:pPr>
    </w:p>
    <w:p w14:paraId="4A53E8C0" w14:textId="77777777" w:rsidR="00CC3BE3" w:rsidRPr="001B50C3" w:rsidRDefault="00CC3BE3" w:rsidP="001B50C3">
      <w:pPr>
        <w:spacing w:after="0"/>
        <w:jc w:val="both"/>
        <w:rPr>
          <w:rStyle w:val="fontstyle01"/>
          <w:color w:val="15BCA4"/>
        </w:rPr>
      </w:pPr>
    </w:p>
    <w:sectPr w:rsidR="00CC3BE3" w:rsidRPr="001B50C3" w:rsidSect="00A1499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09D85" w14:textId="77777777" w:rsidR="00751822" w:rsidRDefault="00751822" w:rsidP="00F85EB9">
      <w:pPr>
        <w:spacing w:after="0" w:line="240" w:lineRule="auto"/>
      </w:pPr>
      <w:r>
        <w:separator/>
      </w:r>
    </w:p>
  </w:endnote>
  <w:endnote w:type="continuationSeparator" w:id="0">
    <w:p w14:paraId="1AE62096" w14:textId="77777777" w:rsidR="00751822" w:rsidRDefault="00751822" w:rsidP="00F8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97D" w14:textId="77777777" w:rsidR="00A96AA6" w:rsidRDefault="00A9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717160"/>
      <w:docPartObj>
        <w:docPartGallery w:val="Page Numbers (Bottom of Page)"/>
        <w:docPartUnique/>
      </w:docPartObj>
    </w:sdtPr>
    <w:sdtEndPr/>
    <w:sdtContent>
      <w:p w14:paraId="76062480" w14:textId="11FC172B" w:rsidR="00B95B8E" w:rsidRDefault="00B95B8E">
        <w:pPr>
          <w:pStyle w:val="Footer"/>
          <w:jc w:val="right"/>
        </w:pPr>
        <w:r>
          <w:fldChar w:fldCharType="begin"/>
        </w:r>
        <w:r>
          <w:instrText>PAGE   \* MERGEFORMAT</w:instrText>
        </w:r>
        <w:r>
          <w:fldChar w:fldCharType="separate"/>
        </w:r>
        <w:r w:rsidR="00A55F8E" w:rsidRPr="00A55F8E">
          <w:rPr>
            <w:noProof/>
            <w:lang w:val="fr-FR"/>
          </w:rPr>
          <w:t>1</w:t>
        </w:r>
        <w:r>
          <w:fldChar w:fldCharType="end"/>
        </w:r>
      </w:p>
    </w:sdtContent>
  </w:sdt>
  <w:p w14:paraId="64B32B9F" w14:textId="77777777" w:rsidR="00B95B8E" w:rsidRDefault="00B95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11C3" w14:textId="77777777" w:rsidR="00A96AA6" w:rsidRDefault="00A9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75AEB" w14:textId="77777777" w:rsidR="00751822" w:rsidRDefault="00751822" w:rsidP="00F85EB9">
      <w:pPr>
        <w:spacing w:after="0" w:line="240" w:lineRule="auto"/>
      </w:pPr>
      <w:r>
        <w:separator/>
      </w:r>
    </w:p>
  </w:footnote>
  <w:footnote w:type="continuationSeparator" w:id="0">
    <w:p w14:paraId="1A49BAF3" w14:textId="77777777" w:rsidR="00751822" w:rsidRDefault="00751822" w:rsidP="00F8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D23D" w14:textId="30517E02" w:rsidR="00A96AA6" w:rsidRDefault="00A96AA6">
    <w:pPr>
      <w:pStyle w:val="Header"/>
    </w:pPr>
    <w:r>
      <w:rPr>
        <w:noProof/>
      </w:rPr>
      <w:pict w14:anchorId="68340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6"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1E1B" w14:textId="2080A8CF" w:rsidR="00244F3A" w:rsidRDefault="00A96AA6" w:rsidP="00244F3A">
    <w:pPr>
      <w:pStyle w:val="Header"/>
      <w:suppressLineNumbers/>
    </w:pPr>
    <w:r>
      <w:rPr>
        <w:noProof/>
      </w:rPr>
      <w:pict w14:anchorId="72617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7"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91B9" w14:textId="4D5B3C5F" w:rsidR="00A96AA6" w:rsidRDefault="00A96AA6">
    <w:pPr>
      <w:pStyle w:val="Header"/>
    </w:pPr>
    <w:r>
      <w:rPr>
        <w:noProof/>
      </w:rPr>
      <w:pict w14:anchorId="0E2C1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8765"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21A8"/>
    <w:multiLevelType w:val="hybridMultilevel"/>
    <w:tmpl w:val="7D629C78"/>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B3156"/>
    <w:multiLevelType w:val="hybridMultilevel"/>
    <w:tmpl w:val="F892B1D0"/>
    <w:lvl w:ilvl="0" w:tplc="FA9CCB18">
      <w:start w:val="18"/>
      <w:numFmt w:val="upperLetter"/>
      <w:lvlText w:val="%1"/>
      <w:lvlJc w:val="left"/>
      <w:pPr>
        <w:ind w:left="9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0F05378">
      <w:start w:val="1"/>
      <w:numFmt w:val="lowerLetter"/>
      <w:lvlText w:val="%2"/>
      <w:lvlJc w:val="left"/>
      <w:pPr>
        <w:ind w:left="28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5BECC9A">
      <w:start w:val="1"/>
      <w:numFmt w:val="lowerRoman"/>
      <w:lvlText w:val="%3"/>
      <w:lvlJc w:val="left"/>
      <w:pPr>
        <w:ind w:left="35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A3CB9D8">
      <w:start w:val="1"/>
      <w:numFmt w:val="decimal"/>
      <w:lvlText w:val="%4"/>
      <w:lvlJc w:val="left"/>
      <w:pPr>
        <w:ind w:left="42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D41218">
      <w:start w:val="1"/>
      <w:numFmt w:val="lowerLetter"/>
      <w:lvlText w:val="%5"/>
      <w:lvlJc w:val="left"/>
      <w:pPr>
        <w:ind w:left="50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2B0A292">
      <w:start w:val="1"/>
      <w:numFmt w:val="lowerRoman"/>
      <w:lvlText w:val="%6"/>
      <w:lvlJc w:val="left"/>
      <w:pPr>
        <w:ind w:left="57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61A2796">
      <w:start w:val="1"/>
      <w:numFmt w:val="decimal"/>
      <w:lvlText w:val="%7"/>
      <w:lvlJc w:val="left"/>
      <w:pPr>
        <w:ind w:left="64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416CDF6">
      <w:start w:val="1"/>
      <w:numFmt w:val="lowerLetter"/>
      <w:lvlText w:val="%8"/>
      <w:lvlJc w:val="left"/>
      <w:pPr>
        <w:ind w:left="71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D54A09E">
      <w:start w:val="1"/>
      <w:numFmt w:val="lowerRoman"/>
      <w:lvlText w:val="%9"/>
      <w:lvlJc w:val="left"/>
      <w:pPr>
        <w:ind w:left="78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72287C"/>
    <w:multiLevelType w:val="hybridMultilevel"/>
    <w:tmpl w:val="94642ED8"/>
    <w:lvl w:ilvl="0" w:tplc="6BBEEA84">
      <w:start w:val="18"/>
      <w:numFmt w:val="upp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5682BC">
      <w:start w:val="1"/>
      <w:numFmt w:val="lowerLetter"/>
      <w:lvlText w:val="%2"/>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6AAB94">
      <w:start w:val="1"/>
      <w:numFmt w:val="lowerRoman"/>
      <w:lvlText w:val="%3"/>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82E150">
      <w:start w:val="1"/>
      <w:numFmt w:val="decimal"/>
      <w:lvlText w:val="%4"/>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C6812">
      <w:start w:val="1"/>
      <w:numFmt w:val="lowerLetter"/>
      <w:lvlText w:val="%5"/>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B23ACE">
      <w:start w:val="1"/>
      <w:numFmt w:val="lowerRoman"/>
      <w:lvlText w:val="%6"/>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1C421A">
      <w:start w:val="1"/>
      <w:numFmt w:val="decimal"/>
      <w:lvlText w:val="%7"/>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3A3714">
      <w:start w:val="1"/>
      <w:numFmt w:val="lowerLetter"/>
      <w:lvlText w:val="%8"/>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143C16">
      <w:start w:val="1"/>
      <w:numFmt w:val="lowerRoman"/>
      <w:lvlText w:val="%9"/>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31"/>
    <w:rsid w:val="00014AA8"/>
    <w:rsid w:val="00020E73"/>
    <w:rsid w:val="0002469D"/>
    <w:rsid w:val="00026380"/>
    <w:rsid w:val="0002693F"/>
    <w:rsid w:val="000277BF"/>
    <w:rsid w:val="00033D3E"/>
    <w:rsid w:val="000377C5"/>
    <w:rsid w:val="00043424"/>
    <w:rsid w:val="00043739"/>
    <w:rsid w:val="00054457"/>
    <w:rsid w:val="00057D37"/>
    <w:rsid w:val="000630D4"/>
    <w:rsid w:val="00072414"/>
    <w:rsid w:val="00085967"/>
    <w:rsid w:val="00087C80"/>
    <w:rsid w:val="0009064C"/>
    <w:rsid w:val="000926A4"/>
    <w:rsid w:val="00093E3B"/>
    <w:rsid w:val="00095B81"/>
    <w:rsid w:val="000B02C3"/>
    <w:rsid w:val="000B7F4C"/>
    <w:rsid w:val="000C2867"/>
    <w:rsid w:val="000C652F"/>
    <w:rsid w:val="000D3AB2"/>
    <w:rsid w:val="000E0F43"/>
    <w:rsid w:val="000E2CA3"/>
    <w:rsid w:val="000E335B"/>
    <w:rsid w:val="000E3E27"/>
    <w:rsid w:val="000E58E0"/>
    <w:rsid w:val="000F1A44"/>
    <w:rsid w:val="00100759"/>
    <w:rsid w:val="00102E66"/>
    <w:rsid w:val="00105344"/>
    <w:rsid w:val="00106ECF"/>
    <w:rsid w:val="00106F08"/>
    <w:rsid w:val="00122427"/>
    <w:rsid w:val="00123BE9"/>
    <w:rsid w:val="00125019"/>
    <w:rsid w:val="001318AE"/>
    <w:rsid w:val="00142E5E"/>
    <w:rsid w:val="00143CBE"/>
    <w:rsid w:val="0014595E"/>
    <w:rsid w:val="00154C98"/>
    <w:rsid w:val="001622F4"/>
    <w:rsid w:val="001730F3"/>
    <w:rsid w:val="00174D8A"/>
    <w:rsid w:val="0017719C"/>
    <w:rsid w:val="0018140B"/>
    <w:rsid w:val="001938BC"/>
    <w:rsid w:val="00194A20"/>
    <w:rsid w:val="00195C6F"/>
    <w:rsid w:val="001B1D2D"/>
    <w:rsid w:val="001B50C3"/>
    <w:rsid w:val="001C3FF8"/>
    <w:rsid w:val="001C465A"/>
    <w:rsid w:val="001C5E30"/>
    <w:rsid w:val="001C784F"/>
    <w:rsid w:val="001D3E2F"/>
    <w:rsid w:val="001D4DA0"/>
    <w:rsid w:val="001D73F0"/>
    <w:rsid w:val="001E1AEF"/>
    <w:rsid w:val="001E44F9"/>
    <w:rsid w:val="001F1225"/>
    <w:rsid w:val="001F248C"/>
    <w:rsid w:val="001F2DCA"/>
    <w:rsid w:val="001F4E99"/>
    <w:rsid w:val="00203715"/>
    <w:rsid w:val="00206910"/>
    <w:rsid w:val="0021713F"/>
    <w:rsid w:val="0022284C"/>
    <w:rsid w:val="002241C7"/>
    <w:rsid w:val="00224AAA"/>
    <w:rsid w:val="002310BF"/>
    <w:rsid w:val="00232527"/>
    <w:rsid w:val="0023435D"/>
    <w:rsid w:val="00244F3A"/>
    <w:rsid w:val="00245EE0"/>
    <w:rsid w:val="00250D6E"/>
    <w:rsid w:val="002517FD"/>
    <w:rsid w:val="002576AA"/>
    <w:rsid w:val="00271B04"/>
    <w:rsid w:val="00271B1C"/>
    <w:rsid w:val="002805B7"/>
    <w:rsid w:val="002806A9"/>
    <w:rsid w:val="002837E1"/>
    <w:rsid w:val="002966D0"/>
    <w:rsid w:val="002B529A"/>
    <w:rsid w:val="002B5F8A"/>
    <w:rsid w:val="002C455E"/>
    <w:rsid w:val="002F55EE"/>
    <w:rsid w:val="002F57D7"/>
    <w:rsid w:val="00307881"/>
    <w:rsid w:val="00311684"/>
    <w:rsid w:val="00311AB2"/>
    <w:rsid w:val="003131F0"/>
    <w:rsid w:val="003239B9"/>
    <w:rsid w:val="0032474C"/>
    <w:rsid w:val="0032501F"/>
    <w:rsid w:val="00337E05"/>
    <w:rsid w:val="00341F46"/>
    <w:rsid w:val="00344372"/>
    <w:rsid w:val="00355941"/>
    <w:rsid w:val="003665C5"/>
    <w:rsid w:val="003711CC"/>
    <w:rsid w:val="00371E35"/>
    <w:rsid w:val="003775A2"/>
    <w:rsid w:val="00384AB4"/>
    <w:rsid w:val="0039282E"/>
    <w:rsid w:val="0039359F"/>
    <w:rsid w:val="003A7734"/>
    <w:rsid w:val="003B6165"/>
    <w:rsid w:val="003C2339"/>
    <w:rsid w:val="003D1DF1"/>
    <w:rsid w:val="003D3E30"/>
    <w:rsid w:val="003D4916"/>
    <w:rsid w:val="003D4CA4"/>
    <w:rsid w:val="003F3DB4"/>
    <w:rsid w:val="003F771C"/>
    <w:rsid w:val="003F7B94"/>
    <w:rsid w:val="0041168B"/>
    <w:rsid w:val="00411B6A"/>
    <w:rsid w:val="00411F85"/>
    <w:rsid w:val="00414239"/>
    <w:rsid w:val="00414CD4"/>
    <w:rsid w:val="00420C86"/>
    <w:rsid w:val="00422BEB"/>
    <w:rsid w:val="00423ACD"/>
    <w:rsid w:val="0042525D"/>
    <w:rsid w:val="0042616F"/>
    <w:rsid w:val="004336A8"/>
    <w:rsid w:val="004349C0"/>
    <w:rsid w:val="004450DC"/>
    <w:rsid w:val="0045199F"/>
    <w:rsid w:val="0045389C"/>
    <w:rsid w:val="004557A5"/>
    <w:rsid w:val="00463D4E"/>
    <w:rsid w:val="004647E4"/>
    <w:rsid w:val="00466067"/>
    <w:rsid w:val="00476341"/>
    <w:rsid w:val="00476E09"/>
    <w:rsid w:val="00485561"/>
    <w:rsid w:val="00485F34"/>
    <w:rsid w:val="004912FD"/>
    <w:rsid w:val="004955C1"/>
    <w:rsid w:val="00496C48"/>
    <w:rsid w:val="004A0CE7"/>
    <w:rsid w:val="004B1648"/>
    <w:rsid w:val="004B64EC"/>
    <w:rsid w:val="004D037F"/>
    <w:rsid w:val="004E1047"/>
    <w:rsid w:val="004E1433"/>
    <w:rsid w:val="004E6B6D"/>
    <w:rsid w:val="004F6E4B"/>
    <w:rsid w:val="00503F02"/>
    <w:rsid w:val="0051095F"/>
    <w:rsid w:val="005144E4"/>
    <w:rsid w:val="005264C3"/>
    <w:rsid w:val="0052662E"/>
    <w:rsid w:val="00536A76"/>
    <w:rsid w:val="00544BCF"/>
    <w:rsid w:val="0054539E"/>
    <w:rsid w:val="005560F1"/>
    <w:rsid w:val="00583591"/>
    <w:rsid w:val="005A303D"/>
    <w:rsid w:val="005A3AD6"/>
    <w:rsid w:val="005A4357"/>
    <w:rsid w:val="005A7929"/>
    <w:rsid w:val="005C0B26"/>
    <w:rsid w:val="005C103B"/>
    <w:rsid w:val="005C61FE"/>
    <w:rsid w:val="005E27CD"/>
    <w:rsid w:val="005E4915"/>
    <w:rsid w:val="00604904"/>
    <w:rsid w:val="00612C5A"/>
    <w:rsid w:val="00621BC1"/>
    <w:rsid w:val="006234EA"/>
    <w:rsid w:val="006367DC"/>
    <w:rsid w:val="006410B1"/>
    <w:rsid w:val="00653B1C"/>
    <w:rsid w:val="0066352C"/>
    <w:rsid w:val="00671D4F"/>
    <w:rsid w:val="00685099"/>
    <w:rsid w:val="00695C59"/>
    <w:rsid w:val="006B40C4"/>
    <w:rsid w:val="006B43B2"/>
    <w:rsid w:val="006B6449"/>
    <w:rsid w:val="006C16A2"/>
    <w:rsid w:val="006C2F5C"/>
    <w:rsid w:val="006D24A3"/>
    <w:rsid w:val="006D60C8"/>
    <w:rsid w:val="006E11FE"/>
    <w:rsid w:val="006E3DCD"/>
    <w:rsid w:val="006E3E57"/>
    <w:rsid w:val="006F18D2"/>
    <w:rsid w:val="00715351"/>
    <w:rsid w:val="00720FF7"/>
    <w:rsid w:val="007325B3"/>
    <w:rsid w:val="00732650"/>
    <w:rsid w:val="007378AB"/>
    <w:rsid w:val="00742A5D"/>
    <w:rsid w:val="00743AF2"/>
    <w:rsid w:val="00751822"/>
    <w:rsid w:val="00755106"/>
    <w:rsid w:val="00772906"/>
    <w:rsid w:val="00774C8F"/>
    <w:rsid w:val="007765D9"/>
    <w:rsid w:val="00780220"/>
    <w:rsid w:val="00782371"/>
    <w:rsid w:val="007B015F"/>
    <w:rsid w:val="007D63D3"/>
    <w:rsid w:val="007E09F6"/>
    <w:rsid w:val="007E0E5B"/>
    <w:rsid w:val="007E17B1"/>
    <w:rsid w:val="007F654A"/>
    <w:rsid w:val="00801F93"/>
    <w:rsid w:val="008172B7"/>
    <w:rsid w:val="00821238"/>
    <w:rsid w:val="00827B4D"/>
    <w:rsid w:val="00827B96"/>
    <w:rsid w:val="00831256"/>
    <w:rsid w:val="00836F00"/>
    <w:rsid w:val="00837FFE"/>
    <w:rsid w:val="00843718"/>
    <w:rsid w:val="00844593"/>
    <w:rsid w:val="00847061"/>
    <w:rsid w:val="0085430A"/>
    <w:rsid w:val="0086078A"/>
    <w:rsid w:val="00862787"/>
    <w:rsid w:val="0087181B"/>
    <w:rsid w:val="008823FF"/>
    <w:rsid w:val="008834AE"/>
    <w:rsid w:val="00892DC1"/>
    <w:rsid w:val="00895180"/>
    <w:rsid w:val="00895DD7"/>
    <w:rsid w:val="00897A77"/>
    <w:rsid w:val="008A445C"/>
    <w:rsid w:val="008A5EB9"/>
    <w:rsid w:val="008A734D"/>
    <w:rsid w:val="008B02D3"/>
    <w:rsid w:val="008B1450"/>
    <w:rsid w:val="008B1EAA"/>
    <w:rsid w:val="008B6BB8"/>
    <w:rsid w:val="008C0F9E"/>
    <w:rsid w:val="008C2B62"/>
    <w:rsid w:val="008E34A9"/>
    <w:rsid w:val="008E61E5"/>
    <w:rsid w:val="008E6B4F"/>
    <w:rsid w:val="009002B7"/>
    <w:rsid w:val="0090301E"/>
    <w:rsid w:val="00907A42"/>
    <w:rsid w:val="009170BD"/>
    <w:rsid w:val="0092152D"/>
    <w:rsid w:val="00930CD5"/>
    <w:rsid w:val="00932D18"/>
    <w:rsid w:val="009343DE"/>
    <w:rsid w:val="00936810"/>
    <w:rsid w:val="00937A29"/>
    <w:rsid w:val="009412DA"/>
    <w:rsid w:val="00942834"/>
    <w:rsid w:val="00953F9B"/>
    <w:rsid w:val="009739B2"/>
    <w:rsid w:val="00980E1D"/>
    <w:rsid w:val="009863CF"/>
    <w:rsid w:val="009867A9"/>
    <w:rsid w:val="009867EE"/>
    <w:rsid w:val="00994447"/>
    <w:rsid w:val="009A3EC6"/>
    <w:rsid w:val="009C2DB4"/>
    <w:rsid w:val="009D0888"/>
    <w:rsid w:val="00A016B5"/>
    <w:rsid w:val="00A03E99"/>
    <w:rsid w:val="00A14995"/>
    <w:rsid w:val="00A150FE"/>
    <w:rsid w:val="00A15945"/>
    <w:rsid w:val="00A237E1"/>
    <w:rsid w:val="00A2454E"/>
    <w:rsid w:val="00A37829"/>
    <w:rsid w:val="00A40CE7"/>
    <w:rsid w:val="00A46CC0"/>
    <w:rsid w:val="00A47BE6"/>
    <w:rsid w:val="00A53146"/>
    <w:rsid w:val="00A546F2"/>
    <w:rsid w:val="00A55940"/>
    <w:rsid w:val="00A55F8E"/>
    <w:rsid w:val="00A65EBA"/>
    <w:rsid w:val="00A70636"/>
    <w:rsid w:val="00A8096A"/>
    <w:rsid w:val="00A82158"/>
    <w:rsid w:val="00A84B86"/>
    <w:rsid w:val="00A8665D"/>
    <w:rsid w:val="00A86917"/>
    <w:rsid w:val="00A96A9F"/>
    <w:rsid w:val="00A96AA6"/>
    <w:rsid w:val="00AA1CF8"/>
    <w:rsid w:val="00AB06C0"/>
    <w:rsid w:val="00AB2851"/>
    <w:rsid w:val="00AB5D5D"/>
    <w:rsid w:val="00AC4D1E"/>
    <w:rsid w:val="00AD1688"/>
    <w:rsid w:val="00AD3AEF"/>
    <w:rsid w:val="00AE3D76"/>
    <w:rsid w:val="00AF25A6"/>
    <w:rsid w:val="00B019A7"/>
    <w:rsid w:val="00B21C8A"/>
    <w:rsid w:val="00B22103"/>
    <w:rsid w:val="00B24297"/>
    <w:rsid w:val="00B250E4"/>
    <w:rsid w:val="00B27353"/>
    <w:rsid w:val="00B27F95"/>
    <w:rsid w:val="00B31959"/>
    <w:rsid w:val="00B4084B"/>
    <w:rsid w:val="00B41F79"/>
    <w:rsid w:val="00B470C5"/>
    <w:rsid w:val="00B5262D"/>
    <w:rsid w:val="00B5655D"/>
    <w:rsid w:val="00B66962"/>
    <w:rsid w:val="00B73543"/>
    <w:rsid w:val="00B73562"/>
    <w:rsid w:val="00B948BC"/>
    <w:rsid w:val="00B95B8E"/>
    <w:rsid w:val="00BA36A7"/>
    <w:rsid w:val="00BA706B"/>
    <w:rsid w:val="00BC665C"/>
    <w:rsid w:val="00BD3EFB"/>
    <w:rsid w:val="00BE44F0"/>
    <w:rsid w:val="00BE4D93"/>
    <w:rsid w:val="00BE5E45"/>
    <w:rsid w:val="00BE74FC"/>
    <w:rsid w:val="00BF3FB2"/>
    <w:rsid w:val="00C02DA0"/>
    <w:rsid w:val="00C058F4"/>
    <w:rsid w:val="00C05A14"/>
    <w:rsid w:val="00C1355E"/>
    <w:rsid w:val="00C20064"/>
    <w:rsid w:val="00C20A77"/>
    <w:rsid w:val="00C2151A"/>
    <w:rsid w:val="00C300B8"/>
    <w:rsid w:val="00C36401"/>
    <w:rsid w:val="00C36DF7"/>
    <w:rsid w:val="00C40EE1"/>
    <w:rsid w:val="00C55180"/>
    <w:rsid w:val="00C56081"/>
    <w:rsid w:val="00C5615C"/>
    <w:rsid w:val="00C56D0F"/>
    <w:rsid w:val="00C6415E"/>
    <w:rsid w:val="00C67020"/>
    <w:rsid w:val="00C72947"/>
    <w:rsid w:val="00C73D9A"/>
    <w:rsid w:val="00C7451F"/>
    <w:rsid w:val="00C802D5"/>
    <w:rsid w:val="00C864F3"/>
    <w:rsid w:val="00C9225D"/>
    <w:rsid w:val="00C92481"/>
    <w:rsid w:val="00C94E6D"/>
    <w:rsid w:val="00C95181"/>
    <w:rsid w:val="00CA4977"/>
    <w:rsid w:val="00CB174E"/>
    <w:rsid w:val="00CB727A"/>
    <w:rsid w:val="00CC3BE3"/>
    <w:rsid w:val="00CC3E03"/>
    <w:rsid w:val="00CE2BF8"/>
    <w:rsid w:val="00CE6515"/>
    <w:rsid w:val="00CF336C"/>
    <w:rsid w:val="00CF45F3"/>
    <w:rsid w:val="00CF7E3A"/>
    <w:rsid w:val="00D040CB"/>
    <w:rsid w:val="00D04A1F"/>
    <w:rsid w:val="00D06139"/>
    <w:rsid w:val="00D172E9"/>
    <w:rsid w:val="00D244DF"/>
    <w:rsid w:val="00D25E78"/>
    <w:rsid w:val="00D27198"/>
    <w:rsid w:val="00D3076F"/>
    <w:rsid w:val="00D36479"/>
    <w:rsid w:val="00D365BC"/>
    <w:rsid w:val="00D41AA1"/>
    <w:rsid w:val="00D430C1"/>
    <w:rsid w:val="00D46DB2"/>
    <w:rsid w:val="00D51B07"/>
    <w:rsid w:val="00D51E58"/>
    <w:rsid w:val="00D527AF"/>
    <w:rsid w:val="00D5456F"/>
    <w:rsid w:val="00D5653C"/>
    <w:rsid w:val="00D629DF"/>
    <w:rsid w:val="00D87029"/>
    <w:rsid w:val="00D8747E"/>
    <w:rsid w:val="00D97E99"/>
    <w:rsid w:val="00DA09E5"/>
    <w:rsid w:val="00DA5693"/>
    <w:rsid w:val="00DA68E2"/>
    <w:rsid w:val="00DA7FC3"/>
    <w:rsid w:val="00DC329F"/>
    <w:rsid w:val="00DC40DB"/>
    <w:rsid w:val="00DC7FB5"/>
    <w:rsid w:val="00DD2DA5"/>
    <w:rsid w:val="00DE1EC1"/>
    <w:rsid w:val="00DE1F38"/>
    <w:rsid w:val="00DF02AD"/>
    <w:rsid w:val="00DF2E4C"/>
    <w:rsid w:val="00DF63BD"/>
    <w:rsid w:val="00DF7068"/>
    <w:rsid w:val="00E009F4"/>
    <w:rsid w:val="00E21E71"/>
    <w:rsid w:val="00E300AD"/>
    <w:rsid w:val="00E36399"/>
    <w:rsid w:val="00E375AD"/>
    <w:rsid w:val="00E42533"/>
    <w:rsid w:val="00E42541"/>
    <w:rsid w:val="00E44915"/>
    <w:rsid w:val="00E4716C"/>
    <w:rsid w:val="00E5341E"/>
    <w:rsid w:val="00E53FDA"/>
    <w:rsid w:val="00E64427"/>
    <w:rsid w:val="00E829DE"/>
    <w:rsid w:val="00E911DA"/>
    <w:rsid w:val="00EA060E"/>
    <w:rsid w:val="00EA261B"/>
    <w:rsid w:val="00EA3564"/>
    <w:rsid w:val="00EA3766"/>
    <w:rsid w:val="00EB3894"/>
    <w:rsid w:val="00EB5F8A"/>
    <w:rsid w:val="00EC1C39"/>
    <w:rsid w:val="00EC23C3"/>
    <w:rsid w:val="00EC48C7"/>
    <w:rsid w:val="00ED48A4"/>
    <w:rsid w:val="00ED4D2B"/>
    <w:rsid w:val="00EF3A99"/>
    <w:rsid w:val="00EF464C"/>
    <w:rsid w:val="00EF6AA7"/>
    <w:rsid w:val="00F01E3C"/>
    <w:rsid w:val="00F04A71"/>
    <w:rsid w:val="00F06A83"/>
    <w:rsid w:val="00F06D98"/>
    <w:rsid w:val="00F073FF"/>
    <w:rsid w:val="00F30B5D"/>
    <w:rsid w:val="00F32098"/>
    <w:rsid w:val="00F35A07"/>
    <w:rsid w:val="00F42472"/>
    <w:rsid w:val="00F574B4"/>
    <w:rsid w:val="00F64556"/>
    <w:rsid w:val="00F707A0"/>
    <w:rsid w:val="00F80FAA"/>
    <w:rsid w:val="00F85EB9"/>
    <w:rsid w:val="00F86622"/>
    <w:rsid w:val="00F87031"/>
    <w:rsid w:val="00FA791A"/>
    <w:rsid w:val="00FC44A2"/>
    <w:rsid w:val="00FD45DE"/>
    <w:rsid w:val="00FD45E3"/>
    <w:rsid w:val="00FD6D46"/>
    <w:rsid w:val="00FE273E"/>
    <w:rsid w:val="00FF2DBD"/>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46939"/>
  <w15:chartTrackingRefBased/>
  <w15:docId w15:val="{EDD71549-EC31-47F0-8118-A0698DE9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805B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805B7"/>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2805B7"/>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2241C7"/>
    <w:rPr>
      <w:color w:val="0563C1" w:themeColor="hyperlink"/>
      <w:u w:val="single"/>
    </w:rPr>
  </w:style>
  <w:style w:type="table" w:customStyle="1" w:styleId="TableGrid">
    <w:name w:val="TableGrid"/>
    <w:rsid w:val="0039282E"/>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3711CC"/>
    <w:pPr>
      <w:spacing w:after="0" w:line="240" w:lineRule="auto"/>
    </w:pPr>
    <w:rPr>
      <w:rFonts w:eastAsiaTheme="minorEastAsia"/>
    </w:rPr>
    <w:tblPr>
      <w:tblCellMar>
        <w:top w:w="0" w:type="dxa"/>
        <w:left w:w="0" w:type="dxa"/>
        <w:bottom w:w="0" w:type="dxa"/>
        <w:right w:w="0" w:type="dxa"/>
      </w:tblCellMar>
    </w:tblPr>
  </w:style>
  <w:style w:type="table" w:customStyle="1" w:styleId="3">
    <w:name w:val="3"/>
    <w:basedOn w:val="TableNormal"/>
    <w:rsid w:val="00B948BC"/>
    <w:pPr>
      <w:spacing w:after="0" w:line="240" w:lineRule="auto"/>
    </w:pPr>
    <w:rPr>
      <w:rFonts w:ascii="Times New Roman" w:eastAsia="Times New Roman" w:hAnsi="Times New Roman" w:cs="Times New Roman"/>
      <w:color w:val="2E75B5"/>
      <w:sz w:val="20"/>
      <w:szCs w:val="20"/>
      <w:lang w:val="fr-FR" w:eastAsia="fr-FR"/>
    </w:rPr>
    <w:tblPr>
      <w:tblStyleRowBandSize w:val="1"/>
      <w:tblStyleColBandSize w:val="1"/>
      <w:tblInd w:w="0" w:type="nil"/>
    </w:tblPr>
  </w:style>
  <w:style w:type="table" w:customStyle="1" w:styleId="Grilledutableau1">
    <w:name w:val="Grille du tableau1"/>
    <w:basedOn w:val="TableNormal"/>
    <w:next w:val="TableGrid0"/>
    <w:uiPriority w:val="39"/>
    <w:rsid w:val="00BE5E45"/>
    <w:pPr>
      <w:spacing w:after="0" w:line="240" w:lineRule="auto"/>
    </w:pPr>
    <w:rPr>
      <w:rFonts w:ascii="Times New Roman" w:eastAsia="Calibri"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BE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0"/>
    <w:uiPriority w:val="39"/>
    <w:rsid w:val="00BE5E45"/>
    <w:pPr>
      <w:spacing w:after="0" w:line="240" w:lineRule="auto"/>
    </w:pPr>
    <w:rPr>
      <w:rFonts w:ascii="Times New Roman" w:eastAsia="Calibri"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36C"/>
    <w:rPr>
      <w:rFonts w:ascii="Times New Roman" w:hAnsi="Times New Roman" w:cs="Times New Roman"/>
      <w:sz w:val="24"/>
      <w:szCs w:val="24"/>
    </w:rPr>
  </w:style>
  <w:style w:type="paragraph" w:styleId="ListParagraph">
    <w:name w:val="List Paragraph"/>
    <w:basedOn w:val="Normal"/>
    <w:uiPriority w:val="34"/>
    <w:qFormat/>
    <w:rsid w:val="004B64EC"/>
    <w:pPr>
      <w:ind w:left="720"/>
      <w:contextualSpacing/>
    </w:pPr>
  </w:style>
  <w:style w:type="paragraph" w:customStyle="1" w:styleId="Body">
    <w:name w:val="Body"/>
    <w:rsid w:val="00F35A07"/>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Header">
    <w:name w:val="header"/>
    <w:basedOn w:val="Normal"/>
    <w:link w:val="HeaderChar"/>
    <w:uiPriority w:val="99"/>
    <w:unhideWhenUsed/>
    <w:rsid w:val="00F85E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EB9"/>
  </w:style>
  <w:style w:type="paragraph" w:styleId="Footer">
    <w:name w:val="footer"/>
    <w:basedOn w:val="Normal"/>
    <w:link w:val="FooterChar"/>
    <w:uiPriority w:val="99"/>
    <w:unhideWhenUsed/>
    <w:rsid w:val="00F85E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EB9"/>
  </w:style>
  <w:style w:type="table" w:customStyle="1" w:styleId="4">
    <w:name w:val="4"/>
    <w:basedOn w:val="TableNormal"/>
    <w:rsid w:val="00EA3564"/>
    <w:pPr>
      <w:spacing w:after="0" w:line="240" w:lineRule="auto"/>
    </w:pPr>
    <w:rPr>
      <w:rFonts w:ascii="Times New Roman" w:eastAsia="Times New Roman" w:hAnsi="Times New Roman" w:cs="Times New Roman"/>
      <w:color w:val="2E75B5"/>
      <w:sz w:val="20"/>
      <w:szCs w:val="20"/>
      <w:lang w:val="fr-FR" w:eastAsia="fr-FR"/>
    </w:rPr>
    <w:tblPr>
      <w:tblStyleRowBandSize w:val="1"/>
      <w:tblStyleColBandSize w:val="1"/>
      <w:tblInd w:w="0" w:type="nil"/>
    </w:tblPr>
  </w:style>
  <w:style w:type="character" w:customStyle="1" w:styleId="Mentionnonrsolue1">
    <w:name w:val="Mention non résolue1"/>
    <w:basedOn w:val="DefaultParagraphFont"/>
    <w:uiPriority w:val="99"/>
    <w:semiHidden/>
    <w:unhideWhenUsed/>
    <w:rsid w:val="006F18D2"/>
    <w:rPr>
      <w:color w:val="605E5C"/>
      <w:shd w:val="clear" w:color="auto" w:fill="E1DFDD"/>
    </w:rPr>
  </w:style>
  <w:style w:type="character" w:customStyle="1" w:styleId="Mentionnonrsolue2">
    <w:name w:val="Mention non résolue2"/>
    <w:basedOn w:val="DefaultParagraphFont"/>
    <w:uiPriority w:val="99"/>
    <w:semiHidden/>
    <w:unhideWhenUsed/>
    <w:rsid w:val="00E21E71"/>
    <w:rPr>
      <w:color w:val="605E5C"/>
      <w:shd w:val="clear" w:color="auto" w:fill="E1DFDD"/>
    </w:rPr>
  </w:style>
  <w:style w:type="character" w:styleId="CommentReference">
    <w:name w:val="annotation reference"/>
    <w:basedOn w:val="DefaultParagraphFont"/>
    <w:uiPriority w:val="99"/>
    <w:semiHidden/>
    <w:unhideWhenUsed/>
    <w:rsid w:val="00125019"/>
    <w:rPr>
      <w:sz w:val="16"/>
      <w:szCs w:val="16"/>
    </w:rPr>
  </w:style>
  <w:style w:type="paragraph" w:styleId="CommentText">
    <w:name w:val="annotation text"/>
    <w:basedOn w:val="Normal"/>
    <w:link w:val="CommentTextChar"/>
    <w:uiPriority w:val="99"/>
    <w:semiHidden/>
    <w:unhideWhenUsed/>
    <w:rsid w:val="00125019"/>
    <w:pPr>
      <w:spacing w:line="240" w:lineRule="auto"/>
    </w:pPr>
    <w:rPr>
      <w:sz w:val="20"/>
      <w:szCs w:val="20"/>
    </w:rPr>
  </w:style>
  <w:style w:type="character" w:customStyle="1" w:styleId="CommentTextChar">
    <w:name w:val="Comment Text Char"/>
    <w:basedOn w:val="DefaultParagraphFont"/>
    <w:link w:val="CommentText"/>
    <w:uiPriority w:val="99"/>
    <w:semiHidden/>
    <w:rsid w:val="00125019"/>
    <w:rPr>
      <w:sz w:val="20"/>
      <w:szCs w:val="20"/>
    </w:rPr>
  </w:style>
  <w:style w:type="paragraph" w:styleId="CommentSubject">
    <w:name w:val="annotation subject"/>
    <w:basedOn w:val="CommentText"/>
    <w:next w:val="CommentText"/>
    <w:link w:val="CommentSubjectChar"/>
    <w:uiPriority w:val="99"/>
    <w:semiHidden/>
    <w:unhideWhenUsed/>
    <w:rsid w:val="00125019"/>
    <w:rPr>
      <w:b/>
      <w:bCs/>
    </w:rPr>
  </w:style>
  <w:style w:type="character" w:customStyle="1" w:styleId="CommentSubjectChar">
    <w:name w:val="Comment Subject Char"/>
    <w:basedOn w:val="CommentTextChar"/>
    <w:link w:val="CommentSubject"/>
    <w:uiPriority w:val="99"/>
    <w:semiHidden/>
    <w:rsid w:val="00125019"/>
    <w:rPr>
      <w:b/>
      <w:bCs/>
      <w:sz w:val="20"/>
      <w:szCs w:val="20"/>
    </w:rPr>
  </w:style>
  <w:style w:type="paragraph" w:styleId="Revision">
    <w:name w:val="Revision"/>
    <w:hidden/>
    <w:uiPriority w:val="99"/>
    <w:semiHidden/>
    <w:rsid w:val="00125019"/>
    <w:pPr>
      <w:spacing w:after="0" w:line="240" w:lineRule="auto"/>
    </w:pPr>
  </w:style>
  <w:style w:type="paragraph" w:styleId="BalloonText">
    <w:name w:val="Balloon Text"/>
    <w:basedOn w:val="Normal"/>
    <w:link w:val="BalloonTextChar"/>
    <w:uiPriority w:val="99"/>
    <w:semiHidden/>
    <w:unhideWhenUsed/>
    <w:rsid w:val="00B7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543"/>
    <w:rPr>
      <w:rFonts w:ascii="Segoe UI" w:hAnsi="Segoe UI" w:cs="Segoe UI"/>
      <w:sz w:val="18"/>
      <w:szCs w:val="18"/>
    </w:rPr>
  </w:style>
  <w:style w:type="paragraph" w:styleId="NoSpacing">
    <w:name w:val="No Spacing"/>
    <w:uiPriority w:val="1"/>
    <w:qFormat/>
    <w:rsid w:val="00020E73"/>
    <w:pPr>
      <w:spacing w:after="0" w:line="240" w:lineRule="auto"/>
    </w:pPr>
  </w:style>
  <w:style w:type="character" w:styleId="LineNumber">
    <w:name w:val="line number"/>
    <w:basedOn w:val="DefaultParagraphFont"/>
    <w:uiPriority w:val="99"/>
    <w:semiHidden/>
    <w:unhideWhenUsed/>
    <w:rsid w:val="008B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6273">
      <w:bodyDiv w:val="1"/>
      <w:marLeft w:val="0"/>
      <w:marRight w:val="0"/>
      <w:marTop w:val="0"/>
      <w:marBottom w:val="0"/>
      <w:divBdr>
        <w:top w:val="none" w:sz="0" w:space="0" w:color="auto"/>
        <w:left w:val="none" w:sz="0" w:space="0" w:color="auto"/>
        <w:bottom w:val="none" w:sz="0" w:space="0" w:color="auto"/>
        <w:right w:val="none" w:sz="0" w:space="0" w:color="auto"/>
      </w:divBdr>
    </w:div>
    <w:div w:id="4924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yperlink" Target="https://doi.org/10.1155/2020/5321276" TargetMode="External"/><Relationship Id="rId26" Type="http://schemas.openxmlformats.org/officeDocument/2006/relationships/hyperlink" Target="https://www.ncbi.nlm.nih.gov/books/NBK557479/" TargetMode="External"/><Relationship Id="rId3" Type="http://schemas.openxmlformats.org/officeDocument/2006/relationships/styles" Target="styles.xml"/><Relationship Id="rId21" Type="http://schemas.openxmlformats.org/officeDocument/2006/relationships/hyperlink" Target="https://doi.org/10.1155/2020/532127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186/s12879-017-2911-x" TargetMode="External"/><Relationship Id="rId25" Type="http://schemas.openxmlformats.org/officeDocument/2006/relationships/hyperlink" Target="https://doi.org/10.1155/2022/125026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8502/ijm.v14i2.91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604/pamj.2020.36.157.2134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90/microorganisms11061438" TargetMode="External"/><Relationship Id="rId28" Type="http://schemas.openxmlformats.org/officeDocument/2006/relationships/hyperlink" Target="https://doi.org/10.4102/phcfm.v3i1.207" TargetMode="External"/><Relationship Id="rId10" Type="http://schemas.openxmlformats.org/officeDocument/2006/relationships/header" Target="header1.xml"/><Relationship Id="rId19" Type="http://schemas.openxmlformats.org/officeDocument/2006/relationships/hyperlink" Target="https://doi.org/10.18683/germs.2021.129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s://doi.org/10.1155/2020/2176569" TargetMode="External"/><Relationship Id="rId27" Type="http://schemas.openxmlformats.org/officeDocument/2006/relationships/hyperlink" Target="https://doi.org/10.1080/13625187.2022.2156278"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Travaux%20Etudiants%20M2\Master%20Student's%20work\2023\M2%20Mlle%20NGUEMNE%20FATIMATOU\MD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73756127555639"/>
          <c:y val="5.8949624866023578E-2"/>
          <c:w val="0.77150722211784262"/>
          <c:h val="0.81467355643044614"/>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E3CA-43EE-8B3D-50CC94E5F456}"/>
              </c:ext>
            </c:extLst>
          </c:dPt>
          <c:cat>
            <c:strRef>
              <c:f>Feuil1!$L$7:$M$7</c:f>
              <c:strCache>
                <c:ptCount val="2"/>
                <c:pt idx="0">
                  <c:v>Positive UTI</c:v>
                </c:pt>
                <c:pt idx="1">
                  <c:v>Negative UTI</c:v>
                </c:pt>
              </c:strCache>
            </c:strRef>
          </c:cat>
          <c:val>
            <c:numRef>
              <c:f>Feuil1!$L$8:$M$8</c:f>
              <c:numCache>
                <c:formatCode>General</c:formatCode>
                <c:ptCount val="2"/>
                <c:pt idx="0">
                  <c:v>49.71</c:v>
                </c:pt>
                <c:pt idx="1">
                  <c:v>50.29</c:v>
                </c:pt>
              </c:numCache>
            </c:numRef>
          </c:val>
          <c:extLst>
            <c:ext xmlns:c16="http://schemas.microsoft.com/office/drawing/2014/chart" uri="{C3380CC4-5D6E-409C-BE32-E72D297353CC}">
              <c16:uniqueId val="{00000002-E3CA-43EE-8B3D-50CC94E5F456}"/>
            </c:ext>
          </c:extLst>
        </c:ser>
        <c:dLbls>
          <c:showLegendKey val="0"/>
          <c:showVal val="0"/>
          <c:showCatName val="0"/>
          <c:showSerName val="0"/>
          <c:showPercent val="0"/>
          <c:showBubbleSize val="0"/>
        </c:dLbls>
        <c:gapWidth val="219"/>
        <c:overlap val="-27"/>
        <c:axId val="451674016"/>
        <c:axId val="451674376"/>
      </c:barChart>
      <c:catAx>
        <c:axId val="4516740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1674376"/>
        <c:crossesAt val="0"/>
        <c:auto val="1"/>
        <c:lblAlgn val="ctr"/>
        <c:lblOffset val="100"/>
        <c:noMultiLvlLbl val="0"/>
      </c:catAx>
      <c:valAx>
        <c:axId val="45167437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aseline="0">
                    <a:solidFill>
                      <a:sysClr val="windowText" lastClr="000000"/>
                    </a:solidFill>
                    <a:latin typeface="Times New Roman" panose="02020603050405020304" pitchFamily="18" charset="0"/>
                    <a:cs typeface="Times New Roman" panose="02020603050405020304" pitchFamily="18" charset="0"/>
                  </a:rPr>
                  <a:t>Prevalence of UTI (%)</a:t>
                </a:r>
                <a:endParaRPr lang="fr-FR">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5758199144025914E-2"/>
              <c:y val="0.230413898458005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74016"/>
        <c:crosses val="autoZero"/>
        <c:crossBetween val="between"/>
        <c:majorUnit val="5"/>
        <c:min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265235681156289E-2"/>
          <c:y val="6.0171014635696636E-2"/>
          <c:w val="0.90286351706036749"/>
          <c:h val="0.65437728425909181"/>
        </c:manualLayout>
      </c:layout>
      <c:barChart>
        <c:barDir val="col"/>
        <c:grouping val="clustered"/>
        <c:varyColors val="0"/>
        <c:ser>
          <c:idx val="0"/>
          <c:order val="0"/>
          <c:tx>
            <c:strRef>
              <c:f>Feuil1!$F$7</c:f>
              <c:strCache>
                <c:ptCount val="1"/>
                <c:pt idx="0">
                  <c:v>Effectif</c:v>
                </c:pt>
              </c:strCache>
            </c:strRef>
          </c:tx>
          <c:spPr>
            <a:pattFill prst="dkUpDiag">
              <a:fgClr>
                <a:schemeClr val="tx1"/>
              </a:fgClr>
              <a:bgClr>
                <a:schemeClr val="bg1"/>
              </a:bgClr>
            </a:pattFill>
            <a:ln w="15875">
              <a:solidFill>
                <a:schemeClr val="tx1"/>
              </a:solidFill>
            </a:ln>
            <a:effectLst/>
          </c:spPr>
          <c:invertIfNegative val="0"/>
          <c:dLbls>
            <c:dLbl>
              <c:idx val="0"/>
              <c:tx>
                <c:rich>
                  <a:bodyPr/>
                  <a:lstStyle/>
                  <a:p>
                    <a:r>
                      <a:rPr lang="en-US"/>
                      <a:t>38.37%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3D-4F7E-BDE9-538ADBB03BEE}"/>
                </c:ext>
              </c:extLst>
            </c:dLbl>
            <c:dLbl>
              <c:idx val="1"/>
              <c:tx>
                <c:rich>
                  <a:bodyPr/>
                  <a:lstStyle/>
                  <a:p>
                    <a:r>
                      <a:rPr lang="en-US"/>
                      <a:t>20.93%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3D-4F7E-BDE9-538ADBB03BEE}"/>
                </c:ext>
              </c:extLst>
            </c:dLbl>
            <c:dLbl>
              <c:idx val="2"/>
              <c:tx>
                <c:rich>
                  <a:bodyPr/>
                  <a:lstStyle/>
                  <a:p>
                    <a:r>
                      <a:rPr lang="en-US"/>
                      <a:t>16.27%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3D-4F7E-BDE9-538ADBB03BEE}"/>
                </c:ext>
              </c:extLst>
            </c:dLbl>
            <c:dLbl>
              <c:idx val="3"/>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3D-4F7E-BDE9-538ADBB03BEE}"/>
                </c:ext>
              </c:extLst>
            </c:dLbl>
            <c:dLbl>
              <c:idx val="4"/>
              <c:tx>
                <c:rich>
                  <a:bodyPr/>
                  <a:lstStyle/>
                  <a:p>
                    <a:r>
                      <a:rPr lang="en-US"/>
                      <a:t>6.98%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3D-4F7E-BDE9-538ADBB03BEE}"/>
                </c:ext>
              </c:extLst>
            </c:dLbl>
            <c:dLbl>
              <c:idx val="5"/>
              <c:tx>
                <c:rich>
                  <a:bodyPr/>
                  <a:lstStyle/>
                  <a:p>
                    <a:r>
                      <a:rPr lang="en-US"/>
                      <a:t>9.30%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3D-4F7E-BDE9-538ADBB03BEE}"/>
                </c:ext>
              </c:extLst>
            </c:dLbl>
            <c:dLbl>
              <c:idx val="6"/>
              <c:tx>
                <c:rich>
                  <a:bodyPr/>
                  <a:lstStyle/>
                  <a:p>
                    <a:r>
                      <a:rPr lang="en-US"/>
                      <a:t>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3D-4F7E-BDE9-538ADBB03BEE}"/>
                </c:ext>
              </c:extLst>
            </c:dLbl>
            <c:dLbl>
              <c:idx val="7"/>
              <c:tx>
                <c:rich>
                  <a:bodyPr/>
                  <a:lstStyle/>
                  <a:p>
                    <a:r>
                      <a:rPr lang="en-US"/>
                      <a:t>2.33%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3D-4F7E-BDE9-538ADBB03BEE}"/>
                </c:ext>
              </c:extLst>
            </c:dLbl>
            <c:dLbl>
              <c:idx val="8"/>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3D-4F7E-BDE9-538ADBB03BEE}"/>
                </c:ext>
              </c:extLst>
            </c:dLbl>
            <c:dLbl>
              <c:idx val="9"/>
              <c:tx>
                <c:rich>
                  <a:bodyPr/>
                  <a:lstStyle/>
                  <a:p>
                    <a:r>
                      <a:rPr lang="en-US"/>
                      <a:t>1.70%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3D-4F7E-BDE9-538ADBB03B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Feuil1!$E$8:$E$18</c:f>
              <c:strCache>
                <c:ptCount val="10"/>
                <c:pt idx="0">
                  <c:v>E. coli</c:v>
                </c:pt>
                <c:pt idx="1">
                  <c:v>Klebsiela sp.</c:v>
                </c:pt>
                <c:pt idx="2">
                  <c:v>Staphylococcus sp.</c:v>
                </c:pt>
                <c:pt idx="3">
                  <c:v>Enterobacter sp.</c:v>
                </c:pt>
                <c:pt idx="4">
                  <c:v>Serratia sp.</c:v>
                </c:pt>
                <c:pt idx="5">
                  <c:v>Proteus sp.</c:v>
                </c:pt>
                <c:pt idx="6">
                  <c:v>Yersinia sp.</c:v>
                </c:pt>
                <c:pt idx="7">
                  <c:v>Shigella sp.</c:v>
                </c:pt>
                <c:pt idx="8">
                  <c:v>Hafnia alvei</c:v>
                </c:pt>
                <c:pt idx="9">
                  <c:v>Pseudomonas aeruginosa</c:v>
                </c:pt>
              </c:strCache>
            </c:strRef>
          </c:cat>
          <c:val>
            <c:numRef>
              <c:f>Feuil1!$F$8:$F$18</c:f>
              <c:numCache>
                <c:formatCode>General</c:formatCode>
                <c:ptCount val="10"/>
                <c:pt idx="0">
                  <c:v>33</c:v>
                </c:pt>
                <c:pt idx="1">
                  <c:v>18</c:v>
                </c:pt>
                <c:pt idx="2">
                  <c:v>14</c:v>
                </c:pt>
                <c:pt idx="3">
                  <c:v>1</c:v>
                </c:pt>
                <c:pt idx="4">
                  <c:v>6</c:v>
                </c:pt>
                <c:pt idx="5">
                  <c:v>8</c:v>
                </c:pt>
                <c:pt idx="6">
                  <c:v>2</c:v>
                </c:pt>
                <c:pt idx="7">
                  <c:v>2</c:v>
                </c:pt>
                <c:pt idx="8">
                  <c:v>1</c:v>
                </c:pt>
                <c:pt idx="9">
                  <c:v>1</c:v>
                </c:pt>
              </c:numCache>
            </c:numRef>
          </c:val>
          <c:extLst>
            <c:ext xmlns:c16="http://schemas.microsoft.com/office/drawing/2014/chart" uri="{C3380CC4-5D6E-409C-BE32-E72D297353CC}">
              <c16:uniqueId val="{0000000A-7F3D-4F7E-BDE9-538ADBB03BEE}"/>
            </c:ext>
          </c:extLst>
        </c:ser>
        <c:dLbls>
          <c:dLblPos val="outEnd"/>
          <c:showLegendKey val="0"/>
          <c:showVal val="1"/>
          <c:showCatName val="0"/>
          <c:showSerName val="0"/>
          <c:showPercent val="0"/>
          <c:showBubbleSize val="0"/>
        </c:dLbls>
        <c:gapWidth val="219"/>
        <c:overlap val="-27"/>
        <c:axId val="132272128"/>
        <c:axId val="132274816"/>
      </c:barChart>
      <c:catAx>
        <c:axId val="132272128"/>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274816"/>
        <c:crosses val="autoZero"/>
        <c:auto val="1"/>
        <c:lblAlgn val="ctr"/>
        <c:lblOffset val="100"/>
        <c:noMultiLvlLbl val="0"/>
      </c:catAx>
      <c:valAx>
        <c:axId val="132274816"/>
        <c:scaling>
          <c:orientation val="minMax"/>
          <c:max val="40"/>
        </c:scaling>
        <c:delete val="1"/>
        <c:axPos val="l"/>
        <c:numFmt formatCode="General" sourceLinked="1"/>
        <c:majorTickMark val="out"/>
        <c:minorTickMark val="none"/>
        <c:tickLblPos val="nextTo"/>
        <c:crossAx val="13227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978120685942"/>
          <c:y val="5.9729473353874241E-2"/>
          <c:w val="0.82448660733369239"/>
          <c:h val="0.67709289669301453"/>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1"/>
              </a:solidFill>
              <a:ln>
                <a:noFill/>
              </a:ln>
              <a:effectLst/>
            </c:spPr>
            <c:extLst>
              <c:ext xmlns:c16="http://schemas.microsoft.com/office/drawing/2014/chart" uri="{C3380CC4-5D6E-409C-BE32-E72D297353CC}">
                <c16:uniqueId val="{00000001-AE06-49FC-8376-E933FD93EED8}"/>
              </c:ext>
            </c:extLst>
          </c:dPt>
          <c:dLbls>
            <c:dLbl>
              <c:idx val="0"/>
              <c:tx>
                <c:rich>
                  <a:bodyPr/>
                  <a:lstStyle/>
                  <a:p>
                    <a:r>
                      <a:rPr lang="en-US"/>
                      <a:t>8.14%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06-49FC-8376-E933FD93EED8}"/>
                </c:ext>
              </c:extLst>
            </c:dLbl>
            <c:dLbl>
              <c:idx val="1"/>
              <c:tx>
                <c:rich>
                  <a:bodyPr/>
                  <a:lstStyle/>
                  <a:p>
                    <a:r>
                      <a:rPr lang="en-US"/>
                      <a:t>9.30%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06-49FC-8376-E933FD93EED8}"/>
                </c:ext>
              </c:extLst>
            </c:dLbl>
            <c:dLbl>
              <c:idx val="2"/>
              <c:tx>
                <c:rich>
                  <a:bodyPr/>
                  <a:lstStyle/>
                  <a:p>
                    <a:r>
                      <a:rPr lang="en-US"/>
                      <a:t>10.46%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06-49FC-8376-E933FD93EED8}"/>
                </c:ext>
              </c:extLst>
            </c:dLbl>
            <c:dLbl>
              <c:idx val="3"/>
              <c:tx>
                <c:rich>
                  <a:bodyPr/>
                  <a:lstStyle/>
                  <a:p>
                    <a:r>
                      <a:rPr lang="en-US"/>
                      <a:t>3.48%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E06-49FC-8376-E933FD93EED8}"/>
                </c:ext>
              </c:extLst>
            </c:dLbl>
            <c:dLbl>
              <c:idx val="4"/>
              <c:tx>
                <c:rich>
                  <a:bodyPr/>
                  <a:lstStyle/>
                  <a:p>
                    <a:r>
                      <a:rPr lang="en-US"/>
                      <a:t>3.48%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06-49FC-8376-E933FD93EED8}"/>
                </c:ext>
              </c:extLst>
            </c:dLbl>
            <c:dLbl>
              <c:idx val="5"/>
              <c:tx>
                <c:rich>
                  <a:bodyPr/>
                  <a:lstStyle/>
                  <a:p>
                    <a:r>
                      <a:rPr lang="en-US"/>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06-49FC-8376-E933FD93EED8}"/>
                </c:ext>
              </c:extLst>
            </c:dLbl>
            <c:dLbl>
              <c:idx val="6"/>
              <c:tx>
                <c:rich>
                  <a:bodyPr/>
                  <a:lstStyle/>
                  <a:p>
                    <a:r>
                      <a:rPr lang="en-US" sz="800" b="0" i="0" u="none" strike="noStrike" kern="1200" baseline="0">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06-49FC-8376-E933FD93EED8}"/>
                </c:ext>
              </c:extLst>
            </c:dLbl>
            <c:dLbl>
              <c:idx val="7"/>
              <c:tx>
                <c:rich>
                  <a:bodyPr/>
                  <a:lstStyle/>
                  <a:p>
                    <a:r>
                      <a:rPr lang="en-US" sz="800" b="0" i="0" u="none" strike="noStrike" kern="1200" baseline="0">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06-49FC-8376-E933FD93EED8}"/>
                </c:ext>
              </c:extLst>
            </c:dLbl>
            <c:dLbl>
              <c:idx val="8"/>
              <c:tx>
                <c:rich>
                  <a:bodyPr/>
                  <a:lstStyle/>
                  <a:p>
                    <a:r>
                      <a:rPr lang="en-US">
                        <a:solidFill>
                          <a:sysClr val="windowText" lastClr="000000"/>
                        </a:solidFill>
                      </a:rPr>
                      <a:t>1.16%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06-49FC-8376-E933FD93EE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Feuil1!$E$12:$E$20</c:f>
              <c:strCache>
                <c:ptCount val="9"/>
                <c:pt idx="0">
                  <c:v>E. coli</c:v>
                </c:pt>
                <c:pt idx="1">
                  <c:v>Klepsiella sp.</c:v>
                </c:pt>
                <c:pt idx="2">
                  <c:v>Staphyloccus sp.</c:v>
                </c:pt>
                <c:pt idx="3">
                  <c:v>Proteus sp.</c:v>
                </c:pt>
                <c:pt idx="4">
                  <c:v>Serratia sp.</c:v>
                </c:pt>
                <c:pt idx="5">
                  <c:v>Enterobacter sp.</c:v>
                </c:pt>
                <c:pt idx="6">
                  <c:v>Pseudomona sp.</c:v>
                </c:pt>
                <c:pt idx="7">
                  <c:v>Yersinia sp.</c:v>
                </c:pt>
                <c:pt idx="8">
                  <c:v>Shigella sp.</c:v>
                </c:pt>
              </c:strCache>
            </c:strRef>
          </c:cat>
          <c:val>
            <c:numRef>
              <c:f>Feuil1!$F$12:$F$20</c:f>
              <c:numCache>
                <c:formatCode>General</c:formatCode>
                <c:ptCount val="9"/>
                <c:pt idx="0">
                  <c:v>8.1300000000000008</c:v>
                </c:pt>
                <c:pt idx="1">
                  <c:v>9.3000000000000007</c:v>
                </c:pt>
                <c:pt idx="2">
                  <c:v>10.46</c:v>
                </c:pt>
                <c:pt idx="3">
                  <c:v>3.48</c:v>
                </c:pt>
                <c:pt idx="4">
                  <c:v>3.48</c:v>
                </c:pt>
                <c:pt idx="5">
                  <c:v>1.1599999999999999</c:v>
                </c:pt>
                <c:pt idx="6">
                  <c:v>1.1599999999999999</c:v>
                </c:pt>
                <c:pt idx="7">
                  <c:v>1.1599999999999999</c:v>
                </c:pt>
                <c:pt idx="8">
                  <c:v>1.1599999999999999</c:v>
                </c:pt>
              </c:numCache>
            </c:numRef>
          </c:val>
          <c:extLst>
            <c:ext xmlns:c16="http://schemas.microsoft.com/office/drawing/2014/chart" uri="{C3380CC4-5D6E-409C-BE32-E72D297353CC}">
              <c16:uniqueId val="{0000000A-AE06-49FC-8376-E933FD93EED8}"/>
            </c:ext>
          </c:extLst>
        </c:ser>
        <c:dLbls>
          <c:dLblPos val="outEnd"/>
          <c:showLegendKey val="0"/>
          <c:showVal val="1"/>
          <c:showCatName val="0"/>
          <c:showSerName val="0"/>
          <c:showPercent val="0"/>
          <c:showBubbleSize val="0"/>
        </c:dLbls>
        <c:gapWidth val="219"/>
        <c:overlap val="-27"/>
        <c:axId val="528398944"/>
        <c:axId val="528398112"/>
      </c:barChart>
      <c:catAx>
        <c:axId val="5283989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98112"/>
        <c:crosses val="autoZero"/>
        <c:auto val="1"/>
        <c:lblAlgn val="ctr"/>
        <c:lblOffset val="100"/>
        <c:noMultiLvlLbl val="0"/>
      </c:catAx>
      <c:valAx>
        <c:axId val="5283981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900">
                    <a:latin typeface="Times New Roman" panose="02020603050405020304" pitchFamily="18" charset="0"/>
                    <a:cs typeface="Times New Roman" panose="02020603050405020304" pitchFamily="18" charset="0"/>
                  </a:rPr>
                  <a:t>Percentage of multiresistance</a:t>
                </a:r>
              </a:p>
              <a:p>
                <a:pPr>
                  <a:defRPr sz="900">
                    <a:latin typeface="Times New Roman" panose="02020603050405020304" pitchFamily="18" charset="0"/>
                    <a:cs typeface="Times New Roman" panose="02020603050405020304" pitchFamily="18" charset="0"/>
                  </a:defRPr>
                </a:pPr>
                <a:r>
                  <a:rPr lang="en-GB" sz="900" baseline="0">
                    <a:latin typeface="Times New Roman" panose="02020603050405020304" pitchFamily="18" charset="0"/>
                    <a:cs typeface="Times New Roman" panose="02020603050405020304" pitchFamily="18" charset="0"/>
                  </a:rPr>
                  <a:t>(%)</a:t>
                </a:r>
                <a:endParaRPr lang="en-GB" sz="900">
                  <a:latin typeface="Times New Roman" panose="02020603050405020304" pitchFamily="18" charset="0"/>
                  <a:cs typeface="Times New Roman" panose="02020603050405020304" pitchFamily="18" charset="0"/>
                </a:endParaRPr>
              </a:p>
            </c:rich>
          </c:tx>
          <c:layout>
            <c:manualLayout>
              <c:xMode val="edge"/>
              <c:yMode val="edge"/>
              <c:x val="1.5490961658200615E-3"/>
              <c:y val="0.207900761725436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98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0.74497</cdr:x>
      <cdr:y>0.05229</cdr:y>
    </cdr:from>
    <cdr:to>
      <cdr:x>0.84886</cdr:x>
      <cdr:y>0.12266</cdr:y>
    </cdr:to>
    <cdr:sp macro="" textlink="">
      <cdr:nvSpPr>
        <cdr:cNvPr id="2" name="Rectangle 1">
          <a:extLst xmlns:a="http://schemas.openxmlformats.org/drawingml/2006/main">
            <a:ext uri="{FF2B5EF4-FFF2-40B4-BE49-F238E27FC236}">
              <a16:creationId xmlns:a16="http://schemas.microsoft.com/office/drawing/2014/main" id="{2D510083-0218-6302-42EE-6A154E45BD90}"/>
            </a:ext>
          </a:extLst>
        </cdr:cNvPr>
        <cdr:cNvSpPr/>
      </cdr:nvSpPr>
      <cdr:spPr>
        <a:xfrm xmlns:a="http://schemas.openxmlformats.org/drawingml/2006/main">
          <a:off x="3105148" y="109965"/>
          <a:ext cx="433028" cy="147997"/>
        </a:xfrm>
        <a:prstGeom xmlns:a="http://schemas.openxmlformats.org/drawingml/2006/main" prst="rect">
          <a:avLst/>
        </a:prstGeom>
        <a:ln xmlns:a="http://schemas.openxmlformats.org/drawingml/2006/main">
          <a:noFill/>
        </a:ln>
      </cdr:spPr>
      <cdr:txBody>
        <a:bodyPr xmlns:a="http://schemas.openxmlformats.org/drawingml/2006/main" vert="horz"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US" sz="900" b="1">
              <a:effectLst/>
              <a:latin typeface="Times New Roman" panose="02020603050405020304" pitchFamily="18" charset="0"/>
              <a:ea typeface="Calibri" panose="020F0502020204030204" pitchFamily="34" charset="0"/>
              <a:cs typeface="Times New Roman" panose="02020603050405020304" pitchFamily="18" charset="0"/>
            </a:rPr>
            <a:t>50.3</a:t>
          </a:r>
          <a:endParaRPr lang="fr-FR" sz="11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7B4A-CE17-416D-8420-3AF51DEE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4655</Words>
  <Characters>26539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KARIMO</dc:creator>
  <cp:keywords/>
  <dc:description/>
  <cp:lastModifiedBy>SDI 1084</cp:lastModifiedBy>
  <cp:revision>8</cp:revision>
  <dcterms:created xsi:type="dcterms:W3CDTF">2025-10-24T13:10:00Z</dcterms:created>
  <dcterms:modified xsi:type="dcterms:W3CDTF">2025-10-25T11:11:00Z</dcterms:modified>
</cp:coreProperties>
</file>