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8C5D6" w14:textId="77777777" w:rsidR="008B5931" w:rsidRPr="008B5931" w:rsidRDefault="008B5931" w:rsidP="008B5931">
      <w:pPr>
        <w:jc w:val="center"/>
        <w:rPr>
          <w:rFonts w:ascii="Arial" w:hAnsi="Arial" w:cs="Arial"/>
          <w:b/>
          <w:bCs/>
          <w:i/>
          <w:iCs/>
          <w:sz w:val="22"/>
          <w:szCs w:val="22"/>
          <w:u w:val="single"/>
        </w:rPr>
      </w:pPr>
      <w:r w:rsidRPr="008B5931">
        <w:rPr>
          <w:rFonts w:ascii="Arial" w:hAnsi="Arial" w:cs="Arial"/>
          <w:b/>
          <w:bCs/>
          <w:i/>
          <w:iCs/>
          <w:sz w:val="22"/>
          <w:szCs w:val="22"/>
          <w:u w:val="single"/>
        </w:rPr>
        <w:t>Review Article</w:t>
      </w:r>
    </w:p>
    <w:p w14:paraId="25BF8F23" w14:textId="77777777" w:rsidR="008B5931" w:rsidRDefault="008B5931" w:rsidP="004831F8">
      <w:pPr>
        <w:jc w:val="center"/>
        <w:rPr>
          <w:rFonts w:ascii="Arial" w:hAnsi="Arial" w:cs="Arial"/>
          <w:b/>
          <w:bCs/>
          <w:sz w:val="22"/>
          <w:szCs w:val="22"/>
        </w:rPr>
      </w:pPr>
    </w:p>
    <w:p w14:paraId="2953F39A" w14:textId="4E40C482" w:rsidR="00C40ECA" w:rsidRDefault="004831F8" w:rsidP="004831F8">
      <w:pPr>
        <w:jc w:val="center"/>
        <w:rPr>
          <w:rFonts w:ascii="Arial" w:hAnsi="Arial" w:cs="Arial"/>
          <w:b/>
          <w:bCs/>
          <w:sz w:val="22"/>
          <w:szCs w:val="22"/>
        </w:rPr>
      </w:pPr>
      <w:r w:rsidRPr="004831F8">
        <w:rPr>
          <w:rFonts w:ascii="Arial" w:hAnsi="Arial" w:cs="Arial"/>
          <w:b/>
          <w:bCs/>
          <w:sz w:val="22"/>
          <w:szCs w:val="22"/>
        </w:rPr>
        <w:t>TEMPERATURE AND DOPING DEPENDENCE OF THE PSEUDOGAP PHASE IN CUPRATE HIGH-TEMPERATURE SUPERCONDUCTORS</w:t>
      </w:r>
    </w:p>
    <w:p w14:paraId="14B5129F" w14:textId="77777777" w:rsidR="0035637D" w:rsidRDefault="0035637D" w:rsidP="0035637D">
      <w:pPr>
        <w:rPr>
          <w:rFonts w:ascii="Arial" w:hAnsi="Arial" w:cs="Arial"/>
          <w:b/>
          <w:bCs/>
          <w:sz w:val="22"/>
          <w:szCs w:val="22"/>
        </w:rPr>
      </w:pPr>
    </w:p>
    <w:p w14:paraId="789A68D7" w14:textId="77777777" w:rsidR="008B5931" w:rsidRPr="00E45191" w:rsidRDefault="008B5931" w:rsidP="0035637D">
      <w:pPr>
        <w:rPr>
          <w:rFonts w:ascii="Arial" w:hAnsi="Arial" w:cs="Arial"/>
          <w:bCs/>
          <w:sz w:val="22"/>
          <w:szCs w:val="22"/>
        </w:rPr>
      </w:pPr>
      <w:bookmarkStart w:id="0" w:name="_GoBack"/>
      <w:bookmarkEnd w:id="0"/>
    </w:p>
    <w:p w14:paraId="673986EB" w14:textId="77777777" w:rsidR="004831F8" w:rsidRPr="004831F8" w:rsidRDefault="004831F8" w:rsidP="004831F8">
      <w:pPr>
        <w:rPr>
          <w:rFonts w:ascii="Arial" w:hAnsi="Arial" w:cs="Arial"/>
          <w:sz w:val="22"/>
          <w:szCs w:val="22"/>
        </w:rPr>
      </w:pPr>
      <w:r w:rsidRPr="004831F8">
        <w:rPr>
          <w:rFonts w:ascii="Arial" w:hAnsi="Arial" w:cs="Arial"/>
          <w:b/>
          <w:bCs/>
          <w:sz w:val="22"/>
          <w:szCs w:val="22"/>
        </w:rPr>
        <w:t>ABSTRACT</w:t>
      </w:r>
      <w:r w:rsidRPr="004831F8">
        <w:rPr>
          <w:rFonts w:ascii="Arial" w:hAnsi="Arial" w:cs="Arial"/>
          <w:sz w:val="22"/>
          <w:szCs w:val="22"/>
        </w:rPr>
        <w:t>:</w:t>
      </w:r>
    </w:p>
    <w:p w14:paraId="24F9E07B" w14:textId="77777777" w:rsidR="00C40ECA" w:rsidRPr="0097590B" w:rsidRDefault="00C40ECA" w:rsidP="0097590B">
      <w:pPr>
        <w:spacing w:line="240" w:lineRule="auto"/>
        <w:jc w:val="both"/>
        <w:rPr>
          <w:rFonts w:ascii="Arial" w:hAnsi="Arial" w:cs="Arial"/>
          <w:i/>
          <w:sz w:val="20"/>
          <w:szCs w:val="20"/>
        </w:rPr>
      </w:pPr>
      <w:r w:rsidRPr="0097590B">
        <w:rPr>
          <w:rFonts w:ascii="Arial" w:hAnsi="Arial" w:cs="Arial"/>
          <w:sz w:val="20"/>
          <w:szCs w:val="20"/>
        </w:rPr>
        <w:t xml:space="preserve">The </w:t>
      </w:r>
      <w:proofErr w:type="spellStart"/>
      <w:r w:rsidRPr="0097590B">
        <w:rPr>
          <w:rFonts w:ascii="Arial" w:hAnsi="Arial" w:cs="Arial"/>
          <w:sz w:val="20"/>
          <w:szCs w:val="20"/>
        </w:rPr>
        <w:t>pseudogap</w:t>
      </w:r>
      <w:proofErr w:type="spellEnd"/>
      <w:r w:rsidRPr="0097590B">
        <w:rPr>
          <w:rFonts w:ascii="Arial" w:hAnsi="Arial" w:cs="Arial"/>
          <w:sz w:val="20"/>
          <w:szCs w:val="20"/>
        </w:rPr>
        <w:t xml:space="preserve"> (PG) phase remains a central unresolved feature of </w:t>
      </w:r>
      <w:proofErr w:type="spellStart"/>
      <w:r w:rsidRPr="0097590B">
        <w:rPr>
          <w:rFonts w:ascii="Arial" w:hAnsi="Arial" w:cs="Arial"/>
          <w:sz w:val="20"/>
          <w:szCs w:val="20"/>
        </w:rPr>
        <w:t>cuprate</w:t>
      </w:r>
      <w:proofErr w:type="spellEnd"/>
      <w:r w:rsidRPr="0097590B">
        <w:rPr>
          <w:rFonts w:ascii="Arial" w:hAnsi="Arial" w:cs="Arial"/>
          <w:sz w:val="20"/>
          <w:szCs w:val="20"/>
        </w:rPr>
        <w:t xml:space="preserve"> high-temperature superconductors, appearing above the superconducting transition temperature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Cambria Math" w:cs="Arial"/>
                <w:kern w:val="0"/>
                <w:sz w:val="20"/>
                <w:szCs w:val="20"/>
              </w:rPr>
              <m:t>C</m:t>
            </m:r>
          </m:sub>
        </m:sSub>
      </m:oMath>
      <w:r w:rsidRPr="0097590B">
        <w:rPr>
          <w:rStyle w:val="vlist-s"/>
          <w:rFonts w:ascii="Arial" w:hAnsi="Arial" w:cs="Arial"/>
          <w:sz w:val="20"/>
          <w:szCs w:val="20"/>
        </w:rPr>
        <w:t>​</w:t>
      </w:r>
      <w:r w:rsidRPr="0097590B">
        <w:rPr>
          <w:rFonts w:ascii="Arial" w:hAnsi="Arial" w:cs="Arial"/>
          <w:sz w:val="20"/>
          <w:szCs w:val="20"/>
        </w:rPr>
        <w:t xml:space="preserve"> and marked by a partial suppression of low-energy spectral weight. A major challenge is that transport, spectroscopic, and symmetry-sensitive probes place the PG’s critical doping at systematically different values, reflecting distinct sensitivities to correlation length scales. Within this regime, charge density waves, pair-density waves, spin fluctuations, and nematicity emerge as intertwined electronic orders. This review synthesizes evidence from ARPES, STM/STS, NMR, resonant X-ray scattering, and optical conductivity, demonstrating how each technique reveals complementary aspects of the PG’s heterogeneity, dynamics, and symmetry breaking. Theoretical frameworks based on quantum criticality, Mott physics, and intertwined orders account for these findings, collectively supporting the PG as a distinct quantum phase rather than a crossover. The coincidence of PG termination with optimal superconductivity underscores its pivotal role in shaping unconventional pairing in </w:t>
      </w:r>
      <w:proofErr w:type="spellStart"/>
      <w:r w:rsidRPr="0097590B">
        <w:rPr>
          <w:rFonts w:ascii="Arial" w:hAnsi="Arial" w:cs="Arial"/>
          <w:sz w:val="20"/>
          <w:szCs w:val="20"/>
        </w:rPr>
        <w:t>cuprates</w:t>
      </w:r>
      <w:proofErr w:type="spellEnd"/>
      <w:r w:rsidRPr="0097590B">
        <w:rPr>
          <w:rFonts w:ascii="Arial" w:hAnsi="Arial" w:cs="Arial"/>
          <w:sz w:val="20"/>
          <w:szCs w:val="20"/>
        </w:rPr>
        <w:t>.</w:t>
      </w:r>
    </w:p>
    <w:p w14:paraId="212592DF" w14:textId="77777777" w:rsidR="00C40ECA" w:rsidRPr="00255B0A" w:rsidRDefault="00C40ECA" w:rsidP="0097590B">
      <w:pPr>
        <w:spacing w:line="240" w:lineRule="auto"/>
        <w:jc w:val="both"/>
        <w:rPr>
          <w:rFonts w:ascii="Times New Roman" w:hAnsi="Times New Roman" w:cs="Times New Roman"/>
        </w:rPr>
      </w:pPr>
      <w:r w:rsidRPr="004831F8">
        <w:rPr>
          <w:rFonts w:ascii="Arial" w:hAnsi="Arial" w:cs="Arial"/>
          <w:b/>
          <w:sz w:val="22"/>
          <w:szCs w:val="22"/>
        </w:rPr>
        <w:t>Keywords:</w:t>
      </w:r>
      <w:r w:rsidRPr="00255B0A">
        <w:rPr>
          <w:rFonts w:ascii="Times New Roman" w:hAnsi="Times New Roman" w:cs="Times New Roman"/>
        </w:rPr>
        <w:t xml:space="preserve"> </w:t>
      </w:r>
      <w:proofErr w:type="spellStart"/>
      <w:r w:rsidRPr="0097590B">
        <w:rPr>
          <w:rFonts w:ascii="Arial" w:hAnsi="Arial" w:cs="Arial"/>
          <w:i/>
          <w:sz w:val="20"/>
          <w:szCs w:val="20"/>
        </w:rPr>
        <w:t>Pseudogap</w:t>
      </w:r>
      <w:proofErr w:type="spellEnd"/>
      <w:r w:rsidRPr="0097590B">
        <w:rPr>
          <w:rFonts w:ascii="Arial" w:hAnsi="Arial" w:cs="Arial"/>
          <w:i/>
          <w:sz w:val="20"/>
          <w:szCs w:val="20"/>
        </w:rPr>
        <w:t xml:space="preserve">, High-temperature superconductivity, </w:t>
      </w:r>
      <w:proofErr w:type="spellStart"/>
      <w:r w:rsidRPr="0097590B">
        <w:rPr>
          <w:rFonts w:ascii="Arial" w:hAnsi="Arial" w:cs="Arial"/>
          <w:i/>
          <w:sz w:val="20"/>
          <w:szCs w:val="20"/>
        </w:rPr>
        <w:t>Cuprates</w:t>
      </w:r>
      <w:proofErr w:type="spellEnd"/>
      <w:r w:rsidRPr="0097590B">
        <w:rPr>
          <w:rFonts w:ascii="Arial" w:hAnsi="Arial" w:cs="Arial"/>
          <w:i/>
          <w:sz w:val="20"/>
          <w:szCs w:val="20"/>
        </w:rPr>
        <w:t>, Charge density wave (CDW),</w:t>
      </w:r>
      <w:r w:rsidR="004831F8" w:rsidRPr="0097590B">
        <w:rPr>
          <w:rFonts w:ascii="Arial" w:hAnsi="Arial" w:cs="Arial"/>
          <w:i/>
          <w:sz w:val="20"/>
          <w:szCs w:val="20"/>
        </w:rPr>
        <w:t xml:space="preserve"> Nematicity, Phase diagram, </w:t>
      </w:r>
      <w:r w:rsidRPr="0097590B">
        <w:rPr>
          <w:rFonts w:ascii="Arial" w:hAnsi="Arial" w:cs="Arial"/>
          <w:i/>
          <w:sz w:val="20"/>
          <w:szCs w:val="20"/>
        </w:rPr>
        <w:t>Scann</w:t>
      </w:r>
      <w:r w:rsidR="004831F8" w:rsidRPr="0097590B">
        <w:rPr>
          <w:rFonts w:ascii="Arial" w:hAnsi="Arial" w:cs="Arial"/>
          <w:i/>
          <w:sz w:val="20"/>
          <w:szCs w:val="20"/>
        </w:rPr>
        <w:t>ing tunneling microscopy (STM)</w:t>
      </w:r>
      <w:r w:rsidRPr="0097590B">
        <w:rPr>
          <w:rFonts w:ascii="Arial" w:hAnsi="Arial" w:cs="Arial"/>
          <w:i/>
          <w:sz w:val="20"/>
          <w:szCs w:val="20"/>
        </w:rPr>
        <w:t>, Quantum criticality</w:t>
      </w:r>
      <w:r w:rsidR="004831F8" w:rsidRPr="0097590B">
        <w:rPr>
          <w:rFonts w:ascii="Arial" w:hAnsi="Arial" w:cs="Arial"/>
          <w:i/>
          <w:sz w:val="20"/>
          <w:szCs w:val="20"/>
        </w:rPr>
        <w:t>.</w:t>
      </w:r>
    </w:p>
    <w:p w14:paraId="398033BA" w14:textId="77777777" w:rsidR="00C40ECA" w:rsidRPr="0097590B" w:rsidRDefault="00C40ECA" w:rsidP="00C40ECA">
      <w:pPr>
        <w:spacing w:before="100" w:beforeAutospacing="1" w:after="100" w:afterAutospacing="1" w:line="240" w:lineRule="auto"/>
        <w:outlineLvl w:val="1"/>
        <w:rPr>
          <w:rFonts w:ascii="Arial" w:eastAsia="Times New Roman" w:hAnsi="Arial" w:cs="Arial"/>
          <w:b/>
          <w:bCs/>
          <w:kern w:val="0"/>
          <w:sz w:val="22"/>
          <w:szCs w:val="22"/>
        </w:rPr>
      </w:pPr>
      <w:r w:rsidRPr="0097590B">
        <w:rPr>
          <w:rFonts w:ascii="Arial" w:eastAsia="Times New Roman" w:hAnsi="Arial" w:cs="Arial"/>
          <w:b/>
          <w:bCs/>
          <w:kern w:val="0"/>
          <w:sz w:val="22"/>
          <w:szCs w:val="22"/>
        </w:rPr>
        <w:t>1.0 INTRODUCTION</w:t>
      </w:r>
    </w:p>
    <w:p w14:paraId="064D41B0" w14:textId="77777777"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High-temperature superconductivity in </w:t>
      </w:r>
      <w:proofErr w:type="spellStart"/>
      <w:r w:rsidRPr="0097590B">
        <w:rPr>
          <w:rFonts w:ascii="Arial" w:eastAsia="Times New Roman" w:hAnsi="Arial" w:cs="Arial"/>
          <w:sz w:val="20"/>
          <w:szCs w:val="20"/>
        </w:rPr>
        <w:t>cuprates</w:t>
      </w:r>
      <w:proofErr w:type="spellEnd"/>
      <w:r w:rsidRPr="0097590B">
        <w:rPr>
          <w:rFonts w:ascii="Arial" w:eastAsia="Times New Roman" w:hAnsi="Arial" w:cs="Arial"/>
          <w:sz w:val="20"/>
          <w:szCs w:val="20"/>
        </w:rPr>
        <w:t xml:space="preserve"> remains one of the central challenges in condensed matter physics </w:t>
      </w:r>
      <w:r w:rsidR="007D6F1E">
        <w:rPr>
          <w:rFonts w:ascii="Arial" w:eastAsia="Times New Roman" w:hAnsi="Arial" w:cs="Arial"/>
          <w:sz w:val="20"/>
          <w:szCs w:val="20"/>
        </w:rPr>
        <w:t>[1]</w:t>
      </w:r>
      <w:r w:rsidRPr="0097590B">
        <w:rPr>
          <w:rFonts w:ascii="Arial" w:eastAsia="Times New Roman" w:hAnsi="Arial" w:cs="Arial"/>
          <w:sz w:val="20"/>
          <w:szCs w:val="20"/>
        </w:rPr>
        <w:t xml:space="preserve">. Despite decades of intensive study, its microscopic mechanism is still unresolved </w:t>
      </w:r>
      <w:r w:rsidR="00EF0D5C">
        <w:rPr>
          <w:rFonts w:ascii="Arial" w:eastAsia="Times New Roman" w:hAnsi="Arial" w:cs="Arial"/>
          <w:sz w:val="20"/>
          <w:szCs w:val="20"/>
        </w:rPr>
        <w:t>[2]</w:t>
      </w:r>
      <w:r w:rsidRPr="0097590B">
        <w:rPr>
          <w:rFonts w:ascii="Arial" w:eastAsia="Times New Roman" w:hAnsi="Arial" w:cs="Arial"/>
          <w:sz w:val="20"/>
          <w:szCs w:val="20"/>
        </w:rPr>
        <w:t xml:space="preserve">. Recent experimental and theoretical progress has highlighted the </w:t>
      </w:r>
      <w:proofErr w:type="spellStart"/>
      <w:r w:rsidRPr="0097590B">
        <w:rPr>
          <w:rFonts w:ascii="Arial" w:eastAsia="Times New Roman" w:hAnsi="Arial" w:cs="Arial"/>
          <w:sz w:val="20"/>
          <w:szCs w:val="20"/>
        </w:rPr>
        <w:t>pseudogap</w:t>
      </w:r>
      <w:proofErr w:type="spellEnd"/>
      <w:r w:rsidRPr="0097590B">
        <w:rPr>
          <w:rFonts w:ascii="Arial" w:eastAsia="Times New Roman" w:hAnsi="Arial" w:cs="Arial"/>
          <w:sz w:val="20"/>
          <w:szCs w:val="20"/>
        </w:rPr>
        <w:t xml:space="preserve"> (PG) as a key player in this puzzle, linking it directly to the emergence of </w:t>
      </w:r>
      <w:r w:rsidR="0097590B" w:rsidRPr="0097590B">
        <w:rPr>
          <w:rFonts w:ascii="Arial" w:eastAsia="Times New Roman" w:hAnsi="Arial" w:cs="Arial"/>
          <w:sz w:val="20"/>
          <w:szCs w:val="20"/>
        </w:rPr>
        <w:t>superconductivity (</w:t>
      </w:r>
      <w:r w:rsidRPr="0097590B">
        <w:rPr>
          <w:rFonts w:ascii="Arial" w:eastAsia="Times New Roman" w:hAnsi="Arial" w:cs="Arial"/>
          <w:sz w:val="20"/>
          <w:szCs w:val="20"/>
        </w:rPr>
        <w:t xml:space="preserve">SC) </w:t>
      </w:r>
      <w:r w:rsidR="00EF0D5C">
        <w:rPr>
          <w:rFonts w:ascii="Arial" w:eastAsia="Times New Roman" w:hAnsi="Arial" w:cs="Arial"/>
          <w:sz w:val="20"/>
          <w:szCs w:val="20"/>
        </w:rPr>
        <w:t>[3]</w:t>
      </w:r>
      <w:r w:rsidRPr="0097590B">
        <w:rPr>
          <w:rFonts w:ascii="Arial" w:eastAsia="Times New Roman" w:hAnsi="Arial" w:cs="Arial"/>
          <w:sz w:val="20"/>
          <w:szCs w:val="20"/>
        </w:rPr>
        <w:t xml:space="preserve">. The PG represents a mysterious phase </w:t>
      </w:r>
      <w:r w:rsidR="00EF0D5C">
        <w:rPr>
          <w:rFonts w:ascii="Arial" w:hAnsi="Arial" w:cs="Arial"/>
          <w:sz w:val="20"/>
          <w:szCs w:val="20"/>
        </w:rPr>
        <w:t>[4]</w:t>
      </w:r>
      <w:r w:rsidRPr="0097590B">
        <w:rPr>
          <w:rFonts w:ascii="Arial" w:eastAsia="Times New Roman" w:hAnsi="Arial" w:cs="Arial"/>
          <w:sz w:val="20"/>
          <w:szCs w:val="20"/>
        </w:rPr>
        <w:t xml:space="preserve">, characterized by a partial depletion of low-energy electronic states between the superconducting transition temperature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Cambria Math" w:cs="Arial"/>
                <w:kern w:val="0"/>
                <w:sz w:val="20"/>
                <w:szCs w:val="20"/>
              </w:rPr>
              <m:t>C</m:t>
            </m:r>
          </m:sub>
        </m:sSub>
      </m:oMath>
      <w:r w:rsidRPr="0097590B">
        <w:rPr>
          <w:rFonts w:ascii="Arial" w:eastAsia="Times New Roman" w:hAnsi="Arial" w:cs="Arial"/>
          <w:sz w:val="20"/>
          <w:szCs w:val="20"/>
        </w:rPr>
        <w:t xml:space="preserve"> and a higher onset temperature </w:t>
      </w:r>
      <m:oMath>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T</m:t>
            </m:r>
          </m:e>
          <m:sup>
            <m:r>
              <w:rPr>
                <w:rFonts w:ascii="Cambria Math" w:eastAsia="Times New Roman" w:hAnsi="Cambria Math" w:cs="Arial"/>
                <w:kern w:val="0"/>
                <w:sz w:val="20"/>
                <w:szCs w:val="20"/>
              </w:rPr>
              <m:t>*</m:t>
            </m:r>
          </m:sup>
        </m:sSup>
      </m:oMath>
      <w:r w:rsidR="00EF0D5C">
        <w:rPr>
          <w:rFonts w:ascii="Arial" w:eastAsia="Times New Roman" w:hAnsi="Arial" w:cs="Arial"/>
          <w:sz w:val="20"/>
          <w:szCs w:val="20"/>
        </w:rPr>
        <w:t>[5]</w:t>
      </w:r>
      <w:r w:rsidRPr="0097590B">
        <w:rPr>
          <w:rFonts w:ascii="Arial" w:eastAsia="Times New Roman" w:hAnsi="Arial" w:cs="Arial"/>
          <w:sz w:val="20"/>
          <w:szCs w:val="20"/>
        </w:rPr>
        <w:t xml:space="preserve">; </w:t>
      </w:r>
      <w:r w:rsidR="00D36826">
        <w:rPr>
          <w:rFonts w:ascii="Arial" w:eastAsia="Times New Roman" w:hAnsi="Arial" w:cs="Arial"/>
          <w:sz w:val="20"/>
          <w:szCs w:val="20"/>
        </w:rPr>
        <w:t>[6]</w:t>
      </w:r>
      <w:r w:rsidRPr="0097590B">
        <w:rPr>
          <w:rFonts w:ascii="Arial" w:eastAsia="Times New Roman" w:hAnsi="Arial" w:cs="Arial"/>
          <w:sz w:val="20"/>
          <w:szCs w:val="20"/>
        </w:rPr>
        <w:t>. Unlike conventional ordered phases, it lacks a universally accepted order parameter and displays unconvent</w:t>
      </w:r>
      <w:r w:rsidR="00C776BC">
        <w:rPr>
          <w:rFonts w:ascii="Arial" w:eastAsia="Times New Roman" w:hAnsi="Arial" w:cs="Arial"/>
          <w:sz w:val="20"/>
          <w:szCs w:val="20"/>
        </w:rPr>
        <w:t>ional signatures across probes</w:t>
      </w:r>
      <w:r w:rsidR="00030D12">
        <w:rPr>
          <w:rFonts w:ascii="Arial" w:eastAsia="Times New Roman" w:hAnsi="Arial" w:cs="Arial"/>
          <w:sz w:val="20"/>
          <w:szCs w:val="20"/>
        </w:rPr>
        <w:t xml:space="preserve"> </w:t>
      </w:r>
      <w:r w:rsidR="00D36826">
        <w:rPr>
          <w:rFonts w:ascii="Arial" w:eastAsia="Times New Roman" w:hAnsi="Arial" w:cs="Arial"/>
          <w:sz w:val="20"/>
          <w:szCs w:val="20"/>
        </w:rPr>
        <w:t>[7]</w:t>
      </w:r>
      <w:r w:rsidRPr="0097590B">
        <w:rPr>
          <w:rFonts w:ascii="Arial" w:eastAsia="Times New Roman" w:hAnsi="Arial" w:cs="Arial"/>
          <w:sz w:val="20"/>
          <w:szCs w:val="20"/>
        </w:rPr>
        <w:t xml:space="preserve">; </w:t>
      </w:r>
      <w:r w:rsidR="00D36826">
        <w:rPr>
          <w:rFonts w:ascii="Arial" w:hAnsi="Arial" w:cs="Arial"/>
          <w:sz w:val="20"/>
          <w:szCs w:val="20"/>
        </w:rPr>
        <w:t>[4]</w:t>
      </w:r>
      <w:r w:rsidRPr="0097590B">
        <w:rPr>
          <w:rFonts w:ascii="Arial" w:eastAsia="Times New Roman" w:hAnsi="Arial" w:cs="Arial"/>
          <w:sz w:val="20"/>
          <w:szCs w:val="20"/>
        </w:rPr>
        <w:t>.</w:t>
      </w:r>
    </w:p>
    <w:p w14:paraId="5CDDAB9E" w14:textId="77777777"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Thermodynamic studies establish that the PG terminates sharply at a critical doping level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C776BC">
        <w:rPr>
          <w:rFonts w:ascii="Arial" w:eastAsia="Times New Roman" w:hAnsi="Arial" w:cs="Arial"/>
          <w:sz w:val="20"/>
          <w:szCs w:val="20"/>
        </w:rPr>
        <w:t xml:space="preserve"> </w:t>
      </w:r>
      <w:r w:rsidR="00D36826">
        <w:rPr>
          <w:rFonts w:ascii="Arial" w:eastAsia="Times New Roman" w:hAnsi="Arial" w:cs="Arial"/>
          <w:sz w:val="20"/>
          <w:szCs w:val="20"/>
        </w:rPr>
        <w:t>[7]</w:t>
      </w:r>
      <w:r w:rsidRPr="0097590B">
        <w:rPr>
          <w:rFonts w:ascii="Arial" w:eastAsia="Times New Roman" w:hAnsi="Arial" w:cs="Arial"/>
          <w:sz w:val="20"/>
          <w:szCs w:val="20"/>
        </w:rPr>
        <w:t xml:space="preserve">, beyond which a strange metallic state emerges </w:t>
      </w:r>
      <w:r w:rsidR="00D36826">
        <w:rPr>
          <w:rFonts w:ascii="Arial" w:eastAsia="Times New Roman" w:hAnsi="Arial" w:cs="Arial"/>
          <w:sz w:val="20"/>
          <w:szCs w:val="20"/>
        </w:rPr>
        <w:t>[8]</w:t>
      </w:r>
      <w:r w:rsidRPr="0097590B">
        <w:rPr>
          <w:rFonts w:ascii="Arial" w:eastAsia="Times New Roman" w:hAnsi="Arial" w:cs="Arial"/>
          <w:sz w:val="20"/>
          <w:szCs w:val="20"/>
        </w:rPr>
        <w:t xml:space="preserve">. This boundary suggests the PG is not merely a crossover but a distinct quantum phase. The phase diagram in </w:t>
      </w:r>
      <w:r w:rsidRPr="0097590B">
        <w:rPr>
          <w:rFonts w:ascii="Arial" w:eastAsia="Times New Roman" w:hAnsi="Arial" w:cs="Arial"/>
          <w:b/>
          <w:bCs/>
          <w:sz w:val="20"/>
          <w:szCs w:val="20"/>
        </w:rPr>
        <w:t>Figure 1</w:t>
      </w:r>
      <w:r w:rsidRPr="0097590B">
        <w:rPr>
          <w:rFonts w:ascii="Arial" w:eastAsia="Times New Roman" w:hAnsi="Arial" w:cs="Arial"/>
          <w:sz w:val="20"/>
          <w:szCs w:val="20"/>
        </w:rPr>
        <w:t xml:space="preserve"> illustrates this landscape - the PG spans from the antiferromagnetic (AFM) insulator to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7590B">
        <w:rPr>
          <w:rFonts w:ascii="Arial" w:eastAsia="Times New Roman" w:hAnsi="Arial" w:cs="Arial"/>
          <w:sz w:val="20"/>
          <w:szCs w:val="20"/>
        </w:rPr>
        <w:t>, with the superc</w:t>
      </w:r>
      <w:r w:rsidR="00C776BC">
        <w:rPr>
          <w:rFonts w:ascii="Arial" w:eastAsia="Times New Roman" w:hAnsi="Arial" w:cs="Arial"/>
          <w:sz w:val="20"/>
          <w:szCs w:val="20"/>
        </w:rPr>
        <w:t xml:space="preserve">onducting dome embedded inside </w:t>
      </w:r>
      <w:r w:rsidR="00D36826">
        <w:rPr>
          <w:rFonts w:ascii="Arial" w:eastAsia="Times New Roman" w:hAnsi="Arial" w:cs="Arial"/>
          <w:sz w:val="20"/>
          <w:szCs w:val="20"/>
        </w:rPr>
        <w:t>[7]</w:t>
      </w:r>
      <w:r w:rsidRPr="0097590B">
        <w:rPr>
          <w:rFonts w:ascii="Arial" w:eastAsia="Times New Roman" w:hAnsi="Arial" w:cs="Arial"/>
          <w:sz w:val="20"/>
          <w:szCs w:val="20"/>
        </w:rPr>
        <w:t xml:space="preserve">; </w:t>
      </w:r>
      <w:r w:rsidR="00D36826">
        <w:rPr>
          <w:rFonts w:ascii="Arial" w:eastAsia="Times New Roman" w:hAnsi="Arial" w:cs="Arial"/>
          <w:sz w:val="20"/>
          <w:szCs w:val="20"/>
        </w:rPr>
        <w:t>[8]</w:t>
      </w:r>
      <w:r w:rsidRPr="0097590B">
        <w:rPr>
          <w:rFonts w:ascii="Arial" w:eastAsia="Times New Roman" w:hAnsi="Arial" w:cs="Arial"/>
          <w:sz w:val="20"/>
          <w:szCs w:val="20"/>
        </w:rPr>
        <w:t>. This visual framework supports theoretical proposals that the PG reflects a broken-symmet</w:t>
      </w:r>
      <w:r w:rsidR="00C776BC">
        <w:rPr>
          <w:rFonts w:ascii="Arial" w:eastAsia="Times New Roman" w:hAnsi="Arial" w:cs="Arial"/>
          <w:sz w:val="20"/>
          <w:szCs w:val="20"/>
        </w:rPr>
        <w:t xml:space="preserve">ry phase with its own identity </w:t>
      </w:r>
      <w:r w:rsidR="00D36826">
        <w:rPr>
          <w:rFonts w:ascii="Arial" w:eastAsia="Times New Roman" w:hAnsi="Arial" w:cs="Arial"/>
          <w:sz w:val="20"/>
          <w:szCs w:val="20"/>
        </w:rPr>
        <w:t>[9]</w:t>
      </w:r>
      <w:r w:rsidRPr="0097590B">
        <w:rPr>
          <w:rFonts w:ascii="Arial" w:eastAsia="Times New Roman" w:hAnsi="Arial" w:cs="Arial"/>
          <w:sz w:val="20"/>
          <w:szCs w:val="20"/>
        </w:rPr>
        <w:t xml:space="preserve">; </w:t>
      </w:r>
      <w:r w:rsidR="00D36826">
        <w:rPr>
          <w:rFonts w:ascii="Arial" w:eastAsia="Times New Roman" w:hAnsi="Arial" w:cs="Arial"/>
          <w:sz w:val="20"/>
          <w:szCs w:val="20"/>
        </w:rPr>
        <w:t>[10]</w:t>
      </w:r>
      <w:r w:rsidRPr="0097590B">
        <w:rPr>
          <w:rFonts w:ascii="Arial" w:eastAsia="Times New Roman" w:hAnsi="Arial" w:cs="Arial"/>
          <w:sz w:val="20"/>
          <w:szCs w:val="20"/>
        </w:rPr>
        <w:t>.</w:t>
      </w:r>
    </w:p>
    <w:p w14:paraId="3F0DAC75" w14:textId="77777777" w:rsidR="00C40ECA" w:rsidRDefault="00C40ECA" w:rsidP="00C40ECA">
      <w:pPr>
        <w:spacing w:before="100" w:beforeAutospacing="1" w:after="100" w:afterAutospacing="1" w:line="240" w:lineRule="auto"/>
        <w:jc w:val="center"/>
        <w:rPr>
          <w:rFonts w:ascii="Times New Roman" w:eastAsia="Times New Roman" w:hAnsi="Times New Roman" w:cs="Times New Roman"/>
          <w:kern w:val="0"/>
        </w:rPr>
      </w:pPr>
      <w:r w:rsidRPr="00056E68">
        <w:rPr>
          <w:rFonts w:ascii="Times New Roman" w:eastAsia="Times New Roman" w:hAnsi="Times New Roman" w:cs="Times New Roman"/>
          <w:noProof/>
          <w:kern w:val="0"/>
        </w:rPr>
        <w:lastRenderedPageBreak/>
        <w:drawing>
          <wp:inline distT="0" distB="0" distL="0" distR="0" wp14:anchorId="1102A03E" wp14:editId="2CCA2AAA">
            <wp:extent cx="4171950" cy="3621430"/>
            <wp:effectExtent l="19050" t="0" r="0" b="0"/>
            <wp:docPr id="2" name="Picture 15" descr="C:\Users\DELL\Downloads\Phase-diagram-of-cuprate-superconductors-Schematic-phase-diagram-of-cup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wnloads\Phase-diagram-of-cuprate-superconductors-Schematic-phase-diagram-of-cuprate.png"/>
                    <pic:cNvPicPr>
                      <a:picLocks noChangeAspect="1" noChangeArrowheads="1"/>
                    </pic:cNvPicPr>
                  </pic:nvPicPr>
                  <pic:blipFill>
                    <a:blip r:embed="rId8" cstate="print"/>
                    <a:srcRect/>
                    <a:stretch>
                      <a:fillRect/>
                    </a:stretch>
                  </pic:blipFill>
                  <pic:spPr bwMode="auto">
                    <a:xfrm>
                      <a:off x="0" y="0"/>
                      <a:ext cx="4191417" cy="3638329"/>
                    </a:xfrm>
                    <a:prstGeom prst="rect">
                      <a:avLst/>
                    </a:prstGeom>
                    <a:noFill/>
                    <a:ln w="9525">
                      <a:noFill/>
                      <a:miter lim="800000"/>
                      <a:headEnd/>
                      <a:tailEnd/>
                    </a:ln>
                  </pic:spPr>
                </pic:pic>
              </a:graphicData>
            </a:graphic>
          </wp:inline>
        </w:drawing>
      </w:r>
    </w:p>
    <w:p w14:paraId="0A9DD91A" w14:textId="77777777" w:rsidR="009F60B9" w:rsidRPr="0097590B" w:rsidRDefault="00C40ECA" w:rsidP="0097590B">
      <w:pPr>
        <w:spacing w:line="240" w:lineRule="auto"/>
        <w:jc w:val="both"/>
        <w:rPr>
          <w:rFonts w:ascii="Arial" w:eastAsia="Times New Roman" w:hAnsi="Arial" w:cs="Arial"/>
          <w:kern w:val="0"/>
          <w:sz w:val="20"/>
          <w:szCs w:val="20"/>
        </w:rPr>
      </w:pPr>
      <w:r w:rsidRPr="0097590B">
        <w:rPr>
          <w:rStyle w:val="Emphasis"/>
          <w:rFonts w:ascii="Arial" w:hAnsi="Arial" w:cs="Arial"/>
          <w:b/>
          <w:sz w:val="20"/>
          <w:szCs w:val="20"/>
        </w:rPr>
        <w:t>Figure 1</w:t>
      </w:r>
      <w:r w:rsidRPr="0097590B">
        <w:rPr>
          <w:rStyle w:val="Emphasis"/>
          <w:rFonts w:ascii="Arial" w:hAnsi="Arial" w:cs="Arial"/>
          <w:sz w:val="20"/>
          <w:szCs w:val="20"/>
        </w:rPr>
        <w:t xml:space="preserve">: Schematic phase diagram of </w:t>
      </w:r>
      <w:proofErr w:type="spellStart"/>
      <w:r w:rsidRPr="0097590B">
        <w:rPr>
          <w:rStyle w:val="Emphasis"/>
          <w:rFonts w:ascii="Arial" w:hAnsi="Arial" w:cs="Arial"/>
          <w:sz w:val="20"/>
          <w:szCs w:val="20"/>
        </w:rPr>
        <w:t>cuprate</w:t>
      </w:r>
      <w:proofErr w:type="spellEnd"/>
      <w:r w:rsidRPr="0097590B">
        <w:rPr>
          <w:rStyle w:val="Emphasis"/>
          <w:rFonts w:ascii="Arial" w:hAnsi="Arial" w:cs="Arial"/>
          <w:sz w:val="20"/>
          <w:szCs w:val="20"/>
        </w:rPr>
        <w:t xml:space="preserve"> superconductors showing temperature versus hole doping concentration. Key phases include the antiferromagnetic (AFM) insulator, </w:t>
      </w:r>
      <w:proofErr w:type="spellStart"/>
      <w:r w:rsidRPr="0097590B">
        <w:rPr>
          <w:rStyle w:val="Emphasis"/>
          <w:rFonts w:ascii="Arial" w:hAnsi="Arial" w:cs="Arial"/>
          <w:sz w:val="20"/>
          <w:szCs w:val="20"/>
        </w:rPr>
        <w:t>pseudogap</w:t>
      </w:r>
      <w:proofErr w:type="spellEnd"/>
      <w:r w:rsidRPr="0097590B">
        <w:rPr>
          <w:rStyle w:val="Emphasis"/>
          <w:rFonts w:ascii="Arial" w:hAnsi="Arial" w:cs="Arial"/>
          <w:sz w:val="20"/>
          <w:szCs w:val="20"/>
        </w:rPr>
        <w:t xml:space="preserve"> region, superconducting dome, and metallic state. Critical points are marked: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p</m:t>
            </m:r>
          </m:e>
          <m:sub>
            <m:r>
              <w:rPr>
                <w:rStyle w:val="Emphasis"/>
                <w:rFonts w:ascii="Cambria Math" w:hAnsi="Cambria Math" w:cs="Arial"/>
                <w:sz w:val="20"/>
                <w:szCs w:val="20"/>
              </w:rPr>
              <m:t>s</m:t>
            </m:r>
          </m:sub>
        </m:sSub>
      </m:oMath>
      <w:r w:rsidRPr="0097590B">
        <w:rPr>
          <w:rStyle w:val="Emphasis"/>
          <w:rFonts w:ascii="Arial" w:hAnsi="Arial" w:cs="Arial"/>
          <w:sz w:val="20"/>
          <w:szCs w:val="20"/>
        </w:rPr>
        <w:t xml:space="preserve"> (onset doping),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p</m:t>
            </m:r>
          </m:e>
          <m:sub>
            <m:r>
              <w:rPr>
                <w:rStyle w:val="Emphasis"/>
                <w:rFonts w:ascii="Cambria Math" w:hAnsi="Cambria Math" w:cs="Arial"/>
                <w:sz w:val="20"/>
                <w:szCs w:val="20"/>
              </w:rPr>
              <m:t>c</m:t>
            </m:r>
          </m:sub>
        </m:sSub>
      </m:oMath>
      <w:r w:rsidRPr="0097590B">
        <w:rPr>
          <w:rStyle w:val="Emphasis"/>
          <w:rFonts w:ascii="Arial" w:hAnsi="Arial" w:cs="Arial"/>
          <w:sz w:val="20"/>
          <w:szCs w:val="20"/>
        </w:rPr>
        <w:t xml:space="preserve"> (optimal doping), and </w:t>
      </w:r>
      <m:oMath>
        <m:sSup>
          <m:sSupPr>
            <m:ctrlPr>
              <w:rPr>
                <w:rStyle w:val="Emphasis"/>
                <w:rFonts w:ascii="Cambria Math" w:hAnsi="Arial" w:cs="Arial"/>
                <w:i w:val="0"/>
                <w:iCs w:val="0"/>
                <w:sz w:val="20"/>
                <w:szCs w:val="20"/>
              </w:rPr>
            </m:ctrlPr>
          </m:sSupPr>
          <m:e>
            <m:r>
              <w:rPr>
                <w:rStyle w:val="Emphasis"/>
                <w:rFonts w:ascii="Cambria Math" w:hAnsi="Cambria Math" w:cs="Arial"/>
                <w:sz w:val="20"/>
                <w:szCs w:val="20"/>
              </w:rPr>
              <m:t>p</m:t>
            </m:r>
          </m:e>
          <m:sup>
            <m:r>
              <w:rPr>
                <w:rStyle w:val="Emphasis"/>
                <w:rFonts w:ascii="Arial" w:hAnsi="Cambria Math" w:cs="Arial"/>
                <w:sz w:val="20"/>
                <w:szCs w:val="20"/>
              </w:rPr>
              <m:t>*</m:t>
            </m:r>
          </m:sup>
        </m:sSup>
      </m:oMath>
      <w:r w:rsidRPr="0097590B">
        <w:rPr>
          <w:rFonts w:ascii="Arial" w:hAnsi="Arial" w:cs="Arial"/>
          <w:sz w:val="20"/>
          <w:szCs w:val="20"/>
        </w:rPr>
        <w:t xml:space="preserve"> </w:t>
      </w:r>
      <w:r w:rsidRPr="0097590B">
        <w:rPr>
          <w:rStyle w:val="Emphasis"/>
          <w:rFonts w:ascii="Arial" w:hAnsi="Arial" w:cs="Arial"/>
          <w:sz w:val="20"/>
          <w:szCs w:val="20"/>
        </w:rPr>
        <w:t xml:space="preserve"> (critical doping), with temperature scales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T</m:t>
            </m:r>
          </m:e>
          <m:sub>
            <m:r>
              <w:rPr>
                <w:rStyle w:val="Emphasis"/>
                <w:rFonts w:ascii="Cambria Math" w:hAnsi="Cambria Math" w:cs="Arial"/>
                <w:sz w:val="20"/>
                <w:szCs w:val="20"/>
              </w:rPr>
              <m:t>N</m:t>
            </m:r>
          </m:sub>
        </m:sSub>
      </m:oMath>
      <w:r w:rsidRPr="0097590B">
        <w:rPr>
          <w:rStyle w:val="Emphasis"/>
          <w:rFonts w:ascii="Arial" w:hAnsi="Arial" w:cs="Arial"/>
          <w:sz w:val="20"/>
          <w:szCs w:val="20"/>
        </w:rPr>
        <w:t xml:space="preserve">  (Néel temperature), </w:t>
      </w:r>
      <m:oMath>
        <m:sSub>
          <m:sSubPr>
            <m:ctrlPr>
              <w:rPr>
                <w:rStyle w:val="Emphasis"/>
                <w:rFonts w:ascii="Cambria Math" w:hAnsi="Arial" w:cs="Arial"/>
                <w:i w:val="0"/>
                <w:iCs w:val="0"/>
                <w:sz w:val="20"/>
                <w:szCs w:val="20"/>
              </w:rPr>
            </m:ctrlPr>
          </m:sSubPr>
          <m:e>
            <m:r>
              <w:rPr>
                <w:rStyle w:val="Emphasis"/>
                <w:rFonts w:ascii="Cambria Math" w:hAnsi="Cambria Math" w:cs="Arial"/>
                <w:sz w:val="20"/>
                <w:szCs w:val="20"/>
              </w:rPr>
              <m:t>T</m:t>
            </m:r>
          </m:e>
          <m:sub>
            <m:r>
              <w:rPr>
                <w:rStyle w:val="Emphasis"/>
                <w:rFonts w:ascii="Cambria Math" w:hAnsi="Cambria Math" w:cs="Arial"/>
                <w:sz w:val="20"/>
                <w:szCs w:val="20"/>
              </w:rPr>
              <m:t>c</m:t>
            </m:r>
          </m:sub>
        </m:sSub>
      </m:oMath>
      <w:r w:rsidRPr="0097590B">
        <w:rPr>
          <w:rStyle w:val="Emphasis"/>
          <w:rFonts w:ascii="Arial" w:hAnsi="Arial" w:cs="Arial"/>
          <w:sz w:val="20"/>
          <w:szCs w:val="20"/>
        </w:rPr>
        <w:t xml:space="preserve"> (superconducting transition temperature), and </w:t>
      </w:r>
      <m:oMath>
        <m:sSup>
          <m:sSupPr>
            <m:ctrlPr>
              <w:rPr>
                <w:rStyle w:val="Emphasis"/>
                <w:rFonts w:ascii="Cambria Math" w:hAnsi="Arial" w:cs="Arial"/>
                <w:i w:val="0"/>
                <w:iCs w:val="0"/>
                <w:sz w:val="20"/>
                <w:szCs w:val="20"/>
              </w:rPr>
            </m:ctrlPr>
          </m:sSupPr>
          <m:e>
            <m:r>
              <w:rPr>
                <w:rStyle w:val="Emphasis"/>
                <w:rFonts w:ascii="Cambria Math" w:hAnsi="Cambria Math" w:cs="Arial"/>
                <w:sz w:val="20"/>
                <w:szCs w:val="20"/>
              </w:rPr>
              <m:t>T</m:t>
            </m:r>
          </m:e>
          <m:sup>
            <m:r>
              <w:rPr>
                <w:rStyle w:val="Emphasis"/>
                <w:rFonts w:ascii="Arial" w:hAnsi="Cambria Math" w:cs="Arial"/>
                <w:sz w:val="20"/>
                <w:szCs w:val="20"/>
              </w:rPr>
              <m:t>*</m:t>
            </m:r>
          </m:sup>
        </m:sSup>
      </m:oMath>
      <w:r w:rsidRPr="0097590B">
        <w:rPr>
          <w:rFonts w:ascii="Arial" w:hAnsi="Arial" w:cs="Arial"/>
          <w:sz w:val="20"/>
          <w:szCs w:val="20"/>
        </w:rPr>
        <w:t xml:space="preserve"> </w:t>
      </w:r>
      <w:r w:rsidRPr="0097590B">
        <w:rPr>
          <w:rFonts w:ascii="Arial" w:hAnsi="Arial" w:cs="Arial"/>
          <w:i/>
          <w:sz w:val="20"/>
          <w:szCs w:val="20"/>
        </w:rPr>
        <w:t>(</w:t>
      </w:r>
      <w:proofErr w:type="spellStart"/>
      <w:r w:rsidRPr="0097590B">
        <w:rPr>
          <w:rFonts w:ascii="Arial" w:hAnsi="Arial" w:cs="Arial"/>
          <w:i/>
          <w:sz w:val="20"/>
          <w:szCs w:val="20"/>
        </w:rPr>
        <w:t>pseudogap</w:t>
      </w:r>
      <w:proofErr w:type="spellEnd"/>
      <w:r w:rsidRPr="0097590B">
        <w:rPr>
          <w:rFonts w:ascii="Arial" w:hAnsi="Arial" w:cs="Arial"/>
          <w:i/>
          <w:sz w:val="20"/>
          <w:szCs w:val="20"/>
        </w:rPr>
        <w:t xml:space="preserve"> onset temperature)</w:t>
      </w:r>
      <w:r w:rsidR="009F60B9" w:rsidRPr="0097590B">
        <w:rPr>
          <w:rFonts w:ascii="Arial" w:hAnsi="Arial" w:cs="Arial"/>
          <w:i/>
          <w:sz w:val="20"/>
          <w:szCs w:val="20"/>
        </w:rPr>
        <w:t xml:space="preserve">, Adapted from </w:t>
      </w:r>
      <w:r w:rsidR="00D36826">
        <w:rPr>
          <w:rFonts w:ascii="Arial" w:hAnsi="Arial" w:cs="Arial"/>
          <w:sz w:val="20"/>
          <w:szCs w:val="20"/>
        </w:rPr>
        <w:t>[11]</w:t>
      </w:r>
      <w:r w:rsidR="009F60B9" w:rsidRPr="0097590B">
        <w:rPr>
          <w:rFonts w:ascii="Arial" w:hAnsi="Arial" w:cs="Arial"/>
          <w:sz w:val="20"/>
          <w:szCs w:val="20"/>
        </w:rPr>
        <w:t>.</w:t>
      </w:r>
    </w:p>
    <w:p w14:paraId="649E70B1" w14:textId="77777777"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A major challenge lies in reconciling discrepancies between experimental probes, where transport studies suggest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232BE6">
        <w:rPr>
          <w:rFonts w:ascii="Arial" w:eastAsia="Times New Roman" w:hAnsi="Arial" w:cs="Arial"/>
          <w:sz w:val="20"/>
          <w:szCs w:val="20"/>
        </w:rPr>
        <w:t xml:space="preserve"> </w:t>
      </w:r>
      <w:r w:rsidR="00D36826">
        <w:rPr>
          <w:rFonts w:ascii="Arial" w:eastAsia="Times New Roman" w:hAnsi="Arial" w:cs="Arial"/>
          <w:sz w:val="20"/>
          <w:szCs w:val="20"/>
        </w:rPr>
        <w:t>[12]</w:t>
      </w:r>
      <w:r w:rsidRPr="0097590B">
        <w:rPr>
          <w:rFonts w:ascii="Arial" w:eastAsia="Times New Roman" w:hAnsi="Arial" w:cs="Arial"/>
          <w:sz w:val="20"/>
          <w:szCs w:val="20"/>
        </w:rPr>
        <w:t xml:space="preserve">, spectroscopic measurements yield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0.22</m:t>
        </m:r>
      </m:oMath>
      <w:r w:rsidR="00232BE6">
        <w:rPr>
          <w:rFonts w:ascii="Arial" w:eastAsia="Times New Roman" w:hAnsi="Arial" w:cs="Arial"/>
          <w:sz w:val="20"/>
          <w:szCs w:val="20"/>
        </w:rPr>
        <w:t xml:space="preserve"> </w:t>
      </w:r>
      <w:r w:rsidR="00D36826">
        <w:rPr>
          <w:rFonts w:ascii="Arial" w:eastAsia="Times New Roman" w:hAnsi="Arial" w:cs="Arial"/>
          <w:sz w:val="20"/>
          <w:szCs w:val="20"/>
        </w:rPr>
        <w:t>[13]</w:t>
      </w:r>
      <w:r w:rsidRPr="0097590B">
        <w:rPr>
          <w:rFonts w:ascii="Arial" w:eastAsia="Times New Roman" w:hAnsi="Arial" w:cs="Arial"/>
          <w:sz w:val="20"/>
          <w:szCs w:val="20"/>
        </w:rPr>
        <w:t xml:space="preserve">, while symmetry-breaking studies report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0.23</m:t>
        </m:r>
      </m:oMath>
      <w:r w:rsidR="00232BE6">
        <w:rPr>
          <w:rFonts w:ascii="Arial" w:eastAsia="Times New Roman" w:hAnsi="Arial" w:cs="Arial"/>
          <w:sz w:val="20"/>
          <w:szCs w:val="20"/>
        </w:rPr>
        <w:t xml:space="preserve"> [14]</w:t>
      </w:r>
      <w:r w:rsidRPr="0097590B">
        <w:rPr>
          <w:rFonts w:ascii="Arial" w:eastAsia="Times New Roman" w:hAnsi="Arial" w:cs="Arial"/>
          <w:sz w:val="20"/>
          <w:szCs w:val="20"/>
        </w:rPr>
        <w:t xml:space="preserve">. These systematic differences likely reflect distinct spatial and dynamical sensitivities rather than experimental uncertainty. Temperature scaling is also material-dependent, yet often follows a universal relation: </w:t>
      </w:r>
      <m:oMath>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T</m:t>
            </m:r>
          </m:e>
          <m:sup>
            <m:r>
              <w:rPr>
                <w:rFonts w:ascii="Arial" w:eastAsia="Times New Roman" w:hAnsi="Cambria Math" w:cs="Arial"/>
                <w:kern w:val="0"/>
                <w:sz w:val="20"/>
                <w:szCs w:val="20"/>
              </w:rPr>
              <m:t>*</m:t>
            </m:r>
          </m:sup>
        </m:sSup>
        <m:r>
          <w:rPr>
            <w:rFonts w:ascii="Cambria Math" w:hAnsi="Cambria Math" w:cs="Arial"/>
            <w:kern w:val="0"/>
            <w:sz w:val="20"/>
            <w:szCs w:val="20"/>
          </w:rPr>
          <m:t>∝</m:t>
        </m:r>
        <m:d>
          <m:dPr>
            <m:ctrlPr>
              <w:rPr>
                <w:rFonts w:ascii="Cambria Math" w:hAnsi="Arial" w:cs="Arial"/>
                <w:i/>
                <w:kern w:val="0"/>
                <w:sz w:val="20"/>
                <w:szCs w:val="20"/>
              </w:rPr>
            </m:ctrlPr>
          </m:dPr>
          <m:e>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p</m:t>
                </m:r>
              </m:e>
              <m:sup>
                <m:r>
                  <w:rPr>
                    <w:rFonts w:ascii="Arial" w:eastAsia="Times New Roman" w:hAnsi="Cambria Math" w:cs="Arial"/>
                    <w:kern w:val="0"/>
                    <w:sz w:val="20"/>
                    <w:szCs w:val="20"/>
                  </w:rPr>
                  <m:t>*</m:t>
                </m:r>
              </m:sup>
            </m:sSup>
            <m:r>
              <w:rPr>
                <w:rFonts w:ascii="Arial" w:eastAsia="Times New Roman" w:hAnsi="Arial" w:cs="Arial"/>
                <w:kern w:val="0"/>
                <w:sz w:val="20"/>
                <w:szCs w:val="20"/>
              </w:rPr>
              <m:t>-</m:t>
            </m:r>
            <m:r>
              <w:rPr>
                <w:rFonts w:ascii="Cambria Math" w:eastAsia="Times New Roman" w:hAnsi="Cambria Math" w:cs="Arial"/>
                <w:kern w:val="0"/>
                <w:sz w:val="20"/>
                <w:szCs w:val="20"/>
              </w:rPr>
              <m:t>p</m:t>
            </m:r>
            <m:ctrlPr>
              <w:rPr>
                <w:rFonts w:ascii="Cambria Math" w:eastAsia="Times New Roman" w:hAnsi="Arial" w:cs="Arial"/>
                <w:i/>
                <w:kern w:val="0"/>
                <w:sz w:val="20"/>
                <w:szCs w:val="20"/>
              </w:rPr>
            </m:ctrlPr>
          </m:e>
        </m:d>
      </m:oMath>
      <w:r w:rsidRPr="0097590B">
        <w:rPr>
          <w:rFonts w:ascii="Arial" w:eastAsia="Times New Roman" w:hAnsi="Arial" w:cs="Arial"/>
          <w:sz w:val="20"/>
          <w:szCs w:val="20"/>
        </w:rPr>
        <w:t>linking the doping and onset</w:t>
      </w:r>
      <w:r w:rsidR="00232BE6">
        <w:rPr>
          <w:rFonts w:ascii="Arial" w:eastAsia="Times New Roman" w:hAnsi="Arial" w:cs="Arial"/>
          <w:sz w:val="20"/>
          <w:szCs w:val="20"/>
        </w:rPr>
        <w:t xml:space="preserve"> temperature </w:t>
      </w:r>
      <w:r w:rsidR="00D36826">
        <w:rPr>
          <w:rFonts w:ascii="Arial" w:eastAsia="Times New Roman" w:hAnsi="Arial" w:cs="Arial"/>
          <w:sz w:val="20"/>
          <w:szCs w:val="20"/>
        </w:rPr>
        <w:t>[15]</w:t>
      </w:r>
      <w:r w:rsidRPr="0097590B">
        <w:rPr>
          <w:rFonts w:ascii="Arial" w:eastAsia="Times New Roman" w:hAnsi="Arial" w:cs="Arial"/>
          <w:sz w:val="20"/>
          <w:szCs w:val="20"/>
        </w:rPr>
        <w:t xml:space="preserve">; </w:t>
      </w:r>
      <w:r w:rsidR="00D36826">
        <w:rPr>
          <w:rFonts w:ascii="Arial" w:eastAsia="Times New Roman" w:hAnsi="Arial" w:cs="Arial"/>
          <w:sz w:val="20"/>
          <w:szCs w:val="20"/>
        </w:rPr>
        <w:t>[16]</w:t>
      </w:r>
      <w:r w:rsidRPr="0097590B">
        <w:rPr>
          <w:rFonts w:ascii="Arial" w:eastAsia="Times New Roman" w:hAnsi="Arial" w:cs="Arial"/>
          <w:sz w:val="20"/>
          <w:szCs w:val="20"/>
        </w:rPr>
        <w:t>.</w:t>
      </w:r>
    </w:p>
    <w:p w14:paraId="2D56239F" w14:textId="77777777"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Theoretical frameworks propose that the PG reflects a quantum phase transition. Yang and Li (2024) suggest a crossover from a doped Mott insulator with RVB </w:t>
      </w:r>
      <w:proofErr w:type="spellStart"/>
      <w:r w:rsidRPr="0097590B">
        <w:rPr>
          <w:rFonts w:ascii="Arial" w:eastAsia="Times New Roman" w:hAnsi="Arial" w:cs="Arial"/>
          <w:sz w:val="20"/>
          <w:szCs w:val="20"/>
        </w:rPr>
        <w:t>spinon</w:t>
      </w:r>
      <w:proofErr w:type="spellEnd"/>
      <w:r w:rsidRPr="0097590B">
        <w:rPr>
          <w:rFonts w:ascii="Arial" w:eastAsia="Times New Roman" w:hAnsi="Arial" w:cs="Arial"/>
          <w:sz w:val="20"/>
          <w:szCs w:val="20"/>
        </w:rPr>
        <w:t xml:space="preserve"> pairing to a fragile BCS-like Fermi liquid, consistent with the observed breakdown of d-wave superconductivity near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7590B">
        <w:rPr>
          <w:rFonts w:ascii="Arial" w:eastAsia="Times New Roman" w:hAnsi="Arial" w:cs="Arial"/>
          <w:sz w:val="20"/>
          <w:szCs w:val="20"/>
        </w:rPr>
        <w:t>. Competing interpreta</w:t>
      </w:r>
      <w:r w:rsidR="00232BE6">
        <w:rPr>
          <w:rFonts w:ascii="Arial" w:eastAsia="Times New Roman" w:hAnsi="Arial" w:cs="Arial"/>
          <w:sz w:val="20"/>
          <w:szCs w:val="20"/>
        </w:rPr>
        <w:t xml:space="preserve">tions include hidden magnetism </w:t>
      </w:r>
      <w:r w:rsidR="00D36826">
        <w:rPr>
          <w:rFonts w:ascii="Arial" w:eastAsia="Times New Roman" w:hAnsi="Arial" w:cs="Arial"/>
          <w:sz w:val="20"/>
          <w:szCs w:val="20"/>
        </w:rPr>
        <w:t>[17]</w:t>
      </w:r>
      <w:r w:rsidRPr="0097590B">
        <w:rPr>
          <w:rFonts w:ascii="Arial" w:eastAsia="Times New Roman" w:hAnsi="Arial" w:cs="Arial"/>
          <w:sz w:val="20"/>
          <w:szCs w:val="20"/>
        </w:rPr>
        <w:t>,</w:t>
      </w:r>
      <w:r w:rsidR="00232BE6">
        <w:rPr>
          <w:rFonts w:ascii="Arial" w:eastAsia="Times New Roman" w:hAnsi="Arial" w:cs="Arial"/>
          <w:sz w:val="20"/>
          <w:szCs w:val="20"/>
        </w:rPr>
        <w:t xml:space="preserve"> short-range spin correlations </w:t>
      </w:r>
      <w:r w:rsidR="00EF0D5C">
        <w:rPr>
          <w:rFonts w:ascii="Arial" w:eastAsia="Times New Roman" w:hAnsi="Arial" w:cs="Arial"/>
          <w:sz w:val="20"/>
          <w:szCs w:val="20"/>
        </w:rPr>
        <w:t>[5]</w:t>
      </w:r>
      <w:r w:rsidRPr="0097590B">
        <w:rPr>
          <w:rFonts w:ascii="Arial" w:eastAsia="Times New Roman" w:hAnsi="Arial" w:cs="Arial"/>
          <w:sz w:val="20"/>
          <w:szCs w:val="20"/>
        </w:rPr>
        <w:t>, and</w:t>
      </w:r>
      <w:r w:rsidR="00232BE6">
        <w:rPr>
          <w:rFonts w:ascii="Arial" w:eastAsia="Times New Roman" w:hAnsi="Arial" w:cs="Arial"/>
          <w:sz w:val="20"/>
          <w:szCs w:val="20"/>
        </w:rPr>
        <w:t xml:space="preserve"> quantum critical fluctuations </w:t>
      </w:r>
      <w:r w:rsidR="00D36826">
        <w:rPr>
          <w:rFonts w:ascii="Arial" w:eastAsia="Times New Roman" w:hAnsi="Arial" w:cs="Arial"/>
          <w:sz w:val="20"/>
          <w:szCs w:val="20"/>
        </w:rPr>
        <w:t>[10]</w:t>
      </w:r>
      <w:r w:rsidRPr="0097590B">
        <w:rPr>
          <w:rFonts w:ascii="Arial" w:eastAsia="Times New Roman" w:hAnsi="Arial" w:cs="Arial"/>
          <w:sz w:val="20"/>
          <w:szCs w:val="20"/>
        </w:rPr>
        <w:t xml:space="preserve">. </w:t>
      </w:r>
      <w:proofErr w:type="spellStart"/>
      <w:r w:rsidRPr="0097590B">
        <w:rPr>
          <w:rFonts w:ascii="Arial" w:eastAsia="Times New Roman" w:hAnsi="Arial" w:cs="Arial"/>
          <w:sz w:val="20"/>
          <w:szCs w:val="20"/>
        </w:rPr>
        <w:t>Julià-Farré</w:t>
      </w:r>
      <w:proofErr w:type="spellEnd"/>
      <w:r w:rsidRPr="0097590B">
        <w:rPr>
          <w:rFonts w:ascii="Arial" w:eastAsia="Times New Roman" w:hAnsi="Arial" w:cs="Arial"/>
          <w:sz w:val="20"/>
          <w:szCs w:val="20"/>
        </w:rPr>
        <w:t xml:space="preserve"> et al. (2020) argue for an intertwined origin involving spin, charge, and superconducting orders, suggesting the PG is not a single mechanism but a composite phase.</w:t>
      </w:r>
    </w:p>
    <w:p w14:paraId="5CA16520" w14:textId="77777777" w:rsidR="00C40ECA" w:rsidRPr="0097590B" w:rsidRDefault="00C40ECA" w:rsidP="0097590B">
      <w:pPr>
        <w:spacing w:before="100" w:beforeAutospacing="1" w:after="100" w:afterAutospacing="1" w:line="240" w:lineRule="auto"/>
        <w:jc w:val="both"/>
        <w:rPr>
          <w:rFonts w:ascii="Arial" w:eastAsia="Times New Roman" w:hAnsi="Arial" w:cs="Arial"/>
          <w:sz w:val="20"/>
          <w:szCs w:val="20"/>
        </w:rPr>
      </w:pPr>
      <w:r w:rsidRPr="0097590B">
        <w:rPr>
          <w:rFonts w:ascii="Arial" w:eastAsia="Times New Roman" w:hAnsi="Arial" w:cs="Arial"/>
          <w:sz w:val="20"/>
          <w:szCs w:val="20"/>
        </w:rPr>
        <w:t xml:space="preserve">Notably, the collapse of the PG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7590B">
        <w:rPr>
          <w:rFonts w:ascii="Arial" w:eastAsia="Times New Roman" w:hAnsi="Arial" w:cs="Arial"/>
          <w:sz w:val="20"/>
          <w:szCs w:val="20"/>
        </w:rPr>
        <w:t>coincides with enhanced spin fluctuations, a peak in specific heat, and the onset of strange metallicity</w:t>
      </w:r>
      <w:r w:rsidR="00232BE6">
        <w:rPr>
          <w:rFonts w:ascii="Arial" w:eastAsia="Times New Roman" w:hAnsi="Arial" w:cs="Arial"/>
          <w:sz w:val="20"/>
          <w:szCs w:val="20"/>
        </w:rPr>
        <w:t xml:space="preserve"> </w:t>
      </w:r>
      <w:r w:rsidR="00D36826">
        <w:rPr>
          <w:rFonts w:ascii="Arial" w:eastAsia="Times New Roman" w:hAnsi="Arial" w:cs="Arial"/>
          <w:sz w:val="20"/>
          <w:szCs w:val="20"/>
        </w:rPr>
        <w:t>[10]</w:t>
      </w:r>
      <w:r w:rsidRPr="0097590B">
        <w:rPr>
          <w:rFonts w:ascii="Arial" w:eastAsia="Times New Roman" w:hAnsi="Arial" w:cs="Arial"/>
          <w:sz w:val="20"/>
          <w:szCs w:val="20"/>
        </w:rPr>
        <w:t>. Taken together, these results reinforce the view that the PG is a distinct quantum phase tied to criticality which is central to understanding the unconventional</w:t>
      </w:r>
      <w:r w:rsidR="00232BE6">
        <w:rPr>
          <w:rFonts w:ascii="Arial" w:eastAsia="Times New Roman" w:hAnsi="Arial" w:cs="Arial"/>
          <w:sz w:val="20"/>
          <w:szCs w:val="20"/>
        </w:rPr>
        <w:t xml:space="preserve"> superconductivity of </w:t>
      </w:r>
      <w:proofErr w:type="spellStart"/>
      <w:r w:rsidR="00232BE6">
        <w:rPr>
          <w:rFonts w:ascii="Arial" w:eastAsia="Times New Roman" w:hAnsi="Arial" w:cs="Arial"/>
          <w:sz w:val="20"/>
          <w:szCs w:val="20"/>
        </w:rPr>
        <w:t>cuprates</w:t>
      </w:r>
      <w:proofErr w:type="spellEnd"/>
      <w:r w:rsidR="00232BE6">
        <w:rPr>
          <w:rFonts w:ascii="Arial" w:eastAsia="Times New Roman" w:hAnsi="Arial" w:cs="Arial"/>
          <w:sz w:val="20"/>
          <w:szCs w:val="20"/>
        </w:rPr>
        <w:t xml:space="preserve"> </w:t>
      </w:r>
      <w:r w:rsidR="00D36826">
        <w:rPr>
          <w:rFonts w:ascii="Arial" w:eastAsia="Times New Roman" w:hAnsi="Arial" w:cs="Arial"/>
          <w:sz w:val="20"/>
          <w:szCs w:val="20"/>
        </w:rPr>
        <w:t>[9]</w:t>
      </w:r>
      <w:r w:rsidRPr="0097590B">
        <w:rPr>
          <w:rFonts w:ascii="Arial" w:eastAsia="Times New Roman" w:hAnsi="Arial" w:cs="Arial"/>
          <w:sz w:val="20"/>
          <w:szCs w:val="20"/>
        </w:rPr>
        <w:t xml:space="preserve">; </w:t>
      </w:r>
      <w:r w:rsidR="00D36826">
        <w:rPr>
          <w:rFonts w:ascii="Arial" w:eastAsia="Times New Roman" w:hAnsi="Arial" w:cs="Arial"/>
          <w:sz w:val="20"/>
          <w:szCs w:val="20"/>
        </w:rPr>
        <w:t>[10]</w:t>
      </w:r>
      <w:r w:rsidRPr="0097590B">
        <w:rPr>
          <w:rFonts w:ascii="Arial" w:eastAsia="Times New Roman" w:hAnsi="Arial" w:cs="Arial"/>
          <w:sz w:val="20"/>
          <w:szCs w:val="20"/>
        </w:rPr>
        <w:t>.</w:t>
      </w:r>
    </w:p>
    <w:p w14:paraId="36B158B6" w14:textId="77777777" w:rsidR="00997D85" w:rsidRDefault="00997D85" w:rsidP="00C40ECA">
      <w:pPr>
        <w:spacing w:before="100" w:beforeAutospacing="1" w:after="100" w:afterAutospacing="1" w:line="240" w:lineRule="auto"/>
        <w:outlineLvl w:val="1"/>
        <w:rPr>
          <w:rFonts w:ascii="Arial" w:eastAsia="Times New Roman" w:hAnsi="Arial" w:cs="Arial"/>
          <w:b/>
          <w:bCs/>
          <w:kern w:val="0"/>
          <w:sz w:val="22"/>
          <w:szCs w:val="22"/>
        </w:rPr>
      </w:pPr>
    </w:p>
    <w:p w14:paraId="4CA52106" w14:textId="77777777" w:rsidR="00232BE6" w:rsidRDefault="00232BE6" w:rsidP="00C40ECA">
      <w:pPr>
        <w:spacing w:before="100" w:beforeAutospacing="1" w:after="100" w:afterAutospacing="1" w:line="240" w:lineRule="auto"/>
        <w:outlineLvl w:val="1"/>
        <w:rPr>
          <w:rFonts w:ascii="Arial" w:eastAsia="Times New Roman" w:hAnsi="Arial" w:cs="Arial"/>
          <w:b/>
          <w:bCs/>
          <w:kern w:val="0"/>
          <w:sz w:val="22"/>
          <w:szCs w:val="22"/>
        </w:rPr>
      </w:pPr>
    </w:p>
    <w:p w14:paraId="75F0B406" w14:textId="77777777" w:rsidR="00C40ECA" w:rsidRPr="0097590B" w:rsidRDefault="00C40ECA" w:rsidP="00C40ECA">
      <w:pPr>
        <w:spacing w:before="100" w:beforeAutospacing="1" w:after="100" w:afterAutospacing="1" w:line="240" w:lineRule="auto"/>
        <w:outlineLvl w:val="1"/>
        <w:rPr>
          <w:rFonts w:ascii="Arial" w:eastAsia="Times New Roman" w:hAnsi="Arial" w:cs="Arial"/>
          <w:b/>
          <w:bCs/>
          <w:kern w:val="0"/>
          <w:sz w:val="22"/>
          <w:szCs w:val="22"/>
        </w:rPr>
      </w:pPr>
      <w:r w:rsidRPr="0097590B">
        <w:rPr>
          <w:rFonts w:ascii="Arial" w:eastAsia="Times New Roman" w:hAnsi="Arial" w:cs="Arial"/>
          <w:b/>
          <w:bCs/>
          <w:kern w:val="0"/>
          <w:sz w:val="22"/>
          <w:szCs w:val="22"/>
        </w:rPr>
        <w:lastRenderedPageBreak/>
        <w:t>2.0 EXPERIMENTAL SIGNATURES OF THE PSEUDOGAP</w:t>
      </w:r>
    </w:p>
    <w:p w14:paraId="2E374A02" w14:textId="77777777" w:rsidR="00C40ECA" w:rsidRPr="00997D85" w:rsidRDefault="00C40ECA" w:rsidP="00C40ECA">
      <w:pPr>
        <w:spacing w:before="100" w:beforeAutospacing="1" w:after="100" w:afterAutospacing="1" w:line="240" w:lineRule="auto"/>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2.1. Angle-Resolved Photoemission Spectroscopy (ARPES)</w:t>
      </w:r>
    </w:p>
    <w:p w14:paraId="1A1F0413"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hAnsi="Arial" w:cs="Arial"/>
          <w:sz w:val="20"/>
          <w:szCs w:val="20"/>
        </w:rPr>
        <w:t xml:space="preserve">ARPES provides direct, momentum-resolved insights into the PG, revealing how its anisotropic gap structure and quasiparticle coherence reflect the influence of strong many-body interactions in </w:t>
      </w:r>
      <w:proofErr w:type="spellStart"/>
      <w:proofErr w:type="gramStart"/>
      <w:r w:rsidRPr="00997D85">
        <w:rPr>
          <w:rFonts w:ascii="Arial" w:hAnsi="Arial" w:cs="Arial"/>
          <w:sz w:val="20"/>
          <w:szCs w:val="20"/>
        </w:rPr>
        <w:t>cuprates</w:t>
      </w:r>
      <w:proofErr w:type="spellEnd"/>
      <w:r w:rsidRPr="00997D85">
        <w:rPr>
          <w:rFonts w:ascii="Arial" w:hAnsi="Arial" w:cs="Arial"/>
          <w:sz w:val="20"/>
          <w:szCs w:val="20"/>
        </w:rPr>
        <w:t xml:space="preserve"> </w:t>
      </w:r>
      <w:r w:rsidR="00232BE6">
        <w:rPr>
          <w:rFonts w:ascii="Arial" w:eastAsia="Times New Roman" w:hAnsi="Arial" w:cs="Arial"/>
          <w:sz w:val="20"/>
          <w:szCs w:val="20"/>
        </w:rPr>
        <w:t xml:space="preserve"> </w:t>
      </w:r>
      <w:r w:rsidR="00D36826">
        <w:rPr>
          <w:rFonts w:ascii="Arial" w:eastAsia="Times New Roman" w:hAnsi="Arial" w:cs="Arial"/>
          <w:sz w:val="20"/>
          <w:szCs w:val="20"/>
        </w:rPr>
        <w:t>[</w:t>
      </w:r>
      <w:proofErr w:type="gramEnd"/>
      <w:r w:rsidR="00D36826">
        <w:rPr>
          <w:rFonts w:ascii="Arial" w:eastAsia="Times New Roman" w:hAnsi="Arial" w:cs="Arial"/>
          <w:sz w:val="20"/>
          <w:szCs w:val="20"/>
        </w:rPr>
        <w:t>18]</w:t>
      </w:r>
      <w:r w:rsidRPr="00997D85">
        <w:rPr>
          <w:rFonts w:ascii="Arial" w:eastAsia="Times New Roman" w:hAnsi="Arial" w:cs="Arial"/>
          <w:sz w:val="20"/>
          <w:szCs w:val="20"/>
        </w:rPr>
        <w:t xml:space="preserve">. In electron-doped </w:t>
      </w:r>
      <w:proofErr w:type="spellStart"/>
      <w:r w:rsidRPr="00997D85">
        <w:rPr>
          <w:rFonts w:ascii="Arial" w:eastAsia="Times New Roman" w:hAnsi="Arial" w:cs="Arial"/>
          <w:sz w:val="20"/>
          <w:szCs w:val="20"/>
        </w:rPr>
        <w:t>cuprates</w:t>
      </w:r>
      <w:proofErr w:type="spellEnd"/>
      <w:r w:rsidRPr="00997D85">
        <w:rPr>
          <w:rFonts w:ascii="Arial" w:eastAsia="Times New Roman" w:hAnsi="Arial" w:cs="Arial"/>
          <w:sz w:val="20"/>
          <w:szCs w:val="20"/>
        </w:rPr>
        <w:t xml:space="preserve"> such as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Pr</m:t>
            </m:r>
          </m:e>
          <m:sub>
            <m:r>
              <w:rPr>
                <w:rFonts w:ascii="Cambria Math" w:eastAsia="Times New Roman" w:hAnsi="Arial" w:cs="Arial"/>
                <w:kern w:val="0"/>
                <w:sz w:val="20"/>
                <w:szCs w:val="20"/>
              </w:rPr>
              <m:t>1.3</m:t>
            </m:r>
            <m:r>
              <w:rPr>
                <w:rFonts w:ascii="Arial" w:eastAsia="Times New Roman" w:hAnsi="Arial" w:cs="Arial"/>
                <w:kern w:val="0"/>
                <w:sz w:val="20"/>
                <w:szCs w:val="20"/>
              </w:rPr>
              <m:t>-</m:t>
            </m:r>
            <m:r>
              <w:rPr>
                <w:rFonts w:ascii="Cambria Math" w:eastAsia="Times New Roman" w:hAnsi="Cambria Math" w:cs="Arial"/>
                <w:kern w:val="0"/>
                <w:sz w:val="20"/>
                <w:szCs w:val="20"/>
              </w:rPr>
              <m:t>x</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La</m:t>
            </m:r>
          </m:e>
          <m:sub>
            <m:r>
              <w:rPr>
                <w:rFonts w:ascii="Cambria Math" w:eastAsia="Times New Roman" w:hAnsi="Arial" w:cs="Arial"/>
                <w:kern w:val="0"/>
                <w:sz w:val="20"/>
                <w:szCs w:val="20"/>
              </w:rPr>
              <m:t>0.7</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Ce</m:t>
            </m:r>
          </m:e>
          <m:sub>
            <m:r>
              <w:rPr>
                <w:rFonts w:ascii="Cambria Math" w:eastAsia="Times New Roman" w:hAnsi="Cambria Math" w:cs="Arial"/>
                <w:kern w:val="0"/>
                <w:sz w:val="20"/>
                <w:szCs w:val="20"/>
              </w:rPr>
              <m:t>x</m:t>
            </m:r>
          </m:sub>
        </m:sSub>
        <m:r>
          <w:rPr>
            <w:rFonts w:ascii="Cambria Math" w:eastAsia="Times New Roman" w:hAnsi="Cambria Math" w:cs="Arial"/>
            <w:kern w:val="0"/>
            <w:sz w:val="20"/>
            <w:szCs w:val="20"/>
          </w:rPr>
          <m:t>Cu</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O</m:t>
            </m:r>
          </m:e>
          <m:sub>
            <m:r>
              <w:rPr>
                <w:rFonts w:ascii="Cambria Math" w:eastAsia="Times New Roman" w:hAnsi="Arial" w:cs="Arial"/>
                <w:kern w:val="0"/>
                <w:sz w:val="20"/>
                <w:szCs w:val="20"/>
              </w:rPr>
              <m:t>4</m:t>
            </m:r>
          </m:sub>
        </m:sSub>
      </m:oMath>
      <w:r w:rsidRPr="00997D85">
        <w:rPr>
          <w:rFonts w:ascii="Arial" w:eastAsia="Times New Roman" w:hAnsi="Arial" w:cs="Arial"/>
          <w:sz w:val="20"/>
          <w:szCs w:val="20"/>
        </w:rPr>
        <w:t xml:space="preserve">, </w:t>
      </w:r>
      <w:r w:rsidRPr="00997D85">
        <w:rPr>
          <w:rFonts w:ascii="Arial" w:hAnsi="Arial" w:cs="Arial"/>
          <w:sz w:val="20"/>
          <w:szCs w:val="20"/>
        </w:rPr>
        <w:t xml:space="preserve">Horio et al. (2024) demonstrate that the PG opens across the unfolded Fermi surface while leaving nodal regions largely intact. The gap magnitude increases from the diagonal toward the antinode, a behavior which is inconsistent with simple AFM band-folding but in agreement with cluster dynamical mean-field theory (CDMFT), which attributes the gap to strong electronic correlations </w:t>
      </w:r>
      <w:r w:rsidR="00D36826">
        <w:rPr>
          <w:rFonts w:ascii="Arial" w:eastAsia="Times New Roman" w:hAnsi="Arial" w:cs="Arial"/>
          <w:sz w:val="20"/>
          <w:szCs w:val="20"/>
        </w:rPr>
        <w:t>[18]</w:t>
      </w:r>
      <w:r w:rsidRPr="00997D85">
        <w:rPr>
          <w:rFonts w:ascii="Arial" w:eastAsia="Times New Roman" w:hAnsi="Arial" w:cs="Arial"/>
          <w:sz w:val="20"/>
          <w:szCs w:val="20"/>
        </w:rPr>
        <w:t>.</w:t>
      </w:r>
    </w:p>
    <w:p w14:paraId="32EBFC1C"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Complementary theory using the Two-Particle Self-Consistent (TPSC) approach to the </w:t>
      </w:r>
      <w:r w:rsidRPr="00997D85">
        <w:rPr>
          <w:rFonts w:ascii="Arial" w:hAnsi="Arial" w:cs="Arial"/>
          <w:sz w:val="20"/>
          <w:szCs w:val="20"/>
        </w:rPr>
        <w:t>two-</w:t>
      </w:r>
      <w:proofErr w:type="gramStart"/>
      <w:r w:rsidRPr="00997D85">
        <w:rPr>
          <w:rFonts w:ascii="Arial" w:hAnsi="Arial" w:cs="Arial"/>
          <w:sz w:val="20"/>
          <w:szCs w:val="20"/>
        </w:rPr>
        <w:t xml:space="preserve">dimensional </w:t>
      </w:r>
      <w:r w:rsidRPr="00997D85">
        <w:rPr>
          <w:rFonts w:ascii="Arial" w:eastAsia="Times New Roman" w:hAnsi="Arial" w:cs="Arial"/>
          <w:sz w:val="20"/>
          <w:szCs w:val="20"/>
        </w:rPr>
        <w:t xml:space="preserve"> Hubbard</w:t>
      </w:r>
      <w:proofErr w:type="gramEnd"/>
      <w:r w:rsidRPr="00997D85">
        <w:rPr>
          <w:rFonts w:ascii="Arial" w:eastAsia="Times New Roman" w:hAnsi="Arial" w:cs="Arial"/>
          <w:sz w:val="20"/>
          <w:szCs w:val="20"/>
        </w:rPr>
        <w:t xml:space="preserve"> model shows that an increasing spin correlation length produces a momentum-dependen</w:t>
      </w:r>
      <w:r w:rsidR="00232BE6">
        <w:rPr>
          <w:rFonts w:ascii="Arial" w:eastAsia="Times New Roman" w:hAnsi="Arial" w:cs="Arial"/>
          <w:sz w:val="20"/>
          <w:szCs w:val="20"/>
        </w:rPr>
        <w:t xml:space="preserve">t PG concentrated at antinodes </w:t>
      </w:r>
      <w:r w:rsidR="00D36826">
        <w:rPr>
          <w:rFonts w:ascii="Arial" w:eastAsia="Times New Roman" w:hAnsi="Arial" w:cs="Arial"/>
          <w:sz w:val="20"/>
          <w:szCs w:val="20"/>
        </w:rPr>
        <w:t>[19]</w:t>
      </w:r>
      <w:r w:rsidRPr="00997D85">
        <w:rPr>
          <w:rFonts w:ascii="Arial" w:eastAsia="Times New Roman" w:hAnsi="Arial" w:cs="Arial"/>
          <w:sz w:val="20"/>
          <w:szCs w:val="20"/>
        </w:rPr>
        <w:t>. The TPSC self-energy is</w:t>
      </w:r>
    </w:p>
    <w:p w14:paraId="22338249" w14:textId="77777777" w:rsidR="00C40ECA" w:rsidRPr="00997D85" w:rsidRDefault="00E334FE" w:rsidP="00997D85">
      <w:pPr>
        <w:spacing w:before="100" w:beforeAutospacing="1" w:after="100" w:afterAutospacing="1" w:line="240" w:lineRule="auto"/>
        <w:jc w:val="both"/>
        <w:outlineLvl w:val="2"/>
        <w:rPr>
          <w:rFonts w:ascii="Arial" w:eastAsia="Times New Roman" w:hAnsi="Arial" w:cs="Arial"/>
          <w:kern w:val="0"/>
          <w:sz w:val="20"/>
          <w:szCs w:val="20"/>
        </w:rPr>
      </w:pPr>
      <m:oMathPara>
        <m:oMath>
          <m:nary>
            <m:naryPr>
              <m:chr m:val="∑"/>
              <m:limLoc m:val="undOvr"/>
              <m:subHide m:val="1"/>
              <m:supHide m:val="1"/>
              <m:ctrlPr>
                <w:rPr>
                  <w:rFonts w:ascii="Cambria Math" w:eastAsia="Times New Roman" w:hAnsi="Arial" w:cs="Arial"/>
                  <w:i/>
                  <w:kern w:val="0"/>
                  <w:sz w:val="20"/>
                  <w:szCs w:val="20"/>
                </w:rPr>
              </m:ctrlPr>
            </m:naryPr>
            <m:sub/>
            <m:sup/>
            <m:e>
              <m:d>
                <m:dPr>
                  <m:ctrlPr>
                    <w:rPr>
                      <w:rFonts w:ascii="Cambria Math" w:eastAsia="Times New Roman" w:hAnsi="Arial" w:cs="Arial"/>
                      <w:kern w:val="0"/>
                      <w:sz w:val="20"/>
                      <w:szCs w:val="20"/>
                    </w:rPr>
                  </m:ctrlPr>
                </m:dPr>
                <m:e>
                  <m:r>
                    <m:rPr>
                      <m:sty m:val="b"/>
                    </m:rPr>
                    <w:rPr>
                      <w:rFonts w:ascii="Cambria Math" w:eastAsia="Times New Roman" w:hAnsi="Cambria Math" w:cs="Arial"/>
                      <w:kern w:val="0"/>
                      <w:sz w:val="20"/>
                      <w:szCs w:val="20"/>
                    </w:rPr>
                    <m:t>k</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n</m:t>
                      </m:r>
                    </m:sub>
                  </m:sSub>
                </m:e>
              </m:d>
              <m:r>
                <m:rPr>
                  <m:sty m:val="p"/>
                </m:rPr>
                <w:rPr>
                  <w:rFonts w:ascii="Cambria Math" w:eastAsia="Times New Roman" w:hAnsi="Arial" w:cs="Arial"/>
                  <w:kern w:val="0"/>
                  <w:sz w:val="20"/>
                  <w:szCs w:val="20"/>
                </w:rPr>
                <m:t>=</m:t>
              </m:r>
            </m:e>
          </m:nary>
          <m:sSup>
            <m:sSupPr>
              <m:ctrlPr>
                <w:rPr>
                  <w:rFonts w:ascii="Cambria Math" w:eastAsia="Times New Roman" w:hAnsi="Arial" w:cs="Arial"/>
                  <w:kern w:val="0"/>
                  <w:sz w:val="20"/>
                  <w:szCs w:val="20"/>
                </w:rPr>
              </m:ctrlPr>
            </m:sSupPr>
            <m:e>
              <m:r>
                <m:rPr>
                  <m:sty m:val="p"/>
                </m:rPr>
                <w:rPr>
                  <w:rFonts w:ascii="Cambria Math" w:eastAsia="Times New Roman" w:hAnsi="Arial" w:cs="Arial"/>
                  <w:kern w:val="0"/>
                  <w:sz w:val="20"/>
                  <w:szCs w:val="20"/>
                </w:rPr>
                <m:t>U</m:t>
              </m:r>
            </m:e>
            <m:sup>
              <m:r>
                <m:rPr>
                  <m:sty m:val="p"/>
                </m:rPr>
                <w:rPr>
                  <w:rFonts w:ascii="Cambria Math" w:eastAsia="Times New Roman" w:hAnsi="Arial" w:cs="Arial"/>
                  <w:kern w:val="0"/>
                  <w:sz w:val="20"/>
                  <w:szCs w:val="20"/>
                </w:rPr>
                <m:t>2</m:t>
              </m:r>
            </m:sup>
          </m:sSup>
          <m:r>
            <m:rPr>
              <m:sty m:val="p"/>
            </m:rPr>
            <w:rPr>
              <w:rFonts w:ascii="Cambria Math" w:eastAsia="Times New Roman" w:hAnsi="Arial" w:cs="Arial"/>
              <w:kern w:val="0"/>
              <w:sz w:val="20"/>
              <w:szCs w:val="20"/>
            </w:rPr>
            <m:t>T</m:t>
          </m:r>
          <m:nary>
            <m:naryPr>
              <m:chr m:val="∑"/>
              <m:limLoc m:val="undOvr"/>
              <m:supHide m:val="1"/>
              <m:ctrlPr>
                <w:rPr>
                  <w:rFonts w:ascii="Cambria Math" w:eastAsia="Times New Roman" w:hAnsi="Arial" w:cs="Arial"/>
                  <w:i/>
                  <w:kern w:val="0"/>
                  <w:sz w:val="20"/>
                  <w:szCs w:val="20"/>
                </w:rPr>
              </m:ctrlPr>
            </m:naryPr>
            <m:sub>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m</m:t>
                  </m:r>
                </m:sub>
              </m:sSub>
            </m:sub>
            <m:sup/>
            <m:e>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χ</m:t>
                  </m:r>
                </m:e>
                <m:sub>
                  <m:r>
                    <m:rPr>
                      <m:sty m:val="p"/>
                    </m:rPr>
                    <w:rPr>
                      <w:rFonts w:ascii="Cambria Math" w:eastAsia="Times New Roman" w:hAnsi="Arial" w:cs="Arial"/>
                      <w:kern w:val="0"/>
                      <w:sz w:val="20"/>
                      <w:szCs w:val="20"/>
                    </w:rPr>
                    <m:t>sp</m:t>
                  </m:r>
                </m:sub>
              </m:sSub>
              <m:d>
                <m:dPr>
                  <m:ctrlPr>
                    <w:rPr>
                      <w:rFonts w:ascii="Cambria Math" w:eastAsia="Times New Roman" w:hAnsi="Arial" w:cs="Arial"/>
                      <w:kern w:val="0"/>
                      <w:sz w:val="20"/>
                      <w:szCs w:val="20"/>
                    </w:rPr>
                  </m:ctrlPr>
                </m:dPr>
                <m:e>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m</m:t>
                      </m:r>
                    </m:sub>
                  </m:sSub>
                </m:e>
              </m:d>
              <m:sSub>
                <m:sSubPr>
                  <m:ctrlPr>
                    <w:rPr>
                      <w:rFonts w:ascii="Cambria Math" w:eastAsia="Times New Roman" w:hAnsi="Arial" w:cs="Arial"/>
                      <w:kern w:val="0"/>
                      <w:sz w:val="20"/>
                      <w:szCs w:val="20"/>
                    </w:rPr>
                  </m:ctrlPr>
                </m:sSubPr>
                <m:e>
                  <m:r>
                    <m:rPr>
                      <m:sty m:val="p"/>
                    </m:rPr>
                    <w:rPr>
                      <w:rFonts w:ascii="Cambria Math" w:eastAsia="Times New Roman" w:hAnsi="Arial" w:cs="Arial"/>
                      <w:kern w:val="0"/>
                      <w:sz w:val="20"/>
                      <w:szCs w:val="20"/>
                    </w:rPr>
                    <m:t>G</m:t>
                  </m:r>
                </m:e>
                <m:sub>
                  <m:r>
                    <m:rPr>
                      <m:sty m:val="p"/>
                    </m:rPr>
                    <w:rPr>
                      <w:rFonts w:ascii="Cambria Math" w:eastAsia="Times New Roman" w:hAnsi="Arial" w:cs="Arial"/>
                      <w:kern w:val="0"/>
                      <w:sz w:val="20"/>
                      <w:szCs w:val="20"/>
                    </w:rPr>
                    <m:t>0</m:t>
                  </m:r>
                </m:sub>
              </m:sSub>
              <m:d>
                <m:dPr>
                  <m:ctrlPr>
                    <w:rPr>
                      <w:rFonts w:ascii="Cambria Math" w:eastAsia="Times New Roman" w:hAnsi="Arial" w:cs="Arial"/>
                      <w:kern w:val="0"/>
                      <w:sz w:val="20"/>
                      <w:szCs w:val="20"/>
                    </w:rPr>
                  </m:ctrlPr>
                </m:dPr>
                <m:e>
                  <m:r>
                    <m:rPr>
                      <m:sty m:val="b"/>
                    </m:rPr>
                    <w:rPr>
                      <w:rFonts w:ascii="Cambria Math" w:eastAsia="Times New Roman" w:hAnsi="Cambria Math" w:cs="Arial"/>
                      <w:kern w:val="0"/>
                      <w:sz w:val="20"/>
                      <w:szCs w:val="20"/>
                    </w:rPr>
                    <m:t>k</m:t>
                  </m:r>
                  <m:r>
                    <m:rPr>
                      <m:sty m:val="p"/>
                    </m:rPr>
                    <w:rPr>
                      <w:rFonts w:ascii="Arial" w:eastAsia="Times New Roman" w:hAnsi="Arial" w:cs="Arial"/>
                      <w:kern w:val="0"/>
                      <w:sz w:val="20"/>
                      <w:szCs w:val="20"/>
                    </w:rPr>
                    <m:t>-</m:t>
                  </m:r>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n</m:t>
                      </m:r>
                    </m:sub>
                  </m:sSub>
                  <m:r>
                    <m:rPr>
                      <m:sty m:val="p"/>
                    </m:rPr>
                    <w:rPr>
                      <w:rFonts w:ascii="Arial" w:eastAsia="Times New Roman" w:hAnsi="Arial" w:cs="Arial"/>
                      <w:kern w:val="0"/>
                      <w:sz w:val="20"/>
                      <w:szCs w:val="20"/>
                    </w:rPr>
                    <m:t>-</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m</m:t>
                      </m:r>
                    </m:sub>
                  </m:sSub>
                </m:e>
              </m:d>
            </m:e>
          </m:nary>
        </m:oMath>
      </m:oMathPara>
    </w:p>
    <w:p w14:paraId="2D19E245"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kern w:val="0"/>
          <w:sz w:val="20"/>
          <w:szCs w:val="20"/>
        </w:rPr>
        <w:t xml:space="preserve">Where U is the Hubbard interaction strength, </w:t>
      </w:r>
      <m:oMath>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χ</m:t>
            </m:r>
          </m:e>
          <m:sub>
            <m:r>
              <m:rPr>
                <m:sty m:val="p"/>
              </m:rPr>
              <w:rPr>
                <w:rFonts w:ascii="Cambria Math" w:eastAsia="Times New Roman" w:hAnsi="Arial" w:cs="Arial"/>
                <w:kern w:val="0"/>
                <w:sz w:val="20"/>
                <w:szCs w:val="20"/>
              </w:rPr>
              <m:t>sp</m:t>
            </m:r>
          </m:sub>
        </m:sSub>
        <m:d>
          <m:dPr>
            <m:ctrlPr>
              <w:rPr>
                <w:rFonts w:ascii="Cambria Math" w:eastAsia="Times New Roman" w:hAnsi="Arial" w:cs="Arial"/>
                <w:kern w:val="0"/>
                <w:sz w:val="20"/>
                <w:szCs w:val="20"/>
              </w:rPr>
            </m:ctrlPr>
          </m:dPr>
          <m:e>
            <m:r>
              <m:rPr>
                <m:sty m:val="b"/>
              </m:rPr>
              <w:rPr>
                <w:rFonts w:ascii="Cambria Math" w:eastAsia="Times New Roman" w:hAnsi="Cambria Math" w:cs="Arial"/>
                <w:kern w:val="0"/>
                <w:sz w:val="20"/>
                <w:szCs w:val="20"/>
              </w:rPr>
              <m:t>q</m:t>
            </m:r>
            <m:r>
              <m:rPr>
                <m:sty m:val="p"/>
              </m:rPr>
              <w:rPr>
                <w:rFonts w:ascii="Cambria Math" w:eastAsia="Times New Roman" w:hAnsi="Arial" w:cs="Arial"/>
                <w:kern w:val="0"/>
                <w:sz w:val="20"/>
                <w:szCs w:val="20"/>
              </w:rPr>
              <m:t>,i</m:t>
            </m:r>
            <m:sSub>
              <m:sSubPr>
                <m:ctrlPr>
                  <w:rPr>
                    <w:rFonts w:ascii="Cambria Math" w:eastAsia="Times New Roman" w:hAnsi="Arial" w:cs="Arial"/>
                    <w:kern w:val="0"/>
                    <w:sz w:val="20"/>
                    <w:szCs w:val="20"/>
                  </w:rPr>
                </m:ctrlPr>
              </m:sSubPr>
              <m:e>
                <m:r>
                  <m:rPr>
                    <m:sty m:val="p"/>
                  </m:rPr>
                  <w:rPr>
                    <w:rFonts w:ascii="Arial" w:eastAsia="Times New Roman" w:hAnsi="Arial" w:cs="Arial"/>
                    <w:kern w:val="0"/>
                    <w:sz w:val="20"/>
                    <w:szCs w:val="20"/>
                  </w:rPr>
                  <m:t>Ω</m:t>
                </m:r>
              </m:e>
              <m:sub>
                <m:r>
                  <m:rPr>
                    <m:sty m:val="p"/>
                  </m:rPr>
                  <w:rPr>
                    <w:rFonts w:ascii="Cambria Math" w:eastAsia="Times New Roman" w:hAnsi="Arial" w:cs="Arial"/>
                    <w:kern w:val="0"/>
                    <w:sz w:val="20"/>
                    <w:szCs w:val="20"/>
                  </w:rPr>
                  <m:t>m</m:t>
                </m:r>
              </m:sub>
            </m:sSub>
          </m:e>
        </m:d>
      </m:oMath>
      <w:r w:rsidRPr="00997D85">
        <w:rPr>
          <w:rFonts w:ascii="Arial" w:eastAsia="Times New Roman" w:hAnsi="Arial" w:cs="Arial"/>
          <w:kern w:val="0"/>
          <w:sz w:val="20"/>
          <w:szCs w:val="20"/>
        </w:rPr>
        <w:t xml:space="preserve"> represents the spin susceptibility,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G</m:t>
            </m:r>
          </m:e>
          <m:sub>
            <m:r>
              <w:rPr>
                <w:rFonts w:ascii="Cambria Math" w:eastAsia="Times New Roman" w:hAnsi="Arial" w:cs="Arial"/>
                <w:kern w:val="0"/>
                <w:sz w:val="20"/>
                <w:szCs w:val="20"/>
              </w:rPr>
              <m:t>0</m:t>
            </m:r>
          </m:sub>
        </m:sSub>
      </m:oMath>
      <w:r w:rsidRPr="00997D85">
        <w:rPr>
          <w:rFonts w:ascii="Arial" w:eastAsia="Times New Roman" w:hAnsi="Arial" w:cs="Arial"/>
          <w:kern w:val="0"/>
          <w:sz w:val="20"/>
          <w:szCs w:val="20"/>
        </w:rPr>
        <w:t xml:space="preserve"> is the bare Green’s function </w:t>
      </w:r>
      <w:r w:rsidR="00D36826">
        <w:rPr>
          <w:rFonts w:ascii="Arial" w:hAnsi="Arial" w:cs="Arial"/>
          <w:sz w:val="20"/>
          <w:szCs w:val="20"/>
        </w:rPr>
        <w:t>[20]</w:t>
      </w:r>
      <w:r w:rsidRPr="00997D85">
        <w:rPr>
          <w:rFonts w:ascii="Arial" w:hAnsi="Arial" w:cs="Arial"/>
          <w:sz w:val="20"/>
          <w:szCs w:val="20"/>
        </w:rPr>
        <w:t xml:space="preserve">, </w:t>
      </w:r>
      <w:r w:rsidRPr="00997D85">
        <w:rPr>
          <w:rFonts w:ascii="Arial" w:eastAsia="Times New Roman" w:hAnsi="Arial" w:cs="Arial"/>
          <w:sz w:val="20"/>
          <w:szCs w:val="20"/>
        </w:rPr>
        <w:t>and the spectral function follows:</w:t>
      </w:r>
    </w:p>
    <w:p w14:paraId="550A29F0" w14:textId="77777777" w:rsidR="00C40ECA" w:rsidRPr="00997D85" w:rsidRDefault="00C40ECA" w:rsidP="00997D85">
      <w:pPr>
        <w:spacing w:before="100" w:beforeAutospacing="1" w:after="100" w:afterAutospacing="1" w:line="240" w:lineRule="auto"/>
        <w:jc w:val="both"/>
        <w:outlineLvl w:val="2"/>
        <w:rPr>
          <w:rFonts w:ascii="Arial" w:hAnsi="Arial" w:cs="Arial"/>
          <w:sz w:val="20"/>
          <w:szCs w:val="20"/>
        </w:rPr>
      </w:pPr>
      <m:oMathPara>
        <m:oMath>
          <m:r>
            <m:rPr>
              <m:sty m:val="p"/>
            </m:rPr>
            <w:rPr>
              <w:rFonts w:ascii="Cambria Math" w:hAnsi="Arial" w:cs="Arial"/>
              <w:sz w:val="20"/>
              <w:szCs w:val="20"/>
            </w:rPr>
            <m:t>A</m:t>
          </m:r>
          <m:d>
            <m:dPr>
              <m:ctrlPr>
                <w:rPr>
                  <w:rFonts w:ascii="Cambria Math" w:hAnsi="Arial" w:cs="Arial"/>
                  <w:sz w:val="20"/>
                  <w:szCs w:val="20"/>
                </w:rPr>
              </m:ctrlPr>
            </m:dPr>
            <m:e>
              <m:r>
                <m:rPr>
                  <m:sty m:val="b"/>
                </m:rPr>
                <w:rPr>
                  <w:rFonts w:ascii="Cambria Math" w:hAnsi="Cambria Math" w:cs="Arial"/>
                  <w:sz w:val="20"/>
                  <w:szCs w:val="20"/>
                </w:rPr>
                <m:t>k</m:t>
              </m:r>
              <m:r>
                <m:rPr>
                  <m:sty m:val="p"/>
                </m:rPr>
                <w:rPr>
                  <w:rFonts w:ascii="Cambria Math" w:hAnsi="Arial" w:cs="Arial"/>
                  <w:sz w:val="20"/>
                  <w:szCs w:val="20"/>
                </w:rPr>
                <m:t>,</m:t>
              </m:r>
              <m:r>
                <m:rPr>
                  <m:sty m:val="p"/>
                </m:rPr>
                <w:rPr>
                  <w:rFonts w:ascii="Arial" w:hAnsi="Arial" w:cs="Arial"/>
                  <w:sz w:val="20"/>
                  <w:szCs w:val="20"/>
                </w:rPr>
                <m:t>ω</m:t>
              </m:r>
            </m:e>
          </m:d>
          <m:r>
            <m:rPr>
              <m:sty m:val="p"/>
            </m:rPr>
            <w:rPr>
              <w:rFonts w:ascii="Cambria Math" w:hAnsi="Arial" w:cs="Arial"/>
              <w:sz w:val="20"/>
              <w:szCs w:val="20"/>
            </w:rPr>
            <m:t>=</m:t>
          </m:r>
          <m:r>
            <m:rPr>
              <m:sty m:val="p"/>
            </m:rPr>
            <w:rPr>
              <w:rFonts w:ascii="Arial" w:hAnsi="Arial" w:cs="Arial"/>
              <w:sz w:val="20"/>
              <w:szCs w:val="20"/>
            </w:rPr>
            <m:t>-</m:t>
          </m:r>
          <m:f>
            <m:fPr>
              <m:ctrlPr>
                <w:rPr>
                  <w:rFonts w:ascii="Cambria Math" w:hAnsi="Arial" w:cs="Arial"/>
                  <w:sz w:val="20"/>
                  <w:szCs w:val="20"/>
                </w:rPr>
              </m:ctrlPr>
            </m:fPr>
            <m:num>
              <m:r>
                <m:rPr>
                  <m:sty m:val="p"/>
                </m:rPr>
                <w:rPr>
                  <w:rFonts w:ascii="Cambria Math" w:hAnsi="Arial" w:cs="Arial"/>
                  <w:sz w:val="20"/>
                  <w:szCs w:val="20"/>
                </w:rPr>
                <m:t>1</m:t>
              </m:r>
            </m:num>
            <m:den>
              <m:r>
                <m:rPr>
                  <m:sty m:val="p"/>
                </m:rPr>
                <w:rPr>
                  <w:rFonts w:ascii="Arial" w:hAnsi="Arial" w:cs="Arial"/>
                  <w:sz w:val="20"/>
                  <w:szCs w:val="20"/>
                </w:rPr>
                <m:t>π</m:t>
              </m:r>
            </m:den>
          </m:f>
          <m:r>
            <m:rPr>
              <m:sty m:val="p"/>
            </m:rPr>
            <w:rPr>
              <w:rFonts w:ascii="Cambria Math" w:hAnsi="Arial" w:cs="Arial"/>
              <w:sz w:val="20"/>
              <w:szCs w:val="20"/>
            </w:rPr>
            <m:t xml:space="preserve"> Im</m:t>
          </m:r>
          <m:d>
            <m:dPr>
              <m:begChr m:val="["/>
              <m:endChr m:val="]"/>
              <m:ctrlPr>
                <w:rPr>
                  <w:rFonts w:ascii="Cambria Math" w:hAnsi="Arial" w:cs="Arial"/>
                  <w:sz w:val="20"/>
                  <w:szCs w:val="20"/>
                </w:rPr>
              </m:ctrlPr>
            </m:dPr>
            <m:e>
              <m:f>
                <m:fPr>
                  <m:ctrlPr>
                    <w:rPr>
                      <w:rFonts w:ascii="Cambria Math" w:hAnsi="Arial" w:cs="Arial"/>
                      <w:sz w:val="20"/>
                      <w:szCs w:val="20"/>
                    </w:rPr>
                  </m:ctrlPr>
                </m:fPr>
                <m:num>
                  <m:r>
                    <m:rPr>
                      <m:sty m:val="p"/>
                    </m:rPr>
                    <w:rPr>
                      <w:rFonts w:ascii="Cambria Math" w:hAnsi="Arial" w:cs="Arial"/>
                      <w:sz w:val="20"/>
                      <w:szCs w:val="20"/>
                    </w:rPr>
                    <m:t>1</m:t>
                  </m:r>
                </m:num>
                <m:den>
                  <m:r>
                    <m:rPr>
                      <m:sty m:val="p"/>
                    </m:rPr>
                    <w:rPr>
                      <w:rFonts w:ascii="Arial" w:hAnsi="Arial" w:cs="Arial"/>
                      <w:sz w:val="20"/>
                      <w:szCs w:val="20"/>
                    </w:rPr>
                    <m:t>ω</m:t>
                  </m:r>
                  <m:r>
                    <m:rPr>
                      <m:sty m:val="p"/>
                    </m:rPr>
                    <w:rPr>
                      <w:rFonts w:ascii="Cambria Math" w:hAnsi="Arial" w:cs="Arial"/>
                      <w:sz w:val="20"/>
                      <w:szCs w:val="20"/>
                    </w:rPr>
                    <m:t>+</m:t>
                  </m:r>
                  <m:r>
                    <m:rPr>
                      <m:sty m:val="p"/>
                    </m:rPr>
                    <w:rPr>
                      <w:rFonts w:ascii="Arial" w:hAnsi="Arial" w:cs="Arial"/>
                      <w:sz w:val="20"/>
                      <w:szCs w:val="20"/>
                    </w:rPr>
                    <m:t>μ-</m:t>
                  </m:r>
                  <m:sSub>
                    <m:sSubPr>
                      <m:ctrlPr>
                        <w:rPr>
                          <w:rFonts w:ascii="Cambria Math" w:hAnsi="Arial" w:cs="Arial"/>
                          <w:sz w:val="20"/>
                          <w:szCs w:val="20"/>
                        </w:rPr>
                      </m:ctrlPr>
                    </m:sSubPr>
                    <m:e>
                      <m:r>
                        <m:rPr>
                          <m:sty m:val="p"/>
                        </m:rPr>
                        <w:rPr>
                          <w:rFonts w:ascii="Arial" w:hAnsi="Cambria Math" w:cs="Arial"/>
                          <w:sz w:val="20"/>
                          <w:szCs w:val="20"/>
                        </w:rPr>
                        <m:t>ℇ</m:t>
                      </m:r>
                    </m:e>
                    <m:sub>
                      <m:r>
                        <m:rPr>
                          <m:sty m:val="p"/>
                        </m:rPr>
                        <w:rPr>
                          <w:rFonts w:ascii="Cambria Math" w:hAnsi="Arial" w:cs="Arial"/>
                          <w:sz w:val="20"/>
                          <w:szCs w:val="20"/>
                        </w:rPr>
                        <m:t>k</m:t>
                      </m:r>
                    </m:sub>
                  </m:sSub>
                  <m:r>
                    <m:rPr>
                      <m:sty m:val="p"/>
                    </m:rPr>
                    <w:rPr>
                      <w:rFonts w:ascii="Arial" w:hAnsi="Arial" w:cs="Arial"/>
                      <w:sz w:val="20"/>
                      <w:szCs w:val="20"/>
                    </w:rPr>
                    <m:t>-</m:t>
                  </m:r>
                  <m:nary>
                    <m:naryPr>
                      <m:chr m:val="∑"/>
                      <m:limLoc m:val="undOvr"/>
                      <m:subHide m:val="1"/>
                      <m:supHide m:val="1"/>
                      <m:ctrlPr>
                        <w:rPr>
                          <w:rFonts w:ascii="Cambria Math" w:hAnsi="Arial" w:cs="Arial"/>
                          <w:sz w:val="20"/>
                          <w:szCs w:val="20"/>
                        </w:rPr>
                      </m:ctrlPr>
                    </m:naryPr>
                    <m:sub/>
                    <m:sup/>
                    <m:e>
                      <m:r>
                        <m:rPr>
                          <m:sty m:val="p"/>
                        </m:rPr>
                        <w:rPr>
                          <w:rFonts w:ascii="Cambria Math" w:hAnsi="Arial" w:cs="Arial"/>
                          <w:sz w:val="20"/>
                          <w:szCs w:val="20"/>
                        </w:rPr>
                        <m:t>(</m:t>
                      </m:r>
                      <m:r>
                        <m:rPr>
                          <m:sty m:val="b"/>
                        </m:rPr>
                        <w:rPr>
                          <w:rFonts w:ascii="Cambria Math" w:hAnsi="Cambria Math" w:cs="Arial"/>
                          <w:sz w:val="20"/>
                          <w:szCs w:val="20"/>
                        </w:rPr>
                        <m:t>k</m:t>
                      </m:r>
                      <m:r>
                        <m:rPr>
                          <m:sty m:val="p"/>
                        </m:rPr>
                        <w:rPr>
                          <w:rFonts w:ascii="Cambria Math" w:hAnsi="Arial" w:cs="Arial"/>
                          <w:sz w:val="20"/>
                          <w:szCs w:val="20"/>
                        </w:rPr>
                        <m:t>,</m:t>
                      </m:r>
                      <m:r>
                        <m:rPr>
                          <m:sty m:val="p"/>
                        </m:rPr>
                        <w:rPr>
                          <w:rFonts w:ascii="Arial" w:hAnsi="Arial" w:cs="Arial"/>
                          <w:sz w:val="20"/>
                          <w:szCs w:val="20"/>
                        </w:rPr>
                        <m:t>ω</m:t>
                      </m:r>
                      <m:r>
                        <m:rPr>
                          <m:sty m:val="p"/>
                        </m:rPr>
                        <w:rPr>
                          <w:rFonts w:ascii="Cambria Math" w:hAnsi="Arial" w:cs="Arial"/>
                          <w:sz w:val="20"/>
                          <w:szCs w:val="20"/>
                        </w:rPr>
                        <m:t>+</m:t>
                      </m:r>
                      <m:sSup>
                        <m:sSupPr>
                          <m:ctrlPr>
                            <w:rPr>
                              <w:rFonts w:ascii="Cambria Math" w:hAnsi="Arial" w:cs="Arial"/>
                              <w:sz w:val="20"/>
                              <w:szCs w:val="20"/>
                            </w:rPr>
                          </m:ctrlPr>
                        </m:sSupPr>
                        <m:e>
                          <m:r>
                            <m:rPr>
                              <m:sty m:val="p"/>
                            </m:rPr>
                            <w:rPr>
                              <w:rFonts w:ascii="Cambria Math" w:hAnsi="Arial" w:cs="Arial"/>
                              <w:sz w:val="20"/>
                              <w:szCs w:val="20"/>
                            </w:rPr>
                            <m:t>i0</m:t>
                          </m:r>
                        </m:e>
                        <m:sup>
                          <m:r>
                            <m:rPr>
                              <m:sty m:val="p"/>
                            </m:rPr>
                            <w:rPr>
                              <w:rFonts w:ascii="Cambria Math" w:hAnsi="Arial" w:cs="Arial"/>
                              <w:sz w:val="20"/>
                              <w:szCs w:val="20"/>
                            </w:rPr>
                            <m:t>+</m:t>
                          </m:r>
                        </m:sup>
                      </m:sSup>
                      <m:r>
                        <m:rPr>
                          <m:sty m:val="p"/>
                        </m:rPr>
                        <w:rPr>
                          <w:rFonts w:ascii="Cambria Math" w:hAnsi="Arial" w:cs="Arial"/>
                          <w:sz w:val="20"/>
                          <w:szCs w:val="20"/>
                        </w:rPr>
                        <m:t>)</m:t>
                      </m:r>
                    </m:e>
                  </m:nary>
                </m:den>
              </m:f>
            </m:e>
          </m:d>
        </m:oMath>
      </m:oMathPara>
    </w:p>
    <w:p w14:paraId="01F7B0DC" w14:textId="77777777" w:rsidR="00C40ECA" w:rsidRPr="00997D85" w:rsidRDefault="00C40ECA" w:rsidP="00997D85">
      <w:pPr>
        <w:spacing w:before="100" w:beforeAutospacing="1" w:after="100" w:afterAutospacing="1" w:line="240" w:lineRule="auto"/>
        <w:jc w:val="both"/>
        <w:outlineLvl w:val="2"/>
        <w:rPr>
          <w:rFonts w:ascii="Arial" w:hAnsi="Arial" w:cs="Arial"/>
          <w:sz w:val="20"/>
          <w:szCs w:val="20"/>
        </w:rPr>
      </w:pPr>
      <w:r w:rsidRPr="00997D85">
        <w:rPr>
          <w:rStyle w:val="Strong"/>
          <w:rFonts w:ascii="Arial" w:eastAsia="Times New Roman" w:hAnsi="Arial" w:cs="Arial"/>
          <w:b w:val="0"/>
          <w:bCs w:val="0"/>
          <w:kern w:val="0"/>
          <w:sz w:val="20"/>
          <w:szCs w:val="20"/>
        </w:rPr>
        <w:t xml:space="preserve">Where </w:t>
      </w:r>
      <m:oMath>
        <m:r>
          <m:rPr>
            <m:sty m:val="bi"/>
          </m:rPr>
          <w:rPr>
            <w:rStyle w:val="Strong"/>
            <w:rFonts w:ascii="Cambria Math" w:hAnsi="Cambria Math" w:cs="Arial"/>
            <w:sz w:val="20"/>
            <w:szCs w:val="20"/>
          </w:rPr>
          <m:t>μ</m:t>
        </m:r>
      </m:oMath>
      <w:r w:rsidRPr="00997D85">
        <w:rPr>
          <w:rStyle w:val="Strong"/>
          <w:rFonts w:ascii="Arial" w:eastAsia="Times New Roman" w:hAnsi="Arial" w:cs="Arial"/>
          <w:b w:val="0"/>
          <w:bCs w:val="0"/>
          <w:kern w:val="0"/>
          <w:sz w:val="20"/>
          <w:szCs w:val="20"/>
        </w:rPr>
        <w:t xml:space="preserve"> is the chemical potential, and </w:t>
      </w:r>
      <m:oMath>
        <m:sSub>
          <m:sSubPr>
            <m:ctrlPr>
              <w:rPr>
                <w:rFonts w:ascii="Cambria Math" w:hAnsi="Arial" w:cs="Arial"/>
                <w:i/>
                <w:sz w:val="20"/>
                <w:szCs w:val="20"/>
              </w:rPr>
            </m:ctrlPr>
          </m:sSubPr>
          <m:e>
            <m:r>
              <w:rPr>
                <w:rFonts w:ascii="Arial" w:hAnsi="Cambria Math" w:cs="Arial"/>
                <w:sz w:val="20"/>
                <w:szCs w:val="20"/>
              </w:rPr>
              <m:t>ℇ</m:t>
            </m:r>
          </m:e>
          <m:sub>
            <m:r>
              <w:rPr>
                <w:rFonts w:ascii="Cambria Math" w:hAnsi="Cambria Math" w:cs="Arial"/>
                <w:sz w:val="20"/>
                <w:szCs w:val="20"/>
              </w:rPr>
              <m:t>k</m:t>
            </m:r>
          </m:sub>
        </m:sSub>
      </m:oMath>
      <w:r w:rsidRPr="00997D85">
        <w:rPr>
          <w:rFonts w:ascii="Arial" w:eastAsia="Times New Roman" w:hAnsi="Arial" w:cs="Arial"/>
          <w:sz w:val="20"/>
          <w:szCs w:val="20"/>
        </w:rPr>
        <w:t xml:space="preserve"> is the band dispersion </w:t>
      </w:r>
      <w:r w:rsidR="00442011">
        <w:rPr>
          <w:rFonts w:ascii="Arial" w:hAnsi="Arial" w:cs="Arial"/>
          <w:sz w:val="20"/>
          <w:szCs w:val="20"/>
        </w:rPr>
        <w:t>[</w:t>
      </w:r>
      <w:proofErr w:type="gramStart"/>
      <w:r w:rsidR="00442011">
        <w:rPr>
          <w:rFonts w:ascii="Arial" w:hAnsi="Arial" w:cs="Arial"/>
          <w:sz w:val="20"/>
          <w:szCs w:val="20"/>
        </w:rPr>
        <w:t>21]</w:t>
      </w:r>
      <w:r w:rsidRPr="00997D85">
        <w:rPr>
          <w:rFonts w:ascii="Arial" w:eastAsia="Times New Roman" w:hAnsi="Arial" w:cs="Arial"/>
          <w:sz w:val="20"/>
          <w:szCs w:val="20"/>
        </w:rPr>
        <w:t>.</w:t>
      </w:r>
      <w:proofErr w:type="gramEnd"/>
      <w:r w:rsidRPr="00997D85">
        <w:rPr>
          <w:rFonts w:ascii="Arial" w:eastAsia="Times New Roman" w:hAnsi="Arial" w:cs="Arial"/>
          <w:sz w:val="20"/>
          <w:szCs w:val="20"/>
        </w:rPr>
        <w:t xml:space="preserve"> </w:t>
      </w:r>
      <w:r w:rsidRPr="00997D85">
        <w:rPr>
          <w:rFonts w:ascii="Arial" w:hAnsi="Arial" w:cs="Arial"/>
          <w:sz w:val="20"/>
          <w:szCs w:val="20"/>
        </w:rPr>
        <w:t>ARPES data show d-wave momentum dependence:</w:t>
      </w:r>
    </w:p>
    <w:p w14:paraId="1648A524" w14:textId="77777777" w:rsidR="00C40ECA" w:rsidRPr="00997D85" w:rsidRDefault="00E334FE" w:rsidP="00997D85">
      <w:pPr>
        <w:spacing w:before="100" w:beforeAutospacing="1" w:after="100" w:afterAutospacing="1" w:line="240" w:lineRule="auto"/>
        <w:jc w:val="both"/>
        <w:outlineLvl w:val="2"/>
        <w:rPr>
          <w:rFonts w:ascii="Arial" w:eastAsia="Times New Roman" w:hAnsi="Arial" w:cs="Arial"/>
          <w:sz w:val="20"/>
          <w:szCs w:val="20"/>
        </w:rPr>
      </w:pPr>
      <m:oMathPara>
        <m:oMath>
          <m:sSub>
            <m:sSubPr>
              <m:ctrlPr>
                <w:rPr>
                  <w:rFonts w:ascii="Cambria Math" w:eastAsia="Times New Roman" w:hAnsi="Arial" w:cs="Arial"/>
                  <w:sz w:val="20"/>
                  <w:szCs w:val="20"/>
                </w:rPr>
              </m:ctrlPr>
            </m:sSubPr>
            <m:e>
              <m:r>
                <m:rPr>
                  <m:sty m:val="p"/>
                </m:rPr>
                <w:rPr>
                  <w:rFonts w:ascii="Arial" w:eastAsia="Times New Roman" w:hAnsi="Arial" w:cs="Arial"/>
                  <w:sz w:val="20"/>
                  <w:szCs w:val="20"/>
                </w:rPr>
                <m:t>Δ</m:t>
              </m:r>
            </m:e>
            <m:sub>
              <m:r>
                <m:rPr>
                  <m:sty m:val="p"/>
                </m:rPr>
                <w:rPr>
                  <w:rFonts w:ascii="Cambria Math" w:eastAsia="Times New Roman" w:hAnsi="Arial" w:cs="Arial"/>
                  <w:sz w:val="20"/>
                  <w:szCs w:val="20"/>
                </w:rPr>
                <m:t>PG</m:t>
              </m:r>
            </m:sub>
          </m:sSub>
          <m:d>
            <m:dPr>
              <m:ctrlPr>
                <w:rPr>
                  <w:rFonts w:ascii="Cambria Math" w:eastAsia="Times New Roman" w:hAnsi="Arial" w:cs="Arial"/>
                  <w:sz w:val="20"/>
                  <w:szCs w:val="20"/>
                </w:rPr>
              </m:ctrlPr>
            </m:dPr>
            <m:e>
              <m:r>
                <m:rPr>
                  <m:sty m:val="b"/>
                </m:rPr>
                <w:rPr>
                  <w:rFonts w:ascii="Cambria Math" w:eastAsia="Times New Roman" w:hAnsi="Cambria Math" w:cs="Arial"/>
                  <w:sz w:val="20"/>
                  <w:szCs w:val="20"/>
                </w:rPr>
                <m:t>k</m:t>
              </m:r>
            </m:e>
          </m:d>
          <m:r>
            <m:rPr>
              <m:sty m:val="p"/>
            </m:rPr>
            <w:rPr>
              <w:rFonts w:ascii="Cambria Math" w:eastAsia="Times New Roman" w:hAnsi="Arial" w:cs="Arial"/>
              <w:sz w:val="20"/>
              <w:szCs w:val="20"/>
            </w:rPr>
            <m:t>=</m:t>
          </m:r>
          <m:sSub>
            <m:sSubPr>
              <m:ctrlPr>
                <w:rPr>
                  <w:rFonts w:ascii="Cambria Math" w:eastAsia="Times New Roman" w:hAnsi="Arial" w:cs="Arial"/>
                  <w:sz w:val="20"/>
                  <w:szCs w:val="20"/>
                </w:rPr>
              </m:ctrlPr>
            </m:sSubPr>
            <m:e>
              <m:r>
                <m:rPr>
                  <m:sty m:val="p"/>
                </m:rPr>
                <w:rPr>
                  <w:rFonts w:ascii="Arial" w:eastAsia="Times New Roman" w:hAnsi="Arial" w:cs="Arial"/>
                  <w:sz w:val="20"/>
                  <w:szCs w:val="20"/>
                </w:rPr>
                <m:t>Δ</m:t>
              </m:r>
            </m:e>
            <m:sub>
              <m:r>
                <m:rPr>
                  <m:sty m:val="p"/>
                </m:rPr>
                <w:rPr>
                  <w:rFonts w:ascii="Cambria Math" w:eastAsia="Times New Roman" w:hAnsi="Arial" w:cs="Arial"/>
                  <w:sz w:val="20"/>
                  <w:szCs w:val="20"/>
                </w:rPr>
                <m:t>0</m:t>
              </m:r>
            </m:sub>
          </m:sSub>
          <m:f>
            <m:fPr>
              <m:ctrlPr>
                <w:rPr>
                  <w:rFonts w:ascii="Cambria Math" w:eastAsia="Times New Roman" w:hAnsi="Arial" w:cs="Arial"/>
                  <w:sz w:val="20"/>
                  <w:szCs w:val="20"/>
                </w:rPr>
              </m:ctrlPr>
            </m:fPr>
            <m:num>
              <m:d>
                <m:dPr>
                  <m:begChr m:val="|"/>
                  <m:endChr m:val="|"/>
                  <m:ctrlPr>
                    <w:rPr>
                      <w:rFonts w:ascii="Cambria Math" w:eastAsia="Times New Roman" w:hAnsi="Arial" w:cs="Arial"/>
                      <w:sz w:val="20"/>
                      <w:szCs w:val="20"/>
                    </w:rPr>
                  </m:ctrlPr>
                </m:dPr>
                <m:e>
                  <m:r>
                    <m:rPr>
                      <m:sty m:val="p"/>
                    </m:rPr>
                    <w:rPr>
                      <w:rFonts w:ascii="Cambria Math" w:eastAsia="Times New Roman" w:hAnsi="Arial" w:cs="Arial"/>
                      <w:sz w:val="20"/>
                      <w:szCs w:val="20"/>
                    </w:rPr>
                    <m:t>cos</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 xml:space="preserve"> k</m:t>
                      </m:r>
                    </m:e>
                    <m:sub>
                      <m:r>
                        <m:rPr>
                          <m:sty m:val="p"/>
                        </m:rPr>
                        <w:rPr>
                          <w:rFonts w:ascii="Cambria Math" w:eastAsia="Times New Roman" w:hAnsi="Arial" w:cs="Arial"/>
                          <w:sz w:val="20"/>
                          <w:szCs w:val="20"/>
                        </w:rPr>
                        <m:t>x</m:t>
                      </m:r>
                    </m:sub>
                  </m:sSub>
                  <m:r>
                    <m:rPr>
                      <m:sty m:val="p"/>
                    </m:rPr>
                    <w:rPr>
                      <w:rFonts w:ascii="Arial" w:eastAsia="Times New Roman" w:hAnsi="Arial" w:cs="Arial"/>
                      <w:sz w:val="20"/>
                      <w:szCs w:val="20"/>
                    </w:rPr>
                    <m:t>-</m:t>
                  </m:r>
                  <m:func>
                    <m:funcPr>
                      <m:ctrlPr>
                        <w:rPr>
                          <w:rFonts w:ascii="Cambria Math" w:eastAsia="Times New Roman" w:hAnsi="Arial" w:cs="Arial"/>
                          <w:sz w:val="20"/>
                          <w:szCs w:val="20"/>
                        </w:rPr>
                      </m:ctrlPr>
                    </m:funcPr>
                    <m:fName>
                      <m:r>
                        <m:rPr>
                          <m:sty m:val="p"/>
                        </m:rPr>
                        <w:rPr>
                          <w:rFonts w:ascii="Cambria Math" w:eastAsia="Times New Roman" w:hAnsi="Arial" w:cs="Arial"/>
                          <w:sz w:val="20"/>
                          <w:szCs w:val="20"/>
                        </w:rPr>
                        <m:t>cos</m:t>
                      </m:r>
                    </m:fName>
                    <m:e>
                      <m:r>
                        <m:rPr>
                          <m:sty m:val="p"/>
                        </m:rPr>
                        <w:rPr>
                          <w:rFonts w:ascii="Cambria Math" w:eastAsia="Times New Roman" w:hAnsi="Arial" w:cs="Arial"/>
                          <w:sz w:val="20"/>
                          <w:szCs w:val="20"/>
                        </w:rPr>
                        <m:t xml:space="preserve"> </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k</m:t>
                          </m:r>
                        </m:e>
                        <m:sub>
                          <m:r>
                            <m:rPr>
                              <m:sty m:val="p"/>
                            </m:rPr>
                            <w:rPr>
                              <w:rFonts w:ascii="Cambria Math" w:eastAsia="Times New Roman" w:hAnsi="Arial" w:cs="Arial"/>
                              <w:sz w:val="20"/>
                              <w:szCs w:val="20"/>
                            </w:rPr>
                            <m:t>y</m:t>
                          </m:r>
                        </m:sub>
                      </m:sSub>
                    </m:e>
                  </m:func>
                </m:e>
              </m:d>
            </m:num>
            <m:den>
              <m:r>
                <m:rPr>
                  <m:sty m:val="p"/>
                </m:rPr>
                <w:rPr>
                  <w:rFonts w:ascii="Cambria Math" w:eastAsia="Times New Roman" w:hAnsi="Arial" w:cs="Arial"/>
                  <w:sz w:val="20"/>
                  <w:szCs w:val="20"/>
                </w:rPr>
                <m:t>2</m:t>
              </m:r>
            </m:den>
          </m:f>
        </m:oMath>
      </m:oMathPara>
    </w:p>
    <w:p w14:paraId="7BF418EA" w14:textId="77777777" w:rsidR="00C40ECA" w:rsidRPr="00997D85" w:rsidRDefault="00C40ECA" w:rsidP="00997D85">
      <w:pPr>
        <w:spacing w:before="100" w:beforeAutospacing="1" w:after="100" w:afterAutospacing="1" w:line="240" w:lineRule="auto"/>
        <w:jc w:val="both"/>
        <w:rPr>
          <w:rFonts w:ascii="Arial" w:hAnsi="Arial" w:cs="Arial"/>
          <w:sz w:val="20"/>
          <w:szCs w:val="20"/>
        </w:rPr>
      </w:pPr>
      <w:r w:rsidRPr="00997D85">
        <w:rPr>
          <w:rFonts w:ascii="Arial" w:hAnsi="Arial" w:cs="Arial"/>
          <w:sz w:val="20"/>
          <w:szCs w:val="20"/>
        </w:rPr>
        <w:t xml:space="preserve">Where </w:t>
      </w:r>
      <m:oMath>
        <m:sSub>
          <m:sSubPr>
            <m:ctrlPr>
              <w:rPr>
                <w:rFonts w:ascii="Cambria Math" w:eastAsia="Times New Roman" w:hAnsi="Arial" w:cs="Arial"/>
                <w:i/>
                <w:sz w:val="20"/>
                <w:szCs w:val="20"/>
              </w:rPr>
            </m:ctrlPr>
          </m:sSubPr>
          <m:e>
            <m:r>
              <w:rPr>
                <w:rFonts w:ascii="Cambria Math" w:eastAsia="Times New Roman" w:hAnsi="Arial" w:cs="Arial"/>
                <w:sz w:val="20"/>
                <w:szCs w:val="20"/>
              </w:rPr>
              <m:t xml:space="preserve"> </m:t>
            </m:r>
            <m:r>
              <w:rPr>
                <w:rFonts w:ascii="Cambria Math" w:eastAsia="Times New Roman" w:hAnsi="Cambria Math" w:cs="Arial"/>
                <w:sz w:val="20"/>
                <w:szCs w:val="20"/>
              </w:rPr>
              <m:t>k</m:t>
            </m:r>
          </m:e>
          <m:sub>
            <m:r>
              <w:rPr>
                <w:rFonts w:ascii="Cambria Math" w:eastAsia="Times New Roman" w:hAnsi="Cambria Math" w:cs="Arial"/>
                <w:sz w:val="20"/>
                <w:szCs w:val="20"/>
              </w:rPr>
              <m:t>x</m:t>
            </m:r>
          </m:sub>
        </m:sSub>
      </m:oMath>
      <w:r w:rsidRPr="00997D85">
        <w:rPr>
          <w:rFonts w:ascii="Arial" w:hAnsi="Arial" w:cs="Arial"/>
          <w:sz w:val="20"/>
          <w:szCs w:val="20"/>
        </w:rPr>
        <w:t xml:space="preserve"> and </w:t>
      </w:r>
      <m:oMath>
        <m:sSub>
          <m:sSubPr>
            <m:ctrlPr>
              <w:rPr>
                <w:rFonts w:ascii="Cambria Math" w:eastAsia="Times New Roman" w:hAnsi="Arial" w:cs="Arial"/>
                <w:i/>
                <w:sz w:val="20"/>
                <w:szCs w:val="20"/>
              </w:rPr>
            </m:ctrlPr>
          </m:sSubPr>
          <m:e>
            <m:r>
              <w:rPr>
                <w:rFonts w:ascii="Cambria Math" w:eastAsia="Times New Roman" w:hAnsi="Cambria Math" w:cs="Arial"/>
                <w:sz w:val="20"/>
                <w:szCs w:val="20"/>
              </w:rPr>
              <m:t>k</m:t>
            </m:r>
          </m:e>
          <m:sub>
            <m:r>
              <w:rPr>
                <w:rFonts w:ascii="Cambria Math" w:eastAsia="Times New Roman" w:hAnsi="Cambria Math" w:cs="Arial"/>
                <w:sz w:val="20"/>
                <w:szCs w:val="20"/>
              </w:rPr>
              <m:t>y</m:t>
            </m:r>
          </m:sub>
        </m:sSub>
      </m:oMath>
      <w:r w:rsidRPr="00997D85">
        <w:rPr>
          <w:rFonts w:ascii="Arial" w:hAnsi="Arial" w:cs="Arial"/>
          <w:sz w:val="20"/>
          <w:szCs w:val="20"/>
        </w:rPr>
        <w:t xml:space="preserve"> are momentum components and </w:t>
      </w:r>
      <m:oMath>
        <m:sSub>
          <m:sSubPr>
            <m:ctrlPr>
              <w:rPr>
                <w:rFonts w:ascii="Cambria Math" w:eastAsia="Times New Roman" w:hAnsi="Arial" w:cs="Arial"/>
                <w:i/>
                <w:sz w:val="20"/>
                <w:szCs w:val="20"/>
              </w:rPr>
            </m:ctrlPr>
          </m:sSubPr>
          <m:e>
            <m:r>
              <m:rPr>
                <m:sty m:val="p"/>
              </m:rPr>
              <w:rPr>
                <w:rFonts w:ascii="Arial" w:eastAsia="Times New Roman" w:hAnsi="Arial" w:cs="Arial"/>
                <w:sz w:val="20"/>
                <w:szCs w:val="20"/>
              </w:rPr>
              <m:t>Δ</m:t>
            </m:r>
          </m:e>
          <m:sub>
            <m:r>
              <w:rPr>
                <w:rFonts w:ascii="Cambria Math" w:eastAsia="Times New Roman" w:hAnsi="Arial" w:cs="Arial"/>
                <w:sz w:val="20"/>
                <w:szCs w:val="20"/>
              </w:rPr>
              <m:t>0</m:t>
            </m:r>
          </m:sub>
        </m:sSub>
      </m:oMath>
      <w:r w:rsidR="00232BE6">
        <w:rPr>
          <w:rFonts w:ascii="Arial" w:hAnsi="Arial" w:cs="Arial"/>
          <w:sz w:val="20"/>
          <w:szCs w:val="20"/>
        </w:rPr>
        <w:t xml:space="preserve"> sets the gap scale </w:t>
      </w:r>
      <w:r w:rsidR="00442011">
        <w:rPr>
          <w:rFonts w:ascii="Arial" w:hAnsi="Arial" w:cs="Arial"/>
          <w:sz w:val="20"/>
          <w:szCs w:val="20"/>
        </w:rPr>
        <w:t>[22]</w:t>
      </w:r>
      <w:r w:rsidRPr="00997D85">
        <w:rPr>
          <w:rFonts w:ascii="Arial" w:hAnsi="Arial" w:cs="Arial"/>
          <w:sz w:val="20"/>
          <w:szCs w:val="20"/>
        </w:rPr>
        <w:t>.</w:t>
      </w:r>
      <w:r w:rsidRPr="00997D85">
        <w:rPr>
          <w:rFonts w:ascii="Arial" w:eastAsia="Times New Roman" w:hAnsi="Arial" w:cs="Arial"/>
          <w:sz w:val="20"/>
          <w:szCs w:val="20"/>
        </w:rPr>
        <w:t xml:space="preserve"> </w:t>
      </w:r>
      <w:r w:rsidRPr="00997D85">
        <w:rPr>
          <w:rStyle w:val="Strong"/>
          <w:rFonts w:ascii="Arial" w:hAnsi="Arial" w:cs="Arial"/>
          <w:b w:val="0"/>
          <w:sz w:val="20"/>
          <w:szCs w:val="20"/>
        </w:rPr>
        <w:t xml:space="preserve">This consistency between experiment and theory underscores the central role of short-range spin correlations in shaping PG behavior. </w:t>
      </w:r>
      <w:r w:rsidRPr="00997D85">
        <w:rPr>
          <w:rFonts w:ascii="Arial" w:hAnsi="Arial" w:cs="Arial"/>
          <w:sz w:val="20"/>
          <w:szCs w:val="20"/>
        </w:rPr>
        <w:t xml:space="preserve">Figure 2, provides direct experimental evidence for this theoretical framework, showing spectral intensity maps where the predicted </w:t>
      </w:r>
      <w:proofErr w:type="spellStart"/>
      <w:r w:rsidRPr="00997D85">
        <w:rPr>
          <w:rFonts w:ascii="Arial" w:hAnsi="Arial" w:cs="Arial"/>
          <w:sz w:val="20"/>
          <w:szCs w:val="20"/>
        </w:rPr>
        <w:t>antinodal</w:t>
      </w:r>
      <w:proofErr w:type="spellEnd"/>
      <w:r w:rsidRPr="00997D85">
        <w:rPr>
          <w:rFonts w:ascii="Arial" w:hAnsi="Arial" w:cs="Arial"/>
          <w:sz w:val="20"/>
          <w:szCs w:val="20"/>
        </w:rPr>
        <w:t xml:space="preserve"> suppression is clearly visible while nodal regions remain largely unaffected. The momentum selectivity demonstrated in these ARPES measurements confirms the correlation-dri</w:t>
      </w:r>
      <w:r w:rsidR="00232BE6">
        <w:rPr>
          <w:rFonts w:ascii="Arial" w:hAnsi="Arial" w:cs="Arial"/>
          <w:sz w:val="20"/>
          <w:szCs w:val="20"/>
        </w:rPr>
        <w:t xml:space="preserve">ven mechanisms discussed above </w:t>
      </w:r>
      <w:r w:rsidR="00D36826">
        <w:rPr>
          <w:rFonts w:ascii="Arial" w:hAnsi="Arial" w:cs="Arial"/>
          <w:sz w:val="20"/>
          <w:szCs w:val="20"/>
        </w:rPr>
        <w:t>[18]</w:t>
      </w:r>
      <w:r w:rsidRPr="00997D85">
        <w:rPr>
          <w:rFonts w:ascii="Arial" w:hAnsi="Arial" w:cs="Arial"/>
          <w:sz w:val="20"/>
          <w:szCs w:val="20"/>
        </w:rPr>
        <w:t xml:space="preserve">; </w:t>
      </w:r>
      <w:r w:rsidR="00442011">
        <w:rPr>
          <w:rFonts w:ascii="Arial" w:hAnsi="Arial" w:cs="Arial"/>
          <w:sz w:val="20"/>
          <w:szCs w:val="20"/>
        </w:rPr>
        <w:t>[23]</w:t>
      </w:r>
      <w:r w:rsidRPr="00997D85">
        <w:rPr>
          <w:rFonts w:ascii="Arial" w:hAnsi="Arial" w:cs="Arial"/>
          <w:sz w:val="20"/>
          <w:szCs w:val="20"/>
        </w:rPr>
        <w:t>.</w:t>
      </w:r>
    </w:p>
    <w:p w14:paraId="5E6CBABF" w14:textId="77777777" w:rsidR="00C40ECA" w:rsidRDefault="00C40ECA" w:rsidP="00C40ECA">
      <w:pPr>
        <w:pStyle w:val="NormalWeb"/>
        <w:jc w:val="center"/>
      </w:pPr>
      <w:r>
        <w:rPr>
          <w:noProof/>
        </w:rPr>
        <w:lastRenderedPageBreak/>
        <w:drawing>
          <wp:inline distT="0" distB="0" distL="0" distR="0" wp14:anchorId="62D381D0" wp14:editId="67280265">
            <wp:extent cx="3572799" cy="3352800"/>
            <wp:effectExtent l="19050" t="0" r="8601" b="0"/>
            <wp:docPr id="7" name="Picture 3" descr="C:\Users\DELL\Downloads\ar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arpes.jpg"/>
                    <pic:cNvPicPr>
                      <a:picLocks noChangeAspect="1" noChangeArrowheads="1"/>
                    </pic:cNvPicPr>
                  </pic:nvPicPr>
                  <pic:blipFill>
                    <a:blip r:embed="rId9" cstate="print"/>
                    <a:srcRect/>
                    <a:stretch>
                      <a:fillRect/>
                    </a:stretch>
                  </pic:blipFill>
                  <pic:spPr bwMode="auto">
                    <a:xfrm>
                      <a:off x="0" y="0"/>
                      <a:ext cx="3576432" cy="3356209"/>
                    </a:xfrm>
                    <a:prstGeom prst="rect">
                      <a:avLst/>
                    </a:prstGeom>
                    <a:noFill/>
                    <a:ln w="9525">
                      <a:noFill/>
                      <a:miter lim="800000"/>
                      <a:headEnd/>
                      <a:tailEnd/>
                    </a:ln>
                  </pic:spPr>
                </pic:pic>
              </a:graphicData>
            </a:graphic>
          </wp:inline>
        </w:drawing>
      </w:r>
    </w:p>
    <w:p w14:paraId="0C452767" w14:textId="77777777" w:rsidR="00C40ECA" w:rsidRPr="00997D85" w:rsidRDefault="00C40ECA" w:rsidP="00997D85">
      <w:pPr>
        <w:spacing w:before="100" w:beforeAutospacing="1" w:after="100" w:afterAutospacing="1" w:line="240" w:lineRule="auto"/>
        <w:jc w:val="both"/>
        <w:rPr>
          <w:rStyle w:val="Strong"/>
          <w:rFonts w:ascii="Arial" w:hAnsi="Arial" w:cs="Arial"/>
          <w:b w:val="0"/>
          <w:i/>
          <w:sz w:val="20"/>
          <w:szCs w:val="20"/>
        </w:rPr>
      </w:pPr>
      <w:r w:rsidRPr="00997D85">
        <w:rPr>
          <w:rFonts w:ascii="Arial" w:hAnsi="Arial" w:cs="Arial"/>
          <w:i/>
          <w:sz w:val="20"/>
          <w:szCs w:val="20"/>
        </w:rPr>
        <w:t xml:space="preserve">Figure 2: Momentum-resolved ARPES spectra from Bi2201 at T = 10 K showing evolution from nodal (cut #1) to </w:t>
      </w:r>
      <w:proofErr w:type="spellStart"/>
      <w:r w:rsidRPr="00997D85">
        <w:rPr>
          <w:rFonts w:ascii="Arial" w:hAnsi="Arial" w:cs="Arial"/>
          <w:i/>
          <w:sz w:val="20"/>
          <w:szCs w:val="20"/>
        </w:rPr>
        <w:t>antinodal</w:t>
      </w:r>
      <w:proofErr w:type="spellEnd"/>
      <w:r w:rsidRPr="00997D85">
        <w:rPr>
          <w:rFonts w:ascii="Arial" w:hAnsi="Arial" w:cs="Arial"/>
          <w:i/>
          <w:sz w:val="20"/>
          <w:szCs w:val="20"/>
        </w:rPr>
        <w:t xml:space="preserve"> (cut #5) directions. (A) Fermi surface mapping with measurement cuts indicated. (B-F) Energy-momentum dispersion showing spectral weight suppression and band flattening near antinodes. (G-K) Evolution with doping demonstrating momentum-selective </w:t>
      </w:r>
      <w:proofErr w:type="spellStart"/>
      <w:r w:rsidRPr="00997D85">
        <w:rPr>
          <w:rFonts w:ascii="Arial" w:hAnsi="Arial" w:cs="Arial"/>
          <w:i/>
          <w:sz w:val="20"/>
          <w:szCs w:val="20"/>
        </w:rPr>
        <w:t>pseudogap</w:t>
      </w:r>
      <w:proofErr w:type="spellEnd"/>
      <w:r w:rsidRPr="00997D85">
        <w:rPr>
          <w:rFonts w:ascii="Arial" w:hAnsi="Arial" w:cs="Arial"/>
          <w:i/>
          <w:sz w:val="20"/>
          <w:szCs w:val="20"/>
        </w:rPr>
        <w:t xml:space="preserve"> behavior. Intensity scale from low (L) to high (H). Adapted from </w:t>
      </w:r>
      <w:r w:rsidR="00D36826">
        <w:rPr>
          <w:rFonts w:ascii="Arial" w:hAnsi="Arial" w:cs="Arial"/>
          <w:i/>
          <w:sz w:val="20"/>
          <w:szCs w:val="20"/>
        </w:rPr>
        <w:t>[18]</w:t>
      </w:r>
      <w:r w:rsidRPr="00997D85">
        <w:rPr>
          <w:rFonts w:ascii="Arial" w:hAnsi="Arial" w:cs="Arial"/>
          <w:i/>
          <w:sz w:val="20"/>
          <w:szCs w:val="20"/>
        </w:rPr>
        <w:t>.</w:t>
      </w:r>
    </w:p>
    <w:p w14:paraId="5405511D"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Additional ARPES studies report </w:t>
      </w:r>
      <w:proofErr w:type="spellStart"/>
      <w:r w:rsidRPr="00997D85">
        <w:rPr>
          <w:rFonts w:ascii="Arial" w:eastAsia="Times New Roman" w:hAnsi="Arial" w:cs="Arial"/>
          <w:sz w:val="20"/>
          <w:szCs w:val="20"/>
        </w:rPr>
        <w:t>antinodal</w:t>
      </w:r>
      <w:proofErr w:type="spellEnd"/>
      <w:r w:rsidRPr="00997D85">
        <w:rPr>
          <w:rFonts w:ascii="Arial" w:eastAsia="Times New Roman" w:hAnsi="Arial" w:cs="Arial"/>
          <w:sz w:val="20"/>
          <w:szCs w:val="20"/>
        </w:rPr>
        <w:t xml:space="preserve"> spectral-weight suppression, Fermi-momentum misalignment and asymmetric broadening that resist pure CDW/SDW explanations; combined strong-correlation plus Fröhlich EPI models reproduce </w:t>
      </w:r>
      <w:r w:rsidR="00232BE6">
        <w:rPr>
          <w:rFonts w:ascii="Arial" w:eastAsia="Times New Roman" w:hAnsi="Arial" w:cs="Arial"/>
          <w:sz w:val="20"/>
          <w:szCs w:val="20"/>
        </w:rPr>
        <w:t xml:space="preserve">these anomalies </w:t>
      </w:r>
      <w:r w:rsidR="00442011">
        <w:rPr>
          <w:rFonts w:ascii="Arial" w:eastAsia="Times New Roman" w:hAnsi="Arial" w:cs="Arial"/>
          <w:sz w:val="20"/>
          <w:szCs w:val="20"/>
        </w:rPr>
        <w:t>[23]</w:t>
      </w:r>
      <w:r w:rsidRPr="00997D85">
        <w:rPr>
          <w:rFonts w:ascii="Arial" w:eastAsia="Times New Roman" w:hAnsi="Arial" w:cs="Arial"/>
          <w:sz w:val="20"/>
          <w:szCs w:val="20"/>
        </w:rPr>
        <w:t xml:space="preserve">. </w:t>
      </w:r>
      <w:r w:rsidRPr="00997D85">
        <w:rPr>
          <w:rFonts w:ascii="Arial" w:hAnsi="Arial" w:cs="Arial"/>
          <w:sz w:val="20"/>
          <w:szCs w:val="20"/>
        </w:rPr>
        <w:t xml:space="preserve">Importantly, ARPES observes PG closure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0.22</m:t>
        </m:r>
      </m:oMath>
      <w:r w:rsidRPr="00997D85">
        <w:rPr>
          <w:rFonts w:ascii="Arial" w:hAnsi="Arial" w:cs="Arial"/>
          <w:sz w:val="20"/>
          <w:szCs w:val="20"/>
        </w:rPr>
        <w:t xml:space="preserve"> higher than transport values, reflecting its sensitivity to local electronic structure beyo</w:t>
      </w:r>
      <w:r w:rsidR="00232BE6">
        <w:rPr>
          <w:rFonts w:ascii="Arial" w:hAnsi="Arial" w:cs="Arial"/>
          <w:sz w:val="20"/>
          <w:szCs w:val="20"/>
        </w:rPr>
        <w:t xml:space="preserve">nd long-range coherence scales </w:t>
      </w:r>
      <w:r w:rsidR="00D36826">
        <w:rPr>
          <w:rFonts w:ascii="Arial" w:hAnsi="Arial" w:cs="Arial"/>
          <w:sz w:val="20"/>
          <w:szCs w:val="20"/>
        </w:rPr>
        <w:t>[13]</w:t>
      </w:r>
      <w:r w:rsidRPr="00997D85">
        <w:rPr>
          <w:rFonts w:ascii="Arial" w:hAnsi="Arial" w:cs="Arial"/>
          <w:sz w:val="20"/>
          <w:szCs w:val="20"/>
        </w:rPr>
        <w:t>.</w:t>
      </w:r>
    </w:p>
    <w:p w14:paraId="6B05B64D" w14:textId="77777777" w:rsidR="00C40ECA" w:rsidRPr="00997D85" w:rsidRDefault="00C40ECA" w:rsidP="00C40ECA">
      <w:pPr>
        <w:spacing w:before="100" w:beforeAutospacing="1" w:after="100" w:afterAutospacing="1" w:line="240" w:lineRule="auto"/>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2.2. Scanning Tunneling Microscopy/Spectroscopy (STM/STS)</w:t>
      </w:r>
    </w:p>
    <w:p w14:paraId="552F8FF9"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STM/STS provides atomic-scale access to the electronic structure of </w:t>
      </w:r>
      <w:proofErr w:type="spellStart"/>
      <w:r w:rsidRPr="00997D85">
        <w:rPr>
          <w:rFonts w:ascii="Arial" w:eastAsia="Times New Roman" w:hAnsi="Arial" w:cs="Arial"/>
          <w:sz w:val="20"/>
          <w:szCs w:val="20"/>
        </w:rPr>
        <w:t>cuprates</w:t>
      </w:r>
      <w:proofErr w:type="spellEnd"/>
      <w:r w:rsidRPr="00997D85">
        <w:rPr>
          <w:rFonts w:ascii="Arial" w:eastAsia="Times New Roman" w:hAnsi="Arial" w:cs="Arial"/>
          <w:sz w:val="20"/>
          <w:szCs w:val="20"/>
        </w:rPr>
        <w:t>, revealing spatial modulations, charge order, and symmetry</w:t>
      </w:r>
      <w:r w:rsidR="00232BE6">
        <w:rPr>
          <w:rFonts w:ascii="Arial" w:eastAsia="Times New Roman" w:hAnsi="Arial" w:cs="Arial"/>
          <w:sz w:val="20"/>
          <w:szCs w:val="20"/>
        </w:rPr>
        <w:t xml:space="preserve"> breaking within the PG regime </w:t>
      </w:r>
      <w:r w:rsidR="00442011">
        <w:rPr>
          <w:rFonts w:ascii="Arial" w:eastAsia="Times New Roman" w:hAnsi="Arial" w:cs="Arial"/>
          <w:sz w:val="20"/>
          <w:szCs w:val="20"/>
        </w:rPr>
        <w:t>[24]</w:t>
      </w:r>
      <w:r w:rsidRPr="00997D85">
        <w:rPr>
          <w:rFonts w:ascii="Arial" w:eastAsia="Times New Roman" w:hAnsi="Arial" w:cs="Arial"/>
          <w:sz w:val="20"/>
          <w:szCs w:val="20"/>
        </w:rPr>
        <w:t xml:space="preserve">. In </w:t>
      </w:r>
      <m:oMath>
        <m:r>
          <m:rPr>
            <m:sty m:val="p"/>
          </m:rPr>
          <w:rPr>
            <w:rFonts w:ascii="Cambria Math" w:eastAsia="Times New Roman" w:hAnsi="Arial" w:cs="Arial"/>
            <w:kern w:val="0"/>
            <w:sz w:val="20"/>
            <w:szCs w:val="20"/>
          </w:rPr>
          <m:t>Bi</m:t>
        </m:r>
        <m:r>
          <w:rPr>
            <w:rFonts w:ascii="Arial" w:eastAsia="Times New Roman" w:hAnsi="Arial" w:cs="Arial"/>
            <w:kern w:val="0"/>
            <w:sz w:val="20"/>
            <w:szCs w:val="20"/>
          </w:rPr>
          <m:t>-</m:t>
        </m:r>
        <m:r>
          <m:rPr>
            <m:sty m:val="p"/>
          </m:rPr>
          <w:rPr>
            <w:rFonts w:ascii="Cambria Math" w:eastAsia="Times New Roman" w:hAnsi="Arial" w:cs="Arial"/>
            <w:kern w:val="0"/>
            <w:sz w:val="20"/>
            <w:szCs w:val="20"/>
          </w:rPr>
          <m:t>based</m:t>
        </m:r>
      </m:oMath>
      <w:r w:rsidRPr="00997D85">
        <w:rPr>
          <w:rFonts w:ascii="Arial" w:eastAsia="Times New Roman" w:hAnsi="Arial" w:cs="Arial"/>
          <w:sz w:val="20"/>
          <w:szCs w:val="20"/>
        </w:rPr>
        <w:t xml:space="preserve"> cuprates </w:t>
      </w:r>
      <m:oMath>
        <m:r>
          <w:rPr>
            <w:rFonts w:ascii="Cambria Math" w:eastAsia="Times New Roman" w:hAnsi="Arial" w:cs="Arial"/>
            <w:sz w:val="20"/>
            <w:szCs w:val="20"/>
          </w:rPr>
          <m:t>(</m:t>
        </m:r>
        <m:r>
          <w:rPr>
            <w:rFonts w:ascii="Cambria Math" w:eastAsia="Times New Roman" w:hAnsi="Cambria Math" w:cs="Arial"/>
            <w:kern w:val="0"/>
            <w:sz w:val="20"/>
            <w:szCs w:val="20"/>
          </w:rPr>
          <m:t>Bi</m:t>
        </m:r>
        <m:r>
          <w:rPr>
            <w:rFonts w:ascii="Arial" w:eastAsia="Times New Roman" w:hAnsi="Arial" w:cs="Arial"/>
            <w:kern w:val="0"/>
            <w:sz w:val="20"/>
            <w:szCs w:val="20"/>
          </w:rPr>
          <m:t>-</m:t>
        </m:r>
        <m:r>
          <w:rPr>
            <w:rFonts w:ascii="Cambria Math" w:eastAsia="Times New Roman" w:hAnsi="Arial" w:cs="Arial"/>
            <w:kern w:val="0"/>
            <w:sz w:val="20"/>
            <w:szCs w:val="20"/>
          </w:rPr>
          <m:t>2212</m:t>
        </m:r>
      </m:oMath>
      <w:r w:rsidRPr="00997D85">
        <w:rPr>
          <w:rFonts w:ascii="Arial" w:eastAsia="Times New Roman" w:hAnsi="Arial" w:cs="Arial"/>
          <w:sz w:val="20"/>
          <w:szCs w:val="20"/>
        </w:rPr>
        <w:t xml:space="preserve">, </w:t>
      </w:r>
      <m:oMath>
        <m:r>
          <w:rPr>
            <w:rFonts w:ascii="Cambria Math" w:eastAsia="Times New Roman" w:hAnsi="Cambria Math" w:cs="Arial"/>
            <w:kern w:val="0"/>
            <w:sz w:val="20"/>
            <w:szCs w:val="20"/>
          </w:rPr>
          <m:t>Bi</m:t>
        </m:r>
        <m:r>
          <w:rPr>
            <w:rFonts w:ascii="Arial" w:eastAsia="Times New Roman" w:hAnsi="Arial" w:cs="Arial"/>
            <w:kern w:val="0"/>
            <w:sz w:val="20"/>
            <w:szCs w:val="20"/>
          </w:rPr>
          <m:t>-</m:t>
        </m:r>
        <m:r>
          <w:rPr>
            <w:rFonts w:ascii="Cambria Math" w:eastAsia="Times New Roman" w:hAnsi="Arial" w:cs="Arial"/>
            <w:kern w:val="0"/>
            <w:sz w:val="20"/>
            <w:szCs w:val="20"/>
          </w:rPr>
          <m:t>2201</m:t>
        </m:r>
        <m:r>
          <w:rPr>
            <w:rFonts w:ascii="Cambria Math" w:eastAsia="Times New Roman" w:hAnsi="Arial" w:cs="Arial"/>
            <w:sz w:val="20"/>
            <w:szCs w:val="20"/>
          </w:rPr>
          <m:t>)</m:t>
        </m:r>
      </m:oMath>
      <w:r w:rsidRPr="00997D85">
        <w:rPr>
          <w:rFonts w:ascii="Arial" w:eastAsia="Times New Roman" w:hAnsi="Arial" w:cs="Arial"/>
          <w:sz w:val="20"/>
          <w:szCs w:val="20"/>
        </w:rPr>
        <w:t xml:space="preserve">, STM detects checkerboard charge density wave (CDW) patterns emerging near the PG energy scale </w:t>
      </w:r>
      <m:oMath>
        <m:sSup>
          <m:sSupPr>
            <m:ctrlPr>
              <w:rPr>
                <w:rFonts w:ascii="Cambria Math" w:eastAsia="Times New Roman" w:hAnsi="Arial" w:cs="Arial"/>
                <w:i/>
                <w:kern w:val="0"/>
                <w:sz w:val="20"/>
                <w:szCs w:val="20"/>
              </w:rPr>
            </m:ctrlPr>
          </m:sSupPr>
          <m:e>
            <m:r>
              <w:rPr>
                <w:rFonts w:ascii="Arial" w:eastAsia="Times New Roman" w:hAnsi="Arial" w:cs="Arial"/>
                <w:kern w:val="0"/>
                <w:sz w:val="20"/>
                <w:szCs w:val="20"/>
              </w:rPr>
              <m:t>∆</m:t>
            </m:r>
          </m:e>
          <m:sup>
            <m:r>
              <w:rPr>
                <w:rFonts w:ascii="Arial" w:eastAsia="Times New Roman" w:hAnsi="Cambria Math" w:cs="Arial"/>
                <w:kern w:val="0"/>
                <w:sz w:val="20"/>
                <w:szCs w:val="20"/>
              </w:rPr>
              <m:t>*</m:t>
            </m:r>
          </m:sup>
        </m:sSup>
      </m:oMath>
      <w:r w:rsidR="00442011">
        <w:rPr>
          <w:rFonts w:ascii="Arial" w:eastAsia="Times New Roman" w:hAnsi="Arial" w:cs="Arial"/>
          <w:sz w:val="20"/>
          <w:szCs w:val="20"/>
        </w:rPr>
        <w:t>[24]</w:t>
      </w:r>
      <w:r w:rsidRPr="00997D85">
        <w:rPr>
          <w:rFonts w:ascii="Arial" w:eastAsia="Times New Roman" w:hAnsi="Arial" w:cs="Arial"/>
          <w:sz w:val="20"/>
          <w:szCs w:val="20"/>
        </w:rPr>
        <w:t xml:space="preserve">; </w:t>
      </w:r>
      <w:r w:rsidR="00442011">
        <w:rPr>
          <w:rFonts w:ascii="Arial" w:eastAsia="Times New Roman" w:hAnsi="Arial" w:cs="Arial"/>
          <w:sz w:val="20"/>
          <w:szCs w:val="20"/>
        </w:rPr>
        <w:t>[25]</w:t>
      </w:r>
      <w:r w:rsidRPr="00997D85">
        <w:rPr>
          <w:rFonts w:ascii="Arial" w:hAnsi="Arial" w:cs="Arial"/>
          <w:color w:val="052E16"/>
          <w:sz w:val="20"/>
          <w:szCs w:val="20"/>
        </w:rPr>
        <w:t xml:space="preserve">. </w:t>
      </w:r>
      <w:r w:rsidRPr="00997D85">
        <w:rPr>
          <w:rFonts w:ascii="Arial" w:eastAsia="Times New Roman" w:hAnsi="Arial" w:cs="Arial"/>
          <w:sz w:val="20"/>
          <w:szCs w:val="20"/>
        </w:rPr>
        <w:t xml:space="preserve">In </w:t>
      </w:r>
      <w:proofErr w:type="spellStart"/>
      <w:r w:rsidRPr="00997D85">
        <w:rPr>
          <w:rFonts w:ascii="Arial" w:eastAsia="Times New Roman" w:hAnsi="Arial" w:cs="Arial"/>
          <w:sz w:val="20"/>
          <w:szCs w:val="20"/>
        </w:rPr>
        <w:t>overdoped</w:t>
      </w:r>
      <w:proofErr w:type="spellEnd"/>
      <w:r w:rsidRPr="00997D85">
        <w:rPr>
          <w:rFonts w:ascii="Arial" w:eastAsia="Times New Roman" w:hAnsi="Arial" w:cs="Arial"/>
          <w:sz w:val="20"/>
          <w:szCs w:val="20"/>
        </w:rPr>
        <w:t xml:space="preserve"> </w:t>
      </w:r>
      <m:oMath>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Bi</m:t>
            </m:r>
            <m:r>
              <w:rPr>
                <w:rFonts w:ascii="Cambria Math" w:eastAsia="Times New Roman" w:hAnsi="Arial" w:cs="Arial"/>
                <w:sz w:val="20"/>
                <w:szCs w:val="20"/>
              </w:rPr>
              <m:t>,</m:t>
            </m:r>
            <m:r>
              <w:rPr>
                <w:rFonts w:ascii="Cambria Math" w:eastAsia="Times New Roman" w:hAnsi="Cambria Math" w:cs="Arial"/>
                <w:kern w:val="0"/>
                <w:sz w:val="20"/>
                <w:szCs w:val="20"/>
              </w:rPr>
              <m:t>Pb</m:t>
            </m:r>
            <m:r>
              <w:rPr>
                <w:rFonts w:ascii="Cambria Math" w:eastAsia="Times New Roman" w:hAnsi="Arial" w:cs="Arial"/>
                <w:kern w:val="0"/>
                <w:sz w:val="20"/>
                <w:szCs w:val="20"/>
              </w:rPr>
              <m:t>)</m:t>
            </m:r>
          </m:e>
          <m:sub>
            <m:r>
              <w:rPr>
                <w:rFonts w:ascii="Cambria Math" w:eastAsia="Times New Roman" w:hAnsi="Arial" w:cs="Arial"/>
                <w:kern w:val="0"/>
                <w:sz w:val="20"/>
                <w:szCs w:val="20"/>
              </w:rPr>
              <m:t>2</m:t>
            </m:r>
          </m:sub>
        </m:sSub>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Sr</m:t>
            </m:r>
          </m:e>
          <m:sub>
            <m:r>
              <w:rPr>
                <w:rFonts w:ascii="Cambria Math" w:eastAsia="Times New Roman" w:hAnsi="Arial" w:cs="Arial"/>
                <w:kern w:val="0"/>
                <w:sz w:val="20"/>
                <w:szCs w:val="20"/>
              </w:rPr>
              <m:t>2</m:t>
            </m:r>
          </m:sub>
        </m:sSub>
        <m:r>
          <w:rPr>
            <w:rFonts w:ascii="Cambria Math" w:eastAsia="Times New Roman" w:hAnsi="Cambria Math" w:cs="Arial"/>
            <w:kern w:val="0"/>
            <w:sz w:val="20"/>
            <w:szCs w:val="20"/>
          </w:rPr>
          <m:t>Cu</m:t>
        </m:r>
        <m:sSub>
          <m:sSubPr>
            <m:ctrlPr>
              <w:rPr>
                <w:rFonts w:ascii="Cambria Math" w:eastAsia="Times New Roman" w:hAnsi="Arial" w:cs="Arial"/>
                <w:i/>
                <w:kern w:val="0"/>
                <w:sz w:val="20"/>
                <w:szCs w:val="20"/>
              </w:rPr>
            </m:ctrlPr>
          </m:sSubPr>
          <m:e>
            <m:r>
              <w:rPr>
                <w:rFonts w:ascii="Cambria Math" w:eastAsia="Times New Roman" w:hAnsi="Arial" w:cs="Arial"/>
                <w:kern w:val="0"/>
                <w:sz w:val="20"/>
                <w:szCs w:val="20"/>
              </w:rPr>
              <m:t>0</m:t>
            </m:r>
          </m:e>
          <m:sub>
            <m:r>
              <w:rPr>
                <w:rFonts w:ascii="Cambria Math" w:eastAsia="Times New Roman" w:hAnsi="Arial" w:cs="Arial"/>
                <w:kern w:val="0"/>
                <w:sz w:val="20"/>
                <w:szCs w:val="20"/>
              </w:rPr>
              <m:t>6+</m:t>
            </m:r>
            <m:r>
              <w:rPr>
                <w:rFonts w:ascii="Cambria Math" w:eastAsia="Times New Roman" w:hAnsi="Cambria Math" w:cs="Arial"/>
                <w:kern w:val="0"/>
                <w:sz w:val="20"/>
                <w:szCs w:val="20"/>
              </w:rPr>
              <m:t>x</m:t>
            </m:r>
          </m:sub>
        </m:sSub>
      </m:oMath>
      <w:r w:rsidRPr="00997D85">
        <w:rPr>
          <w:rFonts w:ascii="Arial" w:eastAsia="Times New Roman" w:hAnsi="Arial" w:cs="Arial"/>
          <w:sz w:val="20"/>
          <w:szCs w:val="20"/>
        </w:rPr>
        <w:t xml:space="preserve">, these CDW signatures peak at </w:t>
      </w:r>
      <m:oMath>
        <m:sSup>
          <m:sSupPr>
            <m:ctrlPr>
              <w:rPr>
                <w:rFonts w:ascii="Cambria Math" w:eastAsia="Times New Roman" w:hAnsi="Arial" w:cs="Arial"/>
                <w:i/>
                <w:kern w:val="0"/>
                <w:sz w:val="20"/>
                <w:szCs w:val="20"/>
              </w:rPr>
            </m:ctrlPr>
          </m:sSupPr>
          <m:e>
            <m:r>
              <w:rPr>
                <w:rFonts w:ascii="Arial" w:eastAsia="Times New Roman" w:hAnsi="Arial" w:cs="Arial"/>
                <w:kern w:val="0"/>
                <w:sz w:val="20"/>
                <w:szCs w:val="20"/>
              </w:rPr>
              <m:t>∆</m:t>
            </m:r>
          </m:e>
          <m:sup>
            <m:r>
              <w:rPr>
                <w:rFonts w:ascii="Arial" w:eastAsia="Times New Roman" w:hAnsi="Cambria Math" w:cs="Arial"/>
                <w:kern w:val="0"/>
                <w:sz w:val="20"/>
                <w:szCs w:val="20"/>
              </w:rPr>
              <m:t>*</m:t>
            </m:r>
          </m:sup>
        </m:sSup>
      </m:oMath>
      <w:r w:rsidRPr="00997D85">
        <w:rPr>
          <w:rFonts w:ascii="Arial" w:eastAsia="Times New Roman" w:hAnsi="Arial" w:cs="Arial"/>
          <w:sz w:val="20"/>
          <w:szCs w:val="20"/>
        </w:rPr>
        <w:t>,</w:t>
      </w:r>
      <w:r w:rsidR="00232BE6">
        <w:rPr>
          <w:rFonts w:ascii="Arial" w:eastAsia="Times New Roman" w:hAnsi="Arial" w:cs="Arial"/>
          <w:sz w:val="20"/>
          <w:szCs w:val="20"/>
        </w:rPr>
        <w:t xml:space="preserve"> firmly linking them to the PG </w:t>
      </w:r>
      <w:r w:rsidR="00442011">
        <w:rPr>
          <w:rFonts w:ascii="Arial" w:eastAsia="Times New Roman" w:hAnsi="Arial" w:cs="Arial"/>
          <w:sz w:val="20"/>
          <w:szCs w:val="20"/>
        </w:rPr>
        <w:t>[24]</w:t>
      </w:r>
      <w:r w:rsidRPr="00997D85">
        <w:rPr>
          <w:rFonts w:ascii="Arial" w:eastAsia="Times New Roman" w:hAnsi="Arial" w:cs="Arial"/>
          <w:sz w:val="20"/>
          <w:szCs w:val="20"/>
        </w:rPr>
        <w:t xml:space="preserve">; </w:t>
      </w:r>
      <w:r w:rsidR="00442011">
        <w:rPr>
          <w:rFonts w:ascii="Arial" w:eastAsia="Times New Roman" w:hAnsi="Arial" w:cs="Arial"/>
          <w:sz w:val="20"/>
          <w:szCs w:val="20"/>
        </w:rPr>
        <w:t>[25]</w:t>
      </w:r>
      <w:r w:rsidRPr="00997D85">
        <w:rPr>
          <w:rFonts w:ascii="Arial" w:eastAsia="Times New Roman" w:hAnsi="Arial" w:cs="Arial"/>
          <w:sz w:val="20"/>
          <w:szCs w:val="20"/>
        </w:rPr>
        <w:t>.</w:t>
      </w:r>
    </w:p>
    <w:p w14:paraId="1CB321CB"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Spatial variations of the local density of states (LDOS) are well described by</w:t>
      </w:r>
    </w:p>
    <w:p w14:paraId="1F243686" w14:textId="77777777" w:rsidR="00C40ECA" w:rsidRPr="00997D85" w:rsidRDefault="00C40ECA" w:rsidP="00997D85">
      <w:pPr>
        <w:spacing w:before="100" w:beforeAutospacing="1" w:after="100" w:afterAutospacing="1" w:line="240" w:lineRule="auto"/>
        <w:jc w:val="both"/>
        <w:rPr>
          <w:rFonts w:ascii="Arial" w:eastAsia="Times New Roman" w:hAnsi="Arial" w:cs="Arial"/>
          <w:kern w:val="0"/>
          <w:sz w:val="20"/>
          <w:szCs w:val="20"/>
        </w:rPr>
      </w:pPr>
      <m:oMathPara>
        <m:oMath>
          <m:r>
            <w:rPr>
              <w:rFonts w:ascii="Cambria Math" w:eastAsia="Times New Roman" w:hAnsi="Cambria Math" w:cs="Arial"/>
              <w:kern w:val="0"/>
              <w:sz w:val="20"/>
              <w:szCs w:val="20"/>
            </w:rPr>
            <m:t>ρ</m:t>
          </m:r>
          <m:d>
            <m:dPr>
              <m:ctrlPr>
                <w:rPr>
                  <w:rFonts w:ascii="Cambria Math" w:eastAsia="Times New Roman" w:hAnsi="Arial" w:cs="Arial"/>
                  <w:i/>
                  <w:kern w:val="0"/>
                  <w:sz w:val="20"/>
                  <w:szCs w:val="20"/>
                </w:rPr>
              </m:ctrlPr>
            </m:dPr>
            <m:e>
              <m:r>
                <m:rPr>
                  <m:sty m:val="bi"/>
                </m:rPr>
                <w:rPr>
                  <w:rFonts w:ascii="Cambria Math" w:eastAsia="Times New Roman" w:hAnsi="Cambria Math" w:cs="Arial"/>
                  <w:kern w:val="0"/>
                  <w:sz w:val="20"/>
                  <w:szCs w:val="20"/>
                </w:rPr>
                <m:t>r</m:t>
              </m:r>
              <m:r>
                <w:rPr>
                  <w:rFonts w:ascii="Cambria Math" w:eastAsia="Times New Roman" w:hAnsi="Arial" w:cs="Arial"/>
                  <w:kern w:val="0"/>
                  <w:sz w:val="20"/>
                  <w:szCs w:val="20"/>
                </w:rPr>
                <m:t>,</m:t>
              </m:r>
              <m:r>
                <w:rPr>
                  <w:rFonts w:ascii="Cambria Math" w:eastAsia="Times New Roman" w:hAnsi="Cambria Math" w:cs="Arial"/>
                  <w:kern w:val="0"/>
                  <w:sz w:val="20"/>
                  <w:szCs w:val="20"/>
                </w:rPr>
                <m:t>ω</m:t>
              </m:r>
            </m:e>
          </m:d>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ρ</m:t>
              </m:r>
            </m:e>
            <m:sub>
              <m:r>
                <w:rPr>
                  <w:rFonts w:ascii="Cambria Math" w:eastAsia="Times New Roman" w:hAnsi="Arial" w:cs="Arial"/>
                  <w:kern w:val="0"/>
                  <w:sz w:val="20"/>
                  <w:szCs w:val="20"/>
                </w:rPr>
                <m:t>0</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w:rPr>
              <w:rFonts w:ascii="Cambria Math" w:eastAsia="Times New Roman" w:hAnsi="Arial" w:cs="Arial"/>
              <w:kern w:val="0"/>
              <w:sz w:val="20"/>
              <w:szCs w:val="20"/>
            </w:rPr>
            <m:t>+</m:t>
          </m:r>
          <m:nary>
            <m:naryPr>
              <m:chr m:val="∑"/>
              <m:limLoc m:val="undOvr"/>
              <m:supHide m:val="1"/>
              <m:ctrlPr>
                <w:rPr>
                  <w:rFonts w:ascii="Cambria Math" w:eastAsia="Times New Roman" w:hAnsi="Arial" w:cs="Arial"/>
                  <w:i/>
                  <w:kern w:val="0"/>
                  <w:sz w:val="20"/>
                  <w:szCs w:val="20"/>
                </w:rPr>
              </m:ctrlPr>
            </m:naryPr>
            <m:sub>
              <m:r>
                <w:rPr>
                  <w:rFonts w:ascii="Cambria Math" w:eastAsia="Times New Roman" w:hAnsi="Cambria Math" w:cs="Arial"/>
                  <w:kern w:val="0"/>
                  <w:sz w:val="20"/>
                  <w:szCs w:val="20"/>
                </w:rPr>
                <m:t>j</m:t>
              </m:r>
            </m:sub>
            <m:sup/>
            <m:e>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A</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m:rPr>
                  <m:sty m:val="p"/>
                </m:rPr>
                <w:rPr>
                  <w:rFonts w:ascii="Cambria Math" w:eastAsia="Times New Roman" w:hAnsi="Arial" w:cs="Arial"/>
                  <w:kern w:val="0"/>
                  <w:sz w:val="20"/>
                  <w:szCs w:val="20"/>
                </w:rPr>
                <m:t>cos</m:t>
              </m:r>
              <m:r>
                <m:rPr>
                  <m:sty m:val="p"/>
                </m:rPr>
                <w:rPr>
                  <w:rFonts w:ascii="Cambria Math" w:eastAsia="Times New Roman" w:hAnsi="Cambria Math" w:cs="Arial"/>
                  <w:kern w:val="0"/>
                  <w:sz w:val="20"/>
                  <w:szCs w:val="20"/>
                </w:rPr>
                <m:t>⁡</m:t>
              </m:r>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m:rPr>
                      <m:sty m:val="bi"/>
                    </m:rPr>
                    <w:rPr>
                      <w:rFonts w:ascii="Cambria Math" w:eastAsia="Times New Roman" w:hAnsi="Cambria Math" w:cs="Arial"/>
                      <w:kern w:val="0"/>
                      <w:sz w:val="20"/>
                      <w:szCs w:val="20"/>
                    </w:rPr>
                    <m:t>Q</m:t>
                  </m:r>
                </m:e>
                <m:sub>
                  <m:r>
                    <w:rPr>
                      <w:rFonts w:ascii="Cambria Math" w:eastAsia="Times New Roman" w:hAnsi="Cambria Math" w:cs="Arial"/>
                      <w:kern w:val="0"/>
                      <w:sz w:val="20"/>
                      <w:szCs w:val="20"/>
                    </w:rPr>
                    <m:t>j</m:t>
                  </m:r>
                </m:sub>
              </m:sSub>
              <m: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ϕ</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r>
                <w:rPr>
                  <w:rFonts w:ascii="Cambria Math" w:eastAsia="Times New Roman" w:hAnsi="Arial" w:cs="Arial"/>
                  <w:kern w:val="0"/>
                  <w:sz w:val="20"/>
                  <w:szCs w:val="20"/>
                </w:rPr>
                <m:t>)</m:t>
              </m:r>
            </m:e>
          </m:nary>
        </m:oMath>
      </m:oMathPara>
    </w:p>
    <w:p w14:paraId="4B4C7AFC"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kern w:val="0"/>
          <w:sz w:val="20"/>
          <w:szCs w:val="20"/>
        </w:rPr>
        <w:t xml:space="preserve">Where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ρ</m:t>
            </m:r>
          </m:e>
          <m:sub>
            <m:r>
              <w:rPr>
                <w:rFonts w:ascii="Cambria Math" w:eastAsia="Times New Roman" w:hAnsi="Arial" w:cs="Arial"/>
                <w:kern w:val="0"/>
                <w:sz w:val="20"/>
                <w:szCs w:val="20"/>
              </w:rPr>
              <m:t>0</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represents the spatially averaged background density of states,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A</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denotes the energy-dependent modulation amplitude for wavevector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Q</m:t>
            </m:r>
          </m:e>
          <m:sub>
            <m:r>
              <w:rPr>
                <w:rFonts w:ascii="Cambria Math" w:eastAsia="Times New Roman" w:hAnsi="Cambria Math" w:cs="Arial"/>
                <w:kern w:val="0"/>
                <w:sz w:val="20"/>
                <w:szCs w:val="20"/>
              </w:rPr>
              <m:t>j</m:t>
            </m:r>
          </m:sub>
        </m:sSub>
        <m:r>
          <w:rPr>
            <w:rFonts w:ascii="Cambria Math" w:eastAsia="Times New Roman" w:hAnsi="Arial" w:cs="Arial"/>
            <w:kern w:val="0"/>
            <w:sz w:val="20"/>
            <w:szCs w:val="20"/>
          </w:rPr>
          <m:t>,</m:t>
        </m:r>
      </m:oMath>
      <w:r w:rsidRPr="00997D85">
        <w:rPr>
          <w:rFonts w:ascii="Arial" w:eastAsia="Times New Roman" w:hAnsi="Arial" w:cs="Arial"/>
          <w:kern w:val="0"/>
          <w:sz w:val="20"/>
          <w:szCs w:val="20"/>
        </w:rPr>
        <w:t xml:space="preserve"> and </w:t>
      </w:r>
      <m:oMath>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ϕ</m:t>
            </m:r>
          </m:e>
          <m:sub>
            <m:r>
              <w:rPr>
                <w:rFonts w:ascii="Cambria Math" w:eastAsia="Times New Roman" w:hAnsi="Cambria Math" w:cs="Arial"/>
                <w:kern w:val="0"/>
                <w:sz w:val="20"/>
                <w:szCs w:val="20"/>
              </w:rPr>
              <m:t>j</m:t>
            </m:r>
          </m:sub>
        </m:sSub>
        <m:d>
          <m:dPr>
            <m:ctrlPr>
              <w:rPr>
                <w:rFonts w:ascii="Cambria Math" w:eastAsia="Times New Roman" w:hAnsi="Arial" w:cs="Arial"/>
                <w:i/>
                <w:kern w:val="0"/>
                <w:sz w:val="20"/>
                <w:szCs w:val="20"/>
              </w:rPr>
            </m:ctrlPr>
          </m:dPr>
          <m:e>
            <m:r>
              <w:rPr>
                <w:rFonts w:ascii="Cambria Math" w:eastAsia="Times New Roman" w:hAnsi="Cambria Math" w:cs="Arial"/>
                <w:kern w:val="0"/>
                <w:sz w:val="20"/>
                <w:szCs w:val="20"/>
              </w:rPr>
              <m:t>ω</m:t>
            </m:r>
          </m:e>
        </m:d>
      </m:oMath>
      <w:r w:rsidRPr="00997D85">
        <w:rPr>
          <w:rFonts w:ascii="Arial" w:eastAsia="Times New Roman" w:hAnsi="Arial" w:cs="Arial"/>
          <w:kern w:val="0"/>
          <w:sz w:val="20"/>
          <w:szCs w:val="20"/>
        </w:rPr>
        <w:t xml:space="preserve"> captures phase shifts that reflects the underlying electronic correlations </w:t>
      </w:r>
      <w:r w:rsidR="00442011">
        <w:rPr>
          <w:rFonts w:ascii="Arial" w:hAnsi="Arial" w:cs="Arial"/>
          <w:sz w:val="20"/>
          <w:szCs w:val="20"/>
        </w:rPr>
        <w:t>[26]</w:t>
      </w:r>
      <w:r w:rsidRPr="00997D85">
        <w:rPr>
          <w:rFonts w:ascii="Arial" w:eastAsia="Times New Roman" w:hAnsi="Arial" w:cs="Arial"/>
          <w:kern w:val="0"/>
          <w:sz w:val="20"/>
          <w:szCs w:val="20"/>
        </w:rPr>
        <w:t>.</w:t>
      </w:r>
      <w:r w:rsidRPr="00997D85">
        <w:rPr>
          <w:rFonts w:ascii="Arial" w:eastAsia="Times New Roman" w:hAnsi="Arial" w:cs="Arial"/>
          <w:sz w:val="20"/>
          <w:szCs w:val="20"/>
        </w:rPr>
        <w:t xml:space="preserve">Initially modeled as simple cosine modulations </w:t>
      </w:r>
      <w:r w:rsidR="00442011">
        <w:rPr>
          <w:rFonts w:ascii="Arial" w:hAnsi="Arial" w:cs="Arial"/>
          <w:sz w:val="20"/>
          <w:szCs w:val="20"/>
        </w:rPr>
        <w:t>[26]</w:t>
      </w:r>
      <w:r w:rsidRPr="00997D85">
        <w:rPr>
          <w:rFonts w:ascii="Arial" w:eastAsia="Times New Roman" w:hAnsi="Arial" w:cs="Arial"/>
          <w:sz w:val="20"/>
          <w:szCs w:val="20"/>
        </w:rPr>
        <w:t xml:space="preserve">, this framework </w:t>
      </w:r>
      <w:r w:rsidRPr="00997D85">
        <w:rPr>
          <w:rFonts w:ascii="Arial" w:eastAsia="Times New Roman" w:hAnsi="Arial" w:cs="Arial"/>
          <w:sz w:val="20"/>
          <w:szCs w:val="20"/>
        </w:rPr>
        <w:lastRenderedPageBreak/>
        <w:t>has since been generalized to capture local amplitude and phase anisotropies along distinct crystal</w:t>
      </w:r>
      <w:r w:rsidR="00232BE6">
        <w:rPr>
          <w:rFonts w:ascii="Arial" w:eastAsia="Times New Roman" w:hAnsi="Arial" w:cs="Arial"/>
          <w:sz w:val="20"/>
          <w:szCs w:val="20"/>
        </w:rPr>
        <w:t xml:space="preserve">lographic axes </w:t>
      </w:r>
      <w:r w:rsidR="00442011">
        <w:rPr>
          <w:rFonts w:ascii="Arial" w:eastAsia="Times New Roman" w:hAnsi="Arial" w:cs="Arial"/>
          <w:sz w:val="20"/>
          <w:szCs w:val="20"/>
        </w:rPr>
        <w:t>[24]</w:t>
      </w:r>
      <w:r w:rsidRPr="00997D85">
        <w:rPr>
          <w:rFonts w:ascii="Arial" w:eastAsia="Times New Roman" w:hAnsi="Arial" w:cs="Arial"/>
          <w:sz w:val="20"/>
          <w:szCs w:val="20"/>
        </w:rPr>
        <w:t>.</w:t>
      </w:r>
    </w:p>
    <w:p w14:paraId="5016FA40"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Fei et al. (2019) reported topological defects such as vortices with winding number ±1 in CDW patterns of </w:t>
      </w:r>
      <w:proofErr w:type="spellStart"/>
      <w:r w:rsidRPr="00997D85">
        <w:rPr>
          <w:rFonts w:ascii="Arial" w:eastAsia="Times New Roman" w:hAnsi="Arial" w:cs="Arial"/>
          <w:sz w:val="20"/>
          <w:szCs w:val="20"/>
        </w:rPr>
        <w:t>overdoped</w:t>
      </w:r>
      <w:proofErr w:type="spellEnd"/>
      <w:r w:rsidRPr="00997D85">
        <w:rPr>
          <w:rFonts w:ascii="Arial" w:eastAsia="Times New Roman" w:hAnsi="Arial" w:cs="Arial"/>
          <w:sz w:val="20"/>
          <w:szCs w:val="20"/>
        </w:rPr>
        <w:t xml:space="preserve"> </w:t>
      </w:r>
      <m:oMath>
        <m:r>
          <w:rPr>
            <w:rFonts w:ascii="Cambria Math" w:eastAsia="Times New Roman" w:hAnsi="Cambria Math" w:cs="Arial"/>
            <w:kern w:val="0"/>
            <w:sz w:val="20"/>
            <w:szCs w:val="20"/>
          </w:rPr>
          <m:t>Bi</m:t>
        </m:r>
        <m:r>
          <w:rPr>
            <w:rFonts w:ascii="Times New Roman" w:eastAsia="Times New Roman" w:hAnsi="Arial" w:cs="Arial"/>
            <w:kern w:val="0"/>
            <w:sz w:val="20"/>
            <w:szCs w:val="20"/>
          </w:rPr>
          <m:t>-</m:t>
        </m:r>
        <m:r>
          <w:rPr>
            <w:rFonts w:ascii="Cambria Math" w:eastAsia="Times New Roman" w:hAnsi="Arial" w:cs="Arial"/>
            <w:kern w:val="0"/>
            <w:sz w:val="20"/>
            <w:szCs w:val="20"/>
          </w:rPr>
          <m:t>2201</m:t>
        </m:r>
      </m:oMath>
      <w:r w:rsidRPr="00997D85">
        <w:rPr>
          <w:rFonts w:ascii="Arial" w:eastAsia="Times New Roman" w:hAnsi="Arial" w:cs="Arial"/>
          <w:sz w:val="20"/>
          <w:szCs w:val="20"/>
        </w:rPr>
        <w:t>, pointing to local strain, inhomogeneity, and fluctuating order. Furthermore, Mukhopadhyay et al. (2019) identified a vestigial nematic state in Bi-based cuprates, a broken rotational symmetry within unit cells that coexists with CDW correlations. Together, these results show that the PG phase is spatially heterogeneous, symmetry-breaking, and intertwined wit</w:t>
      </w:r>
      <w:r w:rsidR="00232BE6">
        <w:rPr>
          <w:rFonts w:ascii="Arial" w:eastAsia="Times New Roman" w:hAnsi="Arial" w:cs="Arial"/>
          <w:sz w:val="20"/>
          <w:szCs w:val="20"/>
        </w:rPr>
        <w:t xml:space="preserve">h charge order and doping </w:t>
      </w:r>
      <w:r w:rsidR="00442011">
        <w:rPr>
          <w:rFonts w:ascii="Arial" w:eastAsia="Times New Roman" w:hAnsi="Arial" w:cs="Arial"/>
          <w:sz w:val="20"/>
          <w:szCs w:val="20"/>
        </w:rPr>
        <w:t>[24]</w:t>
      </w:r>
      <w:r w:rsidRPr="00997D85">
        <w:rPr>
          <w:rFonts w:ascii="Arial" w:eastAsia="Times New Roman" w:hAnsi="Arial" w:cs="Arial"/>
          <w:sz w:val="20"/>
          <w:szCs w:val="20"/>
        </w:rPr>
        <w:t xml:space="preserve">; </w:t>
      </w:r>
      <w:r w:rsidR="00442011">
        <w:rPr>
          <w:rFonts w:ascii="Arial" w:eastAsia="Times New Roman" w:hAnsi="Arial" w:cs="Arial"/>
          <w:sz w:val="20"/>
          <w:szCs w:val="20"/>
        </w:rPr>
        <w:t>[25]</w:t>
      </w:r>
      <w:r w:rsidRPr="00997D85">
        <w:rPr>
          <w:rFonts w:ascii="Arial" w:eastAsia="Times New Roman" w:hAnsi="Arial" w:cs="Arial"/>
          <w:sz w:val="20"/>
          <w:szCs w:val="20"/>
        </w:rPr>
        <w:t xml:space="preserve">; </w:t>
      </w:r>
      <w:r w:rsidR="00442011">
        <w:rPr>
          <w:rFonts w:ascii="Arial" w:eastAsia="Times New Roman" w:hAnsi="Arial" w:cs="Arial"/>
          <w:sz w:val="20"/>
          <w:szCs w:val="20"/>
        </w:rPr>
        <w:t>[27]</w:t>
      </w:r>
      <w:r w:rsidRPr="00997D85">
        <w:rPr>
          <w:rFonts w:ascii="Arial" w:eastAsia="Times New Roman" w:hAnsi="Arial" w:cs="Arial"/>
          <w:sz w:val="20"/>
          <w:szCs w:val="20"/>
        </w:rPr>
        <w:t>.</w:t>
      </w:r>
    </w:p>
    <w:p w14:paraId="1C8B47E3"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Importantly, STM detects PG and CDW features persisting well beyond transport-based critical doping. In Bi-2201, CDW correlations survive up to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0.21</m:t>
        </m:r>
      </m:oMath>
      <w:r w:rsidR="00232BE6">
        <w:rPr>
          <w:rFonts w:ascii="Arial" w:eastAsia="Times New Roman" w:hAnsi="Arial" w:cs="Arial"/>
          <w:sz w:val="20"/>
          <w:szCs w:val="20"/>
        </w:rPr>
        <w:t xml:space="preserve"> </w:t>
      </w:r>
      <w:r w:rsidR="00442011">
        <w:rPr>
          <w:rFonts w:ascii="Arial" w:eastAsia="Times New Roman" w:hAnsi="Arial" w:cs="Arial"/>
          <w:sz w:val="20"/>
          <w:szCs w:val="20"/>
        </w:rPr>
        <w:t>[24]</w:t>
      </w:r>
      <w:r w:rsidRPr="00997D85">
        <w:rPr>
          <w:rFonts w:ascii="Arial" w:eastAsia="Times New Roman" w:hAnsi="Arial" w:cs="Arial"/>
          <w:sz w:val="20"/>
          <w:szCs w:val="20"/>
        </w:rPr>
        <w:t xml:space="preserve">, exceeding transport estimates of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m:t>
        </m:r>
        <m:r>
          <w:rPr>
            <w:rFonts w:ascii="Cambria Math" w:hAnsi="Arial" w:cs="Arial"/>
            <w:sz w:val="20"/>
            <w:szCs w:val="20"/>
          </w:rPr>
          <m:t>0.18</m:t>
        </m:r>
        <m:r>
          <w:rPr>
            <w:rFonts w:ascii="Cambria Math" w:hAnsi="Arial" w:cs="Arial"/>
            <w:sz w:val="20"/>
            <w:szCs w:val="20"/>
          </w:rPr>
          <m:t>-</m:t>
        </m:r>
        <m:r>
          <w:rPr>
            <w:rFonts w:ascii="Cambria Math" w:hAnsi="Arial" w:cs="Arial"/>
            <w:sz w:val="20"/>
            <w:szCs w:val="20"/>
          </w:rPr>
          <m:t>0.19</m:t>
        </m:r>
      </m:oMath>
      <w:r w:rsidR="00232BE6">
        <w:rPr>
          <w:rFonts w:ascii="Arial" w:hAnsi="Arial" w:cs="Arial"/>
          <w:sz w:val="20"/>
          <w:szCs w:val="20"/>
        </w:rPr>
        <w:t xml:space="preserve"> </w:t>
      </w:r>
      <w:r w:rsidR="00D36826">
        <w:rPr>
          <w:rFonts w:ascii="Arial" w:hAnsi="Arial" w:cs="Arial"/>
          <w:sz w:val="20"/>
          <w:szCs w:val="20"/>
        </w:rPr>
        <w:t>[12]</w:t>
      </w:r>
      <w:r w:rsidRPr="00997D85">
        <w:rPr>
          <w:rFonts w:ascii="Arial" w:eastAsia="Times New Roman" w:hAnsi="Arial" w:cs="Arial"/>
          <w:sz w:val="20"/>
          <w:szCs w:val="20"/>
        </w:rPr>
        <w:t>. This highlights STM’s unique sensitivity to nanoscale electronic reconstruction even after bulk coherence is restored.</w:t>
      </w:r>
    </w:p>
    <w:p w14:paraId="265192C1" w14:textId="77777777" w:rsidR="00C40ECA" w:rsidRDefault="00C40ECA" w:rsidP="00C40ECA">
      <w:pPr>
        <w:pStyle w:val="NormalWeb"/>
      </w:pPr>
      <w:r>
        <w:rPr>
          <w:noProof/>
        </w:rPr>
        <w:drawing>
          <wp:inline distT="0" distB="0" distL="0" distR="0" wp14:anchorId="04F0C3DF" wp14:editId="2396FA0F">
            <wp:extent cx="5943600" cy="2349470"/>
            <wp:effectExtent l="19050" t="0" r="0" b="0"/>
            <wp:docPr id="3" name="Picture 8" descr="Spatial-heterogeneity-of-the-pairing-energy-A-dI-dV-spectra-at-different-positions-on.ppm (85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tial-heterogeneity-of-the-pairing-energy-A-dI-dV-spectra-at-different-positions-on.ppm (850×336)"/>
                    <pic:cNvPicPr>
                      <a:picLocks noChangeAspect="1" noChangeArrowheads="1"/>
                    </pic:cNvPicPr>
                  </pic:nvPicPr>
                  <pic:blipFill>
                    <a:blip r:embed="rId10"/>
                    <a:srcRect/>
                    <a:stretch>
                      <a:fillRect/>
                    </a:stretch>
                  </pic:blipFill>
                  <pic:spPr bwMode="auto">
                    <a:xfrm>
                      <a:off x="0" y="0"/>
                      <a:ext cx="5943600" cy="2349470"/>
                    </a:xfrm>
                    <a:prstGeom prst="rect">
                      <a:avLst/>
                    </a:prstGeom>
                    <a:noFill/>
                    <a:ln w="9525">
                      <a:noFill/>
                      <a:miter lim="800000"/>
                      <a:headEnd/>
                      <a:tailEnd/>
                    </a:ln>
                  </pic:spPr>
                </pic:pic>
              </a:graphicData>
            </a:graphic>
          </wp:inline>
        </w:drawing>
      </w:r>
    </w:p>
    <w:p w14:paraId="2277ADF0" w14:textId="77777777" w:rsidR="00C40ECA" w:rsidRPr="00997D85" w:rsidRDefault="00C40ECA" w:rsidP="00997D85">
      <w:pPr>
        <w:pStyle w:val="NormalWeb"/>
        <w:jc w:val="both"/>
        <w:rPr>
          <w:rFonts w:ascii="Arial" w:hAnsi="Arial" w:cs="Arial"/>
          <w:i/>
          <w:sz w:val="20"/>
          <w:szCs w:val="20"/>
        </w:rPr>
      </w:pPr>
      <w:r w:rsidRPr="00997D85">
        <w:rPr>
          <w:rStyle w:val="Strong"/>
          <w:rFonts w:ascii="Arial" w:hAnsi="Arial" w:cs="Arial"/>
          <w:i/>
          <w:sz w:val="20"/>
          <w:szCs w:val="20"/>
        </w:rPr>
        <w:t xml:space="preserve">Figure 3: STM/STS measurements showing spatial heterogeneity of </w:t>
      </w:r>
      <w:proofErr w:type="spellStart"/>
      <w:r w:rsidRPr="00997D85">
        <w:rPr>
          <w:rStyle w:val="Strong"/>
          <w:rFonts w:ascii="Arial" w:hAnsi="Arial" w:cs="Arial"/>
          <w:i/>
          <w:sz w:val="20"/>
          <w:szCs w:val="20"/>
        </w:rPr>
        <w:t>pseudogap</w:t>
      </w:r>
      <w:proofErr w:type="spellEnd"/>
      <w:r w:rsidRPr="00997D85">
        <w:rPr>
          <w:rStyle w:val="Strong"/>
          <w:rFonts w:ascii="Arial" w:hAnsi="Arial" w:cs="Arial"/>
          <w:i/>
          <w:sz w:val="20"/>
          <w:szCs w:val="20"/>
        </w:rPr>
        <w:t xml:space="preserve"> energy in Bi-based </w:t>
      </w:r>
      <w:proofErr w:type="spellStart"/>
      <w:r w:rsidRPr="00997D85">
        <w:rPr>
          <w:rStyle w:val="Strong"/>
          <w:rFonts w:ascii="Arial" w:hAnsi="Arial" w:cs="Arial"/>
          <w:i/>
          <w:sz w:val="20"/>
          <w:szCs w:val="20"/>
        </w:rPr>
        <w:t>cuprates</w:t>
      </w:r>
      <w:proofErr w:type="spellEnd"/>
      <w:r w:rsidRPr="00997D85">
        <w:rPr>
          <w:rStyle w:val="Strong"/>
          <w:rFonts w:ascii="Arial" w:hAnsi="Arial" w:cs="Arial"/>
          <w:i/>
          <w:sz w:val="20"/>
          <w:szCs w:val="20"/>
        </w:rPr>
        <w:t>.</w:t>
      </w:r>
      <w:r w:rsidRPr="00997D85">
        <w:rPr>
          <w:rFonts w:ascii="Arial" w:hAnsi="Arial" w:cs="Arial"/>
          <w:i/>
          <w:sz w:val="20"/>
          <w:szCs w:val="20"/>
        </w:rPr>
        <w:t xml:space="preserve"> (A) </w:t>
      </w:r>
      <w:proofErr w:type="spellStart"/>
      <w:r w:rsidRPr="00997D85">
        <w:rPr>
          <w:rFonts w:ascii="Arial" w:hAnsi="Arial" w:cs="Arial"/>
          <w:i/>
          <w:sz w:val="20"/>
          <w:szCs w:val="20"/>
        </w:rPr>
        <w:t>dI</w:t>
      </w:r>
      <w:proofErr w:type="spellEnd"/>
      <w:r w:rsidRPr="00997D85">
        <w:rPr>
          <w:rFonts w:ascii="Arial" w:hAnsi="Arial" w:cs="Arial"/>
          <w:i/>
          <w:sz w:val="20"/>
          <w:szCs w:val="20"/>
        </w:rPr>
        <w:t>/</w:t>
      </w:r>
      <w:proofErr w:type="spellStart"/>
      <w:r w:rsidRPr="00997D85">
        <w:rPr>
          <w:rFonts w:ascii="Arial" w:hAnsi="Arial" w:cs="Arial"/>
          <w:i/>
          <w:sz w:val="20"/>
          <w:szCs w:val="20"/>
        </w:rPr>
        <w:t>dV</w:t>
      </w:r>
      <w:proofErr w:type="spellEnd"/>
      <w:r w:rsidRPr="00997D85">
        <w:rPr>
          <w:rFonts w:ascii="Arial" w:hAnsi="Arial" w:cs="Arial"/>
          <w:i/>
          <w:sz w:val="20"/>
          <w:szCs w:val="20"/>
        </w:rPr>
        <w:t xml:space="preserve"> spectra at different spatial positions on underdoped (UD60K), underdoped (UD70K), and optimally doped (OP91K) samples, with vertical offset for clarity. Gray lines indicate gap values Δ. (B) Effective charge measurements showing systematic evolution with bias voltage, with error bars representing standard deviation. Dashed lines indicate reference levels. (C) Correlation plot of pairing energy </w:t>
      </w:r>
      <m:oMath>
        <m:sSub>
          <m:sSubPr>
            <m:ctrlPr>
              <w:rPr>
                <w:rFonts w:ascii="Cambria Math" w:hAnsi="Arial" w:cs="Arial"/>
                <w:i/>
                <w:sz w:val="20"/>
                <w:szCs w:val="20"/>
              </w:rPr>
            </m:ctrlPr>
          </m:sSubPr>
          <m:e>
            <m:r>
              <w:rPr>
                <w:rFonts w:ascii="Cambria Math" w:hAnsi="Cambria Math" w:cs="Arial"/>
                <w:sz w:val="20"/>
                <w:szCs w:val="20"/>
              </w:rPr>
              <m:t>E</m:t>
            </m:r>
          </m:e>
          <m:sub>
            <m:r>
              <w:rPr>
                <w:rFonts w:ascii="Cambria Math" w:hAnsi="Cambria Math" w:cs="Arial"/>
                <w:sz w:val="20"/>
                <w:szCs w:val="20"/>
              </w:rPr>
              <m:t>PG</m:t>
            </m:r>
          </m:sub>
        </m:sSub>
      </m:oMath>
      <w:r w:rsidRPr="00997D85">
        <w:rPr>
          <w:rFonts w:ascii="Arial" w:hAnsi="Arial" w:cs="Arial"/>
          <w:i/>
          <w:sz w:val="20"/>
          <w:szCs w:val="20"/>
        </w:rPr>
        <w:t xml:space="preserve"> vs gap magnitude  </w:t>
      </w:r>
      <m:oMath>
        <m:sSub>
          <m:sSubPr>
            <m:ctrlPr>
              <w:rPr>
                <w:rFonts w:ascii="Cambria Math" w:hAnsi="Arial" w:cs="Arial"/>
                <w:i/>
                <w:sz w:val="20"/>
                <w:szCs w:val="20"/>
              </w:rPr>
            </m:ctrlPr>
          </m:sSubPr>
          <m:e>
            <m:r>
              <w:rPr>
                <w:rFonts w:ascii="Arial" w:hAnsi="Arial" w:cs="Arial"/>
                <w:sz w:val="20"/>
                <w:szCs w:val="20"/>
              </w:rPr>
              <m:t>∆</m:t>
            </m:r>
          </m:e>
          <m:sub>
            <m:r>
              <w:rPr>
                <w:rFonts w:ascii="Cambria Math" w:hAnsi="Cambria Math" w:cs="Arial"/>
                <w:sz w:val="20"/>
                <w:szCs w:val="20"/>
              </w:rPr>
              <m:t>PG</m:t>
            </m:r>
          </m:sub>
        </m:sSub>
      </m:oMath>
      <w:r w:rsidRPr="00997D85">
        <w:rPr>
          <w:rFonts w:ascii="Arial" w:hAnsi="Arial" w:cs="Arial"/>
          <w:i/>
          <w:sz w:val="20"/>
          <w:szCs w:val="20"/>
        </w:rPr>
        <w:t xml:space="preserve"> across different doping levels, demonstrating the systematic relationship between local electronic pr</w:t>
      </w:r>
      <w:r w:rsidR="005D5BFB" w:rsidRPr="00997D85">
        <w:rPr>
          <w:rFonts w:ascii="Arial" w:hAnsi="Arial" w:cs="Arial"/>
          <w:i/>
          <w:sz w:val="20"/>
          <w:szCs w:val="20"/>
        </w:rPr>
        <w:t xml:space="preserve">operties and </w:t>
      </w:r>
      <w:proofErr w:type="spellStart"/>
      <w:r w:rsidR="005D5BFB" w:rsidRPr="00997D85">
        <w:rPr>
          <w:rFonts w:ascii="Arial" w:hAnsi="Arial" w:cs="Arial"/>
          <w:i/>
          <w:sz w:val="20"/>
          <w:szCs w:val="20"/>
        </w:rPr>
        <w:t>pseudogap</w:t>
      </w:r>
      <w:proofErr w:type="spellEnd"/>
      <w:r w:rsidR="005D5BFB" w:rsidRPr="00997D85">
        <w:rPr>
          <w:rFonts w:ascii="Arial" w:hAnsi="Arial" w:cs="Arial"/>
          <w:i/>
          <w:sz w:val="20"/>
          <w:szCs w:val="20"/>
        </w:rPr>
        <w:t xml:space="preserve"> behavior. Adapted from </w:t>
      </w:r>
      <w:r w:rsidR="00D36826">
        <w:rPr>
          <w:rFonts w:ascii="Arial" w:hAnsi="Arial" w:cs="Arial"/>
          <w:i/>
          <w:sz w:val="20"/>
          <w:szCs w:val="20"/>
        </w:rPr>
        <w:t>[4]</w:t>
      </w:r>
      <w:r w:rsidR="005D5BFB" w:rsidRPr="00997D85">
        <w:rPr>
          <w:rFonts w:ascii="Arial" w:hAnsi="Arial" w:cs="Arial"/>
          <w:i/>
          <w:sz w:val="20"/>
          <w:szCs w:val="20"/>
        </w:rPr>
        <w:t>.</w:t>
      </w:r>
    </w:p>
    <w:p w14:paraId="64589006"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Figure 3 demonstrates the spatial heterogeneity of PG properties revealed by these STM/STS measurements. The systematic correlation between local pairing energies and gap magnitudes across different doping levels confirms the intricate relationship between charge order and PG physics establi</w:t>
      </w:r>
      <w:r w:rsidR="003855D6">
        <w:rPr>
          <w:rFonts w:ascii="Arial" w:hAnsi="Arial" w:cs="Arial"/>
          <w:sz w:val="20"/>
          <w:szCs w:val="20"/>
        </w:rPr>
        <w:t xml:space="preserve">shed in the preceding analysis </w:t>
      </w:r>
      <w:r w:rsidR="00442011">
        <w:rPr>
          <w:rFonts w:ascii="Arial" w:hAnsi="Arial" w:cs="Arial"/>
          <w:sz w:val="20"/>
          <w:szCs w:val="20"/>
        </w:rPr>
        <w:t>[24]</w:t>
      </w:r>
      <w:r w:rsidRPr="00997D85">
        <w:rPr>
          <w:rFonts w:ascii="Arial" w:hAnsi="Arial" w:cs="Arial"/>
          <w:sz w:val="20"/>
          <w:szCs w:val="20"/>
        </w:rPr>
        <w:t xml:space="preserve">; </w:t>
      </w:r>
      <w:r w:rsidR="00442011">
        <w:rPr>
          <w:rFonts w:ascii="Arial" w:hAnsi="Arial" w:cs="Arial"/>
          <w:sz w:val="20"/>
          <w:szCs w:val="20"/>
        </w:rPr>
        <w:t>[27]</w:t>
      </w:r>
      <w:r w:rsidRPr="00997D85">
        <w:rPr>
          <w:rFonts w:ascii="Arial" w:hAnsi="Arial" w:cs="Arial"/>
          <w:sz w:val="20"/>
          <w:szCs w:val="20"/>
        </w:rPr>
        <w:t>.</w:t>
      </w:r>
    </w:p>
    <w:p w14:paraId="349A2D18" w14:textId="77777777" w:rsidR="00C40ECA" w:rsidRPr="00997D85" w:rsidRDefault="00C40ECA" w:rsidP="00997D85">
      <w:pPr>
        <w:spacing w:before="100" w:beforeAutospacing="1" w:after="100" w:afterAutospacing="1" w:line="240" w:lineRule="auto"/>
        <w:jc w:val="both"/>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2.3. Nuclear Magnetic Resonance (NMR)</w:t>
      </w:r>
    </w:p>
    <w:p w14:paraId="19C0AF50" w14:textId="77777777" w:rsidR="00C40ECA" w:rsidRPr="00997D85" w:rsidRDefault="00C40ECA" w:rsidP="00997D85">
      <w:pPr>
        <w:spacing w:before="100" w:beforeAutospacing="1" w:after="100" w:afterAutospacing="1" w:line="240" w:lineRule="auto"/>
        <w:jc w:val="both"/>
        <w:rPr>
          <w:rFonts w:ascii="Arial" w:hAnsi="Arial" w:cs="Arial"/>
          <w:sz w:val="20"/>
          <w:szCs w:val="20"/>
        </w:rPr>
      </w:pPr>
      <w:r w:rsidRPr="00997D85">
        <w:rPr>
          <w:rFonts w:ascii="Arial" w:hAnsi="Arial" w:cs="Arial"/>
          <w:sz w:val="20"/>
          <w:szCs w:val="20"/>
        </w:rPr>
        <w:t xml:space="preserve">NMR probes local magnetic environments and has yielded decisive insights into the PG phase through the </w:t>
      </w:r>
      <w:proofErr w:type="spellStart"/>
      <w:r w:rsidRPr="00997D85">
        <w:rPr>
          <w:rFonts w:ascii="Arial" w:hAnsi="Arial" w:cs="Arial"/>
          <w:sz w:val="20"/>
          <w:szCs w:val="20"/>
        </w:rPr>
        <w:t>Knight</w:t>
      </w:r>
      <w:proofErr w:type="spellEnd"/>
      <w:r w:rsidRPr="00997D85">
        <w:rPr>
          <w:rFonts w:ascii="Arial" w:hAnsi="Arial" w:cs="Arial"/>
          <w:sz w:val="20"/>
          <w:szCs w:val="20"/>
        </w:rPr>
        <w:t xml:space="preserve"> shift and spin-lattice relaxation rate </w:t>
      </w:r>
      <m:oMath>
        <m:f>
          <m:fPr>
            <m:type m:val="lin"/>
            <m:ctrlPr>
              <w:rPr>
                <w:rFonts w:ascii="Cambria Math" w:eastAsia="Times New Roman" w:hAnsi="Arial" w:cs="Arial"/>
                <w:i/>
                <w:kern w:val="0"/>
                <w:sz w:val="20"/>
                <w:szCs w:val="20"/>
              </w:rPr>
            </m:ctrlPr>
          </m:fPr>
          <m:num>
            <m:r>
              <w:rPr>
                <w:rFonts w:ascii="Cambria Math" w:eastAsia="Times New Roman" w:hAnsi="Arial" w:cs="Arial"/>
                <w:kern w:val="0"/>
                <w:sz w:val="20"/>
                <w:szCs w:val="20"/>
              </w:rPr>
              <m:t>1</m:t>
            </m:r>
          </m:num>
          <m:den>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Arial" w:cs="Arial"/>
                    <w:kern w:val="0"/>
                    <w:sz w:val="20"/>
                    <w:szCs w:val="20"/>
                  </w:rPr>
                  <m:t>1</m:t>
                </m:r>
              </m:sub>
            </m:sSub>
          </m:den>
        </m:f>
      </m:oMath>
      <w:r w:rsidRPr="00997D85">
        <w:rPr>
          <w:rStyle w:val="vlist-s"/>
          <w:rFonts w:ascii="Arial" w:hAnsi="Arial" w:cs="Arial"/>
          <w:sz w:val="20"/>
          <w:szCs w:val="20"/>
        </w:rPr>
        <w:t>​</w:t>
      </w:r>
      <w:r w:rsidR="003855D6">
        <w:rPr>
          <w:rFonts w:ascii="Arial" w:hAnsi="Arial" w:cs="Arial"/>
          <w:sz w:val="20"/>
          <w:szCs w:val="20"/>
        </w:rPr>
        <w:t xml:space="preserve"> </w:t>
      </w:r>
      <w:r w:rsidR="00030D12">
        <w:rPr>
          <w:rFonts w:ascii="Arial" w:hAnsi="Arial" w:cs="Arial"/>
          <w:sz w:val="20"/>
          <w:szCs w:val="20"/>
        </w:rPr>
        <w:t>[28]</w:t>
      </w:r>
      <w:r w:rsidRPr="00997D85">
        <w:rPr>
          <w:rFonts w:ascii="Arial" w:hAnsi="Arial" w:cs="Arial"/>
          <w:sz w:val="20"/>
          <w:szCs w:val="20"/>
        </w:rPr>
        <w:t xml:space="preserve">. In underdoped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both quantities drop sharply below </w:t>
      </w:r>
      <m:oMath>
        <m:sSup>
          <m:sSupPr>
            <m:ctrlPr>
              <w:rPr>
                <w:rFonts w:ascii="Cambria Math" w:hAnsi="Arial" w:cs="Arial"/>
                <w:i/>
                <w:sz w:val="20"/>
                <w:szCs w:val="20"/>
              </w:rPr>
            </m:ctrlPr>
          </m:sSupPr>
          <m:e>
            <m:r>
              <w:rPr>
                <w:rFonts w:ascii="Cambria Math" w:hAnsi="Cambria Math" w:cs="Arial"/>
                <w:sz w:val="20"/>
                <w:szCs w:val="20"/>
              </w:rPr>
              <m:t>T</m:t>
            </m:r>
          </m:e>
          <m:sup>
            <m:r>
              <w:rPr>
                <w:rFonts w:ascii="Arial" w:hAnsi="Cambria Math" w:cs="Arial"/>
                <w:sz w:val="20"/>
                <w:szCs w:val="20"/>
              </w:rPr>
              <m:t>*</m:t>
            </m:r>
          </m:sup>
        </m:sSup>
      </m:oMath>
      <w:r w:rsidRPr="00997D85">
        <w:rPr>
          <w:rFonts w:ascii="Arial" w:hAnsi="Arial" w:cs="Arial"/>
          <w:sz w:val="20"/>
          <w:szCs w:val="20"/>
        </w:rPr>
        <w:t>, signaling reduced spin susceptibility and a g</w:t>
      </w:r>
      <w:r w:rsidR="003855D6">
        <w:rPr>
          <w:rFonts w:ascii="Arial" w:hAnsi="Arial" w:cs="Arial"/>
          <w:sz w:val="20"/>
          <w:szCs w:val="20"/>
        </w:rPr>
        <w:t xml:space="preserve">apped spin excitation spectrum </w:t>
      </w:r>
      <w:r w:rsidR="00030D12">
        <w:rPr>
          <w:rFonts w:ascii="Arial" w:hAnsi="Arial" w:cs="Arial"/>
          <w:sz w:val="20"/>
          <w:szCs w:val="20"/>
        </w:rPr>
        <w:t>[28]</w:t>
      </w:r>
      <w:r w:rsidRPr="00997D85">
        <w:rPr>
          <w:rFonts w:ascii="Arial" w:hAnsi="Arial" w:cs="Arial"/>
          <w:sz w:val="20"/>
          <w:szCs w:val="20"/>
        </w:rPr>
        <w:t xml:space="preserve">; </w:t>
      </w:r>
      <w:r w:rsidR="00030D12">
        <w:rPr>
          <w:rFonts w:ascii="Arial" w:hAnsi="Arial" w:cs="Arial"/>
          <w:sz w:val="20"/>
          <w:szCs w:val="20"/>
        </w:rPr>
        <w:t>[29]</w:t>
      </w:r>
      <w:r w:rsidRPr="00997D85">
        <w:rPr>
          <w:rFonts w:ascii="Arial" w:hAnsi="Arial" w:cs="Arial"/>
          <w:sz w:val="20"/>
          <w:szCs w:val="20"/>
        </w:rPr>
        <w:t xml:space="preserve">. The PG is strongly doping-sensitive and largely temperature-independent; in theoretical extrapolations, its energy scale may extend up to ~1500 K in highly underdoped systems, although experimental estimates for specific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remain i</w:t>
      </w:r>
      <w:r w:rsidR="003855D6">
        <w:rPr>
          <w:rFonts w:ascii="Arial" w:hAnsi="Arial" w:cs="Arial"/>
          <w:sz w:val="20"/>
          <w:szCs w:val="20"/>
        </w:rPr>
        <w:t xml:space="preserve">n the few hundred Kelvin range </w:t>
      </w:r>
      <w:r w:rsidR="00030D12">
        <w:rPr>
          <w:rFonts w:ascii="Arial" w:hAnsi="Arial" w:cs="Arial"/>
          <w:sz w:val="20"/>
          <w:szCs w:val="20"/>
        </w:rPr>
        <w:t>[28]</w:t>
      </w:r>
      <w:r w:rsidRPr="00997D85">
        <w:rPr>
          <w:rFonts w:ascii="Arial" w:hAnsi="Arial" w:cs="Arial"/>
          <w:sz w:val="20"/>
          <w:szCs w:val="20"/>
        </w:rPr>
        <w:t xml:space="preserve">. Doping studies reveal that decreasing hole concentration enhances AFM correlations within </w:t>
      </w:r>
      <m:oMath>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 xml:space="preserve">2 </m:t>
            </m:r>
          </m:sub>
        </m:sSub>
      </m:oMath>
      <w:r w:rsidRPr="00997D85">
        <w:rPr>
          <w:rFonts w:ascii="Arial" w:hAnsi="Arial" w:cs="Arial"/>
          <w:sz w:val="20"/>
          <w:szCs w:val="20"/>
        </w:rPr>
        <w:t xml:space="preserve"> planes, reinforcing PG signatures in Knight </w:t>
      </w:r>
      <w:r w:rsidRPr="00997D85">
        <w:rPr>
          <w:rFonts w:ascii="Arial" w:hAnsi="Arial" w:cs="Arial"/>
          <w:sz w:val="20"/>
          <w:szCs w:val="20"/>
        </w:rPr>
        <w:lastRenderedPageBreak/>
        <w:t xml:space="preserve">shift and </w:t>
      </w:r>
      <m:oMath>
        <m:f>
          <m:fPr>
            <m:type m:val="lin"/>
            <m:ctrlPr>
              <w:rPr>
                <w:rFonts w:ascii="Cambria Math" w:eastAsia="Times New Roman" w:hAnsi="Arial" w:cs="Arial"/>
                <w:i/>
                <w:kern w:val="0"/>
                <w:sz w:val="20"/>
                <w:szCs w:val="20"/>
              </w:rPr>
            </m:ctrlPr>
          </m:fPr>
          <m:num>
            <m:r>
              <w:rPr>
                <w:rFonts w:ascii="Cambria Math" w:eastAsia="Times New Roman" w:hAnsi="Arial" w:cs="Arial"/>
                <w:kern w:val="0"/>
                <w:sz w:val="20"/>
                <w:szCs w:val="20"/>
              </w:rPr>
              <m:t>1</m:t>
            </m:r>
          </m:num>
          <m:den>
            <m:sSub>
              <m:sSubPr>
                <m:ctrlPr>
                  <w:rPr>
                    <w:rFonts w:ascii="Cambria Math" w:eastAsia="Times New Roman" w:hAnsi="Arial" w:cs="Arial"/>
                    <w:i/>
                    <w:kern w:val="0"/>
                    <w:sz w:val="20"/>
                    <w:szCs w:val="20"/>
                  </w:rPr>
                </m:ctrlPr>
              </m:sSubPr>
              <m:e>
                <m:r>
                  <w:rPr>
                    <w:rFonts w:ascii="Cambria Math" w:eastAsia="Times New Roman" w:hAnsi="Cambria Math" w:cs="Arial"/>
                    <w:kern w:val="0"/>
                    <w:sz w:val="20"/>
                    <w:szCs w:val="20"/>
                  </w:rPr>
                  <m:t>T</m:t>
                </m:r>
              </m:e>
              <m:sub>
                <m:r>
                  <w:rPr>
                    <w:rFonts w:ascii="Cambria Math" w:eastAsia="Times New Roman" w:hAnsi="Arial" w:cs="Arial"/>
                    <w:kern w:val="0"/>
                    <w:sz w:val="20"/>
                    <w:szCs w:val="20"/>
                  </w:rPr>
                  <m:t>1</m:t>
                </m:r>
              </m:sub>
            </m:sSub>
          </m:den>
        </m:f>
      </m:oMath>
      <w:r w:rsidRPr="00997D85">
        <w:rPr>
          <w:rStyle w:val="vlist-s"/>
          <w:rFonts w:ascii="Arial" w:hAnsi="Arial" w:cs="Arial"/>
          <w:sz w:val="20"/>
          <w:szCs w:val="20"/>
        </w:rPr>
        <w:t>​</w:t>
      </w:r>
      <w:r w:rsidR="003855D6">
        <w:rPr>
          <w:rFonts w:ascii="Arial" w:hAnsi="Arial" w:cs="Arial"/>
          <w:sz w:val="20"/>
          <w:szCs w:val="20"/>
        </w:rPr>
        <w:t xml:space="preserve"> data </w:t>
      </w:r>
      <w:r w:rsidR="00030D12">
        <w:rPr>
          <w:rFonts w:ascii="Arial" w:hAnsi="Arial" w:cs="Arial"/>
          <w:sz w:val="20"/>
          <w:szCs w:val="20"/>
        </w:rPr>
        <w:t>[28]</w:t>
      </w:r>
      <w:r w:rsidRPr="00997D85">
        <w:rPr>
          <w:rFonts w:ascii="Arial" w:hAnsi="Arial" w:cs="Arial"/>
          <w:sz w:val="20"/>
          <w:szCs w:val="20"/>
        </w:rPr>
        <w:t>. A two-component model reconciling coexisting metallic and AFM domains captures this dopi</w:t>
      </w:r>
      <w:r w:rsidR="003855D6">
        <w:rPr>
          <w:rFonts w:ascii="Arial" w:hAnsi="Arial" w:cs="Arial"/>
          <w:sz w:val="20"/>
          <w:szCs w:val="20"/>
        </w:rPr>
        <w:t>ng evolution [29]</w:t>
      </w:r>
      <w:r w:rsidRPr="00997D85">
        <w:rPr>
          <w:rFonts w:ascii="Arial" w:hAnsi="Arial" w:cs="Arial"/>
          <w:sz w:val="20"/>
          <w:szCs w:val="20"/>
        </w:rPr>
        <w:t>.</w:t>
      </w:r>
    </w:p>
    <w:p w14:paraId="10124F61"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Earlier homogeneous models have given way to real-space frameworks that capture atomic-scale inhomogeneity, resolving discrepancies in temperature dependence and aligning with STM observations of na</w:t>
      </w:r>
      <w:r w:rsidR="003855D6">
        <w:rPr>
          <w:rFonts w:ascii="Arial" w:hAnsi="Arial" w:cs="Arial"/>
          <w:sz w:val="20"/>
          <w:szCs w:val="20"/>
        </w:rPr>
        <w:t>noscale order [29]</w:t>
      </w:r>
      <w:r w:rsidRPr="00997D85">
        <w:rPr>
          <w:rFonts w:ascii="Arial" w:hAnsi="Arial" w:cs="Arial"/>
          <w:sz w:val="20"/>
          <w:szCs w:val="20"/>
        </w:rPr>
        <w:t xml:space="preserve">; </w:t>
      </w:r>
      <w:r w:rsidR="00442011">
        <w:rPr>
          <w:rFonts w:ascii="Arial" w:hAnsi="Arial" w:cs="Arial"/>
          <w:sz w:val="20"/>
          <w:szCs w:val="20"/>
        </w:rPr>
        <w:t>[24]</w:t>
      </w:r>
      <w:r w:rsidRPr="00997D85">
        <w:rPr>
          <w:rFonts w:ascii="Arial" w:hAnsi="Arial" w:cs="Arial"/>
          <w:sz w:val="20"/>
          <w:szCs w:val="20"/>
        </w:rPr>
        <w:t xml:space="preserve">; </w:t>
      </w:r>
      <w:r w:rsidR="00442011">
        <w:rPr>
          <w:rFonts w:ascii="Arial" w:hAnsi="Arial" w:cs="Arial"/>
          <w:sz w:val="20"/>
          <w:szCs w:val="20"/>
        </w:rPr>
        <w:t>[27]</w:t>
      </w:r>
      <w:r w:rsidRPr="00997D85">
        <w:rPr>
          <w:rFonts w:ascii="Arial" w:hAnsi="Arial" w:cs="Arial"/>
          <w:sz w:val="20"/>
          <w:szCs w:val="20"/>
        </w:rPr>
        <w:t>. Overall, NMR demonstrates that the PG is doping-sensitive, spatially inhomogeneous, and robust against thermal fluctuations, hallmarks of a distinct broken-symmetry phase.</w:t>
      </w:r>
    </w:p>
    <w:p w14:paraId="297C025F" w14:textId="77777777" w:rsidR="00C40ECA" w:rsidRPr="00997D85" w:rsidRDefault="00C40ECA" w:rsidP="00997D85">
      <w:pPr>
        <w:spacing w:before="100" w:beforeAutospacing="1" w:after="100" w:afterAutospacing="1" w:line="240" w:lineRule="auto"/>
        <w:jc w:val="both"/>
        <w:outlineLvl w:val="2"/>
        <w:rPr>
          <w:rStyle w:val="Strong"/>
          <w:rFonts w:ascii="Arial" w:hAnsi="Arial" w:cs="Arial"/>
          <w:bCs w:val="0"/>
          <w:sz w:val="22"/>
          <w:szCs w:val="22"/>
        </w:rPr>
      </w:pPr>
      <w:r w:rsidRPr="00997D85">
        <w:rPr>
          <w:rFonts w:ascii="Arial" w:eastAsia="Times New Roman" w:hAnsi="Arial" w:cs="Arial"/>
          <w:b/>
          <w:bCs/>
          <w:kern w:val="0"/>
          <w:sz w:val="22"/>
          <w:szCs w:val="22"/>
        </w:rPr>
        <w:t xml:space="preserve">2.4. </w:t>
      </w:r>
      <w:r w:rsidRPr="00997D85">
        <w:rPr>
          <w:rStyle w:val="Strong"/>
          <w:rFonts w:ascii="Arial" w:hAnsi="Arial" w:cs="Arial"/>
          <w:bCs w:val="0"/>
          <w:sz w:val="22"/>
          <w:szCs w:val="22"/>
        </w:rPr>
        <w:t>Resonant X-ray Scattering (RXS) and Resonant Inelastic X-ray Scattering (RIXS)</w:t>
      </w:r>
    </w:p>
    <w:p w14:paraId="1573D0F4" w14:textId="77777777" w:rsidR="00C40ECA" w:rsidRPr="00997D85" w:rsidRDefault="00C40ECA" w:rsidP="00997D85">
      <w:pPr>
        <w:pStyle w:val="NormalWeb"/>
        <w:jc w:val="both"/>
        <w:rPr>
          <w:rFonts w:ascii="Arial" w:hAnsi="Arial" w:cs="Arial"/>
          <w:sz w:val="20"/>
          <w:szCs w:val="20"/>
          <w:shd w:val="clear" w:color="auto" w:fill="FFFFFF"/>
        </w:rPr>
      </w:pPr>
      <w:r w:rsidRPr="00997D85">
        <w:rPr>
          <w:rFonts w:ascii="Arial" w:hAnsi="Arial" w:cs="Arial"/>
          <w:sz w:val="20"/>
          <w:szCs w:val="20"/>
        </w:rPr>
        <w:t>RXS and RIXS have provided decisive momentum-resolved insights into charge correlations and</w:t>
      </w:r>
      <w:r w:rsidR="003855D6">
        <w:rPr>
          <w:rFonts w:ascii="Arial" w:hAnsi="Arial" w:cs="Arial"/>
          <w:sz w:val="20"/>
          <w:szCs w:val="20"/>
        </w:rPr>
        <w:t xml:space="preserve"> symmetry breaking in </w:t>
      </w:r>
      <w:proofErr w:type="spellStart"/>
      <w:r w:rsidR="003855D6">
        <w:rPr>
          <w:rFonts w:ascii="Arial" w:hAnsi="Arial" w:cs="Arial"/>
          <w:sz w:val="20"/>
          <w:szCs w:val="20"/>
        </w:rPr>
        <w:t>cuprates</w:t>
      </w:r>
      <w:proofErr w:type="spellEnd"/>
      <w:r w:rsidR="003855D6">
        <w:rPr>
          <w:rFonts w:ascii="Arial" w:hAnsi="Arial" w:cs="Arial"/>
          <w:sz w:val="20"/>
          <w:szCs w:val="20"/>
        </w:rPr>
        <w:t xml:space="preserve"> </w:t>
      </w:r>
      <w:r w:rsidR="00030D12">
        <w:rPr>
          <w:rFonts w:ascii="Arial" w:hAnsi="Arial" w:cs="Arial"/>
          <w:sz w:val="20"/>
          <w:szCs w:val="20"/>
        </w:rPr>
        <w:t>[30</w:t>
      </w:r>
      <w:proofErr w:type="gramStart"/>
      <w:r w:rsidR="00030D12">
        <w:rPr>
          <w:rFonts w:ascii="Arial" w:hAnsi="Arial" w:cs="Arial"/>
          <w:sz w:val="20"/>
          <w:szCs w:val="20"/>
        </w:rPr>
        <w:t>]</w:t>
      </w:r>
      <w:r w:rsidR="003855D6">
        <w:rPr>
          <w:rFonts w:ascii="Arial" w:hAnsi="Arial" w:cs="Arial"/>
          <w:sz w:val="20"/>
          <w:szCs w:val="20"/>
        </w:rPr>
        <w:t>;</w:t>
      </w:r>
      <w:r w:rsidR="00030D12">
        <w:rPr>
          <w:rFonts w:ascii="Arial" w:hAnsi="Arial" w:cs="Arial"/>
          <w:sz w:val="20"/>
          <w:szCs w:val="20"/>
        </w:rPr>
        <w:t>[</w:t>
      </w:r>
      <w:proofErr w:type="gramEnd"/>
      <w:r w:rsidR="00030D12">
        <w:rPr>
          <w:rFonts w:ascii="Arial" w:hAnsi="Arial" w:cs="Arial"/>
          <w:sz w:val="20"/>
          <w:szCs w:val="20"/>
        </w:rPr>
        <w:t>31]</w:t>
      </w:r>
      <w:r w:rsidRPr="00997D85">
        <w:rPr>
          <w:rFonts w:ascii="Arial" w:hAnsi="Arial" w:cs="Arial"/>
          <w:sz w:val="20"/>
          <w:szCs w:val="20"/>
        </w:rPr>
        <w:t xml:space="preserve">.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1.6</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0.4</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997D85">
        <w:rPr>
          <w:rFonts w:ascii="Arial" w:hAnsi="Arial" w:cs="Arial"/>
          <w:sz w:val="20"/>
          <w:szCs w:val="20"/>
        </w:rPr>
        <w:t xml:space="preserve"> (Nd-LSCO), RXS revealed that electronic nematicity is fundamentally linked to the PG regime, with nematic order vanishing at the critical doping </w:t>
      </w:r>
      <m:oMath>
        <m:sSup>
          <m:sSupPr>
            <m:ctrlPr>
              <w:rPr>
                <w:rFonts w:ascii="Cambria Math" w:hAnsi="Arial" w:cs="Arial"/>
                <w:i/>
                <w:sz w:val="20"/>
                <w:szCs w:val="20"/>
              </w:rPr>
            </m:ctrlPr>
          </m:sSupPr>
          <m:e>
            <m:r>
              <w:rPr>
                <w:rFonts w:ascii="Cambria Math" w:hAnsi="Cambria Math" w:cs="Arial"/>
                <w:sz w:val="20"/>
                <w:szCs w:val="20"/>
              </w:rPr>
              <m:t>p</m:t>
            </m:r>
          </m:e>
          <m:sup>
            <m:r>
              <w:rPr>
                <w:rFonts w:ascii="Cambria Math" w:hAnsi="Cambria Math" w:cs="Arial"/>
                <w:sz w:val="20"/>
                <w:szCs w:val="20"/>
              </w:rPr>
              <m:t>*</m:t>
            </m:r>
          </m:sup>
        </m:sSup>
        <m:r>
          <w:rPr>
            <w:rFonts w:ascii="Cambria Math" w:hAnsi="Arial" w:cs="Arial"/>
            <w:sz w:val="20"/>
            <w:szCs w:val="20"/>
          </w:rPr>
          <m:t>=0.23</m:t>
        </m:r>
        <m:r>
          <w:rPr>
            <w:rFonts w:ascii="Cambria Math" w:hAnsi="Arial" w:cs="Arial"/>
            <w:sz w:val="20"/>
            <w:szCs w:val="20"/>
          </w:rPr>
          <m:t>±</m:t>
        </m:r>
        <m:r>
          <w:rPr>
            <w:rFonts w:ascii="Cambria Math" w:hAnsi="Arial" w:cs="Arial"/>
            <w:sz w:val="20"/>
            <w:szCs w:val="20"/>
          </w:rPr>
          <m:t>0.01</m:t>
        </m:r>
      </m:oMath>
      <w:r w:rsidR="003855D6">
        <w:rPr>
          <w:rFonts w:ascii="Arial" w:hAnsi="Arial" w:cs="Arial"/>
          <w:sz w:val="20"/>
          <w:szCs w:val="20"/>
        </w:rPr>
        <w:t xml:space="preserve"> </w:t>
      </w:r>
      <w:r w:rsidR="00D36826">
        <w:rPr>
          <w:rFonts w:ascii="Arial" w:hAnsi="Arial" w:cs="Arial"/>
          <w:sz w:val="20"/>
          <w:szCs w:val="20"/>
        </w:rPr>
        <w:t>[14]</w:t>
      </w:r>
      <w:r w:rsidRPr="00997D85">
        <w:rPr>
          <w:rFonts w:ascii="Arial" w:hAnsi="Arial" w:cs="Arial"/>
          <w:sz w:val="20"/>
          <w:szCs w:val="20"/>
        </w:rPr>
        <w:t xml:space="preserve">. This marks the upper bound of PG-related phenomena, highlighting local symmetry breaking as the most persistent signature of electronic reconstruction, persisting beyond thresholds observed in transport and spectroscopy. Complementary RIXS studies uncovered short-range charge density fluctuations that survive up to room temperature, well above </w:t>
      </w:r>
      <m:oMath>
        <m:sSup>
          <m:sSupPr>
            <m:ctrlPr>
              <w:rPr>
                <w:rFonts w:ascii="Cambria Math" w:hAnsi="Arial" w:cs="Arial"/>
                <w:i/>
                <w:sz w:val="20"/>
                <w:szCs w:val="20"/>
              </w:rPr>
            </m:ctrlPr>
          </m:sSupPr>
          <m:e>
            <m:r>
              <w:rPr>
                <w:rFonts w:ascii="Cambria Math" w:hAnsi="Cambria Math" w:cs="Arial"/>
                <w:sz w:val="20"/>
                <w:szCs w:val="20"/>
              </w:rPr>
              <m:t>T</m:t>
            </m:r>
          </m:e>
          <m:sup>
            <m:r>
              <w:rPr>
                <w:rFonts w:ascii="Cambria Math" w:hAnsi="Cambria Math" w:cs="Arial"/>
                <w:sz w:val="20"/>
                <w:szCs w:val="20"/>
              </w:rPr>
              <m:t>*</m:t>
            </m:r>
          </m:sup>
        </m:sSup>
      </m:oMath>
      <w:r w:rsidR="003855D6">
        <w:rPr>
          <w:rFonts w:ascii="Arial" w:hAnsi="Arial" w:cs="Arial"/>
          <w:sz w:val="20"/>
          <w:szCs w:val="20"/>
        </w:rPr>
        <w:t xml:space="preserve"> [30</w:t>
      </w:r>
      <w:proofErr w:type="gramStart"/>
      <w:r w:rsidR="003855D6">
        <w:rPr>
          <w:rFonts w:ascii="Arial" w:hAnsi="Arial" w:cs="Arial"/>
          <w:sz w:val="20"/>
          <w:szCs w:val="20"/>
        </w:rPr>
        <w:t>];</w:t>
      </w:r>
      <w:r w:rsidR="00D36826">
        <w:rPr>
          <w:rFonts w:ascii="Arial" w:hAnsi="Arial" w:cs="Arial"/>
          <w:sz w:val="20"/>
          <w:szCs w:val="20"/>
        </w:rPr>
        <w:t>[</w:t>
      </w:r>
      <w:proofErr w:type="gramEnd"/>
      <w:r w:rsidR="00D36826">
        <w:rPr>
          <w:rFonts w:ascii="Arial" w:hAnsi="Arial" w:cs="Arial"/>
          <w:sz w:val="20"/>
          <w:szCs w:val="20"/>
        </w:rPr>
        <w:t>2]</w:t>
      </w:r>
      <w:r w:rsidRPr="00997D85">
        <w:rPr>
          <w:rFonts w:ascii="Arial" w:hAnsi="Arial" w:cs="Arial"/>
          <w:sz w:val="20"/>
          <w:szCs w:val="20"/>
        </w:rPr>
        <w:t xml:space="preserve">. These fluctuations are dynamic, doping- and temperature-dependent, and vanish only at the PG endpoint </w:t>
      </w:r>
      <m:oMath>
        <m:sSup>
          <m:sSupPr>
            <m:ctrlPr>
              <w:rPr>
                <w:rStyle w:val="Strong"/>
                <w:rFonts w:ascii="Cambria Math" w:hAnsi="Arial" w:cs="Arial"/>
                <w:b w:val="0"/>
                <w:bCs w:val="0"/>
                <w:i/>
                <w:sz w:val="20"/>
                <w:szCs w:val="20"/>
              </w:rPr>
            </m:ctrlPr>
          </m:sSupPr>
          <m:e>
            <m:r>
              <m:rPr>
                <m:sty m:val="bi"/>
              </m:rPr>
              <w:rPr>
                <w:rStyle w:val="Strong"/>
                <w:rFonts w:ascii="Cambria Math" w:hAnsi="Cambria Math" w:cs="Arial"/>
                <w:sz w:val="20"/>
                <w:szCs w:val="20"/>
              </w:rPr>
              <m:t>p</m:t>
            </m:r>
          </m:e>
          <m:sup>
            <m:r>
              <m:rPr>
                <m:sty m:val="bi"/>
              </m:rPr>
              <w:rPr>
                <w:rStyle w:val="Strong"/>
                <w:rFonts w:ascii="Cambria Math" w:hAnsi="Cambria Math" w:cs="Arial"/>
                <w:sz w:val="20"/>
                <w:szCs w:val="20"/>
              </w:rPr>
              <m:t>*</m:t>
            </m:r>
          </m:sup>
        </m:sSup>
      </m:oMath>
      <w:r w:rsidRPr="00997D85">
        <w:rPr>
          <w:rFonts w:ascii="Arial" w:hAnsi="Arial" w:cs="Arial"/>
          <w:sz w:val="20"/>
          <w:szCs w:val="20"/>
        </w:rPr>
        <w:t>, underscoring their con</w:t>
      </w:r>
      <w:r w:rsidR="003855D6">
        <w:rPr>
          <w:rFonts w:ascii="Arial" w:hAnsi="Arial" w:cs="Arial"/>
          <w:sz w:val="20"/>
          <w:szCs w:val="20"/>
        </w:rPr>
        <w:t xml:space="preserve">nection to quantum criticality </w:t>
      </w:r>
      <w:r w:rsidR="00D36826">
        <w:rPr>
          <w:rFonts w:ascii="Arial" w:hAnsi="Arial" w:cs="Arial"/>
          <w:sz w:val="20"/>
          <w:szCs w:val="20"/>
        </w:rPr>
        <w:t>[14</w:t>
      </w:r>
      <w:proofErr w:type="gramStart"/>
      <w:r w:rsidR="00D36826">
        <w:rPr>
          <w:rFonts w:ascii="Arial" w:hAnsi="Arial" w:cs="Arial"/>
          <w:sz w:val="20"/>
          <w:szCs w:val="20"/>
        </w:rPr>
        <w:t>]</w:t>
      </w:r>
      <w:r w:rsidR="003855D6">
        <w:rPr>
          <w:rFonts w:ascii="Arial" w:hAnsi="Arial" w:cs="Arial"/>
          <w:sz w:val="20"/>
          <w:szCs w:val="20"/>
        </w:rPr>
        <w:t>;[</w:t>
      </w:r>
      <w:proofErr w:type="gramEnd"/>
      <w:r w:rsidR="003855D6">
        <w:rPr>
          <w:rFonts w:ascii="Arial" w:hAnsi="Arial" w:cs="Arial"/>
          <w:sz w:val="20"/>
          <w:szCs w:val="20"/>
        </w:rPr>
        <w:t>30];</w:t>
      </w:r>
      <w:r w:rsidR="00D36826">
        <w:rPr>
          <w:rFonts w:ascii="Arial" w:hAnsi="Arial" w:cs="Arial"/>
          <w:sz w:val="20"/>
          <w:szCs w:val="20"/>
        </w:rPr>
        <w:t>[2]</w:t>
      </w:r>
      <w:r w:rsidR="003855D6">
        <w:rPr>
          <w:rFonts w:ascii="Arial" w:hAnsi="Arial" w:cs="Arial"/>
          <w:sz w:val="20"/>
          <w:szCs w:val="20"/>
        </w:rPr>
        <w:t>;[31]</w:t>
      </w:r>
      <w:r w:rsidRPr="00997D85">
        <w:rPr>
          <w:rFonts w:ascii="Arial" w:hAnsi="Arial" w:cs="Arial"/>
          <w:sz w:val="20"/>
          <w:szCs w:val="20"/>
        </w:rPr>
        <w:t>. Collectively, RXS and RIXS establish nematicity and charge density fluctuations as robust hallmarks of the PG phase.</w:t>
      </w:r>
    </w:p>
    <w:p w14:paraId="1723DD56" w14:textId="77777777" w:rsidR="00C40ECA" w:rsidRPr="00997D85" w:rsidRDefault="00C40ECA" w:rsidP="00997D85">
      <w:pPr>
        <w:spacing w:before="100" w:beforeAutospacing="1" w:after="100" w:afterAutospacing="1" w:line="240" w:lineRule="auto"/>
        <w:jc w:val="both"/>
        <w:outlineLvl w:val="2"/>
        <w:rPr>
          <w:rFonts w:ascii="Arial" w:eastAsia="Times New Roman" w:hAnsi="Arial" w:cs="Arial"/>
          <w:b/>
          <w:bCs/>
          <w:kern w:val="0"/>
          <w:sz w:val="22"/>
          <w:szCs w:val="22"/>
        </w:rPr>
      </w:pPr>
      <w:r w:rsidRPr="00997D85">
        <w:rPr>
          <w:rFonts w:ascii="Arial" w:eastAsia="Times New Roman" w:hAnsi="Arial" w:cs="Arial"/>
          <w:b/>
          <w:bCs/>
          <w:kern w:val="0"/>
          <w:sz w:val="22"/>
          <w:szCs w:val="22"/>
        </w:rPr>
        <w:t>2.5 Optical Conductivity and Spectroscopic Signatures</w:t>
      </w:r>
    </w:p>
    <w:p w14:paraId="55EEE4AA"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Optical conductivity measurements reveal fundamental aspects of the PG phase in underdoped </w:t>
      </w:r>
      <w:proofErr w:type="spellStart"/>
      <w:r w:rsidRPr="00997D85">
        <w:rPr>
          <w:rFonts w:ascii="Arial" w:hAnsi="Arial" w:cs="Arial"/>
          <w:sz w:val="20"/>
          <w:szCs w:val="20"/>
        </w:rPr>
        <w:t>cuprates</w:t>
      </w:r>
      <w:proofErr w:type="spellEnd"/>
      <w:r w:rsidRPr="00997D85">
        <w:rPr>
          <w:rFonts w:ascii="Arial" w:hAnsi="Arial" w:cs="Arial"/>
          <w:sz w:val="20"/>
          <w:szCs w:val="20"/>
        </w:rPr>
        <w:t>, demonstrating anomalous spectral weight redistribution that distinguishes it fro</w:t>
      </w:r>
      <w:r w:rsidR="003855D6">
        <w:rPr>
          <w:rFonts w:ascii="Arial" w:hAnsi="Arial" w:cs="Arial"/>
          <w:sz w:val="20"/>
          <w:szCs w:val="20"/>
        </w:rPr>
        <w:t xml:space="preserve">m conventional superconductors </w:t>
      </w:r>
      <w:r w:rsidR="00030D12">
        <w:rPr>
          <w:rFonts w:ascii="Arial" w:hAnsi="Arial" w:cs="Arial"/>
          <w:sz w:val="20"/>
          <w:szCs w:val="20"/>
        </w:rPr>
        <w:t>[32</w:t>
      </w:r>
      <w:proofErr w:type="gramStart"/>
      <w:r w:rsidR="00030D12">
        <w:rPr>
          <w:rFonts w:ascii="Arial" w:hAnsi="Arial" w:cs="Arial"/>
          <w:sz w:val="20"/>
          <w:szCs w:val="20"/>
        </w:rPr>
        <w:t>]</w:t>
      </w:r>
      <w:r w:rsidRPr="00997D85">
        <w:rPr>
          <w:rFonts w:ascii="Arial" w:hAnsi="Arial" w:cs="Arial"/>
          <w:sz w:val="20"/>
          <w:szCs w:val="20"/>
        </w:rPr>
        <w:t>;</w:t>
      </w:r>
      <w:r w:rsidR="00030D12">
        <w:rPr>
          <w:rFonts w:ascii="Arial" w:hAnsi="Arial" w:cs="Arial"/>
          <w:sz w:val="20"/>
          <w:szCs w:val="20"/>
        </w:rPr>
        <w:t>[</w:t>
      </w:r>
      <w:proofErr w:type="gramEnd"/>
      <w:r w:rsidR="00030D12">
        <w:rPr>
          <w:rFonts w:ascii="Arial" w:hAnsi="Arial" w:cs="Arial"/>
          <w:sz w:val="20"/>
          <w:szCs w:val="20"/>
        </w:rPr>
        <w:t>33]</w:t>
      </w:r>
      <w:r w:rsidRPr="00997D85">
        <w:rPr>
          <w:rFonts w:ascii="Arial" w:hAnsi="Arial" w:cs="Arial"/>
          <w:sz w:val="20"/>
          <w:szCs w:val="20"/>
        </w:rPr>
        <w:t xml:space="preserve">. Unlike conventional systems where spectral weight is simply redistributed due to pairing,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exhibit fundamental reorganization across energy scales, indicating deep-seated many-body correlations that extend far beyond the superconducting gap</w:t>
      </w:r>
      <w:r w:rsidR="003855D6">
        <w:rPr>
          <w:rFonts w:ascii="Arial" w:hAnsi="Arial" w:cs="Arial"/>
          <w:sz w:val="20"/>
          <w:szCs w:val="20"/>
        </w:rPr>
        <w:t xml:space="preserve"> energy </w:t>
      </w:r>
      <w:r w:rsidR="00030D12">
        <w:rPr>
          <w:rFonts w:ascii="Arial" w:hAnsi="Arial" w:cs="Arial"/>
          <w:sz w:val="20"/>
          <w:szCs w:val="20"/>
        </w:rPr>
        <w:t>[32]</w:t>
      </w:r>
      <w:r w:rsidRPr="00997D85">
        <w:rPr>
          <w:rFonts w:ascii="Arial" w:hAnsi="Arial" w:cs="Arial"/>
          <w:sz w:val="20"/>
          <w:szCs w:val="20"/>
        </w:rPr>
        <w:t>.</w:t>
      </w:r>
    </w:p>
    <w:p w14:paraId="48C71EFB"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The spectral weight redistribution in </w:t>
      </w:r>
      <w:proofErr w:type="spellStart"/>
      <w:r w:rsidRPr="00997D85">
        <w:rPr>
          <w:rFonts w:ascii="Arial" w:hAnsi="Arial" w:cs="Arial"/>
          <w:sz w:val="20"/>
          <w:szCs w:val="20"/>
        </w:rPr>
        <w:t>cuprates</w:t>
      </w:r>
      <w:proofErr w:type="spellEnd"/>
      <w:r w:rsidRPr="00997D85">
        <w:rPr>
          <w:rFonts w:ascii="Arial" w:hAnsi="Arial" w:cs="Arial"/>
          <w:sz w:val="20"/>
          <w:szCs w:val="20"/>
        </w:rPr>
        <w:t xml:space="preserve"> is particularly striking, extending up to </w:t>
      </w:r>
      <m:oMath>
        <m:r>
          <w:rPr>
            <w:rFonts w:ascii="Cambria Math" w:hAnsi="Arial" w:cs="Arial"/>
            <w:sz w:val="20"/>
            <w:szCs w:val="20"/>
          </w:rPr>
          <m:t>1</m:t>
        </m:r>
        <m:r>
          <w:rPr>
            <w:rFonts w:ascii="Cambria Math" w:hAnsi="Cambria Math" w:cs="Arial"/>
            <w:sz w:val="20"/>
            <w:szCs w:val="20"/>
          </w:rPr>
          <m:t>eV</m:t>
        </m:r>
      </m:oMath>
      <w:r w:rsidRPr="00997D85">
        <w:rPr>
          <w:rFonts w:ascii="Arial" w:hAnsi="Arial" w:cs="Arial"/>
          <w:sz w:val="20"/>
          <w:szCs w:val="20"/>
        </w:rPr>
        <w:t xml:space="preserve"> in the infrared region far exceeding what would be expected from si</w:t>
      </w:r>
      <w:r w:rsidR="005E68C8">
        <w:rPr>
          <w:rFonts w:ascii="Arial" w:hAnsi="Arial" w:cs="Arial"/>
          <w:sz w:val="20"/>
          <w:szCs w:val="20"/>
        </w:rPr>
        <w:t xml:space="preserve">mple cooper pairing mechanisms </w:t>
      </w:r>
      <w:r w:rsidR="00030D12">
        <w:rPr>
          <w:rFonts w:ascii="Arial" w:hAnsi="Arial" w:cs="Arial"/>
          <w:sz w:val="20"/>
          <w:szCs w:val="20"/>
        </w:rPr>
        <w:t>[33]</w:t>
      </w:r>
      <w:r w:rsidRPr="00997D85">
        <w:rPr>
          <w:rFonts w:ascii="Arial" w:hAnsi="Arial" w:cs="Arial"/>
          <w:sz w:val="20"/>
          <w:szCs w:val="20"/>
        </w:rPr>
        <w:t>. This anomalous behavior suggests that the PG involves complex electronic reorganization that may reflect underlying nanoscale inhomogeneity rat</w:t>
      </w:r>
      <w:r w:rsidR="005E68C8">
        <w:rPr>
          <w:rFonts w:ascii="Arial" w:hAnsi="Arial" w:cs="Arial"/>
          <w:sz w:val="20"/>
          <w:szCs w:val="20"/>
        </w:rPr>
        <w:t xml:space="preserve">her than uniform gap formation </w:t>
      </w:r>
      <w:r w:rsidR="00030D12">
        <w:rPr>
          <w:rFonts w:ascii="Arial" w:hAnsi="Arial" w:cs="Arial"/>
          <w:sz w:val="20"/>
          <w:szCs w:val="20"/>
        </w:rPr>
        <w:t>[32]</w:t>
      </w:r>
      <w:r w:rsidRPr="00997D85">
        <w:rPr>
          <w:rFonts w:ascii="Arial" w:hAnsi="Arial" w:cs="Arial"/>
          <w:sz w:val="20"/>
          <w:szCs w:val="20"/>
        </w:rPr>
        <w:t>. The PG phase exhibits characteristics of incipient pairing without long-range coherence, manifesting as a "two-fluid" state where coherent and incoherent c</w:t>
      </w:r>
      <w:r w:rsidR="005E68C8">
        <w:rPr>
          <w:rFonts w:ascii="Arial" w:hAnsi="Arial" w:cs="Arial"/>
          <w:sz w:val="20"/>
          <w:szCs w:val="20"/>
        </w:rPr>
        <w:t xml:space="preserve">omponents evolve independently </w:t>
      </w:r>
      <w:r w:rsidR="00030D12">
        <w:rPr>
          <w:rFonts w:ascii="Arial" w:hAnsi="Arial" w:cs="Arial"/>
          <w:sz w:val="20"/>
          <w:szCs w:val="20"/>
        </w:rPr>
        <w:t>[33]</w:t>
      </w:r>
      <w:r w:rsidRPr="00997D85">
        <w:rPr>
          <w:rFonts w:ascii="Arial" w:hAnsi="Arial" w:cs="Arial"/>
          <w:sz w:val="20"/>
          <w:szCs w:val="20"/>
        </w:rPr>
        <w:t xml:space="preserve">. </w:t>
      </w:r>
    </w:p>
    <w:p w14:paraId="19FC5921" w14:textId="77777777" w:rsidR="00D7140F" w:rsidRPr="00997D85" w:rsidRDefault="00C40ECA" w:rsidP="00997D85">
      <w:pPr>
        <w:pStyle w:val="NormalWeb"/>
        <w:jc w:val="both"/>
        <w:rPr>
          <w:rFonts w:ascii="Arial" w:hAnsi="Arial" w:cs="Arial"/>
          <w:sz w:val="20"/>
          <w:szCs w:val="20"/>
        </w:rPr>
      </w:pPr>
      <w:r w:rsidRPr="00997D85">
        <w:rPr>
          <w:rFonts w:ascii="Arial" w:hAnsi="Arial" w:cs="Arial"/>
          <w:sz w:val="20"/>
          <w:szCs w:val="20"/>
        </w:rPr>
        <w:t>Infrared spectroscopy provides direct evidence for this decoupling, revealing that quasiparticle coherence and pairing strength follow distinct temperature and doping depende</w:t>
      </w:r>
      <w:r w:rsidR="005E68C8">
        <w:rPr>
          <w:rFonts w:ascii="Arial" w:hAnsi="Arial" w:cs="Arial"/>
          <w:sz w:val="20"/>
          <w:szCs w:val="20"/>
        </w:rPr>
        <w:t xml:space="preserve">ncies within the PG regime </w:t>
      </w:r>
      <w:r w:rsidR="00030D12">
        <w:rPr>
          <w:rFonts w:ascii="Arial" w:hAnsi="Arial" w:cs="Arial"/>
          <w:sz w:val="20"/>
          <w:szCs w:val="20"/>
        </w:rPr>
        <w:t>[33]</w:t>
      </w:r>
      <w:r w:rsidRPr="00997D85">
        <w:rPr>
          <w:rFonts w:ascii="Arial" w:hAnsi="Arial" w:cs="Arial"/>
          <w:sz w:val="20"/>
          <w:szCs w:val="20"/>
        </w:rPr>
        <w:t>. The spectral weight conservation requires:</w:t>
      </w:r>
    </w:p>
    <w:p w14:paraId="00F40795" w14:textId="77777777" w:rsidR="00D7140F" w:rsidRPr="00997D85" w:rsidRDefault="00C40ECA" w:rsidP="00997D85">
      <w:pPr>
        <w:pStyle w:val="NormalWeb"/>
        <w:jc w:val="both"/>
        <w:rPr>
          <w:rFonts w:ascii="Arial" w:hAnsi="Arial" w:cs="Arial"/>
          <w:sz w:val="20"/>
          <w:szCs w:val="20"/>
        </w:rPr>
      </w:pPr>
      <m:oMathPara>
        <m:oMath>
          <m:r>
            <w:rPr>
              <w:rFonts w:ascii="Cambria Math" w:hAnsi="Arial" w:cs="Arial"/>
              <w:sz w:val="20"/>
              <w:szCs w:val="20"/>
            </w:rPr>
            <m:t xml:space="preserve"> </m:t>
          </m:r>
          <m:r>
            <m:rPr>
              <m:sty m:val="p"/>
            </m:rPr>
            <w:rPr>
              <w:rFonts w:ascii="Cambria Math" w:hAnsi="Arial" w:cs="Arial"/>
              <w:sz w:val="20"/>
              <w:szCs w:val="20"/>
            </w:rPr>
            <m:t>W</m:t>
          </m:r>
          <m:d>
            <m:dPr>
              <m:ctrlPr>
                <w:rPr>
                  <w:rFonts w:ascii="Cambria Math" w:hAnsi="Arial" w:cs="Arial"/>
                  <w:sz w:val="20"/>
                  <w:szCs w:val="20"/>
                </w:rPr>
              </m:ctrlPr>
            </m:dPr>
            <m:e>
              <m:sSub>
                <m:sSubPr>
                  <m:ctrlPr>
                    <w:rPr>
                      <w:rFonts w:ascii="Cambria Math" w:hAnsi="Arial" w:cs="Arial"/>
                      <w:sz w:val="20"/>
                      <w:szCs w:val="20"/>
                    </w:rPr>
                  </m:ctrlPr>
                </m:sSubPr>
                <m:e>
                  <m:r>
                    <m:rPr>
                      <m:sty m:val="p"/>
                    </m:rPr>
                    <w:rPr>
                      <w:rFonts w:ascii="Cambria Math" w:hAnsi="Arial" w:cs="Arial"/>
                      <w:sz w:val="20"/>
                      <w:szCs w:val="20"/>
                    </w:rPr>
                    <m:t>Ω</m:t>
                  </m:r>
                </m:e>
                <m:sub>
                  <m:r>
                    <m:rPr>
                      <m:sty m:val="p"/>
                    </m:rPr>
                    <w:rPr>
                      <w:rFonts w:ascii="Cambria Math" w:hAnsi="Arial" w:cs="Arial"/>
                      <w:sz w:val="20"/>
                      <w:szCs w:val="20"/>
                    </w:rPr>
                    <m:t>c</m:t>
                  </m:r>
                </m:sub>
              </m:sSub>
            </m:e>
          </m:d>
          <m:r>
            <m:rPr>
              <m:sty m:val="p"/>
            </m:rPr>
            <w:rPr>
              <w:rFonts w:ascii="Cambria Math" w:hAnsi="Arial" w:cs="Arial"/>
              <w:sz w:val="20"/>
              <w:szCs w:val="20"/>
            </w:rPr>
            <m:t>=</m:t>
          </m:r>
          <m:nary>
            <m:naryPr>
              <m:limLoc m:val="subSup"/>
              <m:ctrlPr>
                <w:rPr>
                  <w:rFonts w:ascii="Cambria Math" w:hAnsi="Arial" w:cs="Arial"/>
                  <w:sz w:val="20"/>
                  <w:szCs w:val="20"/>
                </w:rPr>
              </m:ctrlPr>
            </m:naryPr>
            <m:sub>
              <m:r>
                <m:rPr>
                  <m:sty m:val="p"/>
                </m:rPr>
                <w:rPr>
                  <w:rFonts w:ascii="Cambria Math" w:hAnsi="Arial" w:cs="Arial"/>
                  <w:sz w:val="20"/>
                  <w:szCs w:val="20"/>
                </w:rPr>
                <m:t>0</m:t>
              </m:r>
            </m:sub>
            <m:sup>
              <m:sSub>
                <m:sSubPr>
                  <m:ctrlPr>
                    <w:rPr>
                      <w:rFonts w:ascii="Cambria Math" w:hAnsi="Arial" w:cs="Arial"/>
                      <w:sz w:val="20"/>
                      <w:szCs w:val="20"/>
                    </w:rPr>
                  </m:ctrlPr>
                </m:sSubPr>
                <m:e>
                  <m:r>
                    <m:rPr>
                      <m:sty m:val="p"/>
                    </m:rPr>
                    <w:rPr>
                      <w:rFonts w:ascii="Cambria Math" w:hAnsi="Arial" w:cs="Arial"/>
                      <w:sz w:val="20"/>
                      <w:szCs w:val="20"/>
                    </w:rPr>
                    <m:t>Ω</m:t>
                  </m:r>
                </m:e>
                <m:sub>
                  <m:r>
                    <m:rPr>
                      <m:sty m:val="p"/>
                    </m:rPr>
                    <w:rPr>
                      <w:rFonts w:ascii="Cambria Math" w:hAnsi="Arial" w:cs="Arial"/>
                      <w:sz w:val="20"/>
                      <w:szCs w:val="20"/>
                    </w:rPr>
                    <m:t>c</m:t>
                  </m:r>
                </m:sub>
              </m:sSub>
            </m:sup>
            <m:e>
              <m:sSub>
                <m:sSubPr>
                  <m:ctrlPr>
                    <w:rPr>
                      <w:rFonts w:ascii="Cambria Math" w:hAnsi="Arial" w:cs="Arial"/>
                      <w:sz w:val="20"/>
                      <w:szCs w:val="20"/>
                    </w:rPr>
                  </m:ctrlPr>
                </m:sSubPr>
                <m:e>
                  <m:r>
                    <m:rPr>
                      <m:sty m:val="p"/>
                    </m:rPr>
                    <w:rPr>
                      <w:rFonts w:ascii="Cambria Math" w:hAnsi="Arial" w:cs="Arial"/>
                      <w:sz w:val="20"/>
                      <w:szCs w:val="20"/>
                    </w:rPr>
                    <m:t>σ</m:t>
                  </m:r>
                </m:e>
                <m:sub>
                  <m:r>
                    <m:rPr>
                      <m:sty m:val="p"/>
                    </m:rPr>
                    <w:rPr>
                      <w:rFonts w:ascii="Cambria Math" w:hAnsi="Arial" w:cs="Arial"/>
                      <w:sz w:val="20"/>
                      <w:szCs w:val="20"/>
                    </w:rPr>
                    <m:t>1</m:t>
                  </m:r>
                </m:sub>
              </m:sSub>
              <m:d>
                <m:dPr>
                  <m:ctrlPr>
                    <w:rPr>
                      <w:rFonts w:ascii="Cambria Math" w:hAnsi="Arial" w:cs="Arial"/>
                      <w:sz w:val="20"/>
                      <w:szCs w:val="20"/>
                    </w:rPr>
                  </m:ctrlPr>
                </m:dPr>
                <m:e>
                  <m:r>
                    <m:rPr>
                      <m:sty m:val="p"/>
                    </m:rPr>
                    <w:rPr>
                      <w:rFonts w:ascii="Cambria Math" w:hAnsi="Arial" w:cs="Arial"/>
                      <w:sz w:val="20"/>
                      <w:szCs w:val="20"/>
                    </w:rPr>
                    <m:t>ω</m:t>
                  </m:r>
                </m:e>
              </m:d>
              <m:r>
                <m:rPr>
                  <m:sty m:val="p"/>
                </m:rPr>
                <w:rPr>
                  <w:rFonts w:ascii="Cambria Math" w:hAnsi="Arial" w:cs="Arial"/>
                  <w:sz w:val="20"/>
                  <w:szCs w:val="20"/>
                </w:rPr>
                <m:t xml:space="preserve"> d</m:t>
              </m:r>
              <m:r>
                <m:rPr>
                  <m:sty m:val="p"/>
                </m:rPr>
                <w:rPr>
                  <w:rFonts w:ascii="Cambria Math" w:hAnsi="Arial" w:cs="Arial"/>
                  <w:sz w:val="20"/>
                  <w:szCs w:val="20"/>
                </w:rPr>
                <m:t>ω</m:t>
              </m:r>
              <m:r>
                <m:rPr>
                  <m:sty m:val="p"/>
                </m:rPr>
                <w:rPr>
                  <w:rFonts w:ascii="Cambria Math" w:hAnsi="Arial" w:cs="Arial"/>
                  <w:sz w:val="20"/>
                  <w:szCs w:val="20"/>
                </w:rPr>
                <m:t xml:space="preserve"> </m:t>
              </m:r>
            </m:e>
          </m:nary>
        </m:oMath>
      </m:oMathPara>
    </w:p>
    <w:p w14:paraId="2CD38246" w14:textId="77777777" w:rsidR="00C40ECA" w:rsidRPr="00997D85" w:rsidRDefault="00D7140F" w:rsidP="00997D85">
      <w:pPr>
        <w:pStyle w:val="NormalWeb"/>
        <w:jc w:val="both"/>
        <w:rPr>
          <w:rFonts w:ascii="Arial" w:hAnsi="Arial" w:cs="Arial"/>
          <w:sz w:val="20"/>
          <w:szCs w:val="20"/>
        </w:rPr>
      </w:pPr>
      <w:r w:rsidRPr="00997D85">
        <w:rPr>
          <w:rFonts w:ascii="Arial" w:hAnsi="Arial" w:cs="Arial"/>
          <w:sz w:val="20"/>
          <w:szCs w:val="20"/>
        </w:rPr>
        <w:t>W</w:t>
      </w:r>
      <w:r w:rsidR="00C40ECA" w:rsidRPr="00997D85">
        <w:rPr>
          <w:rFonts w:ascii="Arial" w:hAnsi="Arial" w:cs="Arial"/>
          <w:sz w:val="20"/>
          <w:szCs w:val="20"/>
        </w:rPr>
        <w:t xml:space="preserve">here </w:t>
      </w:r>
      <m:oMath>
        <m:sSub>
          <m:sSubPr>
            <m:ctrlPr>
              <w:rPr>
                <w:rFonts w:ascii="Cambria Math" w:hAnsi="Arial" w:cs="Arial"/>
                <w:i/>
                <w:sz w:val="20"/>
                <w:szCs w:val="20"/>
              </w:rPr>
            </m:ctrlPr>
          </m:sSubPr>
          <m:e>
            <m:r>
              <w:rPr>
                <w:rFonts w:ascii="Cambria Math" w:hAnsi="Cambria Math" w:cs="Arial"/>
                <w:sz w:val="20"/>
                <w:szCs w:val="20"/>
              </w:rPr>
              <m:t>σ</m:t>
            </m:r>
          </m:e>
          <m:sub>
            <m:r>
              <w:rPr>
                <w:rFonts w:ascii="Cambria Math" w:hAnsi="Arial" w:cs="Arial"/>
                <w:sz w:val="20"/>
                <w:szCs w:val="20"/>
              </w:rPr>
              <m:t>1</m:t>
            </m:r>
          </m:sub>
        </m:sSub>
        <m:d>
          <m:dPr>
            <m:ctrlPr>
              <w:rPr>
                <w:rFonts w:ascii="Cambria Math" w:hAnsi="Arial" w:cs="Arial"/>
                <w:i/>
                <w:sz w:val="20"/>
                <w:szCs w:val="20"/>
              </w:rPr>
            </m:ctrlPr>
          </m:dPr>
          <m:e>
            <m:r>
              <w:rPr>
                <w:rFonts w:ascii="Cambria Math" w:hAnsi="Cambria Math" w:cs="Arial"/>
                <w:sz w:val="20"/>
                <w:szCs w:val="20"/>
              </w:rPr>
              <m:t>ω</m:t>
            </m:r>
          </m:e>
        </m:d>
      </m:oMath>
      <w:r w:rsidR="00C40ECA" w:rsidRPr="00997D85">
        <w:rPr>
          <w:rFonts w:ascii="Arial" w:hAnsi="Arial" w:cs="Arial"/>
          <w:sz w:val="20"/>
          <w:szCs w:val="20"/>
        </w:rPr>
        <w:t xml:space="preserve"> is the real optical conductivity, </w:t>
      </w:r>
      <m:oMath>
        <m:r>
          <w:rPr>
            <w:rFonts w:ascii="Cambria Math" w:hAnsi="Cambria Math" w:cs="Arial"/>
            <w:sz w:val="20"/>
            <w:szCs w:val="20"/>
          </w:rPr>
          <m:t>W</m:t>
        </m:r>
        <m:d>
          <m:dPr>
            <m:ctrlPr>
              <w:rPr>
                <w:rFonts w:ascii="Cambria Math" w:hAnsi="Arial" w:cs="Arial"/>
                <w:i/>
                <w:sz w:val="20"/>
                <w:szCs w:val="20"/>
              </w:rPr>
            </m:ctrlPr>
          </m:dPr>
          <m:e>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e>
        </m:d>
      </m:oMath>
      <w:r w:rsidR="00C40ECA" w:rsidRPr="00997D85">
        <w:rPr>
          <w:rFonts w:ascii="Arial" w:hAnsi="Arial" w:cs="Arial"/>
          <w:sz w:val="20"/>
          <w:szCs w:val="20"/>
        </w:rPr>
        <w:t xml:space="preserve"> is the integrated spectral weight and </w:t>
      </w:r>
      <m:oMath>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oMath>
      <w:r w:rsidR="00C40ECA" w:rsidRPr="00997D85">
        <w:rPr>
          <w:rFonts w:ascii="Arial" w:hAnsi="Arial" w:cs="Arial"/>
          <w:sz w:val="20"/>
          <w:szCs w:val="20"/>
        </w:rPr>
        <w:t xml:space="preserve"> sets the infrared cutoff (</w:t>
      </w:r>
      <m:oMath>
        <m:sSub>
          <m:sSubPr>
            <m:ctrlPr>
              <w:rPr>
                <w:rFonts w:ascii="Cambria Math" w:hAnsi="Arial" w:cs="Arial"/>
                <w:i/>
                <w:sz w:val="20"/>
                <w:szCs w:val="20"/>
              </w:rPr>
            </m:ctrlPr>
          </m:sSubPr>
          <m:e>
            <m:r>
              <m:rPr>
                <m:sty m:val="p"/>
              </m:rPr>
              <w:rPr>
                <w:rFonts w:ascii="Cambria Math" w:hAnsi="Arial" w:cs="Arial"/>
                <w:sz w:val="20"/>
                <w:szCs w:val="20"/>
              </w:rPr>
              <m:t>Ω</m:t>
            </m:r>
          </m:e>
          <m:sub>
            <m:r>
              <w:rPr>
                <w:rFonts w:ascii="Cambria Math" w:hAnsi="Cambria Math" w:cs="Arial"/>
                <w:sz w:val="20"/>
                <w:szCs w:val="20"/>
              </w:rPr>
              <m:t>c</m:t>
            </m:r>
          </m:sub>
        </m:sSub>
        <m:r>
          <w:rPr>
            <w:rFonts w:ascii="Cambria Math" w:hAnsi="Arial" w:cs="Arial"/>
            <w:sz w:val="20"/>
            <w:szCs w:val="20"/>
          </w:rPr>
          <m:t>≈</m:t>
        </m:r>
        <m:r>
          <w:rPr>
            <w:rFonts w:ascii="Cambria Math" w:hAnsi="Arial" w:cs="Arial"/>
            <w:sz w:val="20"/>
            <w:szCs w:val="20"/>
          </w:rPr>
          <m:t>1</m:t>
        </m:r>
        <m:r>
          <w:rPr>
            <w:rFonts w:ascii="Cambria Math" w:hAnsi="Cambria Math" w:cs="Arial"/>
            <w:sz w:val="20"/>
            <w:szCs w:val="20"/>
          </w:rPr>
          <m:t>eV</m:t>
        </m:r>
        <m:r>
          <w:rPr>
            <w:rFonts w:ascii="Cambria Math" w:hAnsi="Arial" w:cs="Arial"/>
            <w:sz w:val="20"/>
            <w:szCs w:val="20"/>
          </w:rPr>
          <m:t>)</m:t>
        </m:r>
      </m:oMath>
      <w:r w:rsidR="00C40ECA" w:rsidRPr="00997D85">
        <w:rPr>
          <w:rFonts w:ascii="Arial" w:hAnsi="Arial" w:cs="Arial"/>
          <w:sz w:val="20"/>
          <w:szCs w:val="20"/>
        </w:rPr>
        <w:t xml:space="preserve"> (</w:t>
      </w:r>
      <w:r w:rsidR="00030D12">
        <w:rPr>
          <w:rFonts w:ascii="Arial" w:hAnsi="Arial" w:cs="Arial"/>
          <w:sz w:val="20"/>
          <w:szCs w:val="20"/>
        </w:rPr>
        <w:t>[34]</w:t>
      </w:r>
      <w:r w:rsidR="00C40ECA" w:rsidRPr="00997D85">
        <w:rPr>
          <w:rFonts w:ascii="Arial" w:hAnsi="Arial" w:cs="Arial"/>
          <w:sz w:val="20"/>
          <w:szCs w:val="20"/>
        </w:rPr>
        <w:t xml:space="preserve">; </w:t>
      </w:r>
      <w:r w:rsidR="00030D12">
        <w:rPr>
          <w:rFonts w:ascii="Arial" w:hAnsi="Arial" w:cs="Arial"/>
          <w:sz w:val="20"/>
          <w:szCs w:val="20"/>
        </w:rPr>
        <w:t>[33]</w:t>
      </w:r>
      <w:r w:rsidR="00C40ECA" w:rsidRPr="00997D85">
        <w:rPr>
          <w:rFonts w:ascii="Arial" w:hAnsi="Arial" w:cs="Arial"/>
          <w:sz w:val="20"/>
          <w:szCs w:val="20"/>
        </w:rPr>
        <w:t>). Remarkably, the electronic kinetic energy decreases in the superconducting state opposite to BCS theory predictions indicating a fundamental breakdown of conventional SC m</w:t>
      </w:r>
      <w:r w:rsidR="005E68C8">
        <w:rPr>
          <w:rFonts w:ascii="Arial" w:hAnsi="Arial" w:cs="Arial"/>
          <w:sz w:val="20"/>
          <w:szCs w:val="20"/>
        </w:rPr>
        <w:t xml:space="preserve">odels in the underdoped regime </w:t>
      </w:r>
      <w:r w:rsidR="00030D12">
        <w:rPr>
          <w:rFonts w:ascii="Arial" w:hAnsi="Arial" w:cs="Arial"/>
          <w:sz w:val="20"/>
          <w:szCs w:val="20"/>
        </w:rPr>
        <w:t>[32]</w:t>
      </w:r>
      <w:r w:rsidR="00C40ECA" w:rsidRPr="00997D85">
        <w:rPr>
          <w:rFonts w:ascii="Arial" w:hAnsi="Arial" w:cs="Arial"/>
          <w:sz w:val="20"/>
          <w:szCs w:val="20"/>
        </w:rPr>
        <w:t xml:space="preserve">. </w:t>
      </w:r>
    </w:p>
    <w:p w14:paraId="4939722D" w14:textId="77777777" w:rsidR="00C40ECA" w:rsidRPr="00997D85" w:rsidRDefault="00C40ECA" w:rsidP="00997D85">
      <w:pPr>
        <w:spacing w:line="240" w:lineRule="auto"/>
        <w:jc w:val="both"/>
        <w:rPr>
          <w:rFonts w:ascii="Arial" w:hAnsi="Arial" w:cs="Arial"/>
          <w:b/>
          <w:sz w:val="20"/>
          <w:szCs w:val="20"/>
          <w:u w:val="single"/>
        </w:rPr>
      </w:pPr>
      <w:r w:rsidRPr="00997D85">
        <w:rPr>
          <w:rFonts w:ascii="Arial" w:hAnsi="Arial" w:cs="Arial"/>
          <w:b/>
          <w:sz w:val="20"/>
          <w:szCs w:val="20"/>
          <w:u w:val="single"/>
        </w:rPr>
        <w:t>2.5.1 Doping Evolution of Spectroscopic Signatures</w:t>
      </w:r>
    </w:p>
    <w:p w14:paraId="3BDDF6E9" w14:textId="77777777" w:rsidR="00C40ECA" w:rsidRPr="00997D85" w:rsidRDefault="00C40ECA" w:rsidP="00997D85">
      <w:pPr>
        <w:spacing w:before="100" w:beforeAutospacing="1" w:after="100" w:afterAutospacing="1" w:line="240" w:lineRule="auto"/>
        <w:jc w:val="both"/>
        <w:rPr>
          <w:rFonts w:ascii="Arial" w:eastAsia="Times New Roman" w:hAnsi="Arial" w:cs="Arial"/>
          <w:sz w:val="20"/>
          <w:szCs w:val="20"/>
        </w:rPr>
      </w:pPr>
      <w:r w:rsidRPr="00997D85">
        <w:rPr>
          <w:rFonts w:ascii="Arial" w:eastAsia="Times New Roman" w:hAnsi="Arial" w:cs="Arial"/>
          <w:sz w:val="20"/>
          <w:szCs w:val="20"/>
        </w:rPr>
        <w:t xml:space="preserve">Systematic optical spectroscopy reveals how PG features evolve with doping toward the critical concentration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5E68C8">
        <w:rPr>
          <w:rFonts w:ascii="Arial" w:eastAsia="Times New Roman" w:hAnsi="Arial" w:cs="Arial"/>
          <w:sz w:val="20"/>
          <w:szCs w:val="20"/>
        </w:rPr>
        <w:t xml:space="preserve"> </w:t>
      </w:r>
      <w:r w:rsidR="00030D12">
        <w:rPr>
          <w:rFonts w:ascii="Arial" w:eastAsia="Times New Roman" w:hAnsi="Arial" w:cs="Arial"/>
          <w:sz w:val="20"/>
          <w:szCs w:val="20"/>
        </w:rPr>
        <w:t>[33]</w:t>
      </w:r>
      <w:r w:rsidRPr="00997D85">
        <w:rPr>
          <w:rFonts w:ascii="Arial" w:eastAsia="Times New Roman" w:hAnsi="Arial" w:cs="Arial"/>
          <w:sz w:val="20"/>
          <w:szCs w:val="20"/>
        </w:rPr>
        <w:t xml:space="preserve">. In LSCO and Eu-LSCO, the coherent Drude spectral weight </w:t>
      </w:r>
      <m:oMath>
        <m:sSup>
          <m:sSupPr>
            <m:ctrlPr>
              <w:rPr>
                <w:rFonts w:ascii="Cambria Math" w:hAnsi="Arial" w:cs="Arial"/>
                <w:i/>
                <w:sz w:val="20"/>
                <w:szCs w:val="20"/>
              </w:rPr>
            </m:ctrlPr>
          </m:sSupPr>
          <m:e>
            <m:r>
              <w:rPr>
                <w:rFonts w:ascii="Cambria Math" w:hAnsi="Cambria Math" w:cs="Arial"/>
                <w:sz w:val="20"/>
                <w:szCs w:val="20"/>
              </w:rPr>
              <m:t>K</m:t>
            </m:r>
          </m:e>
          <m:sup>
            <m:r>
              <w:rPr>
                <w:rFonts w:ascii="Arial" w:hAnsi="Cambria Math" w:cs="Arial"/>
                <w:sz w:val="20"/>
                <w:szCs w:val="20"/>
              </w:rPr>
              <m:t>*</m:t>
            </m:r>
          </m:sup>
        </m:sSup>
      </m:oMath>
      <w:r w:rsidRPr="00997D85">
        <w:rPr>
          <w:rFonts w:ascii="Arial" w:eastAsia="Times New Roman" w:hAnsi="Arial" w:cs="Arial"/>
          <w:sz w:val="20"/>
          <w:szCs w:val="20"/>
        </w:rPr>
        <w:t xml:space="preserve"> increases steadily, reflecting enhanced carrier coherence as the system ap</w:t>
      </w:r>
      <w:r w:rsidR="005E68C8">
        <w:rPr>
          <w:rFonts w:ascii="Arial" w:eastAsia="Times New Roman" w:hAnsi="Arial" w:cs="Arial"/>
          <w:sz w:val="20"/>
          <w:szCs w:val="20"/>
        </w:rPr>
        <w:t xml:space="preserve">proaches a more metallic state </w:t>
      </w:r>
      <w:r w:rsidR="00030D12">
        <w:rPr>
          <w:rFonts w:ascii="Arial" w:eastAsia="Times New Roman" w:hAnsi="Arial" w:cs="Arial"/>
          <w:sz w:val="20"/>
          <w:szCs w:val="20"/>
        </w:rPr>
        <w:t>[35]</w:t>
      </w:r>
      <w:r w:rsidRPr="00997D85">
        <w:rPr>
          <w:rFonts w:ascii="Arial" w:eastAsia="Times New Roman" w:hAnsi="Arial" w:cs="Arial"/>
          <w:sz w:val="20"/>
          <w:szCs w:val="20"/>
        </w:rPr>
        <w:t xml:space="preserve">; </w:t>
      </w:r>
      <w:r w:rsidR="00030D12">
        <w:rPr>
          <w:rFonts w:ascii="Arial" w:eastAsia="Times New Roman" w:hAnsi="Arial" w:cs="Arial"/>
          <w:sz w:val="20"/>
          <w:szCs w:val="20"/>
        </w:rPr>
        <w:t>[33]</w:t>
      </w:r>
      <w:r w:rsidRPr="00997D85">
        <w:rPr>
          <w:rFonts w:ascii="Arial" w:eastAsia="Times New Roman" w:hAnsi="Arial" w:cs="Arial"/>
          <w:sz w:val="20"/>
          <w:szCs w:val="20"/>
        </w:rPr>
        <w:t xml:space="preserve">. Yet, in </w:t>
      </w:r>
      <w:r w:rsidRPr="00997D85">
        <w:rPr>
          <w:rFonts w:ascii="Arial" w:eastAsia="Times New Roman" w:hAnsi="Arial" w:cs="Arial"/>
          <w:sz w:val="20"/>
          <w:szCs w:val="20"/>
        </w:rPr>
        <w:lastRenderedPageBreak/>
        <w:t xml:space="preserve">the underdoped regime, the total low-energy spectral weight remains markedly reduced relative to band theory expectations, highlighting the persistence of strong correlation effects across a broad doping range. Effective mass </w:t>
      </w:r>
      <m:oMath>
        <m:sSup>
          <m:sSupPr>
            <m:ctrlPr>
              <w:rPr>
                <w:rFonts w:ascii="Cambria Math" w:hAnsi="Arial" w:cs="Arial"/>
                <w:sz w:val="20"/>
                <w:szCs w:val="20"/>
              </w:rPr>
            </m:ctrlPr>
          </m:sSupPr>
          <m:e>
            <m:r>
              <w:rPr>
                <w:rFonts w:ascii="Cambria Math" w:hAnsi="Cambria Math" w:cs="Arial"/>
                <w:sz w:val="20"/>
                <w:szCs w:val="20"/>
              </w:rPr>
              <m:t>m</m:t>
            </m:r>
          </m:e>
          <m:sup>
            <m:r>
              <m:rPr>
                <m:sty m:val="p"/>
              </m:rPr>
              <w:rPr>
                <w:rFonts w:ascii="Arial" w:hAnsi="Cambria Math" w:cs="Arial"/>
                <w:sz w:val="20"/>
                <w:szCs w:val="20"/>
              </w:rPr>
              <m:t>*</m:t>
            </m:r>
          </m:sup>
        </m:sSup>
      </m:oMath>
      <w:r w:rsidRPr="00997D85">
        <w:rPr>
          <w:rFonts w:ascii="Arial" w:eastAsia="Times New Roman" w:hAnsi="Arial" w:cs="Arial"/>
          <w:i/>
          <w:iCs/>
          <w:sz w:val="20"/>
          <w:szCs w:val="20"/>
        </w:rPr>
        <w:t xml:space="preserve">, </w:t>
      </w:r>
      <w:r w:rsidRPr="00997D85">
        <w:rPr>
          <w:rFonts w:ascii="Arial" w:eastAsia="Times New Roman" w:hAnsi="Arial" w:cs="Arial"/>
          <w:iCs/>
          <w:sz w:val="20"/>
          <w:szCs w:val="20"/>
        </w:rPr>
        <w:t>derived from optical and quantum oscillation data, shows logarithmic divergence as</w:t>
      </w:r>
      <w:r w:rsidRPr="00997D85">
        <w:rPr>
          <w:rFonts w:ascii="Arial" w:eastAsia="Times New Roman" w:hAnsi="Arial" w:cs="Arial"/>
          <w:i/>
          <w:iCs/>
          <w:sz w:val="20"/>
          <w:szCs w:val="20"/>
        </w:rPr>
        <w:t xml:space="preserve"> </w:t>
      </w:r>
      <m:oMath>
        <m:r>
          <w:rPr>
            <w:rStyle w:val="Emphasis"/>
            <w:rFonts w:ascii="Cambria Math" w:eastAsiaTheme="majorEastAsia" w:hAnsi="Cambria Math" w:cs="Arial"/>
            <w:sz w:val="20"/>
            <w:szCs w:val="20"/>
          </w:rPr>
          <m:t>p</m:t>
        </m:r>
        <m:r>
          <w:rPr>
            <w:rStyle w:val="Emphasis"/>
            <w:rFonts w:ascii="Cambria Math" w:eastAsiaTheme="majorEastAsia" w:hAnsi="Arial" w:cs="Arial"/>
            <w:sz w:val="20"/>
            <w:szCs w:val="20"/>
          </w:rPr>
          <m: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997D85">
        <w:rPr>
          <w:rFonts w:ascii="Arial" w:eastAsia="Times New Roman" w:hAnsi="Arial" w:cs="Arial"/>
          <w:sz w:val="20"/>
          <w:szCs w:val="20"/>
        </w:rPr>
        <w:t>, offering spectroscopic e</w:t>
      </w:r>
      <w:r w:rsidR="005E68C8">
        <w:rPr>
          <w:rFonts w:ascii="Arial" w:eastAsia="Times New Roman" w:hAnsi="Arial" w:cs="Arial"/>
          <w:sz w:val="20"/>
          <w:szCs w:val="20"/>
        </w:rPr>
        <w:t xml:space="preserve">vidence of quantum </w:t>
      </w:r>
      <w:proofErr w:type="gramStart"/>
      <w:r w:rsidR="005E68C8">
        <w:rPr>
          <w:rFonts w:ascii="Arial" w:eastAsia="Times New Roman" w:hAnsi="Arial" w:cs="Arial"/>
          <w:sz w:val="20"/>
          <w:szCs w:val="20"/>
        </w:rPr>
        <w:t>criticality</w:t>
      </w:r>
      <w:r w:rsidR="00030D12">
        <w:rPr>
          <w:rFonts w:ascii="Arial" w:eastAsia="Times New Roman" w:hAnsi="Arial" w:cs="Arial"/>
          <w:sz w:val="20"/>
          <w:szCs w:val="20"/>
        </w:rPr>
        <w:t>[</w:t>
      </w:r>
      <w:proofErr w:type="gramEnd"/>
      <w:r w:rsidR="00030D12">
        <w:rPr>
          <w:rFonts w:ascii="Arial" w:eastAsia="Times New Roman" w:hAnsi="Arial" w:cs="Arial"/>
          <w:sz w:val="20"/>
          <w:szCs w:val="20"/>
        </w:rPr>
        <w:t>35]</w:t>
      </w:r>
      <w:r w:rsidRPr="00997D85">
        <w:rPr>
          <w:rFonts w:ascii="Arial" w:eastAsia="Times New Roman" w:hAnsi="Arial" w:cs="Arial"/>
          <w:sz w:val="20"/>
          <w:szCs w:val="20"/>
        </w:rPr>
        <w:t xml:space="preserve">. Importantly, spectroscopic probes locate the PG endpoint at higher doping </w:t>
      </w:r>
      <w:r w:rsidRPr="00997D85">
        <w:rPr>
          <w:rFonts w:ascii="Arial" w:hAnsi="Arial" w:cs="Arial"/>
          <w:sz w:val="20"/>
          <w:szCs w:val="20"/>
        </w:rPr>
        <w:t>(</w:t>
      </w:r>
      <m:oMath>
        <m:r>
          <w:rPr>
            <w:rFonts w:ascii="Cambria Math" w:hAnsi="Arial" w:cs="Arial"/>
            <w:sz w:val="20"/>
            <w:szCs w:val="20"/>
          </w:rPr>
          <m:t>~0.20</m:t>
        </m:r>
        <m:r>
          <w:rPr>
            <w:rFonts w:ascii="Arial" w:hAnsi="Arial" w:cs="Arial"/>
            <w:sz w:val="20"/>
            <w:szCs w:val="20"/>
          </w:rPr>
          <m:t>-</m:t>
        </m:r>
        <m:r>
          <w:rPr>
            <w:rFonts w:ascii="Cambria Math" w:hAnsi="Arial" w:cs="Arial"/>
            <w:sz w:val="20"/>
            <w:szCs w:val="20"/>
          </w:rPr>
          <m:t>0.23)</m:t>
        </m:r>
      </m:oMath>
      <w:r w:rsidRPr="00997D85">
        <w:rPr>
          <w:rFonts w:ascii="Arial" w:eastAsia="Times New Roman" w:hAnsi="Arial" w:cs="Arial"/>
          <w:sz w:val="20"/>
          <w:szCs w:val="20"/>
        </w:rPr>
        <w:t xml:space="preserve"> than transport measurements </w:t>
      </w:r>
      <m:oMath>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Pr="00997D85">
        <w:rPr>
          <w:rFonts w:ascii="Arial" w:eastAsia="Times New Roman" w:hAnsi="Arial" w:cs="Arial"/>
          <w:sz w:val="20"/>
          <w:szCs w:val="20"/>
        </w:rPr>
        <w:t>, emphasizing probe-dependent sensitivity rath</w:t>
      </w:r>
      <w:r w:rsidR="005E68C8">
        <w:rPr>
          <w:rFonts w:ascii="Arial" w:eastAsia="Times New Roman" w:hAnsi="Arial" w:cs="Arial"/>
          <w:sz w:val="20"/>
          <w:szCs w:val="20"/>
        </w:rPr>
        <w:t xml:space="preserve">er than contradiction </w:t>
      </w:r>
      <w:r w:rsidR="00D36826">
        <w:rPr>
          <w:rFonts w:ascii="Arial" w:eastAsia="Times New Roman" w:hAnsi="Arial" w:cs="Arial"/>
          <w:sz w:val="20"/>
          <w:szCs w:val="20"/>
        </w:rPr>
        <w:t>[12]</w:t>
      </w:r>
      <w:r w:rsidRPr="00997D85">
        <w:rPr>
          <w:rFonts w:ascii="Arial" w:eastAsia="Times New Roman" w:hAnsi="Arial" w:cs="Arial"/>
          <w:sz w:val="20"/>
          <w:szCs w:val="20"/>
        </w:rPr>
        <w:t xml:space="preserve">; </w:t>
      </w:r>
      <w:r w:rsidR="00D36826">
        <w:rPr>
          <w:rFonts w:ascii="Arial" w:eastAsia="Times New Roman" w:hAnsi="Arial" w:cs="Arial"/>
          <w:sz w:val="20"/>
          <w:szCs w:val="20"/>
        </w:rPr>
        <w:t>[7]</w:t>
      </w:r>
      <w:r w:rsidRPr="00997D85">
        <w:rPr>
          <w:rFonts w:ascii="Arial" w:eastAsia="Times New Roman" w:hAnsi="Arial" w:cs="Arial"/>
          <w:sz w:val="20"/>
          <w:szCs w:val="20"/>
        </w:rPr>
        <w:t>.</w:t>
      </w:r>
    </w:p>
    <w:p w14:paraId="4D56209C" w14:textId="77777777" w:rsidR="00C40ECA" w:rsidRPr="00997D85" w:rsidRDefault="00C40ECA" w:rsidP="00997D85">
      <w:pPr>
        <w:pStyle w:val="Heading3"/>
        <w:jc w:val="both"/>
        <w:rPr>
          <w:rFonts w:ascii="Arial" w:hAnsi="Arial" w:cs="Arial"/>
          <w:sz w:val="22"/>
          <w:szCs w:val="22"/>
        </w:rPr>
      </w:pPr>
      <w:r w:rsidRPr="00997D85">
        <w:rPr>
          <w:rFonts w:ascii="Arial" w:hAnsi="Arial" w:cs="Arial"/>
          <w:sz w:val="22"/>
          <w:szCs w:val="22"/>
        </w:rPr>
        <w:t>3.0 TEMPERATURE DEPENDENCE OF THE PSEUDOGAP PHASE</w:t>
      </w:r>
    </w:p>
    <w:p w14:paraId="7C2DE3F3" w14:textId="77777777" w:rsidR="00C40ECA" w:rsidRPr="00705530" w:rsidRDefault="00C40ECA" w:rsidP="00997D85">
      <w:pPr>
        <w:pStyle w:val="Heading4"/>
        <w:spacing w:line="240" w:lineRule="auto"/>
        <w:jc w:val="both"/>
        <w:rPr>
          <w:rFonts w:ascii="Arial" w:hAnsi="Arial" w:cs="Arial"/>
          <w:i w:val="0"/>
          <w:color w:val="auto"/>
          <w:sz w:val="22"/>
          <w:szCs w:val="22"/>
        </w:rPr>
      </w:pPr>
      <w:r w:rsidRPr="00705530">
        <w:rPr>
          <w:rFonts w:ascii="Arial" w:hAnsi="Arial" w:cs="Arial"/>
          <w:i w:val="0"/>
          <w:color w:val="auto"/>
          <w:sz w:val="22"/>
          <w:szCs w:val="22"/>
        </w:rPr>
        <w:t xml:space="preserve">3.1 </w:t>
      </w:r>
      <w:proofErr w:type="spellStart"/>
      <w:r w:rsidRPr="00705530">
        <w:rPr>
          <w:rFonts w:ascii="Arial" w:hAnsi="Arial" w:cs="Arial"/>
          <w:i w:val="0"/>
          <w:color w:val="auto"/>
          <w:sz w:val="22"/>
          <w:szCs w:val="22"/>
        </w:rPr>
        <w:t>Pseudogap</w:t>
      </w:r>
      <w:proofErr w:type="spellEnd"/>
      <w:r w:rsidRPr="00705530">
        <w:rPr>
          <w:rFonts w:ascii="Arial" w:hAnsi="Arial" w:cs="Arial"/>
          <w:i w:val="0"/>
          <w:color w:val="auto"/>
          <w:sz w:val="22"/>
          <w:szCs w:val="22"/>
        </w:rPr>
        <w:t xml:space="preserve"> Onset Temperature: Evidence from THG Spectroscopy</w:t>
      </w:r>
    </w:p>
    <w:p w14:paraId="078ED4F8"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The PG onset temperature</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 xml:space="preserve">defines the upper boundary of anomalous electronic behavior distinct from </w:t>
      </w:r>
      <w:r w:rsidR="005E68C8">
        <w:rPr>
          <w:rStyle w:val="Emphasis"/>
          <w:rFonts w:ascii="Arial" w:eastAsiaTheme="majorEastAsia" w:hAnsi="Arial" w:cs="Arial"/>
          <w:i w:val="0"/>
          <w:sz w:val="20"/>
          <w:szCs w:val="20"/>
        </w:rPr>
        <w:t xml:space="preserve">superconductivity </w:t>
      </w:r>
      <w:r w:rsidR="00030D12">
        <w:rPr>
          <w:rStyle w:val="Emphasis"/>
          <w:rFonts w:ascii="Arial" w:eastAsiaTheme="majorEastAsia" w:hAnsi="Arial" w:cs="Arial"/>
          <w:i w:val="0"/>
          <w:sz w:val="20"/>
          <w:szCs w:val="20"/>
        </w:rPr>
        <w:t>[36]</w:t>
      </w:r>
      <w:r w:rsidRPr="00997D85">
        <w:rPr>
          <w:rStyle w:val="Emphasis"/>
          <w:rFonts w:ascii="Arial" w:eastAsiaTheme="majorEastAsia" w:hAnsi="Arial" w:cs="Arial"/>
          <w:i w:val="0"/>
          <w:sz w:val="20"/>
          <w:szCs w:val="20"/>
        </w:rPr>
        <w:t>.</w:t>
      </w:r>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 xml:space="preserve">Using terahertz third-harmonic generation (THG) spectroscopy on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x</m:t>
            </m:r>
          </m:sub>
        </m:sSub>
      </m:oMath>
      <w:r w:rsidRPr="00997D85">
        <w:rPr>
          <w:rFonts w:ascii="Arial" w:hAnsi="Arial" w:cs="Arial"/>
          <w:sz w:val="20"/>
          <w:szCs w:val="20"/>
        </w:rPr>
        <w:t xml:space="preserve"> (YBCO)</w:t>
      </w:r>
      <w:r w:rsidRPr="00997D85">
        <w:rPr>
          <w:rStyle w:val="Emphasis"/>
          <w:rFonts w:ascii="Arial" w:eastAsiaTheme="majorEastAsia" w:hAnsi="Arial" w:cs="Arial"/>
          <w:i w:val="0"/>
          <w:sz w:val="20"/>
          <w:szCs w:val="20"/>
        </w:rPr>
        <w:t xml:space="preserve"> thin films, </w:t>
      </w:r>
      <w:r w:rsidR="00030D12">
        <w:rPr>
          <w:rStyle w:val="Emphasis"/>
          <w:rFonts w:ascii="Arial" w:eastAsiaTheme="majorEastAsia" w:hAnsi="Arial" w:cs="Arial"/>
          <w:i w:val="0"/>
          <w:sz w:val="20"/>
          <w:szCs w:val="20"/>
        </w:rPr>
        <w:t>[</w:t>
      </w:r>
      <w:proofErr w:type="gramStart"/>
      <w:r w:rsidR="00030D12">
        <w:rPr>
          <w:rStyle w:val="Emphasis"/>
          <w:rFonts w:ascii="Arial" w:eastAsiaTheme="majorEastAsia" w:hAnsi="Arial" w:cs="Arial"/>
          <w:i w:val="0"/>
          <w:sz w:val="20"/>
          <w:szCs w:val="20"/>
        </w:rPr>
        <w:t>36]</w:t>
      </w:r>
      <w:r w:rsidRPr="00997D85">
        <w:rPr>
          <w:rStyle w:val="Emphasis"/>
          <w:rFonts w:ascii="Arial" w:eastAsiaTheme="majorEastAsia" w:hAnsi="Arial" w:cs="Arial"/>
          <w:i w:val="0"/>
          <w:sz w:val="20"/>
          <w:szCs w:val="20"/>
        </w:rPr>
        <w:t>observed</w:t>
      </w:r>
      <w:proofErr w:type="gramEnd"/>
      <w:r w:rsidRPr="00997D85">
        <w:rPr>
          <w:rStyle w:val="Emphasis"/>
          <w:rFonts w:ascii="Arial" w:eastAsiaTheme="majorEastAsia" w:hAnsi="Arial" w:cs="Arial"/>
          <w:i w:val="0"/>
          <w:sz w:val="20"/>
          <w:szCs w:val="20"/>
        </w:rPr>
        <w:t xml:space="preserve"> a nonlinear optical response characterized by the third-order susceptibility</w:t>
      </w:r>
      <w:r w:rsidRPr="00997D85">
        <w:rPr>
          <w:rStyle w:val="Emphasis"/>
          <w:rFonts w:ascii="Arial" w:hAnsi="Arial" w:cs="Arial"/>
          <w:sz w:val="20"/>
          <w:szCs w:val="20"/>
        </w:rPr>
        <w:t xml:space="preserve">, </w:t>
      </w:r>
      <m:oMath>
        <m:sSup>
          <m:sSupPr>
            <m:ctrlPr>
              <w:rPr>
                <w:rFonts w:ascii="Cambria Math" w:hAnsi="Arial" w:cs="Arial"/>
                <w:i/>
                <w:sz w:val="20"/>
                <w:szCs w:val="20"/>
              </w:rPr>
            </m:ctrlPr>
          </m:sSupPr>
          <m:e>
            <m:r>
              <w:rPr>
                <w:rFonts w:ascii="Cambria Math" w:hAnsi="Cambria Math" w:cs="Arial"/>
                <w:sz w:val="20"/>
                <w:szCs w:val="20"/>
              </w:rPr>
              <m:t>x</m:t>
            </m:r>
          </m:e>
          <m:sup>
            <m:r>
              <w:rPr>
                <w:rFonts w:ascii="Cambria Math" w:hAnsi="Arial" w:cs="Arial"/>
                <w:sz w:val="20"/>
                <w:szCs w:val="20"/>
              </w:rPr>
              <m:t>(3)</m:t>
            </m:r>
          </m:sup>
        </m:sSup>
      </m:oMath>
      <w:r w:rsidRPr="00997D85">
        <w:rPr>
          <w:rStyle w:val="Emphasis"/>
          <w:rFonts w:ascii="Arial" w:eastAsiaTheme="majorEastAsia" w:hAnsi="Arial" w:cs="Arial"/>
          <w:sz w:val="20"/>
          <w:szCs w:val="20"/>
        </w:rPr>
        <w:t xml:space="preserve">. </w:t>
      </w:r>
      <w:r w:rsidRPr="00997D85">
        <w:rPr>
          <w:rStyle w:val="Emphasis"/>
          <w:rFonts w:ascii="Arial" w:eastAsiaTheme="majorEastAsia" w:hAnsi="Arial" w:cs="Arial"/>
          <w:i w:val="0"/>
          <w:sz w:val="20"/>
          <w:szCs w:val="20"/>
        </w:rPr>
        <w:t>A distinct signal emerged at</w:t>
      </w:r>
      <w:r w:rsidRPr="00997D85">
        <w:rPr>
          <w:rStyle w:val="Emphasis"/>
          <w:rFonts w:ascii="Arial" w:hAnsi="Arial" w:cs="Arial"/>
          <w:sz w:val="20"/>
          <w:szCs w:val="20"/>
        </w:rPr>
        <w:t xml:space="preserv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THG</m:t>
            </m:r>
          </m:sub>
        </m:sSub>
        <m:r>
          <w:rPr>
            <w:rFonts w:ascii="Cambria Math" w:hAnsi="Arial" w:cs="Arial"/>
            <w:sz w:val="20"/>
            <w:szCs w:val="20"/>
          </w:rPr>
          <m:t>≈</m:t>
        </m:r>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Fonts w:ascii="Arial" w:hAnsi="Arial" w:cs="Arial"/>
          <w:sz w:val="20"/>
          <w:szCs w:val="20"/>
        </w:rPr>
        <w:t xml:space="preserve">, preceding the superconducting transition </w:t>
      </w:r>
      <m:oMath>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oMath>
      <w:r w:rsidRPr="00997D85">
        <w:rPr>
          <w:rFonts w:ascii="Arial" w:hAnsi="Arial" w:cs="Arial"/>
          <w:sz w:val="20"/>
          <w:szCs w:val="20"/>
        </w:rPr>
        <w:t xml:space="preserve">. The temperature-dependent change in slope of </w:t>
      </w:r>
      <m:oMath>
        <m:sSup>
          <m:sSupPr>
            <m:ctrlPr>
              <w:rPr>
                <w:rFonts w:ascii="Cambria Math" w:hAnsi="Arial" w:cs="Arial"/>
                <w:i/>
                <w:sz w:val="20"/>
                <w:szCs w:val="20"/>
              </w:rPr>
            </m:ctrlPr>
          </m:sSupPr>
          <m:e>
            <m:r>
              <w:rPr>
                <w:rFonts w:ascii="Cambria Math" w:hAnsi="Cambria Math" w:cs="Arial"/>
                <w:sz w:val="20"/>
                <w:szCs w:val="20"/>
              </w:rPr>
              <m:t>x</m:t>
            </m:r>
          </m:e>
          <m:sup>
            <m:r>
              <w:rPr>
                <w:rFonts w:ascii="Cambria Math" w:hAnsi="Arial" w:cs="Arial"/>
                <w:sz w:val="20"/>
                <w:szCs w:val="20"/>
              </w:rPr>
              <m:t>(3)</m:t>
            </m:r>
          </m:sup>
        </m:sSup>
      </m:oMath>
      <w:r w:rsidRPr="00997D85">
        <w:rPr>
          <w:rFonts w:ascii="Arial" w:hAnsi="Arial" w:cs="Arial"/>
          <w:sz w:val="20"/>
          <w:szCs w:val="20"/>
        </w:rPr>
        <w:t xml:space="preserve"> indicates the onset of collective excitations unique to the PG state. Importantly,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THG</m:t>
            </m:r>
          </m:sub>
        </m:sSub>
      </m:oMath>
      <w:r w:rsidRPr="00997D85">
        <w:rPr>
          <w:rFonts w:ascii="Arial" w:hAnsi="Arial" w:cs="Arial"/>
          <w:sz w:val="20"/>
          <w:szCs w:val="20"/>
        </w:rPr>
        <w:t xml:space="preserve"> values are consistent with polarized neutron scattering and transport results, establishing THG as a sensitive probe of the PG boundary.</w:t>
      </w:r>
    </w:p>
    <w:p w14:paraId="0D8CF2F5" w14:textId="77777777" w:rsidR="00C40ECA" w:rsidRPr="00997D85" w:rsidRDefault="00C40ECA" w:rsidP="00997D85">
      <w:pPr>
        <w:pStyle w:val="NormalWeb"/>
        <w:jc w:val="both"/>
        <w:rPr>
          <w:rFonts w:ascii="Arial" w:hAnsi="Arial" w:cs="Arial"/>
          <w:sz w:val="20"/>
          <w:szCs w:val="20"/>
        </w:rPr>
      </w:pPr>
      <w:r w:rsidRPr="00997D85">
        <w:rPr>
          <w:rFonts w:ascii="Arial" w:hAnsi="Arial" w:cs="Arial"/>
          <w:sz w:val="20"/>
          <w:szCs w:val="20"/>
        </w:rPr>
        <w:t xml:space="preserve">These findings align with magnetic susceptibility studies across multiple </w:t>
      </w:r>
      <w:proofErr w:type="spellStart"/>
      <w:r w:rsidRPr="00997D85">
        <w:rPr>
          <w:rFonts w:ascii="Arial" w:hAnsi="Arial" w:cs="Arial"/>
          <w:sz w:val="20"/>
          <w:szCs w:val="20"/>
        </w:rPr>
        <w:t>cuprate</w:t>
      </w:r>
      <w:proofErr w:type="spellEnd"/>
      <w:r w:rsidRPr="00997D85">
        <w:rPr>
          <w:rFonts w:ascii="Arial" w:hAnsi="Arial" w:cs="Arial"/>
          <w:sz w:val="20"/>
          <w:szCs w:val="20"/>
        </w:rPr>
        <w:t xml:space="preserve"> families, including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2</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997D85">
        <w:rPr>
          <w:rFonts w:ascii="Arial" w:hAnsi="Arial" w:cs="Arial"/>
          <w:sz w:val="20"/>
          <w:szCs w:val="20"/>
        </w:rPr>
        <w:t xml:space="preserve"> ,</w:t>
      </w:r>
      <m:oMath>
        <m:sSub>
          <m:sSubPr>
            <m:ctrlPr>
              <w:rPr>
                <w:rFonts w:ascii="Cambria Math" w:hAnsi="Arial" w:cs="Arial"/>
                <w:i/>
                <w:sz w:val="20"/>
                <w:szCs w:val="20"/>
              </w:rPr>
            </m:ctrlPr>
          </m:sSubPr>
          <m:e>
            <m:r>
              <w:rPr>
                <w:rFonts w:ascii="Cambria Math" w:hAnsi="Cambria Math" w:cs="Arial"/>
                <w:sz w:val="20"/>
                <w:szCs w:val="20"/>
              </w:rPr>
              <m:t>Bi</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Ca</m:t>
            </m:r>
          </m:e>
          <m:sub>
            <m:r>
              <w:rPr>
                <w:rFonts w:ascii="Cambria Math" w:hAnsi="Arial" w:cs="Arial"/>
                <w:sz w:val="20"/>
                <w:szCs w:val="20"/>
              </w:rPr>
              <m:t>1</m:t>
            </m:r>
            <m:r>
              <w:rPr>
                <w:rFonts w:ascii="Cambria Math"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Y</m:t>
            </m:r>
          </m:e>
          <m:sub>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8</m:t>
            </m:r>
          </m:sub>
        </m:sSub>
      </m:oMath>
      <w:r w:rsidRPr="00997D85">
        <w:rPr>
          <w:rFonts w:ascii="Arial" w:hAnsi="Arial" w:cs="Arial"/>
          <w:sz w:val="20"/>
          <w:szCs w:val="20"/>
        </w:rPr>
        <w:t xml:space="preserve">, and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y</m:t>
            </m:r>
          </m:sub>
        </m:sSub>
      </m:oMath>
      <w:r w:rsidRPr="00997D85">
        <w:rPr>
          <w:rFonts w:ascii="Arial" w:hAnsi="Arial" w:cs="Arial"/>
          <w:sz w:val="20"/>
          <w:szCs w:val="20"/>
        </w:rPr>
        <w:t xml:space="preserve">, which show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Cambria Math" w:hAnsi="Cambria Math" w:cs="Arial"/>
                <w:sz w:val="20"/>
                <w:szCs w:val="20"/>
              </w:rPr>
              <m:t>*</m:t>
            </m:r>
          </m:sup>
        </m:sSup>
      </m:oMath>
      <w:r w:rsidRPr="00997D85">
        <w:rPr>
          <w:rFonts w:ascii="Arial" w:hAnsi="Arial" w:cs="Arial"/>
          <w:sz w:val="20"/>
          <w:szCs w:val="20"/>
        </w:rPr>
        <w:t xml:space="preserve"> varies linearly with doping and runs tangenti</w:t>
      </w:r>
      <w:r w:rsidR="005E68C8">
        <w:rPr>
          <w:rFonts w:ascii="Arial" w:hAnsi="Arial" w:cs="Arial"/>
          <w:sz w:val="20"/>
          <w:szCs w:val="20"/>
        </w:rPr>
        <w:t xml:space="preserve">al to the superconducting dome </w:t>
      </w:r>
      <w:r w:rsidR="00030D12">
        <w:rPr>
          <w:rFonts w:ascii="Arial" w:hAnsi="Arial" w:cs="Arial"/>
          <w:sz w:val="20"/>
          <w:szCs w:val="20"/>
        </w:rPr>
        <w:t>[37]</w:t>
      </w:r>
      <w:r w:rsidRPr="00997D85">
        <w:rPr>
          <w:rFonts w:ascii="Arial" w:hAnsi="Arial" w:cs="Arial"/>
          <w:sz w:val="20"/>
          <w:szCs w:val="20"/>
        </w:rPr>
        <w:t xml:space="preserve">. This cross-validation between nonlinear optical and magnetic approaches confirms that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997D85">
        <w:rPr>
          <w:rFonts w:ascii="Arial" w:hAnsi="Arial" w:cs="Arial"/>
          <w:sz w:val="20"/>
          <w:szCs w:val="20"/>
        </w:rPr>
        <w:t xml:space="preserve"> represents a genuine phase boundary, distinct from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997D85">
        <w:rPr>
          <w:rFonts w:ascii="Arial" w:hAnsi="Arial" w:cs="Arial"/>
          <w:sz w:val="20"/>
          <w:szCs w:val="20"/>
        </w:rPr>
        <w:t>, the antiferromagnetic correlation temperature that transport studies once</w:t>
      </w:r>
      <w:r w:rsidR="005E68C8">
        <w:rPr>
          <w:rFonts w:ascii="Arial" w:hAnsi="Arial" w:cs="Arial"/>
          <w:sz w:val="20"/>
          <w:szCs w:val="20"/>
        </w:rPr>
        <w:t xml:space="preserve"> misattributed as the PG onset </w:t>
      </w:r>
      <w:r w:rsidR="00030D12">
        <w:rPr>
          <w:rFonts w:ascii="Arial" w:hAnsi="Arial" w:cs="Arial"/>
          <w:sz w:val="20"/>
          <w:szCs w:val="20"/>
        </w:rPr>
        <w:t>[37]</w:t>
      </w:r>
      <w:r w:rsidRPr="00997D85">
        <w:rPr>
          <w:rFonts w:ascii="Arial" w:hAnsi="Arial" w:cs="Arial"/>
          <w:sz w:val="20"/>
          <w:szCs w:val="20"/>
        </w:rPr>
        <w:t>.</w:t>
      </w:r>
    </w:p>
    <w:tbl>
      <w:tblPr>
        <w:tblW w:w="10260" w:type="dxa"/>
        <w:jc w:val="center"/>
        <w:tblLayout w:type="fixed"/>
        <w:tblLook w:val="04A0" w:firstRow="1" w:lastRow="0" w:firstColumn="1" w:lastColumn="0" w:noHBand="0" w:noVBand="1"/>
      </w:tblPr>
      <w:tblGrid>
        <w:gridCol w:w="3587"/>
        <w:gridCol w:w="3388"/>
        <w:gridCol w:w="3285"/>
      </w:tblGrid>
      <w:tr w:rsidR="00C40ECA" w14:paraId="0C204260" w14:textId="77777777" w:rsidTr="009F60B9">
        <w:trPr>
          <w:trHeight w:val="3482"/>
          <w:jc w:val="center"/>
        </w:trPr>
        <w:tc>
          <w:tcPr>
            <w:tcW w:w="3587" w:type="dxa"/>
          </w:tcPr>
          <w:p w14:paraId="735151B4" w14:textId="77777777" w:rsidR="00C40ECA" w:rsidRDefault="00C40ECA" w:rsidP="009F60B9">
            <w:pPr>
              <w:pStyle w:val="NormalWeb"/>
              <w:jc w:val="center"/>
            </w:pPr>
            <w:r>
              <w:rPr>
                <w:noProof/>
              </w:rPr>
              <w:drawing>
                <wp:inline distT="0" distB="0" distL="0" distR="0" wp14:anchorId="7203E631" wp14:editId="1AA2D05A">
                  <wp:extent cx="2121035" cy="205253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128186" cy="2059456"/>
                          </a:xfrm>
                          <a:prstGeom prst="rect">
                            <a:avLst/>
                          </a:prstGeom>
                          <a:noFill/>
                          <a:ln w="9525">
                            <a:noFill/>
                            <a:miter lim="800000"/>
                            <a:headEnd/>
                            <a:tailEnd/>
                          </a:ln>
                        </pic:spPr>
                      </pic:pic>
                    </a:graphicData>
                  </a:graphic>
                </wp:inline>
              </w:drawing>
            </w:r>
          </w:p>
        </w:tc>
        <w:tc>
          <w:tcPr>
            <w:tcW w:w="3388" w:type="dxa"/>
          </w:tcPr>
          <w:p w14:paraId="11B86925" w14:textId="77777777" w:rsidR="00C40ECA" w:rsidRDefault="00C40ECA" w:rsidP="009F60B9">
            <w:pPr>
              <w:pStyle w:val="NormalWeb"/>
            </w:pPr>
            <w:r>
              <w:rPr>
                <w:noProof/>
              </w:rPr>
              <w:drawing>
                <wp:inline distT="0" distB="0" distL="0" distR="0" wp14:anchorId="731FCB8F" wp14:editId="25D11600">
                  <wp:extent cx="1907026" cy="20369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12011" cy="2042271"/>
                          </a:xfrm>
                          <a:prstGeom prst="rect">
                            <a:avLst/>
                          </a:prstGeom>
                          <a:noFill/>
                          <a:ln w="9525">
                            <a:noFill/>
                            <a:miter lim="800000"/>
                            <a:headEnd/>
                            <a:tailEnd/>
                          </a:ln>
                        </pic:spPr>
                      </pic:pic>
                    </a:graphicData>
                  </a:graphic>
                </wp:inline>
              </w:drawing>
            </w:r>
          </w:p>
        </w:tc>
        <w:tc>
          <w:tcPr>
            <w:tcW w:w="3285" w:type="dxa"/>
          </w:tcPr>
          <w:p w14:paraId="6AA66291" w14:textId="77777777" w:rsidR="00C40ECA" w:rsidRDefault="00C40ECA" w:rsidP="009F60B9">
            <w:pPr>
              <w:pStyle w:val="NormalWeb"/>
            </w:pPr>
            <w:r>
              <w:rPr>
                <w:noProof/>
              </w:rPr>
              <w:drawing>
                <wp:inline distT="0" distB="0" distL="0" distR="0" wp14:anchorId="6145CAF3" wp14:editId="4D87BB05">
                  <wp:extent cx="1984848" cy="2099780"/>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83501" cy="2098355"/>
                          </a:xfrm>
                          <a:prstGeom prst="rect">
                            <a:avLst/>
                          </a:prstGeom>
                          <a:noFill/>
                          <a:ln w="9525">
                            <a:noFill/>
                            <a:miter lim="800000"/>
                            <a:headEnd/>
                            <a:tailEnd/>
                          </a:ln>
                        </pic:spPr>
                      </pic:pic>
                    </a:graphicData>
                  </a:graphic>
                </wp:inline>
              </w:drawing>
            </w:r>
          </w:p>
        </w:tc>
      </w:tr>
    </w:tbl>
    <w:p w14:paraId="4C9F0D5A" w14:textId="77777777" w:rsidR="00C40ECA" w:rsidRPr="00705530" w:rsidRDefault="00C40ECA" w:rsidP="00705530">
      <w:pPr>
        <w:pStyle w:val="NormalWeb"/>
        <w:jc w:val="both"/>
        <w:rPr>
          <w:rFonts w:ascii="Arial" w:hAnsi="Arial" w:cs="Arial"/>
          <w:i/>
          <w:sz w:val="20"/>
          <w:szCs w:val="20"/>
        </w:rPr>
      </w:pPr>
      <w:r w:rsidRPr="00705530">
        <w:rPr>
          <w:rStyle w:val="Strong"/>
          <w:rFonts w:ascii="Arial" w:hAnsi="Arial" w:cs="Arial"/>
          <w:i/>
          <w:sz w:val="20"/>
          <w:szCs w:val="20"/>
        </w:rPr>
        <w:t>Figure 4:</w:t>
      </w:r>
      <w:r w:rsidRPr="00705530">
        <w:rPr>
          <w:rFonts w:ascii="Arial" w:hAnsi="Arial" w:cs="Arial"/>
          <w:i/>
          <w:sz w:val="20"/>
          <w:szCs w:val="20"/>
        </w:rPr>
        <w:t xml:space="preserve"> </w:t>
      </w:r>
      <w:proofErr w:type="spellStart"/>
      <w:r w:rsidRPr="00705530">
        <w:rPr>
          <w:rFonts w:ascii="Arial" w:hAnsi="Arial" w:cs="Arial"/>
          <w:i/>
          <w:sz w:val="20"/>
          <w:szCs w:val="20"/>
        </w:rPr>
        <w:t>Pseudogap</w:t>
      </w:r>
      <w:proofErr w:type="spellEnd"/>
      <w:r w:rsidRPr="00705530">
        <w:rPr>
          <w:rFonts w:ascii="Arial" w:hAnsi="Arial" w:cs="Arial"/>
          <w:i/>
          <w:sz w:val="20"/>
          <w:szCs w:val="20"/>
        </w:rPr>
        <w:t xml:space="preserve"> temperature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705530">
        <w:rPr>
          <w:rFonts w:ascii="Arial" w:hAnsi="Arial" w:cs="Arial"/>
          <w:i/>
          <w:sz w:val="20"/>
          <w:szCs w:val="20"/>
        </w:rPr>
        <w:t xml:space="preserve"> and magnetic correlation temperature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705530">
        <w:rPr>
          <w:rFonts w:ascii="Arial" w:hAnsi="Arial" w:cs="Arial"/>
          <w:i/>
          <w:sz w:val="20"/>
          <w:szCs w:val="20"/>
        </w:rPr>
        <w:t xml:space="preserve"> as functions of hole doping for four cuprate families.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Cambria Math" w:hAnsi="Cambria Math" w:cs="Arial"/>
                <w:sz w:val="20"/>
                <w:szCs w:val="20"/>
              </w:rPr>
              <m:t>*</m:t>
            </m:r>
          </m:sup>
        </m:sSup>
      </m:oMath>
      <w:r w:rsidRPr="00705530">
        <w:rPr>
          <w:rFonts w:ascii="Arial" w:hAnsi="Arial" w:cs="Arial"/>
          <w:i/>
          <w:sz w:val="20"/>
          <w:szCs w:val="20"/>
        </w:rPr>
        <w:t xml:space="preserve"> (Dashed lines) exhibits linear behavior tangential to the superconducting dome (blue curves), while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Cambria Math" w:cs="Arial"/>
                <w:sz w:val="20"/>
                <w:szCs w:val="20"/>
              </w:rPr>
              <m:t>max</m:t>
            </m:r>
          </m:sub>
        </m:sSub>
      </m:oMath>
      <w:r w:rsidRPr="00705530">
        <w:rPr>
          <w:rFonts w:ascii="Arial" w:hAnsi="Arial" w:cs="Arial"/>
          <w:i/>
          <w:sz w:val="20"/>
          <w:szCs w:val="20"/>
        </w:rPr>
        <w:t xml:space="preserve"> (solid red lines) decreases linearly up to optimal doping before saturating in the overdoped regime. Data extracted from magnetic susceptibility analysis of (a) </w:t>
      </w:r>
      <m:oMath>
        <m:sSub>
          <m:sSubPr>
            <m:ctrlPr>
              <w:rPr>
                <w:rFonts w:ascii="Cambria Math" w:hAnsi="Arial" w:cs="Arial"/>
                <w:i/>
                <w:sz w:val="20"/>
                <w:szCs w:val="20"/>
              </w:rPr>
            </m:ctrlPr>
          </m:sSubPr>
          <m:e>
            <m:r>
              <w:rPr>
                <w:rFonts w:ascii="Cambria Math" w:hAnsi="Arial" w:cs="Arial"/>
                <w:sz w:val="20"/>
                <w:szCs w:val="20"/>
              </w:rPr>
              <m:t xml:space="preserve"> </m:t>
            </m:r>
            <m:r>
              <w:rPr>
                <w:rFonts w:ascii="Cambria Math" w:hAnsi="Cambria Math" w:cs="Arial"/>
                <w:sz w:val="20"/>
                <w:szCs w:val="20"/>
              </w:rPr>
              <m:t>La</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i/>
          <w:sz w:val="20"/>
          <w:szCs w:val="20"/>
        </w:rPr>
        <w:t xml:space="preserve">, (b) </w:t>
      </w:r>
      <m:oMath>
        <m:r>
          <w:rPr>
            <w:rFonts w:ascii="Cambria Math" w:hAnsi="Cambria Math" w:cs="Arial"/>
            <w:sz w:val="20"/>
            <w:szCs w:val="20"/>
          </w:rPr>
          <m:t>Y</m:t>
        </m:r>
        <m:sSub>
          <m:sSubPr>
            <m:ctrlPr>
              <w:rPr>
                <w:rFonts w:ascii="Cambria Math" w:hAnsi="Arial" w:cs="Arial"/>
                <w:i/>
                <w:sz w:val="20"/>
                <w:szCs w:val="20"/>
              </w:rPr>
            </m:ctrlPr>
          </m:sSubPr>
          <m:e>
            <m:r>
              <w:rPr>
                <w:rFonts w:ascii="Cambria Math" w:hAnsi="Cambria Math" w:cs="Arial"/>
                <w:sz w:val="20"/>
                <w:szCs w:val="20"/>
              </w:rPr>
              <m:t>Ba</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3</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6+</m:t>
            </m:r>
            <m:r>
              <w:rPr>
                <w:rFonts w:ascii="Cambria Math" w:hAnsi="Cambria Math" w:cs="Arial"/>
                <w:sz w:val="20"/>
                <w:szCs w:val="20"/>
              </w:rPr>
              <m:t>y</m:t>
            </m:r>
          </m:sub>
        </m:sSub>
      </m:oMath>
      <w:r w:rsidRPr="00705530">
        <w:rPr>
          <w:rFonts w:ascii="Arial" w:hAnsi="Arial" w:cs="Arial"/>
          <w:i/>
          <w:sz w:val="20"/>
          <w:szCs w:val="20"/>
        </w:rPr>
        <w:t xml:space="preserve">, and (c) </w:t>
      </w:r>
      <m:oMath>
        <m:sSub>
          <m:sSubPr>
            <m:ctrlPr>
              <w:rPr>
                <w:rFonts w:ascii="Cambria Math" w:hAnsi="Arial" w:cs="Arial"/>
                <w:i/>
                <w:sz w:val="20"/>
                <w:szCs w:val="20"/>
              </w:rPr>
            </m:ctrlPr>
          </m:sSubPr>
          <m:e>
            <m:r>
              <w:rPr>
                <w:rFonts w:ascii="Cambria Math" w:hAnsi="Cambria Math" w:cs="Arial"/>
                <w:sz w:val="20"/>
                <w:szCs w:val="20"/>
              </w:rPr>
              <m:t>Bi</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Arial" w:cs="Arial"/>
                <w:sz w:val="20"/>
                <w:szCs w:val="20"/>
              </w:rPr>
              <m:t>2</m:t>
            </m:r>
          </m:sub>
        </m:sSub>
        <m:r>
          <w:rPr>
            <w:rFonts w:ascii="Cambria Math" w:hAnsi="Cambria Math" w:cs="Arial"/>
            <w:sz w:val="20"/>
            <w:szCs w:val="20"/>
          </w:rPr>
          <m:t>Ca</m:t>
        </m:r>
        <m:sSub>
          <m:sSubPr>
            <m:ctrlPr>
              <w:rPr>
                <w:rFonts w:ascii="Cambria Math" w:hAnsi="Arial" w:cs="Arial"/>
                <w:i/>
                <w:sz w:val="20"/>
                <w:szCs w:val="20"/>
              </w:rPr>
            </m:ctrlPr>
          </m:sSubPr>
          <m:e>
            <m:r>
              <w:rPr>
                <w:rFonts w:ascii="Cambria Math" w:hAnsi="Cambria Math" w:cs="Arial"/>
                <w:sz w:val="20"/>
                <w:szCs w:val="20"/>
              </w:rPr>
              <m:t>Cu</m:t>
            </m:r>
          </m:e>
          <m:sub>
            <m:r>
              <w:rPr>
                <w:rFonts w:ascii="Cambria Math" w:hAnsi="Arial" w:cs="Arial"/>
                <w:sz w:val="20"/>
                <w:szCs w:val="20"/>
              </w:rPr>
              <m:t>2</m:t>
            </m:r>
          </m:sub>
        </m:sSub>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8+</m:t>
            </m:r>
            <m:r>
              <w:rPr>
                <w:rFonts w:ascii="Cambria Math" w:hAnsi="Cambria Math" w:cs="Arial"/>
                <w:sz w:val="20"/>
                <w:szCs w:val="20"/>
              </w:rPr>
              <m:t>y</m:t>
            </m:r>
          </m:sub>
        </m:sSub>
      </m:oMath>
      <w:r w:rsidRPr="00705530">
        <w:rPr>
          <w:rFonts w:ascii="Arial" w:hAnsi="Arial" w:cs="Arial"/>
          <w:i/>
          <w:sz w:val="20"/>
          <w:szCs w:val="20"/>
        </w:rPr>
        <w:t xml:space="preserve"> compounds. The distinction between these temperature scales resolves apparent contradictions between spectroscopic and transport measurements. Adapted from </w:t>
      </w:r>
      <w:r w:rsidR="00030D12">
        <w:rPr>
          <w:rFonts w:ascii="Arial" w:hAnsi="Arial" w:cs="Arial"/>
          <w:i/>
          <w:sz w:val="20"/>
          <w:szCs w:val="20"/>
        </w:rPr>
        <w:t>[37]</w:t>
      </w:r>
      <w:r w:rsidRPr="00705530">
        <w:rPr>
          <w:rFonts w:ascii="Arial" w:hAnsi="Arial" w:cs="Arial"/>
          <w:i/>
          <w:sz w:val="20"/>
          <w:szCs w:val="20"/>
        </w:rPr>
        <w:t>.</w:t>
      </w:r>
    </w:p>
    <w:p w14:paraId="0CD0238B" w14:textId="77777777" w:rsidR="00C40ECA" w:rsidRPr="00705530" w:rsidRDefault="00C40ECA" w:rsidP="00705530">
      <w:pPr>
        <w:pStyle w:val="Heading3"/>
        <w:jc w:val="both"/>
        <w:rPr>
          <w:rFonts w:ascii="Arial" w:hAnsi="Arial" w:cs="Arial"/>
          <w:sz w:val="22"/>
          <w:szCs w:val="22"/>
        </w:rPr>
      </w:pPr>
      <w:r w:rsidRPr="00705530">
        <w:rPr>
          <w:rFonts w:ascii="Arial" w:hAnsi="Arial" w:cs="Arial"/>
          <w:sz w:val="22"/>
          <w:szCs w:val="22"/>
        </w:rPr>
        <w:t>3.2 Nematic Order and Symmetry Breaking</w:t>
      </w:r>
    </w:p>
    <w:p w14:paraId="27F049EA" w14:textId="77777777" w:rsidR="00C40ECA" w:rsidRPr="00705530" w:rsidRDefault="00C40ECA" w:rsidP="00705530">
      <w:pPr>
        <w:spacing w:line="240" w:lineRule="auto"/>
        <w:jc w:val="both"/>
        <w:rPr>
          <w:rFonts w:ascii="Arial" w:hAnsi="Arial" w:cs="Arial"/>
          <w:sz w:val="20"/>
          <w:szCs w:val="20"/>
        </w:rPr>
      </w:pPr>
      <w:r w:rsidRPr="00705530">
        <w:rPr>
          <w:rFonts w:ascii="Arial" w:hAnsi="Arial" w:cs="Arial"/>
          <w:sz w:val="20"/>
          <w:szCs w:val="20"/>
        </w:rPr>
        <w:lastRenderedPageBreak/>
        <w:t xml:space="preserve">Electronic </w:t>
      </w:r>
      <w:proofErr w:type="spellStart"/>
      <w:r w:rsidRPr="00705530">
        <w:rPr>
          <w:rFonts w:ascii="Arial" w:hAnsi="Arial" w:cs="Arial"/>
          <w:sz w:val="20"/>
          <w:szCs w:val="20"/>
        </w:rPr>
        <w:t>nematic</w:t>
      </w:r>
      <w:proofErr w:type="spellEnd"/>
      <w:r w:rsidRPr="00705530">
        <w:rPr>
          <w:rFonts w:ascii="Arial" w:hAnsi="Arial" w:cs="Arial"/>
          <w:sz w:val="20"/>
          <w:szCs w:val="20"/>
        </w:rPr>
        <w:t xml:space="preserve"> order </w:t>
      </w:r>
      <w:proofErr w:type="spellStart"/>
      <w:r w:rsidRPr="00705530">
        <w:rPr>
          <w:rFonts w:ascii="Arial" w:hAnsi="Arial" w:cs="Arial"/>
          <w:sz w:val="20"/>
          <w:szCs w:val="20"/>
        </w:rPr>
        <w:t>characterised</w:t>
      </w:r>
      <w:proofErr w:type="spellEnd"/>
      <w:r w:rsidRPr="00705530">
        <w:rPr>
          <w:rFonts w:ascii="Arial" w:hAnsi="Arial" w:cs="Arial"/>
          <w:sz w:val="20"/>
          <w:szCs w:val="20"/>
        </w:rPr>
        <w:t xml:space="preserve"> by the spontaneous breaking of fourfold rotational </w:t>
      </w:r>
      <m:oMath>
        <m:d>
          <m:dPr>
            <m:ctrlPr>
              <w:rPr>
                <w:rFonts w:ascii="Cambria Math" w:hAnsi="Arial" w:cs="Arial"/>
                <w:i/>
                <w:sz w:val="20"/>
                <w:szCs w:val="20"/>
              </w:rPr>
            </m:ctrlPr>
          </m:dPr>
          <m:e>
            <m:sSub>
              <m:sSubPr>
                <m:ctrlPr>
                  <w:rPr>
                    <w:rFonts w:ascii="Cambria Math" w:hAnsi="Arial" w:cs="Arial"/>
                    <w:i/>
                    <w:sz w:val="20"/>
                    <w:szCs w:val="20"/>
                  </w:rPr>
                </m:ctrlPr>
              </m:sSubPr>
              <m:e>
                <m:r>
                  <w:rPr>
                    <w:rFonts w:ascii="Cambria Math" w:hAnsi="Cambria Math" w:cs="Arial"/>
                    <w:sz w:val="20"/>
                    <w:szCs w:val="20"/>
                  </w:rPr>
                  <m:t>C</m:t>
                </m:r>
              </m:e>
              <m:sub>
                <m:r>
                  <w:rPr>
                    <w:rFonts w:ascii="Cambria Math" w:hAnsi="Arial" w:cs="Arial"/>
                    <w:sz w:val="20"/>
                    <w:szCs w:val="20"/>
                  </w:rPr>
                  <m:t>4</m:t>
                </m:r>
              </m:sub>
            </m:sSub>
          </m:e>
        </m:d>
      </m:oMath>
      <w:r w:rsidRPr="00705530">
        <w:rPr>
          <w:rFonts w:ascii="Arial" w:hAnsi="Arial" w:cs="Arial"/>
          <w:sz w:val="20"/>
          <w:szCs w:val="20"/>
        </w:rPr>
        <w:t xml:space="preserve"> symmetry without disrupting translational symmetry, has emerged as a defi</w:t>
      </w:r>
      <w:r w:rsidR="005E68C8">
        <w:rPr>
          <w:rFonts w:ascii="Arial" w:hAnsi="Arial" w:cs="Arial"/>
          <w:sz w:val="20"/>
          <w:szCs w:val="20"/>
        </w:rPr>
        <w:t xml:space="preserve">ning hallmark of the PG regime </w:t>
      </w:r>
      <w:r w:rsidR="00030D12">
        <w:rPr>
          <w:rFonts w:ascii="Arial" w:hAnsi="Arial" w:cs="Arial"/>
          <w:sz w:val="20"/>
          <w:szCs w:val="20"/>
        </w:rPr>
        <w:t>[38]</w:t>
      </w:r>
      <w:r w:rsidRPr="00705530">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Resonant X-ray scattering (RXS) measurements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1.6</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0.4</m:t>
            </m:r>
          </m:sub>
        </m:sSub>
        <m:sSub>
          <m:sSubPr>
            <m:ctrlPr>
              <w:rPr>
                <w:rFonts w:ascii="Cambria Math" w:hAnsi="Arial" w:cs="Arial"/>
                <w:i/>
                <w:sz w:val="20"/>
                <w:szCs w:val="20"/>
              </w:rPr>
            </m:ctrlPr>
          </m:sSubPr>
          <m:e>
            <m:r>
              <w:rPr>
                <w:rFonts w:ascii="Cambria Math" w:hAnsi="Cambria Math" w:cs="Arial"/>
                <w:sz w:val="20"/>
                <w:szCs w:val="20"/>
              </w:rPr>
              <m:t>Sr</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rPr>
        <w:t xml:space="preserve"> (Nd-LSCO) demonstrate that nematic order develops below </w:t>
      </w:r>
      <m:oMath>
        <m:sSup>
          <m:sSupPr>
            <m:ctrlPr>
              <w:rPr>
                <w:rStyle w:val="Strong"/>
                <w:rFonts w:ascii="Cambria Math" w:hAnsi="Arial" w:cs="Arial"/>
                <w:b w:val="0"/>
                <w:bCs w:val="0"/>
                <w:i/>
                <w:sz w:val="20"/>
                <w:szCs w:val="20"/>
              </w:rPr>
            </m:ctrlPr>
          </m:sSupPr>
          <m:e>
            <m:r>
              <m:rPr>
                <m:sty m:val="bi"/>
              </m:rPr>
              <w:rPr>
                <w:rStyle w:val="Strong"/>
                <w:rFonts w:ascii="Cambria Math" w:hAnsi="Arial" w:cs="Arial"/>
                <w:sz w:val="20"/>
                <w:szCs w:val="20"/>
              </w:rPr>
              <m:t xml:space="preserve"> </m:t>
            </m:r>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Pr="00705530">
        <w:rPr>
          <w:rFonts w:ascii="Arial" w:hAnsi="Arial" w:cs="Arial"/>
          <w:sz w:val="20"/>
          <w:szCs w:val="20"/>
        </w:rPr>
        <w:t xml:space="preserve">, vanishing abruptly at the critical doping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Times New Roman" w:hAnsi="Arial" w:cs="Arial"/>
            <w:sz w:val="20"/>
            <w:szCs w:val="20"/>
          </w:rPr>
          <m:t>≈</m:t>
        </m:r>
        <m:r>
          <w:rPr>
            <w:rFonts w:ascii="Cambria Math" w:hAnsi="Arial" w:cs="Arial"/>
            <w:sz w:val="20"/>
            <w:szCs w:val="20"/>
          </w:rPr>
          <m:t>0.23</m:t>
        </m:r>
      </m:oMath>
      <w:r w:rsidRPr="00705530">
        <w:rPr>
          <w:rFonts w:ascii="Arial" w:hAnsi="Arial" w:cs="Arial"/>
          <w:sz w:val="20"/>
          <w:szCs w:val="20"/>
        </w:rPr>
        <w:t xml:space="preserve">, coincident with the </w:t>
      </w:r>
      <w:r w:rsidR="005E68C8">
        <w:rPr>
          <w:rFonts w:ascii="Arial" w:hAnsi="Arial" w:cs="Arial"/>
          <w:sz w:val="20"/>
          <w:szCs w:val="20"/>
        </w:rPr>
        <w:t xml:space="preserve">disappearance of the PG phase </w:t>
      </w:r>
      <w:r w:rsidR="00D36826">
        <w:rPr>
          <w:rFonts w:ascii="Arial" w:hAnsi="Arial" w:cs="Arial"/>
          <w:sz w:val="20"/>
          <w:szCs w:val="20"/>
        </w:rPr>
        <w:t>[14]</w:t>
      </w:r>
      <w:r w:rsidRPr="00705530">
        <w:rPr>
          <w:rFonts w:ascii="Arial" w:hAnsi="Arial" w:cs="Arial"/>
          <w:sz w:val="20"/>
          <w:szCs w:val="20"/>
        </w:rPr>
        <w:t xml:space="preserve">; </w:t>
      </w:r>
      <w:r w:rsidR="00030D12">
        <w:rPr>
          <w:rFonts w:ascii="Arial" w:hAnsi="Arial" w:cs="Arial"/>
          <w:sz w:val="20"/>
          <w:szCs w:val="20"/>
        </w:rPr>
        <w:t>[39]</w:t>
      </w:r>
      <w:r w:rsidRPr="00705530">
        <w:rPr>
          <w:rFonts w:ascii="Arial" w:hAnsi="Arial" w:cs="Arial"/>
          <w:sz w:val="20"/>
          <w:szCs w:val="20"/>
        </w:rPr>
        <w:t>. This sharp boundary suggests that nematicity is not a gradual crossover but a thermodynamic phase transition fundament</w:t>
      </w:r>
      <w:r w:rsidR="005E68C8">
        <w:rPr>
          <w:rFonts w:ascii="Arial" w:hAnsi="Arial" w:cs="Arial"/>
          <w:sz w:val="20"/>
          <w:szCs w:val="20"/>
        </w:rPr>
        <w:t xml:space="preserve">ally linked to the PG’s origin </w:t>
      </w:r>
      <w:r w:rsidR="00030D12">
        <w:rPr>
          <w:rFonts w:ascii="Arial" w:hAnsi="Arial" w:cs="Arial"/>
          <w:sz w:val="20"/>
          <w:szCs w:val="20"/>
        </w:rPr>
        <w:t>[38]</w:t>
      </w:r>
      <w:r w:rsidRPr="00705530">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w:t>
      </w:r>
      <w:r w:rsidR="00030D12">
        <w:rPr>
          <w:rFonts w:ascii="Arial" w:hAnsi="Arial" w:cs="Arial"/>
          <w:sz w:val="20"/>
          <w:szCs w:val="20"/>
        </w:rPr>
        <w:t>[39]</w:t>
      </w:r>
      <w:r w:rsidRPr="00705530">
        <w:rPr>
          <w:rFonts w:ascii="Arial" w:hAnsi="Arial" w:cs="Arial"/>
          <w:sz w:val="20"/>
          <w:szCs w:val="20"/>
        </w:rPr>
        <w:t>. Importantly, nematic signatures vary across materials, while Nd-LSCO shows robust anisotropy, YBCO lacks detecta</w:t>
      </w:r>
      <w:r w:rsidR="005E68C8">
        <w:rPr>
          <w:rFonts w:ascii="Arial" w:hAnsi="Arial" w:cs="Arial"/>
          <w:sz w:val="20"/>
          <w:szCs w:val="20"/>
        </w:rPr>
        <w:t xml:space="preserve">ble in-plane symmetry breaking </w:t>
      </w:r>
      <w:r w:rsidR="00030D12">
        <w:rPr>
          <w:rFonts w:ascii="Arial" w:hAnsi="Arial" w:cs="Arial"/>
          <w:sz w:val="20"/>
          <w:szCs w:val="20"/>
        </w:rPr>
        <w:t>[40]</w:t>
      </w:r>
      <w:r w:rsidRPr="00705530">
        <w:rPr>
          <w:rFonts w:ascii="Arial" w:hAnsi="Arial" w:cs="Arial"/>
          <w:sz w:val="20"/>
          <w:szCs w:val="20"/>
        </w:rPr>
        <w:t>. Such contrasts underscore the role of lattice structure, disorder, and competing orders. Theoretical work further proposes nematicity as a vestigial form of charge order, offering a unifying perspective on i</w:t>
      </w:r>
      <w:r w:rsidR="005E68C8">
        <w:rPr>
          <w:rFonts w:ascii="Arial" w:hAnsi="Arial" w:cs="Arial"/>
          <w:sz w:val="20"/>
          <w:szCs w:val="20"/>
        </w:rPr>
        <w:t xml:space="preserve">ts persistence across </w:t>
      </w:r>
      <w:proofErr w:type="spellStart"/>
      <w:r w:rsidR="005E68C8">
        <w:rPr>
          <w:rFonts w:ascii="Arial" w:hAnsi="Arial" w:cs="Arial"/>
          <w:sz w:val="20"/>
          <w:szCs w:val="20"/>
        </w:rPr>
        <w:t>cuprates</w:t>
      </w:r>
      <w:proofErr w:type="spellEnd"/>
      <w:r w:rsidR="005E68C8">
        <w:rPr>
          <w:rFonts w:ascii="Arial" w:hAnsi="Arial" w:cs="Arial"/>
          <w:sz w:val="20"/>
          <w:szCs w:val="20"/>
        </w:rPr>
        <w:t xml:space="preserve"> </w:t>
      </w:r>
      <w:r w:rsidR="00030D12">
        <w:rPr>
          <w:rFonts w:ascii="Arial" w:hAnsi="Arial" w:cs="Arial"/>
          <w:sz w:val="20"/>
          <w:szCs w:val="20"/>
        </w:rPr>
        <w:t>[41]</w:t>
      </w:r>
      <w:r w:rsidRPr="00705530">
        <w:rPr>
          <w:rFonts w:ascii="Arial" w:hAnsi="Arial" w:cs="Arial"/>
          <w:sz w:val="20"/>
          <w:szCs w:val="20"/>
        </w:rPr>
        <w:t>.</w:t>
      </w:r>
    </w:p>
    <w:p w14:paraId="4850553F" w14:textId="77777777" w:rsidR="00C40ECA" w:rsidRPr="00705530" w:rsidRDefault="00C40ECA" w:rsidP="00705530">
      <w:pPr>
        <w:pStyle w:val="Heading2"/>
        <w:jc w:val="both"/>
        <w:rPr>
          <w:rFonts w:ascii="Arial" w:hAnsi="Arial" w:cs="Arial"/>
          <w:sz w:val="22"/>
          <w:szCs w:val="22"/>
        </w:rPr>
      </w:pPr>
      <w:r w:rsidRPr="00705530">
        <w:rPr>
          <w:rFonts w:ascii="Arial" w:hAnsi="Arial" w:cs="Arial"/>
          <w:sz w:val="22"/>
          <w:szCs w:val="22"/>
        </w:rPr>
        <w:t xml:space="preserve">3.3 Transport and Thermodynamic Signatures of </w:t>
      </w:r>
      <w:proofErr w:type="spellStart"/>
      <w:r w:rsidRPr="00705530">
        <w:rPr>
          <w:rFonts w:ascii="Arial" w:hAnsi="Arial" w:cs="Arial"/>
          <w:sz w:val="22"/>
          <w:szCs w:val="22"/>
        </w:rPr>
        <w:t>Pseudogap</w:t>
      </w:r>
      <w:proofErr w:type="spellEnd"/>
      <w:r w:rsidRPr="00705530">
        <w:rPr>
          <w:rFonts w:ascii="Arial" w:hAnsi="Arial" w:cs="Arial"/>
          <w:sz w:val="22"/>
          <w:szCs w:val="22"/>
        </w:rPr>
        <w:t xml:space="preserve"> Termination</w:t>
      </w:r>
    </w:p>
    <w:p w14:paraId="4CE3376A"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Transport and thermodynamic measurements provide some of the clearest evidence for the termination of the PG phase and the existence of a quantum critical point (QCP)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i/>
          <w:iCs/>
          <w:sz w:val="20"/>
          <w:szCs w:val="20"/>
        </w:rPr>
        <w:t xml:space="preserve">. </w:t>
      </w:r>
      <w:r w:rsidRPr="00705530">
        <w:rPr>
          <w:rFonts w:ascii="Arial" w:eastAsia="Times New Roman" w:hAnsi="Arial" w:cs="Arial"/>
          <w:iCs/>
          <w:sz w:val="20"/>
          <w:szCs w:val="20"/>
        </w:rPr>
        <w:t xml:space="preserve">Transport consistently reports the lowest critical doping values across </w:t>
      </w:r>
      <w:proofErr w:type="spellStart"/>
      <w:r w:rsidRPr="00705530">
        <w:rPr>
          <w:rFonts w:ascii="Arial" w:eastAsia="Times New Roman" w:hAnsi="Arial" w:cs="Arial"/>
          <w:iCs/>
          <w:sz w:val="20"/>
          <w:szCs w:val="20"/>
        </w:rPr>
        <w:t>cuprate</w:t>
      </w:r>
      <w:proofErr w:type="spellEnd"/>
      <w:r w:rsidRPr="00705530">
        <w:rPr>
          <w:rFonts w:ascii="Arial" w:eastAsia="Times New Roman" w:hAnsi="Arial" w:cs="Arial"/>
          <w:iCs/>
          <w:sz w:val="20"/>
          <w:szCs w:val="20"/>
        </w:rPr>
        <w:t xml:space="preserve"> families. In YBCO, quantum oscillations identified</w:t>
      </w:r>
      <w:r w:rsidRPr="00705530">
        <w:rPr>
          <w:rFonts w:ascii="Arial" w:eastAsia="Times New Roman" w:hAnsi="Arial" w:cs="Arial"/>
          <w:i/>
          <w:iCs/>
          <w:sz w:val="20"/>
          <w:szCs w:val="20"/>
        </w:rPr>
        <w:t xml:space="preserv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=0.18</m:t>
        </m:r>
        <m:r>
          <w:rPr>
            <w:rFonts w:ascii="Arial" w:hAnsi="Arial" w:cs="Arial"/>
            <w:sz w:val="20"/>
            <w:szCs w:val="20"/>
          </w:rPr>
          <m:t>±</m:t>
        </m:r>
        <m:r>
          <w:rPr>
            <w:rFonts w:ascii="Cambria Math" w:hAnsi="Arial" w:cs="Arial"/>
            <w:sz w:val="20"/>
            <w:szCs w:val="20"/>
          </w:rPr>
          <m:t>0.02</m:t>
        </m:r>
      </m:oMath>
      <w:r w:rsidR="00D7350D">
        <w:rPr>
          <w:rFonts w:ascii="Arial" w:eastAsia="Times New Roman" w:hAnsi="Arial" w:cs="Arial"/>
          <w:sz w:val="20"/>
          <w:szCs w:val="20"/>
        </w:rPr>
        <w:t xml:space="preserve"> </w:t>
      </w:r>
      <w:r w:rsidR="00D36826">
        <w:rPr>
          <w:rFonts w:ascii="Arial" w:eastAsia="Times New Roman" w:hAnsi="Arial" w:cs="Arial"/>
          <w:sz w:val="20"/>
          <w:szCs w:val="20"/>
        </w:rPr>
        <w:t>[12]</w:t>
      </w:r>
      <w:r w:rsidRPr="00705530">
        <w:rPr>
          <w:rFonts w:ascii="Arial" w:eastAsia="Times New Roman" w:hAnsi="Arial" w:cs="Arial"/>
          <w:sz w:val="20"/>
          <w:szCs w:val="20"/>
        </w:rPr>
        <w:t xml:space="preserve">, while resistivity and Hall measurements in LSCO gave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r>
          <w:rPr>
            <w:rFonts w:ascii="Cambria Math" w:hAnsi="Arial" w:cs="Arial"/>
            <w:sz w:val="20"/>
            <w:szCs w:val="20"/>
          </w:rPr>
          <m:t>=0.19</m:t>
        </m:r>
        <m:r>
          <w:rPr>
            <w:rFonts w:ascii="Arial" w:hAnsi="Arial" w:cs="Arial"/>
            <w:sz w:val="20"/>
            <w:szCs w:val="20"/>
          </w:rPr>
          <m:t>±</m:t>
        </m:r>
        <m:r>
          <w:rPr>
            <w:rFonts w:ascii="Cambria Math" w:hAnsi="Arial" w:cs="Arial"/>
            <w:sz w:val="20"/>
            <w:szCs w:val="20"/>
          </w:rPr>
          <m:t>0.01</m:t>
        </m:r>
      </m:oMath>
      <w:r w:rsidR="00D7350D">
        <w:rPr>
          <w:rFonts w:ascii="Arial" w:eastAsia="Times New Roman" w:hAnsi="Arial" w:cs="Arial"/>
          <w:sz w:val="20"/>
          <w:szCs w:val="20"/>
        </w:rPr>
        <w:t xml:space="preserve"> </w:t>
      </w:r>
      <w:r w:rsidR="00D36826">
        <w:rPr>
          <w:rFonts w:ascii="Arial" w:eastAsia="Times New Roman" w:hAnsi="Arial" w:cs="Arial"/>
          <w:sz w:val="20"/>
          <w:szCs w:val="20"/>
        </w:rPr>
        <w:t>[7]</w:t>
      </w:r>
      <w:r w:rsidRPr="00705530">
        <w:rPr>
          <w:rFonts w:ascii="Arial" w:eastAsia="Times New Roman" w:hAnsi="Arial" w:cs="Arial"/>
          <w:sz w:val="20"/>
          <w:szCs w:val="20"/>
        </w:rPr>
        <w:t>. These values are lower than spectroscopic estimates, reflecting transport’s sensitivity to long-range electronic coherence.</w:t>
      </w:r>
    </w:p>
    <w:p w14:paraId="43D1BC11"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In Nd-LSCO, the in-plane resistivity exhibits distinct scaling: </w:t>
      </w:r>
      <m:oMath>
        <m:r>
          <w:rPr>
            <w:rFonts w:ascii="Cambria Math" w:hAnsi="Cambria Math" w:cs="Arial"/>
            <w:sz w:val="20"/>
            <w:szCs w:val="20"/>
          </w:rPr>
          <m:t>ρ</m:t>
        </m:r>
        <m:d>
          <m:dPr>
            <m:ctrlPr>
              <w:rPr>
                <w:rFonts w:ascii="Cambria Math" w:hAnsi="Arial" w:cs="Arial"/>
                <w:i/>
                <w:sz w:val="20"/>
                <w:szCs w:val="20"/>
              </w:rPr>
            </m:ctrlPr>
          </m:dPr>
          <m:e>
            <m:r>
              <w:rPr>
                <w:rFonts w:ascii="Cambria Math" w:hAnsi="Cambria Math" w:cs="Arial"/>
                <w:sz w:val="20"/>
                <w:szCs w:val="20"/>
              </w:rPr>
              <m:t>T</m:t>
            </m:r>
          </m:e>
        </m:d>
        <m:r>
          <w:rPr>
            <w:rFonts w:ascii="Cambria Math" w:hAnsi="Cambria Math" w:cs="Arial"/>
            <w:sz w:val="20"/>
            <w:szCs w:val="20"/>
          </w:rPr>
          <m:t>∝T</m:t>
        </m:r>
      </m:oMath>
      <w:r w:rsidRPr="00705530">
        <w:rPr>
          <w:rFonts w:ascii="Arial" w:eastAsia="Times New Roman" w:hAnsi="Arial" w:cs="Arial"/>
          <w:sz w:val="20"/>
          <w:szCs w:val="20"/>
        </w:rPr>
        <w:t xml:space="preserve"> below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Arial" w:hAnsi="Cambria Math" w:cs="Arial"/>
                <w:sz w:val="20"/>
                <w:szCs w:val="20"/>
              </w:rPr>
              <m:t>*</m:t>
            </m:r>
          </m:sup>
        </m:sSup>
      </m:oMath>
      <w:r w:rsidRPr="00705530">
        <w:rPr>
          <w:rFonts w:ascii="Arial" w:eastAsia="Times New Roman" w:hAnsi="Arial" w:cs="Arial"/>
          <w:i/>
          <w:iCs/>
          <w:sz w:val="20"/>
          <w:szCs w:val="20"/>
        </w:rPr>
        <w:t xml:space="preserve">, </w:t>
      </w:r>
      <w:r w:rsidRPr="00705530">
        <w:rPr>
          <w:rFonts w:ascii="Arial" w:eastAsia="Times New Roman" w:hAnsi="Arial" w:cs="Arial"/>
          <w:iCs/>
          <w:sz w:val="20"/>
          <w:szCs w:val="20"/>
        </w:rPr>
        <w:t>transitioning to Fermi-liquid behavior</w:t>
      </w:r>
      <w:r w:rsidRPr="00705530">
        <w:rPr>
          <w:rFonts w:ascii="Arial" w:eastAsia="Times New Roman" w:hAnsi="Arial" w:cs="Arial"/>
          <w:i/>
          <w:iCs/>
          <w:sz w:val="20"/>
          <w:szCs w:val="20"/>
        </w:rPr>
        <w:t xml:space="preserve"> </w:t>
      </w:r>
      <m:oMath>
        <m:r>
          <w:rPr>
            <w:rFonts w:ascii="Cambria Math" w:hAnsi="Arial" w:cs="Arial"/>
            <w:sz w:val="20"/>
            <w:szCs w:val="20"/>
          </w:rPr>
          <m:t>ρ</m:t>
        </m:r>
        <m:d>
          <m:dPr>
            <m:ctrlPr>
              <w:rPr>
                <w:rFonts w:ascii="Cambria Math" w:hAnsi="Arial" w:cs="Arial"/>
                <w:i/>
                <w:sz w:val="20"/>
                <w:szCs w:val="20"/>
              </w:rPr>
            </m:ctrlPr>
          </m:dPr>
          <m:e>
            <m:r>
              <w:rPr>
                <w:rFonts w:ascii="Cambria Math" w:hAnsi="Arial" w:cs="Arial"/>
                <w:sz w:val="20"/>
                <w:szCs w:val="20"/>
              </w:rPr>
              <m:t>T</m:t>
            </m:r>
          </m:e>
        </m:d>
        <m:r>
          <w:rPr>
            <w:rFonts w:ascii="Cambria Math" w:hAnsi="Arial" w:cs="Arial"/>
            <w:sz w:val="20"/>
            <w:szCs w:val="20"/>
          </w:rPr>
          <m:t>∝</m:t>
        </m:r>
        <m:sSup>
          <m:sSupPr>
            <m:ctrlPr>
              <w:rPr>
                <w:rFonts w:ascii="Cambria Math" w:hAnsi="Arial" w:cs="Arial"/>
                <w:i/>
                <w:sz w:val="20"/>
                <w:szCs w:val="20"/>
              </w:rPr>
            </m:ctrlPr>
          </m:sSupPr>
          <m:e>
            <m:r>
              <w:rPr>
                <w:rFonts w:ascii="Cambria Math" w:hAnsi="Arial" w:cs="Arial"/>
                <w:sz w:val="20"/>
                <w:szCs w:val="20"/>
              </w:rPr>
              <m:t>T</m:t>
            </m:r>
          </m:e>
          <m:sup>
            <m:r>
              <w:rPr>
                <w:rFonts w:ascii="Cambria Math" w:hAnsi="Arial" w:cs="Arial"/>
                <w:sz w:val="20"/>
                <w:szCs w:val="20"/>
              </w:rPr>
              <m:t>2</m:t>
            </m:r>
          </m:sup>
        </m:sSup>
        <m:r>
          <w:rPr>
            <w:rFonts w:ascii="Cambria Math" w:hAnsi="Arial" w:cs="Arial"/>
            <w:sz w:val="20"/>
            <w:szCs w:val="20"/>
          </w:rPr>
          <m:t xml:space="preserve"> </m:t>
        </m:r>
      </m:oMath>
      <w:r w:rsidR="00D7350D">
        <w:rPr>
          <w:rFonts w:ascii="Arial" w:eastAsia="Times New Roman" w:hAnsi="Arial" w:cs="Arial"/>
          <w:iCs/>
          <w:sz w:val="20"/>
          <w:szCs w:val="20"/>
        </w:rPr>
        <w:t xml:space="preserve">beyond the critical point </w:t>
      </w:r>
      <w:r w:rsidR="00D36826">
        <w:rPr>
          <w:rFonts w:ascii="Arial" w:eastAsia="Times New Roman" w:hAnsi="Arial" w:cs="Arial"/>
          <w:iCs/>
          <w:sz w:val="20"/>
          <w:szCs w:val="20"/>
        </w:rPr>
        <w:t>[7]</w:t>
      </w:r>
      <w:r w:rsidRPr="00705530">
        <w:rPr>
          <w:rFonts w:ascii="Arial" w:eastAsia="Times New Roman" w:hAnsi="Arial" w:cs="Arial"/>
          <w:iCs/>
          <w:sz w:val="20"/>
          <w:szCs w:val="20"/>
        </w:rPr>
        <w:t xml:space="preserve">. The coexistence of linear and quadratic terms signals critical scattering near a QCP. Hall effect measurements further reveal abrupt changes in the Hall coefficient at </w:t>
      </w:r>
      <m:oMath>
        <m:sSup>
          <m:sSupPr>
            <m:ctrlPr>
              <w:rPr>
                <w:rFonts w:ascii="Cambria Math" w:hAnsi="Arial" w:cs="Arial"/>
                <w:i/>
                <w:sz w:val="20"/>
                <w:szCs w:val="20"/>
              </w:rPr>
            </m:ctrlPr>
          </m:sSupPr>
          <m:e>
            <m:r>
              <w:rPr>
                <w:rFonts w:ascii="Cambria Math" w:hAnsi="Arial" w:cs="Arial"/>
                <w:sz w:val="20"/>
                <w:szCs w:val="20"/>
              </w:rPr>
              <m:t>p</m:t>
            </m:r>
          </m:e>
          <m:sup>
            <m:r>
              <w:rPr>
                <w:rFonts w:ascii="Arial" w:hAnsi="Arial" w:cs="Arial"/>
                <w:sz w:val="20"/>
                <w:szCs w:val="20"/>
              </w:rPr>
              <m:t>*</m:t>
            </m:r>
          </m:sup>
        </m:sSup>
      </m:oMath>
      <w:r w:rsidRPr="00705530">
        <w:rPr>
          <w:rFonts w:ascii="Arial" w:eastAsia="Times New Roman" w:hAnsi="Arial" w:cs="Arial"/>
          <w:sz w:val="20"/>
          <w:szCs w:val="20"/>
        </w:rPr>
        <w:t>, indicatin</w:t>
      </w:r>
      <w:r w:rsidR="00D7350D">
        <w:rPr>
          <w:rFonts w:ascii="Arial" w:eastAsia="Times New Roman" w:hAnsi="Arial" w:cs="Arial"/>
          <w:sz w:val="20"/>
          <w:szCs w:val="20"/>
        </w:rPr>
        <w:t xml:space="preserve">g Fermi surface reconstruction </w:t>
      </w:r>
      <w:r w:rsidR="00D36826">
        <w:rPr>
          <w:rFonts w:ascii="Arial" w:eastAsia="Times New Roman" w:hAnsi="Arial" w:cs="Arial"/>
          <w:sz w:val="20"/>
          <w:szCs w:val="20"/>
        </w:rPr>
        <w:t>[7]</w:t>
      </w:r>
      <w:r w:rsidRPr="00705530">
        <w:rPr>
          <w:rFonts w:ascii="Arial" w:eastAsia="Times New Roman" w:hAnsi="Arial" w:cs="Arial"/>
          <w:sz w:val="20"/>
          <w:szCs w:val="20"/>
        </w:rPr>
        <w:t xml:space="preserve">. </w:t>
      </w:r>
      <w:r w:rsidR="00030D12">
        <w:rPr>
          <w:rFonts w:ascii="Arial" w:eastAsia="Times New Roman" w:hAnsi="Arial" w:cs="Arial"/>
          <w:sz w:val="20"/>
          <w:szCs w:val="20"/>
        </w:rPr>
        <w:t>[42]</w:t>
      </w:r>
      <w:r w:rsidRPr="00705530">
        <w:rPr>
          <w:rFonts w:ascii="Arial" w:eastAsia="Times New Roman" w:hAnsi="Arial" w:cs="Arial"/>
          <w:sz w:val="20"/>
          <w:szCs w:val="20"/>
        </w:rPr>
        <w:t xml:space="preserve"> interpret these anomalies using a phase-separation model in which PG formation produces alternating domains of high and low hole density, with charge density wave (CDW) modulations generating tunneling barriers that govern transport.</w:t>
      </w:r>
    </w:p>
    <w:p w14:paraId="6028BADB"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p>
    <w:p w14:paraId="159545DE" w14:textId="77777777" w:rsidR="00C40ECA" w:rsidRDefault="00C40ECA" w:rsidP="00C40ECA">
      <w:pPr>
        <w:pStyle w:val="NormalWeb"/>
        <w:jc w:val="center"/>
      </w:pPr>
      <w:r w:rsidRPr="002D1104">
        <w:rPr>
          <w:noProof/>
        </w:rPr>
        <w:lastRenderedPageBreak/>
        <w:drawing>
          <wp:inline distT="0" distB="0" distL="0" distR="0" wp14:anchorId="6B1E9A7C" wp14:editId="101987ED">
            <wp:extent cx="2495394" cy="3926238"/>
            <wp:effectExtent l="19050" t="0" r="156" b="0"/>
            <wp:docPr id="26" name="Picture 11" descr="C:\Users\DELL\Downloads\The-experimental-Hall-effect-and-theory-are-presented-together-Data-points-from-R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The-experimental-Hall-effect-and-theory-are-presented-together-Data-points-from-Ref-7.png"/>
                    <pic:cNvPicPr>
                      <a:picLocks noChangeAspect="1" noChangeArrowheads="1"/>
                    </pic:cNvPicPr>
                  </pic:nvPicPr>
                  <pic:blipFill>
                    <a:blip r:embed="rId14"/>
                    <a:srcRect/>
                    <a:stretch>
                      <a:fillRect/>
                    </a:stretch>
                  </pic:blipFill>
                  <pic:spPr bwMode="auto">
                    <a:xfrm>
                      <a:off x="0" y="0"/>
                      <a:ext cx="2498516" cy="3931150"/>
                    </a:xfrm>
                    <a:prstGeom prst="rect">
                      <a:avLst/>
                    </a:prstGeom>
                    <a:noFill/>
                    <a:ln w="9525">
                      <a:noFill/>
                      <a:miter lim="800000"/>
                      <a:headEnd/>
                      <a:tailEnd/>
                    </a:ln>
                  </pic:spPr>
                </pic:pic>
              </a:graphicData>
            </a:graphic>
          </wp:inline>
        </w:drawing>
      </w:r>
    </w:p>
    <w:p w14:paraId="1AA6151E" w14:textId="77777777" w:rsidR="00C40ECA" w:rsidRPr="00705530" w:rsidRDefault="00C40ECA" w:rsidP="00705530">
      <w:pPr>
        <w:spacing w:line="240" w:lineRule="auto"/>
        <w:jc w:val="both"/>
        <w:rPr>
          <w:rFonts w:ascii="Arial" w:hAnsi="Arial" w:cs="Arial"/>
          <w:i/>
          <w:sz w:val="20"/>
          <w:szCs w:val="20"/>
        </w:rPr>
      </w:pPr>
      <w:r w:rsidRPr="00705530">
        <w:rPr>
          <w:rStyle w:val="Strong"/>
          <w:rFonts w:ascii="Arial" w:hAnsi="Arial" w:cs="Arial"/>
          <w:i/>
          <w:sz w:val="20"/>
          <w:szCs w:val="20"/>
        </w:rPr>
        <w:t xml:space="preserve">Figure 5: Temperature dependence of Hall coefficient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R</m:t>
            </m:r>
          </m:e>
          <m:sub>
            <m:r>
              <m:rPr>
                <m:sty m:val="bi"/>
              </m:rPr>
              <w:rPr>
                <w:rStyle w:val="Strong"/>
                <w:rFonts w:ascii="Cambria Math" w:hAnsi="Cambria Math" w:cs="Arial"/>
                <w:sz w:val="20"/>
                <w:szCs w:val="20"/>
              </w:rPr>
              <m:t>H</m:t>
            </m:r>
          </m:sub>
        </m:sSub>
      </m:oMath>
      <w:r w:rsidRPr="00705530">
        <w:rPr>
          <w:rStyle w:val="Strong"/>
          <w:rFonts w:ascii="Arial" w:hAnsi="Arial" w:cs="Arial"/>
          <w:i/>
          <w:sz w:val="20"/>
          <w:szCs w:val="20"/>
        </w:rPr>
        <w:t xml:space="preserve"> across the pseudogap regime in </w:t>
      </w:r>
      <m:oMath>
        <m:sSub>
          <m:sSubPr>
            <m:ctrlPr>
              <w:rPr>
                <w:rFonts w:ascii="Cambria Math" w:hAnsi="Arial" w:cs="Arial"/>
                <w:b/>
                <w:i/>
                <w:sz w:val="20"/>
                <w:szCs w:val="20"/>
              </w:rPr>
            </m:ctrlPr>
          </m:sSubPr>
          <m:e>
            <m:r>
              <m:rPr>
                <m:sty m:val="bi"/>
              </m:rPr>
              <w:rPr>
                <w:rFonts w:ascii="Cambria Math" w:hAnsi="Cambria Math" w:cs="Arial"/>
                <w:sz w:val="20"/>
                <w:szCs w:val="20"/>
              </w:rPr>
              <m:t>La</m:t>
            </m:r>
          </m:e>
          <m:sub>
            <m:r>
              <m:rPr>
                <m:sty m:val="bi"/>
              </m:rPr>
              <w:rPr>
                <w:rFonts w:ascii="Cambria Math" w:hAnsi="Cambria Math" w:cs="Arial"/>
                <w:sz w:val="20"/>
                <w:szCs w:val="20"/>
              </w:rPr>
              <m:t>2</m:t>
            </m:r>
            <m:r>
              <m:rPr>
                <m:sty m:val="bi"/>
              </m:rPr>
              <w:rPr>
                <w:rFonts w:ascii="Arial" w:hAnsi="Arial" w:cs="Arial"/>
                <w:sz w:val="20"/>
                <w:szCs w:val="20"/>
              </w:rPr>
              <m:t>-</m:t>
            </m:r>
            <m:r>
              <m:rPr>
                <m:sty m:val="bi"/>
              </m:rPr>
              <w:rPr>
                <w:rFonts w:ascii="Cambria Math" w:hAnsi="Cambria Math" w:cs="Arial"/>
                <w:sz w:val="20"/>
                <w:szCs w:val="20"/>
              </w:rPr>
              <m:t>x</m:t>
            </m:r>
          </m:sub>
        </m:sSub>
        <m:sSub>
          <m:sSubPr>
            <m:ctrlPr>
              <w:rPr>
                <w:rFonts w:ascii="Cambria Math" w:hAnsi="Arial" w:cs="Arial"/>
                <w:b/>
                <w:i/>
                <w:sz w:val="20"/>
                <w:szCs w:val="20"/>
              </w:rPr>
            </m:ctrlPr>
          </m:sSubPr>
          <m:e>
            <m:r>
              <m:rPr>
                <m:sty m:val="bi"/>
              </m:rPr>
              <w:rPr>
                <w:rFonts w:ascii="Cambria Math" w:hAnsi="Cambria Math" w:cs="Arial"/>
                <w:sz w:val="20"/>
                <w:szCs w:val="20"/>
              </w:rPr>
              <m:t>Sr</m:t>
            </m:r>
          </m:e>
          <m:sub>
            <m:r>
              <m:rPr>
                <m:sty m:val="bi"/>
              </m:rPr>
              <w:rPr>
                <w:rFonts w:ascii="Cambria Math" w:hAnsi="Cambria Math" w:cs="Arial"/>
                <w:sz w:val="20"/>
                <w:szCs w:val="20"/>
              </w:rPr>
              <m:t>x</m:t>
            </m:r>
          </m:sub>
        </m:sSub>
        <m:r>
          <m:rPr>
            <m:sty m:val="bi"/>
          </m:rPr>
          <w:rPr>
            <w:rFonts w:ascii="Cambria Math" w:hAnsi="Cambria Math" w:cs="Arial"/>
            <w:sz w:val="20"/>
            <w:szCs w:val="20"/>
          </w:rPr>
          <m:t>Cu</m:t>
        </m:r>
        <m:sSub>
          <m:sSubPr>
            <m:ctrlPr>
              <w:rPr>
                <w:rFonts w:ascii="Cambria Math" w:hAnsi="Arial" w:cs="Arial"/>
                <w:b/>
                <w:i/>
                <w:sz w:val="20"/>
                <w:szCs w:val="20"/>
              </w:rPr>
            </m:ctrlPr>
          </m:sSubPr>
          <m:e>
            <m:r>
              <m:rPr>
                <m:sty m:val="bi"/>
              </m:rPr>
              <w:rPr>
                <w:rFonts w:ascii="Cambria Math" w:hAnsi="Cambria Math" w:cs="Arial"/>
                <w:sz w:val="20"/>
                <w:szCs w:val="20"/>
              </w:rPr>
              <m:t>O</m:t>
            </m:r>
          </m:e>
          <m:sub>
            <m:r>
              <m:rPr>
                <m:sty m:val="bi"/>
              </m:rPr>
              <w:rPr>
                <w:rFonts w:ascii="Cambria Math" w:hAnsi="Cambria Math" w:cs="Arial"/>
                <w:sz w:val="20"/>
                <w:szCs w:val="20"/>
              </w:rPr>
              <m:t>4</m:t>
            </m:r>
          </m:sub>
        </m:sSub>
      </m:oMath>
      <w:r w:rsidRPr="00705530">
        <w:rPr>
          <w:rStyle w:val="Strong"/>
          <w:rFonts w:ascii="Arial" w:hAnsi="Arial" w:cs="Arial"/>
          <w:i/>
          <w:sz w:val="20"/>
          <w:szCs w:val="20"/>
        </w:rPr>
        <w:t>.</w:t>
      </w:r>
      <w:r w:rsidRPr="00705530">
        <w:rPr>
          <w:rFonts w:ascii="Arial" w:hAnsi="Arial" w:cs="Arial"/>
          <w:i/>
          <w:sz w:val="20"/>
          <w:szCs w:val="20"/>
        </w:rPr>
        <w:t xml:space="preserve"> Experimental data points from p = 0.01 to p = 0.25 compared with theoretical predictions (continuous lines) from the charge density wave phase separation model. The model successfully reproduces the dramatic temperature variations by considering thermally activated carriers, showing excellent agreement across the </w:t>
      </w:r>
      <w:proofErr w:type="spellStart"/>
      <w:r w:rsidRPr="00705530">
        <w:rPr>
          <w:rFonts w:ascii="Arial" w:hAnsi="Arial" w:cs="Arial"/>
          <w:i/>
          <w:sz w:val="20"/>
          <w:szCs w:val="20"/>
        </w:rPr>
        <w:t>pseudogap</w:t>
      </w:r>
      <w:proofErr w:type="spellEnd"/>
      <w:r w:rsidRPr="00705530">
        <w:rPr>
          <w:rFonts w:ascii="Arial" w:hAnsi="Arial" w:cs="Arial"/>
          <w:i/>
          <w:sz w:val="20"/>
          <w:szCs w:val="20"/>
        </w:rPr>
        <w:t xml:space="preserve"> regime except for p = 0.25 where negative out-of-plane electron contributions emerge above T = 100K. Adapted from </w:t>
      </w:r>
      <w:r w:rsidR="00030D12">
        <w:rPr>
          <w:rFonts w:ascii="Arial" w:hAnsi="Arial" w:cs="Arial"/>
          <w:sz w:val="20"/>
          <w:szCs w:val="20"/>
        </w:rPr>
        <w:t>[42]</w:t>
      </w:r>
      <w:r w:rsidRPr="00705530">
        <w:rPr>
          <w:rFonts w:ascii="Arial" w:hAnsi="Arial" w:cs="Arial"/>
          <w:i/>
          <w:sz w:val="20"/>
          <w:szCs w:val="20"/>
        </w:rPr>
        <w:t>.</w:t>
      </w:r>
    </w:p>
    <w:p w14:paraId="7084CD9A"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Thermodynamic measurements corroborate these transport signatures. The electronic specific heat coefficient </w:t>
      </w:r>
      <m:oMath>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shows logarithmic divergence as </w:t>
      </w:r>
      <m:oMath>
        <m:r>
          <w:rPr>
            <w:rFonts w:ascii="Cambria Math" w:eastAsia="Times New Roman" w:hAnsi="Cambria Math" w:cs="Arial"/>
            <w:sz w:val="20"/>
            <w:szCs w:val="20"/>
          </w:rPr>
          <m:t>T</m:t>
        </m:r>
        <m:r>
          <w:rPr>
            <w:rFonts w:ascii="Arial" w:eastAsia="Times New Roman" w:hAnsi="Arial" w:cs="Arial"/>
            <w:sz w:val="20"/>
            <w:szCs w:val="20"/>
          </w:rPr>
          <m:t>→</m:t>
        </m:r>
        <m:r>
          <w:rPr>
            <w:rFonts w:ascii="Cambria Math" w:eastAsia="Times New Roman" w:hAnsi="Arial" w:cs="Arial"/>
            <w:sz w:val="20"/>
            <w:szCs w:val="20"/>
          </w:rPr>
          <m:t>0</m:t>
        </m:r>
      </m:oMath>
      <w:r w:rsidRPr="00705530">
        <w:rPr>
          <w:rFonts w:ascii="Arial" w:eastAsia="Times New Roman" w:hAnsi="Arial" w:cs="Arial"/>
          <w:sz w:val="20"/>
          <w:szCs w:val="20"/>
        </w:rPr>
        <w:t xml:space="preserv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consistent with enhanced effect</w:t>
      </w:r>
      <w:r w:rsidR="00D7350D">
        <w:rPr>
          <w:rFonts w:ascii="Arial" w:eastAsia="Times New Roman" w:hAnsi="Arial" w:cs="Arial"/>
          <w:sz w:val="20"/>
          <w:szCs w:val="20"/>
        </w:rPr>
        <w:t xml:space="preserve">ive mass and density of states </w:t>
      </w:r>
      <w:r w:rsidR="00D36826">
        <w:rPr>
          <w:rFonts w:ascii="Arial" w:eastAsia="Times New Roman" w:hAnsi="Arial" w:cs="Arial"/>
          <w:sz w:val="20"/>
          <w:szCs w:val="20"/>
        </w:rPr>
        <w:t>[7]</w:t>
      </w:r>
      <w:r w:rsidRPr="00705530">
        <w:rPr>
          <w:rFonts w:ascii="Arial" w:eastAsia="Times New Roman" w:hAnsi="Arial" w:cs="Arial"/>
          <w:sz w:val="20"/>
          <w:szCs w:val="20"/>
        </w:rPr>
        <w:t xml:space="preserve">; </w:t>
      </w:r>
      <w:r w:rsidR="00030D12">
        <w:rPr>
          <w:rFonts w:ascii="Arial" w:eastAsia="Times New Roman" w:hAnsi="Arial" w:cs="Arial"/>
          <w:sz w:val="20"/>
          <w:szCs w:val="20"/>
        </w:rPr>
        <w:t>[43]</w:t>
      </w:r>
      <w:r w:rsidRPr="00705530">
        <w:rPr>
          <w:rFonts w:ascii="Arial" w:eastAsia="Times New Roman" w:hAnsi="Arial" w:cs="Arial"/>
          <w:sz w:val="20"/>
          <w:szCs w:val="20"/>
        </w:rPr>
        <w:t>:</w:t>
      </w:r>
    </w:p>
    <w:p w14:paraId="31D08582" w14:textId="77777777" w:rsidR="00C40ECA" w:rsidRPr="00705530" w:rsidRDefault="00E334FE" w:rsidP="00C40ECA">
      <w:pPr>
        <w:pStyle w:val="NormalWeb"/>
        <w:ind w:left="720"/>
        <w:rPr>
          <w:rFonts w:ascii="Arial" w:hAnsi="Arial" w:cs="Arial"/>
          <w:i/>
          <w:sz w:val="20"/>
          <w:szCs w:val="20"/>
        </w:rPr>
      </w:pPr>
      <m:oMathPara>
        <m:oMath>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num>
            <m:den>
              <m:r>
                <w:rPr>
                  <w:rFonts w:ascii="Cambria Math" w:hAnsi="Cambria Math" w:cs="Arial"/>
                  <w:sz w:val="20"/>
                  <w:szCs w:val="20"/>
                </w:rPr>
                <m:t>T</m:t>
              </m:r>
            </m:den>
          </m:f>
          <m:r>
            <w:rPr>
              <w:rFonts w:ascii="Cambria Math" w:hAnsi="Arial" w:cs="Arial"/>
              <w:sz w:val="20"/>
              <w:szCs w:val="20"/>
            </w:rPr>
            <m:t>=~</m:t>
          </m:r>
          <m:r>
            <w:rPr>
              <w:rFonts w:ascii="Cambria Math" w:hAnsi="Cambria Math" w:cs="Arial"/>
              <w:sz w:val="20"/>
              <w:szCs w:val="20"/>
            </w:rPr>
            <m:t>B</m:t>
          </m:r>
          <m:r>
            <w:rPr>
              <w:rFonts w:ascii="Cambria Math" w:hAnsi="Arial" w:cs="Arial"/>
              <w:sz w:val="20"/>
              <w:szCs w:val="20"/>
            </w:rPr>
            <m:t xml:space="preserve"> </m:t>
          </m:r>
          <m:func>
            <m:funcPr>
              <m:ctrlPr>
                <w:rPr>
                  <w:rFonts w:ascii="Cambria Math" w:hAnsi="Arial" w:cs="Arial"/>
                  <w:i/>
                  <w:sz w:val="20"/>
                  <w:szCs w:val="20"/>
                </w:rPr>
              </m:ctrlPr>
            </m:funcPr>
            <m:fName>
              <m:r>
                <w:rPr>
                  <w:rFonts w:ascii="Cambria Math" w:hAnsi="Cambria Math" w:cs="Arial"/>
                  <w:sz w:val="20"/>
                  <w:szCs w:val="20"/>
                </w:rPr>
                <m:t>ln</m:t>
              </m:r>
            </m:fName>
            <m:e>
              <m:d>
                <m:dPr>
                  <m:ctrlPr>
                    <w:rPr>
                      <w:rFonts w:ascii="Cambria Math" w:hAnsi="Arial" w:cs="Arial"/>
                      <w:i/>
                      <w:sz w:val="20"/>
                      <w:szCs w:val="20"/>
                    </w:rPr>
                  </m:ctrlPr>
                </m:dPr>
                <m:e>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Cambria Math" w:cs="Arial"/>
                              <w:sz w:val="20"/>
                              <w:szCs w:val="20"/>
                            </w:rPr>
                            <m:t>T</m:t>
                          </m:r>
                        </m:e>
                        <m:sub>
                          <m:r>
                            <w:rPr>
                              <w:rFonts w:ascii="Cambria Math" w:hAnsi="Arial" w:cs="Arial"/>
                              <w:sz w:val="20"/>
                              <w:szCs w:val="20"/>
                            </w:rPr>
                            <m:t>0</m:t>
                          </m:r>
                        </m:sub>
                      </m:sSub>
                    </m:num>
                    <m:den>
                      <m:r>
                        <w:rPr>
                          <w:rFonts w:ascii="Cambria Math" w:hAnsi="Cambria Math" w:cs="Arial"/>
                          <w:sz w:val="20"/>
                          <w:szCs w:val="20"/>
                        </w:rPr>
                        <m:t>T</m:t>
                      </m:r>
                    </m:den>
                  </m:f>
                </m:e>
              </m:d>
            </m:e>
          </m:func>
        </m:oMath>
      </m:oMathPara>
    </w:p>
    <w:p w14:paraId="279E89BF"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Times New Roman" w:eastAsia="Times New Roman" w:hAnsi="Times New Roman" w:cs="Times New Roman"/>
          <w:sz w:val="20"/>
          <w:szCs w:val="20"/>
        </w:rPr>
        <w:t xml:space="preserve"> </w:t>
      </w:r>
      <w:r w:rsidRPr="00705530">
        <w:rPr>
          <w:rFonts w:ascii="Arial" w:eastAsia="Times New Roman" w:hAnsi="Arial" w:cs="Arial"/>
          <w:sz w:val="20"/>
          <w:szCs w:val="20"/>
        </w:rPr>
        <w:t xml:space="preserve">Where </w:t>
      </w:r>
      <m:oMath>
        <m:r>
          <w:rPr>
            <w:rFonts w:ascii="Cambria Math" w:eastAsia="Times New Roman" w:hAnsi="Cambria Math" w:cs="Arial"/>
            <w:sz w:val="20"/>
            <w:szCs w:val="20"/>
          </w:rPr>
          <m:t>B</m:t>
        </m:r>
      </m:oMath>
      <w:r w:rsidRPr="00705530">
        <w:rPr>
          <w:rFonts w:ascii="Arial" w:eastAsia="Times New Roman" w:hAnsi="Arial" w:cs="Arial"/>
          <w:sz w:val="20"/>
          <w:szCs w:val="20"/>
        </w:rPr>
        <w:t xml:space="preserve"> quantifies the strength of the divergence and </w:t>
      </w:r>
      <m:oMath>
        <m:sSub>
          <m:sSubPr>
            <m:ctrlPr>
              <w:rPr>
                <w:rFonts w:ascii="Cambria Math" w:hAnsi="Arial" w:cs="Arial"/>
                <w:i/>
                <w:sz w:val="20"/>
                <w:szCs w:val="20"/>
              </w:rPr>
            </m:ctrlPr>
          </m:sSubPr>
          <m:e>
            <m:r>
              <w:rPr>
                <w:rFonts w:ascii="Cambria Math" w:hAnsi="Cambria Math" w:cs="Arial"/>
                <w:sz w:val="20"/>
                <w:szCs w:val="20"/>
              </w:rPr>
              <m:t>T</m:t>
            </m:r>
          </m:e>
          <m:sub>
            <m:r>
              <w:rPr>
                <w:rFonts w:ascii="Cambria Math" w:hAnsi="Arial" w:cs="Arial"/>
                <w:sz w:val="20"/>
                <w:szCs w:val="20"/>
              </w:rPr>
              <m:t>0</m:t>
            </m:r>
          </m:sub>
        </m:sSub>
      </m:oMath>
      <w:r w:rsidRPr="00705530">
        <w:rPr>
          <w:rFonts w:ascii="Arial" w:eastAsia="Times New Roman" w:hAnsi="Arial" w:cs="Arial"/>
          <w:sz w:val="20"/>
          <w:szCs w:val="20"/>
        </w:rPr>
        <w:t xml:space="preserve"> is a reference s</w:t>
      </w:r>
      <w:r w:rsidR="00D7350D">
        <w:rPr>
          <w:rFonts w:ascii="Arial" w:eastAsia="Times New Roman" w:hAnsi="Arial" w:cs="Arial"/>
          <w:sz w:val="20"/>
          <w:szCs w:val="20"/>
        </w:rPr>
        <w:t xml:space="preserve">cale </w:t>
      </w:r>
      <w:r w:rsidR="00030D12">
        <w:rPr>
          <w:rFonts w:ascii="Arial" w:eastAsia="Times New Roman" w:hAnsi="Arial" w:cs="Arial"/>
          <w:sz w:val="20"/>
          <w:szCs w:val="20"/>
        </w:rPr>
        <w:t>[43]</w:t>
      </w:r>
      <w:r w:rsidRPr="00705530">
        <w:rPr>
          <w:rFonts w:ascii="Arial" w:eastAsia="Times New Roman" w:hAnsi="Arial" w:cs="Arial"/>
          <w:sz w:val="20"/>
          <w:szCs w:val="20"/>
        </w:rPr>
        <w:t xml:space="preserve">. Similarly, entropy data reveal enhanced </w:t>
      </w:r>
      <m:oMath>
        <m:sSub>
          <m:sSubPr>
            <m:ctrlPr>
              <w:rPr>
                <w:rFonts w:ascii="Cambria Math" w:hAnsi="Arial" w:cs="Arial"/>
                <w:i/>
                <w:sz w:val="20"/>
                <w:szCs w:val="20"/>
              </w:rPr>
            </m:ctrlPr>
          </m:sSubPr>
          <m:e>
            <m:r>
              <w:rPr>
                <w:rFonts w:ascii="Cambria Math" w:hAnsi="Cambria Math" w:cs="Arial"/>
                <w:sz w:val="20"/>
                <w:szCs w:val="20"/>
              </w:rPr>
              <m:t>S</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xml:space="preserve">, implying that PG collapse liberates electronic states favorable for superconducting pairing </w:t>
      </w:r>
      <w:r w:rsidR="00030D12">
        <w:rPr>
          <w:rFonts w:ascii="Arial" w:eastAsia="Times New Roman" w:hAnsi="Arial" w:cs="Arial"/>
          <w:sz w:val="20"/>
          <w:szCs w:val="20"/>
        </w:rPr>
        <w:t>[44]</w:t>
      </w:r>
      <w:r w:rsidRPr="00705530">
        <w:rPr>
          <w:rFonts w:ascii="Arial" w:eastAsia="Times New Roman" w:hAnsi="Arial" w:cs="Arial"/>
          <w:sz w:val="20"/>
          <w:szCs w:val="20"/>
        </w:rPr>
        <w:t>.</w:t>
      </w:r>
    </w:p>
    <w:p w14:paraId="08171CBD"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Remarkably, these anomalies coincide with optimal superconductivity: in Eu-LSCO and Nd-LSCO, both </w:t>
      </w:r>
      <m:oMath>
        <m:sSub>
          <m:sSubPr>
            <m:ctrlPr>
              <w:rPr>
                <w:rFonts w:ascii="Cambria Math" w:hAnsi="Arial" w:cs="Arial"/>
                <w:i/>
                <w:sz w:val="20"/>
                <w:szCs w:val="20"/>
              </w:rPr>
            </m:ctrlPr>
          </m:sSubPr>
          <m:e>
            <m:r>
              <w:rPr>
                <w:rFonts w:ascii="Cambria Math" w:hAnsi="Cambria Math" w:cs="Arial"/>
                <w:sz w:val="20"/>
                <w:szCs w:val="20"/>
              </w:rPr>
              <m:t>C</m:t>
            </m:r>
          </m:e>
          <m:sub>
            <m:r>
              <w:rPr>
                <w:rFonts w:ascii="Cambria Math" w:hAnsi="Cambria Math" w:cs="Arial"/>
                <w:sz w:val="20"/>
                <w:szCs w:val="20"/>
              </w:rPr>
              <m:t>el</m:t>
            </m:r>
          </m:sub>
        </m:sSub>
        <m:r>
          <w:rPr>
            <w:rFonts w:ascii="Cambria Math" w:hAnsi="Arial" w:cs="Arial"/>
            <w:sz w:val="20"/>
            <w:szCs w:val="20"/>
          </w:rPr>
          <m:t xml:space="preserve">/ </m:t>
        </m:r>
        <m:r>
          <w:rPr>
            <w:rFonts w:ascii="Cambria Math" w:hAnsi="Cambria Math" w:cs="Arial"/>
            <w:sz w:val="20"/>
            <w:szCs w:val="20"/>
          </w:rPr>
          <m:t>T</m:t>
        </m:r>
      </m:oMath>
      <w:r w:rsidRPr="00705530">
        <w:rPr>
          <w:rFonts w:ascii="Arial" w:eastAsia="Times New Roman" w:hAnsi="Arial" w:cs="Arial"/>
          <w:sz w:val="20"/>
          <w:szCs w:val="20"/>
        </w:rPr>
        <w:t xml:space="preserve"> and the condensation energy </w:t>
      </w:r>
      <m:oMath>
        <m:f>
          <m:fPr>
            <m:type m:val="lin"/>
            <m:ctrlPr>
              <w:rPr>
                <w:rFonts w:ascii="Cambria Math" w:hAnsi="Arial" w:cs="Arial"/>
                <w:i/>
                <w:sz w:val="20"/>
                <w:szCs w:val="20"/>
              </w:rPr>
            </m:ctrlPr>
          </m:fPr>
          <m:num>
            <m:r>
              <w:rPr>
                <w:rFonts w:ascii="Arial" w:hAnsi="Arial" w:cs="Arial"/>
                <w:sz w:val="20"/>
                <w:szCs w:val="20"/>
              </w:rPr>
              <m:t>∆</m:t>
            </m:r>
            <m:r>
              <w:rPr>
                <w:rFonts w:ascii="Cambria Math" w:hAnsi="Cambria Math" w:cs="Arial"/>
                <w:sz w:val="20"/>
                <w:szCs w:val="20"/>
              </w:rPr>
              <m:t>C</m:t>
            </m:r>
          </m:num>
          <m:den>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den>
        </m:f>
      </m:oMath>
      <w:r w:rsidRPr="00705530">
        <w:rPr>
          <w:rFonts w:ascii="Arial" w:eastAsia="Times New Roman" w:hAnsi="Arial" w:cs="Arial"/>
          <w:sz w:val="20"/>
          <w:szCs w:val="20"/>
        </w:rPr>
        <w:t xml:space="preserve"> peak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hAnsi="Arial" w:cs="Arial"/>
          <w:sz w:val="20"/>
          <w:szCs w:val="20"/>
        </w:rPr>
        <w:t xml:space="preserve"> </w:t>
      </w:r>
      <w:r w:rsidR="00D36826">
        <w:rPr>
          <w:rFonts w:ascii="Arial" w:eastAsia="Times New Roman" w:hAnsi="Arial" w:cs="Arial"/>
          <w:sz w:val="20"/>
          <w:szCs w:val="20"/>
        </w:rPr>
        <w:t>[7]</w:t>
      </w:r>
      <w:r w:rsidRPr="00705530">
        <w:rPr>
          <w:rFonts w:ascii="Arial" w:eastAsia="Times New Roman" w:hAnsi="Arial" w:cs="Arial"/>
          <w:sz w:val="20"/>
          <w:szCs w:val="20"/>
        </w:rPr>
        <w:t xml:space="preserve">; </w:t>
      </w:r>
      <w:r w:rsidR="00030D12">
        <w:rPr>
          <w:rFonts w:ascii="Arial" w:eastAsia="Times New Roman" w:hAnsi="Arial" w:cs="Arial"/>
          <w:sz w:val="20"/>
          <w:szCs w:val="20"/>
        </w:rPr>
        <w:t>[43]</w:t>
      </w:r>
      <w:r w:rsidRPr="00705530">
        <w:rPr>
          <w:rFonts w:ascii="Arial" w:eastAsia="Times New Roman" w:hAnsi="Arial" w:cs="Arial"/>
          <w:sz w:val="20"/>
          <w:szCs w:val="20"/>
        </w:rPr>
        <w:t>. When superconductivity is suppressed by magnetic fields, the normal-state entropy and mass renormalization also maximize at this doping, reinforcing the role of critical fluctuations in pairing.</w:t>
      </w:r>
    </w:p>
    <w:p w14:paraId="79B6228C"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t xml:space="preserve">Quantum oscillations in YBCO confirm effective mass divergence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00D7350D">
        <w:rPr>
          <w:rFonts w:ascii="Arial" w:hAnsi="Arial" w:cs="Arial"/>
          <w:sz w:val="20"/>
          <w:szCs w:val="20"/>
        </w:rPr>
        <w:t>[35]</w:t>
      </w:r>
      <w:r w:rsidR="00D7350D">
        <w:rPr>
          <w:rFonts w:ascii="Arial" w:eastAsia="Times New Roman" w:hAnsi="Arial" w:cs="Arial"/>
          <w:sz w:val="20"/>
          <w:szCs w:val="20"/>
        </w:rPr>
        <w:t xml:space="preserve">, </w:t>
      </w:r>
      <w:r w:rsidRPr="00705530">
        <w:rPr>
          <w:rFonts w:ascii="Arial" w:eastAsia="Times New Roman" w:hAnsi="Arial" w:cs="Arial"/>
          <w:sz w:val="20"/>
          <w:szCs w:val="20"/>
        </w:rPr>
        <w:t xml:space="preserve">while Hall measurements show a carrier density jump from </w:t>
      </w:r>
      <m:oMath>
        <m:r>
          <w:rPr>
            <w:rFonts w:ascii="Cambria Math" w:hAnsi="Cambria Math" w:cs="Arial"/>
            <w:sz w:val="20"/>
            <w:szCs w:val="20"/>
          </w:rPr>
          <m:t>n</m:t>
        </m:r>
        <m:r>
          <w:rPr>
            <w:rFonts w:ascii="Cambria Math" w:hAnsi="Arial" w:cs="Arial"/>
            <w:sz w:val="20"/>
            <w:szCs w:val="20"/>
          </w:rPr>
          <m:t>=</m:t>
        </m:r>
        <m:r>
          <w:rPr>
            <w:rFonts w:ascii="Cambria Math" w:hAnsi="Cambria Math" w:cs="Arial"/>
            <w:sz w:val="20"/>
            <w:szCs w:val="20"/>
          </w:rPr>
          <m:t>p</m:t>
        </m:r>
      </m:oMath>
      <w:r w:rsidRPr="00705530">
        <w:rPr>
          <w:rFonts w:ascii="Arial" w:hAnsi="Arial" w:cs="Arial"/>
          <w:sz w:val="20"/>
          <w:szCs w:val="20"/>
        </w:rPr>
        <w:t xml:space="preserve"> for </w:t>
      </w:r>
      <m:oMath>
        <m:r>
          <w:rPr>
            <w:rFonts w:ascii="Cambria Math" w:hAnsi="Cambria Math" w:cs="Arial"/>
            <w:sz w:val="20"/>
            <w:szCs w:val="20"/>
          </w:rPr>
          <m:t>p</m:t>
        </m:r>
        <m:r>
          <w:rPr>
            <w:rFonts w:ascii="Cambria Math" w:hAnsi="Arial" w:cs="Arial"/>
            <w:sz w:val="20"/>
            <w:szCs w:val="20"/>
          </w:rPr>
          <m:t>&lt;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hAnsi="Arial" w:cs="Arial"/>
          <w:sz w:val="20"/>
          <w:szCs w:val="20"/>
        </w:rPr>
        <w:t xml:space="preserve"> to </w:t>
      </w:r>
      <m:oMath>
        <m:r>
          <w:rPr>
            <w:rFonts w:ascii="Cambria Math" w:hAnsi="Cambria Math" w:cs="Arial"/>
            <w:sz w:val="20"/>
            <w:szCs w:val="20"/>
          </w:rPr>
          <m:t>n</m:t>
        </m:r>
        <m:r>
          <w:rPr>
            <w:rFonts w:ascii="Cambria Math" w:hAnsi="Arial" w:cs="Arial"/>
            <w:sz w:val="20"/>
            <w:szCs w:val="20"/>
          </w:rPr>
          <m:t>=1+</m:t>
        </m:r>
        <m:r>
          <w:rPr>
            <w:rFonts w:ascii="Cambria Math" w:hAnsi="Cambria Math" w:cs="Arial"/>
            <w:sz w:val="20"/>
            <w:szCs w:val="20"/>
          </w:rPr>
          <m:t>p</m:t>
        </m:r>
      </m:oMath>
      <w:r w:rsidRPr="00705530">
        <w:rPr>
          <w:rFonts w:ascii="Arial" w:hAnsi="Arial" w:cs="Arial"/>
          <w:sz w:val="20"/>
          <w:szCs w:val="20"/>
        </w:rPr>
        <w:t xml:space="preserve"> for</w:t>
      </w:r>
      <m:oMath>
        <m:r>
          <w:rPr>
            <w:rFonts w:ascii="Cambria Math" w:hAnsi="Arial" w:cs="Arial"/>
            <w:sz w:val="20"/>
            <w:szCs w:val="20"/>
          </w:rPr>
          <m:t xml:space="preserve"> </m:t>
        </m:r>
        <m:r>
          <w:rPr>
            <w:rFonts w:ascii="Cambria Math" w:hAnsi="Cambria Math" w:cs="Arial"/>
            <w:sz w:val="20"/>
            <w:szCs w:val="20"/>
          </w:rPr>
          <m:t>p</m:t>
        </m:r>
        <m:r>
          <w:rPr>
            <w:rFonts w:ascii="Cambria Math" w:hAnsi="Arial" w:cs="Arial"/>
            <w:sz w:val="20"/>
            <w:szCs w:val="20"/>
          </w:rPr>
          <m:t>&gt;</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signaling Fermi</w:t>
      </w:r>
      <w:r w:rsidR="00D7350D">
        <w:rPr>
          <w:rFonts w:ascii="Arial" w:eastAsia="Times New Roman" w:hAnsi="Arial" w:cs="Arial"/>
          <w:sz w:val="20"/>
          <w:szCs w:val="20"/>
        </w:rPr>
        <w:t xml:space="preserve"> surface reconstruction </w:t>
      </w:r>
      <w:r w:rsidR="00D36826">
        <w:rPr>
          <w:rFonts w:ascii="Arial" w:eastAsia="Times New Roman" w:hAnsi="Arial" w:cs="Arial"/>
          <w:sz w:val="20"/>
          <w:szCs w:val="20"/>
        </w:rPr>
        <w:t>[12]</w:t>
      </w:r>
      <w:r w:rsidRPr="00705530">
        <w:rPr>
          <w:rFonts w:ascii="Arial" w:eastAsia="Times New Roman" w:hAnsi="Arial" w:cs="Arial"/>
          <w:sz w:val="20"/>
          <w:szCs w:val="20"/>
        </w:rPr>
        <w:t xml:space="preserve">. High-field transport in Nd-LSCO demonstrates the </w:t>
      </w:r>
      <w:r w:rsidR="00D7350D">
        <w:rPr>
          <w:rFonts w:ascii="Arial" w:eastAsia="Times New Roman" w:hAnsi="Arial" w:cs="Arial"/>
          <w:sz w:val="20"/>
          <w:szCs w:val="20"/>
        </w:rPr>
        <w:t xml:space="preserve">universality of these features </w:t>
      </w:r>
      <w:r w:rsidR="00030D12">
        <w:rPr>
          <w:rFonts w:ascii="Arial" w:eastAsia="Times New Roman" w:hAnsi="Arial" w:cs="Arial"/>
          <w:sz w:val="20"/>
          <w:szCs w:val="20"/>
        </w:rPr>
        <w:t>[45]</w:t>
      </w:r>
      <w:r w:rsidRPr="00705530">
        <w:rPr>
          <w:rFonts w:ascii="Arial" w:eastAsia="Times New Roman" w:hAnsi="Arial" w:cs="Arial"/>
          <w:sz w:val="20"/>
          <w:szCs w:val="20"/>
        </w:rPr>
        <w:t>.</w:t>
      </w:r>
    </w:p>
    <w:p w14:paraId="5B585549" w14:textId="77777777" w:rsidR="00C40ECA" w:rsidRPr="00705530" w:rsidRDefault="00C40ECA" w:rsidP="00705530">
      <w:pPr>
        <w:spacing w:before="100" w:beforeAutospacing="1" w:after="100" w:afterAutospacing="1" w:line="240" w:lineRule="auto"/>
        <w:jc w:val="both"/>
        <w:rPr>
          <w:rFonts w:ascii="Arial" w:eastAsia="Times New Roman" w:hAnsi="Arial" w:cs="Arial"/>
          <w:sz w:val="20"/>
          <w:szCs w:val="20"/>
        </w:rPr>
      </w:pPr>
      <w:r w:rsidRPr="00705530">
        <w:rPr>
          <w:rFonts w:ascii="Arial" w:eastAsia="Times New Roman" w:hAnsi="Arial" w:cs="Arial"/>
          <w:sz w:val="20"/>
          <w:szCs w:val="20"/>
        </w:rPr>
        <w:lastRenderedPageBreak/>
        <w:t xml:space="preserve">Together, transport and thermodynamic evidence strongly support the view that the PG terminates via a sharp quantum phase transition rather than a crossover.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705530">
        <w:rPr>
          <w:rFonts w:ascii="Arial" w:eastAsia="Times New Roman" w:hAnsi="Arial" w:cs="Arial"/>
          <w:sz w:val="20"/>
          <w:szCs w:val="20"/>
        </w:rPr>
        <w:t xml:space="preserve">, competing orders and superconductivity intersect, defining a universal QCP central to </w:t>
      </w:r>
      <w:r w:rsidRPr="00705530">
        <w:rPr>
          <w:rFonts w:ascii="Arial" w:hAnsi="Arial" w:cs="Arial"/>
          <w:sz w:val="20"/>
          <w:szCs w:val="20"/>
        </w:rPr>
        <w:t>HTSC</w:t>
      </w:r>
      <w:r w:rsidR="00D7350D">
        <w:rPr>
          <w:rFonts w:ascii="Arial" w:eastAsia="Times New Roman" w:hAnsi="Arial" w:cs="Arial"/>
          <w:sz w:val="20"/>
          <w:szCs w:val="20"/>
        </w:rPr>
        <w:t xml:space="preserve"> </w:t>
      </w:r>
      <w:r w:rsidR="00D36826">
        <w:rPr>
          <w:rFonts w:ascii="Arial" w:eastAsia="Times New Roman" w:hAnsi="Arial" w:cs="Arial"/>
          <w:sz w:val="20"/>
          <w:szCs w:val="20"/>
        </w:rPr>
        <w:t>[7]</w:t>
      </w:r>
      <w:r w:rsidRPr="00705530">
        <w:rPr>
          <w:rFonts w:ascii="Arial" w:eastAsia="Times New Roman" w:hAnsi="Arial" w:cs="Arial"/>
          <w:sz w:val="20"/>
          <w:szCs w:val="20"/>
        </w:rPr>
        <w:t xml:space="preserve">; </w:t>
      </w:r>
      <w:r w:rsidR="00030D12">
        <w:rPr>
          <w:rFonts w:ascii="Arial" w:eastAsia="Times New Roman" w:hAnsi="Arial" w:cs="Arial"/>
          <w:sz w:val="20"/>
          <w:szCs w:val="20"/>
        </w:rPr>
        <w:t>[43]</w:t>
      </w:r>
      <w:r w:rsidRPr="00705530">
        <w:rPr>
          <w:rFonts w:ascii="Arial" w:eastAsia="Times New Roman" w:hAnsi="Arial" w:cs="Arial"/>
          <w:sz w:val="20"/>
          <w:szCs w:val="20"/>
        </w:rPr>
        <w:t>.</w:t>
      </w:r>
    </w:p>
    <w:p w14:paraId="66CCB83F" w14:textId="77777777" w:rsidR="00C40ECA" w:rsidRPr="00705530" w:rsidRDefault="00C40ECA" w:rsidP="00C40ECA">
      <w:pPr>
        <w:pStyle w:val="Heading4"/>
        <w:rPr>
          <w:rFonts w:ascii="Arial" w:hAnsi="Arial" w:cs="Arial"/>
          <w:i w:val="0"/>
          <w:color w:val="auto"/>
          <w:sz w:val="22"/>
          <w:szCs w:val="22"/>
        </w:rPr>
      </w:pPr>
      <w:r w:rsidRPr="00705530">
        <w:rPr>
          <w:rFonts w:ascii="Arial" w:hAnsi="Arial" w:cs="Arial"/>
          <w:i w:val="0"/>
          <w:color w:val="auto"/>
          <w:sz w:val="22"/>
          <w:szCs w:val="22"/>
        </w:rPr>
        <w:t xml:space="preserve">3.4 Nature of the </w:t>
      </w:r>
      <w:proofErr w:type="spellStart"/>
      <w:r w:rsidRPr="00705530">
        <w:rPr>
          <w:rFonts w:ascii="Arial" w:hAnsi="Arial" w:cs="Arial"/>
          <w:i w:val="0"/>
          <w:color w:val="auto"/>
          <w:sz w:val="22"/>
          <w:szCs w:val="22"/>
        </w:rPr>
        <w:t>Pseudogap</w:t>
      </w:r>
      <w:proofErr w:type="spellEnd"/>
      <w:r w:rsidRPr="00705530">
        <w:rPr>
          <w:rFonts w:ascii="Arial" w:hAnsi="Arial" w:cs="Arial"/>
          <w:i w:val="0"/>
          <w:color w:val="auto"/>
          <w:sz w:val="22"/>
          <w:szCs w:val="22"/>
        </w:rPr>
        <w:t xml:space="preserve"> Onset: Transition vs. Crossover</w:t>
      </w:r>
    </w:p>
    <w:p w14:paraId="56C523D9" w14:textId="77777777" w:rsidR="00C40ECA" w:rsidRPr="00705530" w:rsidRDefault="00C40ECA" w:rsidP="00C40ECA">
      <w:pPr>
        <w:pStyle w:val="NormalWeb"/>
        <w:rPr>
          <w:rFonts w:ascii="Arial" w:hAnsi="Arial" w:cs="Arial"/>
          <w:sz w:val="20"/>
          <w:szCs w:val="20"/>
        </w:rPr>
      </w:pPr>
      <w:r w:rsidRPr="00705530">
        <w:rPr>
          <w:rFonts w:ascii="Arial" w:hAnsi="Arial" w:cs="Arial"/>
          <w:sz w:val="20"/>
          <w:szCs w:val="20"/>
        </w:rPr>
        <w:t>A longstandin</w:t>
      </w:r>
      <w:r w:rsidR="00203B8D" w:rsidRPr="00705530">
        <w:rPr>
          <w:rFonts w:ascii="Arial" w:hAnsi="Arial" w:cs="Arial"/>
          <w:sz w:val="20"/>
          <w:szCs w:val="20"/>
        </w:rPr>
        <w:t>g debate surrounds the PG</w:t>
      </w:r>
      <w:r w:rsidRPr="00705530">
        <w:rPr>
          <w:rFonts w:ascii="Arial" w:hAnsi="Arial" w:cs="Arial"/>
          <w:sz w:val="20"/>
          <w:szCs w:val="20"/>
        </w:rPr>
        <w:t xml:space="preserve"> onset temperature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009F7F1A">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w:t>
      </w:r>
      <w:r w:rsidR="00030D12">
        <w:rPr>
          <w:rFonts w:ascii="Arial" w:hAnsi="Arial" w:cs="Arial"/>
          <w:sz w:val="20"/>
          <w:szCs w:val="20"/>
        </w:rPr>
        <w:t>[39]</w:t>
      </w:r>
      <w:r w:rsidRPr="00705530">
        <w:rPr>
          <w:rFonts w:ascii="Arial" w:hAnsi="Arial" w:cs="Arial"/>
          <w:sz w:val="20"/>
          <w:szCs w:val="20"/>
        </w:rPr>
        <w:t xml:space="preserve">. Does it mark a true phase transition or merely a crossover? Evidence increasingly favors the former. In Nd-LSCO, electronic nematicity vanishes abruptly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009F7F1A">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with sharp terminations of nematic order also documented in YBCO and Bi-based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Such abrupt disappearance of symmetry-breaking signatures implies a thermodynamic transition, possibly linked to a QCP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p</m:t>
            </m:r>
          </m:e>
          <m:sup>
            <m:r>
              <w:rPr>
                <w:rFonts w:ascii="Arial" w:hAnsi="Cambria Math" w:cs="Arial"/>
                <w:sz w:val="20"/>
                <w:szCs w:val="20"/>
              </w:rPr>
              <m:t>*</m:t>
            </m:r>
          </m:sup>
        </m:sSup>
      </m:oMath>
      <w:r w:rsidR="009F7F1A">
        <w:rPr>
          <w:rFonts w:ascii="Arial" w:hAnsi="Arial" w:cs="Arial"/>
          <w:sz w:val="20"/>
          <w:szCs w:val="20"/>
        </w:rPr>
        <w:t xml:space="preserve"> </w:t>
      </w:r>
      <w:r w:rsidR="00D36826">
        <w:rPr>
          <w:rFonts w:ascii="Arial" w:hAnsi="Arial" w:cs="Arial"/>
          <w:sz w:val="20"/>
          <w:szCs w:val="20"/>
        </w:rPr>
        <w:t>[14]</w:t>
      </w:r>
      <w:r w:rsidRPr="00705530">
        <w:rPr>
          <w:rFonts w:ascii="Arial" w:hAnsi="Arial" w:cs="Arial"/>
          <w:sz w:val="20"/>
          <w:szCs w:val="20"/>
        </w:rPr>
        <w:t xml:space="preserve">; </w:t>
      </w:r>
      <w:r w:rsidR="00030D12">
        <w:rPr>
          <w:rFonts w:ascii="Arial" w:hAnsi="Arial" w:cs="Arial"/>
          <w:sz w:val="20"/>
          <w:szCs w:val="20"/>
        </w:rPr>
        <w:t>[39]</w:t>
      </w:r>
      <w:r w:rsidRPr="00705530">
        <w:rPr>
          <w:rFonts w:ascii="Arial" w:hAnsi="Arial" w:cs="Arial"/>
          <w:sz w:val="20"/>
          <w:szCs w:val="20"/>
        </w:rPr>
        <w:t xml:space="preserve">. Complementary evidence arises from nonlinear optical experiments: the THG response in YBCO persists above </w:t>
      </w:r>
      <m:oMath>
        <m:sSub>
          <m:sSubPr>
            <m:ctrlPr>
              <w:rPr>
                <w:rFonts w:ascii="Cambria Math" w:hAnsi="Arial" w:cs="Arial"/>
                <w:bCs/>
                <w:i/>
                <w:color w:val="111111"/>
                <w:sz w:val="20"/>
                <w:szCs w:val="20"/>
              </w:rPr>
            </m:ctrlPr>
          </m:sSubPr>
          <m:e>
            <m:r>
              <w:rPr>
                <w:rFonts w:ascii="Cambria Math" w:hAnsi="Cambria Math" w:cs="Arial"/>
                <w:color w:val="111111"/>
                <w:sz w:val="20"/>
                <w:szCs w:val="20"/>
              </w:rPr>
              <m:t>T</m:t>
            </m:r>
          </m:e>
          <m:sub>
            <m:r>
              <w:rPr>
                <w:rFonts w:ascii="Cambria Math" w:hAnsi="Cambria Math" w:cs="Arial"/>
                <w:color w:val="111111"/>
                <w:sz w:val="20"/>
                <w:szCs w:val="20"/>
              </w:rPr>
              <m:t>C</m:t>
            </m:r>
          </m:sub>
        </m:sSub>
      </m:oMath>
      <w:r w:rsidRPr="00705530">
        <w:rPr>
          <w:rStyle w:val="vlist-s"/>
          <w:rFonts w:ascii="Arial" w:hAnsi="Arial" w:cs="Arial"/>
          <w:sz w:val="20"/>
          <w:szCs w:val="20"/>
        </w:rPr>
        <w:t>​</w:t>
      </w:r>
      <w:r w:rsidRPr="00705530">
        <w:rPr>
          <w:rFonts w:ascii="Arial" w:hAnsi="Arial" w:cs="Arial"/>
          <w:sz w:val="20"/>
          <w:szCs w:val="20"/>
        </w:rPr>
        <w:t xml:space="preserve"> and diminishes gradually until vanishing at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Arial" w:hAnsi="Cambria Math" w:cs="Arial"/>
                <w:sz w:val="20"/>
                <w:szCs w:val="20"/>
              </w:rPr>
              <m:t>*</m:t>
            </m:r>
          </m:sup>
        </m:sSup>
      </m:oMath>
      <w:r w:rsidRPr="00705530">
        <w:rPr>
          <w:rFonts w:ascii="Arial" w:hAnsi="Arial" w:cs="Arial"/>
          <w:sz w:val="20"/>
          <w:szCs w:val="20"/>
        </w:rPr>
        <w:t>, reflecting the survival of PG-related collective excitations well a</w:t>
      </w:r>
      <w:r w:rsidR="009F7F1A">
        <w:rPr>
          <w:rFonts w:ascii="Arial" w:hAnsi="Arial" w:cs="Arial"/>
          <w:sz w:val="20"/>
          <w:szCs w:val="20"/>
        </w:rPr>
        <w:t xml:space="preserve">bove the superconducting state </w:t>
      </w:r>
      <w:r w:rsidR="00030D12">
        <w:rPr>
          <w:rFonts w:ascii="Arial" w:hAnsi="Arial" w:cs="Arial"/>
          <w:sz w:val="20"/>
          <w:szCs w:val="20"/>
        </w:rPr>
        <w:t>[36]</w:t>
      </w:r>
      <w:r w:rsidRPr="00705530">
        <w:rPr>
          <w:rFonts w:ascii="Arial" w:hAnsi="Arial" w:cs="Arial"/>
          <w:sz w:val="20"/>
          <w:szCs w:val="20"/>
        </w:rPr>
        <w:t xml:space="preserve">. The persistence and sharp termination of these signals reinforce the interpretation of </w:t>
      </w:r>
      <m:oMath>
        <m:sSup>
          <m:sSupPr>
            <m:ctrlPr>
              <w:rPr>
                <w:rFonts w:ascii="Cambria Math" w:hAnsi="Arial" w:cs="Arial"/>
                <w:i/>
                <w:sz w:val="20"/>
                <w:szCs w:val="20"/>
              </w:rPr>
            </m:ctrlPr>
          </m:sSupPr>
          <m:e>
            <m:r>
              <w:rPr>
                <w:rFonts w:ascii="Cambria Math" w:hAnsi="Arial" w:cs="Arial"/>
                <w:sz w:val="20"/>
                <w:szCs w:val="20"/>
              </w:rPr>
              <m:t xml:space="preserve"> </m:t>
            </m:r>
            <m:r>
              <w:rPr>
                <w:rFonts w:ascii="Cambria Math" w:hAnsi="Cambria Math" w:cs="Arial"/>
                <w:sz w:val="20"/>
                <w:szCs w:val="20"/>
              </w:rPr>
              <m:t>T</m:t>
            </m:r>
          </m:e>
          <m:sup>
            <m:r>
              <w:rPr>
                <w:rFonts w:ascii="Cambria Math" w:hAnsi="Cambria Math" w:cs="Arial"/>
                <w:sz w:val="20"/>
                <w:szCs w:val="20"/>
              </w:rPr>
              <m:t>*</m:t>
            </m:r>
          </m:sup>
        </m:sSup>
      </m:oMath>
      <w:r w:rsidRPr="00705530">
        <w:rPr>
          <w:rFonts w:ascii="Arial" w:hAnsi="Arial" w:cs="Arial"/>
          <w:sz w:val="20"/>
          <w:szCs w:val="20"/>
        </w:rPr>
        <w:t xml:space="preserve"> as a genuine phase boundary rather than a mere crossover.</w:t>
      </w:r>
    </w:p>
    <w:p w14:paraId="63FD294D" w14:textId="77777777" w:rsidR="00C40ECA" w:rsidRPr="00705530" w:rsidRDefault="00C40ECA" w:rsidP="00705530">
      <w:pPr>
        <w:pStyle w:val="Heading4"/>
        <w:spacing w:line="240" w:lineRule="auto"/>
        <w:rPr>
          <w:rFonts w:ascii="Arial" w:hAnsi="Arial" w:cs="Arial"/>
          <w:color w:val="auto"/>
          <w:sz w:val="22"/>
          <w:szCs w:val="22"/>
        </w:rPr>
      </w:pPr>
      <w:r w:rsidRPr="00705530">
        <w:rPr>
          <w:rStyle w:val="Emphasis"/>
          <w:rFonts w:ascii="Arial" w:hAnsi="Arial" w:cs="Arial"/>
          <w:color w:val="auto"/>
          <w:sz w:val="22"/>
          <w:szCs w:val="22"/>
        </w:rPr>
        <w:t>4.0 DOPING DEPENDENCE OF THE PSEUDOGAP PHASE</w:t>
      </w:r>
    </w:p>
    <w:p w14:paraId="02265747" w14:textId="77777777" w:rsidR="00C40ECA" w:rsidRPr="00705530" w:rsidRDefault="00C40ECA" w:rsidP="00705530">
      <w:pPr>
        <w:pStyle w:val="NormalWeb"/>
        <w:rPr>
          <w:rFonts w:ascii="Arial" w:hAnsi="Arial" w:cs="Arial"/>
          <w:b/>
          <w:sz w:val="22"/>
          <w:szCs w:val="22"/>
          <w:shd w:val="clear" w:color="auto" w:fill="FFFFFF"/>
        </w:rPr>
      </w:pPr>
      <w:r w:rsidRPr="00705530">
        <w:rPr>
          <w:rFonts w:ascii="Arial" w:hAnsi="Arial" w:cs="Arial"/>
          <w:sz w:val="22"/>
          <w:szCs w:val="22"/>
        </w:rPr>
        <w:t xml:space="preserve"> </w:t>
      </w:r>
      <w:r w:rsidRPr="00705530">
        <w:rPr>
          <w:rFonts w:ascii="Arial" w:hAnsi="Arial" w:cs="Arial"/>
          <w:b/>
          <w:sz w:val="22"/>
          <w:szCs w:val="22"/>
        </w:rPr>
        <w:t xml:space="preserve">4.1 Doping Evolution in Hole vs. Electron-Doped </w:t>
      </w:r>
      <w:proofErr w:type="spellStart"/>
      <w:r w:rsidRPr="00705530">
        <w:rPr>
          <w:rFonts w:ascii="Arial" w:hAnsi="Arial" w:cs="Arial"/>
          <w:b/>
          <w:sz w:val="22"/>
          <w:szCs w:val="22"/>
        </w:rPr>
        <w:t>Cuprates</w:t>
      </w:r>
      <w:proofErr w:type="spellEnd"/>
    </w:p>
    <w:p w14:paraId="13EEEC47" w14:textId="77777777" w:rsidR="00C40ECA" w:rsidRPr="00705530" w:rsidRDefault="00C40ECA" w:rsidP="00705530">
      <w:pPr>
        <w:spacing w:line="240" w:lineRule="auto"/>
        <w:rPr>
          <w:rFonts w:ascii="Arial" w:hAnsi="Arial" w:cs="Arial"/>
          <w:sz w:val="20"/>
          <w:szCs w:val="20"/>
        </w:rPr>
      </w:pPr>
      <w:r w:rsidRPr="00705530">
        <w:rPr>
          <w:rFonts w:ascii="Arial" w:hAnsi="Arial" w:cs="Arial"/>
          <w:sz w:val="20"/>
          <w:szCs w:val="20"/>
        </w:rPr>
        <w:t xml:space="preserve">The PG extends across both hole and electron-doped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though its evolution differs markedly. In hole-doped systems, it emerges as long-range AFM order weakens, persists into the </w:t>
      </w:r>
      <w:proofErr w:type="spellStart"/>
      <w:r w:rsidRPr="00705530">
        <w:rPr>
          <w:rFonts w:ascii="Arial" w:hAnsi="Arial" w:cs="Arial"/>
          <w:sz w:val="20"/>
          <w:szCs w:val="20"/>
        </w:rPr>
        <w:t>overdoped</w:t>
      </w:r>
      <w:proofErr w:type="spellEnd"/>
      <w:r w:rsidRPr="00705530">
        <w:rPr>
          <w:rFonts w:ascii="Arial" w:hAnsi="Arial" w:cs="Arial"/>
          <w:sz w:val="20"/>
          <w:szCs w:val="20"/>
        </w:rPr>
        <w:t xml:space="preserve"> regime where it coexists with superconductivity, and terminates at a critical doping often identified with a QCP marking a fundamental change in the ground s</w:t>
      </w:r>
      <w:r w:rsidR="009F7F1A">
        <w:rPr>
          <w:rFonts w:ascii="Arial" w:hAnsi="Arial" w:cs="Arial"/>
          <w:sz w:val="20"/>
          <w:szCs w:val="20"/>
        </w:rPr>
        <w:t xml:space="preserve">tate </w:t>
      </w:r>
      <w:r w:rsidR="0073327A">
        <w:rPr>
          <w:rFonts w:ascii="Arial" w:hAnsi="Arial" w:cs="Arial"/>
          <w:sz w:val="20"/>
          <w:szCs w:val="20"/>
        </w:rPr>
        <w:t>[46]</w:t>
      </w:r>
      <w:r w:rsidRPr="00705530">
        <w:rPr>
          <w:rFonts w:ascii="Arial" w:hAnsi="Arial" w:cs="Arial"/>
          <w:sz w:val="20"/>
          <w:szCs w:val="20"/>
        </w:rPr>
        <w:t xml:space="preserve">; </w:t>
      </w:r>
      <w:r w:rsidR="00030D12">
        <w:rPr>
          <w:rFonts w:ascii="Arial" w:hAnsi="Arial" w:cs="Arial"/>
          <w:sz w:val="20"/>
          <w:szCs w:val="20"/>
        </w:rPr>
        <w:t>[33]</w:t>
      </w:r>
      <w:r w:rsidRPr="00705530">
        <w:rPr>
          <w:rFonts w:ascii="Arial" w:hAnsi="Arial" w:cs="Arial"/>
          <w:sz w:val="20"/>
          <w:szCs w:val="20"/>
        </w:rPr>
        <w:t xml:space="preserve">. In contrast, ARPES studies of </w:t>
      </w:r>
      <m:oMath>
        <m:sSub>
          <m:sSubPr>
            <m:ctrlPr>
              <w:rPr>
                <w:rFonts w:ascii="Cambria Math" w:hAnsi="Arial" w:cs="Arial"/>
                <w:i/>
                <w:sz w:val="20"/>
                <w:szCs w:val="20"/>
              </w:rPr>
            </m:ctrlPr>
          </m:sSubPr>
          <m:e>
            <m:r>
              <w:rPr>
                <w:rFonts w:ascii="Cambria Math" w:hAnsi="Cambria Math" w:cs="Arial"/>
                <w:sz w:val="20"/>
                <w:szCs w:val="20"/>
              </w:rPr>
              <m:t>Pr</m:t>
            </m:r>
          </m:e>
          <m:sub>
            <m:r>
              <w:rPr>
                <w:rFonts w:ascii="Cambria Math" w:hAnsi="Arial" w:cs="Arial"/>
                <w:sz w:val="20"/>
                <w:szCs w:val="20"/>
              </w:rPr>
              <m:t>1.3</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0.7</m:t>
            </m:r>
          </m:sub>
        </m:sSub>
        <m:sSub>
          <m:sSubPr>
            <m:ctrlPr>
              <w:rPr>
                <w:rFonts w:ascii="Cambria Math" w:hAnsi="Arial" w:cs="Arial"/>
                <w:i/>
                <w:sz w:val="20"/>
                <w:szCs w:val="20"/>
              </w:rPr>
            </m:ctrlPr>
          </m:sSubPr>
          <m:e>
            <m:r>
              <w:rPr>
                <w:rFonts w:ascii="Cambria Math" w:hAnsi="Cambria Math" w:cs="Arial"/>
                <w:sz w:val="20"/>
                <w:szCs w:val="20"/>
              </w:rPr>
              <m:t>Ce</m:t>
            </m:r>
          </m:e>
          <m:sub>
            <m:r>
              <w:rPr>
                <w:rFonts w:ascii="Cambria Math" w:hAnsi="Cambria Math" w:cs="Arial"/>
                <w:sz w:val="20"/>
                <w:szCs w:val="20"/>
              </w:rPr>
              <m:t>x</m:t>
            </m:r>
          </m:sub>
        </m:sSub>
        <m:r>
          <w:rPr>
            <w:rFonts w:ascii="Cambria Math" w:hAnsi="Arial" w:cs="Arial"/>
            <w:sz w:val="20"/>
            <w:szCs w:val="20"/>
          </w:rPr>
          <m:t xml:space="preserve"> </m:t>
        </m:r>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shd w:val="clear" w:color="auto" w:fill="FFFFFF"/>
        </w:rPr>
        <w:t xml:space="preserve"> (PLCCO) and </w:t>
      </w:r>
      <m:oMath>
        <m:sSub>
          <m:sSubPr>
            <m:ctrlPr>
              <w:rPr>
                <w:rFonts w:ascii="Cambria Math" w:hAnsi="Arial" w:cs="Arial"/>
                <w:i/>
                <w:sz w:val="20"/>
                <w:szCs w:val="20"/>
              </w:rPr>
            </m:ctrlPr>
          </m:sSubPr>
          <m:e>
            <m:r>
              <w:rPr>
                <w:rFonts w:ascii="Cambria Math" w:hAnsi="Cambria Math" w:cs="Arial"/>
                <w:sz w:val="20"/>
                <w:szCs w:val="20"/>
              </w:rPr>
              <m:t>Nd</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Ce</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705530">
        <w:rPr>
          <w:rFonts w:ascii="Arial" w:hAnsi="Arial" w:cs="Arial"/>
          <w:sz w:val="20"/>
          <w:szCs w:val="20"/>
          <w:shd w:val="clear" w:color="auto" w:fill="FFFFFF"/>
        </w:rPr>
        <w:t xml:space="preserve"> (NCCO)</w:t>
      </w:r>
      <w:r w:rsidRPr="00705530">
        <w:rPr>
          <w:rFonts w:ascii="Arial" w:hAnsi="Arial" w:cs="Arial"/>
          <w:sz w:val="20"/>
          <w:szCs w:val="20"/>
        </w:rPr>
        <w:t xml:space="preserve"> reveal that in electron-doped </w:t>
      </w:r>
      <w:proofErr w:type="spellStart"/>
      <w:r w:rsidRPr="00705530">
        <w:rPr>
          <w:rFonts w:ascii="Arial" w:hAnsi="Arial" w:cs="Arial"/>
          <w:sz w:val="20"/>
          <w:szCs w:val="20"/>
        </w:rPr>
        <w:t>cuprates</w:t>
      </w:r>
      <w:proofErr w:type="spellEnd"/>
      <w:r w:rsidRPr="00705530">
        <w:rPr>
          <w:rFonts w:ascii="Arial" w:hAnsi="Arial" w:cs="Arial"/>
          <w:sz w:val="20"/>
          <w:szCs w:val="20"/>
        </w:rPr>
        <w:t xml:space="preserve"> the PG is largest near the nodal regions and decreases toward the antinodes, the reverse of hole-doped behavior </w:t>
      </w:r>
      <w:r w:rsidR="00D36826">
        <w:rPr>
          <w:rFonts w:ascii="Arial" w:hAnsi="Arial" w:cs="Arial"/>
          <w:sz w:val="20"/>
          <w:szCs w:val="20"/>
        </w:rPr>
        <w:t>[18]</w:t>
      </w:r>
      <w:r w:rsidRPr="00705530">
        <w:rPr>
          <w:rFonts w:ascii="Arial" w:hAnsi="Arial" w:cs="Arial"/>
          <w:sz w:val="20"/>
          <w:szCs w:val="20"/>
        </w:rPr>
        <w:t>. It persists even after long-range AFM is suppressed, sustain</w:t>
      </w:r>
      <w:r w:rsidR="009F7F1A">
        <w:rPr>
          <w:rFonts w:ascii="Arial" w:hAnsi="Arial" w:cs="Arial"/>
          <w:sz w:val="20"/>
          <w:szCs w:val="20"/>
        </w:rPr>
        <w:t xml:space="preserve">ed by short-range correlations </w:t>
      </w:r>
      <w:r w:rsidR="0073327A">
        <w:rPr>
          <w:rFonts w:ascii="Arial" w:hAnsi="Arial" w:cs="Arial"/>
          <w:sz w:val="20"/>
          <w:szCs w:val="20"/>
        </w:rPr>
        <w:t>[47]</w:t>
      </w:r>
      <w:r w:rsidRPr="00705530">
        <w:rPr>
          <w:rFonts w:ascii="Arial" w:hAnsi="Arial" w:cs="Arial"/>
          <w:sz w:val="20"/>
          <w:szCs w:val="20"/>
        </w:rPr>
        <w:t xml:space="preserve">; </w:t>
      </w:r>
      <w:r w:rsidR="00030D12">
        <w:rPr>
          <w:rFonts w:ascii="Arial" w:hAnsi="Arial" w:cs="Arial"/>
          <w:sz w:val="20"/>
          <w:szCs w:val="20"/>
        </w:rPr>
        <w:t>[45]</w:t>
      </w:r>
      <w:r w:rsidRPr="00705530">
        <w:rPr>
          <w:rFonts w:ascii="Arial" w:hAnsi="Arial" w:cs="Arial"/>
          <w:sz w:val="20"/>
          <w:szCs w:val="20"/>
        </w:rPr>
        <w:t>, consistent with CDMFT calculations that attribute its origi</w:t>
      </w:r>
      <w:r w:rsidR="009F7F1A">
        <w:rPr>
          <w:rFonts w:ascii="Arial" w:hAnsi="Arial" w:cs="Arial"/>
          <w:sz w:val="20"/>
          <w:szCs w:val="20"/>
        </w:rPr>
        <w:t xml:space="preserve">n to strong local interactions </w:t>
      </w:r>
      <w:r w:rsidR="00D36826">
        <w:rPr>
          <w:rFonts w:ascii="Arial" w:hAnsi="Arial" w:cs="Arial"/>
          <w:sz w:val="20"/>
          <w:szCs w:val="20"/>
        </w:rPr>
        <w:t>[18]</w:t>
      </w:r>
      <w:r w:rsidRPr="00705530">
        <w:rPr>
          <w:rFonts w:ascii="Arial" w:hAnsi="Arial" w:cs="Arial"/>
          <w:sz w:val="20"/>
          <w:szCs w:val="20"/>
        </w:rPr>
        <w:t>. These contrasting trends underscore both the universality of the PG and its particle–hole asymmetry.</w:t>
      </w:r>
    </w:p>
    <w:p w14:paraId="4FEB1D16" w14:textId="77777777" w:rsidR="00374529" w:rsidRPr="00705530" w:rsidRDefault="00374529" w:rsidP="00C40ECA">
      <w:pPr>
        <w:rPr>
          <w:rFonts w:ascii="Times New Roman" w:hAnsi="Times New Roman" w:cs="Times New Roman"/>
          <w:sz w:val="20"/>
          <w:szCs w:val="20"/>
        </w:rPr>
      </w:pPr>
    </w:p>
    <w:tbl>
      <w:tblPr>
        <w:tblStyle w:val="TableGrid"/>
        <w:tblW w:w="9630" w:type="dxa"/>
        <w:tblLayout w:type="fixed"/>
        <w:tblLook w:val="04A0" w:firstRow="1" w:lastRow="0" w:firstColumn="1" w:lastColumn="0" w:noHBand="0" w:noVBand="1"/>
      </w:tblPr>
      <w:tblGrid>
        <w:gridCol w:w="630"/>
        <w:gridCol w:w="1170"/>
        <w:gridCol w:w="1980"/>
        <w:gridCol w:w="1497"/>
        <w:gridCol w:w="2373"/>
        <w:gridCol w:w="1980"/>
      </w:tblGrid>
      <w:tr w:rsidR="00C40ECA" w:rsidRPr="00705530" w14:paraId="2592F96A" w14:textId="77777777" w:rsidTr="00374529">
        <w:tc>
          <w:tcPr>
            <w:tcW w:w="630" w:type="dxa"/>
          </w:tcPr>
          <w:p w14:paraId="09C7B5CE"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S/N</w:t>
            </w:r>
          </w:p>
        </w:tc>
        <w:tc>
          <w:tcPr>
            <w:tcW w:w="1170" w:type="dxa"/>
          </w:tcPr>
          <w:p w14:paraId="4D964706"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Materials</w:t>
            </w:r>
          </w:p>
        </w:tc>
        <w:tc>
          <w:tcPr>
            <w:tcW w:w="1980" w:type="dxa"/>
          </w:tcPr>
          <w:p w14:paraId="192F8AF2"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 xml:space="preserve">Critical Doping </w:t>
            </w:r>
            <m:oMath>
              <m:sSup>
                <m:sSupPr>
                  <m:ctrlPr>
                    <w:rPr>
                      <w:rFonts w:ascii="Cambria Math" w:hAnsi="Arial" w:cs="Arial"/>
                      <w:b/>
                      <w:i/>
                      <w:sz w:val="20"/>
                      <w:szCs w:val="20"/>
                    </w:rPr>
                  </m:ctrlPr>
                </m:sSupPr>
                <m:e>
                  <m:r>
                    <m:rPr>
                      <m:sty m:val="bi"/>
                    </m:rPr>
                    <w:rPr>
                      <w:rFonts w:ascii="Cambria Math" w:hAnsi="Cambria Math" w:cs="Arial"/>
                      <w:sz w:val="20"/>
                      <w:szCs w:val="20"/>
                    </w:rPr>
                    <m:t>p</m:t>
                  </m:r>
                </m:e>
                <m:sup>
                  <m:r>
                    <m:rPr>
                      <m:sty m:val="bi"/>
                    </m:rPr>
                    <w:rPr>
                      <w:rFonts w:ascii="Arial" w:hAnsi="Cambria Math" w:cs="Arial"/>
                      <w:sz w:val="20"/>
                      <w:szCs w:val="20"/>
                    </w:rPr>
                    <m:t>*</m:t>
                  </m:r>
                </m:sup>
              </m:sSup>
            </m:oMath>
          </w:p>
        </w:tc>
        <w:tc>
          <w:tcPr>
            <w:tcW w:w="1497" w:type="dxa"/>
          </w:tcPr>
          <w:p w14:paraId="4FF2309E"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 xml:space="preserve">Maximum </w:t>
            </w:r>
            <m:oMath>
              <m:sSup>
                <m:sSupPr>
                  <m:ctrlPr>
                    <w:rPr>
                      <w:rFonts w:ascii="Cambria Math" w:hAnsi="Arial" w:cs="Arial"/>
                      <w:b/>
                      <w:i/>
                      <w:sz w:val="20"/>
                      <w:szCs w:val="20"/>
                    </w:rPr>
                  </m:ctrlPr>
                </m:sSupPr>
                <m:e>
                  <m:r>
                    <m:rPr>
                      <m:sty m:val="bi"/>
                    </m:rPr>
                    <w:rPr>
                      <w:rFonts w:ascii="Cambria Math" w:hAnsi="Cambria Math" w:cs="Arial"/>
                      <w:sz w:val="20"/>
                      <w:szCs w:val="20"/>
                    </w:rPr>
                    <m:t>T</m:t>
                  </m:r>
                </m:e>
                <m:sup>
                  <m:r>
                    <m:rPr>
                      <m:sty m:val="bi"/>
                    </m:rPr>
                    <w:rPr>
                      <w:rFonts w:ascii="Cambria Math" w:hAnsi="Cambria Math" w:cs="Arial"/>
                      <w:sz w:val="20"/>
                      <w:szCs w:val="20"/>
                    </w:rPr>
                    <m:t>*</m:t>
                  </m:r>
                </m:sup>
              </m:sSup>
            </m:oMath>
            <w:r w:rsidRPr="00705530">
              <w:rPr>
                <w:rFonts w:ascii="Arial" w:hAnsi="Arial" w:cs="Arial"/>
                <w:b/>
                <w:sz w:val="20"/>
                <w:szCs w:val="20"/>
              </w:rPr>
              <w:t>(K)</w:t>
            </w:r>
          </w:p>
        </w:tc>
        <w:tc>
          <w:tcPr>
            <w:tcW w:w="2373" w:type="dxa"/>
          </w:tcPr>
          <w:p w14:paraId="193FFAE9"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Primary Method</w:t>
            </w:r>
          </w:p>
        </w:tc>
        <w:tc>
          <w:tcPr>
            <w:tcW w:w="1980" w:type="dxa"/>
          </w:tcPr>
          <w:p w14:paraId="46898A7F" w14:textId="77777777" w:rsidR="00C40ECA" w:rsidRPr="00705530" w:rsidRDefault="00C40ECA" w:rsidP="00705530">
            <w:pPr>
              <w:pStyle w:val="NormalWeb"/>
              <w:jc w:val="both"/>
              <w:rPr>
                <w:rFonts w:ascii="Arial" w:hAnsi="Arial" w:cs="Arial"/>
                <w:b/>
                <w:sz w:val="20"/>
                <w:szCs w:val="20"/>
              </w:rPr>
            </w:pPr>
            <w:r w:rsidRPr="00705530">
              <w:rPr>
                <w:rFonts w:ascii="Arial" w:hAnsi="Arial" w:cs="Arial"/>
                <w:b/>
                <w:sz w:val="20"/>
                <w:szCs w:val="20"/>
              </w:rPr>
              <w:t>Key Reference</w:t>
            </w:r>
          </w:p>
        </w:tc>
      </w:tr>
      <w:tr w:rsidR="00C40ECA" w:rsidRPr="00705530" w14:paraId="7FE3B908" w14:textId="77777777" w:rsidTr="00374529">
        <w:tc>
          <w:tcPr>
            <w:tcW w:w="630" w:type="dxa"/>
          </w:tcPr>
          <w:p w14:paraId="127711BB"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1</w:t>
            </w:r>
          </w:p>
        </w:tc>
        <w:tc>
          <w:tcPr>
            <w:tcW w:w="1170" w:type="dxa"/>
          </w:tcPr>
          <w:p w14:paraId="7CEFEB93"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LSCO</w:t>
            </w:r>
          </w:p>
        </w:tc>
        <w:tc>
          <w:tcPr>
            <w:tcW w:w="1980" w:type="dxa"/>
          </w:tcPr>
          <w:p w14:paraId="1B2D72E5"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0.19</m:t>
                </m:r>
                <m:r>
                  <w:rPr>
                    <w:rFonts w:ascii="Arial" w:hAnsi="Arial" w:cs="Arial"/>
                    <w:sz w:val="20"/>
                    <w:szCs w:val="20"/>
                  </w:rPr>
                  <m:t>±</m:t>
                </m:r>
                <m:r>
                  <w:rPr>
                    <w:rFonts w:ascii="Cambria Math" w:hAnsi="Arial" w:cs="Arial"/>
                    <w:sz w:val="20"/>
                    <w:szCs w:val="20"/>
                  </w:rPr>
                  <m:t>0.01</m:t>
                </m:r>
              </m:oMath>
            </m:oMathPara>
          </w:p>
        </w:tc>
        <w:tc>
          <w:tcPr>
            <w:tcW w:w="1497" w:type="dxa"/>
          </w:tcPr>
          <w:p w14:paraId="399D84D9"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~150</m:t>
                </m:r>
              </m:oMath>
            </m:oMathPara>
          </w:p>
        </w:tc>
        <w:tc>
          <w:tcPr>
            <w:tcW w:w="2373" w:type="dxa"/>
          </w:tcPr>
          <w:p w14:paraId="6AFE4183"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 xml:space="preserve">Transport/Thermodynamic Measurements   </w:t>
            </w:r>
          </w:p>
        </w:tc>
        <w:tc>
          <w:tcPr>
            <w:tcW w:w="1980" w:type="dxa"/>
          </w:tcPr>
          <w:p w14:paraId="37241FC6" w14:textId="77777777" w:rsidR="00C40ECA" w:rsidRPr="00705530" w:rsidRDefault="00D36826" w:rsidP="00705530">
            <w:pPr>
              <w:pStyle w:val="NormalWeb"/>
              <w:jc w:val="both"/>
              <w:rPr>
                <w:rFonts w:ascii="Arial" w:hAnsi="Arial" w:cs="Arial"/>
                <w:sz w:val="20"/>
                <w:szCs w:val="20"/>
              </w:rPr>
            </w:pPr>
            <w:r>
              <w:rPr>
                <w:rFonts w:ascii="Arial" w:hAnsi="Arial" w:cs="Arial"/>
                <w:sz w:val="20"/>
                <w:szCs w:val="20"/>
              </w:rPr>
              <w:t>[7]</w:t>
            </w:r>
          </w:p>
        </w:tc>
      </w:tr>
      <w:tr w:rsidR="00C40ECA" w:rsidRPr="00705530" w14:paraId="7F3896B6" w14:textId="77777777" w:rsidTr="00374529">
        <w:tc>
          <w:tcPr>
            <w:tcW w:w="630" w:type="dxa"/>
          </w:tcPr>
          <w:p w14:paraId="5E3E5A65"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2</w:t>
            </w:r>
          </w:p>
        </w:tc>
        <w:tc>
          <w:tcPr>
            <w:tcW w:w="1170" w:type="dxa"/>
          </w:tcPr>
          <w:p w14:paraId="191EC383"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Nd-LSCO</w:t>
            </w:r>
          </w:p>
        </w:tc>
        <w:tc>
          <w:tcPr>
            <w:tcW w:w="1980" w:type="dxa"/>
          </w:tcPr>
          <w:p w14:paraId="4C3F44DE"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0.23</m:t>
                </m:r>
                <m:r>
                  <w:rPr>
                    <w:rFonts w:ascii="Arial" w:hAnsi="Arial" w:cs="Arial"/>
                    <w:sz w:val="20"/>
                    <w:szCs w:val="20"/>
                  </w:rPr>
                  <m:t>±</m:t>
                </m:r>
                <m:r>
                  <w:rPr>
                    <w:rFonts w:ascii="Cambria Math" w:hAnsi="Arial" w:cs="Arial"/>
                    <w:sz w:val="20"/>
                    <w:szCs w:val="20"/>
                  </w:rPr>
                  <m:t>0.01</m:t>
                </m:r>
              </m:oMath>
            </m:oMathPara>
          </w:p>
        </w:tc>
        <w:tc>
          <w:tcPr>
            <w:tcW w:w="1497" w:type="dxa"/>
          </w:tcPr>
          <w:p w14:paraId="3241CF0B"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~120</m:t>
                </m:r>
              </m:oMath>
            </m:oMathPara>
          </w:p>
        </w:tc>
        <w:tc>
          <w:tcPr>
            <w:tcW w:w="2373" w:type="dxa"/>
          </w:tcPr>
          <w:p w14:paraId="21B09D08"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Transport/RXS</w:t>
            </w:r>
          </w:p>
        </w:tc>
        <w:tc>
          <w:tcPr>
            <w:tcW w:w="1980" w:type="dxa"/>
          </w:tcPr>
          <w:p w14:paraId="0F85130D" w14:textId="77777777" w:rsidR="00C40ECA" w:rsidRPr="00705530" w:rsidRDefault="00D36826" w:rsidP="00705530">
            <w:pPr>
              <w:pStyle w:val="NormalWeb"/>
              <w:jc w:val="both"/>
              <w:rPr>
                <w:rFonts w:ascii="Arial" w:hAnsi="Arial" w:cs="Arial"/>
                <w:sz w:val="20"/>
                <w:szCs w:val="20"/>
              </w:rPr>
            </w:pPr>
            <w:r>
              <w:rPr>
                <w:rFonts w:ascii="Arial" w:hAnsi="Arial" w:cs="Arial"/>
                <w:sz w:val="20"/>
                <w:szCs w:val="20"/>
              </w:rPr>
              <w:t>[14]</w:t>
            </w:r>
          </w:p>
        </w:tc>
      </w:tr>
      <w:tr w:rsidR="00C40ECA" w:rsidRPr="00705530" w14:paraId="06D94B7A" w14:textId="77777777" w:rsidTr="00374529">
        <w:tc>
          <w:tcPr>
            <w:tcW w:w="630" w:type="dxa"/>
          </w:tcPr>
          <w:p w14:paraId="38FABEC7"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3</w:t>
            </w:r>
          </w:p>
        </w:tc>
        <w:tc>
          <w:tcPr>
            <w:tcW w:w="1170" w:type="dxa"/>
          </w:tcPr>
          <w:p w14:paraId="0675991C"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YBCO</w:t>
            </w:r>
          </w:p>
        </w:tc>
        <w:tc>
          <w:tcPr>
            <w:tcW w:w="1980" w:type="dxa"/>
          </w:tcPr>
          <w:p w14:paraId="687F7F37"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0.18</m:t>
                </m:r>
                <m:r>
                  <w:rPr>
                    <w:rFonts w:ascii="Arial" w:hAnsi="Arial" w:cs="Arial"/>
                    <w:sz w:val="20"/>
                    <w:szCs w:val="20"/>
                  </w:rPr>
                  <m:t>±</m:t>
                </m:r>
                <m:r>
                  <w:rPr>
                    <w:rFonts w:ascii="Cambria Math" w:hAnsi="Arial" w:cs="Arial"/>
                    <w:sz w:val="20"/>
                    <w:szCs w:val="20"/>
                  </w:rPr>
                  <m:t>0.02</m:t>
                </m:r>
              </m:oMath>
            </m:oMathPara>
          </w:p>
        </w:tc>
        <w:tc>
          <w:tcPr>
            <w:tcW w:w="1497" w:type="dxa"/>
          </w:tcPr>
          <w:p w14:paraId="7E405C16"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~200</m:t>
                </m:r>
              </m:oMath>
            </m:oMathPara>
          </w:p>
        </w:tc>
        <w:tc>
          <w:tcPr>
            <w:tcW w:w="2373" w:type="dxa"/>
          </w:tcPr>
          <w:p w14:paraId="0619A28B"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ARPES/Quantum Oscillations</w:t>
            </w:r>
          </w:p>
        </w:tc>
        <w:tc>
          <w:tcPr>
            <w:tcW w:w="1980" w:type="dxa"/>
          </w:tcPr>
          <w:p w14:paraId="207D6D5D" w14:textId="77777777" w:rsidR="00C40ECA" w:rsidRPr="00705530" w:rsidRDefault="00D36826" w:rsidP="00705530">
            <w:pPr>
              <w:pStyle w:val="NormalWeb"/>
              <w:jc w:val="both"/>
              <w:rPr>
                <w:rFonts w:ascii="Arial" w:hAnsi="Arial" w:cs="Arial"/>
                <w:sz w:val="20"/>
                <w:szCs w:val="20"/>
              </w:rPr>
            </w:pPr>
            <w:r>
              <w:rPr>
                <w:rFonts w:ascii="Arial" w:hAnsi="Arial" w:cs="Arial"/>
                <w:sz w:val="20"/>
                <w:szCs w:val="20"/>
              </w:rPr>
              <w:t>[12]</w:t>
            </w:r>
          </w:p>
        </w:tc>
      </w:tr>
      <w:tr w:rsidR="00C40ECA" w:rsidRPr="00705530" w14:paraId="5548EB4A" w14:textId="77777777" w:rsidTr="00374529">
        <w:tc>
          <w:tcPr>
            <w:tcW w:w="630" w:type="dxa"/>
          </w:tcPr>
          <w:p w14:paraId="59312DC2"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4</w:t>
            </w:r>
          </w:p>
        </w:tc>
        <w:tc>
          <w:tcPr>
            <w:tcW w:w="1170" w:type="dxa"/>
          </w:tcPr>
          <w:p w14:paraId="4EB54C49"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Bi-2212</w:t>
            </w:r>
          </w:p>
        </w:tc>
        <w:tc>
          <w:tcPr>
            <w:tcW w:w="1980" w:type="dxa"/>
          </w:tcPr>
          <w:p w14:paraId="1C3C5A13"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0.22</m:t>
                </m:r>
                <m:r>
                  <w:rPr>
                    <w:rFonts w:ascii="Arial" w:hAnsi="Arial" w:cs="Arial"/>
                    <w:sz w:val="20"/>
                    <w:szCs w:val="20"/>
                  </w:rPr>
                  <m:t>±</m:t>
                </m:r>
                <m:r>
                  <w:rPr>
                    <w:rFonts w:ascii="Cambria Math" w:hAnsi="Arial" w:cs="Arial"/>
                    <w:sz w:val="20"/>
                    <w:szCs w:val="20"/>
                  </w:rPr>
                  <m:t>0.02</m:t>
                </m:r>
              </m:oMath>
            </m:oMathPara>
          </w:p>
        </w:tc>
        <w:tc>
          <w:tcPr>
            <w:tcW w:w="1497" w:type="dxa"/>
          </w:tcPr>
          <w:p w14:paraId="52583E4D"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~180</m:t>
                </m:r>
              </m:oMath>
            </m:oMathPara>
          </w:p>
        </w:tc>
        <w:tc>
          <w:tcPr>
            <w:tcW w:w="2373" w:type="dxa"/>
          </w:tcPr>
          <w:p w14:paraId="1E5B010B"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STM/ARPES</w:t>
            </w:r>
          </w:p>
        </w:tc>
        <w:tc>
          <w:tcPr>
            <w:tcW w:w="1980" w:type="dxa"/>
          </w:tcPr>
          <w:p w14:paraId="2443BA25" w14:textId="77777777" w:rsidR="00C40ECA" w:rsidRPr="00705530" w:rsidRDefault="00D36826" w:rsidP="00705530">
            <w:pPr>
              <w:pStyle w:val="NormalWeb"/>
              <w:jc w:val="both"/>
              <w:rPr>
                <w:rFonts w:ascii="Arial" w:hAnsi="Arial" w:cs="Arial"/>
                <w:sz w:val="20"/>
                <w:szCs w:val="20"/>
              </w:rPr>
            </w:pPr>
            <w:r>
              <w:rPr>
                <w:rFonts w:ascii="Arial" w:hAnsi="Arial" w:cs="Arial"/>
                <w:sz w:val="20"/>
                <w:szCs w:val="20"/>
              </w:rPr>
              <w:t>[13]</w:t>
            </w:r>
          </w:p>
        </w:tc>
      </w:tr>
      <w:tr w:rsidR="00C40ECA" w:rsidRPr="00705530" w14:paraId="1F6F9A9F" w14:textId="77777777" w:rsidTr="00374529">
        <w:tc>
          <w:tcPr>
            <w:tcW w:w="630" w:type="dxa"/>
          </w:tcPr>
          <w:p w14:paraId="69776B85"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5</w:t>
            </w:r>
          </w:p>
        </w:tc>
        <w:tc>
          <w:tcPr>
            <w:tcW w:w="1170" w:type="dxa"/>
          </w:tcPr>
          <w:p w14:paraId="2564ADE7"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Bi-2201</w:t>
            </w:r>
          </w:p>
        </w:tc>
        <w:tc>
          <w:tcPr>
            <w:tcW w:w="1980" w:type="dxa"/>
          </w:tcPr>
          <w:p w14:paraId="22702F91"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0.21</m:t>
                </m:r>
                <m:r>
                  <w:rPr>
                    <w:rFonts w:ascii="Arial" w:hAnsi="Arial" w:cs="Arial"/>
                    <w:sz w:val="20"/>
                    <w:szCs w:val="20"/>
                  </w:rPr>
                  <m:t>±</m:t>
                </m:r>
                <m:r>
                  <w:rPr>
                    <w:rFonts w:ascii="Cambria Math" w:hAnsi="Arial" w:cs="Arial"/>
                    <w:sz w:val="20"/>
                    <w:szCs w:val="20"/>
                  </w:rPr>
                  <m:t>0.02</m:t>
                </m:r>
              </m:oMath>
            </m:oMathPara>
          </w:p>
        </w:tc>
        <w:tc>
          <w:tcPr>
            <w:tcW w:w="1497" w:type="dxa"/>
          </w:tcPr>
          <w:p w14:paraId="44DD8D71" w14:textId="77777777" w:rsidR="00C40ECA" w:rsidRPr="00705530" w:rsidRDefault="00C40ECA" w:rsidP="00705530">
            <w:pPr>
              <w:pStyle w:val="NormalWeb"/>
              <w:jc w:val="both"/>
              <w:rPr>
                <w:rFonts w:ascii="Arial" w:hAnsi="Arial" w:cs="Arial"/>
                <w:sz w:val="20"/>
                <w:szCs w:val="20"/>
              </w:rPr>
            </w:pPr>
            <m:oMathPara>
              <m:oMath>
                <m:r>
                  <w:rPr>
                    <w:rFonts w:ascii="Cambria Math" w:hAnsi="Arial" w:cs="Arial"/>
                    <w:sz w:val="20"/>
                    <w:szCs w:val="20"/>
                  </w:rPr>
                  <m:t>~160</m:t>
                </m:r>
              </m:oMath>
            </m:oMathPara>
          </w:p>
        </w:tc>
        <w:tc>
          <w:tcPr>
            <w:tcW w:w="2373" w:type="dxa"/>
          </w:tcPr>
          <w:p w14:paraId="0287F1A2" w14:textId="77777777" w:rsidR="00C40ECA" w:rsidRPr="00705530" w:rsidRDefault="00C40ECA" w:rsidP="00705530">
            <w:pPr>
              <w:pStyle w:val="NormalWeb"/>
              <w:jc w:val="both"/>
              <w:rPr>
                <w:rFonts w:ascii="Arial" w:hAnsi="Arial" w:cs="Arial"/>
                <w:sz w:val="20"/>
                <w:szCs w:val="20"/>
              </w:rPr>
            </w:pPr>
            <w:r w:rsidRPr="00705530">
              <w:rPr>
                <w:rFonts w:ascii="Arial" w:hAnsi="Arial" w:cs="Arial"/>
                <w:sz w:val="20"/>
                <w:szCs w:val="20"/>
              </w:rPr>
              <w:t>STM</w:t>
            </w:r>
          </w:p>
        </w:tc>
        <w:tc>
          <w:tcPr>
            <w:tcW w:w="1980" w:type="dxa"/>
          </w:tcPr>
          <w:p w14:paraId="344D9591" w14:textId="77777777" w:rsidR="00C40ECA" w:rsidRPr="00705530" w:rsidRDefault="00442011" w:rsidP="00705530">
            <w:pPr>
              <w:pStyle w:val="NormalWeb"/>
              <w:jc w:val="both"/>
              <w:rPr>
                <w:rFonts w:ascii="Arial" w:hAnsi="Arial" w:cs="Arial"/>
                <w:sz w:val="20"/>
                <w:szCs w:val="20"/>
              </w:rPr>
            </w:pPr>
            <w:r>
              <w:rPr>
                <w:rFonts w:ascii="Arial" w:hAnsi="Arial" w:cs="Arial"/>
                <w:sz w:val="20"/>
                <w:szCs w:val="20"/>
              </w:rPr>
              <w:t>[24]</w:t>
            </w:r>
          </w:p>
        </w:tc>
      </w:tr>
    </w:tbl>
    <w:p w14:paraId="178B800F" w14:textId="77777777" w:rsidR="00C40ECA" w:rsidRPr="002F7431" w:rsidRDefault="00C40ECA" w:rsidP="00C40ECA">
      <w:pPr>
        <w:pStyle w:val="NormalWeb"/>
        <w:rPr>
          <w:rFonts w:ascii="Arial" w:hAnsi="Arial" w:cs="Arial"/>
          <w:i/>
          <w:sz w:val="20"/>
          <w:szCs w:val="20"/>
        </w:rPr>
      </w:pPr>
      <w:r w:rsidRPr="002F7431">
        <w:rPr>
          <w:rFonts w:ascii="Arial" w:hAnsi="Arial" w:cs="Arial"/>
          <w:i/>
          <w:sz w:val="20"/>
          <w:szCs w:val="20"/>
        </w:rPr>
        <w:t xml:space="preserve">Table 1: Summary of critical parameters across the </w:t>
      </w:r>
      <w:proofErr w:type="spellStart"/>
      <w:r w:rsidRPr="002F7431">
        <w:rPr>
          <w:rFonts w:ascii="Arial" w:hAnsi="Arial" w:cs="Arial"/>
          <w:i/>
          <w:sz w:val="20"/>
          <w:szCs w:val="20"/>
        </w:rPr>
        <w:t>cuprate</w:t>
      </w:r>
      <w:proofErr w:type="spellEnd"/>
      <w:r w:rsidRPr="002F7431">
        <w:rPr>
          <w:rFonts w:ascii="Arial" w:hAnsi="Arial" w:cs="Arial"/>
          <w:i/>
          <w:sz w:val="20"/>
          <w:szCs w:val="20"/>
        </w:rPr>
        <w:t xml:space="preserve"> families.</w:t>
      </w:r>
    </w:p>
    <w:p w14:paraId="5DBC7F10" w14:textId="77777777" w:rsidR="00C40ECA" w:rsidRPr="002F7431" w:rsidRDefault="00C40ECA" w:rsidP="002F7431">
      <w:pPr>
        <w:pStyle w:val="NormalWeb"/>
        <w:jc w:val="both"/>
        <w:rPr>
          <w:rFonts w:ascii="Arial" w:hAnsi="Arial" w:cs="Arial"/>
          <w:sz w:val="22"/>
          <w:szCs w:val="22"/>
        </w:rPr>
      </w:pPr>
      <w:r w:rsidRPr="002F7431">
        <w:rPr>
          <w:rFonts w:ascii="Arial" w:hAnsi="Arial" w:cs="Arial"/>
          <w:b/>
          <w:bCs/>
          <w:sz w:val="22"/>
          <w:szCs w:val="22"/>
        </w:rPr>
        <w:t xml:space="preserve">5.0 </w:t>
      </w:r>
      <w:r w:rsidRPr="002F7431">
        <w:rPr>
          <w:rFonts w:ascii="Arial" w:hAnsi="Arial" w:cs="Arial"/>
          <w:b/>
          <w:sz w:val="22"/>
          <w:szCs w:val="22"/>
        </w:rPr>
        <w:t>THEORETICAL FRAMEWORKS OF THE PSEUDOGAP PHASE</w:t>
      </w:r>
    </w:p>
    <w:p w14:paraId="23636AD2"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Three principal frameworks address PG physics: quantum criticality, strong correlations rooted in Mott physics, and intertwined electronic orders. Rather than being mutually exclusive, each emphasizes complemen</w:t>
      </w:r>
      <w:r w:rsidR="009F7F1A">
        <w:rPr>
          <w:rFonts w:ascii="Arial" w:eastAsia="Times New Roman" w:hAnsi="Arial" w:cs="Arial"/>
          <w:sz w:val="20"/>
          <w:szCs w:val="20"/>
        </w:rPr>
        <w:t xml:space="preserve">tary aspects of the phenomenon </w:t>
      </w:r>
      <w:r w:rsidR="0073327A">
        <w:rPr>
          <w:rFonts w:ascii="Arial" w:eastAsia="Times New Roman" w:hAnsi="Arial" w:cs="Arial"/>
          <w:sz w:val="20"/>
          <w:szCs w:val="20"/>
        </w:rPr>
        <w:t>[48]</w:t>
      </w:r>
      <w:r w:rsidRPr="002F7431">
        <w:rPr>
          <w:rFonts w:ascii="Arial" w:eastAsia="Times New Roman" w:hAnsi="Arial" w:cs="Arial"/>
          <w:sz w:val="20"/>
          <w:szCs w:val="20"/>
        </w:rPr>
        <w:t xml:space="preserve">; </w:t>
      </w:r>
      <w:r w:rsidR="00D36826">
        <w:rPr>
          <w:rFonts w:ascii="Arial" w:eastAsia="Times New Roman" w:hAnsi="Arial" w:cs="Arial"/>
          <w:sz w:val="20"/>
          <w:szCs w:val="20"/>
        </w:rPr>
        <w:t>[9]</w:t>
      </w:r>
      <w:r w:rsidRPr="002F7431">
        <w:rPr>
          <w:rFonts w:ascii="Arial" w:eastAsia="Times New Roman" w:hAnsi="Arial" w:cs="Arial"/>
          <w:sz w:val="20"/>
          <w:szCs w:val="20"/>
        </w:rPr>
        <w:t>.</w:t>
      </w:r>
    </w:p>
    <w:p w14:paraId="3805C43E" w14:textId="77777777" w:rsidR="00C40ECA" w:rsidRPr="002F7431" w:rsidRDefault="00C40ECA" w:rsidP="002F7431">
      <w:pPr>
        <w:pStyle w:val="Heading3"/>
        <w:jc w:val="both"/>
        <w:rPr>
          <w:rFonts w:ascii="Arial" w:hAnsi="Arial" w:cs="Arial"/>
          <w:sz w:val="22"/>
          <w:szCs w:val="22"/>
        </w:rPr>
      </w:pPr>
      <w:r w:rsidRPr="002F7431">
        <w:rPr>
          <w:rStyle w:val="Strong"/>
          <w:rFonts w:ascii="Arial" w:hAnsi="Arial" w:cs="Arial"/>
          <w:b/>
          <w:bCs/>
          <w:sz w:val="22"/>
          <w:szCs w:val="22"/>
        </w:rPr>
        <w:t>5.1 QUANTUM CRITICALITY FRAMEWORK</w:t>
      </w:r>
    </w:p>
    <w:p w14:paraId="50466314"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lastRenderedPageBreak/>
        <w:t xml:space="preserve">The PG endpoint,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Pr="002F7431">
        <w:rPr>
          <w:rFonts w:ascii="Arial" w:eastAsia="Times New Roman" w:hAnsi="Arial" w:cs="Arial"/>
          <w:i/>
          <w:iCs/>
          <w:sz w:val="20"/>
          <w:szCs w:val="20"/>
        </w:rPr>
        <w:t xml:space="preserve">, </w:t>
      </w:r>
      <w:r w:rsidRPr="002F7431">
        <w:rPr>
          <w:rFonts w:ascii="Arial" w:eastAsia="Times New Roman" w:hAnsi="Arial" w:cs="Arial"/>
          <w:iCs/>
          <w:sz w:val="20"/>
          <w:szCs w:val="20"/>
        </w:rPr>
        <w:t>is widely interpreted as a QCP, where transport, thermodynamic, and magnetic anomalies converge. Distinct non-Fermi liquid scaling, enhanced electronic specific heat, and suppression of AFM correlations all point to quantum critical behavior at</w:t>
      </w:r>
      <w:r w:rsidRPr="002F7431">
        <w:rPr>
          <w:rFonts w:ascii="Arial" w:eastAsia="Times New Roman" w:hAnsi="Arial" w:cs="Arial"/>
          <w:i/>
          <w:iCs/>
          <w:sz w:val="20"/>
          <w:szCs w:val="20"/>
        </w:rPr>
        <w:t xml:space="preserve">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009F7F1A">
        <w:rPr>
          <w:rFonts w:ascii="Arial" w:eastAsia="Times New Roman" w:hAnsi="Arial" w:cs="Arial"/>
          <w:sz w:val="20"/>
          <w:szCs w:val="20"/>
        </w:rPr>
        <w:t xml:space="preserve">  </w:t>
      </w:r>
      <w:r w:rsidR="00D36826">
        <w:rPr>
          <w:rFonts w:ascii="Arial" w:eastAsia="Times New Roman" w:hAnsi="Arial" w:cs="Arial"/>
          <w:sz w:val="20"/>
          <w:szCs w:val="20"/>
        </w:rPr>
        <w:t>[7]</w:t>
      </w:r>
      <w:r w:rsidR="009F7F1A">
        <w:rPr>
          <w:rFonts w:ascii="Arial" w:eastAsia="Times New Roman" w:hAnsi="Arial" w:cs="Arial"/>
          <w:sz w:val="20"/>
          <w:szCs w:val="20"/>
        </w:rPr>
        <w:t>;</w:t>
      </w:r>
      <w:r w:rsidR="009F7F1A" w:rsidRPr="009F7F1A">
        <w:rPr>
          <w:rFonts w:ascii="Arial" w:eastAsia="Times New Roman" w:hAnsi="Arial" w:cs="Arial"/>
          <w:sz w:val="20"/>
          <w:szCs w:val="20"/>
        </w:rPr>
        <w:t xml:space="preserve"> </w:t>
      </w:r>
      <w:r w:rsidR="009F7F1A">
        <w:rPr>
          <w:rFonts w:ascii="Arial" w:eastAsia="Times New Roman" w:hAnsi="Arial" w:cs="Arial"/>
          <w:sz w:val="20"/>
          <w:szCs w:val="20"/>
        </w:rPr>
        <w:t>[17]</w:t>
      </w:r>
      <w:r w:rsidRPr="002F7431">
        <w:rPr>
          <w:rFonts w:ascii="Arial" w:eastAsia="Times New Roman" w:hAnsi="Arial" w:cs="Arial"/>
          <w:sz w:val="20"/>
          <w:szCs w:val="20"/>
        </w:rPr>
        <w:t xml:space="preserve">; </w:t>
      </w:r>
      <w:r w:rsidR="00D36826">
        <w:rPr>
          <w:rFonts w:ascii="Arial" w:eastAsia="Times New Roman" w:hAnsi="Arial" w:cs="Arial"/>
          <w:sz w:val="20"/>
          <w:szCs w:val="20"/>
        </w:rPr>
        <w:t>[2]</w:t>
      </w:r>
      <w:r w:rsidRPr="002F7431">
        <w:rPr>
          <w:rFonts w:ascii="Arial" w:eastAsia="Times New Roman" w:hAnsi="Arial" w:cs="Arial"/>
          <w:sz w:val="20"/>
          <w:szCs w:val="20"/>
        </w:rPr>
        <w:t>. Experimentally, glassy AFM correlations vanish at critic</w:t>
      </w:r>
      <w:r w:rsidR="009F7F1A">
        <w:rPr>
          <w:rFonts w:ascii="Arial" w:eastAsia="Times New Roman" w:hAnsi="Arial" w:cs="Arial"/>
          <w:sz w:val="20"/>
          <w:szCs w:val="20"/>
        </w:rPr>
        <w:t>al doping [17]</w:t>
      </w:r>
      <w:r w:rsidRPr="002F7431">
        <w:rPr>
          <w:rFonts w:ascii="Arial" w:eastAsia="Times New Roman" w:hAnsi="Arial" w:cs="Arial"/>
          <w:sz w:val="20"/>
          <w:szCs w:val="20"/>
        </w:rPr>
        <w:t xml:space="preserve">, the electronic specific heat coefficient dramatically peaks, and resistivity deviates from Fermi-liquid expectations </w:t>
      </w:r>
      <w:r w:rsidR="00EF0D5C">
        <w:rPr>
          <w:rFonts w:ascii="Arial" w:eastAsia="Times New Roman" w:hAnsi="Arial" w:cs="Arial"/>
          <w:sz w:val="20"/>
          <w:szCs w:val="20"/>
        </w:rPr>
        <w:t>[2]</w:t>
      </w:r>
      <w:r w:rsidRPr="002F7431">
        <w:rPr>
          <w:rFonts w:ascii="Arial" w:eastAsia="Times New Roman" w:hAnsi="Arial" w:cs="Arial"/>
          <w:sz w:val="20"/>
          <w:szCs w:val="20"/>
        </w:rPr>
        <w:t>. The collapse of the PG thus coincides with intensified spin fluctuations and thermodynamic anomalies, linking magnetism directly to superconductin</w:t>
      </w:r>
      <w:r w:rsidR="009F7F1A">
        <w:rPr>
          <w:rFonts w:ascii="Arial" w:eastAsia="Times New Roman" w:hAnsi="Arial" w:cs="Arial"/>
          <w:sz w:val="20"/>
          <w:szCs w:val="20"/>
        </w:rPr>
        <w:t xml:space="preserve">g optimization </w:t>
      </w:r>
      <w:r w:rsidR="00D36826">
        <w:rPr>
          <w:rFonts w:ascii="Arial" w:eastAsia="Times New Roman" w:hAnsi="Arial" w:cs="Arial"/>
          <w:sz w:val="20"/>
          <w:szCs w:val="20"/>
        </w:rPr>
        <w:t>[10]</w:t>
      </w:r>
      <w:r w:rsidRPr="002F7431">
        <w:rPr>
          <w:rFonts w:ascii="Arial" w:eastAsia="Times New Roman" w:hAnsi="Arial" w:cs="Arial"/>
          <w:sz w:val="20"/>
          <w:szCs w:val="20"/>
        </w:rPr>
        <w:t>.</w:t>
      </w:r>
    </w:p>
    <w:p w14:paraId="3753C6F7"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Across multiple </w:t>
      </w:r>
      <w:proofErr w:type="spellStart"/>
      <w:r w:rsidRPr="002F7431">
        <w:rPr>
          <w:rFonts w:ascii="Arial" w:eastAsia="Times New Roman" w:hAnsi="Arial" w:cs="Arial"/>
          <w:sz w:val="20"/>
          <w:szCs w:val="20"/>
        </w:rPr>
        <w:t>cuprate</w:t>
      </w:r>
      <w:proofErr w:type="spellEnd"/>
      <w:r w:rsidRPr="002F7431">
        <w:rPr>
          <w:rFonts w:ascii="Arial" w:eastAsia="Times New Roman" w:hAnsi="Arial" w:cs="Arial"/>
          <w:sz w:val="20"/>
          <w:szCs w:val="20"/>
        </w:rPr>
        <w:t xml:space="preserve"> families, the critical doping for these anomalies is strikingly consistent, suggesting a universal quantum critical framework governs PG termination (</w:t>
      </w:r>
      <w:r w:rsidR="00D36826">
        <w:rPr>
          <w:rFonts w:ascii="Arial" w:eastAsia="Times New Roman" w:hAnsi="Arial" w:cs="Arial"/>
          <w:sz w:val="20"/>
          <w:szCs w:val="20"/>
        </w:rPr>
        <w:t>[7]</w:t>
      </w:r>
      <w:r w:rsidR="009F7F1A">
        <w:rPr>
          <w:rFonts w:ascii="Arial" w:eastAsia="Times New Roman" w:hAnsi="Arial" w:cs="Arial"/>
          <w:sz w:val="20"/>
          <w:szCs w:val="20"/>
        </w:rPr>
        <w:t>;</w:t>
      </w:r>
      <w:r w:rsidR="009F7F1A" w:rsidRPr="009F7F1A">
        <w:rPr>
          <w:rFonts w:ascii="Arial" w:eastAsia="Times New Roman" w:hAnsi="Arial" w:cs="Arial"/>
          <w:sz w:val="20"/>
          <w:szCs w:val="20"/>
        </w:rPr>
        <w:t xml:space="preserve"> </w:t>
      </w:r>
      <w:r w:rsidR="009F7F1A">
        <w:rPr>
          <w:rFonts w:ascii="Arial" w:eastAsia="Times New Roman" w:hAnsi="Arial" w:cs="Arial"/>
          <w:sz w:val="20"/>
          <w:szCs w:val="20"/>
        </w:rPr>
        <w:t>[17]</w:t>
      </w:r>
      <w:r w:rsidRPr="002F7431">
        <w:rPr>
          <w:rFonts w:ascii="Arial" w:eastAsia="Times New Roman" w:hAnsi="Arial" w:cs="Arial"/>
          <w:sz w:val="20"/>
          <w:szCs w:val="20"/>
        </w:rPr>
        <w:t>. At the QCP, electronic orders and quasiparticle coherence collapse, separating the PG regime from the Fermi-liquid state.</w:t>
      </w:r>
    </w:p>
    <w:p w14:paraId="2404BD43"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 unifying perspective is provided by local–itinerant duality: electrons exhibit both localized magnetic moments and itinerant charge character </w:t>
      </w:r>
      <w:r w:rsidR="00EF0D5C">
        <w:rPr>
          <w:rFonts w:ascii="Arial" w:eastAsia="Times New Roman" w:hAnsi="Arial" w:cs="Arial"/>
          <w:sz w:val="20"/>
          <w:szCs w:val="20"/>
        </w:rPr>
        <w:t>[2]</w:t>
      </w:r>
      <w:r w:rsidRPr="002F7431">
        <w:rPr>
          <w:rFonts w:ascii="Arial" w:eastAsia="Times New Roman" w:hAnsi="Arial" w:cs="Arial"/>
          <w:sz w:val="20"/>
          <w:szCs w:val="20"/>
        </w:rPr>
        <w:t xml:space="preserve">. Spin-fermion and marginal Fermi liquid models capture this duality, reproducing strange-metal transport and effective mass enhancement near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Pr="002F7431">
        <w:rPr>
          <w:rFonts w:ascii="Arial" w:eastAsia="Times New Roman" w:hAnsi="Arial" w:cs="Arial"/>
          <w:sz w:val="20"/>
          <w:szCs w:val="20"/>
        </w:rPr>
        <w:t xml:space="preserve"> </w:t>
      </w:r>
      <w:r w:rsidR="0073327A">
        <w:rPr>
          <w:rFonts w:ascii="Arial" w:eastAsia="Times New Roman" w:hAnsi="Arial" w:cs="Arial"/>
          <w:sz w:val="20"/>
          <w:szCs w:val="20"/>
        </w:rPr>
        <w:t>[49</w:t>
      </w:r>
      <w:proofErr w:type="gramStart"/>
      <w:r w:rsidR="0073327A">
        <w:rPr>
          <w:rFonts w:ascii="Arial" w:eastAsia="Times New Roman" w:hAnsi="Arial" w:cs="Arial"/>
          <w:sz w:val="20"/>
          <w:szCs w:val="20"/>
        </w:rPr>
        <w:t>]</w:t>
      </w:r>
      <w:r w:rsidR="009F7F1A">
        <w:rPr>
          <w:rFonts w:ascii="Arial" w:eastAsia="Times New Roman" w:hAnsi="Arial" w:cs="Arial"/>
          <w:sz w:val="20"/>
          <w:szCs w:val="20"/>
        </w:rPr>
        <w:t>;</w:t>
      </w:r>
      <w:r w:rsidR="0073327A">
        <w:rPr>
          <w:rFonts w:ascii="Arial" w:eastAsia="Times New Roman" w:hAnsi="Arial" w:cs="Arial"/>
          <w:sz w:val="20"/>
          <w:szCs w:val="20"/>
        </w:rPr>
        <w:t>[</w:t>
      </w:r>
      <w:proofErr w:type="gramEnd"/>
      <w:r w:rsidR="0073327A">
        <w:rPr>
          <w:rFonts w:ascii="Arial" w:eastAsia="Times New Roman" w:hAnsi="Arial" w:cs="Arial"/>
          <w:sz w:val="20"/>
          <w:szCs w:val="20"/>
        </w:rPr>
        <w:t>50]</w:t>
      </w:r>
      <w:r w:rsidR="009F7F1A">
        <w:rPr>
          <w:rFonts w:ascii="Arial" w:eastAsia="Times New Roman" w:hAnsi="Arial" w:cs="Arial"/>
          <w:sz w:val="20"/>
          <w:szCs w:val="20"/>
        </w:rPr>
        <w:t>;</w:t>
      </w:r>
      <w:r w:rsidR="0073327A">
        <w:rPr>
          <w:rFonts w:ascii="Arial" w:eastAsia="Times New Roman" w:hAnsi="Arial" w:cs="Arial"/>
          <w:sz w:val="20"/>
          <w:szCs w:val="20"/>
        </w:rPr>
        <w:t>[51]</w:t>
      </w:r>
      <w:r w:rsidRPr="002F7431">
        <w:rPr>
          <w:rFonts w:ascii="Arial" w:eastAsia="Times New Roman" w:hAnsi="Arial" w:cs="Arial"/>
          <w:sz w:val="20"/>
          <w:szCs w:val="20"/>
        </w:rPr>
        <w:t xml:space="preserve">. This framework explains why quasiparticle coherence is reduced while critical fluctuations peak, reinforcing the QCP as central to </w:t>
      </w:r>
      <w:proofErr w:type="spellStart"/>
      <w:r w:rsidRPr="002F7431">
        <w:rPr>
          <w:rFonts w:ascii="Arial" w:eastAsia="Times New Roman" w:hAnsi="Arial" w:cs="Arial"/>
          <w:sz w:val="20"/>
          <w:szCs w:val="20"/>
        </w:rPr>
        <w:t>cuprate</w:t>
      </w:r>
      <w:proofErr w:type="spellEnd"/>
      <w:r w:rsidRPr="002F7431">
        <w:rPr>
          <w:rFonts w:ascii="Arial" w:eastAsia="Times New Roman" w:hAnsi="Arial" w:cs="Arial"/>
          <w:sz w:val="20"/>
          <w:szCs w:val="20"/>
        </w:rPr>
        <w:t xml:space="preserve"> physics</w:t>
      </w:r>
    </w:p>
    <w:p w14:paraId="64DD6A69" w14:textId="77777777" w:rsidR="00C40ECA" w:rsidRPr="002F7431" w:rsidRDefault="00C40ECA" w:rsidP="00C40ECA">
      <w:pPr>
        <w:pStyle w:val="NormalWeb"/>
        <w:rPr>
          <w:rFonts w:ascii="Arial" w:hAnsi="Arial" w:cs="Arial"/>
          <w:b/>
          <w:sz w:val="22"/>
          <w:szCs w:val="22"/>
        </w:rPr>
      </w:pPr>
      <w:r w:rsidRPr="002F7431">
        <w:rPr>
          <w:rFonts w:ascii="Arial" w:hAnsi="Arial" w:cs="Arial"/>
          <w:b/>
          <w:sz w:val="22"/>
          <w:szCs w:val="22"/>
        </w:rPr>
        <w:t>5.2 STRONG CORRELATION (MOTT) FRAMEWORK</w:t>
      </w:r>
    </w:p>
    <w:p w14:paraId="1D482B64"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The PG arises from proximity to a </w:t>
      </w:r>
      <w:r w:rsidRPr="002F7431">
        <w:rPr>
          <w:rFonts w:ascii="Arial" w:eastAsia="Times New Roman" w:hAnsi="Arial" w:cs="Arial"/>
          <w:bCs/>
          <w:sz w:val="20"/>
          <w:szCs w:val="20"/>
        </w:rPr>
        <w:t>Mott insulating phase</w:t>
      </w:r>
      <w:r w:rsidRPr="002F7431">
        <w:rPr>
          <w:rFonts w:ascii="Arial" w:eastAsia="Times New Roman" w:hAnsi="Arial" w:cs="Arial"/>
          <w:sz w:val="20"/>
          <w:szCs w:val="20"/>
        </w:rPr>
        <w:t xml:space="preserve">, where strong electron interactions lead to </w:t>
      </w:r>
      <w:r w:rsidRPr="002F7431">
        <w:rPr>
          <w:rFonts w:ascii="Arial" w:eastAsia="Times New Roman" w:hAnsi="Arial" w:cs="Arial"/>
          <w:bCs/>
          <w:sz w:val="20"/>
          <w:szCs w:val="20"/>
        </w:rPr>
        <w:t xml:space="preserve">fractionalization into </w:t>
      </w:r>
      <w:proofErr w:type="spellStart"/>
      <w:r w:rsidRPr="002F7431">
        <w:rPr>
          <w:rFonts w:ascii="Arial" w:eastAsia="Times New Roman" w:hAnsi="Arial" w:cs="Arial"/>
          <w:bCs/>
          <w:sz w:val="20"/>
          <w:szCs w:val="20"/>
        </w:rPr>
        <w:t>spinons</w:t>
      </w:r>
      <w:proofErr w:type="spellEnd"/>
      <w:r w:rsidRPr="002F7431">
        <w:rPr>
          <w:rFonts w:ascii="Arial" w:eastAsia="Times New Roman" w:hAnsi="Arial" w:cs="Arial"/>
          <w:bCs/>
          <w:sz w:val="20"/>
          <w:szCs w:val="20"/>
        </w:rPr>
        <w:t xml:space="preserve"> and </w:t>
      </w:r>
      <w:proofErr w:type="spellStart"/>
      <w:r w:rsidRPr="002F7431">
        <w:rPr>
          <w:rFonts w:ascii="Arial" w:eastAsia="Times New Roman" w:hAnsi="Arial" w:cs="Arial"/>
          <w:bCs/>
          <w:sz w:val="20"/>
          <w:szCs w:val="20"/>
        </w:rPr>
        <w:t>holons</w:t>
      </w:r>
      <w:proofErr w:type="spellEnd"/>
      <w:r w:rsidRPr="002F7431">
        <w:rPr>
          <w:rFonts w:ascii="Arial" w:eastAsia="Times New Roman" w:hAnsi="Arial" w:cs="Arial"/>
          <w:sz w:val="20"/>
          <w:szCs w:val="20"/>
        </w:rPr>
        <w:t>, producing mo</w:t>
      </w:r>
      <w:r w:rsidR="004572DE">
        <w:rPr>
          <w:rFonts w:ascii="Arial" w:eastAsia="Times New Roman" w:hAnsi="Arial" w:cs="Arial"/>
          <w:sz w:val="20"/>
          <w:szCs w:val="20"/>
        </w:rPr>
        <w:t xml:space="preserve">mentum-dependent spectral gaps </w:t>
      </w:r>
      <w:r w:rsidR="0073327A">
        <w:rPr>
          <w:rFonts w:ascii="Arial" w:hAnsi="Arial" w:cs="Arial"/>
          <w:sz w:val="20"/>
          <w:szCs w:val="20"/>
        </w:rPr>
        <w:t>[52</w:t>
      </w:r>
      <w:proofErr w:type="gramStart"/>
      <w:r w:rsidR="0073327A">
        <w:rPr>
          <w:rFonts w:ascii="Arial" w:hAnsi="Arial" w:cs="Arial"/>
          <w:sz w:val="20"/>
          <w:szCs w:val="20"/>
        </w:rPr>
        <w:t>]</w:t>
      </w:r>
      <w:r w:rsidR="004572DE">
        <w:rPr>
          <w:rFonts w:ascii="Arial" w:hAnsi="Arial" w:cs="Arial"/>
          <w:sz w:val="20"/>
          <w:szCs w:val="20"/>
        </w:rPr>
        <w:t>;</w:t>
      </w:r>
      <w:r w:rsidR="00D36826">
        <w:rPr>
          <w:rFonts w:ascii="Arial" w:eastAsia="Times New Roman" w:hAnsi="Arial" w:cs="Arial"/>
          <w:sz w:val="20"/>
          <w:szCs w:val="20"/>
        </w:rPr>
        <w:t>[</w:t>
      </w:r>
      <w:proofErr w:type="gramEnd"/>
      <w:r w:rsidR="00D36826">
        <w:rPr>
          <w:rFonts w:ascii="Arial" w:eastAsia="Times New Roman" w:hAnsi="Arial" w:cs="Arial"/>
          <w:sz w:val="20"/>
          <w:szCs w:val="20"/>
        </w:rPr>
        <w:t>18]</w:t>
      </w:r>
      <w:r w:rsidR="00D64137" w:rsidRPr="002F7431">
        <w:rPr>
          <w:rFonts w:ascii="Arial" w:eastAsia="Times New Roman" w:hAnsi="Arial" w:cs="Arial"/>
          <w:sz w:val="20"/>
          <w:szCs w:val="20"/>
        </w:rPr>
        <w:t xml:space="preserve">. </w:t>
      </w:r>
      <w:r w:rsidRPr="002F7431">
        <w:rPr>
          <w:rFonts w:ascii="Arial" w:eastAsia="Times New Roman" w:hAnsi="Arial" w:cs="Arial"/>
          <w:bCs/>
          <w:sz w:val="20"/>
          <w:szCs w:val="20"/>
        </w:rPr>
        <w:t>Cluster DMFT and three-band calculations reproduce correlation-driven spectral weight suppression and in-gap states without long-range order, consistent with ARPES</w:t>
      </w:r>
      <w:r w:rsidR="004572DE">
        <w:rPr>
          <w:rFonts w:ascii="Arial" w:eastAsia="Times New Roman" w:hAnsi="Arial" w:cs="Arial"/>
          <w:sz w:val="20"/>
          <w:szCs w:val="20"/>
        </w:rPr>
        <w:t xml:space="preserve"> </w:t>
      </w:r>
      <w:r w:rsidR="0073327A">
        <w:rPr>
          <w:rFonts w:ascii="Arial" w:eastAsia="Times New Roman" w:hAnsi="Arial" w:cs="Arial"/>
          <w:sz w:val="20"/>
          <w:szCs w:val="20"/>
        </w:rPr>
        <w:t>[53</w:t>
      </w:r>
      <w:proofErr w:type="gramStart"/>
      <w:r w:rsidR="0073327A">
        <w:rPr>
          <w:rFonts w:ascii="Arial" w:eastAsia="Times New Roman" w:hAnsi="Arial" w:cs="Arial"/>
          <w:sz w:val="20"/>
          <w:szCs w:val="20"/>
        </w:rPr>
        <w:t>]</w:t>
      </w:r>
      <w:r w:rsidR="004572DE">
        <w:rPr>
          <w:rFonts w:ascii="Arial" w:eastAsia="Times New Roman" w:hAnsi="Arial" w:cs="Arial"/>
          <w:sz w:val="20"/>
          <w:szCs w:val="20"/>
        </w:rPr>
        <w:t>;</w:t>
      </w:r>
      <w:r w:rsidR="0073327A">
        <w:rPr>
          <w:rFonts w:ascii="Arial" w:eastAsia="Times New Roman" w:hAnsi="Arial" w:cs="Arial"/>
          <w:sz w:val="20"/>
          <w:szCs w:val="20"/>
        </w:rPr>
        <w:t>[</w:t>
      </w:r>
      <w:proofErr w:type="gramEnd"/>
      <w:r w:rsidR="0073327A">
        <w:rPr>
          <w:rFonts w:ascii="Arial" w:eastAsia="Times New Roman" w:hAnsi="Arial" w:cs="Arial"/>
          <w:sz w:val="20"/>
          <w:szCs w:val="20"/>
        </w:rPr>
        <w:t>54]</w:t>
      </w:r>
      <w:r w:rsidR="004572DE">
        <w:rPr>
          <w:rFonts w:ascii="Arial" w:eastAsia="Times New Roman" w:hAnsi="Arial" w:cs="Arial"/>
          <w:sz w:val="20"/>
          <w:szCs w:val="20"/>
        </w:rPr>
        <w:t>;</w:t>
      </w:r>
      <w:r w:rsidR="0073327A">
        <w:rPr>
          <w:rFonts w:ascii="Arial" w:eastAsia="Times New Roman" w:hAnsi="Arial" w:cs="Arial"/>
          <w:sz w:val="20"/>
          <w:szCs w:val="20"/>
        </w:rPr>
        <w:t>[55]</w:t>
      </w:r>
      <w:r w:rsidRPr="002F7431">
        <w:rPr>
          <w:rFonts w:ascii="Arial" w:eastAsia="Times New Roman" w:hAnsi="Arial" w:cs="Arial"/>
          <w:sz w:val="20"/>
          <w:szCs w:val="20"/>
        </w:rPr>
        <w:t xml:space="preserve">. Strong electronic correlations generate momentum and frequency dependent self-energies. Within the </w:t>
      </w:r>
      <w:proofErr w:type="spellStart"/>
      <w:r w:rsidRPr="002F7431">
        <w:rPr>
          <w:rFonts w:ascii="Arial" w:eastAsia="Times New Roman" w:hAnsi="Arial" w:cs="Arial"/>
          <w:sz w:val="20"/>
          <w:szCs w:val="20"/>
        </w:rPr>
        <w:t>Eliashberg</w:t>
      </w:r>
      <w:proofErr w:type="spellEnd"/>
      <w:r w:rsidRPr="002F7431">
        <w:rPr>
          <w:rFonts w:ascii="Arial" w:eastAsia="Times New Roman" w:hAnsi="Arial" w:cs="Arial"/>
          <w:sz w:val="20"/>
          <w:szCs w:val="20"/>
        </w:rPr>
        <w:t xml:space="preserve"> framework, electron-boson coupling produces: </w:t>
      </w:r>
    </w:p>
    <w:p w14:paraId="74B56EB8" w14:textId="77777777" w:rsidR="00C40ECA" w:rsidRPr="002F7431" w:rsidRDefault="00E334FE" w:rsidP="002F7431">
      <w:pPr>
        <w:spacing w:before="100" w:beforeAutospacing="1" w:after="100" w:afterAutospacing="1" w:line="240" w:lineRule="auto"/>
        <w:jc w:val="both"/>
        <w:rPr>
          <w:rFonts w:ascii="Arial" w:eastAsia="Times New Roman" w:hAnsi="Arial" w:cs="Arial"/>
          <w:sz w:val="20"/>
          <w:szCs w:val="20"/>
        </w:rPr>
      </w:pPr>
      <m:oMathPara>
        <m:oMath>
          <m:nary>
            <m:naryPr>
              <m:chr m:val="∑"/>
              <m:limLoc m:val="undOvr"/>
              <m:subHide m:val="1"/>
              <m:supHide m:val="1"/>
              <m:ctrlPr>
                <w:rPr>
                  <w:rFonts w:ascii="Cambria Math" w:eastAsia="Times New Roman" w:hAnsi="Arial" w:cs="Arial"/>
                  <w:i/>
                  <w:sz w:val="20"/>
                  <w:szCs w:val="20"/>
                </w:rPr>
              </m:ctrlPr>
            </m:naryPr>
            <m:sub/>
            <m:sup/>
            <m:e>
              <m:d>
                <m:dPr>
                  <m:ctrlPr>
                    <w:rPr>
                      <w:rFonts w:ascii="Cambria Math" w:eastAsia="Times New Roman" w:hAnsi="Arial" w:cs="Arial"/>
                      <w:i/>
                      <w:sz w:val="20"/>
                      <w:szCs w:val="20"/>
                    </w:rPr>
                  </m:ctrlPr>
                </m:dPr>
                <m:e>
                  <m:r>
                    <m:rPr>
                      <m:sty m:val="bi"/>
                    </m:rPr>
                    <w:rPr>
                      <w:rFonts w:ascii="Cambria Math" w:eastAsia="Times New Roman" w:hAnsi="Cambria Math" w:cs="Arial"/>
                      <w:sz w:val="20"/>
                      <w:szCs w:val="20"/>
                    </w:rPr>
                    <m:t>k</m:t>
                  </m:r>
                  <m:r>
                    <w:rPr>
                      <w:rFonts w:ascii="Cambria Math" w:eastAsia="Times New Roman" w:hAnsi="Arial" w:cs="Arial"/>
                      <w:sz w:val="20"/>
                      <w:szCs w:val="20"/>
                    </w:rPr>
                    <m:t>,</m:t>
                  </m:r>
                  <m:r>
                    <w:rPr>
                      <w:rFonts w:ascii="Cambria Math" w:eastAsia="Times New Roman" w:hAnsi="Cambria Math" w:cs="Arial"/>
                      <w:sz w:val="20"/>
                      <w:szCs w:val="20"/>
                    </w:rPr>
                    <m:t>ω</m:t>
                  </m:r>
                </m:e>
              </m:d>
              <m:r>
                <w:rPr>
                  <w:rFonts w:ascii="Cambria Math" w:eastAsia="Times New Roman" w:hAnsi="Arial" w:cs="Arial"/>
                  <w:sz w:val="20"/>
                  <w:szCs w:val="20"/>
                </w:rPr>
                <m:t>=</m:t>
              </m:r>
              <m:nary>
                <m:naryPr>
                  <m:limLoc m:val="subSup"/>
                  <m:ctrlPr>
                    <w:rPr>
                      <w:rFonts w:ascii="Cambria Math" w:eastAsia="Times New Roman" w:hAnsi="Arial" w:cs="Arial"/>
                      <w:i/>
                      <w:sz w:val="20"/>
                      <w:szCs w:val="20"/>
                    </w:rPr>
                  </m:ctrlPr>
                </m:naryPr>
                <m:sub>
                  <m:r>
                    <w:rPr>
                      <w:rFonts w:ascii="Cambria Math" w:eastAsia="Times New Roman" w:hAnsi="Arial" w:cs="Arial"/>
                      <w:sz w:val="20"/>
                      <w:szCs w:val="20"/>
                    </w:rPr>
                    <m:t>0</m:t>
                  </m:r>
                </m:sub>
                <m:sup>
                  <m:r>
                    <w:rPr>
                      <w:rFonts w:ascii="Cambria Math" w:eastAsia="Times New Roman" w:hAnsi="Arial" w:cs="Arial"/>
                      <w:sz w:val="20"/>
                      <w:szCs w:val="20"/>
                    </w:rPr>
                    <m:t>∞</m:t>
                  </m:r>
                </m:sup>
                <m:e>
                  <m:r>
                    <w:rPr>
                      <w:rFonts w:ascii="Cambria Math" w:eastAsia="Times New Roman" w:hAnsi="Cambria Math" w:cs="Arial"/>
                      <w:sz w:val="20"/>
                      <w:szCs w:val="20"/>
                    </w:rPr>
                    <m:t>d</m:t>
                  </m:r>
                  <m:r>
                    <m:rPr>
                      <m:sty m:val="p"/>
                    </m:rPr>
                    <w:rPr>
                      <w:rFonts w:ascii="Cambria Math" w:eastAsia="Times New Roman" w:hAnsi="Arial" w:cs="Arial"/>
                      <w:sz w:val="20"/>
                      <w:szCs w:val="20"/>
                    </w:rPr>
                    <m:t>Ω</m:t>
                  </m:r>
                  <m:f>
                    <m:fPr>
                      <m:ctrlPr>
                        <w:rPr>
                          <w:rFonts w:ascii="Cambria Math" w:eastAsia="Times New Roman" w:hAnsi="Arial" w:cs="Arial"/>
                          <w:i/>
                          <w:sz w:val="20"/>
                          <w:szCs w:val="20"/>
                        </w:rPr>
                      </m:ctrlPr>
                    </m:fPr>
                    <m:num>
                      <m:sSup>
                        <m:sSupPr>
                          <m:ctrlPr>
                            <w:rPr>
                              <w:rFonts w:ascii="Cambria Math" w:eastAsia="Times New Roman" w:hAnsi="Arial" w:cs="Arial"/>
                              <w:i/>
                              <w:sz w:val="20"/>
                              <w:szCs w:val="20"/>
                            </w:rPr>
                          </m:ctrlPr>
                        </m:sSupPr>
                        <m:e>
                          <m:r>
                            <w:rPr>
                              <w:rFonts w:ascii="Cambria Math" w:eastAsia="Times New Roman" w:hAnsi="Cambria Math" w:cs="Arial"/>
                              <w:sz w:val="20"/>
                              <w:szCs w:val="20"/>
                            </w:rPr>
                            <m:t>α</m:t>
                          </m:r>
                        </m:e>
                        <m:sup>
                          <m:r>
                            <w:rPr>
                              <w:rFonts w:ascii="Cambria Math" w:eastAsia="Times New Roman" w:hAnsi="Arial" w:cs="Arial"/>
                              <w:sz w:val="20"/>
                              <w:szCs w:val="20"/>
                            </w:rPr>
                            <m:t>2</m:t>
                          </m:r>
                        </m:sup>
                      </m:sSup>
                      <m:r>
                        <w:rPr>
                          <w:rFonts w:ascii="Cambria Math" w:eastAsia="Times New Roman" w:hAnsi="Cambria Math" w:cs="Arial"/>
                          <w:sz w:val="20"/>
                          <w:szCs w:val="20"/>
                        </w:rPr>
                        <m:t>F</m:t>
                      </m:r>
                      <m:r>
                        <w:rPr>
                          <w:rFonts w:ascii="Cambria Math" w:eastAsia="Times New Roman" w:hAnsi="Arial" w:cs="Arial"/>
                          <w:sz w:val="20"/>
                          <w:szCs w:val="20"/>
                        </w:rPr>
                        <m:t>(</m:t>
                      </m:r>
                      <m:r>
                        <m:rPr>
                          <m:sty m:val="bi"/>
                        </m:rPr>
                        <w:rPr>
                          <w:rFonts w:ascii="Cambria Math" w:eastAsia="Times New Roman" w:hAnsi="Cambria Math" w:cs="Arial"/>
                          <w:sz w:val="20"/>
                          <w:szCs w:val="20"/>
                        </w:rPr>
                        <m:t>k</m:t>
                      </m:r>
                      <m:r>
                        <w:rPr>
                          <w:rFonts w:ascii="Cambria Math"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num>
                    <m:den>
                      <m:r>
                        <w:rPr>
                          <w:rFonts w:ascii="Cambria Math" w:eastAsia="Times New Roman" w:hAnsi="Cambria Math" w:cs="Arial"/>
                          <w:sz w:val="20"/>
                          <w:szCs w:val="20"/>
                        </w:rPr>
                        <m:t>ω</m:t>
                      </m:r>
                      <m:r>
                        <w:rPr>
                          <w:rFonts w:ascii="Arial"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sSup>
                        <m:sSupPr>
                          <m:ctrlPr>
                            <w:rPr>
                              <w:rFonts w:ascii="Cambria Math" w:eastAsia="Times New Roman" w:hAnsi="Arial" w:cs="Arial"/>
                              <w:i/>
                              <w:sz w:val="20"/>
                              <w:szCs w:val="20"/>
                            </w:rPr>
                          </m:ctrlPr>
                        </m:sSupPr>
                        <m:e>
                          <m:r>
                            <w:rPr>
                              <w:rFonts w:ascii="Cambria Math" w:eastAsia="Times New Roman" w:hAnsi="Cambria Math" w:cs="Arial"/>
                              <w:sz w:val="20"/>
                              <w:szCs w:val="20"/>
                            </w:rPr>
                            <m:t>i</m:t>
                          </m:r>
                          <m:r>
                            <w:rPr>
                              <w:rFonts w:ascii="Cambria Math" w:eastAsia="Times New Roman" w:hAnsi="Arial" w:cs="Arial"/>
                              <w:sz w:val="20"/>
                              <w:szCs w:val="20"/>
                            </w:rPr>
                            <m:t>0</m:t>
                          </m:r>
                        </m:e>
                        <m:sup>
                          <m:r>
                            <w:rPr>
                              <w:rFonts w:ascii="Cambria Math" w:eastAsia="Times New Roman" w:hAnsi="Arial" w:cs="Arial"/>
                              <w:sz w:val="20"/>
                              <w:szCs w:val="20"/>
                            </w:rPr>
                            <m:t>+</m:t>
                          </m:r>
                        </m:sup>
                      </m:sSup>
                    </m:den>
                  </m:f>
                  <m:r>
                    <w:rPr>
                      <w:rFonts w:ascii="Cambria Math" w:eastAsia="Times New Roman" w:hAnsi="Arial" w:cs="Arial"/>
                      <w:sz w:val="20"/>
                      <w:szCs w:val="20"/>
                    </w:rPr>
                    <m:t>+</m:t>
                  </m:r>
                  <m:r>
                    <w:rPr>
                      <w:rFonts w:ascii="Cambria Math" w:eastAsia="Times New Roman" w:hAnsi="Cambria Math" w:cs="Arial"/>
                      <w:sz w:val="20"/>
                      <w:szCs w:val="20"/>
                    </w:rPr>
                    <m:t>c</m:t>
                  </m:r>
                  <m:r>
                    <w:rPr>
                      <w:rFonts w:ascii="Cambria Math" w:eastAsia="Times New Roman" w:hAnsi="Arial" w:cs="Arial"/>
                      <w:sz w:val="20"/>
                      <w:szCs w:val="20"/>
                    </w:rPr>
                    <m:t>.</m:t>
                  </m:r>
                  <m:r>
                    <w:rPr>
                      <w:rFonts w:ascii="Cambria Math" w:eastAsia="Times New Roman" w:hAnsi="Cambria Math" w:cs="Arial"/>
                      <w:sz w:val="20"/>
                      <w:szCs w:val="20"/>
                    </w:rPr>
                    <m:t>c</m:t>
                  </m:r>
                  <m:r>
                    <w:rPr>
                      <w:rFonts w:ascii="Cambria Math" w:eastAsia="Times New Roman" w:hAnsi="Arial" w:cs="Arial"/>
                      <w:sz w:val="20"/>
                      <w:szCs w:val="20"/>
                    </w:rPr>
                    <m:t>.</m:t>
                  </m:r>
                </m:e>
              </m:nary>
            </m:e>
          </m:nary>
        </m:oMath>
      </m:oMathPara>
    </w:p>
    <w:p w14:paraId="6F658F6A"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For systems with dominant low-energy modes, this reduces to a pole approximation:</w:t>
      </w:r>
    </w:p>
    <w:p w14:paraId="263BB80A" w14:textId="77777777" w:rsidR="00C40ECA" w:rsidRPr="002F7431" w:rsidRDefault="00E334FE" w:rsidP="002F7431">
      <w:pPr>
        <w:spacing w:before="100" w:beforeAutospacing="1" w:after="100" w:afterAutospacing="1" w:line="240" w:lineRule="auto"/>
        <w:jc w:val="both"/>
        <w:rPr>
          <w:rFonts w:ascii="Arial" w:eastAsia="Times New Roman" w:hAnsi="Arial" w:cs="Arial"/>
          <w:sz w:val="20"/>
          <w:szCs w:val="20"/>
        </w:rPr>
      </w:pPr>
      <m:oMathPara>
        <m:oMath>
          <m:nary>
            <m:naryPr>
              <m:chr m:val="∑"/>
              <m:limLoc m:val="undOvr"/>
              <m:subHide m:val="1"/>
              <m:supHide m:val="1"/>
              <m:ctrlPr>
                <w:rPr>
                  <w:rFonts w:ascii="Cambria Math" w:eastAsia="Times New Roman" w:hAnsi="Arial" w:cs="Arial"/>
                  <w:i/>
                  <w:sz w:val="20"/>
                  <w:szCs w:val="20"/>
                </w:rPr>
              </m:ctrlPr>
            </m:naryPr>
            <m:sub/>
            <m:sup/>
            <m:e>
              <m:d>
                <m:dPr>
                  <m:ctrlPr>
                    <w:rPr>
                      <w:rFonts w:ascii="Cambria Math" w:eastAsia="Times New Roman" w:hAnsi="Arial" w:cs="Arial"/>
                      <w:i/>
                      <w:sz w:val="20"/>
                      <w:szCs w:val="20"/>
                    </w:rPr>
                  </m:ctrlPr>
                </m:dPr>
                <m:e>
                  <m:r>
                    <m:rPr>
                      <m:sty m:val="bi"/>
                    </m:rPr>
                    <w:rPr>
                      <w:rFonts w:ascii="Cambria Math" w:eastAsia="Times New Roman" w:hAnsi="Cambria Math" w:cs="Arial"/>
                      <w:sz w:val="20"/>
                      <w:szCs w:val="20"/>
                    </w:rPr>
                    <m:t>k</m:t>
                  </m:r>
                  <m:r>
                    <w:rPr>
                      <w:rFonts w:ascii="Cambria Math" w:eastAsia="Times New Roman" w:hAnsi="Arial" w:cs="Arial"/>
                      <w:sz w:val="20"/>
                      <w:szCs w:val="20"/>
                    </w:rPr>
                    <m:t>,</m:t>
                  </m:r>
                  <m:r>
                    <w:rPr>
                      <w:rFonts w:ascii="Cambria Math" w:eastAsia="Times New Roman" w:hAnsi="Cambria Math" w:cs="Arial"/>
                      <w:sz w:val="20"/>
                      <w:szCs w:val="20"/>
                    </w:rPr>
                    <m:t>ω</m:t>
                  </m:r>
                </m:e>
              </m:d>
              <m:r>
                <w:rPr>
                  <w:rFonts w:ascii="Cambria Math" w:eastAsia="Times New Roman" w:hAnsi="Arial" w:cs="Arial"/>
                  <w:sz w:val="20"/>
                  <w:szCs w:val="20"/>
                </w:rPr>
                <m:t>≈</m:t>
              </m:r>
              <m:f>
                <m:fPr>
                  <m:ctrlPr>
                    <w:rPr>
                      <w:rFonts w:ascii="Cambria Math" w:eastAsia="Times New Roman" w:hAnsi="Arial" w:cs="Arial"/>
                      <w:i/>
                      <w:sz w:val="20"/>
                      <w:szCs w:val="20"/>
                    </w:rPr>
                  </m:ctrlPr>
                </m:fPr>
                <m:num>
                  <m:sSubSup>
                    <m:sSubSupPr>
                      <m:ctrlPr>
                        <w:rPr>
                          <w:rFonts w:ascii="Cambria Math" w:eastAsia="Times New Roman" w:hAnsi="Arial" w:cs="Arial"/>
                          <w:i/>
                          <w:sz w:val="20"/>
                          <w:szCs w:val="20"/>
                        </w:rPr>
                      </m:ctrlPr>
                    </m:sSubSupPr>
                    <m:e>
                      <m:r>
                        <w:rPr>
                          <w:rFonts w:ascii="Cambria Math" w:eastAsia="Times New Roman" w:hAnsi="Cambria Math" w:cs="Arial"/>
                          <w:sz w:val="20"/>
                          <w:szCs w:val="20"/>
                        </w:rPr>
                        <m:t>g</m:t>
                      </m:r>
                    </m:e>
                    <m:sub>
                      <m:r>
                        <w:rPr>
                          <w:rFonts w:ascii="Cambria Math" w:eastAsia="Times New Roman" w:hAnsi="Cambria Math" w:cs="Arial"/>
                          <w:sz w:val="20"/>
                          <w:szCs w:val="20"/>
                        </w:rPr>
                        <m:t>k</m:t>
                      </m:r>
                    </m:sub>
                    <m:sup>
                      <m:r>
                        <w:rPr>
                          <w:rFonts w:ascii="Cambria Math" w:eastAsia="Times New Roman" w:hAnsi="Arial" w:cs="Arial"/>
                          <w:sz w:val="20"/>
                          <w:szCs w:val="20"/>
                        </w:rPr>
                        <m:t>2</m:t>
                      </m:r>
                    </m:sup>
                  </m:sSubSup>
                </m:num>
                <m:den>
                  <m:r>
                    <w:rPr>
                      <w:rFonts w:ascii="Cambria Math" w:eastAsia="Times New Roman" w:hAnsi="Cambria Math" w:cs="Arial"/>
                      <w:sz w:val="20"/>
                      <w:szCs w:val="20"/>
                    </w:rPr>
                    <m:t>ω</m:t>
                  </m:r>
                  <m:r>
                    <w:rPr>
                      <w:rFonts w:ascii="Cambria Math" w:eastAsia="Times New Roman" w:hAnsi="Arial" w:cs="Arial"/>
                      <w:sz w:val="20"/>
                      <w:szCs w:val="20"/>
                    </w:rPr>
                    <m:t>-</m:t>
                  </m:r>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Ω</m:t>
                      </m:r>
                    </m:e>
                    <m:sub>
                      <m:r>
                        <w:rPr>
                          <w:rFonts w:ascii="Cambria Math" w:eastAsia="Times New Roman" w:hAnsi="Cambria Math" w:cs="Arial"/>
                          <w:sz w:val="20"/>
                          <w:szCs w:val="20"/>
                        </w:rPr>
                        <m:t>k</m:t>
                      </m:r>
                    </m:sub>
                  </m:sSub>
                  <m:r>
                    <w:rPr>
                      <w:rFonts w:ascii="Cambria Math" w:eastAsia="Times New Roman" w:hAnsi="Arial" w:cs="Arial"/>
                      <w:sz w:val="20"/>
                      <w:szCs w:val="20"/>
                    </w:rPr>
                    <m:t>+</m:t>
                  </m:r>
                  <m:r>
                    <w:rPr>
                      <w:rFonts w:ascii="Cambria Math" w:eastAsia="Times New Roman" w:hAnsi="Cambria Math" w:cs="Arial"/>
                      <w:sz w:val="20"/>
                      <w:szCs w:val="20"/>
                    </w:rPr>
                    <m:t>i</m:t>
                  </m:r>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Γ</m:t>
                      </m:r>
                    </m:e>
                    <m:sub>
                      <m:r>
                        <w:rPr>
                          <w:rFonts w:ascii="Cambria Math" w:eastAsia="Times New Roman" w:hAnsi="Cambria Math" w:cs="Arial"/>
                          <w:sz w:val="20"/>
                          <w:szCs w:val="20"/>
                        </w:rPr>
                        <m:t>k</m:t>
                      </m:r>
                    </m:sub>
                  </m:sSub>
                </m:den>
              </m:f>
              <m:r>
                <w:rPr>
                  <w:rFonts w:ascii="Cambria Math" w:eastAsia="Times New Roman" w:hAnsi="Arial" w:cs="Arial"/>
                  <w:sz w:val="20"/>
                  <w:szCs w:val="20"/>
                </w:rPr>
                <m:t>+</m:t>
              </m:r>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Σ</m:t>
                  </m:r>
                </m:e>
                <m:sub>
                  <m:r>
                    <m:rPr>
                      <m:sty m:val="p"/>
                    </m:rPr>
                    <w:rPr>
                      <w:rFonts w:ascii="Cambria Math" w:eastAsia="Times New Roman" w:hAnsi="Arial" w:cs="Arial"/>
                      <w:sz w:val="20"/>
                      <w:szCs w:val="20"/>
                    </w:rPr>
                    <m:t>imp</m:t>
                  </m:r>
                </m:sub>
              </m:sSub>
            </m:e>
          </m:nary>
        </m:oMath>
      </m:oMathPara>
    </w:p>
    <w:p w14:paraId="5C102C13"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Where </w:t>
      </w:r>
      <m:oMath>
        <m:sSup>
          <m:sSupPr>
            <m:ctrlPr>
              <w:rPr>
                <w:rFonts w:ascii="Cambria Math" w:eastAsia="Times New Roman" w:hAnsi="Arial" w:cs="Arial"/>
                <w:i/>
                <w:sz w:val="20"/>
                <w:szCs w:val="20"/>
              </w:rPr>
            </m:ctrlPr>
          </m:sSupPr>
          <m:e>
            <m:r>
              <w:rPr>
                <w:rFonts w:ascii="Cambria Math" w:eastAsia="Times New Roman" w:hAnsi="Cambria Math" w:cs="Arial"/>
                <w:sz w:val="20"/>
                <w:szCs w:val="20"/>
              </w:rPr>
              <m:t>α</m:t>
            </m:r>
          </m:e>
          <m:sup>
            <m:r>
              <w:rPr>
                <w:rFonts w:ascii="Cambria Math" w:eastAsia="Times New Roman" w:hAnsi="Arial" w:cs="Arial"/>
                <w:sz w:val="20"/>
                <w:szCs w:val="20"/>
              </w:rPr>
              <m:t>2</m:t>
            </m:r>
          </m:sup>
        </m:sSup>
        <m:r>
          <w:rPr>
            <w:rFonts w:ascii="Cambria Math" w:eastAsia="Times New Roman" w:hAnsi="Cambria Math" w:cs="Arial"/>
            <w:sz w:val="20"/>
            <w:szCs w:val="20"/>
          </w:rPr>
          <m:t>F</m:t>
        </m:r>
        <m:r>
          <w:rPr>
            <w:rFonts w:ascii="Cambria Math" w:eastAsia="Times New Roman" w:hAnsi="Arial" w:cs="Arial"/>
            <w:sz w:val="20"/>
            <w:szCs w:val="20"/>
          </w:rPr>
          <m:t>(</m:t>
        </m:r>
        <m:r>
          <m:rPr>
            <m:sty m:val="bi"/>
          </m:rPr>
          <w:rPr>
            <w:rFonts w:ascii="Cambria Math" w:eastAsia="Times New Roman" w:hAnsi="Cambria Math" w:cs="Arial"/>
            <w:sz w:val="20"/>
            <w:szCs w:val="20"/>
          </w:rPr>
          <m:t>k</m:t>
        </m:r>
        <m:r>
          <w:rPr>
            <w:rFonts w:ascii="Cambria Math" w:eastAsia="Times New Roman" w:hAnsi="Arial" w:cs="Arial"/>
            <w:sz w:val="20"/>
            <w:szCs w:val="20"/>
          </w:rPr>
          <m:t>,</m:t>
        </m:r>
        <m:r>
          <m:rPr>
            <m:sty m:val="p"/>
          </m:rPr>
          <w:rPr>
            <w:rFonts w:ascii="Cambria Math" w:eastAsia="Times New Roman" w:hAnsi="Arial" w:cs="Arial"/>
            <w:sz w:val="20"/>
            <w:szCs w:val="20"/>
          </w:rPr>
          <m:t>Ω</m:t>
        </m:r>
        <m:r>
          <w:rPr>
            <w:rFonts w:ascii="Cambria Math" w:eastAsia="Times New Roman" w:hAnsi="Arial" w:cs="Arial"/>
            <w:sz w:val="20"/>
            <w:szCs w:val="20"/>
          </w:rPr>
          <m:t>)</m:t>
        </m:r>
      </m:oMath>
      <w:r w:rsidRPr="002F7431">
        <w:rPr>
          <w:rFonts w:ascii="Arial" w:eastAsia="Times New Roman" w:hAnsi="Arial" w:cs="Arial"/>
          <w:sz w:val="20"/>
          <w:szCs w:val="20"/>
        </w:rPr>
        <w:t xml:space="preserve"> represents the electron-boson spectral density, </w:t>
      </w:r>
      <m:oMath>
        <m:sSubSup>
          <m:sSubSupPr>
            <m:ctrlPr>
              <w:rPr>
                <w:rFonts w:ascii="Cambria Math" w:eastAsia="Times New Roman" w:hAnsi="Arial" w:cs="Arial"/>
                <w:i/>
                <w:sz w:val="20"/>
                <w:szCs w:val="20"/>
              </w:rPr>
            </m:ctrlPr>
          </m:sSubSupPr>
          <m:e>
            <m:r>
              <w:rPr>
                <w:rFonts w:ascii="Cambria Math" w:eastAsia="Times New Roman" w:hAnsi="Cambria Math" w:cs="Arial"/>
                <w:sz w:val="20"/>
                <w:szCs w:val="20"/>
              </w:rPr>
              <m:t>g</m:t>
            </m:r>
          </m:e>
          <m:sub>
            <m:r>
              <w:rPr>
                <w:rFonts w:ascii="Cambria Math" w:eastAsia="Times New Roman" w:hAnsi="Cambria Math" w:cs="Arial"/>
                <w:sz w:val="20"/>
                <w:szCs w:val="20"/>
              </w:rPr>
              <m:t>k</m:t>
            </m:r>
          </m:sub>
          <m:sup>
            <m:r>
              <w:rPr>
                <w:rFonts w:ascii="Cambria Math" w:eastAsia="Times New Roman" w:hAnsi="Arial" w:cs="Arial"/>
                <w:sz w:val="20"/>
                <w:szCs w:val="20"/>
              </w:rPr>
              <m:t>2</m:t>
            </m:r>
          </m:sup>
        </m:sSubSup>
      </m:oMath>
      <w:r w:rsidRPr="002F7431">
        <w:rPr>
          <w:rFonts w:ascii="Arial" w:eastAsia="Times New Roman" w:hAnsi="Arial" w:cs="Arial"/>
          <w:sz w:val="20"/>
          <w:szCs w:val="20"/>
        </w:rPr>
        <w:t xml:space="preserve"> denotes the momentum-dependent coupling strength, </w:t>
      </w:r>
      <m:oMath>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Ω</m:t>
            </m:r>
          </m:e>
          <m:sub>
            <m:r>
              <w:rPr>
                <w:rFonts w:ascii="Cambria Math" w:eastAsia="Times New Roman" w:hAnsi="Cambria Math" w:cs="Arial"/>
                <w:sz w:val="20"/>
                <w:szCs w:val="20"/>
              </w:rPr>
              <m:t>k</m:t>
            </m:r>
          </m:sub>
        </m:sSub>
      </m:oMath>
      <w:r w:rsidRPr="002F7431">
        <w:rPr>
          <w:rFonts w:ascii="Arial" w:eastAsia="Times New Roman" w:hAnsi="Arial" w:cs="Arial"/>
          <w:sz w:val="20"/>
          <w:szCs w:val="20"/>
        </w:rPr>
        <w:t xml:space="preserve"> is the characteristic boson frequency, </w:t>
      </w:r>
      <m:oMath>
        <m:sSub>
          <m:sSubPr>
            <m:ctrlPr>
              <w:rPr>
                <w:rFonts w:ascii="Cambria Math" w:eastAsia="Times New Roman" w:hAnsi="Arial" w:cs="Arial"/>
                <w:i/>
                <w:sz w:val="20"/>
                <w:szCs w:val="20"/>
              </w:rPr>
            </m:ctrlPr>
          </m:sSubPr>
          <m:e>
            <m:r>
              <m:rPr>
                <m:sty m:val="p"/>
              </m:rPr>
              <w:rPr>
                <w:rFonts w:ascii="Cambria Math" w:eastAsia="Times New Roman" w:hAnsi="Arial" w:cs="Arial"/>
                <w:sz w:val="20"/>
                <w:szCs w:val="20"/>
              </w:rPr>
              <m:t>Γ</m:t>
            </m:r>
          </m:e>
          <m:sub>
            <m:r>
              <w:rPr>
                <w:rFonts w:ascii="Cambria Math" w:eastAsia="Times New Roman" w:hAnsi="Cambria Math" w:cs="Arial"/>
                <w:sz w:val="20"/>
                <w:szCs w:val="20"/>
              </w:rPr>
              <m:t>k</m:t>
            </m:r>
          </m:sub>
        </m:sSub>
      </m:oMath>
      <w:r w:rsidRPr="002F7431">
        <w:rPr>
          <w:rFonts w:ascii="Arial" w:eastAsia="Times New Roman" w:hAnsi="Arial" w:cs="Arial"/>
          <w:sz w:val="20"/>
          <w:szCs w:val="20"/>
        </w:rPr>
        <w:t xml:space="preserve"> captures scattering broadening and </w:t>
      </w:r>
      <m:oMath>
        <m:sSub>
          <m:sSubPr>
            <m:ctrlPr>
              <w:rPr>
                <w:rFonts w:ascii="Cambria Math" w:eastAsia="Times New Roman" w:hAnsi="Arial" w:cs="Arial"/>
                <w:sz w:val="20"/>
                <w:szCs w:val="20"/>
              </w:rPr>
            </m:ctrlPr>
          </m:sSubPr>
          <m:e>
            <m:r>
              <m:rPr>
                <m:sty m:val="p"/>
              </m:rPr>
              <w:rPr>
                <w:rFonts w:ascii="Cambria Math" w:eastAsia="Times New Roman" w:hAnsi="Arial" w:cs="Arial"/>
                <w:sz w:val="20"/>
                <w:szCs w:val="20"/>
              </w:rPr>
              <m:t>Σ</m:t>
            </m:r>
          </m:e>
          <m:sub>
            <m:r>
              <m:rPr>
                <m:sty m:val="p"/>
              </m:rPr>
              <w:rPr>
                <w:rFonts w:ascii="Cambria Math" w:eastAsia="Times New Roman" w:hAnsi="Arial" w:cs="Arial"/>
                <w:sz w:val="20"/>
                <w:szCs w:val="20"/>
              </w:rPr>
              <m:t>imp</m:t>
            </m:r>
          </m:sub>
        </m:sSub>
      </m:oMath>
      <w:r w:rsidRPr="002F7431">
        <w:rPr>
          <w:rFonts w:ascii="Arial" w:eastAsia="Times New Roman" w:hAnsi="Arial" w:cs="Arial"/>
          <w:sz w:val="20"/>
          <w:szCs w:val="20"/>
        </w:rPr>
        <w:t xml:space="preserve"> accounts for impurity contrib</w:t>
      </w:r>
      <w:r w:rsidR="004572DE">
        <w:rPr>
          <w:rFonts w:ascii="Arial" w:eastAsia="Times New Roman" w:hAnsi="Arial" w:cs="Arial"/>
          <w:sz w:val="20"/>
          <w:szCs w:val="20"/>
        </w:rPr>
        <w:t xml:space="preserve">utions </w:t>
      </w:r>
      <w:r w:rsidR="0073327A">
        <w:rPr>
          <w:rFonts w:ascii="Arial" w:eastAsia="Times New Roman" w:hAnsi="Arial" w:cs="Arial"/>
          <w:sz w:val="20"/>
          <w:szCs w:val="20"/>
        </w:rPr>
        <w:t>[56]</w:t>
      </w:r>
      <w:r w:rsidRPr="002F7431">
        <w:rPr>
          <w:rFonts w:ascii="Arial" w:eastAsia="Times New Roman" w:hAnsi="Arial" w:cs="Arial"/>
          <w:sz w:val="20"/>
          <w:szCs w:val="20"/>
        </w:rPr>
        <w:t xml:space="preserve">; </w:t>
      </w:r>
      <w:r w:rsidR="0073327A">
        <w:rPr>
          <w:rFonts w:ascii="Arial" w:eastAsia="Times New Roman" w:hAnsi="Arial" w:cs="Arial"/>
          <w:sz w:val="20"/>
          <w:szCs w:val="20"/>
        </w:rPr>
        <w:t>[57]</w:t>
      </w:r>
      <w:r w:rsidRPr="002F7431">
        <w:rPr>
          <w:rFonts w:ascii="Arial" w:eastAsia="Times New Roman" w:hAnsi="Arial" w:cs="Arial"/>
          <w:sz w:val="20"/>
          <w:szCs w:val="20"/>
        </w:rPr>
        <w:t xml:space="preserve">; </w:t>
      </w:r>
      <w:r w:rsidR="0073327A">
        <w:rPr>
          <w:rFonts w:ascii="Arial" w:hAnsi="Arial" w:cs="Arial"/>
          <w:sz w:val="20"/>
          <w:szCs w:val="20"/>
        </w:rPr>
        <w:t>[58]</w:t>
      </w:r>
      <w:r w:rsidRPr="002F7431">
        <w:rPr>
          <w:rFonts w:ascii="Arial" w:hAnsi="Arial" w:cs="Arial"/>
          <w:sz w:val="20"/>
          <w:szCs w:val="20"/>
        </w:rPr>
        <w:t xml:space="preserve">; </w:t>
      </w:r>
      <w:r w:rsidR="0073327A">
        <w:rPr>
          <w:rFonts w:ascii="Arial" w:hAnsi="Arial" w:cs="Arial"/>
          <w:sz w:val="20"/>
          <w:szCs w:val="20"/>
        </w:rPr>
        <w:t>[59]</w:t>
      </w:r>
      <w:r w:rsidRPr="002F7431">
        <w:rPr>
          <w:rFonts w:ascii="Arial" w:eastAsia="Times New Roman" w:hAnsi="Arial" w:cs="Arial"/>
          <w:sz w:val="20"/>
          <w:szCs w:val="20"/>
        </w:rPr>
        <w:t xml:space="preserve">. </w:t>
      </w:r>
    </w:p>
    <w:p w14:paraId="7377C9F0"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In the </w:t>
      </w:r>
      <w:r w:rsidRPr="002F7431">
        <w:rPr>
          <w:rFonts w:ascii="Arial" w:eastAsia="Times New Roman" w:hAnsi="Arial" w:cs="Arial"/>
          <w:bCs/>
          <w:sz w:val="20"/>
          <w:szCs w:val="20"/>
        </w:rPr>
        <w:t>RVB picture</w:t>
      </w:r>
      <w:r w:rsidRPr="002F7431">
        <w:rPr>
          <w:rFonts w:ascii="Arial" w:eastAsia="Times New Roman" w:hAnsi="Arial" w:cs="Arial"/>
          <w:sz w:val="20"/>
          <w:szCs w:val="20"/>
        </w:rPr>
        <w:t xml:space="preserve">, the PG reflects </w:t>
      </w:r>
      <w:r w:rsidRPr="002F7431">
        <w:rPr>
          <w:rFonts w:ascii="Arial" w:eastAsia="Times New Roman" w:hAnsi="Arial" w:cs="Arial"/>
          <w:bCs/>
          <w:sz w:val="20"/>
          <w:szCs w:val="20"/>
        </w:rPr>
        <w:t>spin-singlet formation in a doped Mott background</w:t>
      </w:r>
      <w:r w:rsidRPr="002F7431">
        <w:rPr>
          <w:rFonts w:ascii="Arial" w:eastAsia="Times New Roman" w:hAnsi="Arial" w:cs="Arial"/>
          <w:sz w:val="20"/>
          <w:szCs w:val="20"/>
        </w:rPr>
        <w:t>, with superconductivity emerging from condensation</w:t>
      </w:r>
      <w:r w:rsidR="004572DE">
        <w:rPr>
          <w:rFonts w:ascii="Arial" w:eastAsia="Times New Roman" w:hAnsi="Arial" w:cs="Arial"/>
          <w:sz w:val="20"/>
          <w:szCs w:val="20"/>
        </w:rPr>
        <w:t xml:space="preserve"> of fractionalized excitations </w:t>
      </w:r>
      <w:r w:rsidR="0073327A">
        <w:rPr>
          <w:rFonts w:ascii="Arial" w:eastAsia="Times New Roman" w:hAnsi="Arial" w:cs="Arial"/>
          <w:sz w:val="20"/>
          <w:szCs w:val="20"/>
        </w:rPr>
        <w:t>[60]</w:t>
      </w:r>
      <w:r w:rsidRPr="002F7431">
        <w:rPr>
          <w:rFonts w:ascii="Arial" w:eastAsia="Times New Roman" w:hAnsi="Arial" w:cs="Arial"/>
          <w:sz w:val="20"/>
          <w:szCs w:val="20"/>
        </w:rPr>
        <w:t xml:space="preserve">; </w:t>
      </w:r>
      <w:r w:rsidR="0073327A">
        <w:rPr>
          <w:rFonts w:ascii="Arial" w:eastAsia="Times New Roman" w:hAnsi="Arial" w:cs="Arial"/>
          <w:sz w:val="20"/>
          <w:szCs w:val="20"/>
        </w:rPr>
        <w:t>[61]</w:t>
      </w:r>
      <w:r w:rsidRPr="002F7431">
        <w:rPr>
          <w:rFonts w:ascii="Arial" w:eastAsia="Times New Roman" w:hAnsi="Arial" w:cs="Arial"/>
          <w:sz w:val="20"/>
          <w:szCs w:val="20"/>
        </w:rPr>
        <w:t xml:space="preserve">; </w:t>
      </w:r>
      <w:r w:rsidR="0073327A">
        <w:rPr>
          <w:rFonts w:ascii="Arial" w:eastAsia="Times New Roman" w:hAnsi="Arial" w:cs="Arial"/>
          <w:sz w:val="20"/>
          <w:szCs w:val="20"/>
        </w:rPr>
        <w:t>[62]</w:t>
      </w:r>
      <w:r w:rsidR="00D9342A" w:rsidRPr="002F7431">
        <w:rPr>
          <w:rFonts w:ascii="Arial" w:eastAsia="Times New Roman" w:hAnsi="Arial" w:cs="Arial"/>
          <w:sz w:val="20"/>
          <w:szCs w:val="20"/>
        </w:rPr>
        <w:t>;</w:t>
      </w:r>
      <w:r w:rsidRPr="002F7431">
        <w:rPr>
          <w:rFonts w:ascii="Arial" w:eastAsia="Times New Roman" w:hAnsi="Arial" w:cs="Arial"/>
          <w:sz w:val="20"/>
          <w:szCs w:val="20"/>
        </w:rPr>
        <w:t xml:space="preserve"> </w:t>
      </w:r>
      <w:r w:rsidR="0073327A">
        <w:rPr>
          <w:rFonts w:ascii="Arial" w:eastAsia="Times New Roman" w:hAnsi="Arial" w:cs="Arial"/>
          <w:sz w:val="20"/>
          <w:szCs w:val="20"/>
        </w:rPr>
        <w:t>[63]</w:t>
      </w:r>
      <w:r w:rsidRPr="002F7431">
        <w:rPr>
          <w:rFonts w:ascii="Arial" w:eastAsia="Times New Roman" w:hAnsi="Arial" w:cs="Arial"/>
          <w:sz w:val="20"/>
          <w:szCs w:val="20"/>
        </w:rPr>
        <w:t xml:space="preserve">. This framework naturally connects to the </w:t>
      </w:r>
      <w:r w:rsidRPr="002F7431">
        <w:rPr>
          <w:rFonts w:ascii="Arial" w:eastAsia="Times New Roman" w:hAnsi="Arial" w:cs="Arial"/>
          <w:bCs/>
          <w:sz w:val="20"/>
          <w:szCs w:val="20"/>
        </w:rPr>
        <w:t>Uemura relation</w:t>
      </w:r>
      <w:r w:rsidRPr="002F7431">
        <w:rPr>
          <w:rFonts w:ascii="Arial" w:eastAsia="Times New Roman" w:hAnsi="Arial" w:cs="Arial"/>
          <w:sz w:val="20"/>
          <w:szCs w:val="20"/>
        </w:rPr>
        <w:t xml:space="preserve">, where the critical temperature correlates with superfluid density: </w:t>
      </w:r>
    </w:p>
    <w:p w14:paraId="558AF1C0" w14:textId="77777777" w:rsidR="00C40ECA" w:rsidRPr="002F7431" w:rsidRDefault="00E334FE" w:rsidP="002F7431">
      <w:pPr>
        <w:spacing w:before="100" w:beforeAutospacing="1" w:after="100" w:afterAutospacing="1" w:line="240" w:lineRule="auto"/>
        <w:jc w:val="both"/>
        <w:rPr>
          <w:rFonts w:ascii="Arial" w:eastAsia="Times New Roman" w:hAnsi="Arial" w:cs="Arial"/>
          <w:sz w:val="20"/>
          <w:szCs w:val="20"/>
        </w:rPr>
      </w:pPr>
      <m:oMathPara>
        <m:oMath>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T</m:t>
              </m:r>
            </m:e>
            <m:sub>
              <m:r>
                <w:rPr>
                  <w:rFonts w:ascii="Cambria Math" w:eastAsia="Times New Roman" w:hAnsi="Cambria Math" w:cs="Arial"/>
                  <w:sz w:val="20"/>
                  <w:szCs w:val="20"/>
                </w:rPr>
                <m:t>C</m:t>
              </m:r>
            </m:sub>
          </m:sSub>
          <m:r>
            <w:rPr>
              <w:rFonts w:ascii="Cambria Math" w:eastAsia="Times New Roman" w:hAnsi="Cambria Math" w:cs="Arial"/>
              <w:sz w:val="20"/>
              <w:szCs w:val="20"/>
            </w:rPr>
            <m:t>∝</m:t>
          </m:r>
          <m:f>
            <m:fPr>
              <m:ctrlPr>
                <w:rPr>
                  <w:rFonts w:ascii="Cambria Math" w:eastAsia="Times New Roman" w:hAnsi="Arial" w:cs="Arial"/>
                  <w:i/>
                  <w:kern w:val="0"/>
                  <w:sz w:val="20"/>
                  <w:szCs w:val="20"/>
                </w:rPr>
              </m:ctrlPr>
            </m:fPr>
            <m:num>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n</m:t>
                  </m:r>
                </m:e>
                <m:sub>
                  <m:r>
                    <w:rPr>
                      <w:rFonts w:ascii="Cambria Math" w:eastAsia="Times New Roman" w:hAnsi="Cambria Math" w:cs="Arial"/>
                      <w:sz w:val="20"/>
                      <w:szCs w:val="20"/>
                    </w:rPr>
                    <m:t>s</m:t>
                  </m:r>
                </m:sub>
              </m:sSub>
            </m:num>
            <m:den>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m</m:t>
                  </m:r>
                </m:e>
                <m:sup>
                  <m:r>
                    <w:rPr>
                      <w:rFonts w:ascii="Arial" w:eastAsia="Times New Roman" w:hAnsi="Cambria Math" w:cs="Arial"/>
                      <w:sz w:val="20"/>
                      <w:szCs w:val="20"/>
                    </w:rPr>
                    <m:t>*</m:t>
                  </m:r>
                </m:sup>
              </m:sSup>
            </m:den>
          </m:f>
          <m:r>
            <w:rPr>
              <w:rFonts w:ascii="Cambria Math" w:eastAsia="Times New Roman" w:hAnsi="Cambria Math" w:cs="Arial"/>
              <w:sz w:val="20"/>
              <w:szCs w:val="20"/>
            </w:rPr>
            <m:t>∝</m:t>
          </m:r>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s</m:t>
              </m:r>
            </m:sub>
          </m:sSub>
        </m:oMath>
      </m:oMathPara>
    </w:p>
    <w:p w14:paraId="4E692C70"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Establishing that </w:t>
      </w:r>
      <m:oMath>
        <m:sSub>
          <m:sSubPr>
            <m:ctrlPr>
              <w:rPr>
                <w:rFonts w:ascii="Cambria Math" w:eastAsia="Times New Roman" w:hAnsi="Arial" w:cs="Arial"/>
                <w:i/>
                <w:kern w:val="0"/>
                <w:sz w:val="20"/>
                <w:szCs w:val="20"/>
              </w:rPr>
            </m:ctrlPr>
          </m:sSubPr>
          <m:e>
            <m:r>
              <w:rPr>
                <w:rFonts w:ascii="Cambria Math" w:eastAsia="Times New Roman" w:hAnsi="Cambria Math" w:cs="Arial"/>
                <w:sz w:val="20"/>
                <w:szCs w:val="20"/>
              </w:rPr>
              <m:t>T</m:t>
            </m:r>
          </m:e>
          <m:sub>
            <m:r>
              <w:rPr>
                <w:rFonts w:ascii="Cambria Math" w:eastAsia="Times New Roman" w:hAnsi="Cambria Math" w:cs="Arial"/>
                <w:sz w:val="20"/>
                <w:szCs w:val="20"/>
              </w:rPr>
              <m:t>C</m:t>
            </m:r>
          </m:sub>
        </m:sSub>
      </m:oMath>
      <w:r w:rsidRPr="002F7431">
        <w:rPr>
          <w:rFonts w:ascii="Arial" w:eastAsia="Times New Roman" w:hAnsi="Arial" w:cs="Arial"/>
          <w:bCs/>
          <w:sz w:val="20"/>
          <w:szCs w:val="20"/>
        </w:rPr>
        <w:t xml:space="preserve"> is proportional to superfluid density </w:t>
      </w:r>
      <m:oMath>
        <m:sSub>
          <m:sSubPr>
            <m:ctrlPr>
              <w:rPr>
                <w:rFonts w:ascii="Cambria Math" w:eastAsia="Times New Roman" w:hAnsi="Arial" w:cs="Arial"/>
                <w:bCs/>
                <w:i/>
                <w:kern w:val="0"/>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s</m:t>
            </m:r>
          </m:sub>
        </m:sSub>
      </m:oMath>
      <w:r w:rsidR="004572DE">
        <w:rPr>
          <w:rFonts w:ascii="Arial" w:eastAsia="Times New Roman" w:hAnsi="Arial" w:cs="Arial"/>
          <w:sz w:val="20"/>
          <w:szCs w:val="20"/>
        </w:rPr>
        <w:t xml:space="preserve"> in underdoped cuprates </w:t>
      </w:r>
      <w:r w:rsidR="0073327A">
        <w:rPr>
          <w:rFonts w:ascii="Arial" w:eastAsia="Times New Roman" w:hAnsi="Arial" w:cs="Arial"/>
          <w:sz w:val="20"/>
          <w:szCs w:val="20"/>
        </w:rPr>
        <w:t>[64]</w:t>
      </w:r>
      <w:r w:rsidRPr="002F7431">
        <w:rPr>
          <w:rStyle w:val="Strong"/>
          <w:rFonts w:ascii="Arial" w:hAnsi="Arial" w:cs="Arial"/>
          <w:sz w:val="20"/>
          <w:szCs w:val="20"/>
        </w:rPr>
        <w:t xml:space="preserve">; </w:t>
      </w:r>
      <w:r w:rsidR="0073327A">
        <w:rPr>
          <w:rStyle w:val="Strong"/>
          <w:rFonts w:ascii="Arial" w:hAnsi="Arial" w:cs="Arial"/>
          <w:b w:val="0"/>
          <w:sz w:val="20"/>
          <w:szCs w:val="20"/>
        </w:rPr>
        <w:t>[65]</w:t>
      </w:r>
      <w:r w:rsidR="000A217C" w:rsidRPr="002F7431">
        <w:rPr>
          <w:rStyle w:val="Strong"/>
          <w:rFonts w:ascii="Arial" w:hAnsi="Arial" w:cs="Arial"/>
          <w:b w:val="0"/>
          <w:sz w:val="20"/>
          <w:szCs w:val="20"/>
        </w:rPr>
        <w:t xml:space="preserve">; </w:t>
      </w:r>
      <w:r w:rsidR="0073327A">
        <w:rPr>
          <w:rStyle w:val="Strong"/>
          <w:rFonts w:ascii="Arial" w:hAnsi="Arial" w:cs="Arial"/>
          <w:b w:val="0"/>
          <w:sz w:val="20"/>
          <w:szCs w:val="20"/>
        </w:rPr>
        <w:t>[66]</w:t>
      </w:r>
      <w:r w:rsidRPr="002F7431">
        <w:rPr>
          <w:rFonts w:ascii="Arial" w:eastAsia="Times New Roman" w:hAnsi="Arial" w:cs="Arial"/>
          <w:sz w:val="20"/>
          <w:szCs w:val="20"/>
        </w:rPr>
        <w:t xml:space="preserve">, reflecting the interplay between </w:t>
      </w:r>
      <w:r w:rsidRPr="002F7431">
        <w:rPr>
          <w:rFonts w:ascii="Arial" w:eastAsia="Times New Roman" w:hAnsi="Arial" w:cs="Arial"/>
          <w:bCs/>
          <w:sz w:val="20"/>
          <w:szCs w:val="20"/>
        </w:rPr>
        <w:t>spin-gap formation and phase coherence</w:t>
      </w:r>
      <w:r w:rsidRPr="002F7431">
        <w:rPr>
          <w:rFonts w:ascii="Arial" w:eastAsia="Times New Roman" w:hAnsi="Arial" w:cs="Arial"/>
          <w:sz w:val="20"/>
          <w:szCs w:val="20"/>
        </w:rPr>
        <w:t>.</w:t>
      </w:r>
    </w:p>
    <w:p w14:paraId="33DAAEC9" w14:textId="77777777" w:rsidR="00C40ECA" w:rsidRPr="002F7431" w:rsidRDefault="00C40ECA" w:rsidP="002F7431">
      <w:pPr>
        <w:pStyle w:val="NormalWeb"/>
        <w:jc w:val="both"/>
        <w:rPr>
          <w:rFonts w:ascii="Arial" w:hAnsi="Arial" w:cs="Arial"/>
          <w:b/>
          <w:sz w:val="22"/>
          <w:szCs w:val="22"/>
        </w:rPr>
      </w:pPr>
      <w:r w:rsidRPr="002F7431">
        <w:rPr>
          <w:rFonts w:ascii="Arial" w:hAnsi="Arial" w:cs="Arial"/>
          <w:b/>
          <w:sz w:val="22"/>
          <w:szCs w:val="22"/>
        </w:rPr>
        <w:t>5.3 INTERTWINED ORDERS FRAMEWORK</w:t>
      </w:r>
    </w:p>
    <w:p w14:paraId="677036A6"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lastRenderedPageBreak/>
        <w:t xml:space="preserve">Charge density waves (CDWs) represent a central competing order in the PG regime, breaking translational symmetry throughout underdoped </w:t>
      </w:r>
      <w:proofErr w:type="spellStart"/>
      <w:r w:rsidRPr="002F7431">
        <w:rPr>
          <w:rFonts w:ascii="Arial" w:eastAsia="Times New Roman" w:hAnsi="Arial" w:cs="Arial"/>
          <w:sz w:val="20"/>
          <w:szCs w:val="20"/>
        </w:rPr>
        <w:t>cuprates</w:t>
      </w:r>
      <w:proofErr w:type="spellEnd"/>
      <w:r w:rsidRPr="002F7431">
        <w:rPr>
          <w:rFonts w:ascii="Arial" w:eastAsia="Times New Roman" w:hAnsi="Arial" w:cs="Arial"/>
          <w:sz w:val="20"/>
          <w:szCs w:val="20"/>
        </w:rPr>
        <w:t xml:space="preserve">. Resonant inelastic x-ray scattering (RIXS) in </w:t>
      </w:r>
      <m:oMath>
        <m:sSub>
          <m:sSubPr>
            <m:ctrlPr>
              <w:rPr>
                <w:rFonts w:ascii="Cambria Math" w:hAnsi="Arial" w:cs="Arial"/>
                <w:i/>
                <w:sz w:val="20"/>
                <w:szCs w:val="20"/>
              </w:rPr>
            </m:ctrlPr>
          </m:sSubPr>
          <m:e>
            <m:r>
              <w:rPr>
                <w:rFonts w:ascii="Cambria Math" w:hAnsi="Cambria Math" w:cs="Arial"/>
                <w:sz w:val="20"/>
                <w:szCs w:val="20"/>
              </w:rPr>
              <m:t>La</m:t>
            </m:r>
          </m:e>
          <m:sub>
            <m:r>
              <w:rPr>
                <w:rFonts w:ascii="Cambria Math" w:hAnsi="Arial" w:cs="Arial"/>
                <w:sz w:val="20"/>
                <w:szCs w:val="20"/>
              </w:rPr>
              <m:t>2</m:t>
            </m:r>
            <m:r>
              <w:rPr>
                <w:rFonts w:ascii="Arial" w:hAnsi="Arial" w:cs="Arial"/>
                <w:sz w:val="20"/>
                <w:szCs w:val="20"/>
              </w:rPr>
              <m:t>-</m:t>
            </m:r>
            <m:r>
              <w:rPr>
                <w:rFonts w:ascii="Cambria Math" w:hAnsi="Cambria Math" w:cs="Arial"/>
                <w:sz w:val="20"/>
                <w:szCs w:val="20"/>
              </w:rPr>
              <m:t>x</m:t>
            </m:r>
          </m:sub>
        </m:sSub>
        <m:sSub>
          <m:sSubPr>
            <m:ctrlPr>
              <w:rPr>
                <w:rFonts w:ascii="Cambria Math" w:hAnsi="Arial" w:cs="Arial"/>
                <w:i/>
                <w:sz w:val="20"/>
                <w:szCs w:val="20"/>
              </w:rPr>
            </m:ctrlPr>
          </m:sSubPr>
          <m:e>
            <m:r>
              <w:rPr>
                <w:rFonts w:ascii="Cambria Math" w:hAnsi="Cambria Math" w:cs="Arial"/>
                <w:sz w:val="20"/>
                <w:szCs w:val="20"/>
              </w:rPr>
              <m:t>Ba</m:t>
            </m:r>
          </m:e>
          <m:sub>
            <m:r>
              <w:rPr>
                <w:rFonts w:ascii="Cambria Math" w:hAnsi="Cambria Math" w:cs="Arial"/>
                <w:sz w:val="20"/>
                <w:szCs w:val="20"/>
              </w:rPr>
              <m:t>x</m:t>
            </m:r>
          </m:sub>
        </m:sSub>
        <m:r>
          <w:rPr>
            <w:rFonts w:ascii="Cambria Math" w:hAnsi="Cambria Math" w:cs="Arial"/>
            <w:sz w:val="20"/>
            <w:szCs w:val="20"/>
          </w:rPr>
          <m:t>Cu</m:t>
        </m:r>
        <m:sSub>
          <m:sSubPr>
            <m:ctrlPr>
              <w:rPr>
                <w:rFonts w:ascii="Cambria Math" w:hAnsi="Arial" w:cs="Arial"/>
                <w:i/>
                <w:sz w:val="20"/>
                <w:szCs w:val="20"/>
              </w:rPr>
            </m:ctrlPr>
          </m:sSubPr>
          <m:e>
            <m:r>
              <w:rPr>
                <w:rFonts w:ascii="Cambria Math" w:hAnsi="Cambria Math" w:cs="Arial"/>
                <w:sz w:val="20"/>
                <w:szCs w:val="20"/>
              </w:rPr>
              <m:t>O</m:t>
            </m:r>
          </m:e>
          <m:sub>
            <m:r>
              <w:rPr>
                <w:rFonts w:ascii="Cambria Math" w:hAnsi="Arial" w:cs="Arial"/>
                <w:sz w:val="20"/>
                <w:szCs w:val="20"/>
              </w:rPr>
              <m:t>4</m:t>
            </m:r>
          </m:sub>
        </m:sSub>
      </m:oMath>
      <w:r w:rsidRPr="002F7431">
        <w:rPr>
          <w:rFonts w:ascii="Arial" w:eastAsia="Times New Roman" w:hAnsi="Arial" w:cs="Arial"/>
          <w:sz w:val="20"/>
          <w:szCs w:val="20"/>
        </w:rPr>
        <w:t xml:space="preserve">  reveals a two-step CDW formation: nearly commensurate precursors at elevated temperatures evolving into incommensurate order </w:t>
      </w:r>
      <w:r w:rsidR="004572DE">
        <w:rPr>
          <w:rFonts w:ascii="Arial" w:eastAsia="Times New Roman" w:hAnsi="Arial" w:cs="Arial"/>
          <w:sz w:val="20"/>
          <w:szCs w:val="20"/>
        </w:rPr>
        <w:t>upon cooling [31]</w:t>
      </w:r>
      <w:r w:rsidRPr="002F7431">
        <w:rPr>
          <w:rFonts w:ascii="Arial" w:eastAsia="Times New Roman" w:hAnsi="Arial" w:cs="Arial"/>
          <w:sz w:val="20"/>
          <w:szCs w:val="20"/>
        </w:rPr>
        <w:t>. Scanning tunneling microscopy (STM) further detects local density of states (LDOS) modulations across broad doping ranges, confirming charg</w:t>
      </w:r>
      <w:r w:rsidR="00FE0378" w:rsidRPr="002F7431">
        <w:rPr>
          <w:rFonts w:ascii="Arial" w:eastAsia="Times New Roman" w:hAnsi="Arial" w:cs="Arial"/>
          <w:sz w:val="20"/>
          <w:szCs w:val="20"/>
        </w:rPr>
        <w:t>e ordering as a robust PG</w:t>
      </w:r>
      <w:r w:rsidRPr="002F7431">
        <w:rPr>
          <w:rFonts w:ascii="Arial" w:eastAsia="Times New Roman" w:hAnsi="Arial" w:cs="Arial"/>
          <w:sz w:val="20"/>
          <w:szCs w:val="20"/>
        </w:rPr>
        <w:t xml:space="preserve"> instability.</w:t>
      </w:r>
    </w:p>
    <w:p w14:paraId="56ED7225"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Pair density waves (PDWs) extend this picture by introducing spatially modulated Cooper pairs that simultaneously break translational and gauge symmetries. These finite-momentum condensates not only frustrate superconducting coherence but also generate associated CDW and magnetic </w:t>
      </w:r>
      <w:r w:rsidR="004572DE">
        <w:rPr>
          <w:rFonts w:ascii="Arial" w:eastAsia="Times New Roman" w:hAnsi="Arial" w:cs="Arial"/>
          <w:sz w:val="20"/>
          <w:szCs w:val="20"/>
        </w:rPr>
        <w:t xml:space="preserve">correlations </w:t>
      </w:r>
      <w:r w:rsidR="0073327A">
        <w:rPr>
          <w:rFonts w:ascii="Arial" w:eastAsia="Times New Roman" w:hAnsi="Arial" w:cs="Arial"/>
          <w:sz w:val="20"/>
          <w:szCs w:val="20"/>
        </w:rPr>
        <w:t>[67]</w:t>
      </w:r>
      <w:r w:rsidRPr="002F7431">
        <w:rPr>
          <w:rFonts w:ascii="Arial" w:eastAsia="Times New Roman" w:hAnsi="Arial" w:cs="Arial"/>
          <w:sz w:val="20"/>
          <w:szCs w:val="20"/>
        </w:rPr>
        <w:t xml:space="preserve">; </w:t>
      </w:r>
      <w:r w:rsidR="0073327A">
        <w:rPr>
          <w:rFonts w:ascii="Arial" w:eastAsia="Times New Roman" w:hAnsi="Arial" w:cs="Arial"/>
          <w:sz w:val="20"/>
          <w:szCs w:val="20"/>
        </w:rPr>
        <w:t>[68]</w:t>
      </w:r>
      <w:r w:rsidRPr="002F7431">
        <w:rPr>
          <w:rFonts w:ascii="Arial" w:eastAsia="Times New Roman" w:hAnsi="Arial" w:cs="Arial"/>
          <w:sz w:val="20"/>
          <w:szCs w:val="20"/>
        </w:rPr>
        <w:t>. The PDW order parameter is expressed as:</w:t>
      </w:r>
    </w:p>
    <w:p w14:paraId="6E40C83C" w14:textId="77777777" w:rsidR="00C40ECA" w:rsidRPr="002F7431" w:rsidRDefault="00E334FE" w:rsidP="002F7431">
      <w:pPr>
        <w:spacing w:before="100" w:beforeAutospacing="1" w:after="100" w:afterAutospacing="1" w:line="240" w:lineRule="auto"/>
        <w:jc w:val="both"/>
        <w:rPr>
          <w:rFonts w:ascii="Arial" w:eastAsia="Times New Roman" w:hAnsi="Arial" w:cs="Arial"/>
          <w:kern w:val="0"/>
          <w:sz w:val="20"/>
          <w:szCs w:val="20"/>
        </w:rPr>
      </w:pPr>
      <m:oMathPara>
        <m:oMath>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Cambria Math" w:eastAsia="Times New Roman" w:hAnsi="Cambria Math" w:cs="Arial"/>
                  <w:kern w:val="0"/>
                  <w:sz w:val="20"/>
                  <w:szCs w:val="20"/>
                </w:rPr>
                <m:t>PDW</m:t>
              </m:r>
            </m:sub>
          </m:sSub>
          <m:d>
            <m:dPr>
              <m:ctrlPr>
                <w:rPr>
                  <w:rFonts w:ascii="Cambria Math" w:eastAsia="Times New Roman" w:hAnsi="Arial" w:cs="Arial"/>
                  <w:i/>
                  <w:kern w:val="0"/>
                  <w:sz w:val="20"/>
                  <w:szCs w:val="20"/>
                </w:rPr>
              </m:ctrlPr>
            </m:dPr>
            <m:e>
              <m:r>
                <m:rPr>
                  <m:sty m:val="bi"/>
                </m:rPr>
                <w:rPr>
                  <w:rFonts w:ascii="Cambria Math" w:eastAsia="Times New Roman" w:hAnsi="Cambria Math" w:cs="Arial"/>
                  <w:kern w:val="0"/>
                  <w:sz w:val="20"/>
                  <w:szCs w:val="20"/>
                </w:rPr>
                <m:t>r</m:t>
              </m:r>
            </m:e>
          </m:d>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Cambria Math" w:eastAsia="Times New Roman" w:hAnsi="Arial" w:cs="Arial"/>
                  <w:kern w:val="0"/>
                  <w:sz w:val="20"/>
                  <w:szCs w:val="20"/>
                </w:rPr>
                <m:t>+</m:t>
              </m:r>
            </m:sub>
          </m:sSub>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e</m:t>
              </m:r>
            </m:e>
            <m:sup>
              <m:r>
                <w:rPr>
                  <w:rFonts w:ascii="Cambria Math" w:eastAsia="Times New Roman" w:hAnsi="Cambria Math" w:cs="Arial"/>
                  <w:kern w:val="0"/>
                  <w:sz w:val="20"/>
                  <w:szCs w:val="20"/>
                </w:rPr>
                <m:t>i</m:t>
              </m:r>
              <m:r>
                <m:rPr>
                  <m:sty m:val="bi"/>
                </m:rPr>
                <w:rPr>
                  <w:rFonts w:ascii="Cambria Math" w:eastAsia="Times New Roman" w:hAnsi="Cambria Math" w:cs="Arial"/>
                  <w:kern w:val="0"/>
                  <w:sz w:val="20"/>
                  <w:szCs w:val="20"/>
                </w:rPr>
                <m:t>Q</m:t>
              </m:r>
              <m:r>
                <m:rPr>
                  <m:sty m:val="bi"/>
                </m:rP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sup>
          </m:sSup>
          <m:r>
            <w:rPr>
              <w:rFonts w:ascii="Cambria Math" w:eastAsia="Times New Roman" w:hAnsi="Arial" w:cs="Arial"/>
              <w:kern w:val="0"/>
              <w:sz w:val="20"/>
              <w:szCs w:val="20"/>
            </w:rPr>
            <m:t>+</m:t>
          </m:r>
          <m:sSub>
            <m:sSubPr>
              <m:ctrlPr>
                <w:rPr>
                  <w:rFonts w:ascii="Cambria Math" w:eastAsia="Times New Roman" w:hAnsi="Arial" w:cs="Arial"/>
                  <w:i/>
                  <w:kern w:val="0"/>
                  <w:sz w:val="20"/>
                  <w:szCs w:val="20"/>
                </w:rPr>
              </m:ctrlPr>
            </m:sSubPr>
            <m:e>
              <m:r>
                <w:rPr>
                  <w:rFonts w:ascii="Arial" w:eastAsia="Times New Roman" w:hAnsi="Arial" w:cs="Arial"/>
                  <w:kern w:val="0"/>
                  <w:sz w:val="20"/>
                  <w:szCs w:val="20"/>
                </w:rPr>
                <m:t>∆</m:t>
              </m:r>
            </m:e>
            <m:sub>
              <m:r>
                <w:rPr>
                  <w:rFonts w:ascii="Arial" w:eastAsia="Times New Roman" w:hAnsi="Arial" w:cs="Arial"/>
                  <w:kern w:val="0"/>
                  <w:sz w:val="20"/>
                  <w:szCs w:val="20"/>
                </w:rPr>
                <m:t>-</m:t>
              </m:r>
            </m:sub>
          </m:sSub>
          <m:sSup>
            <m:sSupPr>
              <m:ctrlPr>
                <w:rPr>
                  <w:rFonts w:ascii="Cambria Math" w:eastAsia="Times New Roman" w:hAnsi="Arial" w:cs="Arial"/>
                  <w:i/>
                  <w:kern w:val="0"/>
                  <w:sz w:val="20"/>
                  <w:szCs w:val="20"/>
                </w:rPr>
              </m:ctrlPr>
            </m:sSupPr>
            <m:e>
              <m:r>
                <w:rPr>
                  <w:rFonts w:ascii="Cambria Math" w:eastAsia="Times New Roman" w:hAnsi="Cambria Math" w:cs="Arial"/>
                  <w:kern w:val="0"/>
                  <w:sz w:val="20"/>
                  <w:szCs w:val="20"/>
                </w:rPr>
                <m:t>e</m:t>
              </m:r>
            </m:e>
            <m:sup>
              <m:r>
                <w:rPr>
                  <w:rFonts w:ascii="Arial" w:eastAsia="Times New Roman" w:hAnsi="Arial" w:cs="Arial"/>
                  <w:kern w:val="0"/>
                  <w:sz w:val="20"/>
                  <w:szCs w:val="20"/>
                </w:rPr>
                <m:t>-</m:t>
              </m:r>
              <m:r>
                <w:rPr>
                  <w:rFonts w:ascii="Cambria Math" w:eastAsia="Times New Roman" w:hAnsi="Cambria Math" w:cs="Arial"/>
                  <w:kern w:val="0"/>
                  <w:sz w:val="20"/>
                  <w:szCs w:val="20"/>
                </w:rPr>
                <m:t>i</m:t>
              </m:r>
              <m:r>
                <m:rPr>
                  <m:sty m:val="bi"/>
                </m:rPr>
                <w:rPr>
                  <w:rFonts w:ascii="Cambria Math" w:eastAsia="Times New Roman" w:hAnsi="Cambria Math" w:cs="Arial"/>
                  <w:kern w:val="0"/>
                  <w:sz w:val="20"/>
                  <w:szCs w:val="20"/>
                </w:rPr>
                <m:t>Q</m:t>
              </m:r>
              <m:r>
                <m:rPr>
                  <m:sty m:val="bi"/>
                </m:rPr>
                <w:rPr>
                  <w:rFonts w:ascii="Cambria Math" w:eastAsia="Times New Roman" w:hAnsi="Arial" w:cs="Arial"/>
                  <w:kern w:val="0"/>
                  <w:sz w:val="20"/>
                  <w:szCs w:val="20"/>
                </w:rPr>
                <m:t>.</m:t>
              </m:r>
              <m:r>
                <m:rPr>
                  <m:sty m:val="bi"/>
                </m:rPr>
                <w:rPr>
                  <w:rFonts w:ascii="Cambria Math" w:eastAsia="Times New Roman" w:hAnsi="Cambria Math" w:cs="Arial"/>
                  <w:kern w:val="0"/>
                  <w:sz w:val="20"/>
                  <w:szCs w:val="20"/>
                </w:rPr>
                <m:t>r</m:t>
              </m:r>
            </m:sup>
          </m:sSup>
        </m:oMath>
      </m:oMathPara>
    </w:p>
    <w:p w14:paraId="464E9AFC"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Where </w:t>
      </w:r>
      <m:oMath>
        <m:sSub>
          <m:sSubPr>
            <m:ctrlPr>
              <w:rPr>
                <w:rFonts w:ascii="Cambria Math" w:eastAsia="Times New Roman" w:hAnsi="Arial" w:cs="Arial"/>
                <w:i/>
                <w:sz w:val="20"/>
                <w:szCs w:val="20"/>
              </w:rPr>
            </m:ctrlPr>
          </m:sSubPr>
          <m:e>
            <m:r>
              <w:rPr>
                <w:rFonts w:ascii="Arial" w:eastAsia="Times New Roman" w:hAnsi="Arial" w:cs="Arial"/>
                <w:sz w:val="20"/>
                <w:szCs w:val="20"/>
              </w:rPr>
              <m:t>∆</m:t>
            </m:r>
          </m:e>
          <m:sub>
            <m:r>
              <w:rPr>
                <w:rFonts w:ascii="Cambria Math" w:eastAsia="Times New Roman" w:hAnsi="Arial" w:cs="Arial"/>
                <w:sz w:val="20"/>
                <w:szCs w:val="20"/>
              </w:rPr>
              <m:t>±</m:t>
            </m:r>
          </m:sub>
        </m:sSub>
      </m:oMath>
      <w:r w:rsidRPr="002F7431">
        <w:rPr>
          <w:rFonts w:ascii="Arial" w:eastAsia="Times New Roman" w:hAnsi="Arial" w:cs="Arial"/>
          <w:sz w:val="20"/>
          <w:szCs w:val="20"/>
        </w:rPr>
        <w:t xml:space="preserve"> represent complex amplitudes for </w:t>
      </w:r>
      <m:oMath>
        <m:r>
          <w:rPr>
            <w:rFonts w:ascii="Cambria Math" w:eastAsia="Times New Roman" w:hAnsi="Arial" w:cs="Arial"/>
            <w:sz w:val="20"/>
            <w:szCs w:val="20"/>
          </w:rPr>
          <m:t>±</m:t>
        </m:r>
        <m:r>
          <w:rPr>
            <w:rFonts w:ascii="Cambria Math" w:eastAsia="Times New Roman" w:hAnsi="Cambria Math" w:cs="Arial"/>
            <w:sz w:val="20"/>
            <w:szCs w:val="20"/>
          </w:rPr>
          <m:t>Q</m:t>
        </m:r>
      </m:oMath>
      <w:r w:rsidR="004572DE">
        <w:rPr>
          <w:rFonts w:ascii="Arial" w:eastAsia="Times New Roman" w:hAnsi="Arial" w:cs="Arial"/>
          <w:sz w:val="20"/>
          <w:szCs w:val="20"/>
        </w:rPr>
        <w:t xml:space="preserve"> </w:t>
      </w:r>
      <w:r w:rsidR="0073327A">
        <w:rPr>
          <w:rFonts w:ascii="Arial" w:eastAsia="Times New Roman" w:hAnsi="Arial" w:cs="Arial"/>
          <w:sz w:val="20"/>
          <w:szCs w:val="20"/>
        </w:rPr>
        <w:t>[68]</w:t>
      </w:r>
      <w:r w:rsidRPr="002F7431">
        <w:rPr>
          <w:rFonts w:ascii="Arial" w:eastAsia="Times New Roman" w:hAnsi="Arial" w:cs="Arial"/>
          <w:sz w:val="20"/>
          <w:szCs w:val="20"/>
        </w:rPr>
        <w:t xml:space="preserve">. Direct STM visualization in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Bi</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Sr</m:t>
            </m:r>
          </m:e>
          <m:sub>
            <m:r>
              <m:rPr>
                <m:sty m:val="bi"/>
              </m:rPr>
              <w:rPr>
                <w:rStyle w:val="Strong"/>
                <w:rFonts w:ascii="Cambria Math" w:hAnsi="Cambria Math" w:cs="Arial"/>
                <w:sz w:val="20"/>
                <w:szCs w:val="20"/>
              </w:rPr>
              <m:t>2</m:t>
            </m:r>
          </m:sub>
        </m:sSub>
        <m:r>
          <m:rPr>
            <m:sty m:val="bi"/>
          </m:rPr>
          <w:rPr>
            <w:rStyle w:val="Strong"/>
            <w:rFonts w:ascii="Cambria Math" w:hAnsi="Cambria Math" w:cs="Arial"/>
            <w:sz w:val="20"/>
            <w:szCs w:val="20"/>
          </w:rPr>
          <m:t>Ca</m:t>
        </m:r>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Cu</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O</m:t>
            </m:r>
          </m:e>
          <m:sub>
            <m:r>
              <m:rPr>
                <m:sty m:val="bi"/>
              </m:rPr>
              <w:rPr>
                <w:rStyle w:val="Strong"/>
                <w:rFonts w:ascii="Cambria Math" w:hAnsi="Cambria Math" w:cs="Arial"/>
                <w:sz w:val="20"/>
                <w:szCs w:val="20"/>
              </w:rPr>
              <m:t>8</m:t>
            </m:r>
            <m:r>
              <m:rPr>
                <m:sty m:val="bi"/>
              </m:rPr>
              <w:rPr>
                <w:rStyle w:val="Strong"/>
                <w:rFonts w:ascii="Cambria Math" w:hAnsi="Arial" w:cs="Arial"/>
                <w:sz w:val="20"/>
                <w:szCs w:val="20"/>
              </w:rPr>
              <m:t>+</m:t>
            </m:r>
            <m:r>
              <m:rPr>
                <m:sty m:val="bi"/>
              </m:rPr>
              <w:rPr>
                <w:rStyle w:val="Strong"/>
                <w:rFonts w:ascii="Cambria Math" w:hAnsi="Cambria Math" w:cs="Arial"/>
                <w:sz w:val="20"/>
                <w:szCs w:val="20"/>
              </w:rPr>
              <m:t>δ</m:t>
            </m:r>
          </m:sub>
        </m:sSub>
      </m:oMath>
      <w:r w:rsidRPr="002F7431">
        <w:rPr>
          <w:rFonts w:ascii="Arial" w:eastAsia="Times New Roman" w:hAnsi="Arial" w:cs="Arial"/>
          <w:sz w:val="20"/>
          <w:szCs w:val="20"/>
        </w:rPr>
        <w:t xml:space="preserve"> uncovered an eight-unit-cell periodic gap modulation (Panel A), the first atomic-scale evidence of spatially modulated Coo</w:t>
      </w:r>
      <w:r w:rsidR="004572DE">
        <w:rPr>
          <w:rFonts w:ascii="Arial" w:eastAsia="Times New Roman" w:hAnsi="Arial" w:cs="Arial"/>
          <w:sz w:val="20"/>
          <w:szCs w:val="20"/>
        </w:rPr>
        <w:t xml:space="preserve">per pairs </w:t>
      </w:r>
      <w:r w:rsidR="0073327A">
        <w:rPr>
          <w:rFonts w:ascii="Arial" w:eastAsia="Times New Roman" w:hAnsi="Arial" w:cs="Arial"/>
          <w:sz w:val="20"/>
          <w:szCs w:val="20"/>
        </w:rPr>
        <w:t>[69]</w:t>
      </w:r>
      <w:r w:rsidRPr="002F7431">
        <w:rPr>
          <w:rFonts w:ascii="Arial" w:eastAsia="Times New Roman" w:hAnsi="Arial" w:cs="Arial"/>
          <w:sz w:val="20"/>
          <w:szCs w:val="20"/>
        </w:rPr>
        <w:t xml:space="preserve">. Fourier analysis resolved PDW wavevectors at </w:t>
      </w:r>
      <m:oMath>
        <m:sSub>
          <m:sSubPr>
            <m:ctrlPr>
              <w:rPr>
                <w:rFonts w:ascii="Cambria Math" w:hAnsi="Arial" w:cs="Arial"/>
                <w:i/>
                <w:sz w:val="20"/>
                <w:szCs w:val="20"/>
              </w:rPr>
            </m:ctrlPr>
          </m:sSubPr>
          <m:e>
            <m:r>
              <w:rPr>
                <w:rFonts w:ascii="Cambria Math" w:hAnsi="Cambria Math" w:cs="Arial"/>
                <w:sz w:val="20"/>
                <w:szCs w:val="20"/>
              </w:rPr>
              <m:t>Q</m:t>
            </m:r>
          </m:e>
          <m:sub>
            <m:r>
              <w:rPr>
                <w:rFonts w:ascii="Cambria Math" w:hAnsi="Cambria Math" w:cs="Arial"/>
                <w:sz w:val="20"/>
                <w:szCs w:val="20"/>
              </w:rPr>
              <m:t>x</m:t>
            </m:r>
          </m:sub>
        </m:sSub>
        <m:r>
          <w:rPr>
            <w:rFonts w:ascii="Cambria Math"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r>
          <w:rPr>
            <w:rFonts w:ascii="Cambria Math" w:hAnsi="Arial" w:cs="Arial"/>
            <w:sz w:val="20"/>
            <w:szCs w:val="20"/>
          </w:rPr>
          <m:t>(0.129</m:t>
        </m:r>
        <m:r>
          <w:rPr>
            <w:rFonts w:ascii="Arial" w:hAnsi="Arial" w:cs="Arial"/>
            <w:sz w:val="20"/>
            <w:szCs w:val="20"/>
          </w:rPr>
          <m:t>±</m:t>
        </m:r>
        <m:r>
          <w:rPr>
            <w:rFonts w:ascii="Cambria Math" w:hAnsi="Arial" w:cs="Arial"/>
            <w:sz w:val="20"/>
            <w:szCs w:val="20"/>
          </w:rPr>
          <m:t>0.003, 0)</m:t>
        </m:r>
      </m:oMath>
      <w:r w:rsidRPr="002F7431">
        <w:rPr>
          <w:rFonts w:ascii="Arial" w:hAnsi="Arial" w:cs="Arial"/>
          <w:sz w:val="20"/>
          <w:szCs w:val="20"/>
        </w:rPr>
        <w:t xml:space="preserve"> and </w:t>
      </w:r>
      <m:oMath>
        <m:sSub>
          <m:sSubPr>
            <m:ctrlPr>
              <w:rPr>
                <w:rFonts w:ascii="Cambria Math" w:hAnsi="Arial" w:cs="Arial"/>
                <w:i/>
                <w:sz w:val="20"/>
                <w:szCs w:val="20"/>
              </w:rPr>
            </m:ctrlPr>
          </m:sSubPr>
          <m:e>
            <m:r>
              <w:rPr>
                <w:rFonts w:ascii="Cambria Math" w:hAnsi="Cambria Math" w:cs="Arial"/>
                <w:sz w:val="20"/>
                <w:szCs w:val="20"/>
              </w:rPr>
              <m:t>Q</m:t>
            </m:r>
          </m:e>
          <m:sub>
            <m:r>
              <w:rPr>
                <w:rFonts w:ascii="Cambria Math" w:hAnsi="Cambria Math" w:cs="Arial"/>
                <w:sz w:val="20"/>
                <w:szCs w:val="20"/>
              </w:rPr>
              <m:t>y</m:t>
            </m:r>
          </m:sub>
        </m:sSub>
        <m:r>
          <w:rPr>
            <w:rFonts w:ascii="Cambria Math"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r>
          <w:rPr>
            <w:rFonts w:ascii="Cambria Math" w:hAnsi="Arial" w:cs="Arial"/>
            <w:sz w:val="20"/>
            <w:szCs w:val="20"/>
          </w:rPr>
          <m:t>(0, 0.118</m:t>
        </m:r>
        <m:r>
          <w:rPr>
            <w:rFonts w:ascii="Arial" w:hAnsi="Arial" w:cs="Arial"/>
            <w:sz w:val="20"/>
            <w:szCs w:val="20"/>
          </w:rPr>
          <m:t>±</m:t>
        </m:r>
        <m:r>
          <w:rPr>
            <w:rFonts w:ascii="Cambria Math" w:hAnsi="Arial" w:cs="Arial"/>
            <w:sz w:val="20"/>
            <w:szCs w:val="20"/>
          </w:rPr>
          <m:t>0.003)</m:t>
        </m:r>
      </m:oMath>
      <w:r w:rsidRPr="002F7431">
        <w:rPr>
          <w:rFonts w:ascii="Arial" w:hAnsi="Arial" w:cs="Arial"/>
          <w:sz w:val="20"/>
          <w:szCs w:val="20"/>
        </w:rPr>
        <w:t xml:space="preserve">  (Panel B) </w:t>
      </w:r>
      <w:r w:rsidRPr="002F7431">
        <w:rPr>
          <w:rFonts w:ascii="Arial" w:eastAsia="Times New Roman" w:hAnsi="Arial" w:cs="Arial"/>
          <w:sz w:val="20"/>
          <w:szCs w:val="20"/>
        </w:rPr>
        <w:t xml:space="preserve">corroborated by particle–hole symmetric gap modulations of </w:t>
      </w:r>
      <m:oMath>
        <m:r>
          <w:rPr>
            <w:rFonts w:ascii="Cambria Math" w:hAnsi="Arial" w:cs="Arial"/>
            <w:sz w:val="20"/>
            <w:szCs w:val="20"/>
          </w:rPr>
          <m:t xml:space="preserve">~6 </m:t>
        </m:r>
        <m:r>
          <w:rPr>
            <w:rFonts w:ascii="Cambria Math" w:hAnsi="Cambria Math" w:cs="Arial"/>
            <w:sz w:val="20"/>
            <w:szCs w:val="20"/>
          </w:rPr>
          <m:t>MeV</m:t>
        </m:r>
      </m:oMath>
      <w:r w:rsidRPr="002F7431">
        <w:rPr>
          <w:rFonts w:ascii="Arial" w:eastAsia="Times New Roman" w:hAnsi="Arial" w:cs="Arial"/>
          <w:sz w:val="20"/>
          <w:szCs w:val="20"/>
        </w:rPr>
        <w:t xml:space="preserve"> amplitude (Panels C–D). These results firmly establish finite-momentum pairing in cuprates.</w:t>
      </w:r>
    </w:p>
    <w:p w14:paraId="509C92AF"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p>
    <w:p w14:paraId="21B414F3" w14:textId="77777777" w:rsidR="00C40ECA" w:rsidRDefault="00C40ECA" w:rsidP="00C40ECA">
      <w:pPr>
        <w:spacing w:before="100" w:beforeAutospacing="1" w:after="100" w:afterAutospacing="1" w:line="240" w:lineRule="auto"/>
        <w:rPr>
          <w:rFonts w:ascii="Times New Roman" w:eastAsia="Times New Roman" w:hAnsi="Times New Roman" w:cs="Times New Roman"/>
        </w:rPr>
      </w:pPr>
    </w:p>
    <w:p w14:paraId="14946BCC" w14:textId="77777777" w:rsidR="00C40ECA" w:rsidRPr="001F60FE" w:rsidRDefault="00C40ECA" w:rsidP="00C40ECA">
      <w:pPr>
        <w:spacing w:before="100" w:beforeAutospacing="1" w:after="100" w:afterAutospacing="1" w:line="240" w:lineRule="auto"/>
        <w:rPr>
          <w:rFonts w:ascii="Times New Roman" w:hAnsi="Times New Roman" w:cs="Times New Roman"/>
          <w:bCs/>
        </w:rPr>
      </w:pPr>
      <w:r w:rsidRPr="0087055A">
        <w:rPr>
          <w:rFonts w:ascii="Times New Roman" w:eastAsia="Times New Roman" w:hAnsi="Times New Roman" w:cs="Times New Roman"/>
          <w:b/>
          <w:noProof/>
          <w:kern w:val="0"/>
        </w:rPr>
        <w:drawing>
          <wp:inline distT="0" distB="0" distL="0" distR="0" wp14:anchorId="3E8052C2" wp14:editId="5BF3B723">
            <wp:extent cx="4728047" cy="3929974"/>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731389" cy="3932752"/>
                    </a:xfrm>
                    <a:prstGeom prst="rect">
                      <a:avLst/>
                    </a:prstGeom>
                    <a:noFill/>
                    <a:ln w="9525">
                      <a:noFill/>
                      <a:miter lim="800000"/>
                      <a:headEnd/>
                      <a:tailEnd/>
                    </a:ln>
                  </pic:spPr>
                </pic:pic>
              </a:graphicData>
            </a:graphic>
          </wp:inline>
        </w:drawing>
      </w:r>
    </w:p>
    <w:p w14:paraId="1CF82975" w14:textId="77777777" w:rsidR="00C40ECA" w:rsidRPr="002F7431" w:rsidRDefault="00C40ECA" w:rsidP="002F7431">
      <w:pPr>
        <w:spacing w:line="240" w:lineRule="auto"/>
        <w:jc w:val="both"/>
        <w:rPr>
          <w:rStyle w:val="Strong"/>
          <w:rFonts w:ascii="Arial" w:hAnsi="Arial" w:cs="Arial"/>
          <w:b w:val="0"/>
          <w:bCs w:val="0"/>
          <w:i/>
          <w:sz w:val="20"/>
          <w:szCs w:val="20"/>
        </w:rPr>
      </w:pPr>
      <w:r w:rsidRPr="002F7431">
        <w:rPr>
          <w:rStyle w:val="Strong"/>
          <w:rFonts w:ascii="Arial" w:hAnsi="Arial" w:cs="Arial"/>
          <w:i/>
          <w:sz w:val="20"/>
          <w:szCs w:val="20"/>
        </w:rPr>
        <w:lastRenderedPageBreak/>
        <w:t xml:space="preserve">FIGURE 6: Atomic-scale visualization of pair-density wave order in </w:t>
      </w:r>
      <m:oMath>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Bi</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Sr</m:t>
            </m:r>
          </m:e>
          <m:sub>
            <m:r>
              <m:rPr>
                <m:sty m:val="bi"/>
              </m:rPr>
              <w:rPr>
                <w:rStyle w:val="Strong"/>
                <w:rFonts w:ascii="Cambria Math" w:hAnsi="Cambria Math" w:cs="Arial"/>
                <w:sz w:val="20"/>
                <w:szCs w:val="20"/>
              </w:rPr>
              <m:t>2</m:t>
            </m:r>
          </m:sub>
        </m:sSub>
        <m:r>
          <m:rPr>
            <m:sty m:val="bi"/>
          </m:rPr>
          <w:rPr>
            <w:rStyle w:val="Strong"/>
            <w:rFonts w:ascii="Cambria Math" w:hAnsi="Cambria Math" w:cs="Arial"/>
            <w:sz w:val="20"/>
            <w:szCs w:val="20"/>
          </w:rPr>
          <m:t>Ca</m:t>
        </m:r>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Cu</m:t>
            </m:r>
          </m:e>
          <m:sub>
            <m:r>
              <m:rPr>
                <m:sty m:val="bi"/>
              </m:rPr>
              <w:rPr>
                <w:rStyle w:val="Strong"/>
                <w:rFonts w:ascii="Cambria Math" w:hAnsi="Cambria Math" w:cs="Arial"/>
                <w:sz w:val="20"/>
                <w:szCs w:val="20"/>
              </w:rPr>
              <m:t>2</m:t>
            </m:r>
          </m:sub>
        </m:sSub>
        <m:sSub>
          <m:sSubPr>
            <m:ctrlPr>
              <w:rPr>
                <w:rStyle w:val="Strong"/>
                <w:rFonts w:ascii="Cambria Math" w:hAnsi="Arial" w:cs="Arial"/>
                <w:b w:val="0"/>
                <w:bCs w:val="0"/>
                <w:i/>
                <w:sz w:val="20"/>
                <w:szCs w:val="20"/>
              </w:rPr>
            </m:ctrlPr>
          </m:sSubPr>
          <m:e>
            <m:r>
              <m:rPr>
                <m:sty m:val="bi"/>
              </m:rPr>
              <w:rPr>
                <w:rStyle w:val="Strong"/>
                <w:rFonts w:ascii="Cambria Math" w:hAnsi="Cambria Math" w:cs="Arial"/>
                <w:sz w:val="20"/>
                <w:szCs w:val="20"/>
              </w:rPr>
              <m:t>O</m:t>
            </m:r>
          </m:e>
          <m:sub>
            <m:r>
              <m:rPr>
                <m:sty m:val="bi"/>
              </m:rPr>
              <w:rPr>
                <w:rStyle w:val="Strong"/>
                <w:rFonts w:ascii="Cambria Math" w:hAnsi="Cambria Math" w:cs="Arial"/>
                <w:sz w:val="20"/>
                <w:szCs w:val="20"/>
              </w:rPr>
              <m:t>8</m:t>
            </m:r>
            <m:r>
              <m:rPr>
                <m:sty m:val="bi"/>
              </m:rPr>
              <w:rPr>
                <w:rStyle w:val="Strong"/>
                <w:rFonts w:ascii="Cambria Math" w:hAnsi="Arial" w:cs="Arial"/>
                <w:sz w:val="20"/>
                <w:szCs w:val="20"/>
              </w:rPr>
              <m:t>+</m:t>
            </m:r>
            <m:r>
              <m:rPr>
                <m:sty m:val="bi"/>
              </m:rPr>
              <w:rPr>
                <w:rStyle w:val="Strong"/>
                <w:rFonts w:ascii="Cambria Math" w:hAnsi="Cambria Math" w:cs="Arial"/>
                <w:sz w:val="20"/>
                <w:szCs w:val="20"/>
              </w:rPr>
              <m:t>δ</m:t>
            </m:r>
          </m:sub>
        </m:sSub>
      </m:oMath>
      <w:r w:rsidRPr="002F7431">
        <w:rPr>
          <w:rStyle w:val="Strong"/>
          <w:rFonts w:ascii="Arial" w:hAnsi="Arial" w:cs="Arial"/>
          <w:i/>
          <w:sz w:val="20"/>
          <w:szCs w:val="20"/>
        </w:rPr>
        <w:t>.</w:t>
      </w:r>
      <w:r w:rsidRPr="002F7431">
        <w:rPr>
          <w:rFonts w:ascii="Arial" w:hAnsi="Arial" w:cs="Arial"/>
          <w:i/>
          <w:sz w:val="20"/>
          <w:szCs w:val="20"/>
        </w:rPr>
        <w:t xml:space="preserve">  </w:t>
      </w:r>
      <w:r w:rsidRPr="002F7431">
        <w:rPr>
          <w:rStyle w:val="Strong"/>
          <w:rFonts w:ascii="Arial" w:hAnsi="Arial" w:cs="Arial"/>
          <w:i/>
          <w:sz w:val="20"/>
          <w:szCs w:val="20"/>
        </w:rPr>
        <w:t>(A)</w:t>
      </w:r>
      <w:r w:rsidRPr="002F7431">
        <w:rPr>
          <w:rFonts w:ascii="Arial" w:hAnsi="Arial" w:cs="Arial"/>
          <w:i/>
          <w:sz w:val="20"/>
          <w:szCs w:val="20"/>
        </w:rPr>
        <w:t xml:space="preserve"> Energy gap map </w:t>
      </w:r>
      <m:oMath>
        <m:r>
          <w:rPr>
            <w:rFonts w:ascii="Arial" w:hAnsi="Arial" w:cs="Arial"/>
            <w:sz w:val="20"/>
            <w:szCs w:val="20"/>
          </w:rPr>
          <m:t>∆</m:t>
        </m:r>
        <m:r>
          <w:rPr>
            <w:rFonts w:ascii="Cambria Math" w:hAnsi="Arial" w:cs="Arial"/>
            <w:sz w:val="20"/>
            <w:szCs w:val="20"/>
          </w:rPr>
          <m:t>(</m:t>
        </m:r>
        <m:r>
          <w:rPr>
            <w:rFonts w:ascii="Cambria Math" w:hAnsi="Cambria Math" w:cs="Arial"/>
            <w:sz w:val="20"/>
            <w:szCs w:val="20"/>
          </w:rPr>
          <m:t>r</m:t>
        </m:r>
        <m:r>
          <w:rPr>
            <w:rFonts w:ascii="Cambria Math" w:hAnsi="Arial" w:cs="Arial"/>
            <w:sz w:val="20"/>
            <w:szCs w:val="20"/>
          </w:rPr>
          <m:t>)</m:t>
        </m:r>
      </m:oMath>
      <w:r w:rsidRPr="002F7431">
        <w:rPr>
          <w:rFonts w:ascii="Arial" w:hAnsi="Arial" w:cs="Arial"/>
          <w:i/>
          <w:sz w:val="20"/>
          <w:szCs w:val="20"/>
        </w:rPr>
        <w:t xml:space="preserve"> showing eight-unit-cell periodic modulations with amplitude histogram (inset). </w:t>
      </w:r>
      <w:r w:rsidRPr="002F7431">
        <w:rPr>
          <w:rStyle w:val="Strong"/>
          <w:rFonts w:ascii="Arial" w:hAnsi="Arial" w:cs="Arial"/>
          <w:i/>
          <w:sz w:val="20"/>
          <w:szCs w:val="20"/>
        </w:rPr>
        <w:t>(B)</w:t>
      </w:r>
      <w:r w:rsidRPr="002F7431">
        <w:rPr>
          <w:rFonts w:ascii="Arial" w:hAnsi="Arial" w:cs="Arial"/>
          <w:i/>
          <w:sz w:val="20"/>
          <w:szCs w:val="20"/>
        </w:rPr>
        <w:t xml:space="preserve"> Fourier transform revealing PDW peaks at wavevectors </w:t>
      </w:r>
      <m:oMath>
        <m:r>
          <w:rPr>
            <w:rFonts w:ascii="Cambria Math" w:hAnsi="Cambria Math" w:cs="Arial"/>
            <w:sz w:val="20"/>
            <w:szCs w:val="20"/>
          </w:rPr>
          <m:t>Q</m:t>
        </m:r>
        <m:r>
          <w:rPr>
            <w:rFonts w:ascii="Arial" w:hAnsi="Arial" w:cs="Arial"/>
            <w:sz w:val="20"/>
            <w:szCs w:val="20"/>
          </w:rPr>
          <m:t>≈</m:t>
        </m:r>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r>
                  <w:rPr>
                    <w:rFonts w:ascii="Cambria Math" w:hAnsi="Cambria Math" w:cs="Arial"/>
                    <w:sz w:val="20"/>
                    <w:szCs w:val="20"/>
                  </w:rPr>
                  <m:t>a</m:t>
                </m:r>
              </m:den>
            </m:f>
          </m:e>
        </m:d>
        <m:d>
          <m:dPr>
            <m:ctrlPr>
              <w:rPr>
                <w:rFonts w:ascii="Cambria Math" w:hAnsi="Arial" w:cs="Arial"/>
                <w:i/>
                <w:sz w:val="20"/>
                <w:szCs w:val="20"/>
              </w:rPr>
            </m:ctrlPr>
          </m:dPr>
          <m:e>
            <m:f>
              <m:fPr>
                <m:type m:val="lin"/>
                <m:ctrlPr>
                  <w:rPr>
                    <w:rFonts w:ascii="Cambria Math" w:hAnsi="Arial" w:cs="Arial"/>
                    <w:i/>
                    <w:sz w:val="20"/>
                    <w:szCs w:val="20"/>
                  </w:rPr>
                </m:ctrlPr>
              </m:fPr>
              <m:num>
                <m:r>
                  <w:rPr>
                    <w:rFonts w:ascii="Cambria Math" w:hAnsi="Arial" w:cs="Arial"/>
                    <w:sz w:val="20"/>
                    <w:szCs w:val="20"/>
                  </w:rPr>
                  <m:t>1</m:t>
                </m:r>
              </m:num>
              <m:den>
                <m:r>
                  <w:rPr>
                    <w:rFonts w:ascii="Cambria Math" w:hAnsi="Arial" w:cs="Arial"/>
                    <w:sz w:val="20"/>
                    <w:szCs w:val="20"/>
                  </w:rPr>
                  <m:t>8</m:t>
                </m:r>
              </m:den>
            </m:f>
            <m:r>
              <w:rPr>
                <w:rFonts w:ascii="Cambria Math" w:hAnsi="Arial" w:cs="Arial"/>
                <w:sz w:val="20"/>
                <w:szCs w:val="20"/>
              </w:rPr>
              <m:t>,0</m:t>
            </m:r>
          </m:e>
        </m:d>
        <m:r>
          <w:rPr>
            <w:rFonts w:ascii="Cambria Math" w:hAnsi="Cambria Math" w:cs="Arial"/>
            <w:sz w:val="20"/>
            <w:szCs w:val="20"/>
          </w:rPr>
          <m:t>and</m:t>
        </m:r>
        <m:r>
          <w:rPr>
            <w:rFonts w:ascii="Cambria Math" w:hAnsi="Arial" w:cs="Arial"/>
            <w:sz w:val="20"/>
            <w:szCs w:val="20"/>
          </w:rPr>
          <m:t xml:space="preserve"> (0,</m:t>
        </m:r>
        <m:f>
          <m:fPr>
            <m:type m:val="lin"/>
            <m:ctrlPr>
              <w:rPr>
                <w:rFonts w:ascii="Cambria Math" w:hAnsi="Arial" w:cs="Arial"/>
                <w:i/>
                <w:sz w:val="20"/>
                <w:szCs w:val="20"/>
              </w:rPr>
            </m:ctrlPr>
          </m:fPr>
          <m:num>
            <m:r>
              <w:rPr>
                <w:rFonts w:ascii="Cambria Math" w:hAnsi="Arial" w:cs="Arial"/>
                <w:sz w:val="20"/>
                <w:szCs w:val="20"/>
              </w:rPr>
              <m:t>1</m:t>
            </m:r>
          </m:num>
          <m:den>
            <m:r>
              <w:rPr>
                <w:rFonts w:ascii="Cambria Math" w:hAnsi="Arial" w:cs="Arial"/>
                <w:sz w:val="20"/>
                <w:szCs w:val="20"/>
              </w:rPr>
              <m:t>8</m:t>
            </m:r>
          </m:den>
        </m:f>
        <m:r>
          <w:rPr>
            <w:rFonts w:ascii="Cambria Math" w:hAnsi="Arial" w:cs="Arial"/>
            <w:sz w:val="20"/>
            <w:szCs w:val="20"/>
          </w:rPr>
          <m:t>)</m:t>
        </m:r>
      </m:oMath>
      <w:r w:rsidRPr="002F7431">
        <w:rPr>
          <w:rFonts w:ascii="Arial" w:hAnsi="Arial" w:cs="Arial"/>
          <w:i/>
          <w:sz w:val="20"/>
          <w:szCs w:val="20"/>
        </w:rPr>
        <w:t xml:space="preserve">. </w:t>
      </w:r>
      <w:r w:rsidRPr="002F7431">
        <w:rPr>
          <w:rStyle w:val="Strong"/>
          <w:rFonts w:ascii="Arial" w:hAnsi="Arial" w:cs="Arial"/>
          <w:i/>
          <w:sz w:val="20"/>
          <w:szCs w:val="20"/>
        </w:rPr>
        <w:t>(C)</w:t>
      </w:r>
      <w:r w:rsidRPr="002F7431">
        <w:rPr>
          <w:rFonts w:ascii="Arial" w:hAnsi="Arial" w:cs="Arial"/>
          <w:i/>
          <w:sz w:val="20"/>
          <w:szCs w:val="20"/>
        </w:rPr>
        <w:t xml:space="preserve"> Energy-distance spectroscopy along marked trajectory displaying </w:t>
      </w:r>
      <m:oMath>
        <m:sSub>
          <m:sSubPr>
            <m:ctrlPr>
              <w:rPr>
                <w:rFonts w:ascii="Cambria Math" w:hAnsi="Arial" w:cs="Arial"/>
                <w:i/>
                <w:sz w:val="20"/>
                <w:szCs w:val="20"/>
              </w:rPr>
            </m:ctrlPr>
          </m:sSubPr>
          <m:e>
            <m:r>
              <w:rPr>
                <w:rFonts w:ascii="Cambria Math" w:hAnsi="Arial" w:cs="Arial"/>
                <w:sz w:val="20"/>
                <w:szCs w:val="20"/>
              </w:rPr>
              <m:t>~8</m:t>
            </m:r>
            <m:r>
              <w:rPr>
                <w:rFonts w:ascii="Cambria Math" w:hAnsi="Cambria Math" w:cs="Arial"/>
                <w:sz w:val="20"/>
                <w:szCs w:val="20"/>
              </w:rPr>
              <m:t>a</m:t>
            </m:r>
          </m:e>
          <m:sub>
            <m:r>
              <w:rPr>
                <w:rFonts w:ascii="Cambria Math" w:hAnsi="Arial" w:cs="Arial"/>
                <w:sz w:val="20"/>
                <w:szCs w:val="20"/>
              </w:rPr>
              <m:t>0</m:t>
            </m:r>
          </m:sub>
        </m:sSub>
      </m:oMath>
      <w:r w:rsidRPr="002F7431">
        <w:rPr>
          <w:rFonts w:ascii="Arial" w:hAnsi="Arial" w:cs="Arial"/>
          <w:i/>
          <w:sz w:val="20"/>
          <w:szCs w:val="20"/>
        </w:rPr>
        <w:t xml:space="preserve"> gap oscillations. </w:t>
      </w:r>
      <w:r w:rsidRPr="002F7431">
        <w:rPr>
          <w:rStyle w:val="Strong"/>
          <w:rFonts w:ascii="Arial" w:hAnsi="Arial" w:cs="Arial"/>
          <w:i/>
          <w:sz w:val="20"/>
          <w:szCs w:val="20"/>
        </w:rPr>
        <w:t>(D)</w:t>
      </w:r>
      <w:r w:rsidRPr="002F7431">
        <w:rPr>
          <w:rFonts w:ascii="Arial" w:hAnsi="Arial" w:cs="Arial"/>
          <w:i/>
          <w:sz w:val="20"/>
          <w:szCs w:val="20"/>
        </w:rPr>
        <w:t xml:space="preserve"> Wavevector-resolved profiles confirming PDW peaks at </w:t>
      </w:r>
      <m:oMath>
        <m:r>
          <w:rPr>
            <w:rFonts w:ascii="Cambria Math" w:hAnsi="Cambria Math" w:cs="Arial"/>
            <w:sz w:val="20"/>
            <w:szCs w:val="20"/>
          </w:rPr>
          <m:t>Q</m:t>
        </m:r>
        <m:r>
          <w:rPr>
            <w:rFonts w:ascii="Cambria Math" w:hAnsi="Arial" w:cs="Arial"/>
            <w:sz w:val="20"/>
            <w:szCs w:val="20"/>
          </w:rPr>
          <m:t>=(0.129</m:t>
        </m:r>
        <m:r>
          <w:rPr>
            <w:rFonts w:ascii="Arial" w:hAnsi="Arial" w:cs="Arial"/>
            <w:sz w:val="20"/>
            <w:szCs w:val="20"/>
          </w:rPr>
          <m:t>±</m:t>
        </m:r>
        <m:r>
          <w:rPr>
            <w:rFonts w:ascii="Cambria Math" w:hAnsi="Arial" w:cs="Arial"/>
            <w:sz w:val="20"/>
            <w:szCs w:val="20"/>
          </w:rPr>
          <m:t>0.003, 0)</m:t>
        </m:r>
      </m:oMath>
      <w:r w:rsidRPr="002F7431">
        <w:rPr>
          <w:rFonts w:ascii="Arial" w:hAnsi="Arial" w:cs="Arial"/>
          <w:i/>
          <w:sz w:val="20"/>
          <w:szCs w:val="20"/>
        </w:rPr>
        <w:t xml:space="preserve"> and </w:t>
      </w:r>
      <m:oMath>
        <m:r>
          <w:rPr>
            <w:rFonts w:ascii="Cambria Math" w:hAnsi="Arial" w:cs="Arial"/>
            <w:sz w:val="20"/>
            <w:szCs w:val="20"/>
          </w:rPr>
          <m:t>(0, 0.118</m:t>
        </m:r>
        <m:r>
          <w:rPr>
            <w:rFonts w:ascii="Arial" w:hAnsi="Arial" w:cs="Arial"/>
            <w:sz w:val="20"/>
            <w:szCs w:val="20"/>
          </w:rPr>
          <m:t>±</m:t>
        </m:r>
        <m:r>
          <w:rPr>
            <w:rFonts w:ascii="Cambria Math" w:hAnsi="Arial" w:cs="Arial"/>
            <w:sz w:val="20"/>
            <w:szCs w:val="20"/>
          </w:rPr>
          <m:t>0.003)</m:t>
        </m:r>
      </m:oMath>
      <w:r w:rsidRPr="002F7431">
        <w:rPr>
          <w:rFonts w:ascii="Arial" w:hAnsi="Arial" w:cs="Arial"/>
          <w:i/>
          <w:sz w:val="20"/>
          <w:szCs w:val="20"/>
        </w:rPr>
        <w:t xml:space="preserve"> in units of </w:t>
      </w:r>
      <m:oMath>
        <m:f>
          <m:fPr>
            <m:type m:val="lin"/>
            <m:ctrlPr>
              <w:rPr>
                <w:rFonts w:ascii="Cambria Math" w:hAnsi="Arial" w:cs="Arial"/>
                <w:i/>
                <w:sz w:val="20"/>
                <w:szCs w:val="20"/>
              </w:rPr>
            </m:ctrlPr>
          </m:fPr>
          <m:num>
            <m:r>
              <w:rPr>
                <w:rFonts w:ascii="Cambria Math" w:hAnsi="Arial" w:cs="Arial"/>
                <w:sz w:val="20"/>
                <w:szCs w:val="20"/>
              </w:rPr>
              <m:t>2</m:t>
            </m:r>
            <m:r>
              <w:rPr>
                <w:rFonts w:ascii="Cambria Math" w:hAnsi="Cambria Math" w:cs="Arial"/>
                <w:sz w:val="20"/>
                <w:szCs w:val="20"/>
              </w:rPr>
              <m:t>π</m:t>
            </m:r>
          </m:num>
          <m:den>
            <m:sSub>
              <m:sSubPr>
                <m:ctrlPr>
                  <w:rPr>
                    <w:rFonts w:ascii="Cambria Math" w:hAnsi="Arial" w:cs="Arial"/>
                    <w:i/>
                    <w:sz w:val="20"/>
                    <w:szCs w:val="20"/>
                  </w:rPr>
                </m:ctrlPr>
              </m:sSubPr>
              <m:e>
                <m:r>
                  <w:rPr>
                    <w:rFonts w:ascii="Cambria Math" w:hAnsi="Cambria Math" w:cs="Arial"/>
                    <w:sz w:val="20"/>
                    <w:szCs w:val="20"/>
                  </w:rPr>
                  <m:t>a</m:t>
                </m:r>
              </m:e>
              <m:sub>
                <m:r>
                  <w:rPr>
                    <w:rFonts w:ascii="Cambria Math" w:hAnsi="Arial" w:cs="Arial"/>
                    <w:sz w:val="20"/>
                    <w:szCs w:val="20"/>
                  </w:rPr>
                  <m:t xml:space="preserve">0  </m:t>
                </m:r>
              </m:sub>
            </m:sSub>
          </m:den>
        </m:f>
      </m:oMath>
      <w:r w:rsidR="0073327A">
        <w:rPr>
          <w:rFonts w:ascii="Arial" w:hAnsi="Arial" w:cs="Arial"/>
          <w:i/>
          <w:sz w:val="20"/>
          <w:szCs w:val="20"/>
        </w:rPr>
        <w:t>[69]</w:t>
      </w:r>
      <w:r w:rsidRPr="002F7431">
        <w:rPr>
          <w:rFonts w:ascii="Arial" w:hAnsi="Arial" w:cs="Arial"/>
          <w:i/>
          <w:sz w:val="20"/>
          <w:szCs w:val="20"/>
        </w:rPr>
        <w:t>.</w:t>
      </w:r>
    </w:p>
    <w:p w14:paraId="775B37C1"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Spin density waves (SDWs) </w:t>
      </w:r>
      <w:r w:rsidRPr="002F7431">
        <w:rPr>
          <w:rFonts w:ascii="Arial" w:hAnsi="Arial" w:cs="Arial"/>
          <w:sz w:val="20"/>
          <w:szCs w:val="20"/>
        </w:rPr>
        <w:t>further break symmetry and compete with charge orders</w:t>
      </w:r>
      <w:r w:rsidRPr="002F7431">
        <w:rPr>
          <w:rFonts w:ascii="Arial" w:eastAsia="Times New Roman" w:hAnsi="Arial" w:cs="Arial"/>
          <w:sz w:val="20"/>
          <w:szCs w:val="20"/>
        </w:rPr>
        <w:t xml:space="preserve">. Neutron scattering reveals stripe-like correlations up to </w:t>
      </w:r>
      <m:oMath>
        <m:r>
          <w:rPr>
            <w:rFonts w:ascii="Cambria Math" w:hAnsi="Cambria Math" w:cs="Arial"/>
            <w:sz w:val="20"/>
            <w:szCs w:val="20"/>
          </w:rPr>
          <m:t>x</m:t>
        </m:r>
        <m:r>
          <w:rPr>
            <w:rFonts w:ascii="Cambria Math" w:hAnsi="Arial" w:cs="Arial"/>
            <w:sz w:val="20"/>
            <w:szCs w:val="20"/>
          </w:rPr>
          <m:t>=0.26</m:t>
        </m:r>
      </m:oMath>
      <w:r w:rsidRPr="002F7431">
        <w:rPr>
          <w:rFonts w:ascii="Arial" w:eastAsia="Times New Roman" w:hAnsi="Arial" w:cs="Arial"/>
          <w:sz w:val="20"/>
          <w:szCs w:val="20"/>
        </w:rPr>
        <w:t xml:space="preserve"> </w:t>
      </w:r>
      <w:r w:rsidR="004572DE">
        <w:rPr>
          <w:rFonts w:ascii="Arial" w:eastAsia="Times New Roman" w:hAnsi="Arial" w:cs="Arial"/>
          <w:sz w:val="20"/>
          <w:szCs w:val="20"/>
        </w:rPr>
        <w:t xml:space="preserve"> in Nd-LSCO </w:t>
      </w:r>
      <w:r w:rsidR="0073327A">
        <w:rPr>
          <w:rFonts w:ascii="Arial" w:eastAsia="Times New Roman" w:hAnsi="Arial" w:cs="Arial"/>
          <w:sz w:val="20"/>
          <w:szCs w:val="20"/>
        </w:rPr>
        <w:t>[70]</w:t>
      </w:r>
      <w:r w:rsidRPr="002F7431">
        <w:rPr>
          <w:rFonts w:ascii="Arial" w:eastAsia="Times New Roman" w:hAnsi="Arial" w:cs="Arial"/>
          <w:sz w:val="20"/>
          <w:szCs w:val="20"/>
        </w:rPr>
        <w:t>, whi</w:t>
      </w:r>
      <w:r w:rsidR="00AF2BA3" w:rsidRPr="002F7431">
        <w:rPr>
          <w:rFonts w:ascii="Arial" w:eastAsia="Times New Roman" w:hAnsi="Arial" w:cs="Arial"/>
          <w:sz w:val="20"/>
          <w:szCs w:val="20"/>
        </w:rPr>
        <w:t>le</w:t>
      </w:r>
      <w:r w:rsidR="00AF2BA3" w:rsidRPr="002F7431">
        <w:rPr>
          <w:rFonts w:ascii="Arial" w:hAnsi="Arial" w:cs="Arial"/>
          <w:sz w:val="20"/>
          <w:szCs w:val="20"/>
        </w:rPr>
        <w:t xml:space="preserve"> ultrasound and complementary probes</w:t>
      </w:r>
      <w:r w:rsidRPr="002F7431">
        <w:rPr>
          <w:rFonts w:ascii="Arial" w:eastAsia="Times New Roman" w:hAnsi="Arial" w:cs="Arial"/>
          <w:sz w:val="20"/>
          <w:szCs w:val="20"/>
        </w:rPr>
        <w:t xml:space="preserve"> detects AFM fluctuations persisting to the PG endpoint </w:t>
      </w:r>
      <m:oMath>
        <m:sSup>
          <m:sSupPr>
            <m:ctrlPr>
              <w:rPr>
                <w:rFonts w:ascii="Cambria Math" w:eastAsia="Times New Roman" w:hAnsi="Arial" w:cs="Arial"/>
                <w:i/>
                <w:kern w:val="0"/>
                <w:sz w:val="20"/>
                <w:szCs w:val="20"/>
              </w:rPr>
            </m:ctrlPr>
          </m:sSupPr>
          <m:e>
            <m:r>
              <w:rPr>
                <w:rFonts w:ascii="Cambria Math" w:eastAsia="Times New Roman" w:hAnsi="Cambria Math" w:cs="Arial"/>
                <w:sz w:val="20"/>
                <w:szCs w:val="20"/>
              </w:rPr>
              <m:t>p</m:t>
            </m:r>
          </m:e>
          <m:sup>
            <m:r>
              <w:rPr>
                <w:rFonts w:ascii="Cambria Math" w:eastAsia="Times New Roman" w:hAnsi="Cambria Math" w:cs="Arial"/>
                <w:sz w:val="20"/>
                <w:szCs w:val="20"/>
              </w:rPr>
              <m:t>*</m:t>
            </m:r>
          </m:sup>
        </m:sSup>
      </m:oMath>
      <w:r w:rsidR="004572DE">
        <w:rPr>
          <w:rFonts w:ascii="Arial" w:eastAsia="Times New Roman" w:hAnsi="Arial" w:cs="Arial"/>
          <w:sz w:val="20"/>
          <w:szCs w:val="20"/>
        </w:rPr>
        <w:t xml:space="preserve"> [17]</w:t>
      </w:r>
      <w:r w:rsidRPr="002F7431">
        <w:rPr>
          <w:rFonts w:ascii="Arial" w:eastAsia="Times New Roman" w:hAnsi="Arial" w:cs="Arial"/>
          <w:sz w:val="20"/>
          <w:szCs w:val="20"/>
        </w:rPr>
        <w:t>, highlighting magnetism’s central role.</w:t>
      </w:r>
    </w:p>
    <w:p w14:paraId="0176E78B"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 xml:space="preserve">A further candidate is loop-current order, invoked to explain time-reversal symmetry breaking. Kerr rotation signals symmetry loss near </w:t>
      </w:r>
      <m:oMath>
        <m:sSup>
          <m:sSupPr>
            <m:ctrlPr>
              <w:rPr>
                <w:rStyle w:val="Strong"/>
                <w:rFonts w:ascii="Cambria Math" w:hAnsi="Arial" w:cs="Arial"/>
                <w:b w:val="0"/>
                <w:bCs w:val="0"/>
                <w:i/>
                <w:sz w:val="20"/>
                <w:szCs w:val="20"/>
              </w:rPr>
            </m:ctrlPr>
          </m:sSupPr>
          <m:e>
            <m:r>
              <w:rPr>
                <w:rStyle w:val="Strong"/>
                <w:rFonts w:ascii="Cambria Math" w:hAnsi="Cambria Math" w:cs="Arial"/>
                <w:sz w:val="20"/>
                <w:szCs w:val="20"/>
              </w:rPr>
              <m:t>T</m:t>
            </m:r>
          </m:e>
          <m:sup>
            <m:r>
              <m:rPr>
                <m:sty m:val="bi"/>
              </m:rPr>
              <w:rPr>
                <w:rStyle w:val="Strong"/>
                <w:rFonts w:ascii="Arial" w:hAnsi="Cambria Math" w:cs="Arial"/>
                <w:sz w:val="20"/>
                <w:szCs w:val="20"/>
              </w:rPr>
              <m:t>*</m:t>
            </m:r>
          </m:sup>
        </m:sSup>
      </m:oMath>
      <w:r w:rsidR="0073327A">
        <w:rPr>
          <w:rFonts w:ascii="Arial" w:eastAsia="Times New Roman" w:hAnsi="Arial" w:cs="Arial"/>
          <w:sz w:val="20"/>
          <w:szCs w:val="20"/>
        </w:rPr>
        <w:t>[71]</w:t>
      </w:r>
      <w:r w:rsidRPr="002F7431">
        <w:rPr>
          <w:rFonts w:ascii="Arial" w:eastAsia="Times New Roman" w:hAnsi="Arial" w:cs="Arial"/>
          <w:sz w:val="20"/>
          <w:szCs w:val="20"/>
        </w:rPr>
        <w:t>, and polarized neutron scattering reports in</w:t>
      </w:r>
      <w:r w:rsidR="004572DE">
        <w:rPr>
          <w:rFonts w:ascii="Arial" w:eastAsia="Times New Roman" w:hAnsi="Arial" w:cs="Arial"/>
          <w:sz w:val="20"/>
          <w:szCs w:val="20"/>
        </w:rPr>
        <w:t xml:space="preserve">tra-unit-cell magnetic moments </w:t>
      </w:r>
      <w:r w:rsidR="0073327A">
        <w:rPr>
          <w:rFonts w:ascii="Arial" w:eastAsia="Times New Roman" w:hAnsi="Arial" w:cs="Arial"/>
          <w:sz w:val="20"/>
          <w:szCs w:val="20"/>
        </w:rPr>
        <w:t>[72]</w:t>
      </w:r>
      <w:r w:rsidRPr="002F7431">
        <w:rPr>
          <w:rFonts w:ascii="Arial" w:eastAsia="Times New Roman" w:hAnsi="Arial" w:cs="Arial"/>
          <w:sz w:val="20"/>
          <w:szCs w:val="20"/>
        </w:rPr>
        <w:t xml:space="preserve">; </w:t>
      </w:r>
      <w:r w:rsidR="0073327A">
        <w:rPr>
          <w:rFonts w:ascii="Arial" w:eastAsia="Times New Roman" w:hAnsi="Arial" w:cs="Arial"/>
          <w:sz w:val="20"/>
          <w:szCs w:val="20"/>
        </w:rPr>
        <w:t>[73]</w:t>
      </w:r>
      <w:r w:rsidRPr="002F7431">
        <w:rPr>
          <w:rFonts w:ascii="Arial" w:eastAsia="Times New Roman" w:hAnsi="Arial" w:cs="Arial"/>
          <w:sz w:val="20"/>
          <w:szCs w:val="20"/>
        </w:rPr>
        <w:t>. Yet conflicting evidence leaves loop currents debated despite</w:t>
      </w:r>
      <w:r w:rsidR="004572DE">
        <w:rPr>
          <w:rFonts w:ascii="Arial" w:eastAsia="Times New Roman" w:hAnsi="Arial" w:cs="Arial"/>
          <w:sz w:val="20"/>
          <w:szCs w:val="20"/>
        </w:rPr>
        <w:t xml:space="preserve"> strong theoretical motivation </w:t>
      </w:r>
      <w:r w:rsidR="0073327A">
        <w:rPr>
          <w:rFonts w:ascii="Arial" w:eastAsia="Times New Roman" w:hAnsi="Arial" w:cs="Arial"/>
          <w:sz w:val="20"/>
          <w:szCs w:val="20"/>
        </w:rPr>
        <w:t>[74]</w:t>
      </w:r>
      <w:r w:rsidRPr="002F7431">
        <w:rPr>
          <w:rFonts w:ascii="Arial" w:eastAsia="Times New Roman" w:hAnsi="Arial" w:cs="Arial"/>
          <w:sz w:val="20"/>
          <w:szCs w:val="20"/>
        </w:rPr>
        <w:t>.</w:t>
      </w:r>
    </w:p>
    <w:p w14:paraId="499D7FDC" w14:textId="77777777" w:rsidR="00C40ECA" w:rsidRPr="002F7431" w:rsidRDefault="00C40ECA" w:rsidP="002F7431">
      <w:pPr>
        <w:spacing w:before="100" w:beforeAutospacing="1" w:after="100" w:afterAutospacing="1" w:line="240" w:lineRule="auto"/>
        <w:jc w:val="both"/>
        <w:rPr>
          <w:rFonts w:ascii="Arial" w:eastAsia="Times New Roman" w:hAnsi="Arial" w:cs="Arial"/>
          <w:sz w:val="20"/>
          <w:szCs w:val="20"/>
        </w:rPr>
      </w:pPr>
      <w:r w:rsidRPr="002F7431">
        <w:rPr>
          <w:rFonts w:ascii="Arial" w:eastAsia="Times New Roman" w:hAnsi="Arial" w:cs="Arial"/>
          <w:sz w:val="20"/>
          <w:szCs w:val="20"/>
        </w:rPr>
        <w:t>Together, these intertwined orders define the PG not as a single instability but as a competitive and cooperative landscape. Recent work identifying PDW colle</w:t>
      </w:r>
      <w:r w:rsidR="004572DE">
        <w:rPr>
          <w:rFonts w:ascii="Arial" w:eastAsia="Times New Roman" w:hAnsi="Arial" w:cs="Arial"/>
          <w:sz w:val="20"/>
          <w:szCs w:val="20"/>
        </w:rPr>
        <w:t xml:space="preserve">ctive modes </w:t>
      </w:r>
      <w:r w:rsidR="0073327A">
        <w:rPr>
          <w:rFonts w:ascii="Arial" w:eastAsia="Times New Roman" w:hAnsi="Arial" w:cs="Arial"/>
          <w:sz w:val="20"/>
          <w:szCs w:val="20"/>
        </w:rPr>
        <w:t>[75]</w:t>
      </w:r>
      <w:r w:rsidR="004572DE">
        <w:rPr>
          <w:rFonts w:ascii="Arial" w:eastAsia="Times New Roman" w:hAnsi="Arial" w:cs="Arial"/>
          <w:sz w:val="20"/>
          <w:szCs w:val="20"/>
        </w:rPr>
        <w:t xml:space="preserve"> and cross-family signatures </w:t>
      </w:r>
      <w:r w:rsidR="0073327A">
        <w:rPr>
          <w:rFonts w:ascii="Arial" w:eastAsia="Times New Roman" w:hAnsi="Arial" w:cs="Arial"/>
          <w:sz w:val="20"/>
          <w:szCs w:val="20"/>
        </w:rPr>
        <w:t>[76]</w:t>
      </w:r>
      <w:r w:rsidRPr="002F7431">
        <w:rPr>
          <w:rFonts w:ascii="Arial" w:eastAsia="Times New Roman" w:hAnsi="Arial" w:cs="Arial"/>
          <w:sz w:val="20"/>
          <w:szCs w:val="20"/>
        </w:rPr>
        <w:t xml:space="preserve"> reinforces this multifaceted framework</w:t>
      </w:r>
      <w:r w:rsidR="008A432A" w:rsidRPr="002F7431">
        <w:rPr>
          <w:rFonts w:ascii="Arial" w:eastAsia="Times New Roman" w:hAnsi="Arial" w:cs="Arial"/>
          <w:sz w:val="20"/>
          <w:szCs w:val="20"/>
        </w:rPr>
        <w:t>.</w:t>
      </w:r>
    </w:p>
    <w:p w14:paraId="3A3EF5E3" w14:textId="77777777" w:rsidR="00C40ECA" w:rsidRPr="002F7431" w:rsidRDefault="00C40ECA" w:rsidP="00C40ECA">
      <w:pPr>
        <w:spacing w:before="100" w:beforeAutospacing="1" w:after="100" w:afterAutospacing="1" w:line="240" w:lineRule="auto"/>
        <w:rPr>
          <w:rStyle w:val="Strong"/>
          <w:rFonts w:ascii="Arial" w:eastAsia="Times New Roman" w:hAnsi="Arial" w:cs="Arial"/>
          <w:b w:val="0"/>
          <w:bCs w:val="0"/>
          <w:sz w:val="22"/>
          <w:szCs w:val="22"/>
        </w:rPr>
      </w:pPr>
      <w:r w:rsidRPr="002F7431">
        <w:rPr>
          <w:rFonts w:ascii="Arial" w:hAnsi="Arial" w:cs="Arial"/>
          <w:b/>
          <w:sz w:val="22"/>
          <w:szCs w:val="22"/>
        </w:rPr>
        <w:t xml:space="preserve">6.0 </w:t>
      </w:r>
      <w:r w:rsidRPr="002F7431">
        <w:rPr>
          <w:rStyle w:val="Strong"/>
          <w:rFonts w:ascii="Arial" w:hAnsi="Arial" w:cs="Arial"/>
          <w:sz w:val="22"/>
          <w:szCs w:val="22"/>
        </w:rPr>
        <w:t>CONCLUSION</w:t>
      </w:r>
    </w:p>
    <w:p w14:paraId="1C6BD80A" w14:textId="77777777" w:rsidR="00C40ECA" w:rsidRPr="002F7431" w:rsidRDefault="00C40ECA" w:rsidP="002F7431">
      <w:pPr>
        <w:spacing w:before="100" w:beforeAutospacing="1" w:after="100" w:afterAutospacing="1" w:line="240" w:lineRule="auto"/>
        <w:jc w:val="both"/>
        <w:rPr>
          <w:rFonts w:ascii="Arial" w:hAnsi="Arial" w:cs="Arial"/>
          <w:sz w:val="20"/>
          <w:szCs w:val="20"/>
        </w:rPr>
      </w:pPr>
      <w:r w:rsidRPr="002F7431">
        <w:rPr>
          <w:rFonts w:ascii="Arial" w:hAnsi="Arial" w:cs="Arial"/>
          <w:sz w:val="20"/>
          <w:szCs w:val="20"/>
        </w:rPr>
        <w:t>The PG is best regarded as a distinct electronic regime whose endpoint,</w:t>
      </w:r>
      <m:oMath>
        <m:r>
          <w:rPr>
            <w:rFonts w:ascii="Cambria Math" w:hAnsi="Arial" w:cs="Arial"/>
            <w:sz w:val="20"/>
            <w:szCs w:val="20"/>
          </w:rPr>
          <m:t xml:space="preserve"> </m:t>
        </m:r>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Style w:val="Emphasis"/>
          <w:rFonts w:ascii="Arial" w:hAnsi="Arial" w:cs="Arial"/>
          <w:i w:val="0"/>
          <w:sz w:val="20"/>
          <w:szCs w:val="20"/>
        </w:rPr>
        <w:t xml:space="preserve">, depends strongly on the probe used, transport locates it at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[12]</w:t>
      </w:r>
      <w:r w:rsidRPr="002F7431">
        <w:rPr>
          <w:rStyle w:val="Emphasis"/>
          <w:rFonts w:ascii="Arial" w:hAnsi="Arial" w:cs="Arial"/>
          <w:i w:val="0"/>
          <w:sz w:val="20"/>
          <w:szCs w:val="20"/>
        </w:rPr>
        <w:t xml:space="preserve">, spectroscopy near </w:t>
      </w:r>
      <m:oMath>
        <m:r>
          <w:rPr>
            <w:rFonts w:ascii="Cambria Math" w:hAnsi="Arial" w:cs="Arial"/>
            <w:sz w:val="20"/>
            <w:szCs w:val="20"/>
          </w:rPr>
          <m:t>0.22</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[13]</w:t>
      </w:r>
      <w:r w:rsidRPr="002F7431">
        <w:rPr>
          <w:rStyle w:val="Emphasis"/>
          <w:rFonts w:ascii="Arial" w:hAnsi="Arial" w:cs="Arial"/>
          <w:i w:val="0"/>
          <w:sz w:val="20"/>
          <w:szCs w:val="20"/>
        </w:rPr>
        <w:t xml:space="preserve">, and symmetry-sensitive measurements around </w:t>
      </w:r>
      <m:oMath>
        <m:r>
          <w:rPr>
            <w:rFonts w:ascii="Cambria Math" w:hAnsi="Arial" w:cs="Arial"/>
            <w:sz w:val="20"/>
            <w:szCs w:val="20"/>
          </w:rPr>
          <m:t>0.23</m:t>
        </m:r>
      </m:oMath>
      <w:r w:rsidR="004572DE">
        <w:rPr>
          <w:rStyle w:val="Emphasis"/>
          <w:rFonts w:ascii="Arial" w:hAnsi="Arial" w:cs="Arial"/>
          <w:i w:val="0"/>
          <w:sz w:val="20"/>
          <w:szCs w:val="20"/>
        </w:rPr>
        <w:t xml:space="preserve"> </w:t>
      </w:r>
      <w:r w:rsidR="00D36826">
        <w:rPr>
          <w:rStyle w:val="Emphasis"/>
          <w:rFonts w:ascii="Arial" w:hAnsi="Arial" w:cs="Arial"/>
          <w:i w:val="0"/>
          <w:sz w:val="20"/>
          <w:szCs w:val="20"/>
        </w:rPr>
        <w:t>[14]</w:t>
      </w:r>
      <w:r w:rsidRPr="002F7431">
        <w:rPr>
          <w:rStyle w:val="Emphasis"/>
          <w:rFonts w:ascii="Arial" w:hAnsi="Arial" w:cs="Arial"/>
          <w:i w:val="0"/>
          <w:sz w:val="20"/>
          <w:szCs w:val="20"/>
        </w:rPr>
        <w:t>. Rather than reflecting experimental inconsistency, this hierarchy underscores probe-dependent sensitivity to coherence length and correlation scales. Competing theoretical frameworks, quantum criticality, strong-correlation (Mott/RVB), and intertwined orders each capture complementary aspects of these findings, converging on a picture of multifaceted electronic rec</w:t>
      </w:r>
      <w:r w:rsidR="004572DE">
        <w:rPr>
          <w:rStyle w:val="Emphasis"/>
          <w:rFonts w:ascii="Arial" w:hAnsi="Arial" w:cs="Arial"/>
          <w:i w:val="0"/>
          <w:sz w:val="20"/>
          <w:szCs w:val="20"/>
        </w:rPr>
        <w:t xml:space="preserve">onstruction at the PG endpoint </w:t>
      </w:r>
      <w:r w:rsidR="00D36826">
        <w:rPr>
          <w:rStyle w:val="Emphasis"/>
          <w:rFonts w:ascii="Arial" w:hAnsi="Arial" w:cs="Arial"/>
          <w:i w:val="0"/>
          <w:sz w:val="20"/>
          <w:szCs w:val="20"/>
        </w:rPr>
        <w:t>[9</w:t>
      </w:r>
      <w:proofErr w:type="gramStart"/>
      <w:r w:rsidR="00D36826">
        <w:rPr>
          <w:rStyle w:val="Emphasis"/>
          <w:rFonts w:ascii="Arial" w:hAnsi="Arial" w:cs="Arial"/>
          <w:i w:val="0"/>
          <w:sz w:val="20"/>
          <w:szCs w:val="20"/>
        </w:rPr>
        <w:t>]</w:t>
      </w:r>
      <w:r w:rsidR="004572DE">
        <w:rPr>
          <w:rStyle w:val="Emphasis"/>
          <w:rFonts w:ascii="Arial" w:hAnsi="Arial" w:cs="Arial"/>
          <w:i w:val="0"/>
          <w:sz w:val="20"/>
          <w:szCs w:val="20"/>
        </w:rPr>
        <w:t>;</w:t>
      </w:r>
      <w:r w:rsidR="00D36826">
        <w:rPr>
          <w:rStyle w:val="Emphasis"/>
          <w:rFonts w:ascii="Arial" w:hAnsi="Arial" w:cs="Arial"/>
          <w:i w:val="0"/>
          <w:sz w:val="20"/>
          <w:szCs w:val="20"/>
        </w:rPr>
        <w:t>[</w:t>
      </w:r>
      <w:proofErr w:type="gramEnd"/>
      <w:r w:rsidR="00D36826">
        <w:rPr>
          <w:rStyle w:val="Emphasis"/>
          <w:rFonts w:ascii="Arial" w:hAnsi="Arial" w:cs="Arial"/>
          <w:i w:val="0"/>
          <w:sz w:val="20"/>
          <w:szCs w:val="20"/>
        </w:rPr>
        <w:t>18]</w:t>
      </w:r>
      <w:r w:rsidR="004572DE">
        <w:rPr>
          <w:rStyle w:val="Emphasis"/>
          <w:rFonts w:ascii="Arial" w:hAnsi="Arial" w:cs="Arial"/>
          <w:i w:val="0"/>
          <w:sz w:val="20"/>
          <w:szCs w:val="20"/>
        </w:rPr>
        <w:t>;[31]</w:t>
      </w:r>
      <w:r w:rsidRPr="002F7431">
        <w:rPr>
          <w:rStyle w:val="Emphasis"/>
          <w:rFonts w:ascii="Arial" w:hAnsi="Arial" w:cs="Arial"/>
          <w:i w:val="0"/>
          <w:sz w:val="20"/>
          <w:szCs w:val="20"/>
        </w:rPr>
        <w:t xml:space="preserve">. Notably, the coincidence of transport-determined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Fonts w:ascii="Arial" w:hAnsi="Arial" w:cs="Arial"/>
          <w:sz w:val="20"/>
          <w:szCs w:val="20"/>
        </w:rPr>
        <w:t xml:space="preserve"> with optimal </w:t>
      </w:r>
      <m:oMath>
        <m:sSub>
          <m:sSubPr>
            <m:ctrlPr>
              <w:rPr>
                <w:rFonts w:ascii="Cambria Math" w:hAnsi="Arial" w:cs="Arial"/>
                <w:sz w:val="20"/>
                <w:szCs w:val="20"/>
              </w:rPr>
            </m:ctrlPr>
          </m:sSubPr>
          <m:e>
            <m:r>
              <m:rPr>
                <m:sty m:val="p"/>
              </m:rPr>
              <w:rPr>
                <w:rFonts w:ascii="Cambria Math" w:hAnsi="Arial" w:cs="Arial"/>
                <w:sz w:val="20"/>
                <w:szCs w:val="20"/>
              </w:rPr>
              <m:t>T</m:t>
            </m:r>
          </m:e>
          <m:sub>
            <m:r>
              <m:rPr>
                <m:sty m:val="p"/>
              </m:rPr>
              <w:rPr>
                <w:rFonts w:ascii="Cambria Math" w:hAnsi="Arial" w:cs="Arial"/>
                <w:sz w:val="20"/>
                <w:szCs w:val="20"/>
              </w:rPr>
              <m:t>C</m:t>
            </m:r>
          </m:sub>
        </m:sSub>
      </m:oMath>
      <w:r w:rsidRPr="002F7431">
        <w:rPr>
          <w:rFonts w:ascii="Arial" w:hAnsi="Arial" w:cs="Arial"/>
          <w:sz w:val="20"/>
          <w:szCs w:val="20"/>
        </w:rPr>
        <w:t xml:space="preserve"> highlights that restoring long-range coherence, rather than fully eliminating local PG signatures, is key to maximizing superconductivity. Addressing the remaining discrepancies demands systematic cross-technique studies on identical crystals and correlation-length–resolved probes to test whether these offsets are intrinsic.</w:t>
      </w:r>
    </w:p>
    <w:p w14:paraId="704BB18D" w14:textId="77777777" w:rsidR="00C40ECA" w:rsidRPr="002F7431" w:rsidRDefault="00C40ECA" w:rsidP="002F7431">
      <w:pPr>
        <w:spacing w:before="100" w:beforeAutospacing="1" w:after="100" w:afterAutospacing="1" w:line="240" w:lineRule="auto"/>
        <w:jc w:val="both"/>
        <w:outlineLvl w:val="2"/>
        <w:rPr>
          <w:rFonts w:ascii="Arial" w:eastAsia="Times New Roman" w:hAnsi="Arial" w:cs="Arial"/>
          <w:b/>
          <w:bCs/>
          <w:kern w:val="0"/>
          <w:sz w:val="22"/>
          <w:szCs w:val="22"/>
        </w:rPr>
      </w:pPr>
      <w:r w:rsidRPr="002F7431">
        <w:rPr>
          <w:rFonts w:ascii="Arial" w:eastAsia="Times New Roman" w:hAnsi="Arial" w:cs="Arial"/>
          <w:b/>
          <w:bCs/>
          <w:kern w:val="0"/>
          <w:sz w:val="22"/>
          <w:szCs w:val="22"/>
        </w:rPr>
        <w:t>7.0 FUTURE DIRECTIONS AND OPEN CHALLENGES</w:t>
      </w:r>
    </w:p>
    <w:p w14:paraId="22E757B9" w14:textId="77777777" w:rsidR="00374529" w:rsidRPr="002F7431" w:rsidRDefault="00C40ECA" w:rsidP="002F7431">
      <w:pPr>
        <w:spacing w:before="100" w:beforeAutospacing="1" w:after="100" w:afterAutospacing="1" w:line="240" w:lineRule="auto"/>
        <w:jc w:val="both"/>
        <w:rPr>
          <w:rFonts w:ascii="Arial" w:hAnsi="Arial" w:cs="Arial"/>
          <w:sz w:val="20"/>
          <w:szCs w:val="20"/>
        </w:rPr>
      </w:pPr>
      <w:r w:rsidRPr="002F7431">
        <w:rPr>
          <w:rFonts w:ascii="Arial" w:hAnsi="Arial" w:cs="Arial"/>
          <w:sz w:val="20"/>
          <w:szCs w:val="20"/>
        </w:rPr>
        <w:t xml:space="preserve">Systematic differences in PG critical doping require careful validation, transport places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r>
          <w:rPr>
            <w:rFonts w:ascii="Arial" w:hAnsi="Arial" w:cs="Arial"/>
            <w:sz w:val="20"/>
            <w:szCs w:val="20"/>
          </w:rPr>
          <m:t>≈</m:t>
        </m:r>
        <m:r>
          <w:rPr>
            <w:rFonts w:ascii="Cambria Math" w:hAnsi="Arial" w:cs="Arial"/>
            <w:sz w:val="20"/>
            <w:szCs w:val="20"/>
          </w:rPr>
          <m:t>0.18</m:t>
        </m:r>
        <m:r>
          <w:rPr>
            <w:rFonts w:ascii="Arial" w:hAnsi="Arial" w:cs="Arial"/>
            <w:sz w:val="20"/>
            <w:szCs w:val="20"/>
          </w:rPr>
          <m:t>-</m:t>
        </m:r>
        <m:r>
          <w:rPr>
            <w:rFonts w:ascii="Cambria Math" w:hAnsi="Arial" w:cs="Arial"/>
            <w:sz w:val="20"/>
            <w:szCs w:val="20"/>
          </w:rPr>
          <m:t>0.19</m:t>
        </m:r>
      </m:oMath>
      <w:r w:rsidR="004572DE">
        <w:rPr>
          <w:rFonts w:ascii="Arial" w:hAnsi="Arial" w:cs="Arial"/>
          <w:sz w:val="20"/>
          <w:szCs w:val="20"/>
        </w:rPr>
        <w:t xml:space="preserve"> </w:t>
      </w:r>
      <w:r w:rsidR="00D36826">
        <w:rPr>
          <w:rFonts w:ascii="Arial" w:hAnsi="Arial" w:cs="Arial"/>
          <w:sz w:val="20"/>
          <w:szCs w:val="20"/>
        </w:rPr>
        <w:t>[12]</w:t>
      </w:r>
      <w:r w:rsidRPr="002F7431">
        <w:rPr>
          <w:rFonts w:ascii="Arial" w:hAnsi="Arial" w:cs="Arial"/>
          <w:sz w:val="20"/>
          <w:szCs w:val="20"/>
        </w:rPr>
        <w:t xml:space="preserve">, spectroscopy near </w:t>
      </w:r>
      <m:oMath>
        <m:r>
          <w:rPr>
            <w:rFonts w:ascii="Cambria Math" w:hAnsi="Arial" w:cs="Arial"/>
            <w:sz w:val="20"/>
            <w:szCs w:val="20"/>
          </w:rPr>
          <m:t>0.22</m:t>
        </m:r>
      </m:oMath>
      <w:r w:rsidRPr="002F7431">
        <w:rPr>
          <w:rStyle w:val="Emphasis"/>
          <w:rFonts w:ascii="Arial" w:hAnsi="Arial" w:cs="Arial"/>
          <w:i w:val="0"/>
          <w:sz w:val="20"/>
          <w:szCs w:val="20"/>
        </w:rPr>
        <w:t xml:space="preserve"> </w:t>
      </w:r>
      <w:r w:rsidR="004572DE">
        <w:rPr>
          <w:rFonts w:ascii="Arial" w:hAnsi="Arial" w:cs="Arial"/>
          <w:sz w:val="20"/>
          <w:szCs w:val="20"/>
        </w:rPr>
        <w:t xml:space="preserve"> </w:t>
      </w:r>
      <w:r w:rsidR="00D36826">
        <w:rPr>
          <w:rFonts w:ascii="Arial" w:hAnsi="Arial" w:cs="Arial"/>
          <w:sz w:val="20"/>
          <w:szCs w:val="20"/>
        </w:rPr>
        <w:t>[13]</w:t>
      </w:r>
      <w:r w:rsidRPr="002F7431">
        <w:rPr>
          <w:rFonts w:ascii="Arial" w:hAnsi="Arial" w:cs="Arial"/>
          <w:sz w:val="20"/>
          <w:szCs w:val="20"/>
        </w:rPr>
        <w:t xml:space="preserve">, and symmetry probes at </w:t>
      </w:r>
      <m:oMath>
        <m:r>
          <w:rPr>
            <w:rFonts w:ascii="Cambria Math" w:hAnsi="Arial" w:cs="Arial"/>
            <w:sz w:val="20"/>
            <w:szCs w:val="20"/>
          </w:rPr>
          <m:t>0.23</m:t>
        </m:r>
      </m:oMath>
      <w:r w:rsidRPr="002F7431">
        <w:rPr>
          <w:rStyle w:val="Emphasis"/>
          <w:rFonts w:ascii="Arial" w:hAnsi="Arial" w:cs="Arial"/>
          <w:i w:val="0"/>
          <w:sz w:val="20"/>
          <w:szCs w:val="20"/>
        </w:rPr>
        <w:t xml:space="preserve"> </w:t>
      </w:r>
      <w:r w:rsidR="004572DE">
        <w:rPr>
          <w:rFonts w:ascii="Arial" w:hAnsi="Arial" w:cs="Arial"/>
          <w:sz w:val="20"/>
          <w:szCs w:val="20"/>
        </w:rPr>
        <w:t xml:space="preserve"> </w:t>
      </w:r>
      <w:r w:rsidR="00D36826">
        <w:rPr>
          <w:rFonts w:ascii="Arial" w:hAnsi="Arial" w:cs="Arial"/>
          <w:sz w:val="20"/>
          <w:szCs w:val="20"/>
        </w:rPr>
        <w:t>[14]</w:t>
      </w:r>
      <w:r w:rsidRPr="002F7431">
        <w:rPr>
          <w:rFonts w:ascii="Arial" w:hAnsi="Arial" w:cs="Arial"/>
          <w:sz w:val="20"/>
          <w:szCs w:val="20"/>
        </w:rPr>
        <w:t>. Whether these offsets reflect intrinsic physics or sample preparation artifacts can only be resolved through cross-technique studies on identical crystals. Probing correlation-length effects by tuning temperature, disorder, and magnetic field offers a promising strategy, as transport and spectroscopic probes may access different spatial scales of electronic reconstruction. On the theoretical front, Yang &amp; Li (2024) explain transpo</w:t>
      </w:r>
      <w:r w:rsidR="007B1A05" w:rsidRPr="002F7431">
        <w:rPr>
          <w:rFonts w:ascii="Arial" w:hAnsi="Arial" w:cs="Arial"/>
          <w:sz w:val="20"/>
          <w:szCs w:val="20"/>
        </w:rPr>
        <w:t xml:space="preserve">rt </w:t>
      </w:r>
      <w:r w:rsidR="007D6F1E" w:rsidRPr="002F7431">
        <w:rPr>
          <w:rFonts w:ascii="Arial" w:hAnsi="Arial" w:cs="Arial"/>
          <w:sz w:val="20"/>
          <w:szCs w:val="20"/>
        </w:rPr>
        <w:t>anomalies;</w:t>
      </w:r>
      <w:r w:rsidR="007B1A05" w:rsidRPr="002F7431">
        <w:rPr>
          <w:rFonts w:ascii="Arial" w:hAnsi="Arial" w:cs="Arial"/>
          <w:sz w:val="20"/>
          <w:szCs w:val="20"/>
        </w:rPr>
        <w:t xml:space="preserve"> Horio et al. (2024</w:t>
      </w:r>
      <w:r w:rsidRPr="002F7431">
        <w:rPr>
          <w:rFonts w:ascii="Arial" w:hAnsi="Arial" w:cs="Arial"/>
          <w:sz w:val="20"/>
          <w:szCs w:val="20"/>
        </w:rPr>
        <w:t>) interpret spectroscopic features, and intertwined-order models capture symm</w:t>
      </w:r>
      <w:r w:rsidR="004572DE">
        <w:rPr>
          <w:rFonts w:ascii="Arial" w:hAnsi="Arial" w:cs="Arial"/>
          <w:sz w:val="20"/>
          <w:szCs w:val="20"/>
        </w:rPr>
        <w:t>etry breaking [31]</w:t>
      </w:r>
      <w:r w:rsidRPr="002F7431">
        <w:rPr>
          <w:rFonts w:ascii="Arial" w:hAnsi="Arial" w:cs="Arial"/>
          <w:sz w:val="20"/>
          <w:szCs w:val="20"/>
        </w:rPr>
        <w:t xml:space="preserve">; </w:t>
      </w:r>
      <w:r w:rsidR="004572DE">
        <w:rPr>
          <w:rFonts w:ascii="Arial" w:hAnsi="Arial" w:cs="Arial"/>
          <w:sz w:val="20"/>
          <w:szCs w:val="20"/>
        </w:rPr>
        <w:t>[24]</w:t>
      </w:r>
      <w:r w:rsidRPr="002F7431">
        <w:rPr>
          <w:rFonts w:ascii="Arial" w:hAnsi="Arial" w:cs="Arial"/>
          <w:sz w:val="20"/>
          <w:szCs w:val="20"/>
        </w:rPr>
        <w:t xml:space="preserve">. Whether these frameworks converge on a unified picture remains unresolved. Crucially, the alignment of transport-defined </w:t>
      </w:r>
      <m:oMath>
        <m:sSup>
          <m:sSupPr>
            <m:ctrlPr>
              <w:rPr>
                <w:rFonts w:ascii="Cambria Math" w:hAnsi="Arial" w:cs="Arial"/>
                <w:i/>
                <w:sz w:val="20"/>
                <w:szCs w:val="20"/>
              </w:rPr>
            </m:ctrlPr>
          </m:sSupPr>
          <m:e>
            <m:r>
              <w:rPr>
                <w:rFonts w:ascii="Cambria Math" w:hAnsi="Cambria Math" w:cs="Arial"/>
                <w:sz w:val="20"/>
                <w:szCs w:val="20"/>
              </w:rPr>
              <m:t>p</m:t>
            </m:r>
          </m:e>
          <m:sup>
            <m:r>
              <w:rPr>
                <w:rFonts w:ascii="Arial" w:hAnsi="Cambria Math" w:cs="Arial"/>
                <w:sz w:val="20"/>
                <w:szCs w:val="20"/>
              </w:rPr>
              <m:t>*</m:t>
            </m:r>
          </m:sup>
        </m:sSup>
      </m:oMath>
      <w:r w:rsidRPr="002F7431">
        <w:rPr>
          <w:rFonts w:ascii="Arial" w:hAnsi="Arial" w:cs="Arial"/>
          <w:sz w:val="20"/>
          <w:szCs w:val="20"/>
        </w:rPr>
        <w:t xml:space="preserve"> with optimal </w:t>
      </w:r>
      <m:oMath>
        <m:sSub>
          <m:sSubPr>
            <m:ctrlPr>
              <w:rPr>
                <w:rFonts w:ascii="Cambria Math" w:hAnsi="Arial" w:cs="Arial"/>
                <w:sz w:val="20"/>
                <w:szCs w:val="20"/>
              </w:rPr>
            </m:ctrlPr>
          </m:sSubPr>
          <m:e>
            <m:r>
              <m:rPr>
                <m:sty m:val="p"/>
              </m:rPr>
              <w:rPr>
                <w:rFonts w:ascii="Cambria Math" w:hAnsi="Arial" w:cs="Arial"/>
                <w:sz w:val="20"/>
                <w:szCs w:val="20"/>
              </w:rPr>
              <m:t>T</m:t>
            </m:r>
          </m:e>
          <m:sub>
            <m:r>
              <m:rPr>
                <m:sty m:val="p"/>
              </m:rPr>
              <w:rPr>
                <w:rFonts w:ascii="Cambria Math" w:hAnsi="Arial" w:cs="Arial"/>
                <w:sz w:val="20"/>
                <w:szCs w:val="20"/>
              </w:rPr>
              <m:t>C</m:t>
            </m:r>
          </m:sub>
        </m:sSub>
      </m:oMath>
      <w:r w:rsidR="004572DE">
        <w:rPr>
          <w:rFonts w:ascii="Arial" w:hAnsi="Arial" w:cs="Arial"/>
          <w:sz w:val="20"/>
          <w:szCs w:val="20"/>
        </w:rPr>
        <w:t xml:space="preserve"> </w:t>
      </w:r>
      <w:r w:rsidR="00D36826">
        <w:rPr>
          <w:rFonts w:ascii="Arial" w:hAnsi="Arial" w:cs="Arial"/>
          <w:sz w:val="20"/>
          <w:szCs w:val="20"/>
        </w:rPr>
        <w:t>[7]</w:t>
      </w:r>
      <w:r w:rsidRPr="002F7431">
        <w:rPr>
          <w:rFonts w:ascii="Arial" w:hAnsi="Arial" w:cs="Arial"/>
          <w:sz w:val="20"/>
          <w:szCs w:val="20"/>
        </w:rPr>
        <w:t xml:space="preserve">; </w:t>
      </w:r>
      <w:r w:rsidR="004572DE">
        <w:rPr>
          <w:rFonts w:ascii="Arial" w:hAnsi="Arial" w:cs="Arial"/>
          <w:sz w:val="20"/>
          <w:szCs w:val="20"/>
        </w:rPr>
        <w:t>[8]</w:t>
      </w:r>
      <w:r w:rsidRPr="002F7431">
        <w:rPr>
          <w:rFonts w:ascii="Arial" w:hAnsi="Arial" w:cs="Arial"/>
          <w:sz w:val="20"/>
          <w:szCs w:val="20"/>
        </w:rPr>
        <w:t xml:space="preserve"> underscores that superconducting optimization hinges on restoring coherence rather than fully erasing PG signatures.</w:t>
      </w:r>
    </w:p>
    <w:p w14:paraId="201D2475" w14:textId="77777777" w:rsidR="00203B8D" w:rsidRDefault="00203B8D" w:rsidP="00C40ECA">
      <w:pPr>
        <w:spacing w:before="100" w:beforeAutospacing="1" w:after="100" w:afterAutospacing="1" w:line="240" w:lineRule="auto"/>
        <w:rPr>
          <w:rFonts w:ascii="Times New Roman" w:eastAsia="Times New Roman" w:hAnsi="Times New Roman" w:cs="Times New Roman"/>
          <w:kern w:val="0"/>
        </w:rPr>
      </w:pPr>
    </w:p>
    <w:p w14:paraId="190C6496" w14:textId="77777777" w:rsidR="002F7431" w:rsidRDefault="002F7431" w:rsidP="00C40ECA">
      <w:pPr>
        <w:spacing w:before="100" w:beforeAutospacing="1" w:after="100" w:afterAutospacing="1" w:line="240" w:lineRule="auto"/>
        <w:rPr>
          <w:rFonts w:asciiTheme="majorHAnsi" w:eastAsia="Times New Roman" w:hAnsiTheme="majorHAnsi" w:cs="Times New Roman"/>
          <w:b/>
          <w:i/>
          <w:kern w:val="0"/>
        </w:rPr>
      </w:pPr>
    </w:p>
    <w:p w14:paraId="0B7B9E4B" w14:textId="77777777" w:rsidR="002F7431" w:rsidRDefault="002F7431" w:rsidP="00C40ECA">
      <w:pPr>
        <w:spacing w:before="100" w:beforeAutospacing="1" w:after="100" w:afterAutospacing="1" w:line="240" w:lineRule="auto"/>
        <w:rPr>
          <w:rFonts w:asciiTheme="majorHAnsi" w:eastAsia="Times New Roman" w:hAnsiTheme="majorHAnsi" w:cs="Times New Roman"/>
          <w:b/>
          <w:i/>
          <w:kern w:val="0"/>
        </w:rPr>
      </w:pPr>
    </w:p>
    <w:p w14:paraId="207467E2" w14:textId="77777777" w:rsidR="00C40ECA" w:rsidRPr="002F7431" w:rsidRDefault="00C40ECA" w:rsidP="00C40ECA">
      <w:pPr>
        <w:spacing w:before="100" w:beforeAutospacing="1" w:after="100" w:afterAutospacing="1" w:line="240" w:lineRule="auto"/>
        <w:rPr>
          <w:rFonts w:ascii="Arial" w:hAnsi="Arial" w:cs="Arial"/>
          <w:b/>
          <w:sz w:val="22"/>
          <w:szCs w:val="22"/>
        </w:rPr>
      </w:pPr>
      <w:r w:rsidRPr="002F7431">
        <w:rPr>
          <w:rFonts w:ascii="Arial" w:eastAsia="Times New Roman" w:hAnsi="Arial" w:cs="Arial"/>
          <w:b/>
          <w:kern w:val="0"/>
          <w:sz w:val="22"/>
          <w:szCs w:val="22"/>
        </w:rPr>
        <w:lastRenderedPageBreak/>
        <w:t>REFERENCES:</w:t>
      </w:r>
    </w:p>
    <w:p w14:paraId="2CC20B44"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Bandur, D., Nachtigal, J., Tsankov, S., Lee, A. J., &amp; Haase, J. (2023).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universal electronic spin response and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from NMR</w:t>
      </w:r>
      <w:r w:rsidRPr="002F7431">
        <w:rPr>
          <w:rFonts w:ascii="Arial" w:eastAsia="Times New Roman" w:hAnsi="Arial" w:cs="Arial"/>
          <w:kern w:val="0"/>
          <w:sz w:val="20"/>
          <w:szCs w:val="20"/>
        </w:rPr>
        <w:t xml:space="preserve">. </w:t>
      </w:r>
      <w:hyperlink r:id="rId16" w:history="1">
        <w:r w:rsidRPr="002F7431">
          <w:rPr>
            <w:rStyle w:val="Hyperlink"/>
            <w:rFonts w:ascii="Arial" w:eastAsia="Times New Roman" w:hAnsi="Arial" w:cs="Arial"/>
            <w:kern w:val="0"/>
            <w:sz w:val="20"/>
            <w:szCs w:val="20"/>
          </w:rPr>
          <w:t>https://doi.org/10.48550/arxiv.2309.11874</w:t>
        </w:r>
      </w:hyperlink>
    </w:p>
    <w:p w14:paraId="2B36F217" w14:textId="77777777" w:rsidR="00C40ECA" w:rsidRPr="002F7431" w:rsidRDefault="00C40ECA" w:rsidP="002F7431">
      <w:pPr>
        <w:spacing w:after="0" w:line="240" w:lineRule="auto"/>
        <w:jc w:val="both"/>
        <w:rPr>
          <w:rFonts w:ascii="Arial" w:eastAsia="Times New Roman" w:hAnsi="Arial" w:cs="Arial"/>
          <w:kern w:val="0"/>
          <w:sz w:val="20"/>
          <w:szCs w:val="20"/>
        </w:rPr>
      </w:pPr>
    </w:p>
    <w:p w14:paraId="75F233A5"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Li, T. (2021). A short review of the recent progresses in the study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superconductivity. </w:t>
      </w:r>
      <w:r w:rsidRPr="002F7431">
        <w:rPr>
          <w:rFonts w:ascii="Arial" w:eastAsia="Times New Roman" w:hAnsi="Arial" w:cs="Arial"/>
          <w:i/>
          <w:iCs/>
          <w:kern w:val="0"/>
          <w:sz w:val="20"/>
          <w:szCs w:val="20"/>
        </w:rPr>
        <w:t>Chinese Physics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30</w:t>
      </w:r>
      <w:r w:rsidRPr="002F7431">
        <w:rPr>
          <w:rFonts w:ascii="Arial" w:eastAsia="Times New Roman" w:hAnsi="Arial" w:cs="Arial"/>
          <w:kern w:val="0"/>
          <w:sz w:val="20"/>
          <w:szCs w:val="20"/>
        </w:rPr>
        <w:t xml:space="preserve">(10), 100508. </w:t>
      </w:r>
      <w:hyperlink r:id="rId17" w:history="1">
        <w:r w:rsidRPr="002F7431">
          <w:rPr>
            <w:rStyle w:val="Hyperlink"/>
            <w:rFonts w:ascii="Arial" w:eastAsia="Times New Roman" w:hAnsi="Arial" w:cs="Arial"/>
            <w:kern w:val="0"/>
            <w:sz w:val="20"/>
            <w:szCs w:val="20"/>
          </w:rPr>
          <w:t>https://doi.org/10.1088/1674-1056/ABFA04</w:t>
        </w:r>
      </w:hyperlink>
      <w:r w:rsidRPr="002F7431">
        <w:rPr>
          <w:rFonts w:ascii="Arial" w:eastAsia="Times New Roman" w:hAnsi="Arial" w:cs="Arial"/>
          <w:kern w:val="0"/>
          <w:sz w:val="20"/>
          <w:szCs w:val="20"/>
        </w:rPr>
        <w:t xml:space="preserve"> </w:t>
      </w:r>
    </w:p>
    <w:p w14:paraId="67B4323B" w14:textId="77777777" w:rsidR="00C40ECA" w:rsidRPr="002F7431" w:rsidRDefault="00C40ECA" w:rsidP="002F7431">
      <w:pPr>
        <w:spacing w:after="0" w:line="240" w:lineRule="auto"/>
        <w:jc w:val="both"/>
        <w:rPr>
          <w:rFonts w:ascii="Arial" w:eastAsia="Times New Roman" w:hAnsi="Arial" w:cs="Arial"/>
          <w:kern w:val="0"/>
          <w:sz w:val="20"/>
          <w:szCs w:val="20"/>
        </w:rPr>
      </w:pPr>
    </w:p>
    <w:p w14:paraId="06F7F3DA"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Bacq-Labreuil</w:t>
      </w:r>
      <w:proofErr w:type="spellEnd"/>
      <w:r w:rsidRPr="002F7431">
        <w:rPr>
          <w:rFonts w:ascii="Arial" w:eastAsia="Times New Roman" w:hAnsi="Arial" w:cs="Arial"/>
          <w:kern w:val="0"/>
          <w:sz w:val="20"/>
          <w:szCs w:val="20"/>
        </w:rPr>
        <w:t xml:space="preserve">, B., Lacasse, B., Tremblay, A. –M. S., </w:t>
      </w:r>
      <w:proofErr w:type="spellStart"/>
      <w:r w:rsidRPr="002F7431">
        <w:rPr>
          <w:rFonts w:ascii="Arial" w:eastAsia="Times New Roman" w:hAnsi="Arial" w:cs="Arial"/>
          <w:kern w:val="0"/>
          <w:sz w:val="20"/>
          <w:szCs w:val="20"/>
        </w:rPr>
        <w:t>Sénéchal</w:t>
      </w:r>
      <w:proofErr w:type="spellEnd"/>
      <w:r w:rsidRPr="002F7431">
        <w:rPr>
          <w:rFonts w:ascii="Arial" w:eastAsia="Times New Roman" w:hAnsi="Arial" w:cs="Arial"/>
          <w:kern w:val="0"/>
          <w:sz w:val="20"/>
          <w:szCs w:val="20"/>
        </w:rPr>
        <w:t xml:space="preserve">, D., &amp; Haule, K. (2024). </w:t>
      </w:r>
      <w:r w:rsidRPr="002F7431">
        <w:rPr>
          <w:rFonts w:ascii="Arial" w:eastAsia="Times New Roman" w:hAnsi="Arial" w:cs="Arial"/>
          <w:i/>
          <w:iCs/>
          <w:kern w:val="0"/>
          <w:sz w:val="20"/>
          <w:szCs w:val="20"/>
        </w:rPr>
        <w:t xml:space="preserve">Towards an ab initio theory of high-temperature superconductors: a study of multilayer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18" w:history="1">
        <w:r w:rsidRPr="002F7431">
          <w:rPr>
            <w:rStyle w:val="Hyperlink"/>
            <w:rFonts w:ascii="Arial" w:eastAsia="Times New Roman" w:hAnsi="Arial" w:cs="Arial"/>
            <w:kern w:val="0"/>
            <w:sz w:val="20"/>
            <w:szCs w:val="20"/>
          </w:rPr>
          <w:t>https://doi.org/10.48550/arxiv.2410.10019</w:t>
        </w:r>
      </w:hyperlink>
      <w:r w:rsidRPr="002F7431">
        <w:rPr>
          <w:rFonts w:ascii="Arial" w:eastAsia="Times New Roman" w:hAnsi="Arial" w:cs="Arial"/>
          <w:kern w:val="0"/>
          <w:sz w:val="20"/>
          <w:szCs w:val="20"/>
        </w:rPr>
        <w:t xml:space="preserve"> </w:t>
      </w:r>
    </w:p>
    <w:p w14:paraId="7152B3AE" w14:textId="77777777" w:rsidR="00C40ECA" w:rsidRPr="002F7431" w:rsidRDefault="00C40ECA" w:rsidP="002F7431">
      <w:pPr>
        <w:spacing w:after="0" w:line="240" w:lineRule="auto"/>
        <w:jc w:val="both"/>
        <w:rPr>
          <w:rFonts w:ascii="Arial" w:eastAsia="Times New Roman" w:hAnsi="Arial" w:cs="Arial"/>
          <w:kern w:val="0"/>
          <w:sz w:val="20"/>
          <w:szCs w:val="20"/>
        </w:rPr>
      </w:pPr>
    </w:p>
    <w:p w14:paraId="0CC410FA"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Niu, J., Ortego Larrazabal, M., Gozlinski, T., Sato, Y., </w:t>
      </w:r>
      <w:proofErr w:type="spellStart"/>
      <w:r w:rsidRPr="002F7431">
        <w:rPr>
          <w:rFonts w:ascii="Arial" w:eastAsia="Times New Roman" w:hAnsi="Arial" w:cs="Arial"/>
          <w:kern w:val="0"/>
          <w:sz w:val="20"/>
          <w:szCs w:val="20"/>
        </w:rPr>
        <w:t>Bastiaans</w:t>
      </w:r>
      <w:proofErr w:type="spellEnd"/>
      <w:r w:rsidRPr="002F7431">
        <w:rPr>
          <w:rFonts w:ascii="Arial" w:eastAsia="Times New Roman" w:hAnsi="Arial" w:cs="Arial"/>
          <w:kern w:val="0"/>
          <w:sz w:val="20"/>
          <w:szCs w:val="20"/>
        </w:rPr>
        <w:t xml:space="preserve">, K. M., Benschop, T., Ge, J.-F., Blanter, Y. M., Gu, G., Swart, I., &amp; Allan, M. P. (2024). </w:t>
      </w:r>
      <w:r w:rsidRPr="002F7431">
        <w:rPr>
          <w:rFonts w:ascii="Arial" w:eastAsia="Times New Roman" w:hAnsi="Arial" w:cs="Arial"/>
          <w:i/>
          <w:iCs/>
          <w:kern w:val="0"/>
          <w:sz w:val="20"/>
          <w:szCs w:val="20"/>
        </w:rPr>
        <w:t xml:space="preserve">Equivalence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and pairing energy in a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high-temperature superconductor</w:t>
      </w:r>
      <w:r w:rsidRPr="002F7431">
        <w:rPr>
          <w:rFonts w:ascii="Arial" w:eastAsia="Times New Roman" w:hAnsi="Arial" w:cs="Arial"/>
          <w:kern w:val="0"/>
          <w:sz w:val="20"/>
          <w:szCs w:val="20"/>
        </w:rPr>
        <w:t xml:space="preserve">. </w:t>
      </w:r>
      <w:hyperlink r:id="rId19" w:history="1">
        <w:r w:rsidRPr="002F7431">
          <w:rPr>
            <w:rStyle w:val="Hyperlink"/>
            <w:rFonts w:ascii="Arial" w:eastAsia="Times New Roman" w:hAnsi="Arial" w:cs="Arial"/>
            <w:kern w:val="0"/>
            <w:sz w:val="20"/>
            <w:szCs w:val="20"/>
          </w:rPr>
          <w:t>https://doi.org/10.48550/arxiv.2409.15928</w:t>
        </w:r>
      </w:hyperlink>
    </w:p>
    <w:p w14:paraId="58CBF68C" w14:textId="77777777" w:rsidR="009F60B9" w:rsidRPr="002F7431" w:rsidRDefault="009F60B9" w:rsidP="002F7431">
      <w:pPr>
        <w:spacing w:after="0" w:line="240" w:lineRule="auto"/>
        <w:jc w:val="both"/>
        <w:rPr>
          <w:rFonts w:ascii="Arial" w:eastAsia="Times New Roman" w:hAnsi="Arial" w:cs="Arial"/>
          <w:kern w:val="0"/>
          <w:sz w:val="20"/>
          <w:szCs w:val="20"/>
        </w:rPr>
      </w:pPr>
    </w:p>
    <w:p w14:paraId="23BE4DC0"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Boschini, F., Zonno, M., </w:t>
      </w:r>
      <w:proofErr w:type="spellStart"/>
      <w:r w:rsidRPr="002F7431">
        <w:rPr>
          <w:rFonts w:ascii="Arial" w:eastAsia="Times New Roman" w:hAnsi="Arial" w:cs="Arial"/>
          <w:kern w:val="0"/>
          <w:sz w:val="20"/>
          <w:szCs w:val="20"/>
        </w:rPr>
        <w:t>Razzoli</w:t>
      </w:r>
      <w:proofErr w:type="spellEnd"/>
      <w:r w:rsidRPr="002F7431">
        <w:rPr>
          <w:rFonts w:ascii="Arial" w:eastAsia="Times New Roman" w:hAnsi="Arial" w:cs="Arial"/>
          <w:kern w:val="0"/>
          <w:sz w:val="20"/>
          <w:szCs w:val="20"/>
        </w:rPr>
        <w:t xml:space="preserve">, E., Day, R., </w:t>
      </w:r>
      <w:proofErr w:type="spellStart"/>
      <w:r w:rsidRPr="002F7431">
        <w:rPr>
          <w:rFonts w:ascii="Arial" w:eastAsia="Times New Roman" w:hAnsi="Arial" w:cs="Arial"/>
          <w:kern w:val="0"/>
          <w:sz w:val="20"/>
          <w:szCs w:val="20"/>
        </w:rPr>
        <w:t>Michiardi</w:t>
      </w:r>
      <w:proofErr w:type="spellEnd"/>
      <w:r w:rsidRPr="002F7431">
        <w:rPr>
          <w:rFonts w:ascii="Arial" w:eastAsia="Times New Roman" w:hAnsi="Arial" w:cs="Arial"/>
          <w:kern w:val="0"/>
          <w:sz w:val="20"/>
          <w:szCs w:val="20"/>
        </w:rPr>
        <w:t xml:space="preserve">, M., Michiardi, M., </w:t>
      </w:r>
      <w:proofErr w:type="spellStart"/>
      <w:r w:rsidRPr="002F7431">
        <w:rPr>
          <w:rFonts w:ascii="Arial" w:eastAsia="Times New Roman" w:hAnsi="Arial" w:cs="Arial"/>
          <w:kern w:val="0"/>
          <w:sz w:val="20"/>
          <w:szCs w:val="20"/>
        </w:rPr>
        <w:t>Zwartsenberg</w:t>
      </w:r>
      <w:proofErr w:type="spellEnd"/>
      <w:r w:rsidRPr="002F7431">
        <w:rPr>
          <w:rFonts w:ascii="Arial" w:eastAsia="Times New Roman" w:hAnsi="Arial" w:cs="Arial"/>
          <w:kern w:val="0"/>
          <w:sz w:val="20"/>
          <w:szCs w:val="20"/>
        </w:rPr>
        <w:t xml:space="preserve">, B., </w:t>
      </w:r>
      <w:proofErr w:type="spellStart"/>
      <w:r w:rsidRPr="002F7431">
        <w:rPr>
          <w:rFonts w:ascii="Arial" w:eastAsia="Times New Roman" w:hAnsi="Arial" w:cs="Arial"/>
          <w:kern w:val="0"/>
          <w:sz w:val="20"/>
          <w:szCs w:val="20"/>
        </w:rPr>
        <w:t>Nigge</w:t>
      </w:r>
      <w:proofErr w:type="spellEnd"/>
      <w:r w:rsidRPr="002F7431">
        <w:rPr>
          <w:rFonts w:ascii="Arial" w:eastAsia="Times New Roman" w:hAnsi="Arial" w:cs="Arial"/>
          <w:kern w:val="0"/>
          <w:sz w:val="20"/>
          <w:szCs w:val="20"/>
        </w:rPr>
        <w:t xml:space="preserve">, P., Schneider, M., da Silva Neto, E. H., Erb, A., Zhdanovich, S., Mills, A. K., Levy, G., Giannetti, C., Jones, D. J., &amp; </w:t>
      </w:r>
      <w:proofErr w:type="spellStart"/>
      <w:r w:rsidRPr="002F7431">
        <w:rPr>
          <w:rFonts w:ascii="Arial" w:eastAsia="Times New Roman" w:hAnsi="Arial" w:cs="Arial"/>
          <w:kern w:val="0"/>
          <w:sz w:val="20"/>
          <w:szCs w:val="20"/>
        </w:rPr>
        <w:t>Damascelli</w:t>
      </w:r>
      <w:proofErr w:type="spellEnd"/>
      <w:r w:rsidRPr="002F7431">
        <w:rPr>
          <w:rFonts w:ascii="Arial" w:eastAsia="Times New Roman" w:hAnsi="Arial" w:cs="Arial"/>
          <w:kern w:val="0"/>
          <w:sz w:val="20"/>
          <w:szCs w:val="20"/>
        </w:rPr>
        <w:t xml:space="preserve">, A. (2020). </w:t>
      </w:r>
      <w:r w:rsidRPr="002F7431">
        <w:rPr>
          <w:rFonts w:ascii="Arial" w:eastAsia="Times New Roman" w:hAnsi="Arial" w:cs="Arial"/>
          <w:i/>
          <w:iCs/>
          <w:kern w:val="0"/>
          <w:sz w:val="20"/>
          <w:szCs w:val="20"/>
        </w:rPr>
        <w:t xml:space="preserve">Emergence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from short-range spin-correlations in electron-doped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w:t>
      </w:r>
      <w:r w:rsidRPr="002F7431">
        <w:rPr>
          <w:rFonts w:ascii="Arial" w:eastAsia="Times New Roman" w:hAnsi="Arial" w:cs="Arial"/>
          <w:kern w:val="0"/>
          <w:sz w:val="20"/>
          <w:szCs w:val="20"/>
        </w:rPr>
        <w:t xml:space="preserve">(1), 1–7. </w:t>
      </w:r>
      <w:hyperlink r:id="rId20" w:history="1">
        <w:r w:rsidRPr="002F7431">
          <w:rPr>
            <w:rStyle w:val="Hyperlink"/>
            <w:rFonts w:ascii="Arial" w:eastAsia="Times New Roman" w:hAnsi="Arial" w:cs="Arial"/>
            <w:kern w:val="0"/>
            <w:sz w:val="20"/>
            <w:szCs w:val="20"/>
          </w:rPr>
          <w:t>https://doi.org/10.1038/S41535-020-0208-6</w:t>
        </w:r>
      </w:hyperlink>
      <w:r w:rsidRPr="002F7431">
        <w:rPr>
          <w:rFonts w:ascii="Arial" w:eastAsia="Times New Roman" w:hAnsi="Arial" w:cs="Arial"/>
          <w:kern w:val="0"/>
          <w:sz w:val="20"/>
          <w:szCs w:val="20"/>
        </w:rPr>
        <w:t xml:space="preserve"> </w:t>
      </w:r>
    </w:p>
    <w:p w14:paraId="56B98003" w14:textId="77777777" w:rsidR="009F60B9" w:rsidRPr="002F7431" w:rsidRDefault="009F60B9" w:rsidP="002F7431">
      <w:pPr>
        <w:spacing w:after="0" w:line="240" w:lineRule="auto"/>
        <w:jc w:val="both"/>
        <w:rPr>
          <w:rFonts w:ascii="Arial" w:eastAsia="Times New Roman" w:hAnsi="Arial" w:cs="Arial"/>
          <w:kern w:val="0"/>
          <w:sz w:val="20"/>
          <w:szCs w:val="20"/>
        </w:rPr>
      </w:pPr>
    </w:p>
    <w:p w14:paraId="2570D4F3"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Julià-Farré</w:t>
      </w:r>
      <w:proofErr w:type="spellEnd"/>
      <w:r w:rsidRPr="002F7431">
        <w:rPr>
          <w:rFonts w:ascii="Arial" w:eastAsia="Times New Roman" w:hAnsi="Arial" w:cs="Arial"/>
          <w:kern w:val="0"/>
          <w:sz w:val="20"/>
          <w:szCs w:val="20"/>
        </w:rPr>
        <w:t xml:space="preserve">, S., Dauphin, A., </w:t>
      </w:r>
      <w:proofErr w:type="spellStart"/>
      <w:r w:rsidRPr="002F7431">
        <w:rPr>
          <w:rFonts w:ascii="Arial" w:eastAsia="Times New Roman" w:hAnsi="Arial" w:cs="Arial"/>
          <w:kern w:val="0"/>
          <w:sz w:val="20"/>
          <w:szCs w:val="20"/>
        </w:rPr>
        <w:t>Chhajlany</w:t>
      </w:r>
      <w:proofErr w:type="spellEnd"/>
      <w:r w:rsidRPr="002F7431">
        <w:rPr>
          <w:rFonts w:ascii="Arial" w:eastAsia="Times New Roman" w:hAnsi="Arial" w:cs="Arial"/>
          <w:kern w:val="0"/>
          <w:sz w:val="20"/>
          <w:szCs w:val="20"/>
        </w:rPr>
        <w:t xml:space="preserve">, R. W., Grochowski, P. T., Wall, S., Lewenstein, M., Grzybowski, P. R., &amp; Grzybowski, P. R. (2020). Nanoscale phase separation and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the hole-doped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from fluctuating Cu-O-Cu bonds.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(12), 125107. </w:t>
      </w:r>
      <w:hyperlink r:id="rId21" w:history="1">
        <w:r w:rsidRPr="002F7431">
          <w:rPr>
            <w:rStyle w:val="Hyperlink"/>
            <w:rFonts w:ascii="Arial" w:eastAsia="Times New Roman" w:hAnsi="Arial" w:cs="Arial"/>
            <w:kern w:val="0"/>
            <w:sz w:val="20"/>
            <w:szCs w:val="20"/>
          </w:rPr>
          <w:t>https://doi.org/10.1103/PHYSREVB.101.125107</w:t>
        </w:r>
      </w:hyperlink>
      <w:r w:rsidRPr="002F7431">
        <w:rPr>
          <w:rFonts w:ascii="Arial" w:eastAsia="Times New Roman" w:hAnsi="Arial" w:cs="Arial"/>
          <w:kern w:val="0"/>
          <w:sz w:val="20"/>
          <w:szCs w:val="20"/>
        </w:rPr>
        <w:t xml:space="preserve"> </w:t>
      </w:r>
    </w:p>
    <w:p w14:paraId="74A62A4B" w14:textId="77777777" w:rsidR="00C40ECA" w:rsidRPr="002F7431" w:rsidRDefault="00C40ECA" w:rsidP="002F7431">
      <w:pPr>
        <w:spacing w:after="0" w:line="240" w:lineRule="auto"/>
        <w:jc w:val="both"/>
        <w:rPr>
          <w:rFonts w:ascii="Arial" w:eastAsia="Times New Roman" w:hAnsi="Arial" w:cs="Arial"/>
          <w:kern w:val="0"/>
          <w:sz w:val="20"/>
          <w:szCs w:val="20"/>
        </w:rPr>
      </w:pPr>
    </w:p>
    <w:p w14:paraId="25B16C0B"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Michon, B., Girod, C., Girod, C., Girod,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Kacmarcik, J., Ma, Q., Dragomir, M., Dabkowska, H., Gaulin, B. D., Gaulin, B. D., Zhou, J.-S., Pyon, S., Takayama, T., Takagi, H., Verret, S., Doiron-Leyraud, N., </w:t>
      </w:r>
      <w:proofErr w:type="spellStart"/>
      <w:r w:rsidRPr="002F7431">
        <w:rPr>
          <w:rFonts w:ascii="Arial" w:eastAsia="Times New Roman" w:hAnsi="Arial" w:cs="Arial"/>
          <w:kern w:val="0"/>
          <w:sz w:val="20"/>
          <w:szCs w:val="20"/>
        </w:rPr>
        <w:t>Marcenat</w:t>
      </w:r>
      <w:proofErr w:type="spellEnd"/>
      <w:r w:rsidRPr="002F7431">
        <w:rPr>
          <w:rFonts w:ascii="Arial" w:eastAsia="Times New Roman" w:hAnsi="Arial" w:cs="Arial"/>
          <w:kern w:val="0"/>
          <w:sz w:val="20"/>
          <w:szCs w:val="20"/>
        </w:rPr>
        <w:t xml:space="preserve">, C., Taillefer, L., … Klein, T. (2019). Thermodynamic signatures of quantum criticality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567</w:t>
      </w:r>
      <w:r w:rsidRPr="002F7431">
        <w:rPr>
          <w:rFonts w:ascii="Arial" w:eastAsia="Times New Roman" w:hAnsi="Arial" w:cs="Arial"/>
          <w:kern w:val="0"/>
          <w:sz w:val="20"/>
          <w:szCs w:val="20"/>
        </w:rPr>
        <w:t xml:space="preserve">(7747), 218–222. </w:t>
      </w:r>
      <w:hyperlink r:id="rId22" w:history="1">
        <w:r w:rsidRPr="002F7431">
          <w:rPr>
            <w:rStyle w:val="Hyperlink"/>
            <w:rFonts w:ascii="Arial" w:eastAsia="Times New Roman" w:hAnsi="Arial" w:cs="Arial"/>
            <w:kern w:val="0"/>
            <w:sz w:val="20"/>
            <w:szCs w:val="20"/>
          </w:rPr>
          <w:t>https://doi.org/10.1038/S41586-019-0932-X</w:t>
        </w:r>
      </w:hyperlink>
      <w:r w:rsidRPr="002F7431">
        <w:rPr>
          <w:rFonts w:ascii="Arial" w:eastAsia="Times New Roman" w:hAnsi="Arial" w:cs="Arial"/>
          <w:kern w:val="0"/>
          <w:sz w:val="20"/>
          <w:szCs w:val="20"/>
        </w:rPr>
        <w:t xml:space="preserve"> </w:t>
      </w:r>
    </w:p>
    <w:p w14:paraId="228AB1F2" w14:textId="77777777" w:rsidR="00C40ECA" w:rsidRPr="002F7431" w:rsidRDefault="00C40ECA" w:rsidP="002F7431">
      <w:pPr>
        <w:spacing w:after="0" w:line="240" w:lineRule="auto"/>
        <w:jc w:val="both"/>
        <w:rPr>
          <w:rFonts w:ascii="Arial" w:eastAsia="Times New Roman" w:hAnsi="Arial" w:cs="Arial"/>
          <w:kern w:val="0"/>
          <w:sz w:val="20"/>
          <w:szCs w:val="20"/>
        </w:rPr>
      </w:pPr>
    </w:p>
    <w:p w14:paraId="3DD9637C"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Legros, A., Legros, A.,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Tabis, W., Tabis, W., Laliberte, F., Dion, M., Lizaire, M., Vignolle, B., </w:t>
      </w:r>
      <w:proofErr w:type="spellStart"/>
      <w:r w:rsidRPr="002F7431">
        <w:rPr>
          <w:rFonts w:ascii="Arial" w:eastAsia="Times New Roman" w:hAnsi="Arial" w:cs="Arial"/>
          <w:kern w:val="0"/>
          <w:sz w:val="20"/>
          <w:szCs w:val="20"/>
        </w:rPr>
        <w:t>Vignolles</w:t>
      </w:r>
      <w:proofErr w:type="spellEnd"/>
      <w:r w:rsidRPr="002F7431">
        <w:rPr>
          <w:rFonts w:ascii="Arial" w:eastAsia="Times New Roman" w:hAnsi="Arial" w:cs="Arial"/>
          <w:kern w:val="0"/>
          <w:sz w:val="20"/>
          <w:szCs w:val="20"/>
        </w:rPr>
        <w:t xml:space="preserve">, D., Raffy, H., Li, Z., </w:t>
      </w:r>
      <w:proofErr w:type="spellStart"/>
      <w:r w:rsidRPr="002F7431">
        <w:rPr>
          <w:rFonts w:ascii="Arial" w:eastAsia="Times New Roman" w:hAnsi="Arial" w:cs="Arial"/>
          <w:kern w:val="0"/>
          <w:sz w:val="20"/>
          <w:szCs w:val="20"/>
        </w:rPr>
        <w:t>Auban-Senzier</w:t>
      </w:r>
      <w:proofErr w:type="spellEnd"/>
      <w:r w:rsidRPr="002F7431">
        <w:rPr>
          <w:rFonts w:ascii="Arial" w:eastAsia="Times New Roman" w:hAnsi="Arial" w:cs="Arial"/>
          <w:kern w:val="0"/>
          <w:sz w:val="20"/>
          <w:szCs w:val="20"/>
        </w:rPr>
        <w:t xml:space="preserve">, P., Doiron-Leyraud, N., Fournier, P., Fournier, P., Colson, D., Taillefer, L., Taillefer, L., … Proust, C. (2019). Universal T -linear resistivity and Planckian dissipation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15</w:t>
      </w:r>
      <w:r w:rsidRPr="002F7431">
        <w:rPr>
          <w:rFonts w:ascii="Arial" w:eastAsia="Times New Roman" w:hAnsi="Arial" w:cs="Arial"/>
          <w:kern w:val="0"/>
          <w:sz w:val="20"/>
          <w:szCs w:val="20"/>
        </w:rPr>
        <w:t xml:space="preserve">(2), 142–147. </w:t>
      </w:r>
      <w:hyperlink r:id="rId23" w:history="1">
        <w:r w:rsidRPr="002F7431">
          <w:rPr>
            <w:rStyle w:val="Hyperlink"/>
            <w:rFonts w:ascii="Arial" w:eastAsia="Times New Roman" w:hAnsi="Arial" w:cs="Arial"/>
            <w:kern w:val="0"/>
            <w:sz w:val="20"/>
            <w:szCs w:val="20"/>
          </w:rPr>
          <w:t>https://doi.org/10.1038/S41567-018-0334-2</w:t>
        </w:r>
      </w:hyperlink>
      <w:r w:rsidRPr="002F7431">
        <w:rPr>
          <w:rFonts w:ascii="Arial" w:eastAsia="Times New Roman" w:hAnsi="Arial" w:cs="Arial"/>
          <w:kern w:val="0"/>
          <w:sz w:val="20"/>
          <w:szCs w:val="20"/>
        </w:rPr>
        <w:t xml:space="preserve"> </w:t>
      </w:r>
    </w:p>
    <w:p w14:paraId="57CA6C54" w14:textId="77777777" w:rsidR="00C40ECA" w:rsidRPr="002F7431" w:rsidRDefault="00C40ECA" w:rsidP="002F7431">
      <w:pPr>
        <w:spacing w:after="0" w:line="240" w:lineRule="auto"/>
        <w:jc w:val="both"/>
        <w:rPr>
          <w:rFonts w:ascii="Arial" w:eastAsia="Times New Roman" w:hAnsi="Arial" w:cs="Arial"/>
          <w:kern w:val="0"/>
          <w:sz w:val="20"/>
          <w:szCs w:val="20"/>
        </w:rPr>
      </w:pPr>
    </w:p>
    <w:p w14:paraId="0BAABC05" w14:textId="77777777" w:rsidR="00C40ECA" w:rsidRPr="002F7431" w:rsidRDefault="00C40ECA"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Yang, J., &amp; Li, T. (2024). </w:t>
      </w:r>
      <w:r w:rsidRPr="002F7431">
        <w:rPr>
          <w:rFonts w:ascii="Arial" w:eastAsia="Times New Roman" w:hAnsi="Arial" w:cs="Arial"/>
          <w:iCs/>
          <w:kern w:val="0"/>
          <w:sz w:val="20"/>
          <w:szCs w:val="20"/>
        </w:rPr>
        <w:t xml:space="preserve">A tale of two pairs: on the origin of the </w:t>
      </w:r>
      <w:proofErr w:type="spellStart"/>
      <w:r w:rsidRPr="002F7431">
        <w:rPr>
          <w:rFonts w:ascii="Arial" w:eastAsia="Times New Roman" w:hAnsi="Arial" w:cs="Arial"/>
          <w:iCs/>
          <w:kern w:val="0"/>
          <w:sz w:val="20"/>
          <w:szCs w:val="20"/>
        </w:rPr>
        <w:t>pseudogap</w:t>
      </w:r>
      <w:proofErr w:type="spellEnd"/>
      <w:r w:rsidRPr="002F7431">
        <w:rPr>
          <w:rFonts w:ascii="Arial" w:eastAsia="Times New Roman" w:hAnsi="Arial" w:cs="Arial"/>
          <w:iCs/>
          <w:kern w:val="0"/>
          <w:sz w:val="20"/>
          <w:szCs w:val="20"/>
        </w:rPr>
        <w:t xml:space="preserve"> end point in the high-T$_{c}$ </w:t>
      </w:r>
      <w:proofErr w:type="spellStart"/>
      <w:r w:rsidRPr="002F7431">
        <w:rPr>
          <w:rFonts w:ascii="Arial" w:eastAsia="Times New Roman" w:hAnsi="Arial" w:cs="Arial"/>
          <w:iCs/>
          <w:kern w:val="0"/>
          <w:sz w:val="20"/>
          <w:szCs w:val="20"/>
        </w:rPr>
        <w:t>cuprate</w:t>
      </w:r>
      <w:proofErr w:type="spellEnd"/>
      <w:r w:rsidRPr="002F7431">
        <w:rPr>
          <w:rFonts w:ascii="Arial" w:eastAsia="Times New Roman" w:hAnsi="Arial" w:cs="Arial"/>
          <w:iCs/>
          <w:kern w:val="0"/>
          <w:sz w:val="20"/>
          <w:szCs w:val="20"/>
        </w:rPr>
        <w:t xml:space="preserve"> superconductors</w:t>
      </w:r>
      <w:r w:rsidRPr="002F7431">
        <w:rPr>
          <w:rFonts w:ascii="Arial" w:eastAsia="Times New Roman" w:hAnsi="Arial" w:cs="Arial"/>
          <w:kern w:val="0"/>
          <w:sz w:val="20"/>
          <w:szCs w:val="20"/>
        </w:rPr>
        <w:t xml:space="preserve">. </w:t>
      </w:r>
      <w:hyperlink r:id="rId24" w:history="1">
        <w:r w:rsidRPr="002F7431">
          <w:rPr>
            <w:rStyle w:val="Hyperlink"/>
            <w:rFonts w:ascii="Arial" w:eastAsia="Times New Roman" w:hAnsi="Arial" w:cs="Arial"/>
            <w:kern w:val="0"/>
            <w:sz w:val="20"/>
            <w:szCs w:val="20"/>
          </w:rPr>
          <w:t>https://doi.org/10.48550/arxiv.2402.02785</w:t>
        </w:r>
      </w:hyperlink>
    </w:p>
    <w:p w14:paraId="2FFBB5B4" w14:textId="77777777" w:rsidR="00C40ECA" w:rsidRPr="002F7431" w:rsidRDefault="00C40ECA" w:rsidP="002F7431">
      <w:pPr>
        <w:spacing w:after="0" w:line="240" w:lineRule="auto"/>
        <w:jc w:val="both"/>
        <w:rPr>
          <w:rFonts w:ascii="Arial" w:hAnsi="Arial" w:cs="Arial"/>
          <w:sz w:val="20"/>
          <w:szCs w:val="20"/>
        </w:rPr>
      </w:pPr>
    </w:p>
    <w:p w14:paraId="66768278" w14:textId="77777777" w:rsidR="00C40ECA" w:rsidRPr="002F7431" w:rsidRDefault="00C40EC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Zhu, M., Voneshen, D. J., Raymond, S., Lipscombe, O. J., Tam, C. C., &amp; Hayden, S. M. (2022). Spin fluctuations associated with the collapse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a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19</w:t>
      </w:r>
      <w:r w:rsidRPr="002F7431">
        <w:rPr>
          <w:rFonts w:ascii="Arial" w:eastAsia="Times New Roman" w:hAnsi="Arial" w:cs="Arial"/>
          <w:kern w:val="0"/>
          <w:sz w:val="20"/>
          <w:szCs w:val="20"/>
        </w:rPr>
        <w:t xml:space="preserve">(1), 99–105. </w:t>
      </w:r>
      <w:hyperlink r:id="rId25" w:history="1">
        <w:r w:rsidRPr="002F7431">
          <w:rPr>
            <w:rStyle w:val="Hyperlink"/>
            <w:rFonts w:ascii="Arial" w:eastAsia="Times New Roman" w:hAnsi="Arial" w:cs="Arial"/>
            <w:kern w:val="0"/>
            <w:sz w:val="20"/>
            <w:szCs w:val="20"/>
          </w:rPr>
          <w:t>https://doi.org/10.1038/s41567-022-01825-3</w:t>
        </w:r>
      </w:hyperlink>
    </w:p>
    <w:p w14:paraId="6B782BC1" w14:textId="77777777" w:rsidR="00C40ECA" w:rsidRPr="002F7431" w:rsidRDefault="00C40ECA" w:rsidP="002F7431">
      <w:pPr>
        <w:spacing w:after="0" w:line="240" w:lineRule="auto"/>
        <w:jc w:val="both"/>
        <w:rPr>
          <w:rFonts w:ascii="Arial" w:eastAsia="Times New Roman" w:hAnsi="Arial" w:cs="Arial"/>
          <w:kern w:val="0"/>
          <w:sz w:val="20"/>
          <w:szCs w:val="20"/>
        </w:rPr>
      </w:pPr>
    </w:p>
    <w:p w14:paraId="7C33761C"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Taillefer, L. (2010). Scattering and Pairing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Annual Review of Condensed Matter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w:t>
      </w:r>
      <w:r w:rsidRPr="002F7431">
        <w:rPr>
          <w:rFonts w:ascii="Arial" w:eastAsia="Times New Roman" w:hAnsi="Arial" w:cs="Arial"/>
          <w:kern w:val="0"/>
          <w:sz w:val="20"/>
          <w:szCs w:val="20"/>
        </w:rPr>
        <w:t xml:space="preserve">(1), 51–70. </w:t>
      </w:r>
      <w:hyperlink r:id="rId26" w:history="1">
        <w:r w:rsidRPr="002F7431">
          <w:rPr>
            <w:rStyle w:val="Hyperlink"/>
            <w:rFonts w:ascii="Arial" w:eastAsia="Times New Roman" w:hAnsi="Arial" w:cs="Arial"/>
            <w:kern w:val="0"/>
            <w:sz w:val="20"/>
            <w:szCs w:val="20"/>
          </w:rPr>
          <w:t>https://doi.org/10.1146/ANNUREV-CONMATPHYS-070909-104117</w:t>
        </w:r>
      </w:hyperlink>
    </w:p>
    <w:p w14:paraId="5D46F8B2" w14:textId="77777777" w:rsidR="00AD5075" w:rsidRPr="002F7431" w:rsidRDefault="00AD5075" w:rsidP="002F7431">
      <w:pPr>
        <w:spacing w:after="0" w:line="240" w:lineRule="auto"/>
        <w:jc w:val="both"/>
        <w:rPr>
          <w:rFonts w:ascii="Arial" w:eastAsia="Times New Roman" w:hAnsi="Arial" w:cs="Arial"/>
          <w:kern w:val="0"/>
          <w:sz w:val="20"/>
          <w:szCs w:val="20"/>
        </w:rPr>
      </w:pPr>
    </w:p>
    <w:p w14:paraId="06BFAD7E"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Tabis, W., Laliberte, F., </w:t>
      </w: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xml:space="preserve">, G., Vignolle, B., </w:t>
      </w:r>
      <w:proofErr w:type="spellStart"/>
      <w:r w:rsidRPr="002F7431">
        <w:rPr>
          <w:rFonts w:ascii="Arial" w:eastAsia="Times New Roman" w:hAnsi="Arial" w:cs="Arial"/>
          <w:kern w:val="0"/>
          <w:sz w:val="20"/>
          <w:szCs w:val="20"/>
        </w:rPr>
        <w:t>Vignolles</w:t>
      </w:r>
      <w:proofErr w:type="spellEnd"/>
      <w:r w:rsidRPr="002F7431">
        <w:rPr>
          <w:rFonts w:ascii="Arial" w:eastAsia="Times New Roman" w:hAnsi="Arial" w:cs="Arial"/>
          <w:kern w:val="0"/>
          <w:sz w:val="20"/>
          <w:szCs w:val="20"/>
        </w:rPr>
        <w:t xml:space="preserve">, D., </w:t>
      </w:r>
      <w:proofErr w:type="spellStart"/>
      <w:r w:rsidRPr="002F7431">
        <w:rPr>
          <w:rFonts w:ascii="Arial" w:eastAsia="Times New Roman" w:hAnsi="Arial" w:cs="Arial"/>
          <w:kern w:val="0"/>
          <w:sz w:val="20"/>
          <w:szCs w:val="20"/>
        </w:rPr>
        <w:t>Béard</w:t>
      </w:r>
      <w:proofErr w:type="spellEnd"/>
      <w:r w:rsidRPr="002F7431">
        <w:rPr>
          <w:rFonts w:ascii="Arial" w:eastAsia="Times New Roman" w:hAnsi="Arial" w:cs="Arial"/>
          <w:kern w:val="0"/>
          <w:sz w:val="20"/>
          <w:szCs w:val="20"/>
        </w:rPr>
        <w:t xml:space="preserve">, J., Bonn, D. A., Hardy, W., Liang, R., Doiron-Leyraud, N., Taillefer, L., &amp; Proust, C. (2016). Change of carrier density at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a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531</w:t>
      </w:r>
      <w:r w:rsidRPr="002F7431">
        <w:rPr>
          <w:rFonts w:ascii="Arial" w:eastAsia="Times New Roman" w:hAnsi="Arial" w:cs="Arial"/>
          <w:kern w:val="0"/>
          <w:sz w:val="20"/>
          <w:szCs w:val="20"/>
        </w:rPr>
        <w:t xml:space="preserve">(7593), 210–214. </w:t>
      </w:r>
      <w:hyperlink r:id="rId27" w:history="1">
        <w:r w:rsidRPr="002F7431">
          <w:rPr>
            <w:rStyle w:val="Hyperlink"/>
            <w:rFonts w:ascii="Arial" w:eastAsia="Times New Roman" w:hAnsi="Arial" w:cs="Arial"/>
            <w:kern w:val="0"/>
            <w:sz w:val="20"/>
            <w:szCs w:val="20"/>
          </w:rPr>
          <w:t>https://doi.org/10.1038/NATURE16983</w:t>
        </w:r>
      </w:hyperlink>
    </w:p>
    <w:p w14:paraId="026F72AD" w14:textId="77777777" w:rsidR="009F60B9" w:rsidRPr="002F7431" w:rsidRDefault="009F60B9" w:rsidP="002F7431">
      <w:pPr>
        <w:spacing w:after="0" w:line="240" w:lineRule="auto"/>
        <w:jc w:val="both"/>
        <w:rPr>
          <w:rFonts w:ascii="Arial" w:eastAsia="Times New Roman" w:hAnsi="Arial" w:cs="Arial"/>
          <w:kern w:val="0"/>
          <w:sz w:val="20"/>
          <w:szCs w:val="20"/>
        </w:rPr>
      </w:pPr>
    </w:p>
    <w:p w14:paraId="088EF74C"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Loret, B., </w:t>
      </w:r>
      <w:proofErr w:type="spellStart"/>
      <w:r w:rsidRPr="002F7431">
        <w:rPr>
          <w:rFonts w:ascii="Arial" w:eastAsia="Times New Roman" w:hAnsi="Arial" w:cs="Arial"/>
          <w:kern w:val="0"/>
          <w:sz w:val="20"/>
          <w:szCs w:val="20"/>
        </w:rPr>
        <w:t>Gallais</w:t>
      </w:r>
      <w:proofErr w:type="spellEnd"/>
      <w:r w:rsidRPr="002F7431">
        <w:rPr>
          <w:rFonts w:ascii="Arial" w:eastAsia="Times New Roman" w:hAnsi="Arial" w:cs="Arial"/>
          <w:kern w:val="0"/>
          <w:sz w:val="20"/>
          <w:szCs w:val="20"/>
        </w:rPr>
        <w:t xml:space="preserve">, Y., </w:t>
      </w:r>
      <w:proofErr w:type="spellStart"/>
      <w:r w:rsidRPr="002F7431">
        <w:rPr>
          <w:rFonts w:ascii="Arial" w:eastAsia="Times New Roman" w:hAnsi="Arial" w:cs="Arial"/>
          <w:kern w:val="0"/>
          <w:sz w:val="20"/>
          <w:szCs w:val="20"/>
        </w:rPr>
        <w:t>Cazayous</w:t>
      </w:r>
      <w:proofErr w:type="spellEnd"/>
      <w:r w:rsidRPr="002F7431">
        <w:rPr>
          <w:rFonts w:ascii="Arial" w:eastAsia="Times New Roman" w:hAnsi="Arial" w:cs="Arial"/>
          <w:kern w:val="0"/>
          <w:sz w:val="20"/>
          <w:szCs w:val="20"/>
        </w:rPr>
        <w:t xml:space="preserve">, M., Zhong, R., </w:t>
      </w:r>
      <w:proofErr w:type="spellStart"/>
      <w:r w:rsidRPr="002F7431">
        <w:rPr>
          <w:rFonts w:ascii="Arial" w:eastAsia="Times New Roman" w:hAnsi="Arial" w:cs="Arial"/>
          <w:kern w:val="0"/>
          <w:sz w:val="20"/>
          <w:szCs w:val="20"/>
        </w:rPr>
        <w:t>Schneeloch</w:t>
      </w:r>
      <w:proofErr w:type="spellEnd"/>
      <w:r w:rsidRPr="002F7431">
        <w:rPr>
          <w:rFonts w:ascii="Arial" w:eastAsia="Times New Roman" w:hAnsi="Arial" w:cs="Arial"/>
          <w:kern w:val="0"/>
          <w:sz w:val="20"/>
          <w:szCs w:val="20"/>
        </w:rPr>
        <w:t xml:space="preserve">, J., Gu, G., Fedorov, A. V., Kim, T. K., Borisenko, S. V., &amp; </w:t>
      </w:r>
      <w:proofErr w:type="spellStart"/>
      <w:r w:rsidRPr="002F7431">
        <w:rPr>
          <w:rFonts w:ascii="Arial" w:eastAsia="Times New Roman" w:hAnsi="Arial" w:cs="Arial"/>
          <w:kern w:val="0"/>
          <w:sz w:val="20"/>
          <w:szCs w:val="20"/>
        </w:rPr>
        <w:t>Sacuto</w:t>
      </w:r>
      <w:proofErr w:type="spellEnd"/>
      <w:r w:rsidRPr="002F7431">
        <w:rPr>
          <w:rFonts w:ascii="Arial" w:eastAsia="Times New Roman" w:hAnsi="Arial" w:cs="Arial"/>
          <w:kern w:val="0"/>
          <w:sz w:val="20"/>
          <w:szCs w:val="20"/>
        </w:rPr>
        <w:t xml:space="preserve">, A. (2018). Raman and ARPES combined study on the connection between the existence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and the topology of the Fermi surface in Bi 2 Sr 2 </w:t>
      </w:r>
      <w:proofErr w:type="spellStart"/>
      <w:r w:rsidRPr="002F7431">
        <w:rPr>
          <w:rFonts w:ascii="Arial" w:eastAsia="Times New Roman" w:hAnsi="Arial" w:cs="Arial"/>
          <w:kern w:val="0"/>
          <w:sz w:val="20"/>
          <w:szCs w:val="20"/>
        </w:rPr>
        <w:t>CaCu</w:t>
      </w:r>
      <w:proofErr w:type="spellEnd"/>
      <w:r w:rsidRPr="002F7431">
        <w:rPr>
          <w:rFonts w:ascii="Arial" w:eastAsia="Times New Roman" w:hAnsi="Arial" w:cs="Arial"/>
          <w:kern w:val="0"/>
          <w:sz w:val="20"/>
          <w:szCs w:val="20"/>
        </w:rPr>
        <w:t xml:space="preserve"> 2 O 8 + δ.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97</w:t>
      </w:r>
      <w:r w:rsidRPr="002F7431">
        <w:rPr>
          <w:rFonts w:ascii="Arial" w:eastAsia="Times New Roman" w:hAnsi="Arial" w:cs="Arial"/>
          <w:kern w:val="0"/>
          <w:sz w:val="20"/>
          <w:szCs w:val="20"/>
        </w:rPr>
        <w:t xml:space="preserve">(17), 174521. </w:t>
      </w:r>
      <w:hyperlink r:id="rId28" w:history="1">
        <w:r w:rsidRPr="002F7431">
          <w:rPr>
            <w:rStyle w:val="Hyperlink"/>
            <w:rFonts w:ascii="Arial" w:eastAsia="Times New Roman" w:hAnsi="Arial" w:cs="Arial"/>
            <w:kern w:val="0"/>
            <w:sz w:val="20"/>
            <w:szCs w:val="20"/>
          </w:rPr>
          <w:t>https://doi.org/10.1103/PHYSREVB.97.174521</w:t>
        </w:r>
      </w:hyperlink>
    </w:p>
    <w:p w14:paraId="6FB1C4AC" w14:textId="77777777" w:rsidR="009F60B9" w:rsidRPr="002F7431" w:rsidRDefault="009F60B9" w:rsidP="002F7431">
      <w:pPr>
        <w:spacing w:after="0" w:line="240" w:lineRule="auto"/>
        <w:jc w:val="both"/>
        <w:rPr>
          <w:rFonts w:ascii="Arial" w:eastAsia="Times New Roman" w:hAnsi="Arial" w:cs="Arial"/>
          <w:kern w:val="0"/>
          <w:sz w:val="20"/>
          <w:szCs w:val="20"/>
        </w:rPr>
      </w:pPr>
    </w:p>
    <w:p w14:paraId="11D2F5CF"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Gupta, N. K., McMahon, C., </w:t>
      </w:r>
      <w:proofErr w:type="spellStart"/>
      <w:r w:rsidRPr="002F7431">
        <w:rPr>
          <w:rFonts w:ascii="Arial" w:eastAsia="Times New Roman" w:hAnsi="Arial" w:cs="Arial"/>
          <w:kern w:val="0"/>
          <w:sz w:val="20"/>
          <w:szCs w:val="20"/>
        </w:rPr>
        <w:t>Sutarto</w:t>
      </w:r>
      <w:proofErr w:type="spellEnd"/>
      <w:r w:rsidRPr="002F7431">
        <w:rPr>
          <w:rFonts w:ascii="Arial" w:eastAsia="Times New Roman" w:hAnsi="Arial" w:cs="Arial"/>
          <w:kern w:val="0"/>
          <w:sz w:val="20"/>
          <w:szCs w:val="20"/>
        </w:rPr>
        <w:t xml:space="preserve">, R., Shi, T., Gong, R., Wei, H. I., Shen, K., He, F., Ma, Q., Dragomir, M., Gaulin, B. D., Gaulin, B. D., &amp; Hawthorn, D. (2021). Vanishing nematic order beyond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118</w:t>
      </w:r>
      <w:r w:rsidRPr="002F7431">
        <w:rPr>
          <w:rFonts w:ascii="Arial" w:eastAsia="Times New Roman" w:hAnsi="Arial" w:cs="Arial"/>
          <w:kern w:val="0"/>
          <w:sz w:val="20"/>
          <w:szCs w:val="20"/>
        </w:rPr>
        <w:t xml:space="preserve">(34), 2106881118. </w:t>
      </w:r>
      <w:hyperlink r:id="rId29" w:history="1">
        <w:r w:rsidRPr="002F7431">
          <w:rPr>
            <w:rStyle w:val="Hyperlink"/>
            <w:rFonts w:ascii="Arial" w:eastAsia="Times New Roman" w:hAnsi="Arial" w:cs="Arial"/>
            <w:kern w:val="0"/>
            <w:sz w:val="20"/>
            <w:szCs w:val="20"/>
          </w:rPr>
          <w:t>https://doi.org/10.1073/PNAS.2106881118</w:t>
        </w:r>
      </w:hyperlink>
    </w:p>
    <w:p w14:paraId="652CD027" w14:textId="77777777" w:rsidR="009F60B9" w:rsidRPr="002F7431" w:rsidRDefault="009F60B9" w:rsidP="002F7431">
      <w:pPr>
        <w:spacing w:after="0" w:line="240" w:lineRule="auto"/>
        <w:jc w:val="both"/>
        <w:rPr>
          <w:rFonts w:ascii="Arial" w:eastAsia="Times New Roman" w:hAnsi="Arial" w:cs="Arial"/>
          <w:kern w:val="0"/>
          <w:sz w:val="20"/>
          <w:szCs w:val="20"/>
        </w:rPr>
      </w:pPr>
    </w:p>
    <w:p w14:paraId="033A4CBA" w14:textId="77777777" w:rsidR="009F60B9" w:rsidRPr="002F7431" w:rsidRDefault="009F60B9" w:rsidP="002F7431">
      <w:pPr>
        <w:pStyle w:val="ListParagraph"/>
        <w:numPr>
          <w:ilvl w:val="0"/>
          <w:numId w:val="12"/>
        </w:numPr>
        <w:spacing w:after="0" w:line="240" w:lineRule="auto"/>
        <w:jc w:val="both"/>
        <w:rPr>
          <w:rFonts w:ascii="Arial" w:hAnsi="Arial" w:cs="Arial"/>
          <w:color w:val="505050"/>
          <w:sz w:val="20"/>
          <w:szCs w:val="20"/>
          <w:shd w:val="clear" w:color="auto" w:fill="FFFFFF"/>
        </w:rPr>
      </w:pPr>
      <w:r w:rsidRPr="002F7431">
        <w:rPr>
          <w:rFonts w:ascii="Arial" w:hAnsi="Arial" w:cs="Arial"/>
          <w:sz w:val="20"/>
          <w:szCs w:val="20"/>
          <w:shd w:val="clear" w:color="auto" w:fill="FFFFFF"/>
        </w:rPr>
        <w:t xml:space="preserve">Tallon, J. L., &amp; </w:t>
      </w:r>
      <w:proofErr w:type="spellStart"/>
      <w:r w:rsidRPr="002F7431">
        <w:rPr>
          <w:rFonts w:ascii="Arial" w:hAnsi="Arial" w:cs="Arial"/>
          <w:sz w:val="20"/>
          <w:szCs w:val="20"/>
          <w:shd w:val="clear" w:color="auto" w:fill="FFFFFF"/>
        </w:rPr>
        <w:t>Loram</w:t>
      </w:r>
      <w:proofErr w:type="spellEnd"/>
      <w:r w:rsidRPr="002F7431">
        <w:rPr>
          <w:rFonts w:ascii="Arial" w:hAnsi="Arial" w:cs="Arial"/>
          <w:sz w:val="20"/>
          <w:szCs w:val="20"/>
          <w:shd w:val="clear" w:color="auto" w:fill="FFFFFF"/>
        </w:rPr>
        <w:t>, J. (2001). The doping dependence of T* – what is the real high-Tc phase diagram? </w:t>
      </w:r>
      <w:r w:rsidRPr="002F7431">
        <w:rPr>
          <w:rFonts w:ascii="Arial" w:hAnsi="Arial" w:cs="Arial"/>
          <w:i/>
          <w:iCs/>
          <w:sz w:val="20"/>
          <w:szCs w:val="20"/>
          <w:bdr w:val="single" w:sz="2" w:space="0" w:color="E4E6E8" w:frame="1"/>
          <w:shd w:val="clear" w:color="auto" w:fill="FFFFFF"/>
        </w:rPr>
        <w:t>Physica C-Superconductivity and Its Applications</w:t>
      </w:r>
      <w:r w:rsidRPr="002F7431">
        <w:rPr>
          <w:rFonts w:ascii="Arial" w:hAnsi="Arial" w:cs="Arial"/>
          <w:sz w:val="20"/>
          <w:szCs w:val="20"/>
          <w:shd w:val="clear" w:color="auto" w:fill="FFFFFF"/>
        </w:rPr>
        <w:t>, </w:t>
      </w:r>
      <w:r w:rsidRPr="002F7431">
        <w:rPr>
          <w:rFonts w:ascii="Arial" w:hAnsi="Arial" w:cs="Arial"/>
          <w:i/>
          <w:iCs/>
          <w:sz w:val="20"/>
          <w:szCs w:val="20"/>
          <w:bdr w:val="single" w:sz="2" w:space="0" w:color="E4E6E8" w:frame="1"/>
          <w:shd w:val="clear" w:color="auto" w:fill="FFFFFF"/>
        </w:rPr>
        <w:t>349</w:t>
      </w:r>
      <w:r w:rsidRPr="002F7431">
        <w:rPr>
          <w:rFonts w:ascii="Arial" w:hAnsi="Arial" w:cs="Arial"/>
          <w:sz w:val="20"/>
          <w:szCs w:val="20"/>
          <w:shd w:val="clear" w:color="auto" w:fill="FFFFFF"/>
        </w:rPr>
        <w:t>(1), 53–68.</w:t>
      </w:r>
      <w:r w:rsidRPr="002F7431">
        <w:rPr>
          <w:rFonts w:ascii="Arial" w:hAnsi="Arial" w:cs="Arial"/>
          <w:color w:val="505050"/>
          <w:sz w:val="20"/>
          <w:szCs w:val="20"/>
          <w:shd w:val="clear" w:color="auto" w:fill="FFFFFF"/>
        </w:rPr>
        <w:t xml:space="preserve"> </w:t>
      </w:r>
      <w:hyperlink r:id="rId30" w:history="1">
        <w:r w:rsidRPr="002F7431">
          <w:rPr>
            <w:rStyle w:val="Hyperlink"/>
            <w:rFonts w:ascii="Arial" w:hAnsi="Arial" w:cs="Arial"/>
            <w:sz w:val="20"/>
            <w:szCs w:val="20"/>
            <w:shd w:val="clear" w:color="auto" w:fill="FFFFFF"/>
          </w:rPr>
          <w:t>https://doi.org/10.1016/S0921-4534(00)01524-0</w:t>
        </w:r>
      </w:hyperlink>
    </w:p>
    <w:p w14:paraId="6E9E25E7" w14:textId="77777777" w:rsidR="009F60B9" w:rsidRPr="002F7431" w:rsidRDefault="009F60B9" w:rsidP="002F7431">
      <w:pPr>
        <w:spacing w:after="0" w:line="240" w:lineRule="auto"/>
        <w:jc w:val="both"/>
        <w:rPr>
          <w:rFonts w:ascii="Arial" w:eastAsia="Times New Roman" w:hAnsi="Arial" w:cs="Arial"/>
          <w:kern w:val="0"/>
          <w:sz w:val="20"/>
          <w:szCs w:val="20"/>
        </w:rPr>
      </w:pPr>
    </w:p>
    <w:p w14:paraId="442100D0"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xml:space="preserve">, O., Daou, R., Laliberte, F., Collignon,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LeBoeuf, D., Juul Chang, J., Ramshaw, B., Bonn, D. A., Bonn, D. A., Hardy, W., Hardy, W., Liang, R., Liang, R., Yan, J., Cheng, J. G., Zhou, J.-S., Goodenough, J. B., Pyon, S., … Taillefer, L. (2018).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temperature T* of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from the Nernst effect.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97</w:t>
      </w:r>
      <w:r w:rsidRPr="002F7431">
        <w:rPr>
          <w:rFonts w:ascii="Arial" w:eastAsia="Times New Roman" w:hAnsi="Arial" w:cs="Arial"/>
          <w:kern w:val="0"/>
          <w:sz w:val="20"/>
          <w:szCs w:val="20"/>
        </w:rPr>
        <w:t xml:space="preserve">(6), 064502. </w:t>
      </w:r>
      <w:hyperlink r:id="rId31" w:history="1">
        <w:r w:rsidRPr="002F7431">
          <w:rPr>
            <w:rStyle w:val="Hyperlink"/>
            <w:rFonts w:ascii="Arial" w:eastAsia="Times New Roman" w:hAnsi="Arial" w:cs="Arial"/>
            <w:kern w:val="0"/>
            <w:sz w:val="20"/>
            <w:szCs w:val="20"/>
          </w:rPr>
          <w:t>https://doi.org/10.1103/PHYSREVB.97.064502</w:t>
        </w:r>
      </w:hyperlink>
    </w:p>
    <w:p w14:paraId="4128F9B7" w14:textId="77777777" w:rsidR="009F60B9" w:rsidRPr="002F7431" w:rsidRDefault="009F60B9" w:rsidP="002F7431">
      <w:pPr>
        <w:spacing w:after="0" w:line="240" w:lineRule="auto"/>
        <w:jc w:val="both"/>
        <w:rPr>
          <w:rFonts w:ascii="Arial" w:eastAsia="Times New Roman" w:hAnsi="Arial" w:cs="Arial"/>
          <w:kern w:val="0"/>
          <w:sz w:val="20"/>
          <w:szCs w:val="20"/>
        </w:rPr>
      </w:pPr>
    </w:p>
    <w:p w14:paraId="5C00A643" w14:textId="77777777" w:rsidR="009F60B9" w:rsidRPr="002F7431" w:rsidRDefault="009F60B9"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Frachet</w:t>
      </w:r>
      <w:proofErr w:type="spellEnd"/>
      <w:r w:rsidRPr="002F7431">
        <w:rPr>
          <w:rFonts w:ascii="Arial" w:eastAsia="Times New Roman" w:hAnsi="Arial" w:cs="Arial"/>
          <w:kern w:val="0"/>
          <w:sz w:val="20"/>
          <w:szCs w:val="20"/>
        </w:rPr>
        <w:t xml:space="preserve">, M., Vinograd, I., Zhou, R.,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Wu, S. F., </w:t>
      </w:r>
      <w:proofErr w:type="spellStart"/>
      <w:r w:rsidRPr="002F7431">
        <w:rPr>
          <w:rFonts w:ascii="Arial" w:eastAsia="Times New Roman" w:hAnsi="Arial" w:cs="Arial"/>
          <w:kern w:val="0"/>
          <w:sz w:val="20"/>
          <w:szCs w:val="20"/>
        </w:rPr>
        <w:t>Mayaffre</w:t>
      </w:r>
      <w:proofErr w:type="spellEnd"/>
      <w:r w:rsidRPr="002F7431">
        <w:rPr>
          <w:rFonts w:ascii="Arial" w:eastAsia="Times New Roman" w:hAnsi="Arial" w:cs="Arial"/>
          <w:kern w:val="0"/>
          <w:sz w:val="20"/>
          <w:szCs w:val="20"/>
        </w:rPr>
        <w:t xml:space="preserve">, H., Krämer, S., Ramakrishna, S. K., Reyes, A. P., Debray, J., Kurosawa, T., </w:t>
      </w:r>
      <w:proofErr w:type="spellStart"/>
      <w:r w:rsidRPr="002F7431">
        <w:rPr>
          <w:rFonts w:ascii="Arial" w:eastAsia="Times New Roman" w:hAnsi="Arial" w:cs="Arial"/>
          <w:kern w:val="0"/>
          <w:sz w:val="20"/>
          <w:szCs w:val="20"/>
        </w:rPr>
        <w:t>Momono</w:t>
      </w:r>
      <w:proofErr w:type="spellEnd"/>
      <w:r w:rsidRPr="002F7431">
        <w:rPr>
          <w:rFonts w:ascii="Arial" w:eastAsia="Times New Roman" w:hAnsi="Arial" w:cs="Arial"/>
          <w:kern w:val="0"/>
          <w:sz w:val="20"/>
          <w:szCs w:val="20"/>
        </w:rPr>
        <w:t xml:space="preserve">, N., Oda, M., Komiya, S., Ono, S., Horio, M., Chang, J., Proust, C., Leboeuf, D., &amp; Julien, M.-H. (2019). Hidden magnetism at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a high temperature superconductor.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32" w:history="1">
        <w:r w:rsidRPr="002F7431">
          <w:rPr>
            <w:rStyle w:val="Hyperlink"/>
            <w:rFonts w:ascii="Arial" w:eastAsia="Times New Roman" w:hAnsi="Arial" w:cs="Arial"/>
            <w:kern w:val="0"/>
            <w:sz w:val="20"/>
            <w:szCs w:val="20"/>
          </w:rPr>
          <w:t>https://doi.org/10.1038/S41567-020-0950-5</w:t>
        </w:r>
      </w:hyperlink>
    </w:p>
    <w:p w14:paraId="1FF74ECE" w14:textId="77777777" w:rsidR="009F60B9" w:rsidRPr="002F7431" w:rsidRDefault="009F60B9" w:rsidP="002F7431">
      <w:pPr>
        <w:spacing w:after="0" w:line="240" w:lineRule="auto"/>
        <w:jc w:val="both"/>
        <w:rPr>
          <w:rFonts w:ascii="Arial" w:eastAsia="Times New Roman" w:hAnsi="Arial" w:cs="Arial"/>
          <w:kern w:val="0"/>
          <w:sz w:val="20"/>
          <w:szCs w:val="20"/>
        </w:rPr>
      </w:pPr>
    </w:p>
    <w:p w14:paraId="6D96EEFA"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Horio, M., Sakai, S., Suzuki, H., Nonaka, Y., Hashimoto, M., Lu, D.-H., Shen, Z., </w:t>
      </w:r>
      <w:proofErr w:type="spellStart"/>
      <w:r w:rsidRPr="002F7431">
        <w:rPr>
          <w:rFonts w:ascii="Arial" w:eastAsia="Times New Roman" w:hAnsi="Arial" w:cs="Arial"/>
          <w:kern w:val="0"/>
          <w:sz w:val="20"/>
          <w:szCs w:val="20"/>
        </w:rPr>
        <w:t>Ohgi</w:t>
      </w:r>
      <w:proofErr w:type="spellEnd"/>
      <w:r w:rsidRPr="002F7431">
        <w:rPr>
          <w:rFonts w:ascii="Arial" w:eastAsia="Times New Roman" w:hAnsi="Arial" w:cs="Arial"/>
          <w:kern w:val="0"/>
          <w:sz w:val="20"/>
          <w:szCs w:val="20"/>
        </w:rPr>
        <w:t xml:space="preserve">, T., Konno, T., Adachi, T., Koike, Y., Imada, M., &amp; Fujimori, A. (2024).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electron-doped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Strong correlation leading to band splitting.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122</w:t>
      </w:r>
      <w:r w:rsidRPr="002F7431">
        <w:rPr>
          <w:rFonts w:ascii="Arial" w:eastAsia="Times New Roman" w:hAnsi="Arial" w:cs="Arial"/>
          <w:kern w:val="0"/>
          <w:sz w:val="20"/>
          <w:szCs w:val="20"/>
        </w:rPr>
        <w:t xml:space="preserve">(1). </w:t>
      </w:r>
      <w:hyperlink r:id="rId33" w:history="1">
        <w:r w:rsidRPr="002F7431">
          <w:rPr>
            <w:rStyle w:val="Hyperlink"/>
            <w:rFonts w:ascii="Arial" w:eastAsia="Times New Roman" w:hAnsi="Arial" w:cs="Arial"/>
            <w:kern w:val="0"/>
            <w:sz w:val="20"/>
            <w:szCs w:val="20"/>
          </w:rPr>
          <w:t>https://doi.org/10.1073/pnas.2406624122</w:t>
        </w:r>
      </w:hyperlink>
      <w:r w:rsidRPr="002F7431">
        <w:rPr>
          <w:rFonts w:ascii="Arial" w:eastAsia="Times New Roman" w:hAnsi="Arial" w:cs="Arial"/>
          <w:kern w:val="0"/>
          <w:sz w:val="20"/>
          <w:szCs w:val="20"/>
        </w:rPr>
        <w:t xml:space="preserve"> </w:t>
      </w:r>
    </w:p>
    <w:p w14:paraId="525AEB39" w14:textId="77777777" w:rsidR="009F60B9" w:rsidRPr="002F7431" w:rsidRDefault="009F60B9" w:rsidP="002F7431">
      <w:pPr>
        <w:spacing w:after="0" w:line="240" w:lineRule="auto"/>
        <w:jc w:val="both"/>
        <w:rPr>
          <w:rFonts w:ascii="Arial" w:eastAsia="Times New Roman" w:hAnsi="Arial" w:cs="Arial"/>
          <w:kern w:val="0"/>
          <w:sz w:val="20"/>
          <w:szCs w:val="20"/>
        </w:rPr>
      </w:pPr>
    </w:p>
    <w:p w14:paraId="04FED409"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Vilk, Y. M., Lahaie, C., &amp; Tremblay, A.-M. S. (2024). Antiferromagnetic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the two-dimensional Hubbard model deep in the renormalized classical regime.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hyperlink r:id="rId34" w:history="1">
        <w:r w:rsidRPr="002F7431">
          <w:rPr>
            <w:rStyle w:val="Hyperlink"/>
            <w:rFonts w:ascii="Arial" w:eastAsia="Times New Roman" w:hAnsi="Arial" w:cs="Arial"/>
            <w:kern w:val="0"/>
            <w:sz w:val="20"/>
            <w:szCs w:val="20"/>
          </w:rPr>
          <w:t>https://doi.org/10.1103/physrevb.110.125154</w:t>
        </w:r>
      </w:hyperlink>
    </w:p>
    <w:p w14:paraId="3F190714" w14:textId="77777777" w:rsidR="009F60B9" w:rsidRPr="002F7431" w:rsidRDefault="009F60B9" w:rsidP="002F7431">
      <w:pPr>
        <w:spacing w:after="0" w:line="240" w:lineRule="auto"/>
        <w:jc w:val="both"/>
        <w:rPr>
          <w:rFonts w:ascii="Arial" w:eastAsia="Times New Roman" w:hAnsi="Arial" w:cs="Arial"/>
          <w:kern w:val="0"/>
          <w:sz w:val="20"/>
          <w:szCs w:val="20"/>
        </w:rPr>
      </w:pPr>
    </w:p>
    <w:p w14:paraId="3E3171BE"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Vilk, Y. M., Vilk, Y. M., &amp; Tremblay, A.-M. (1997). Non-Perturbative Many-Body Approach to the Hubbard Model and Single-Particle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Journal De Physique I</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7</w:t>
      </w:r>
      <w:r w:rsidRPr="002F7431">
        <w:rPr>
          <w:rFonts w:ascii="Arial" w:eastAsia="Times New Roman" w:hAnsi="Arial" w:cs="Arial"/>
          <w:kern w:val="0"/>
          <w:sz w:val="20"/>
          <w:szCs w:val="20"/>
        </w:rPr>
        <w:t xml:space="preserve">(11), 1309–1368. </w:t>
      </w:r>
      <w:hyperlink r:id="rId35" w:history="1">
        <w:r w:rsidRPr="002F7431">
          <w:rPr>
            <w:rStyle w:val="Hyperlink"/>
            <w:rFonts w:ascii="Arial" w:eastAsia="Times New Roman" w:hAnsi="Arial" w:cs="Arial"/>
            <w:kern w:val="0"/>
            <w:sz w:val="20"/>
            <w:szCs w:val="20"/>
          </w:rPr>
          <w:t>https://doi.org/10.1051/JP1:1997135</w:t>
        </w:r>
      </w:hyperlink>
    </w:p>
    <w:p w14:paraId="09E559F2" w14:textId="77777777" w:rsidR="00AD5075" w:rsidRPr="002F7431" w:rsidRDefault="00AD5075" w:rsidP="002F7431">
      <w:pPr>
        <w:spacing w:after="0" w:line="240" w:lineRule="auto"/>
        <w:jc w:val="both"/>
        <w:rPr>
          <w:rFonts w:ascii="Arial" w:eastAsia="Times New Roman" w:hAnsi="Arial" w:cs="Arial"/>
          <w:kern w:val="0"/>
          <w:sz w:val="20"/>
          <w:szCs w:val="20"/>
        </w:rPr>
      </w:pPr>
    </w:p>
    <w:p w14:paraId="3EB85D2D"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Hashimoto, M., Vishik, I., He, R., Devereaux, T. P., Devereaux, T. P., Shen, Z.-X., Shen, Z.-X., &amp; Shen, Z.-X. (2014). Energy gaps in high-transition-temperature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(7), 483–495. </w:t>
      </w:r>
      <w:hyperlink r:id="rId36" w:history="1">
        <w:r w:rsidRPr="002F7431">
          <w:rPr>
            <w:rStyle w:val="Hyperlink"/>
            <w:rFonts w:ascii="Arial" w:eastAsia="Times New Roman" w:hAnsi="Arial" w:cs="Arial"/>
            <w:kern w:val="0"/>
            <w:sz w:val="20"/>
            <w:szCs w:val="20"/>
          </w:rPr>
          <w:t>https://doi.org/10.1038/NPHYS3009</w:t>
        </w:r>
      </w:hyperlink>
    </w:p>
    <w:p w14:paraId="41DB4D08" w14:textId="77777777" w:rsidR="00AD5075" w:rsidRPr="002F7431" w:rsidRDefault="00AD5075" w:rsidP="002F7431">
      <w:pPr>
        <w:spacing w:after="0" w:line="240" w:lineRule="auto"/>
        <w:jc w:val="both"/>
        <w:rPr>
          <w:rFonts w:ascii="Arial" w:eastAsia="Times New Roman" w:hAnsi="Arial" w:cs="Arial"/>
          <w:kern w:val="0"/>
          <w:sz w:val="20"/>
          <w:szCs w:val="20"/>
        </w:rPr>
      </w:pPr>
    </w:p>
    <w:p w14:paraId="152702E7"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Yoshida, T., Hashimoto, M., Vishik, I., Shen, Z.-X., &amp; Fujimori, A. (2012).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Superconducting Gap, and Fermi Arc in High-Tc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Revealed by Angle-Resolved Photoemission Spectroscopy. </w:t>
      </w:r>
      <w:r w:rsidRPr="002F7431">
        <w:rPr>
          <w:rFonts w:ascii="Arial" w:eastAsia="Times New Roman" w:hAnsi="Arial" w:cs="Arial"/>
          <w:i/>
          <w:iCs/>
          <w:kern w:val="0"/>
          <w:sz w:val="20"/>
          <w:szCs w:val="20"/>
        </w:rPr>
        <w:t>Journal of the Physical Society of Japan</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81</w:t>
      </w:r>
      <w:r w:rsidRPr="002F7431">
        <w:rPr>
          <w:rFonts w:ascii="Arial" w:eastAsia="Times New Roman" w:hAnsi="Arial" w:cs="Arial"/>
          <w:kern w:val="0"/>
          <w:sz w:val="20"/>
          <w:szCs w:val="20"/>
        </w:rPr>
        <w:t xml:space="preserve">(1), 011006. </w:t>
      </w:r>
      <w:hyperlink r:id="rId37" w:history="1">
        <w:r w:rsidRPr="002F7431">
          <w:rPr>
            <w:rStyle w:val="Hyperlink"/>
            <w:rFonts w:ascii="Arial" w:eastAsia="Times New Roman" w:hAnsi="Arial" w:cs="Arial"/>
            <w:kern w:val="0"/>
            <w:sz w:val="20"/>
            <w:szCs w:val="20"/>
          </w:rPr>
          <w:t>https://doi.org/10.1143/JPSJ.81.011006</w:t>
        </w:r>
      </w:hyperlink>
    </w:p>
    <w:p w14:paraId="14A706FA" w14:textId="77777777" w:rsidR="00AD5075" w:rsidRPr="002F7431" w:rsidRDefault="00AD5075" w:rsidP="002F7431">
      <w:pPr>
        <w:spacing w:after="0" w:line="240" w:lineRule="auto"/>
        <w:jc w:val="both"/>
        <w:rPr>
          <w:rFonts w:ascii="Arial" w:eastAsia="Times New Roman" w:hAnsi="Arial" w:cs="Arial"/>
          <w:kern w:val="0"/>
          <w:sz w:val="20"/>
          <w:szCs w:val="20"/>
        </w:rPr>
      </w:pPr>
    </w:p>
    <w:p w14:paraId="66C35AFE"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Doronkina</w:t>
      </w:r>
      <w:proofErr w:type="spellEnd"/>
      <w:r w:rsidRPr="002F7431">
        <w:rPr>
          <w:rFonts w:ascii="Arial" w:eastAsia="Times New Roman" w:hAnsi="Arial" w:cs="Arial"/>
          <w:kern w:val="0"/>
          <w:sz w:val="20"/>
          <w:szCs w:val="20"/>
        </w:rPr>
        <w:t xml:space="preserve">, S. V., Myasnikova, A. E., Dzhantemirov, A. H., &amp; Lutsenko, A. V. (2022). Topological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highly polarizable layered systems with 2D hole-like dispersion. </w:t>
      </w:r>
      <w:r w:rsidRPr="002F7431">
        <w:rPr>
          <w:rFonts w:ascii="Arial" w:eastAsia="Times New Roman" w:hAnsi="Arial" w:cs="Arial"/>
          <w:i/>
          <w:iCs/>
          <w:kern w:val="0"/>
          <w:sz w:val="20"/>
          <w:szCs w:val="20"/>
        </w:rPr>
        <w:t>Physica E-Low-Dimensional Systems &amp; Nanostructures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136</w:t>
      </w:r>
      <w:r w:rsidRPr="002F7431">
        <w:rPr>
          <w:rFonts w:ascii="Arial" w:eastAsia="Times New Roman" w:hAnsi="Arial" w:cs="Arial"/>
          <w:kern w:val="0"/>
          <w:sz w:val="20"/>
          <w:szCs w:val="20"/>
        </w:rPr>
        <w:t xml:space="preserve">, 115052. </w:t>
      </w:r>
      <w:hyperlink r:id="rId38" w:history="1">
        <w:r w:rsidRPr="002F7431">
          <w:rPr>
            <w:rStyle w:val="Hyperlink"/>
            <w:rFonts w:ascii="Arial" w:eastAsia="Times New Roman" w:hAnsi="Arial" w:cs="Arial"/>
            <w:kern w:val="0"/>
            <w:sz w:val="20"/>
            <w:szCs w:val="20"/>
          </w:rPr>
          <w:t>https://doi.org/10.1016/J.PHYSE.2021.115052</w:t>
        </w:r>
      </w:hyperlink>
    </w:p>
    <w:p w14:paraId="6F86A89F" w14:textId="77777777" w:rsidR="00AD5075" w:rsidRPr="002F7431" w:rsidRDefault="00AD5075" w:rsidP="002F7431">
      <w:pPr>
        <w:spacing w:after="0" w:line="240" w:lineRule="auto"/>
        <w:jc w:val="both"/>
        <w:rPr>
          <w:rFonts w:ascii="Arial" w:eastAsia="Times New Roman" w:hAnsi="Arial" w:cs="Arial"/>
          <w:kern w:val="0"/>
          <w:sz w:val="20"/>
          <w:szCs w:val="20"/>
        </w:rPr>
      </w:pPr>
    </w:p>
    <w:p w14:paraId="1BFFE09D" w14:textId="77777777" w:rsidR="00AD5075" w:rsidRPr="002F7431" w:rsidRDefault="00AD5075"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lastRenderedPageBreak/>
        <w:t xml:space="preserve">Fei, Y., Zheng, Y., Bu, K., Zhang, W., Ding, Y., Zhou, X., Yin, Y., &amp; Yin, Y. (2019). Visualizing the charge order and topological defects in an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w:t>
      </w:r>
      <w:proofErr w:type="spellStart"/>
      <w:proofErr w:type="gramStart"/>
      <w:r w:rsidRPr="002F7431">
        <w:rPr>
          <w:rFonts w:ascii="Arial" w:eastAsia="Times New Roman" w:hAnsi="Arial" w:cs="Arial"/>
          <w:kern w:val="0"/>
          <w:sz w:val="20"/>
          <w:szCs w:val="20"/>
        </w:rPr>
        <w:t>Bi,Pb</w:t>
      </w:r>
      <w:proofErr w:type="spellEnd"/>
      <w:proofErr w:type="gramEnd"/>
      <w:r w:rsidRPr="002F7431">
        <w:rPr>
          <w:rFonts w:ascii="Arial" w:eastAsia="Times New Roman" w:hAnsi="Arial" w:cs="Arial"/>
          <w:kern w:val="0"/>
          <w:sz w:val="20"/>
          <w:szCs w:val="20"/>
        </w:rPr>
        <w:t xml:space="preserve">)$_2$Sr$_2$CuO$_{6+x}$ superconductor.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39" w:history="1">
        <w:r w:rsidRPr="002F7431">
          <w:rPr>
            <w:rStyle w:val="Hyperlink"/>
            <w:rFonts w:ascii="Arial" w:eastAsia="Times New Roman" w:hAnsi="Arial" w:cs="Arial"/>
            <w:kern w:val="0"/>
            <w:sz w:val="20"/>
            <w:szCs w:val="20"/>
          </w:rPr>
          <w:t>https://doi.org/10.1007/S11433-019-9454-6</w:t>
        </w:r>
      </w:hyperlink>
    </w:p>
    <w:p w14:paraId="42589C76" w14:textId="77777777" w:rsidR="00AD5075" w:rsidRPr="002F7431" w:rsidRDefault="00AD5075" w:rsidP="002F7431">
      <w:pPr>
        <w:spacing w:after="0" w:line="240" w:lineRule="auto"/>
        <w:jc w:val="both"/>
        <w:rPr>
          <w:rFonts w:ascii="Arial" w:hAnsi="Arial" w:cs="Arial"/>
          <w:sz w:val="20"/>
          <w:szCs w:val="20"/>
        </w:rPr>
      </w:pPr>
    </w:p>
    <w:p w14:paraId="5C7721E6"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Neto, E. H. da S., </w:t>
      </w:r>
      <w:proofErr w:type="spellStart"/>
      <w:r w:rsidRPr="002F7431">
        <w:rPr>
          <w:rFonts w:ascii="Arial" w:eastAsia="Times New Roman" w:hAnsi="Arial" w:cs="Arial"/>
          <w:kern w:val="0"/>
          <w:sz w:val="20"/>
          <w:szCs w:val="20"/>
        </w:rPr>
        <w:t>Frañó</w:t>
      </w:r>
      <w:proofErr w:type="spellEnd"/>
      <w:r w:rsidRPr="002F7431">
        <w:rPr>
          <w:rFonts w:ascii="Arial" w:eastAsia="Times New Roman" w:hAnsi="Arial" w:cs="Arial"/>
          <w:kern w:val="0"/>
          <w:sz w:val="20"/>
          <w:szCs w:val="20"/>
        </w:rPr>
        <w:t xml:space="preserve">, A., &amp; Boschini, F. (2024). Dynamic charge order from strong correlations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Frontiers in Electronic Materials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w:t>
      </w:r>
      <w:r w:rsidRPr="002F7431">
        <w:rPr>
          <w:rFonts w:ascii="Arial" w:eastAsia="Times New Roman" w:hAnsi="Arial" w:cs="Arial"/>
          <w:kern w:val="0"/>
          <w:sz w:val="20"/>
          <w:szCs w:val="20"/>
        </w:rPr>
        <w:t xml:space="preserve">. </w:t>
      </w:r>
      <w:hyperlink r:id="rId40" w:history="1">
        <w:r w:rsidRPr="002F7431">
          <w:rPr>
            <w:rStyle w:val="Hyperlink"/>
            <w:rFonts w:ascii="Arial" w:eastAsia="Times New Roman" w:hAnsi="Arial" w:cs="Arial"/>
            <w:kern w:val="0"/>
            <w:sz w:val="20"/>
            <w:szCs w:val="20"/>
          </w:rPr>
          <w:t>https://doi.org/10.3389/femat.2024.1473324</w:t>
        </w:r>
      </w:hyperlink>
    </w:p>
    <w:p w14:paraId="615C55E3" w14:textId="77777777" w:rsidR="00AD5075" w:rsidRPr="002F7431" w:rsidRDefault="00AD5075" w:rsidP="002F7431">
      <w:pPr>
        <w:spacing w:after="0" w:line="240" w:lineRule="auto"/>
        <w:jc w:val="both"/>
        <w:rPr>
          <w:rFonts w:ascii="Arial" w:eastAsia="Times New Roman" w:hAnsi="Arial" w:cs="Arial"/>
          <w:kern w:val="0"/>
          <w:sz w:val="20"/>
          <w:szCs w:val="20"/>
        </w:rPr>
      </w:pPr>
    </w:p>
    <w:p w14:paraId="2E57BD6F" w14:textId="77777777" w:rsidR="00AD5075" w:rsidRPr="002F7431" w:rsidRDefault="00AD507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Hoffman, J., Hudson, E., Lang, K., Madhavan, V., Eisaki, H., Uchida, S., &amp; Davis, J. C. (2002). A Four Unit Cell Periodic Pattern of Quasi-Particle States Surrounding Vortex Cores in Bi2Sr2CaCu2O8+δ. </w:t>
      </w:r>
      <w:proofErr w:type="spellStart"/>
      <w:r w:rsidRPr="002F7431">
        <w:rPr>
          <w:rFonts w:ascii="Arial" w:eastAsia="Times New Roman" w:hAnsi="Arial" w:cs="Arial"/>
          <w:i/>
          <w:iCs/>
          <w:kern w:val="0"/>
          <w:sz w:val="20"/>
          <w:szCs w:val="20"/>
        </w:rPr>
        <w:t>ChemInform</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33</w:t>
      </w:r>
      <w:r w:rsidRPr="002F7431">
        <w:rPr>
          <w:rFonts w:ascii="Arial" w:eastAsia="Times New Roman" w:hAnsi="Arial" w:cs="Arial"/>
          <w:kern w:val="0"/>
          <w:sz w:val="20"/>
          <w:szCs w:val="20"/>
        </w:rPr>
        <w:t xml:space="preserve">(15). </w:t>
      </w:r>
      <w:hyperlink r:id="rId41" w:history="1">
        <w:r w:rsidRPr="002F7431">
          <w:rPr>
            <w:rStyle w:val="Hyperlink"/>
            <w:rFonts w:ascii="Arial" w:eastAsia="Times New Roman" w:hAnsi="Arial" w:cs="Arial"/>
            <w:kern w:val="0"/>
            <w:sz w:val="20"/>
            <w:szCs w:val="20"/>
          </w:rPr>
          <w:t>https://doi.org/10.1002/CHIN.200215010</w:t>
        </w:r>
      </w:hyperlink>
    </w:p>
    <w:p w14:paraId="770B083D" w14:textId="77777777" w:rsidR="00AD5075" w:rsidRPr="002F7431" w:rsidRDefault="00AD5075" w:rsidP="002F7431">
      <w:pPr>
        <w:spacing w:after="0" w:line="240" w:lineRule="auto"/>
        <w:jc w:val="both"/>
        <w:rPr>
          <w:rFonts w:ascii="Arial" w:eastAsia="Times New Roman" w:hAnsi="Arial" w:cs="Arial"/>
          <w:kern w:val="0"/>
          <w:sz w:val="20"/>
          <w:szCs w:val="20"/>
        </w:rPr>
      </w:pPr>
    </w:p>
    <w:p w14:paraId="7D47FFD9" w14:textId="77777777" w:rsidR="00AD5075" w:rsidRPr="002F7431" w:rsidRDefault="00AD5075"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Mukhopadhyay, S., Mukhopadhyay, S., Sharma, R., Sharma, R., Kim, C. K., Edkins, S. D., </w:t>
      </w:r>
      <w:proofErr w:type="spellStart"/>
      <w:r w:rsidRPr="002F7431">
        <w:rPr>
          <w:rFonts w:ascii="Arial" w:eastAsia="Times New Roman" w:hAnsi="Arial" w:cs="Arial"/>
          <w:kern w:val="0"/>
          <w:sz w:val="20"/>
          <w:szCs w:val="20"/>
        </w:rPr>
        <w:t>Hamidian</w:t>
      </w:r>
      <w:proofErr w:type="spellEnd"/>
      <w:r w:rsidRPr="002F7431">
        <w:rPr>
          <w:rFonts w:ascii="Arial" w:eastAsia="Times New Roman" w:hAnsi="Arial" w:cs="Arial"/>
          <w:kern w:val="0"/>
          <w:sz w:val="20"/>
          <w:szCs w:val="20"/>
        </w:rPr>
        <w:t xml:space="preserve">, M., Eisaki, H., Uchida, S., Kim, E.-A., Lawler, M. J., Mackenzie, A. P., Davis, J. C. S., Davis, J. C. S., &amp; Fujita, K. (2019). Evidence for a vestigial nematic state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116</w:t>
      </w:r>
      <w:r w:rsidRPr="002F7431">
        <w:rPr>
          <w:rFonts w:ascii="Arial" w:eastAsia="Times New Roman" w:hAnsi="Arial" w:cs="Arial"/>
          <w:kern w:val="0"/>
          <w:sz w:val="20"/>
          <w:szCs w:val="20"/>
        </w:rPr>
        <w:t xml:space="preserve">(27), 13249–13254. </w:t>
      </w:r>
      <w:hyperlink r:id="rId42" w:history="1">
        <w:r w:rsidRPr="002F7431">
          <w:rPr>
            <w:rStyle w:val="Hyperlink"/>
            <w:rFonts w:ascii="Arial" w:eastAsia="Times New Roman" w:hAnsi="Arial" w:cs="Arial"/>
            <w:kern w:val="0"/>
            <w:sz w:val="20"/>
            <w:szCs w:val="20"/>
          </w:rPr>
          <w:t>https://doi.org/10.1073/PNAS.1821454116</w:t>
        </w:r>
      </w:hyperlink>
    </w:p>
    <w:p w14:paraId="4E2F130E" w14:textId="77777777" w:rsidR="004C48DE" w:rsidRPr="002F7431" w:rsidRDefault="004C48DE" w:rsidP="002F7431">
      <w:pPr>
        <w:spacing w:after="0" w:line="240" w:lineRule="auto"/>
        <w:jc w:val="both"/>
        <w:rPr>
          <w:rFonts w:ascii="Arial" w:eastAsia="Times New Roman" w:hAnsi="Arial" w:cs="Arial"/>
          <w:kern w:val="0"/>
          <w:sz w:val="20"/>
          <w:szCs w:val="20"/>
        </w:rPr>
      </w:pPr>
    </w:p>
    <w:p w14:paraId="7EFAD739"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Avramovska</w:t>
      </w:r>
      <w:proofErr w:type="spellEnd"/>
      <w:r w:rsidRPr="002F7431">
        <w:rPr>
          <w:rFonts w:ascii="Arial" w:eastAsia="Times New Roman" w:hAnsi="Arial" w:cs="Arial"/>
          <w:kern w:val="0"/>
          <w:sz w:val="20"/>
          <w:szCs w:val="20"/>
        </w:rPr>
        <w:t>, M., Nachtigal, J., &amp; Haase, J. (2022). $$</w:t>
      </w:r>
      <w:proofErr w:type="gramStart"/>
      <w:r w:rsidRPr="002F7431">
        <w:rPr>
          <w:rFonts w:ascii="Arial" w:eastAsia="Times New Roman" w:hAnsi="Arial" w:cs="Arial"/>
          <w:kern w:val="0"/>
          <w:sz w:val="20"/>
          <w:szCs w:val="20"/>
        </w:rPr>
        <w:t>^{</w:t>
      </w:r>
      <w:proofErr w:type="gramEnd"/>
      <w:r w:rsidRPr="002F7431">
        <w:rPr>
          <w:rFonts w:ascii="Arial" w:eastAsia="Times New Roman" w:hAnsi="Arial" w:cs="Arial"/>
          <w:kern w:val="0"/>
          <w:sz w:val="20"/>
          <w:szCs w:val="20"/>
        </w:rPr>
        <w:t xml:space="preserve">17}$$O and $$^{89}$$Y NMR Shift and Relaxation and the Temperature-Independent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of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Journal of Superconductivity and Novel Magnetism</w:t>
      </w:r>
      <w:r w:rsidRPr="002F7431">
        <w:rPr>
          <w:rFonts w:ascii="Arial" w:eastAsia="Times New Roman" w:hAnsi="Arial" w:cs="Arial"/>
          <w:kern w:val="0"/>
          <w:sz w:val="20"/>
          <w:szCs w:val="20"/>
        </w:rPr>
        <w:t xml:space="preserve">. </w:t>
      </w:r>
      <w:hyperlink r:id="rId43" w:history="1">
        <w:r w:rsidRPr="002F7431">
          <w:rPr>
            <w:rStyle w:val="Hyperlink"/>
            <w:rFonts w:ascii="Arial" w:eastAsia="Times New Roman" w:hAnsi="Arial" w:cs="Arial"/>
            <w:kern w:val="0"/>
            <w:sz w:val="20"/>
            <w:szCs w:val="20"/>
          </w:rPr>
          <w:t>https://doi.org/10.1007/s10948-022-06171-2</w:t>
        </w:r>
      </w:hyperlink>
    </w:p>
    <w:p w14:paraId="781FAF6C" w14:textId="77777777" w:rsidR="004C48DE" w:rsidRPr="002F7431" w:rsidRDefault="004C48DE" w:rsidP="002F7431">
      <w:pPr>
        <w:spacing w:after="0" w:line="240" w:lineRule="auto"/>
        <w:jc w:val="both"/>
        <w:rPr>
          <w:rFonts w:ascii="Arial" w:eastAsia="Times New Roman" w:hAnsi="Arial" w:cs="Arial"/>
          <w:kern w:val="0"/>
          <w:sz w:val="20"/>
          <w:szCs w:val="20"/>
        </w:rPr>
      </w:pPr>
    </w:p>
    <w:p w14:paraId="7299BD0A" w14:textId="77777777" w:rsidR="004C48DE" w:rsidRPr="002F7431" w:rsidRDefault="004C48DE"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Tahir‐Kheli, J. (2024). </w:t>
      </w:r>
      <w:r w:rsidRPr="002F7431">
        <w:rPr>
          <w:rFonts w:ascii="Arial" w:eastAsia="Times New Roman" w:hAnsi="Arial" w:cs="Arial"/>
          <w:i/>
          <w:iCs/>
          <w:kern w:val="0"/>
          <w:sz w:val="20"/>
          <w:szCs w:val="20"/>
        </w:rPr>
        <w:t xml:space="preserve">Evidence for Atomic-Scale Inhomogeneity in Superconducting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NMR</w:t>
      </w:r>
      <w:r w:rsidRPr="002F7431">
        <w:rPr>
          <w:rFonts w:ascii="Arial" w:eastAsia="Times New Roman" w:hAnsi="Arial" w:cs="Arial"/>
          <w:kern w:val="0"/>
          <w:sz w:val="20"/>
          <w:szCs w:val="20"/>
        </w:rPr>
        <w:t xml:space="preserve">. </w:t>
      </w:r>
      <w:hyperlink r:id="rId44" w:history="1">
        <w:r w:rsidRPr="002F7431">
          <w:rPr>
            <w:rStyle w:val="Hyperlink"/>
            <w:rFonts w:ascii="Arial" w:eastAsia="Times New Roman" w:hAnsi="Arial" w:cs="Arial"/>
            <w:kern w:val="0"/>
            <w:sz w:val="20"/>
            <w:szCs w:val="20"/>
          </w:rPr>
          <w:t>https://doi.org/10.48550/arxiv.2411.08142</w:t>
        </w:r>
      </w:hyperlink>
    </w:p>
    <w:p w14:paraId="0EF61DC0" w14:textId="77777777" w:rsidR="004C48DE" w:rsidRPr="002F7431" w:rsidRDefault="004C48DE" w:rsidP="002F7431">
      <w:pPr>
        <w:spacing w:after="0" w:line="240" w:lineRule="auto"/>
        <w:jc w:val="both"/>
        <w:rPr>
          <w:rFonts w:ascii="Arial" w:hAnsi="Arial" w:cs="Arial"/>
          <w:sz w:val="20"/>
          <w:szCs w:val="20"/>
        </w:rPr>
      </w:pPr>
    </w:p>
    <w:p w14:paraId="12DFFEA2"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hAnsi="Arial" w:cs="Arial"/>
          <w:color w:val="222222"/>
          <w:sz w:val="20"/>
          <w:szCs w:val="20"/>
          <w:shd w:val="clear" w:color="auto" w:fill="FFFFFF"/>
        </w:rPr>
        <w:t xml:space="preserve">Arpaia, R., &amp; Ghiringhelli, G. (2021). Charge order at high temperature in </w:t>
      </w:r>
      <w:proofErr w:type="spellStart"/>
      <w:r w:rsidRPr="002F7431">
        <w:rPr>
          <w:rFonts w:ascii="Arial" w:hAnsi="Arial" w:cs="Arial"/>
          <w:color w:val="222222"/>
          <w:sz w:val="20"/>
          <w:szCs w:val="20"/>
          <w:shd w:val="clear" w:color="auto" w:fill="FFFFFF"/>
        </w:rPr>
        <w:t>cuprate</w:t>
      </w:r>
      <w:proofErr w:type="spellEnd"/>
      <w:r w:rsidRPr="002F7431">
        <w:rPr>
          <w:rFonts w:ascii="Arial" w:hAnsi="Arial" w:cs="Arial"/>
          <w:color w:val="222222"/>
          <w:sz w:val="20"/>
          <w:szCs w:val="20"/>
          <w:shd w:val="clear" w:color="auto" w:fill="FFFFFF"/>
        </w:rPr>
        <w:t xml:space="preserve"> superconductors. </w:t>
      </w:r>
      <w:r w:rsidRPr="002F7431">
        <w:rPr>
          <w:rFonts w:ascii="Arial" w:hAnsi="Arial" w:cs="Arial"/>
          <w:i/>
          <w:iCs/>
          <w:color w:val="222222"/>
          <w:sz w:val="20"/>
          <w:szCs w:val="20"/>
          <w:shd w:val="clear" w:color="auto" w:fill="FFFFFF"/>
        </w:rPr>
        <w:t>Journal of the Physical Society of Japan</w:t>
      </w:r>
      <w:r w:rsidRPr="002F7431">
        <w:rPr>
          <w:rFonts w:ascii="Arial" w:hAnsi="Arial" w:cs="Arial"/>
          <w:color w:val="222222"/>
          <w:sz w:val="20"/>
          <w:szCs w:val="20"/>
          <w:shd w:val="clear" w:color="auto" w:fill="FFFFFF"/>
        </w:rPr>
        <w:t>, </w:t>
      </w:r>
      <w:r w:rsidRPr="002F7431">
        <w:rPr>
          <w:rFonts w:ascii="Arial" w:hAnsi="Arial" w:cs="Arial"/>
          <w:i/>
          <w:iCs/>
          <w:color w:val="222222"/>
          <w:sz w:val="20"/>
          <w:szCs w:val="20"/>
          <w:shd w:val="clear" w:color="auto" w:fill="FFFFFF"/>
        </w:rPr>
        <w:t>90</w:t>
      </w:r>
      <w:r w:rsidRPr="002F7431">
        <w:rPr>
          <w:rFonts w:ascii="Arial" w:hAnsi="Arial" w:cs="Arial"/>
          <w:color w:val="222222"/>
          <w:sz w:val="20"/>
          <w:szCs w:val="20"/>
          <w:shd w:val="clear" w:color="auto" w:fill="FFFFFF"/>
        </w:rPr>
        <w:t>(11), 111005.</w:t>
      </w:r>
      <w:r w:rsidRPr="002F7431">
        <w:rPr>
          <w:rFonts w:ascii="Arial" w:hAnsi="Arial" w:cs="Arial"/>
          <w:sz w:val="20"/>
          <w:szCs w:val="20"/>
        </w:rPr>
        <w:t xml:space="preserve"> </w:t>
      </w:r>
      <w:hyperlink r:id="rId45" w:history="1">
        <w:r w:rsidRPr="002F7431">
          <w:rPr>
            <w:rStyle w:val="Hyperlink"/>
            <w:rFonts w:ascii="Arial" w:hAnsi="Arial" w:cs="Arial"/>
            <w:sz w:val="20"/>
            <w:szCs w:val="20"/>
            <w:shd w:val="clear" w:color="auto" w:fill="FFFFFF"/>
          </w:rPr>
          <w:t>https://doi.org/10.7566/JPSJ.90.111005</w:t>
        </w:r>
      </w:hyperlink>
      <w:r w:rsidRPr="002F7431">
        <w:rPr>
          <w:rFonts w:ascii="Arial" w:hAnsi="Arial" w:cs="Arial"/>
          <w:color w:val="222222"/>
          <w:sz w:val="20"/>
          <w:szCs w:val="20"/>
          <w:shd w:val="clear" w:color="auto" w:fill="FFFFFF"/>
        </w:rPr>
        <w:t xml:space="preserve"> </w:t>
      </w:r>
    </w:p>
    <w:p w14:paraId="363842F3" w14:textId="77777777" w:rsidR="009F60B9" w:rsidRPr="002F7431" w:rsidRDefault="009F60B9" w:rsidP="002F7431">
      <w:pPr>
        <w:spacing w:after="0" w:line="240" w:lineRule="auto"/>
        <w:jc w:val="both"/>
        <w:rPr>
          <w:rFonts w:ascii="Arial" w:eastAsia="Times New Roman" w:hAnsi="Arial" w:cs="Arial"/>
          <w:kern w:val="0"/>
          <w:sz w:val="20"/>
          <w:szCs w:val="20"/>
        </w:rPr>
      </w:pPr>
    </w:p>
    <w:p w14:paraId="276D43AA"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Miao, H., Fumagalli, R., Rossi, M. A. C., Lorenzana, J., Seibold, G., Yakhou-Harris, F., Kummer, K., Brookes, N. B., Gu, G. D., </w:t>
      </w:r>
      <w:proofErr w:type="spellStart"/>
      <w:r w:rsidRPr="002F7431">
        <w:rPr>
          <w:rFonts w:ascii="Arial" w:eastAsia="Times New Roman" w:hAnsi="Arial" w:cs="Arial"/>
          <w:kern w:val="0"/>
          <w:sz w:val="20"/>
          <w:szCs w:val="20"/>
        </w:rPr>
        <w:t>Braicovich</w:t>
      </w:r>
      <w:proofErr w:type="spellEnd"/>
      <w:r w:rsidRPr="002F7431">
        <w:rPr>
          <w:rFonts w:ascii="Arial" w:eastAsia="Times New Roman" w:hAnsi="Arial" w:cs="Arial"/>
          <w:kern w:val="0"/>
          <w:sz w:val="20"/>
          <w:szCs w:val="20"/>
        </w:rPr>
        <w:t xml:space="preserve">, L., Ghiringhelli, G. C., &amp; Dean, M. (2019). Formation of Incommensurate Charge Density Waves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46" w:history="1">
        <w:r w:rsidRPr="002F7431">
          <w:rPr>
            <w:rStyle w:val="Hyperlink"/>
            <w:rFonts w:ascii="Arial" w:eastAsia="Times New Roman" w:hAnsi="Arial" w:cs="Arial"/>
            <w:kern w:val="0"/>
            <w:sz w:val="20"/>
            <w:szCs w:val="20"/>
          </w:rPr>
          <w:t>https://doi.org/10.1103/PHYSREVX.9.031042</w:t>
        </w:r>
      </w:hyperlink>
    </w:p>
    <w:p w14:paraId="25C98D01" w14:textId="77777777" w:rsidR="004C48DE" w:rsidRPr="002F7431" w:rsidRDefault="004C48DE" w:rsidP="002F7431">
      <w:pPr>
        <w:spacing w:after="0" w:line="240" w:lineRule="auto"/>
        <w:jc w:val="both"/>
        <w:rPr>
          <w:rFonts w:ascii="Arial" w:eastAsia="Times New Roman" w:hAnsi="Arial" w:cs="Arial"/>
          <w:kern w:val="0"/>
          <w:sz w:val="20"/>
          <w:szCs w:val="20"/>
        </w:rPr>
      </w:pPr>
    </w:p>
    <w:p w14:paraId="40331457"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Mitsen</w:t>
      </w:r>
      <w:proofErr w:type="spellEnd"/>
      <w:r w:rsidRPr="002F7431">
        <w:rPr>
          <w:rFonts w:ascii="Arial" w:eastAsia="Times New Roman" w:hAnsi="Arial" w:cs="Arial"/>
          <w:kern w:val="0"/>
          <w:sz w:val="20"/>
          <w:szCs w:val="20"/>
        </w:rPr>
        <w:t xml:space="preserve">, K., &amp; Ivanenko, O. M. (2024). </w:t>
      </w:r>
      <w:r w:rsidRPr="002F7431">
        <w:rPr>
          <w:rFonts w:ascii="Arial" w:eastAsia="Times New Roman" w:hAnsi="Arial" w:cs="Arial"/>
          <w:i/>
          <w:iCs/>
          <w:kern w:val="0"/>
          <w:sz w:val="20"/>
          <w:szCs w:val="20"/>
        </w:rPr>
        <w:t xml:space="preserve">On the physical nature of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phase and anomalous transfer of spectral weight in underdoped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47" w:history="1">
        <w:r w:rsidRPr="002F7431">
          <w:rPr>
            <w:rStyle w:val="Hyperlink"/>
            <w:rFonts w:ascii="Arial" w:eastAsia="Times New Roman" w:hAnsi="Arial" w:cs="Arial"/>
            <w:kern w:val="0"/>
            <w:sz w:val="20"/>
            <w:szCs w:val="20"/>
          </w:rPr>
          <w:t>https://doi.org/10.48550/arxiv.2401.12647</w:t>
        </w:r>
      </w:hyperlink>
    </w:p>
    <w:p w14:paraId="02A01132" w14:textId="77777777" w:rsidR="004C48DE" w:rsidRPr="002F7431" w:rsidRDefault="004C48DE" w:rsidP="002F7431">
      <w:pPr>
        <w:spacing w:after="0" w:line="240" w:lineRule="auto"/>
        <w:jc w:val="both"/>
        <w:rPr>
          <w:rFonts w:ascii="Arial" w:eastAsia="Times New Roman" w:hAnsi="Arial" w:cs="Arial"/>
          <w:kern w:val="0"/>
          <w:sz w:val="20"/>
          <w:szCs w:val="20"/>
        </w:rPr>
      </w:pPr>
    </w:p>
    <w:p w14:paraId="51C0587F" w14:textId="77777777" w:rsidR="00AD5075" w:rsidRPr="002F7431" w:rsidRDefault="004C48DE"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Michon, B., Kuzmenko, A. B., Tran, M. K., McElfresh, B., Komiya, S., Ono, S., Uchida, S., &amp; van der Marel, D. (2021). The spectral weight of hole doped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across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Superconductivity</w:t>
      </w:r>
      <w:r w:rsidRPr="002F7431">
        <w:rPr>
          <w:rFonts w:ascii="Arial" w:eastAsia="Times New Roman" w:hAnsi="Arial" w:cs="Arial"/>
          <w:kern w:val="0"/>
          <w:sz w:val="20"/>
          <w:szCs w:val="20"/>
        </w:rPr>
        <w:t xml:space="preserve">. </w:t>
      </w:r>
      <w:hyperlink r:id="rId48" w:history="1">
        <w:r w:rsidRPr="002F7431">
          <w:rPr>
            <w:rStyle w:val="Hyperlink"/>
            <w:rFonts w:ascii="Arial" w:eastAsia="Times New Roman" w:hAnsi="Arial" w:cs="Arial"/>
            <w:kern w:val="0"/>
            <w:sz w:val="20"/>
            <w:szCs w:val="20"/>
          </w:rPr>
          <w:t>http://export.arxiv.org/pdf/2110.06563</w:t>
        </w:r>
      </w:hyperlink>
    </w:p>
    <w:p w14:paraId="5B0FD5DB" w14:textId="77777777" w:rsidR="004C48DE" w:rsidRPr="002F7431" w:rsidRDefault="004C48DE" w:rsidP="002F7431">
      <w:pPr>
        <w:spacing w:after="0" w:line="240" w:lineRule="auto"/>
        <w:jc w:val="both"/>
        <w:rPr>
          <w:rFonts w:ascii="Arial" w:hAnsi="Arial" w:cs="Arial"/>
          <w:sz w:val="20"/>
          <w:szCs w:val="20"/>
        </w:rPr>
      </w:pPr>
    </w:p>
    <w:p w14:paraId="098C1B9D"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Basov, D., &amp; </w:t>
      </w:r>
      <w:proofErr w:type="spellStart"/>
      <w:r w:rsidRPr="002F7431">
        <w:rPr>
          <w:rFonts w:ascii="Arial" w:eastAsia="Times New Roman" w:hAnsi="Arial" w:cs="Arial"/>
          <w:kern w:val="0"/>
          <w:sz w:val="20"/>
          <w:szCs w:val="20"/>
        </w:rPr>
        <w:t>Timusk</w:t>
      </w:r>
      <w:proofErr w:type="spellEnd"/>
      <w:r w:rsidRPr="002F7431">
        <w:rPr>
          <w:rFonts w:ascii="Arial" w:eastAsia="Times New Roman" w:hAnsi="Arial" w:cs="Arial"/>
          <w:kern w:val="0"/>
          <w:sz w:val="20"/>
          <w:szCs w:val="20"/>
        </w:rPr>
        <w:t xml:space="preserve">, T. (2005). Electrodynamics of high- T c superconductors. </w:t>
      </w:r>
      <w:r w:rsidRPr="002F7431">
        <w:rPr>
          <w:rFonts w:ascii="Arial" w:eastAsia="Times New Roman" w:hAnsi="Arial" w:cs="Arial"/>
          <w:i/>
          <w:iCs/>
          <w:kern w:val="0"/>
          <w:sz w:val="20"/>
          <w:szCs w:val="20"/>
        </w:rPr>
        <w:t>Reviews of Modern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77</w:t>
      </w:r>
      <w:r w:rsidRPr="002F7431">
        <w:rPr>
          <w:rFonts w:ascii="Arial" w:eastAsia="Times New Roman" w:hAnsi="Arial" w:cs="Arial"/>
          <w:kern w:val="0"/>
          <w:sz w:val="20"/>
          <w:szCs w:val="20"/>
        </w:rPr>
        <w:t xml:space="preserve">(2), 721–779. </w:t>
      </w:r>
      <w:hyperlink r:id="rId49" w:history="1">
        <w:r w:rsidRPr="002F7431">
          <w:rPr>
            <w:rStyle w:val="Hyperlink"/>
            <w:rFonts w:ascii="Arial" w:eastAsia="Times New Roman" w:hAnsi="Arial" w:cs="Arial"/>
            <w:kern w:val="0"/>
            <w:sz w:val="20"/>
            <w:szCs w:val="20"/>
          </w:rPr>
          <w:t>https://doi.org/10.1103/REVMODPHYS.77.721</w:t>
        </w:r>
      </w:hyperlink>
    </w:p>
    <w:p w14:paraId="5F0BFC79" w14:textId="77777777" w:rsidR="004C48DE" w:rsidRPr="002F7431" w:rsidRDefault="004C48DE" w:rsidP="002F7431">
      <w:pPr>
        <w:spacing w:after="0" w:line="240" w:lineRule="auto"/>
        <w:jc w:val="both"/>
        <w:rPr>
          <w:rFonts w:ascii="Arial" w:eastAsia="Times New Roman" w:hAnsi="Arial" w:cs="Arial"/>
          <w:kern w:val="0"/>
          <w:sz w:val="20"/>
          <w:szCs w:val="20"/>
        </w:rPr>
      </w:pPr>
    </w:p>
    <w:p w14:paraId="69E18EC3" w14:textId="77777777" w:rsidR="004C48DE" w:rsidRPr="002F7431" w:rsidRDefault="004C48DE" w:rsidP="002F7431">
      <w:pPr>
        <w:pStyle w:val="ListParagraph"/>
        <w:numPr>
          <w:ilvl w:val="0"/>
          <w:numId w:val="12"/>
        </w:numPr>
        <w:spacing w:after="0" w:line="240" w:lineRule="auto"/>
        <w:jc w:val="both"/>
        <w:rPr>
          <w:rFonts w:ascii="Arial" w:hAnsi="Arial" w:cs="Arial"/>
          <w:sz w:val="20"/>
          <w:szCs w:val="20"/>
        </w:rPr>
      </w:pPr>
      <w:r w:rsidRPr="002F7431">
        <w:rPr>
          <w:rFonts w:ascii="Arial" w:eastAsia="Times New Roman" w:hAnsi="Arial" w:cs="Arial"/>
          <w:kern w:val="0"/>
          <w:sz w:val="20"/>
          <w:szCs w:val="20"/>
        </w:rPr>
        <w:t xml:space="preserve">Ramshaw, B., Sebastian, S. E., McDonald, R. D., Day, J., Tan, B. S., Zhu, Z., Betts, J. B., Liang, R., Bonn, D. A., Bonn, D. A., Hardy, W. N., Hardy, W. N., &amp; Harrison, N. (2015). Quasiparticle mass enhancement approaching optimal doping in a high-Tc superconductor. </w:t>
      </w:r>
      <w:r w:rsidRPr="002F7431">
        <w:rPr>
          <w:rFonts w:ascii="Arial" w:eastAsia="Times New Roman" w:hAnsi="Arial" w:cs="Arial"/>
          <w:i/>
          <w:iCs/>
          <w:kern w:val="0"/>
          <w:sz w:val="20"/>
          <w:szCs w:val="20"/>
        </w:rPr>
        <w:t>Science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348</w:t>
      </w:r>
      <w:r w:rsidRPr="002F7431">
        <w:rPr>
          <w:rFonts w:ascii="Arial" w:eastAsia="Times New Roman" w:hAnsi="Arial" w:cs="Arial"/>
          <w:kern w:val="0"/>
          <w:sz w:val="20"/>
          <w:szCs w:val="20"/>
        </w:rPr>
        <w:t xml:space="preserve">(6232), 317–320. </w:t>
      </w:r>
      <w:hyperlink r:id="rId50" w:history="1">
        <w:r w:rsidRPr="002F7431">
          <w:rPr>
            <w:rStyle w:val="Hyperlink"/>
            <w:rFonts w:ascii="Arial" w:eastAsia="Times New Roman" w:hAnsi="Arial" w:cs="Arial"/>
            <w:kern w:val="0"/>
            <w:sz w:val="20"/>
            <w:szCs w:val="20"/>
          </w:rPr>
          <w:t>https://doi.org/10.1126/SCIENCE.AAA4990</w:t>
        </w:r>
      </w:hyperlink>
    </w:p>
    <w:p w14:paraId="0D2EC2C2" w14:textId="77777777" w:rsidR="004C48DE" w:rsidRPr="002F7431" w:rsidRDefault="004C48DE" w:rsidP="002F7431">
      <w:pPr>
        <w:spacing w:after="0" w:line="240" w:lineRule="auto"/>
        <w:jc w:val="both"/>
        <w:rPr>
          <w:rFonts w:ascii="Arial" w:eastAsia="Times New Roman" w:hAnsi="Arial" w:cs="Arial"/>
          <w:kern w:val="0"/>
          <w:sz w:val="20"/>
          <w:szCs w:val="20"/>
        </w:rPr>
      </w:pPr>
    </w:p>
    <w:p w14:paraId="55F23FE0" w14:textId="77777777" w:rsidR="004C48DE" w:rsidRPr="002F7431" w:rsidRDefault="004C48D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Yuan, J., Shi, L., Yue, L., Li, B., Wang, Z., Xu, S., Xu, T.-Q., Wang, Y., Gan, Z., Chen, F., Lin, Z., Wang, X., Jin, K., Wang, X., Luo, J., Zhang, S., Wu, Q., Liu, Q., Hu, T., … Wang, N. (2024). Dynamical interplay between superconductivity and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as revealed by terahertz third-harmonic generation spectroscopy. </w:t>
      </w:r>
      <w:r w:rsidRPr="002F7431">
        <w:rPr>
          <w:rFonts w:ascii="Arial" w:eastAsia="Times New Roman" w:hAnsi="Arial" w:cs="Arial"/>
          <w:i/>
          <w:iCs/>
          <w:kern w:val="0"/>
          <w:sz w:val="20"/>
          <w:szCs w:val="20"/>
        </w:rPr>
        <w:t>Science Advances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 </w:t>
      </w:r>
      <w:hyperlink r:id="rId51" w:history="1">
        <w:r w:rsidRPr="002F7431">
          <w:rPr>
            <w:rStyle w:val="Hyperlink"/>
            <w:rFonts w:ascii="Arial" w:eastAsia="Times New Roman" w:hAnsi="Arial" w:cs="Arial"/>
            <w:kern w:val="0"/>
            <w:sz w:val="20"/>
            <w:szCs w:val="20"/>
          </w:rPr>
          <w:t>https://doi.org/10.1126/sciadv.adg9211</w:t>
        </w:r>
      </w:hyperlink>
    </w:p>
    <w:p w14:paraId="49896571" w14:textId="77777777" w:rsidR="004C48DE" w:rsidRPr="002F7431" w:rsidRDefault="004C48DE" w:rsidP="002F7431">
      <w:pPr>
        <w:spacing w:after="0" w:line="240" w:lineRule="auto"/>
        <w:jc w:val="both"/>
        <w:rPr>
          <w:rFonts w:ascii="Arial" w:eastAsia="Times New Roman" w:hAnsi="Arial" w:cs="Arial"/>
          <w:kern w:val="0"/>
          <w:sz w:val="20"/>
          <w:szCs w:val="20"/>
        </w:rPr>
      </w:pPr>
    </w:p>
    <w:p w14:paraId="37057D90" w14:textId="77777777" w:rsidR="004C48DE" w:rsidRPr="002F7431" w:rsidRDefault="004C48DE" w:rsidP="002F7431">
      <w:pPr>
        <w:pStyle w:val="ListParagraph"/>
        <w:numPr>
          <w:ilvl w:val="0"/>
          <w:numId w:val="12"/>
        </w:numPr>
        <w:spacing w:after="0" w:line="240" w:lineRule="auto"/>
        <w:jc w:val="both"/>
        <w:rPr>
          <w:rFonts w:ascii="Arial" w:hAnsi="Arial" w:cs="Arial"/>
          <w:sz w:val="20"/>
          <w:szCs w:val="20"/>
          <w:shd w:val="clear" w:color="auto" w:fill="FFFFFF"/>
        </w:rPr>
      </w:pPr>
      <w:r w:rsidRPr="002F7431">
        <w:rPr>
          <w:rFonts w:ascii="Arial" w:hAnsi="Arial" w:cs="Arial"/>
          <w:sz w:val="20"/>
          <w:szCs w:val="20"/>
          <w:shd w:val="clear" w:color="auto" w:fill="FFFFFF"/>
        </w:rPr>
        <w:lastRenderedPageBreak/>
        <w:t xml:space="preserve">Noat, Y., Mauger, A., Nohara, M., Eisaki, H., Ishida, S., &amp; Sacks, W. (2022). </w:t>
      </w:r>
      <w:proofErr w:type="spellStart"/>
      <w:r w:rsidRPr="002F7431">
        <w:rPr>
          <w:rFonts w:ascii="Arial" w:hAnsi="Arial" w:cs="Arial"/>
          <w:sz w:val="20"/>
          <w:szCs w:val="20"/>
          <w:shd w:val="clear" w:color="auto" w:fill="FFFFFF"/>
        </w:rPr>
        <w:t>Cuprates</w:t>
      </w:r>
      <w:proofErr w:type="spellEnd"/>
      <w:r w:rsidRPr="002F7431">
        <w:rPr>
          <w:rFonts w:ascii="Arial" w:hAnsi="Arial" w:cs="Arial"/>
          <w:sz w:val="20"/>
          <w:szCs w:val="20"/>
          <w:shd w:val="clear" w:color="auto" w:fill="FFFFFF"/>
        </w:rPr>
        <w:t xml:space="preserve"> phase diagram deduced from magnetic susceptibility: What is the ‘true’ </w:t>
      </w:r>
      <w:proofErr w:type="spellStart"/>
      <w:r w:rsidRPr="002F7431">
        <w:rPr>
          <w:rFonts w:ascii="Arial" w:hAnsi="Arial" w:cs="Arial"/>
          <w:sz w:val="20"/>
          <w:szCs w:val="20"/>
          <w:shd w:val="clear" w:color="auto" w:fill="FFFFFF"/>
        </w:rPr>
        <w:t>pseudogap</w:t>
      </w:r>
      <w:proofErr w:type="spellEnd"/>
      <w:r w:rsidRPr="002F7431">
        <w:rPr>
          <w:rFonts w:ascii="Arial" w:hAnsi="Arial" w:cs="Arial"/>
          <w:sz w:val="20"/>
          <w:szCs w:val="20"/>
          <w:shd w:val="clear" w:color="auto" w:fill="FFFFFF"/>
        </w:rPr>
        <w:t xml:space="preserve"> line? </w:t>
      </w:r>
      <w:r w:rsidRPr="002F7431">
        <w:rPr>
          <w:rFonts w:ascii="Arial" w:hAnsi="Arial" w:cs="Arial"/>
          <w:i/>
          <w:iCs/>
          <w:sz w:val="20"/>
          <w:szCs w:val="20"/>
          <w:bdr w:val="single" w:sz="2" w:space="0" w:color="E4E6E8" w:frame="1"/>
          <w:shd w:val="clear" w:color="auto" w:fill="FFFFFF"/>
        </w:rPr>
        <w:t>Solid State Communications</w:t>
      </w:r>
      <w:r w:rsidRPr="002F7431">
        <w:rPr>
          <w:rFonts w:ascii="Arial" w:hAnsi="Arial" w:cs="Arial"/>
          <w:sz w:val="20"/>
          <w:szCs w:val="20"/>
          <w:shd w:val="clear" w:color="auto" w:fill="FFFFFF"/>
        </w:rPr>
        <w:t>, </w:t>
      </w:r>
      <w:r w:rsidRPr="002F7431">
        <w:rPr>
          <w:rFonts w:ascii="Arial" w:hAnsi="Arial" w:cs="Arial"/>
          <w:i/>
          <w:iCs/>
          <w:sz w:val="20"/>
          <w:szCs w:val="20"/>
          <w:bdr w:val="single" w:sz="2" w:space="0" w:color="E4E6E8" w:frame="1"/>
          <w:shd w:val="clear" w:color="auto" w:fill="FFFFFF"/>
        </w:rPr>
        <w:t>348–349</w:t>
      </w:r>
      <w:r w:rsidRPr="002F7431">
        <w:rPr>
          <w:rFonts w:ascii="Arial" w:hAnsi="Arial" w:cs="Arial"/>
          <w:sz w:val="20"/>
          <w:szCs w:val="20"/>
          <w:shd w:val="clear" w:color="auto" w:fill="FFFFFF"/>
        </w:rPr>
        <w:t xml:space="preserve">, 114689. </w:t>
      </w:r>
      <w:hyperlink r:id="rId52" w:history="1">
        <w:r w:rsidRPr="002F7431">
          <w:rPr>
            <w:rStyle w:val="Hyperlink"/>
            <w:rFonts w:ascii="Arial" w:hAnsi="Arial" w:cs="Arial"/>
            <w:sz w:val="20"/>
            <w:szCs w:val="20"/>
            <w:shd w:val="clear" w:color="auto" w:fill="FFFFFF"/>
          </w:rPr>
          <w:t>https://doi.org/10.1016/j.ssc.2022.114689</w:t>
        </w:r>
      </w:hyperlink>
    </w:p>
    <w:p w14:paraId="68AECB29" w14:textId="77777777" w:rsidR="00AD5075" w:rsidRPr="002F7431" w:rsidRDefault="00AD5075" w:rsidP="002F7431">
      <w:pPr>
        <w:spacing w:after="0" w:line="240" w:lineRule="auto"/>
        <w:jc w:val="both"/>
        <w:rPr>
          <w:rFonts w:ascii="Arial" w:eastAsia="Times New Roman" w:hAnsi="Arial" w:cs="Arial"/>
          <w:kern w:val="0"/>
          <w:sz w:val="20"/>
          <w:szCs w:val="20"/>
        </w:rPr>
      </w:pPr>
    </w:p>
    <w:p w14:paraId="14B4D989"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Hawthorn, D. (2023). Resonant X-Ray Scattering Investigations of Charge Density Wave and </w:t>
      </w:r>
      <w:proofErr w:type="spellStart"/>
      <w:r w:rsidRPr="002F7431">
        <w:rPr>
          <w:rFonts w:ascii="Arial" w:eastAsia="Times New Roman" w:hAnsi="Arial" w:cs="Arial"/>
          <w:kern w:val="0"/>
          <w:sz w:val="20"/>
          <w:szCs w:val="20"/>
        </w:rPr>
        <w:t>Nematic</w:t>
      </w:r>
      <w:proofErr w:type="spellEnd"/>
      <w:r w:rsidRPr="002F7431">
        <w:rPr>
          <w:rFonts w:ascii="Arial" w:eastAsia="Times New Roman" w:hAnsi="Arial" w:cs="Arial"/>
          <w:kern w:val="0"/>
          <w:sz w:val="20"/>
          <w:szCs w:val="20"/>
        </w:rPr>
        <w:t xml:space="preserve"> Orders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Synchrotron Radiation News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36</w:t>
      </w:r>
      <w:r w:rsidRPr="002F7431">
        <w:rPr>
          <w:rFonts w:ascii="Arial" w:eastAsia="Times New Roman" w:hAnsi="Arial" w:cs="Arial"/>
          <w:kern w:val="0"/>
          <w:sz w:val="20"/>
          <w:szCs w:val="20"/>
        </w:rPr>
        <w:t xml:space="preserve">, 9–15. </w:t>
      </w:r>
      <w:hyperlink r:id="rId53" w:history="1">
        <w:r w:rsidRPr="002F7431">
          <w:rPr>
            <w:rStyle w:val="Hyperlink"/>
            <w:rFonts w:ascii="Arial" w:eastAsia="Times New Roman" w:hAnsi="Arial" w:cs="Arial"/>
            <w:kern w:val="0"/>
            <w:sz w:val="20"/>
            <w:szCs w:val="20"/>
          </w:rPr>
          <w:t>https://doi.org/10.1080/08940886.2023.2224733</w:t>
        </w:r>
      </w:hyperlink>
    </w:p>
    <w:p w14:paraId="790A16FC" w14:textId="77777777" w:rsidR="00714721" w:rsidRPr="002F7431" w:rsidRDefault="00714721" w:rsidP="002F7431">
      <w:pPr>
        <w:spacing w:after="0" w:line="240" w:lineRule="auto"/>
        <w:jc w:val="both"/>
        <w:rPr>
          <w:rFonts w:ascii="Arial" w:eastAsia="Times New Roman" w:hAnsi="Arial" w:cs="Arial"/>
          <w:kern w:val="0"/>
          <w:sz w:val="20"/>
          <w:szCs w:val="20"/>
        </w:rPr>
      </w:pPr>
    </w:p>
    <w:p w14:paraId="1320C6EC"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Sato, Y., Kasahara, S., Murayama, H., Kasahara, Y., Moon, E.-G., Nishizaki, T., Loew, T., Porras, J., Keimer, B., </w:t>
      </w:r>
      <w:proofErr w:type="spellStart"/>
      <w:r w:rsidRPr="002F7431">
        <w:rPr>
          <w:rFonts w:ascii="Arial" w:eastAsia="Times New Roman" w:hAnsi="Arial" w:cs="Arial"/>
          <w:kern w:val="0"/>
          <w:sz w:val="20"/>
          <w:szCs w:val="20"/>
        </w:rPr>
        <w:t>Shibauchi</w:t>
      </w:r>
      <w:proofErr w:type="spellEnd"/>
      <w:r w:rsidRPr="002F7431">
        <w:rPr>
          <w:rFonts w:ascii="Arial" w:eastAsia="Times New Roman" w:hAnsi="Arial" w:cs="Arial"/>
          <w:kern w:val="0"/>
          <w:sz w:val="20"/>
          <w:szCs w:val="20"/>
        </w:rPr>
        <w:t xml:space="preserve">, T., &amp; Matsuda, Y. (2017). Thermodynamic evidence for a nematic phase transition at the onset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w:t>
      </w:r>
      <w:proofErr w:type="spellStart"/>
      <w:r w:rsidRPr="002F7431">
        <w:rPr>
          <w:rFonts w:ascii="Arial" w:eastAsia="Times New Roman" w:hAnsi="Arial" w:cs="Arial"/>
          <w:kern w:val="0"/>
          <w:sz w:val="20"/>
          <w:szCs w:val="20"/>
        </w:rPr>
        <w:t>YBa</w:t>
      </w:r>
      <w:proofErr w:type="spellEnd"/>
      <w:r w:rsidRPr="002F7431">
        <w:rPr>
          <w:rFonts w:ascii="Arial" w:eastAsia="Times New Roman" w:hAnsi="Arial" w:cs="Arial"/>
          <w:kern w:val="0"/>
          <w:sz w:val="20"/>
          <w:szCs w:val="20"/>
        </w:rPr>
        <w:t xml:space="preserve"> 2 Cu 3 O y.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w:t>
      </w:r>
      <w:r w:rsidRPr="002F7431">
        <w:rPr>
          <w:rFonts w:ascii="Arial" w:eastAsia="Times New Roman" w:hAnsi="Arial" w:cs="Arial"/>
          <w:kern w:val="0"/>
          <w:sz w:val="20"/>
          <w:szCs w:val="20"/>
        </w:rPr>
        <w:t xml:space="preserve">(11), 1074–1078. </w:t>
      </w:r>
      <w:hyperlink r:id="rId54" w:history="1">
        <w:r w:rsidRPr="002F7431">
          <w:rPr>
            <w:rStyle w:val="Hyperlink"/>
            <w:rFonts w:ascii="Arial" w:eastAsia="Times New Roman" w:hAnsi="Arial" w:cs="Arial"/>
            <w:kern w:val="0"/>
            <w:sz w:val="20"/>
            <w:szCs w:val="20"/>
          </w:rPr>
          <w:t>https://doi.org/10.1038/NPHYS4205</w:t>
        </w:r>
      </w:hyperlink>
    </w:p>
    <w:p w14:paraId="6B7C0B7F" w14:textId="77777777" w:rsidR="00714721" w:rsidRPr="002F7431" w:rsidRDefault="00714721" w:rsidP="002F7431">
      <w:pPr>
        <w:spacing w:after="0" w:line="240" w:lineRule="auto"/>
        <w:jc w:val="both"/>
        <w:rPr>
          <w:rFonts w:ascii="Arial" w:eastAsia="Times New Roman" w:hAnsi="Arial" w:cs="Arial"/>
          <w:kern w:val="0"/>
          <w:sz w:val="20"/>
          <w:szCs w:val="20"/>
        </w:rPr>
      </w:pPr>
    </w:p>
    <w:p w14:paraId="10D1F715"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G., 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xml:space="preserve">, O., Day, J., Liang, Rx., Bonn, D. A., Hardy, W. N., Doiron-Leyraud, N., &amp; Taillefer, L. (2022). </w:t>
      </w:r>
      <w:r w:rsidRPr="002F7431">
        <w:rPr>
          <w:rFonts w:ascii="Arial" w:eastAsia="Times New Roman" w:hAnsi="Arial" w:cs="Arial"/>
          <w:i/>
          <w:iCs/>
          <w:kern w:val="0"/>
          <w:sz w:val="20"/>
          <w:szCs w:val="20"/>
        </w:rPr>
        <w:t xml:space="preserve">No nematicity at the onset temperature of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phase in the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 YBCO</w:t>
      </w:r>
      <w:r w:rsidRPr="002F7431">
        <w:rPr>
          <w:rFonts w:ascii="Arial" w:eastAsia="Times New Roman" w:hAnsi="Arial" w:cs="Arial"/>
          <w:kern w:val="0"/>
          <w:sz w:val="20"/>
          <w:szCs w:val="20"/>
        </w:rPr>
        <w:t>.</w:t>
      </w:r>
    </w:p>
    <w:p w14:paraId="6200A27D" w14:textId="77777777" w:rsidR="004C48DE" w:rsidRPr="002F7431" w:rsidRDefault="004C48DE" w:rsidP="002F7431">
      <w:pPr>
        <w:spacing w:after="0" w:line="240" w:lineRule="auto"/>
        <w:jc w:val="both"/>
        <w:rPr>
          <w:rFonts w:ascii="Arial" w:eastAsia="Times New Roman" w:hAnsi="Arial" w:cs="Arial"/>
          <w:kern w:val="0"/>
          <w:sz w:val="20"/>
          <w:szCs w:val="20"/>
        </w:rPr>
      </w:pPr>
    </w:p>
    <w:p w14:paraId="4D6688A6"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Kivelson, S. A., &amp; Lederer, S. (2019). Linking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with local symmetry breaking: A commentary. </w:t>
      </w:r>
      <w:r w:rsidRPr="002F7431">
        <w:rPr>
          <w:rFonts w:ascii="Arial" w:eastAsia="Times New Roman" w:hAnsi="Arial" w:cs="Arial"/>
          <w:i/>
          <w:iCs/>
          <w:kern w:val="0"/>
          <w:sz w:val="20"/>
          <w:szCs w:val="20"/>
        </w:rPr>
        <w:t>Proceedings of the National Academy of Sciences of the United States of America</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116</w:t>
      </w:r>
      <w:r w:rsidRPr="002F7431">
        <w:rPr>
          <w:rFonts w:ascii="Arial" w:eastAsia="Times New Roman" w:hAnsi="Arial" w:cs="Arial"/>
          <w:kern w:val="0"/>
          <w:sz w:val="20"/>
          <w:szCs w:val="20"/>
        </w:rPr>
        <w:t xml:space="preserve">(29), 14395–14397. </w:t>
      </w:r>
      <w:hyperlink r:id="rId55" w:history="1">
        <w:r w:rsidRPr="002F7431">
          <w:rPr>
            <w:rStyle w:val="Hyperlink"/>
            <w:rFonts w:ascii="Arial" w:eastAsia="Times New Roman" w:hAnsi="Arial" w:cs="Arial"/>
            <w:kern w:val="0"/>
            <w:sz w:val="20"/>
            <w:szCs w:val="20"/>
          </w:rPr>
          <w:t>https://doi.org/10.1073/PNAS.1908786116</w:t>
        </w:r>
      </w:hyperlink>
    </w:p>
    <w:p w14:paraId="71953014" w14:textId="77777777" w:rsidR="00714721" w:rsidRPr="002F7431" w:rsidRDefault="00714721" w:rsidP="002F7431">
      <w:pPr>
        <w:spacing w:after="0" w:line="240" w:lineRule="auto"/>
        <w:jc w:val="both"/>
        <w:rPr>
          <w:rFonts w:ascii="Arial" w:eastAsia="Times New Roman" w:hAnsi="Arial" w:cs="Arial"/>
          <w:kern w:val="0"/>
          <w:sz w:val="20"/>
          <w:szCs w:val="20"/>
        </w:rPr>
      </w:pPr>
    </w:p>
    <w:p w14:paraId="03625F10"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Anjos, J. C., Santana, H., &amp; de Mello, E. V. L. (2024). </w:t>
      </w:r>
      <w:r w:rsidRPr="002F7431">
        <w:rPr>
          <w:rFonts w:ascii="Arial" w:eastAsia="Times New Roman" w:hAnsi="Arial" w:cs="Arial"/>
          <w:i/>
          <w:iCs/>
          <w:kern w:val="0"/>
          <w:sz w:val="20"/>
          <w:szCs w:val="20"/>
        </w:rPr>
        <w:t xml:space="preserve">The role of the </w:t>
      </w:r>
      <w:proofErr w:type="spellStart"/>
      <w:r w:rsidRPr="002F7431">
        <w:rPr>
          <w:rFonts w:ascii="Arial" w:eastAsia="Times New Roman" w:hAnsi="Arial" w:cs="Arial"/>
          <w:i/>
          <w:iCs/>
          <w:kern w:val="0"/>
          <w:sz w:val="20"/>
          <w:szCs w:val="20"/>
        </w:rPr>
        <w:t>pseudogap</w:t>
      </w:r>
      <w:proofErr w:type="spellEnd"/>
      <w:r w:rsidRPr="002F7431">
        <w:rPr>
          <w:rFonts w:ascii="Arial" w:eastAsia="Times New Roman" w:hAnsi="Arial" w:cs="Arial"/>
          <w:i/>
          <w:iCs/>
          <w:kern w:val="0"/>
          <w:sz w:val="20"/>
          <w:szCs w:val="20"/>
        </w:rPr>
        <w:t xml:space="preserve"> in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superconductors revealed by the Hall effect</w:t>
      </w:r>
      <w:r w:rsidRPr="002F7431">
        <w:rPr>
          <w:rFonts w:ascii="Arial" w:eastAsia="Times New Roman" w:hAnsi="Arial" w:cs="Arial"/>
          <w:kern w:val="0"/>
          <w:sz w:val="20"/>
          <w:szCs w:val="20"/>
        </w:rPr>
        <w:t xml:space="preserve">. </w:t>
      </w:r>
      <w:hyperlink r:id="rId56" w:history="1">
        <w:r w:rsidRPr="002F7431">
          <w:rPr>
            <w:rStyle w:val="Hyperlink"/>
            <w:rFonts w:ascii="Arial" w:eastAsia="Times New Roman" w:hAnsi="Arial" w:cs="Arial"/>
            <w:kern w:val="0"/>
            <w:sz w:val="20"/>
            <w:szCs w:val="20"/>
          </w:rPr>
          <w:t>https://doi.org/10.48550/arxiv.2401.05213</w:t>
        </w:r>
      </w:hyperlink>
    </w:p>
    <w:p w14:paraId="6FE59C96" w14:textId="77777777" w:rsidR="00714721" w:rsidRPr="002F7431" w:rsidRDefault="00714721" w:rsidP="002F7431">
      <w:pPr>
        <w:spacing w:after="0" w:line="240" w:lineRule="auto"/>
        <w:jc w:val="both"/>
        <w:rPr>
          <w:rFonts w:ascii="Arial" w:eastAsia="Times New Roman" w:hAnsi="Arial" w:cs="Arial"/>
          <w:kern w:val="0"/>
          <w:sz w:val="20"/>
          <w:szCs w:val="20"/>
        </w:rPr>
      </w:pPr>
    </w:p>
    <w:p w14:paraId="56B51409"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Girod, C., Girod, C., LeBoeuf, D., </w:t>
      </w:r>
      <w:proofErr w:type="spellStart"/>
      <w:r w:rsidRPr="002F7431">
        <w:rPr>
          <w:rFonts w:ascii="Arial" w:eastAsia="Times New Roman" w:hAnsi="Arial" w:cs="Arial"/>
          <w:kern w:val="0"/>
          <w:sz w:val="20"/>
          <w:szCs w:val="20"/>
        </w:rPr>
        <w:t>Demuer</w:t>
      </w:r>
      <w:proofErr w:type="spellEnd"/>
      <w:r w:rsidRPr="002F7431">
        <w:rPr>
          <w:rFonts w:ascii="Arial" w:eastAsia="Times New Roman" w:hAnsi="Arial" w:cs="Arial"/>
          <w:kern w:val="0"/>
          <w:sz w:val="20"/>
          <w:szCs w:val="20"/>
        </w:rPr>
        <w:t xml:space="preserve">, A., Seyfarth, G., </w:t>
      </w:r>
      <w:proofErr w:type="spellStart"/>
      <w:r w:rsidRPr="002F7431">
        <w:rPr>
          <w:rFonts w:ascii="Arial" w:eastAsia="Times New Roman" w:hAnsi="Arial" w:cs="Arial"/>
          <w:kern w:val="0"/>
          <w:sz w:val="20"/>
          <w:szCs w:val="20"/>
        </w:rPr>
        <w:t>Imajo</w:t>
      </w:r>
      <w:proofErr w:type="spellEnd"/>
      <w:r w:rsidRPr="002F7431">
        <w:rPr>
          <w:rFonts w:ascii="Arial" w:eastAsia="Times New Roman" w:hAnsi="Arial" w:cs="Arial"/>
          <w:kern w:val="0"/>
          <w:sz w:val="20"/>
          <w:szCs w:val="20"/>
        </w:rPr>
        <w:t xml:space="preserve">, S., Kindo, K., </w:t>
      </w:r>
      <w:proofErr w:type="spellStart"/>
      <w:r w:rsidRPr="002F7431">
        <w:rPr>
          <w:rFonts w:ascii="Arial" w:eastAsia="Times New Roman" w:hAnsi="Arial" w:cs="Arial"/>
          <w:kern w:val="0"/>
          <w:sz w:val="20"/>
          <w:szCs w:val="20"/>
        </w:rPr>
        <w:t>Kohama</w:t>
      </w:r>
      <w:proofErr w:type="spellEnd"/>
      <w:r w:rsidRPr="002F7431">
        <w:rPr>
          <w:rFonts w:ascii="Arial" w:eastAsia="Times New Roman" w:hAnsi="Arial" w:cs="Arial"/>
          <w:kern w:val="0"/>
          <w:sz w:val="20"/>
          <w:szCs w:val="20"/>
        </w:rPr>
        <w:t xml:space="preserve">, Y., </w:t>
      </w:r>
      <w:proofErr w:type="spellStart"/>
      <w:r w:rsidRPr="002F7431">
        <w:rPr>
          <w:rFonts w:ascii="Arial" w:eastAsia="Times New Roman" w:hAnsi="Arial" w:cs="Arial"/>
          <w:kern w:val="0"/>
          <w:sz w:val="20"/>
          <w:szCs w:val="20"/>
        </w:rPr>
        <w:t>Lizaire</w:t>
      </w:r>
      <w:proofErr w:type="spellEnd"/>
      <w:r w:rsidRPr="002F7431">
        <w:rPr>
          <w:rFonts w:ascii="Arial" w:eastAsia="Times New Roman" w:hAnsi="Arial" w:cs="Arial"/>
          <w:kern w:val="0"/>
          <w:sz w:val="20"/>
          <w:szCs w:val="20"/>
        </w:rPr>
        <w:t xml:space="preserve">, M., Legros, A., </w:t>
      </w:r>
      <w:proofErr w:type="spellStart"/>
      <w:r w:rsidRPr="002F7431">
        <w:rPr>
          <w:rFonts w:ascii="Arial" w:eastAsia="Times New Roman" w:hAnsi="Arial" w:cs="Arial"/>
          <w:kern w:val="0"/>
          <w:sz w:val="20"/>
          <w:szCs w:val="20"/>
        </w:rPr>
        <w:t>Gourgout</w:t>
      </w:r>
      <w:proofErr w:type="spellEnd"/>
      <w:r w:rsidRPr="002F7431">
        <w:rPr>
          <w:rFonts w:ascii="Arial" w:eastAsia="Times New Roman" w:hAnsi="Arial" w:cs="Arial"/>
          <w:kern w:val="0"/>
          <w:sz w:val="20"/>
          <w:szCs w:val="20"/>
        </w:rPr>
        <w:t xml:space="preserve">, A., Takagi, H., Kurosawa, T., Oda, M., Momono, N., Chang, J., Ono, S., Zheng, G.-Q., Zheng, G.-Q., … Klein, T. (2021). Normal state specific heat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La 2 − x Sr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4 and Bi 2 + y Sr 2 − x − y La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6 + δ near the critical point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103</w:t>
      </w:r>
      <w:r w:rsidRPr="002F7431">
        <w:rPr>
          <w:rFonts w:ascii="Arial" w:eastAsia="Times New Roman" w:hAnsi="Arial" w:cs="Arial"/>
          <w:kern w:val="0"/>
          <w:sz w:val="20"/>
          <w:szCs w:val="20"/>
        </w:rPr>
        <w:t xml:space="preserve">(21), 214506. </w:t>
      </w:r>
      <w:hyperlink r:id="rId57" w:history="1">
        <w:r w:rsidRPr="002F7431">
          <w:rPr>
            <w:rStyle w:val="Hyperlink"/>
            <w:rFonts w:ascii="Arial" w:eastAsia="Times New Roman" w:hAnsi="Arial" w:cs="Arial"/>
            <w:kern w:val="0"/>
            <w:sz w:val="20"/>
            <w:szCs w:val="20"/>
          </w:rPr>
          <w:t>https://doi.org/10.1103/PHYSREVB.103.214506</w:t>
        </w:r>
      </w:hyperlink>
    </w:p>
    <w:p w14:paraId="7BCE8CAF" w14:textId="77777777" w:rsidR="00AD5075" w:rsidRPr="002F7431" w:rsidRDefault="00AD5075" w:rsidP="002F7431">
      <w:pPr>
        <w:spacing w:after="0" w:line="240" w:lineRule="auto"/>
        <w:jc w:val="both"/>
        <w:rPr>
          <w:rFonts w:ascii="Arial" w:eastAsia="Times New Roman" w:hAnsi="Arial" w:cs="Arial"/>
          <w:kern w:val="0"/>
          <w:sz w:val="20"/>
          <w:szCs w:val="20"/>
        </w:rPr>
      </w:pPr>
    </w:p>
    <w:p w14:paraId="3DF81999"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Tallon, J. L., </w:t>
      </w:r>
      <w:proofErr w:type="spellStart"/>
      <w:r w:rsidRPr="002F7431">
        <w:rPr>
          <w:rFonts w:ascii="Arial" w:eastAsia="Times New Roman" w:hAnsi="Arial" w:cs="Arial"/>
          <w:kern w:val="0"/>
          <w:sz w:val="20"/>
          <w:szCs w:val="20"/>
        </w:rPr>
        <w:t>Storey</w:t>
      </w:r>
      <w:proofErr w:type="spellEnd"/>
      <w:r w:rsidRPr="002F7431">
        <w:rPr>
          <w:rFonts w:ascii="Arial" w:eastAsia="Times New Roman" w:hAnsi="Arial" w:cs="Arial"/>
          <w:kern w:val="0"/>
          <w:sz w:val="20"/>
          <w:szCs w:val="20"/>
        </w:rPr>
        <w:t xml:space="preserve">, J., Cooper, J. R., &amp; </w:t>
      </w:r>
      <w:proofErr w:type="spellStart"/>
      <w:r w:rsidRPr="002F7431">
        <w:rPr>
          <w:rFonts w:ascii="Arial" w:eastAsia="Times New Roman" w:hAnsi="Arial" w:cs="Arial"/>
          <w:kern w:val="0"/>
          <w:sz w:val="20"/>
          <w:szCs w:val="20"/>
        </w:rPr>
        <w:t>Loram</w:t>
      </w:r>
      <w:proofErr w:type="spellEnd"/>
      <w:r w:rsidRPr="002F7431">
        <w:rPr>
          <w:rFonts w:ascii="Arial" w:eastAsia="Times New Roman" w:hAnsi="Arial" w:cs="Arial"/>
          <w:kern w:val="0"/>
          <w:sz w:val="20"/>
          <w:szCs w:val="20"/>
        </w:rPr>
        <w:t xml:space="preserve">, J. (2020). Locating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closing point in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Absence of entrant or reentrant behavior.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(17), 174512. </w:t>
      </w:r>
      <w:hyperlink r:id="rId58" w:history="1">
        <w:r w:rsidRPr="002F7431">
          <w:rPr>
            <w:rStyle w:val="Hyperlink"/>
            <w:rFonts w:ascii="Arial" w:eastAsia="Times New Roman" w:hAnsi="Arial" w:cs="Arial"/>
            <w:kern w:val="0"/>
            <w:sz w:val="20"/>
            <w:szCs w:val="20"/>
          </w:rPr>
          <w:t>https://doi.org/10.1103/PHYSREVB.101.174512</w:t>
        </w:r>
      </w:hyperlink>
    </w:p>
    <w:p w14:paraId="71FADE84" w14:textId="77777777" w:rsidR="00714721" w:rsidRPr="002F7431" w:rsidRDefault="00714721" w:rsidP="002F7431">
      <w:pPr>
        <w:spacing w:after="0" w:line="240" w:lineRule="auto"/>
        <w:jc w:val="both"/>
        <w:rPr>
          <w:rFonts w:ascii="Arial" w:eastAsia="Times New Roman" w:hAnsi="Arial" w:cs="Arial"/>
          <w:kern w:val="0"/>
          <w:sz w:val="20"/>
          <w:szCs w:val="20"/>
        </w:rPr>
      </w:pPr>
    </w:p>
    <w:p w14:paraId="40376949" w14:textId="77777777" w:rsidR="00714721" w:rsidRPr="002F7431" w:rsidRDefault="00714721"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Collignon, C., Collignon, C.,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S., Afshar, S. A. A., Michon, B., Laliberte, F., Cyr-</w:t>
      </w:r>
      <w:proofErr w:type="spellStart"/>
      <w:r w:rsidRPr="002F7431">
        <w:rPr>
          <w:rFonts w:ascii="Arial" w:eastAsia="Times New Roman" w:hAnsi="Arial" w:cs="Arial"/>
          <w:kern w:val="0"/>
          <w:sz w:val="20"/>
          <w:szCs w:val="20"/>
        </w:rPr>
        <w:t>Choinière</w:t>
      </w:r>
      <w:proofErr w:type="spellEnd"/>
      <w:r w:rsidRPr="002F7431">
        <w:rPr>
          <w:rFonts w:ascii="Arial" w:eastAsia="Times New Roman" w:hAnsi="Arial" w:cs="Arial"/>
          <w:kern w:val="0"/>
          <w:sz w:val="20"/>
          <w:szCs w:val="20"/>
        </w:rPr>
        <w:t xml:space="preserve">, O., Zhou, J.-S., Licciardello, S., Wiedmann, S., Doiron-Leyraud, N., Taillefer, L., &amp; Taillefer, L. (2017). Fermi-surface transformation across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La1.6-xNd0.4SrxCuO4.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95</w:t>
      </w:r>
      <w:r w:rsidRPr="002F7431">
        <w:rPr>
          <w:rFonts w:ascii="Arial" w:eastAsia="Times New Roman" w:hAnsi="Arial" w:cs="Arial"/>
          <w:kern w:val="0"/>
          <w:sz w:val="20"/>
          <w:szCs w:val="20"/>
        </w:rPr>
        <w:t xml:space="preserve">(22), 224517. </w:t>
      </w:r>
      <w:hyperlink r:id="rId59" w:history="1">
        <w:r w:rsidRPr="002F7431">
          <w:rPr>
            <w:rStyle w:val="Hyperlink"/>
            <w:rFonts w:ascii="Arial" w:eastAsia="Times New Roman" w:hAnsi="Arial" w:cs="Arial"/>
            <w:kern w:val="0"/>
            <w:sz w:val="20"/>
            <w:szCs w:val="20"/>
          </w:rPr>
          <w:t>https://doi.org/10.1103/PHYSREVB.95.224517</w:t>
        </w:r>
      </w:hyperlink>
    </w:p>
    <w:p w14:paraId="28CEEEC3" w14:textId="77777777" w:rsidR="00AD5075" w:rsidRPr="002F7431" w:rsidRDefault="00AD5075" w:rsidP="002F7431">
      <w:pPr>
        <w:spacing w:after="0" w:line="240" w:lineRule="auto"/>
        <w:jc w:val="both"/>
        <w:rPr>
          <w:rFonts w:ascii="Arial" w:eastAsia="Times New Roman" w:hAnsi="Arial" w:cs="Arial"/>
          <w:kern w:val="0"/>
          <w:sz w:val="20"/>
          <w:szCs w:val="20"/>
        </w:rPr>
      </w:pPr>
    </w:p>
    <w:p w14:paraId="25AA6F21" w14:textId="77777777"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Lizaire</w:t>
      </w:r>
      <w:proofErr w:type="spellEnd"/>
      <w:r w:rsidRPr="002F7431">
        <w:rPr>
          <w:rFonts w:ascii="Arial" w:eastAsia="Times New Roman" w:hAnsi="Arial" w:cs="Arial"/>
          <w:kern w:val="0"/>
          <w:sz w:val="20"/>
          <w:szCs w:val="20"/>
        </w:rPr>
        <w:t xml:space="preserve">, M., Legros, A., Legros, A., </w:t>
      </w:r>
      <w:proofErr w:type="spellStart"/>
      <w:r w:rsidRPr="002F7431">
        <w:rPr>
          <w:rFonts w:ascii="Arial" w:eastAsia="Times New Roman" w:hAnsi="Arial" w:cs="Arial"/>
          <w:kern w:val="0"/>
          <w:sz w:val="20"/>
          <w:szCs w:val="20"/>
        </w:rPr>
        <w:t>Gourgout</w:t>
      </w:r>
      <w:proofErr w:type="spellEnd"/>
      <w:r w:rsidRPr="002F7431">
        <w:rPr>
          <w:rFonts w:ascii="Arial" w:eastAsia="Times New Roman" w:hAnsi="Arial" w:cs="Arial"/>
          <w:kern w:val="0"/>
          <w:sz w:val="20"/>
          <w:szCs w:val="20"/>
        </w:rPr>
        <w:t xml:space="preserve">, A., </w:t>
      </w:r>
      <w:proofErr w:type="spellStart"/>
      <w:r w:rsidRPr="002F7431">
        <w:rPr>
          <w:rFonts w:ascii="Arial" w:eastAsia="Times New Roman" w:hAnsi="Arial" w:cs="Arial"/>
          <w:kern w:val="0"/>
          <w:sz w:val="20"/>
          <w:szCs w:val="20"/>
        </w:rPr>
        <w:t>Benhabib</w:t>
      </w:r>
      <w:proofErr w:type="spellEnd"/>
      <w:r w:rsidRPr="002F7431">
        <w:rPr>
          <w:rFonts w:ascii="Arial" w:eastAsia="Times New Roman" w:hAnsi="Arial" w:cs="Arial"/>
          <w:kern w:val="0"/>
          <w:sz w:val="20"/>
          <w:szCs w:val="20"/>
        </w:rPr>
        <w:t xml:space="preserve">, S., </w:t>
      </w:r>
      <w:proofErr w:type="spellStart"/>
      <w:r w:rsidRPr="002F7431">
        <w:rPr>
          <w:rFonts w:ascii="Arial" w:eastAsia="Times New Roman" w:hAnsi="Arial" w:cs="Arial"/>
          <w:kern w:val="0"/>
          <w:sz w:val="20"/>
          <w:szCs w:val="20"/>
        </w:rPr>
        <w:t>Badoux</w:t>
      </w:r>
      <w:proofErr w:type="spellEnd"/>
      <w:r w:rsidRPr="002F7431">
        <w:rPr>
          <w:rFonts w:ascii="Arial" w:eastAsia="Times New Roman" w:hAnsi="Arial" w:cs="Arial"/>
          <w:kern w:val="0"/>
          <w:sz w:val="20"/>
          <w:szCs w:val="20"/>
        </w:rPr>
        <w:t xml:space="preserve">, S., Laliberte, F., Boulanger, M.-E., Ataei, A., </w:t>
      </w:r>
      <w:proofErr w:type="spellStart"/>
      <w:r w:rsidRPr="002F7431">
        <w:rPr>
          <w:rFonts w:ascii="Arial" w:eastAsia="Times New Roman" w:hAnsi="Arial" w:cs="Arial"/>
          <w:kern w:val="0"/>
          <w:sz w:val="20"/>
          <w:szCs w:val="20"/>
        </w:rPr>
        <w:t>Grissonnanche</w:t>
      </w:r>
      <w:proofErr w:type="spellEnd"/>
      <w:r w:rsidRPr="002F7431">
        <w:rPr>
          <w:rFonts w:ascii="Arial" w:eastAsia="Times New Roman" w:hAnsi="Arial" w:cs="Arial"/>
          <w:kern w:val="0"/>
          <w:sz w:val="20"/>
          <w:szCs w:val="20"/>
        </w:rPr>
        <w:t xml:space="preserve">, G., Leboeuf, D., Licciardello, S., Wiedmann, S., Ono, S., Raffy, H., Kawasaki, S., Zheng, G.-Q., Zheng, G.-Q., Doiron-Leyraud, N., … Taillefer, L. (2021). Transport signatures of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critical point in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 Bi 2 Sr 2 − x La x </w:t>
      </w:r>
      <w:proofErr w:type="spellStart"/>
      <w:r w:rsidRPr="002F7431">
        <w:rPr>
          <w:rFonts w:ascii="Arial" w:eastAsia="Times New Roman" w:hAnsi="Arial" w:cs="Arial"/>
          <w:kern w:val="0"/>
          <w:sz w:val="20"/>
          <w:szCs w:val="20"/>
        </w:rPr>
        <w:t>CuO</w:t>
      </w:r>
      <w:proofErr w:type="spellEnd"/>
      <w:r w:rsidRPr="002F7431">
        <w:rPr>
          <w:rFonts w:ascii="Arial" w:eastAsia="Times New Roman" w:hAnsi="Arial" w:cs="Arial"/>
          <w:kern w:val="0"/>
          <w:sz w:val="20"/>
          <w:szCs w:val="20"/>
        </w:rPr>
        <w:t xml:space="preserve"> 6 + δ.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104</w:t>
      </w:r>
      <w:r w:rsidRPr="002F7431">
        <w:rPr>
          <w:rFonts w:ascii="Arial" w:eastAsia="Times New Roman" w:hAnsi="Arial" w:cs="Arial"/>
          <w:kern w:val="0"/>
          <w:sz w:val="20"/>
          <w:szCs w:val="20"/>
        </w:rPr>
        <w:t xml:space="preserve">(1), 014515. </w:t>
      </w:r>
      <w:hyperlink r:id="rId60" w:history="1">
        <w:r w:rsidRPr="002F7431">
          <w:rPr>
            <w:rStyle w:val="Hyperlink"/>
            <w:rFonts w:ascii="Arial" w:eastAsia="Times New Roman" w:hAnsi="Arial" w:cs="Arial"/>
            <w:kern w:val="0"/>
            <w:sz w:val="20"/>
            <w:szCs w:val="20"/>
          </w:rPr>
          <w:t>https://doi.org/10.1103/PHYSREVB.104.014515</w:t>
        </w:r>
      </w:hyperlink>
    </w:p>
    <w:p w14:paraId="167618FC" w14:textId="77777777" w:rsidR="00B77668" w:rsidRPr="002F7431" w:rsidRDefault="00B77668" w:rsidP="002F7431">
      <w:pPr>
        <w:spacing w:after="0" w:line="240" w:lineRule="auto"/>
        <w:jc w:val="both"/>
        <w:rPr>
          <w:rFonts w:ascii="Arial" w:eastAsia="Times New Roman" w:hAnsi="Arial" w:cs="Arial"/>
          <w:kern w:val="0"/>
          <w:sz w:val="20"/>
          <w:szCs w:val="20"/>
        </w:rPr>
      </w:pPr>
    </w:p>
    <w:p w14:paraId="4BA946C6" w14:textId="77777777"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Miyamoto, M., Horio, M., Moriya, K., Takahashi, A., Osiecki, J., Balasubramanian, T., Polley, C., Koike, Y., Adachi, T., </w:t>
      </w:r>
      <w:proofErr w:type="spellStart"/>
      <w:r w:rsidRPr="002F7431">
        <w:rPr>
          <w:rFonts w:ascii="Arial" w:eastAsia="Times New Roman" w:hAnsi="Arial" w:cs="Arial"/>
          <w:kern w:val="0"/>
          <w:sz w:val="20"/>
          <w:szCs w:val="20"/>
        </w:rPr>
        <w:t>Mizokawa</w:t>
      </w:r>
      <w:proofErr w:type="spellEnd"/>
      <w:r w:rsidRPr="002F7431">
        <w:rPr>
          <w:rFonts w:ascii="Arial" w:eastAsia="Times New Roman" w:hAnsi="Arial" w:cs="Arial"/>
          <w:kern w:val="0"/>
          <w:sz w:val="20"/>
          <w:szCs w:val="20"/>
        </w:rPr>
        <w:t xml:space="preserve">, T., &amp; Matsuda, I. (2024). </w:t>
      </w:r>
      <w:r w:rsidRPr="002F7431">
        <w:rPr>
          <w:rFonts w:ascii="Arial" w:eastAsia="Times New Roman" w:hAnsi="Arial" w:cs="Arial"/>
          <w:i/>
          <w:iCs/>
          <w:kern w:val="0"/>
          <w:sz w:val="20"/>
          <w:szCs w:val="20"/>
        </w:rPr>
        <w:t xml:space="preserve">Inhomogeneous reduction-annealing effects on the electron-doped </w:t>
      </w:r>
      <w:proofErr w:type="spellStart"/>
      <w:r w:rsidRPr="002F7431">
        <w:rPr>
          <w:rFonts w:ascii="Arial" w:eastAsia="Times New Roman" w:hAnsi="Arial" w:cs="Arial"/>
          <w:i/>
          <w:iCs/>
          <w:kern w:val="0"/>
          <w:sz w:val="20"/>
          <w:szCs w:val="20"/>
        </w:rPr>
        <w:t>cuprate</w:t>
      </w:r>
      <w:proofErr w:type="spellEnd"/>
      <w:r w:rsidRPr="002F7431">
        <w:rPr>
          <w:rFonts w:ascii="Arial" w:eastAsia="Times New Roman" w:hAnsi="Arial" w:cs="Arial"/>
          <w:i/>
          <w:iCs/>
          <w:kern w:val="0"/>
          <w:sz w:val="20"/>
          <w:szCs w:val="20"/>
        </w:rPr>
        <w:t xml:space="preserve"> superconductor revealed by micro-focused angle-resolved photoemission spectroscopy</w:t>
      </w:r>
      <w:r w:rsidRPr="002F7431">
        <w:rPr>
          <w:rFonts w:ascii="Arial" w:eastAsia="Times New Roman" w:hAnsi="Arial" w:cs="Arial"/>
          <w:kern w:val="0"/>
          <w:sz w:val="20"/>
          <w:szCs w:val="20"/>
        </w:rPr>
        <w:t xml:space="preserve">. </w:t>
      </w:r>
      <w:hyperlink r:id="rId61" w:history="1">
        <w:r w:rsidRPr="002F7431">
          <w:rPr>
            <w:rStyle w:val="Hyperlink"/>
            <w:rFonts w:ascii="Arial" w:eastAsia="Times New Roman" w:hAnsi="Arial" w:cs="Arial"/>
            <w:kern w:val="0"/>
            <w:sz w:val="20"/>
            <w:szCs w:val="20"/>
          </w:rPr>
          <w:t>https://doi.org/10.48550/arxiv.2412.04790</w:t>
        </w:r>
      </w:hyperlink>
    </w:p>
    <w:p w14:paraId="380D01DB" w14:textId="77777777" w:rsidR="00B77668" w:rsidRPr="002F7431" w:rsidRDefault="00B77668" w:rsidP="002F7431">
      <w:pPr>
        <w:spacing w:after="0" w:line="240" w:lineRule="auto"/>
        <w:jc w:val="both"/>
        <w:rPr>
          <w:rFonts w:ascii="Arial" w:eastAsia="Times New Roman" w:hAnsi="Arial" w:cs="Arial"/>
          <w:kern w:val="0"/>
          <w:sz w:val="20"/>
          <w:szCs w:val="20"/>
        </w:rPr>
      </w:pPr>
    </w:p>
    <w:p w14:paraId="660D05EC" w14:textId="77777777" w:rsidR="00B77668" w:rsidRPr="002F7431" w:rsidRDefault="00B77668"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Keimer, B., Moore, J. E., &amp; Moore, J. E. (2017). The physics of quantum materials. </w:t>
      </w:r>
      <w:r w:rsidRPr="002F7431">
        <w:rPr>
          <w:rFonts w:ascii="Arial" w:eastAsia="Times New Roman" w:hAnsi="Arial" w:cs="Arial"/>
          <w:i/>
          <w:iCs/>
          <w:kern w:val="0"/>
          <w:sz w:val="20"/>
          <w:szCs w:val="20"/>
        </w:rPr>
        <w:t>Nature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w:t>
      </w:r>
      <w:r w:rsidRPr="002F7431">
        <w:rPr>
          <w:rFonts w:ascii="Arial" w:eastAsia="Times New Roman" w:hAnsi="Arial" w:cs="Arial"/>
          <w:kern w:val="0"/>
          <w:sz w:val="20"/>
          <w:szCs w:val="20"/>
        </w:rPr>
        <w:t xml:space="preserve">(11), 1045–1055. </w:t>
      </w:r>
      <w:hyperlink r:id="rId62" w:history="1">
        <w:r w:rsidRPr="002F7431">
          <w:rPr>
            <w:rStyle w:val="Hyperlink"/>
            <w:rFonts w:ascii="Arial" w:eastAsia="Times New Roman" w:hAnsi="Arial" w:cs="Arial"/>
            <w:kern w:val="0"/>
            <w:sz w:val="20"/>
            <w:szCs w:val="20"/>
          </w:rPr>
          <w:t>https://doi.org/10.1038/NPHYS4302</w:t>
        </w:r>
      </w:hyperlink>
    </w:p>
    <w:p w14:paraId="1CA926FF" w14:textId="77777777" w:rsidR="00B77668" w:rsidRPr="002F7431" w:rsidRDefault="00B77668" w:rsidP="002F7431">
      <w:pPr>
        <w:spacing w:after="0" w:line="240" w:lineRule="auto"/>
        <w:jc w:val="both"/>
        <w:rPr>
          <w:rFonts w:ascii="Arial" w:eastAsia="Times New Roman" w:hAnsi="Arial" w:cs="Arial"/>
          <w:kern w:val="0"/>
          <w:sz w:val="20"/>
          <w:szCs w:val="20"/>
        </w:rPr>
      </w:pPr>
    </w:p>
    <w:p w14:paraId="2049CC92" w14:textId="77777777" w:rsidR="00CB7DD5" w:rsidRPr="002F7431" w:rsidRDefault="00CB7DD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lastRenderedPageBreak/>
        <w:t xml:space="preserve">Varma, C., Littlewood, P. B., Schmitt-Rink, S., Abrahams, E., &amp; </w:t>
      </w:r>
      <w:proofErr w:type="spellStart"/>
      <w:r w:rsidRPr="002F7431">
        <w:rPr>
          <w:rFonts w:ascii="Arial" w:eastAsia="Times New Roman" w:hAnsi="Arial" w:cs="Arial"/>
          <w:kern w:val="0"/>
          <w:sz w:val="20"/>
          <w:szCs w:val="20"/>
        </w:rPr>
        <w:t>Ruckenstein</w:t>
      </w:r>
      <w:proofErr w:type="spellEnd"/>
      <w:r w:rsidRPr="002F7431">
        <w:rPr>
          <w:rFonts w:ascii="Arial" w:eastAsia="Times New Roman" w:hAnsi="Arial" w:cs="Arial"/>
          <w:kern w:val="0"/>
          <w:sz w:val="20"/>
          <w:szCs w:val="20"/>
        </w:rPr>
        <w:t xml:space="preserve">, A. E. (1989). Phenomenology of the normal state of Cu-O high-temperature superconductors.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63</w:t>
      </w:r>
      <w:r w:rsidRPr="002F7431">
        <w:rPr>
          <w:rFonts w:ascii="Arial" w:eastAsia="Times New Roman" w:hAnsi="Arial" w:cs="Arial"/>
          <w:kern w:val="0"/>
          <w:sz w:val="20"/>
          <w:szCs w:val="20"/>
        </w:rPr>
        <w:t xml:space="preserve">(18), 1996–1999. </w:t>
      </w:r>
      <w:hyperlink r:id="rId63" w:history="1">
        <w:r w:rsidRPr="002F7431">
          <w:rPr>
            <w:rStyle w:val="Hyperlink"/>
            <w:rFonts w:ascii="Arial" w:eastAsia="Times New Roman" w:hAnsi="Arial" w:cs="Arial"/>
            <w:kern w:val="0"/>
            <w:sz w:val="20"/>
            <w:szCs w:val="20"/>
          </w:rPr>
          <w:t>https://doi.org/10.1103/PHYSREVLETT.63.1996</w:t>
        </w:r>
      </w:hyperlink>
    </w:p>
    <w:p w14:paraId="4A39BEE7" w14:textId="77777777" w:rsidR="00CB7DD5" w:rsidRPr="002F7431" w:rsidRDefault="00CB7DD5" w:rsidP="002F7431">
      <w:pPr>
        <w:spacing w:after="0" w:line="240" w:lineRule="auto"/>
        <w:jc w:val="both"/>
        <w:rPr>
          <w:rFonts w:ascii="Arial" w:eastAsia="Times New Roman" w:hAnsi="Arial" w:cs="Arial"/>
          <w:kern w:val="0"/>
          <w:sz w:val="20"/>
          <w:szCs w:val="20"/>
        </w:rPr>
      </w:pPr>
    </w:p>
    <w:p w14:paraId="245D70CC" w14:textId="77777777" w:rsidR="00CB7DD5" w:rsidRPr="002F7431" w:rsidRDefault="00CB7DD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Zhang, Y.-H., &amp; Sachdev, S. (2020). From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metal to the Fermi liquid using ancilla qubits.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Strongly Correlated Electrons</w:t>
      </w:r>
      <w:r w:rsidRPr="002F7431">
        <w:rPr>
          <w:rFonts w:ascii="Arial" w:eastAsia="Times New Roman" w:hAnsi="Arial" w:cs="Arial"/>
          <w:kern w:val="0"/>
          <w:sz w:val="20"/>
          <w:szCs w:val="20"/>
        </w:rPr>
        <w:t xml:space="preserve">. </w:t>
      </w:r>
      <w:hyperlink r:id="rId64" w:history="1">
        <w:r w:rsidRPr="002F7431">
          <w:rPr>
            <w:rStyle w:val="Hyperlink"/>
            <w:rFonts w:ascii="Arial" w:eastAsia="Times New Roman" w:hAnsi="Arial" w:cs="Arial"/>
            <w:kern w:val="0"/>
            <w:sz w:val="20"/>
            <w:szCs w:val="20"/>
          </w:rPr>
          <w:t>https://doi.org/10.1103/PHYSREVRESEARCH.2.023172</w:t>
        </w:r>
      </w:hyperlink>
    </w:p>
    <w:p w14:paraId="2FBD0386" w14:textId="77777777" w:rsidR="00CB7DD5" w:rsidRPr="002F7431" w:rsidRDefault="00CB7DD5" w:rsidP="002F7431">
      <w:pPr>
        <w:spacing w:after="0" w:line="240" w:lineRule="auto"/>
        <w:jc w:val="both"/>
        <w:rPr>
          <w:rFonts w:ascii="Arial" w:eastAsia="Times New Roman" w:hAnsi="Arial" w:cs="Arial"/>
          <w:kern w:val="0"/>
          <w:sz w:val="20"/>
          <w:szCs w:val="20"/>
        </w:rPr>
      </w:pPr>
    </w:p>
    <w:p w14:paraId="013CF51D" w14:textId="77777777" w:rsidR="00CB7DD5" w:rsidRPr="002F7431" w:rsidRDefault="00CB7DD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Patel, A. A., Guo, H., </w:t>
      </w:r>
      <w:proofErr w:type="spellStart"/>
      <w:r w:rsidRPr="002F7431">
        <w:rPr>
          <w:rFonts w:ascii="Arial" w:eastAsia="Times New Roman" w:hAnsi="Arial" w:cs="Arial"/>
          <w:kern w:val="0"/>
          <w:sz w:val="20"/>
          <w:szCs w:val="20"/>
        </w:rPr>
        <w:t>Esterlis</w:t>
      </w:r>
      <w:proofErr w:type="spellEnd"/>
      <w:r w:rsidRPr="002F7431">
        <w:rPr>
          <w:rFonts w:ascii="Arial" w:eastAsia="Times New Roman" w:hAnsi="Arial" w:cs="Arial"/>
          <w:kern w:val="0"/>
          <w:sz w:val="20"/>
          <w:szCs w:val="20"/>
        </w:rPr>
        <w:t xml:space="preserve">, I., &amp; Sachdev, S. (2023). Universal theory of strange metals from spatially random interactions. </w:t>
      </w:r>
      <w:r w:rsidRPr="002F7431">
        <w:rPr>
          <w:rFonts w:ascii="Arial" w:eastAsia="Times New Roman" w:hAnsi="Arial" w:cs="Arial"/>
          <w:i/>
          <w:iCs/>
          <w:kern w:val="0"/>
          <w:sz w:val="20"/>
          <w:szCs w:val="20"/>
        </w:rPr>
        <w:t>Science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381</w:t>
      </w:r>
      <w:r w:rsidRPr="002F7431">
        <w:rPr>
          <w:rFonts w:ascii="Arial" w:eastAsia="Times New Roman" w:hAnsi="Arial" w:cs="Arial"/>
          <w:kern w:val="0"/>
          <w:sz w:val="20"/>
          <w:szCs w:val="20"/>
        </w:rPr>
        <w:t xml:space="preserve">(6659), 790–793. </w:t>
      </w:r>
      <w:hyperlink r:id="rId65" w:history="1">
        <w:r w:rsidRPr="002F7431">
          <w:rPr>
            <w:rStyle w:val="Hyperlink"/>
            <w:rFonts w:ascii="Arial" w:eastAsia="Times New Roman" w:hAnsi="Arial" w:cs="Arial"/>
            <w:kern w:val="0"/>
            <w:sz w:val="20"/>
            <w:szCs w:val="20"/>
          </w:rPr>
          <w:t>https://doi.org/10.1126/science.abq6011</w:t>
        </w:r>
      </w:hyperlink>
    </w:p>
    <w:p w14:paraId="1A940D50" w14:textId="77777777" w:rsidR="00CB7DD5" w:rsidRPr="002F7431" w:rsidRDefault="00CB7DD5" w:rsidP="002F7431">
      <w:pPr>
        <w:spacing w:after="0" w:line="240" w:lineRule="auto"/>
        <w:jc w:val="both"/>
        <w:rPr>
          <w:rFonts w:ascii="Arial" w:eastAsia="Times New Roman" w:hAnsi="Arial" w:cs="Arial"/>
          <w:kern w:val="0"/>
          <w:sz w:val="20"/>
          <w:szCs w:val="20"/>
        </w:rPr>
      </w:pPr>
    </w:p>
    <w:p w14:paraId="3CCF7D3F" w14:textId="77777777" w:rsidR="00D64137" w:rsidRPr="002F7431" w:rsidRDefault="00D64137"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Lee, P. A., </w:t>
      </w:r>
      <w:proofErr w:type="spellStart"/>
      <w:r w:rsidRPr="002F7431">
        <w:rPr>
          <w:rFonts w:ascii="Arial" w:eastAsia="Times New Roman" w:hAnsi="Arial" w:cs="Arial"/>
          <w:kern w:val="0"/>
          <w:sz w:val="20"/>
          <w:szCs w:val="20"/>
        </w:rPr>
        <w:t>Nagaosa</w:t>
      </w:r>
      <w:proofErr w:type="spellEnd"/>
      <w:r w:rsidRPr="002F7431">
        <w:rPr>
          <w:rFonts w:ascii="Arial" w:eastAsia="Times New Roman" w:hAnsi="Arial" w:cs="Arial"/>
          <w:kern w:val="0"/>
          <w:sz w:val="20"/>
          <w:szCs w:val="20"/>
        </w:rPr>
        <w:t xml:space="preserve">, N., &amp; Wen, X.-G. (2004). Doping a Mott Insulator: Physics of High Temperature Superconductivity. </w:t>
      </w:r>
      <w:proofErr w:type="spellStart"/>
      <w:r w:rsidRPr="002F7431">
        <w:rPr>
          <w:rFonts w:ascii="Arial" w:eastAsia="Times New Roman" w:hAnsi="Arial" w:cs="Arial"/>
          <w:i/>
          <w:iCs/>
          <w:kern w:val="0"/>
          <w:sz w:val="20"/>
          <w:szCs w:val="20"/>
        </w:rPr>
        <w:t>arXiv</w:t>
      </w:r>
      <w:proofErr w:type="spellEnd"/>
      <w:r w:rsidRPr="002F7431">
        <w:rPr>
          <w:rFonts w:ascii="Arial" w:eastAsia="Times New Roman" w:hAnsi="Arial" w:cs="Arial"/>
          <w:i/>
          <w:iCs/>
          <w:kern w:val="0"/>
          <w:sz w:val="20"/>
          <w:szCs w:val="20"/>
        </w:rPr>
        <w:t>: Strongly Correlated Electrons</w:t>
      </w:r>
      <w:r w:rsidRPr="002F7431">
        <w:rPr>
          <w:rFonts w:ascii="Arial" w:eastAsia="Times New Roman" w:hAnsi="Arial" w:cs="Arial"/>
          <w:kern w:val="0"/>
          <w:sz w:val="20"/>
          <w:szCs w:val="20"/>
        </w:rPr>
        <w:t xml:space="preserve">. </w:t>
      </w:r>
      <w:hyperlink r:id="rId66" w:history="1">
        <w:r w:rsidRPr="002F7431">
          <w:rPr>
            <w:rStyle w:val="Hyperlink"/>
            <w:rFonts w:ascii="Arial" w:eastAsia="Times New Roman" w:hAnsi="Arial" w:cs="Arial"/>
            <w:kern w:val="0"/>
            <w:sz w:val="20"/>
            <w:szCs w:val="20"/>
          </w:rPr>
          <w:t>http://ui.adsabs.harvard.edu/abs/2004cond.mat.10445L/abstract</w:t>
        </w:r>
      </w:hyperlink>
    </w:p>
    <w:p w14:paraId="7F04AE4A" w14:textId="77777777" w:rsidR="00D64137" w:rsidRPr="002F7431" w:rsidRDefault="00D64137" w:rsidP="002F7431">
      <w:pPr>
        <w:spacing w:after="0" w:line="240" w:lineRule="auto"/>
        <w:jc w:val="both"/>
        <w:rPr>
          <w:rFonts w:ascii="Arial" w:eastAsia="Times New Roman" w:hAnsi="Arial" w:cs="Arial"/>
          <w:kern w:val="0"/>
          <w:sz w:val="20"/>
          <w:szCs w:val="20"/>
        </w:rPr>
      </w:pPr>
    </w:p>
    <w:p w14:paraId="719F51A7" w14:textId="77777777" w:rsidR="00152153" w:rsidRPr="002F7431" w:rsidRDefault="0015215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Sordi, G., Semon, P., Haule, K., Tremblay, A.-M., &amp; Tremblay, A.-M. (2012). Strong Coupling Superconductivity,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and Mott Transition.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108</w:t>
      </w:r>
      <w:r w:rsidRPr="002F7431">
        <w:rPr>
          <w:rFonts w:ascii="Arial" w:eastAsia="Times New Roman" w:hAnsi="Arial" w:cs="Arial"/>
          <w:kern w:val="0"/>
          <w:sz w:val="20"/>
          <w:szCs w:val="20"/>
        </w:rPr>
        <w:t xml:space="preserve">(21), 216401. </w:t>
      </w:r>
      <w:hyperlink r:id="rId67" w:history="1">
        <w:r w:rsidRPr="002F7431">
          <w:rPr>
            <w:rStyle w:val="Hyperlink"/>
            <w:rFonts w:ascii="Arial" w:eastAsia="Times New Roman" w:hAnsi="Arial" w:cs="Arial"/>
            <w:kern w:val="0"/>
            <w:sz w:val="20"/>
            <w:szCs w:val="20"/>
          </w:rPr>
          <w:t>https://doi.org/10.1103/PHYSREVLETT.108.216401</w:t>
        </w:r>
      </w:hyperlink>
    </w:p>
    <w:p w14:paraId="080C6EC7" w14:textId="77777777" w:rsidR="00152153" w:rsidRPr="002F7431" w:rsidRDefault="00152153" w:rsidP="002F7431">
      <w:pPr>
        <w:spacing w:after="0" w:line="240" w:lineRule="auto"/>
        <w:jc w:val="both"/>
        <w:rPr>
          <w:rFonts w:ascii="Arial" w:eastAsia="Times New Roman" w:hAnsi="Arial" w:cs="Arial"/>
          <w:kern w:val="0"/>
          <w:sz w:val="20"/>
          <w:szCs w:val="20"/>
        </w:rPr>
      </w:pPr>
    </w:p>
    <w:p w14:paraId="60028C8D" w14:textId="77777777" w:rsidR="00152153" w:rsidRPr="002F7431" w:rsidRDefault="0015215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Mai, P., Balduzzi, G., Johnston, S., &amp; Maier, T. (2021). Pairing correlations in the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A numerical study of the three-band Hubbard model.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103</w:t>
      </w:r>
      <w:r w:rsidRPr="002F7431">
        <w:rPr>
          <w:rFonts w:ascii="Arial" w:eastAsia="Times New Roman" w:hAnsi="Arial" w:cs="Arial"/>
          <w:kern w:val="0"/>
          <w:sz w:val="20"/>
          <w:szCs w:val="20"/>
        </w:rPr>
        <w:t xml:space="preserve">(14), 144514. </w:t>
      </w:r>
      <w:hyperlink r:id="rId68" w:history="1">
        <w:r w:rsidRPr="002F7431">
          <w:rPr>
            <w:rStyle w:val="Hyperlink"/>
            <w:rFonts w:ascii="Arial" w:eastAsia="Times New Roman" w:hAnsi="Arial" w:cs="Arial"/>
            <w:kern w:val="0"/>
            <w:sz w:val="20"/>
            <w:szCs w:val="20"/>
          </w:rPr>
          <w:t>https://doi.org/10.1103/PHYSREVB.103.144514</w:t>
        </w:r>
      </w:hyperlink>
    </w:p>
    <w:p w14:paraId="5CD6E945" w14:textId="77777777" w:rsidR="00152153" w:rsidRPr="002F7431" w:rsidRDefault="00152153" w:rsidP="002F7431">
      <w:pPr>
        <w:spacing w:after="0" w:line="240" w:lineRule="auto"/>
        <w:jc w:val="both"/>
        <w:rPr>
          <w:rFonts w:ascii="Arial" w:eastAsia="Times New Roman" w:hAnsi="Arial" w:cs="Arial"/>
          <w:kern w:val="0"/>
          <w:sz w:val="20"/>
          <w:szCs w:val="20"/>
        </w:rPr>
      </w:pPr>
    </w:p>
    <w:p w14:paraId="3BBFD30F" w14:textId="77777777" w:rsidR="007E4236" w:rsidRPr="002F7431" w:rsidRDefault="007E4236"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Cassol</w:t>
      </w:r>
      <w:proofErr w:type="spellEnd"/>
      <w:r w:rsidRPr="002F7431">
        <w:rPr>
          <w:rFonts w:ascii="Arial" w:eastAsia="Times New Roman" w:hAnsi="Arial" w:cs="Arial"/>
          <w:kern w:val="0"/>
          <w:sz w:val="20"/>
          <w:szCs w:val="20"/>
        </w:rPr>
        <w:t>, F., Gaspard, L., Casula, M., Martins, C., &amp; Lenz, B. (2024). Rich phase diagram of the prototypical iridate Ba2IrO4: Effective low-energy models and metal-</w:t>
      </w:r>
      <w:proofErr w:type="spellStart"/>
      <w:r w:rsidRPr="002F7431">
        <w:rPr>
          <w:rFonts w:ascii="Arial" w:eastAsia="Times New Roman" w:hAnsi="Arial" w:cs="Arial"/>
          <w:kern w:val="0"/>
          <w:sz w:val="20"/>
          <w:szCs w:val="20"/>
        </w:rPr>
        <w:t>insul</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hyperlink r:id="rId69" w:history="1">
        <w:r w:rsidRPr="002F7431">
          <w:rPr>
            <w:rStyle w:val="Hyperlink"/>
            <w:rFonts w:ascii="Arial" w:eastAsia="Times New Roman" w:hAnsi="Arial" w:cs="Arial"/>
            <w:kern w:val="0"/>
            <w:sz w:val="20"/>
            <w:szCs w:val="20"/>
          </w:rPr>
          <w:t>https://doi.org/10.1103/physrevb.109.155120</w:t>
        </w:r>
      </w:hyperlink>
    </w:p>
    <w:p w14:paraId="4910BBDE" w14:textId="77777777" w:rsidR="007E4236" w:rsidRPr="002F7431" w:rsidRDefault="007E4236" w:rsidP="002F7431">
      <w:pPr>
        <w:spacing w:after="0" w:line="240" w:lineRule="auto"/>
        <w:jc w:val="both"/>
        <w:rPr>
          <w:rFonts w:ascii="Arial" w:eastAsia="Times New Roman" w:hAnsi="Arial" w:cs="Arial"/>
          <w:kern w:val="0"/>
          <w:sz w:val="20"/>
          <w:szCs w:val="20"/>
        </w:rPr>
      </w:pPr>
    </w:p>
    <w:p w14:paraId="22041030" w14:textId="77777777" w:rsidR="00D94565" w:rsidRPr="002F7431" w:rsidRDefault="00D94565"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Engelsberg, S., &amp; Schrieffer, J. R. (1963). Coupled Electron-Phonon System. </w:t>
      </w:r>
      <w:r w:rsidRPr="002F7431">
        <w:rPr>
          <w:rFonts w:ascii="Arial" w:eastAsia="Times New Roman" w:hAnsi="Arial" w:cs="Arial"/>
          <w:i/>
          <w:iCs/>
          <w:kern w:val="0"/>
          <w:sz w:val="20"/>
          <w:szCs w:val="20"/>
        </w:rPr>
        <w:t>Physical Review</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131</w:t>
      </w:r>
      <w:r w:rsidRPr="002F7431">
        <w:rPr>
          <w:rFonts w:ascii="Arial" w:eastAsia="Times New Roman" w:hAnsi="Arial" w:cs="Arial"/>
          <w:kern w:val="0"/>
          <w:sz w:val="20"/>
          <w:szCs w:val="20"/>
        </w:rPr>
        <w:t xml:space="preserve">(3), 993–1008. </w:t>
      </w:r>
      <w:hyperlink r:id="rId70" w:history="1">
        <w:r w:rsidRPr="002F7431">
          <w:rPr>
            <w:rStyle w:val="Hyperlink"/>
            <w:rFonts w:ascii="Arial" w:eastAsia="Times New Roman" w:hAnsi="Arial" w:cs="Arial"/>
            <w:kern w:val="0"/>
            <w:sz w:val="20"/>
            <w:szCs w:val="20"/>
          </w:rPr>
          <w:t>https://doi.org/10.1103/PHYSREV.131.993</w:t>
        </w:r>
      </w:hyperlink>
    </w:p>
    <w:p w14:paraId="10EDC16E" w14:textId="77777777" w:rsidR="00D94565" w:rsidRPr="002F7431" w:rsidRDefault="00D94565" w:rsidP="002F7431">
      <w:pPr>
        <w:spacing w:after="0" w:line="240" w:lineRule="auto"/>
        <w:jc w:val="both"/>
        <w:rPr>
          <w:rFonts w:ascii="Arial" w:eastAsia="Times New Roman" w:hAnsi="Arial" w:cs="Arial"/>
          <w:kern w:val="0"/>
          <w:sz w:val="20"/>
          <w:szCs w:val="20"/>
        </w:rPr>
      </w:pPr>
    </w:p>
    <w:p w14:paraId="0C225116" w14:textId="77777777" w:rsidR="00D94565" w:rsidRPr="002F7431" w:rsidRDefault="00AD7468" w:rsidP="002F7431">
      <w:pPr>
        <w:pStyle w:val="ListParagraph"/>
        <w:numPr>
          <w:ilvl w:val="0"/>
          <w:numId w:val="12"/>
        </w:numPr>
        <w:spacing w:after="0" w:line="240" w:lineRule="auto"/>
        <w:jc w:val="both"/>
        <w:rPr>
          <w:rFonts w:ascii="Arial" w:hAnsi="Arial" w:cs="Arial"/>
          <w:sz w:val="20"/>
          <w:szCs w:val="20"/>
        </w:rPr>
      </w:pPr>
      <w:r w:rsidRPr="002F7431">
        <w:rPr>
          <w:rFonts w:ascii="Arial" w:hAnsi="Arial" w:cs="Arial"/>
          <w:sz w:val="20"/>
          <w:szCs w:val="20"/>
        </w:rPr>
        <w:t xml:space="preserve">Mahan, G. D. (2000). </w:t>
      </w:r>
      <w:r w:rsidRPr="002F7431">
        <w:rPr>
          <w:rStyle w:val="Emphasis"/>
          <w:rFonts w:ascii="Arial" w:hAnsi="Arial" w:cs="Arial"/>
          <w:sz w:val="20"/>
          <w:szCs w:val="20"/>
        </w:rPr>
        <w:t>Many-particle physics</w:t>
      </w:r>
      <w:r w:rsidRPr="002F7431">
        <w:rPr>
          <w:rFonts w:ascii="Arial" w:hAnsi="Arial" w:cs="Arial"/>
          <w:sz w:val="20"/>
          <w:szCs w:val="20"/>
        </w:rPr>
        <w:t xml:space="preserve"> (3rd ed.). Springer, New York. ISBN 978-1-4419-3339-3. </w:t>
      </w:r>
      <w:hyperlink r:id="rId71" w:history="1">
        <w:r w:rsidRPr="002F7431">
          <w:rPr>
            <w:rStyle w:val="Hyperlink"/>
            <w:rFonts w:ascii="Arial" w:hAnsi="Arial" w:cs="Arial"/>
            <w:sz w:val="20"/>
            <w:szCs w:val="20"/>
          </w:rPr>
          <w:t>https://doi.org/10.1007/978-1-4757-5714-9</w:t>
        </w:r>
      </w:hyperlink>
    </w:p>
    <w:p w14:paraId="1B8D6E58" w14:textId="77777777" w:rsidR="00AD7468" w:rsidRPr="002F7431" w:rsidRDefault="00AD7468" w:rsidP="002F7431">
      <w:pPr>
        <w:spacing w:after="0" w:line="240" w:lineRule="auto"/>
        <w:jc w:val="both"/>
        <w:rPr>
          <w:rFonts w:ascii="Arial" w:hAnsi="Arial" w:cs="Arial"/>
          <w:sz w:val="20"/>
          <w:szCs w:val="20"/>
        </w:rPr>
      </w:pPr>
    </w:p>
    <w:p w14:paraId="1BCEE609" w14:textId="77777777" w:rsidR="0014260E" w:rsidRPr="002F7431" w:rsidRDefault="0014260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Park, H., Park, J. H., &amp; Hwang, J. (2021). </w:t>
      </w:r>
      <w:r w:rsidRPr="002F7431">
        <w:rPr>
          <w:rFonts w:ascii="Arial" w:eastAsia="Times New Roman" w:hAnsi="Arial" w:cs="Arial"/>
          <w:i/>
          <w:iCs/>
          <w:kern w:val="0"/>
          <w:sz w:val="20"/>
          <w:szCs w:val="20"/>
        </w:rPr>
        <w:t xml:space="preserve">Electron-boson Spectral Density Functions of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i/>
          <w:iCs/>
          <w:kern w:val="0"/>
          <w:sz w:val="20"/>
          <w:szCs w:val="20"/>
        </w:rPr>
        <w:t xml:space="preserve"> Obtained from Optical Spectra Via Machine Learning</w:t>
      </w:r>
      <w:r w:rsidRPr="002F7431">
        <w:rPr>
          <w:rFonts w:ascii="Arial" w:eastAsia="Times New Roman" w:hAnsi="Arial" w:cs="Arial"/>
          <w:kern w:val="0"/>
          <w:sz w:val="20"/>
          <w:szCs w:val="20"/>
        </w:rPr>
        <w:t xml:space="preserve">. </w:t>
      </w:r>
      <w:hyperlink r:id="rId72" w:history="1">
        <w:r w:rsidRPr="002F7431">
          <w:rPr>
            <w:rStyle w:val="Hyperlink"/>
            <w:rFonts w:ascii="Arial" w:eastAsia="Times New Roman" w:hAnsi="Arial" w:cs="Arial"/>
            <w:kern w:val="0"/>
            <w:sz w:val="20"/>
            <w:szCs w:val="20"/>
          </w:rPr>
          <w:t>https://doi.org/10.1103/physrevb.104.235154</w:t>
        </w:r>
      </w:hyperlink>
    </w:p>
    <w:p w14:paraId="6B5BA65B" w14:textId="77777777" w:rsidR="0014260E" w:rsidRPr="002F7431" w:rsidRDefault="0014260E" w:rsidP="002F7431">
      <w:pPr>
        <w:spacing w:after="0" w:line="240" w:lineRule="auto"/>
        <w:jc w:val="both"/>
        <w:rPr>
          <w:rFonts w:ascii="Arial" w:eastAsia="Times New Roman" w:hAnsi="Arial" w:cs="Arial"/>
          <w:kern w:val="0"/>
          <w:sz w:val="20"/>
          <w:szCs w:val="20"/>
        </w:rPr>
      </w:pPr>
    </w:p>
    <w:p w14:paraId="3609EF04" w14:textId="77777777" w:rsidR="0014260E" w:rsidRPr="002F7431" w:rsidRDefault="0014260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Leon, D. A., Berland, K., &amp; Cardoso, C. (2025). </w:t>
      </w:r>
      <w:r w:rsidRPr="002F7431">
        <w:rPr>
          <w:rFonts w:ascii="Arial" w:eastAsia="Times New Roman" w:hAnsi="Arial" w:cs="Arial"/>
          <w:i/>
          <w:iCs/>
          <w:kern w:val="0"/>
          <w:sz w:val="20"/>
          <w:szCs w:val="20"/>
        </w:rPr>
        <w:t>Spectral properties from an efficient analytical representation of the $GW$ self-energy within a multipole approximation</w:t>
      </w:r>
      <w:r w:rsidRPr="002F7431">
        <w:rPr>
          <w:rFonts w:ascii="Arial" w:eastAsia="Times New Roman" w:hAnsi="Arial" w:cs="Arial"/>
          <w:kern w:val="0"/>
          <w:sz w:val="20"/>
          <w:szCs w:val="20"/>
        </w:rPr>
        <w:t xml:space="preserve">. </w:t>
      </w:r>
      <w:hyperlink r:id="rId73" w:history="1">
        <w:r w:rsidRPr="002F7431">
          <w:rPr>
            <w:rStyle w:val="Hyperlink"/>
            <w:rFonts w:ascii="Arial" w:eastAsia="Times New Roman" w:hAnsi="Arial" w:cs="Arial"/>
            <w:kern w:val="0"/>
            <w:sz w:val="20"/>
            <w:szCs w:val="20"/>
          </w:rPr>
          <w:t>https://doi.org/10.48550/arxiv.2501.09121</w:t>
        </w:r>
      </w:hyperlink>
    </w:p>
    <w:p w14:paraId="36232CF8" w14:textId="77777777" w:rsidR="0014260E" w:rsidRPr="002F7431" w:rsidRDefault="0014260E" w:rsidP="002F7431">
      <w:pPr>
        <w:spacing w:after="0" w:line="240" w:lineRule="auto"/>
        <w:jc w:val="both"/>
        <w:rPr>
          <w:rFonts w:ascii="Arial" w:eastAsia="Times New Roman" w:hAnsi="Arial" w:cs="Arial"/>
          <w:kern w:val="0"/>
          <w:sz w:val="20"/>
          <w:szCs w:val="20"/>
        </w:rPr>
      </w:pPr>
    </w:p>
    <w:p w14:paraId="7E80E8A0" w14:textId="77777777" w:rsidR="005A40FE" w:rsidRPr="002F7431" w:rsidRDefault="005A40F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Anderson, P. W. (1987). </w:t>
      </w:r>
      <w:r w:rsidRPr="002F7431">
        <w:rPr>
          <w:rFonts w:ascii="Arial" w:eastAsia="Times New Roman" w:hAnsi="Arial" w:cs="Arial"/>
          <w:i/>
          <w:iCs/>
          <w:kern w:val="0"/>
          <w:sz w:val="20"/>
          <w:szCs w:val="20"/>
        </w:rPr>
        <w:t>The Resonating Valence Bond State and High-Tc Superconductivity in La2CuO4+</w:t>
      </w:r>
      <w:r w:rsidRPr="002F7431">
        <w:rPr>
          <w:rFonts w:ascii="Arial" w:eastAsia="Times New Roman" w:hAnsi="Arial" w:cs="Arial"/>
          <w:kern w:val="0"/>
          <w:sz w:val="20"/>
          <w:szCs w:val="20"/>
        </w:rPr>
        <w:t xml:space="preserve"> (p. 9). Springer US. </w:t>
      </w:r>
      <w:hyperlink r:id="rId74" w:history="1">
        <w:r w:rsidRPr="002F7431">
          <w:rPr>
            <w:rStyle w:val="Hyperlink"/>
            <w:rFonts w:ascii="Arial" w:eastAsia="Times New Roman" w:hAnsi="Arial" w:cs="Arial"/>
            <w:kern w:val="0"/>
            <w:sz w:val="20"/>
            <w:szCs w:val="20"/>
          </w:rPr>
          <w:t>https://doi.org/10.1007/978-1-4613-0947-5_2</w:t>
        </w:r>
      </w:hyperlink>
    </w:p>
    <w:p w14:paraId="32694DB8" w14:textId="77777777" w:rsidR="005A40FE" w:rsidRPr="002F7431" w:rsidRDefault="005A40FE" w:rsidP="002F7431">
      <w:pPr>
        <w:spacing w:after="0" w:line="240" w:lineRule="auto"/>
        <w:jc w:val="both"/>
        <w:rPr>
          <w:rFonts w:ascii="Arial" w:eastAsia="Times New Roman" w:hAnsi="Arial" w:cs="Arial"/>
          <w:kern w:val="0"/>
          <w:sz w:val="20"/>
          <w:szCs w:val="20"/>
        </w:rPr>
      </w:pPr>
    </w:p>
    <w:p w14:paraId="0CD74E9C" w14:textId="77777777" w:rsidR="005A40FE" w:rsidRPr="002F7431" w:rsidRDefault="005A40F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Zhang, C., &amp; Li, T. (2020). Resonating valence bond theory of anomalous spin dynamics of spin-1/2 triangular lattice Heisenberg antiferromagnet and its application to Ba 3 </w:t>
      </w:r>
      <w:proofErr w:type="spellStart"/>
      <w:r w:rsidRPr="002F7431">
        <w:rPr>
          <w:rFonts w:ascii="Arial" w:eastAsia="Times New Roman" w:hAnsi="Arial" w:cs="Arial"/>
          <w:kern w:val="0"/>
          <w:sz w:val="20"/>
          <w:szCs w:val="20"/>
        </w:rPr>
        <w:t>CoSb</w:t>
      </w:r>
      <w:proofErr w:type="spellEnd"/>
      <w:r w:rsidRPr="002F7431">
        <w:rPr>
          <w:rFonts w:ascii="Arial" w:eastAsia="Times New Roman" w:hAnsi="Arial" w:cs="Arial"/>
          <w:kern w:val="0"/>
          <w:sz w:val="20"/>
          <w:szCs w:val="20"/>
        </w:rPr>
        <w:t xml:space="preserve"> 2 O 9.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102</w:t>
      </w:r>
      <w:r w:rsidRPr="002F7431">
        <w:rPr>
          <w:rFonts w:ascii="Arial" w:eastAsia="Times New Roman" w:hAnsi="Arial" w:cs="Arial"/>
          <w:kern w:val="0"/>
          <w:sz w:val="20"/>
          <w:szCs w:val="20"/>
        </w:rPr>
        <w:t xml:space="preserve">(7), 075108. </w:t>
      </w:r>
      <w:hyperlink r:id="rId75" w:history="1">
        <w:r w:rsidRPr="002F7431">
          <w:rPr>
            <w:rStyle w:val="Hyperlink"/>
            <w:rFonts w:ascii="Arial" w:eastAsia="Times New Roman" w:hAnsi="Arial" w:cs="Arial"/>
            <w:kern w:val="0"/>
            <w:sz w:val="20"/>
            <w:szCs w:val="20"/>
          </w:rPr>
          <w:t>https://doi.org/10.1103/PHYSREVB.102.075108</w:t>
        </w:r>
      </w:hyperlink>
    </w:p>
    <w:p w14:paraId="3AEF6414" w14:textId="77777777" w:rsidR="005A40FE" w:rsidRPr="002F7431" w:rsidRDefault="005A40FE" w:rsidP="002F7431">
      <w:pPr>
        <w:spacing w:after="0" w:line="240" w:lineRule="auto"/>
        <w:jc w:val="both"/>
        <w:rPr>
          <w:rFonts w:ascii="Arial" w:eastAsia="Times New Roman" w:hAnsi="Arial" w:cs="Arial"/>
          <w:kern w:val="0"/>
          <w:sz w:val="20"/>
          <w:szCs w:val="20"/>
        </w:rPr>
      </w:pPr>
    </w:p>
    <w:p w14:paraId="0CDF2FF5" w14:textId="77777777" w:rsidR="00D71DCE" w:rsidRPr="002F7431" w:rsidRDefault="00D71DCE" w:rsidP="002F7431">
      <w:pPr>
        <w:pStyle w:val="ListParagraph"/>
        <w:numPr>
          <w:ilvl w:val="0"/>
          <w:numId w:val="12"/>
        </w:numPr>
        <w:spacing w:after="0" w:line="240" w:lineRule="auto"/>
        <w:jc w:val="both"/>
        <w:rPr>
          <w:rFonts w:ascii="Arial" w:hAnsi="Arial" w:cs="Arial"/>
          <w:color w:val="222222"/>
          <w:sz w:val="20"/>
          <w:szCs w:val="20"/>
          <w:shd w:val="clear" w:color="auto" w:fill="FFFFFF"/>
        </w:rPr>
      </w:pPr>
      <w:r w:rsidRPr="002F7431">
        <w:rPr>
          <w:rFonts w:ascii="Arial" w:hAnsi="Arial" w:cs="Arial"/>
          <w:color w:val="222222"/>
          <w:sz w:val="20"/>
          <w:szCs w:val="20"/>
          <w:shd w:val="clear" w:color="auto" w:fill="FFFFFF"/>
        </w:rPr>
        <w:t xml:space="preserve">Singh, N. (2022). Is the problem of </w:t>
      </w:r>
      <w:proofErr w:type="spellStart"/>
      <w:r w:rsidRPr="002F7431">
        <w:rPr>
          <w:rFonts w:ascii="Arial" w:hAnsi="Arial" w:cs="Arial"/>
          <w:color w:val="222222"/>
          <w:sz w:val="20"/>
          <w:szCs w:val="20"/>
          <w:shd w:val="clear" w:color="auto" w:fill="FFFFFF"/>
        </w:rPr>
        <w:t>Cuprate</w:t>
      </w:r>
      <w:proofErr w:type="spellEnd"/>
      <w:r w:rsidRPr="002F7431">
        <w:rPr>
          <w:rFonts w:ascii="Arial" w:hAnsi="Arial" w:cs="Arial"/>
          <w:color w:val="222222"/>
          <w:sz w:val="20"/>
          <w:szCs w:val="20"/>
          <w:shd w:val="clear" w:color="auto" w:fill="FFFFFF"/>
        </w:rPr>
        <w:t xml:space="preserve"> high-$ </w:t>
      </w:r>
      <w:proofErr w:type="spellStart"/>
      <w:r w:rsidRPr="002F7431">
        <w:rPr>
          <w:rFonts w:ascii="Arial" w:hAnsi="Arial" w:cs="Arial"/>
          <w:color w:val="222222"/>
          <w:sz w:val="20"/>
          <w:szCs w:val="20"/>
          <w:shd w:val="clear" w:color="auto" w:fill="FFFFFF"/>
        </w:rPr>
        <w:t>T_c</w:t>
      </w:r>
      <w:proofErr w:type="spellEnd"/>
      <w:r w:rsidRPr="002F7431">
        <w:rPr>
          <w:rFonts w:ascii="Arial" w:hAnsi="Arial" w:cs="Arial"/>
          <w:color w:val="222222"/>
          <w:sz w:val="20"/>
          <w:szCs w:val="20"/>
          <w:shd w:val="clear" w:color="auto" w:fill="FFFFFF"/>
        </w:rPr>
        <w:t xml:space="preserve"> $ superconductivity a solved </w:t>
      </w:r>
      <w:proofErr w:type="gramStart"/>
      <w:r w:rsidRPr="002F7431">
        <w:rPr>
          <w:rFonts w:ascii="Arial" w:hAnsi="Arial" w:cs="Arial"/>
          <w:color w:val="222222"/>
          <w:sz w:val="20"/>
          <w:szCs w:val="20"/>
          <w:shd w:val="clear" w:color="auto" w:fill="FFFFFF"/>
        </w:rPr>
        <w:t>problem?.</w:t>
      </w:r>
      <w:proofErr w:type="gramEnd"/>
      <w:r w:rsidRPr="002F7431">
        <w:rPr>
          <w:rFonts w:ascii="Arial" w:hAnsi="Arial" w:cs="Arial"/>
          <w:color w:val="222222"/>
          <w:sz w:val="20"/>
          <w:szCs w:val="20"/>
          <w:shd w:val="clear" w:color="auto" w:fill="FFFFFF"/>
        </w:rPr>
        <w:t> </w:t>
      </w:r>
      <w:proofErr w:type="spellStart"/>
      <w:r w:rsidRPr="002F7431">
        <w:rPr>
          <w:rFonts w:ascii="Arial" w:hAnsi="Arial" w:cs="Arial"/>
          <w:i/>
          <w:iCs/>
          <w:color w:val="222222"/>
          <w:sz w:val="20"/>
          <w:szCs w:val="20"/>
          <w:shd w:val="clear" w:color="auto" w:fill="FFFFFF"/>
        </w:rPr>
        <w:t>arXiv</w:t>
      </w:r>
      <w:proofErr w:type="spellEnd"/>
      <w:r w:rsidRPr="002F7431">
        <w:rPr>
          <w:rFonts w:ascii="Arial" w:hAnsi="Arial" w:cs="Arial"/>
          <w:i/>
          <w:iCs/>
          <w:color w:val="222222"/>
          <w:sz w:val="20"/>
          <w:szCs w:val="20"/>
          <w:shd w:val="clear" w:color="auto" w:fill="FFFFFF"/>
        </w:rPr>
        <w:t xml:space="preserve"> preprint arXiv:2211.00400</w:t>
      </w:r>
      <w:r w:rsidRPr="002F7431">
        <w:rPr>
          <w:rFonts w:ascii="Arial" w:hAnsi="Arial" w:cs="Arial"/>
          <w:color w:val="222222"/>
          <w:sz w:val="20"/>
          <w:szCs w:val="20"/>
          <w:shd w:val="clear" w:color="auto" w:fill="FFFFFF"/>
        </w:rPr>
        <w:t>.</w:t>
      </w:r>
    </w:p>
    <w:p w14:paraId="693F7190" w14:textId="77777777" w:rsidR="00C1552E" w:rsidRPr="002F7431" w:rsidRDefault="00C1552E" w:rsidP="002F7431">
      <w:pPr>
        <w:spacing w:after="0" w:line="240" w:lineRule="auto"/>
        <w:jc w:val="both"/>
        <w:rPr>
          <w:rFonts w:ascii="Arial" w:hAnsi="Arial" w:cs="Arial"/>
          <w:color w:val="222222"/>
          <w:sz w:val="20"/>
          <w:szCs w:val="20"/>
          <w:shd w:val="clear" w:color="auto" w:fill="FFFFFF"/>
        </w:rPr>
      </w:pPr>
    </w:p>
    <w:p w14:paraId="41F49DEB" w14:textId="77777777"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Song, Z., Zhang, J., &amp; Weng, Z.-Y. (2024). Thermal Hall effect and neutral </w:t>
      </w:r>
      <w:proofErr w:type="spellStart"/>
      <w:r w:rsidRPr="002F7431">
        <w:rPr>
          <w:rFonts w:ascii="Arial" w:eastAsia="Times New Roman" w:hAnsi="Arial" w:cs="Arial"/>
          <w:kern w:val="0"/>
          <w:sz w:val="20"/>
          <w:szCs w:val="20"/>
        </w:rPr>
        <w:t>spinons</w:t>
      </w:r>
      <w:proofErr w:type="spellEnd"/>
      <w:r w:rsidRPr="002F7431">
        <w:rPr>
          <w:rFonts w:ascii="Arial" w:eastAsia="Times New Roman" w:hAnsi="Arial" w:cs="Arial"/>
          <w:kern w:val="0"/>
          <w:sz w:val="20"/>
          <w:szCs w:val="20"/>
        </w:rPr>
        <w:t xml:space="preserve"> in a doped Mott insulator. </w:t>
      </w:r>
      <w:r w:rsidRPr="002F7431">
        <w:rPr>
          <w:rFonts w:ascii="Arial" w:eastAsia="Times New Roman" w:hAnsi="Arial" w:cs="Arial"/>
          <w:i/>
          <w:iCs/>
          <w:kern w:val="0"/>
          <w:sz w:val="20"/>
          <w:szCs w:val="20"/>
        </w:rPr>
        <w:t>Physical Review Research</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6</w:t>
      </w:r>
      <w:r w:rsidRPr="002F7431">
        <w:rPr>
          <w:rFonts w:ascii="Arial" w:eastAsia="Times New Roman" w:hAnsi="Arial" w:cs="Arial"/>
          <w:kern w:val="0"/>
          <w:sz w:val="20"/>
          <w:szCs w:val="20"/>
        </w:rPr>
        <w:t xml:space="preserve">(2). </w:t>
      </w:r>
      <w:hyperlink r:id="rId76" w:history="1">
        <w:r w:rsidRPr="002F7431">
          <w:rPr>
            <w:rStyle w:val="Hyperlink"/>
            <w:rFonts w:ascii="Arial" w:eastAsia="Times New Roman" w:hAnsi="Arial" w:cs="Arial"/>
            <w:kern w:val="0"/>
            <w:sz w:val="20"/>
            <w:szCs w:val="20"/>
          </w:rPr>
          <w:t>https://doi.org/10.1103/physrevresearch.6.023328</w:t>
        </w:r>
      </w:hyperlink>
    </w:p>
    <w:p w14:paraId="605B1CD5" w14:textId="77777777" w:rsidR="00C1552E" w:rsidRPr="002F7431" w:rsidRDefault="00C1552E" w:rsidP="002F7431">
      <w:pPr>
        <w:spacing w:after="0" w:line="240" w:lineRule="auto"/>
        <w:jc w:val="both"/>
        <w:rPr>
          <w:rFonts w:ascii="Arial" w:eastAsia="Times New Roman" w:hAnsi="Arial" w:cs="Arial"/>
          <w:kern w:val="0"/>
          <w:sz w:val="20"/>
          <w:szCs w:val="20"/>
        </w:rPr>
      </w:pPr>
    </w:p>
    <w:p w14:paraId="226DF6C4" w14:textId="77777777"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lastRenderedPageBreak/>
        <w:t xml:space="preserve">Uemura, Y. J., Luke, G., Sternlieb, B. J., Brewer, J. H., Carolan, J. F., Hardy, W., </w:t>
      </w:r>
      <w:proofErr w:type="spellStart"/>
      <w:r w:rsidRPr="002F7431">
        <w:rPr>
          <w:rFonts w:ascii="Arial" w:eastAsia="Times New Roman" w:hAnsi="Arial" w:cs="Arial"/>
          <w:kern w:val="0"/>
          <w:sz w:val="20"/>
          <w:szCs w:val="20"/>
        </w:rPr>
        <w:t>Kadono</w:t>
      </w:r>
      <w:proofErr w:type="spellEnd"/>
      <w:r w:rsidRPr="002F7431">
        <w:rPr>
          <w:rFonts w:ascii="Arial" w:eastAsia="Times New Roman" w:hAnsi="Arial" w:cs="Arial"/>
          <w:kern w:val="0"/>
          <w:sz w:val="20"/>
          <w:szCs w:val="20"/>
        </w:rPr>
        <w:t xml:space="preserve">, R., Kempton, J. R., </w:t>
      </w:r>
      <w:proofErr w:type="spellStart"/>
      <w:r w:rsidRPr="002F7431">
        <w:rPr>
          <w:rFonts w:ascii="Arial" w:eastAsia="Times New Roman" w:hAnsi="Arial" w:cs="Arial"/>
          <w:kern w:val="0"/>
          <w:sz w:val="20"/>
          <w:szCs w:val="20"/>
        </w:rPr>
        <w:t>Kiefl</w:t>
      </w:r>
      <w:proofErr w:type="spellEnd"/>
      <w:r w:rsidRPr="002F7431">
        <w:rPr>
          <w:rFonts w:ascii="Arial" w:eastAsia="Times New Roman" w:hAnsi="Arial" w:cs="Arial"/>
          <w:kern w:val="0"/>
          <w:sz w:val="20"/>
          <w:szCs w:val="20"/>
        </w:rPr>
        <w:t xml:space="preserve">, R. F., Kreitzman, S. R., Mulhern, P., Riseman, T. M., Williams, D., Yang, B. X., Uchida, S., Takagi, H., Gopalakrishnan, J., Sleight, A. W., Subramanian, M. A., … Yu, X. H. (1989). Universal correlations between Tc and ns/m (carrier density over effective mass) in high-Tc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62</w:t>
      </w:r>
      <w:r w:rsidRPr="002F7431">
        <w:rPr>
          <w:rFonts w:ascii="Arial" w:eastAsia="Times New Roman" w:hAnsi="Arial" w:cs="Arial"/>
          <w:kern w:val="0"/>
          <w:sz w:val="20"/>
          <w:szCs w:val="20"/>
        </w:rPr>
        <w:t xml:space="preserve">(19), 2317–2320. </w:t>
      </w:r>
      <w:hyperlink r:id="rId77" w:history="1">
        <w:r w:rsidRPr="002F7431">
          <w:rPr>
            <w:rStyle w:val="Hyperlink"/>
            <w:rFonts w:ascii="Arial" w:eastAsia="Times New Roman" w:hAnsi="Arial" w:cs="Arial"/>
            <w:kern w:val="0"/>
            <w:sz w:val="20"/>
            <w:szCs w:val="20"/>
          </w:rPr>
          <w:t>https://doi.org/10.1103/PHYSREVLETT.62.2317</w:t>
        </w:r>
      </w:hyperlink>
    </w:p>
    <w:p w14:paraId="6FA07971" w14:textId="77777777" w:rsidR="00C1552E" w:rsidRPr="002F7431" w:rsidRDefault="00C1552E" w:rsidP="002F7431">
      <w:pPr>
        <w:spacing w:after="0" w:line="240" w:lineRule="auto"/>
        <w:jc w:val="both"/>
        <w:rPr>
          <w:rFonts w:ascii="Arial" w:eastAsia="Times New Roman" w:hAnsi="Arial" w:cs="Arial"/>
          <w:kern w:val="0"/>
          <w:sz w:val="20"/>
          <w:szCs w:val="20"/>
        </w:rPr>
      </w:pPr>
    </w:p>
    <w:p w14:paraId="7A5FE5C0" w14:textId="77777777" w:rsidR="00C1552E" w:rsidRPr="002F7431" w:rsidRDefault="00C1552E"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Božović, I., He, X., He, X., Wu, J., &amp; Bollinger, A. (2016). Dependence of the critical temperature in </w:t>
      </w:r>
      <w:proofErr w:type="spellStart"/>
      <w:r w:rsidRPr="002F7431">
        <w:rPr>
          <w:rFonts w:ascii="Arial" w:eastAsia="Times New Roman" w:hAnsi="Arial" w:cs="Arial"/>
          <w:kern w:val="0"/>
          <w:sz w:val="20"/>
          <w:szCs w:val="20"/>
        </w:rPr>
        <w:t>overdoped</w:t>
      </w:r>
      <w:proofErr w:type="spellEnd"/>
      <w:r w:rsidRPr="002F7431">
        <w:rPr>
          <w:rFonts w:ascii="Arial" w:eastAsia="Times New Roman" w:hAnsi="Arial" w:cs="Arial"/>
          <w:kern w:val="0"/>
          <w:sz w:val="20"/>
          <w:szCs w:val="20"/>
        </w:rPr>
        <w:t xml:space="preserve"> copper oxides on superfluid density.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536</w:t>
      </w:r>
      <w:r w:rsidRPr="002F7431">
        <w:rPr>
          <w:rFonts w:ascii="Arial" w:eastAsia="Times New Roman" w:hAnsi="Arial" w:cs="Arial"/>
          <w:kern w:val="0"/>
          <w:sz w:val="20"/>
          <w:szCs w:val="20"/>
        </w:rPr>
        <w:t xml:space="preserve">(7616), 309–311. </w:t>
      </w:r>
      <w:hyperlink r:id="rId78" w:history="1">
        <w:r w:rsidRPr="002F7431">
          <w:rPr>
            <w:rStyle w:val="Hyperlink"/>
            <w:rFonts w:ascii="Arial" w:eastAsia="Times New Roman" w:hAnsi="Arial" w:cs="Arial"/>
            <w:kern w:val="0"/>
            <w:sz w:val="20"/>
            <w:szCs w:val="20"/>
          </w:rPr>
          <w:t>https://doi.org/10.1038/NATURE19061</w:t>
        </w:r>
      </w:hyperlink>
    </w:p>
    <w:p w14:paraId="4BFDE0C6" w14:textId="77777777" w:rsidR="00C1552E" w:rsidRPr="002F7431" w:rsidRDefault="00C1552E" w:rsidP="002F7431">
      <w:pPr>
        <w:spacing w:after="0" w:line="240" w:lineRule="auto"/>
        <w:jc w:val="both"/>
        <w:rPr>
          <w:rFonts w:ascii="Arial" w:eastAsia="Times New Roman" w:hAnsi="Arial" w:cs="Arial"/>
          <w:kern w:val="0"/>
          <w:sz w:val="20"/>
          <w:szCs w:val="20"/>
        </w:rPr>
      </w:pPr>
    </w:p>
    <w:p w14:paraId="65A4E6AA" w14:textId="77777777" w:rsidR="000A217C" w:rsidRPr="002F7431" w:rsidRDefault="000A217C"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Zhao, J., Cai, S., Chen, Y., Gu, G., Yan, H., Guo, J., Han, J., Wang, P., Zhou, Y., Li, Y., Li, X., Ren, Z., Wu, Q., Zhou, X., Ding, Y., Xiang, T., Mao, H., &amp; Sun, L. (2024). Evolution of superconducting-transition-temperature with superfluid density and conductivity in pressurized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w:t>
      </w:r>
      <w:r w:rsidRPr="002F7431">
        <w:rPr>
          <w:rFonts w:ascii="Arial" w:eastAsia="Times New Roman" w:hAnsi="Arial" w:cs="Arial"/>
          <w:i/>
          <w:iCs/>
          <w:kern w:val="0"/>
          <w:sz w:val="20"/>
          <w:szCs w:val="20"/>
        </w:rPr>
        <w:t>Chinese Physics Letters</w:t>
      </w:r>
      <w:r w:rsidRPr="002F7431">
        <w:rPr>
          <w:rFonts w:ascii="Arial" w:eastAsia="Times New Roman" w:hAnsi="Arial" w:cs="Arial"/>
          <w:kern w:val="0"/>
          <w:sz w:val="20"/>
          <w:szCs w:val="20"/>
        </w:rPr>
        <w:t xml:space="preserve">. </w:t>
      </w:r>
      <w:hyperlink r:id="rId79" w:history="1">
        <w:r w:rsidRPr="002F7431">
          <w:rPr>
            <w:rStyle w:val="Hyperlink"/>
            <w:rFonts w:ascii="Arial" w:eastAsia="Times New Roman" w:hAnsi="Arial" w:cs="Arial"/>
            <w:kern w:val="0"/>
            <w:sz w:val="20"/>
            <w:szCs w:val="20"/>
          </w:rPr>
          <w:t>https://doi.org/10.1088/0256-307x/41/4/047401</w:t>
        </w:r>
      </w:hyperlink>
    </w:p>
    <w:p w14:paraId="023206B1" w14:textId="77777777" w:rsidR="000A217C" w:rsidRPr="002F7431" w:rsidRDefault="000A217C" w:rsidP="002F7431">
      <w:pPr>
        <w:spacing w:after="0" w:line="240" w:lineRule="auto"/>
        <w:jc w:val="both"/>
        <w:rPr>
          <w:rFonts w:ascii="Arial" w:eastAsia="Times New Roman" w:hAnsi="Arial" w:cs="Arial"/>
          <w:kern w:val="0"/>
          <w:sz w:val="20"/>
          <w:szCs w:val="20"/>
        </w:rPr>
      </w:pPr>
    </w:p>
    <w:p w14:paraId="54375C3D" w14:textId="77777777" w:rsidR="00CB269A" w:rsidRPr="002F7431" w:rsidRDefault="00CB269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Dai, Z., Senthil, T., &amp; Lee, P. A. (2020). Modeling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metallic state in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Quantum disordered pair density wave.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101</w:t>
      </w:r>
      <w:r w:rsidRPr="002F7431">
        <w:rPr>
          <w:rFonts w:ascii="Arial" w:eastAsia="Times New Roman" w:hAnsi="Arial" w:cs="Arial"/>
          <w:kern w:val="0"/>
          <w:sz w:val="20"/>
          <w:szCs w:val="20"/>
        </w:rPr>
        <w:t xml:space="preserve">(6), 064502. </w:t>
      </w:r>
      <w:hyperlink r:id="rId80" w:history="1">
        <w:r w:rsidRPr="002F7431">
          <w:rPr>
            <w:rStyle w:val="Hyperlink"/>
            <w:rFonts w:ascii="Arial" w:eastAsia="Times New Roman" w:hAnsi="Arial" w:cs="Arial"/>
            <w:kern w:val="0"/>
            <w:sz w:val="20"/>
            <w:szCs w:val="20"/>
          </w:rPr>
          <w:t>https://doi.org/10.1103/PHYSREVB.101.064502</w:t>
        </w:r>
      </w:hyperlink>
    </w:p>
    <w:p w14:paraId="6ADA62E2" w14:textId="77777777" w:rsidR="00CB269A" w:rsidRPr="002F7431" w:rsidRDefault="00CB269A" w:rsidP="002F7431">
      <w:pPr>
        <w:spacing w:after="0" w:line="240" w:lineRule="auto"/>
        <w:jc w:val="both"/>
        <w:rPr>
          <w:rFonts w:ascii="Arial" w:eastAsia="Times New Roman" w:hAnsi="Arial" w:cs="Arial"/>
          <w:kern w:val="0"/>
          <w:sz w:val="20"/>
          <w:szCs w:val="20"/>
        </w:rPr>
      </w:pPr>
    </w:p>
    <w:p w14:paraId="571056F6" w14:textId="77777777" w:rsidR="00CB269A" w:rsidRPr="002F7431" w:rsidRDefault="00CB269A"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Agterberg</w:t>
      </w:r>
      <w:proofErr w:type="spellEnd"/>
      <w:r w:rsidRPr="002F7431">
        <w:rPr>
          <w:rFonts w:ascii="Arial" w:eastAsia="Times New Roman" w:hAnsi="Arial" w:cs="Arial"/>
          <w:kern w:val="0"/>
          <w:sz w:val="20"/>
          <w:szCs w:val="20"/>
        </w:rPr>
        <w:t xml:space="preserve">, D. F., Davis, J. C. S., Davis, J. C. S., Edkins, S. D., Fradkin, E., Van Harlingen, D. J.,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Lee, P. A., Radzihovsky, L., </w:t>
      </w:r>
      <w:proofErr w:type="spellStart"/>
      <w:r w:rsidRPr="002F7431">
        <w:rPr>
          <w:rFonts w:ascii="Arial" w:eastAsia="Times New Roman" w:hAnsi="Arial" w:cs="Arial"/>
          <w:kern w:val="0"/>
          <w:sz w:val="20"/>
          <w:szCs w:val="20"/>
        </w:rPr>
        <w:t>Tranquada</w:t>
      </w:r>
      <w:proofErr w:type="spellEnd"/>
      <w:r w:rsidRPr="002F7431">
        <w:rPr>
          <w:rFonts w:ascii="Arial" w:eastAsia="Times New Roman" w:hAnsi="Arial" w:cs="Arial"/>
          <w:kern w:val="0"/>
          <w:sz w:val="20"/>
          <w:szCs w:val="20"/>
        </w:rPr>
        <w:t xml:space="preserve">, J. M., &amp; Wang, Y. (2020). The Physics of Pair-Density Waves: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Superconductors and Beyond. </w:t>
      </w:r>
      <w:r w:rsidRPr="002F7431">
        <w:rPr>
          <w:rFonts w:ascii="Arial" w:eastAsia="Times New Roman" w:hAnsi="Arial" w:cs="Arial"/>
          <w:i/>
          <w:iCs/>
          <w:kern w:val="0"/>
          <w:sz w:val="20"/>
          <w:szCs w:val="20"/>
        </w:rPr>
        <w:t>Annual Review of Condensed Matter Physics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11</w:t>
      </w:r>
      <w:r w:rsidRPr="002F7431">
        <w:rPr>
          <w:rFonts w:ascii="Arial" w:eastAsia="Times New Roman" w:hAnsi="Arial" w:cs="Arial"/>
          <w:kern w:val="0"/>
          <w:sz w:val="20"/>
          <w:szCs w:val="20"/>
        </w:rPr>
        <w:t xml:space="preserve">(1), 231–270. </w:t>
      </w:r>
      <w:hyperlink r:id="rId81" w:history="1">
        <w:r w:rsidRPr="002F7431">
          <w:rPr>
            <w:rStyle w:val="Hyperlink"/>
            <w:rFonts w:ascii="Arial" w:eastAsia="Times New Roman" w:hAnsi="Arial" w:cs="Arial"/>
            <w:kern w:val="0"/>
            <w:sz w:val="20"/>
            <w:szCs w:val="20"/>
          </w:rPr>
          <w:t>https://doi.org/10.1146/ANNUREV-CONMATPHYS-031119-050711</w:t>
        </w:r>
      </w:hyperlink>
    </w:p>
    <w:p w14:paraId="28E4F3B6" w14:textId="77777777" w:rsidR="00B832D7" w:rsidRPr="002F7431" w:rsidRDefault="00B832D7" w:rsidP="002F7431">
      <w:pPr>
        <w:spacing w:after="0" w:line="240" w:lineRule="auto"/>
        <w:jc w:val="both"/>
        <w:rPr>
          <w:rFonts w:ascii="Arial" w:eastAsia="Times New Roman" w:hAnsi="Arial" w:cs="Arial"/>
          <w:kern w:val="0"/>
          <w:sz w:val="20"/>
          <w:szCs w:val="20"/>
        </w:rPr>
      </w:pPr>
    </w:p>
    <w:p w14:paraId="72664682" w14:textId="77777777" w:rsidR="00B832D7" w:rsidRPr="002F7431" w:rsidRDefault="00B832D7"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Du, Z., Li, H., Li, H., Joo, S. H., Donoway, E. P., Donoway, E. P., Lee, J., Davis, J. C. S., Davis, J. C. S., Gu, G., Johnson, P. D., &amp; Fujita, K. (2020). Imaging the energy gap modulations of the </w:t>
      </w:r>
      <w:proofErr w:type="spellStart"/>
      <w:r w:rsidRPr="002F7431">
        <w:rPr>
          <w:rFonts w:ascii="Arial" w:eastAsia="Times New Roman" w:hAnsi="Arial" w:cs="Arial"/>
          <w:kern w:val="0"/>
          <w:sz w:val="20"/>
          <w:szCs w:val="20"/>
        </w:rPr>
        <w:t>cuprate</w:t>
      </w:r>
      <w:proofErr w:type="spellEnd"/>
      <w:r w:rsidRPr="002F7431">
        <w:rPr>
          <w:rFonts w:ascii="Arial" w:eastAsia="Times New Roman" w:hAnsi="Arial" w:cs="Arial"/>
          <w:kern w:val="0"/>
          <w:sz w:val="20"/>
          <w:szCs w:val="20"/>
        </w:rPr>
        <w:t xml:space="preserve"> pair-density-wave state.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580</w:t>
      </w:r>
      <w:r w:rsidRPr="002F7431">
        <w:rPr>
          <w:rFonts w:ascii="Arial" w:eastAsia="Times New Roman" w:hAnsi="Arial" w:cs="Arial"/>
          <w:kern w:val="0"/>
          <w:sz w:val="20"/>
          <w:szCs w:val="20"/>
        </w:rPr>
        <w:t xml:space="preserve">(7801), 65–70. </w:t>
      </w:r>
      <w:hyperlink r:id="rId82" w:history="1">
        <w:r w:rsidRPr="002F7431">
          <w:rPr>
            <w:rStyle w:val="Hyperlink"/>
            <w:rFonts w:ascii="Arial" w:eastAsia="Times New Roman" w:hAnsi="Arial" w:cs="Arial"/>
            <w:kern w:val="0"/>
            <w:sz w:val="20"/>
            <w:szCs w:val="20"/>
          </w:rPr>
          <w:t>https://doi.org/10.1038/S41586-020-2143-X</w:t>
        </w:r>
      </w:hyperlink>
    </w:p>
    <w:p w14:paraId="58ABEEAC" w14:textId="77777777" w:rsidR="00B832D7" w:rsidRPr="002F7431" w:rsidRDefault="00B832D7" w:rsidP="002F7431">
      <w:pPr>
        <w:spacing w:after="0" w:line="240" w:lineRule="auto"/>
        <w:jc w:val="both"/>
        <w:rPr>
          <w:rFonts w:ascii="Arial" w:eastAsia="Times New Roman" w:hAnsi="Arial" w:cs="Arial"/>
          <w:kern w:val="0"/>
          <w:sz w:val="20"/>
          <w:szCs w:val="20"/>
        </w:rPr>
      </w:pPr>
    </w:p>
    <w:p w14:paraId="56F029A7" w14:textId="77777777" w:rsidR="00AF2BA3" w:rsidRPr="002F7431" w:rsidRDefault="00AF2BA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Ma, Q., Smith, E. M., </w:t>
      </w:r>
      <w:proofErr w:type="spellStart"/>
      <w:r w:rsidRPr="002F7431">
        <w:rPr>
          <w:rFonts w:ascii="Arial" w:eastAsia="Times New Roman" w:hAnsi="Arial" w:cs="Arial"/>
          <w:kern w:val="0"/>
          <w:sz w:val="20"/>
          <w:szCs w:val="20"/>
        </w:rPr>
        <w:t>Cronkwright</w:t>
      </w:r>
      <w:proofErr w:type="spellEnd"/>
      <w:r w:rsidRPr="002F7431">
        <w:rPr>
          <w:rFonts w:ascii="Arial" w:eastAsia="Times New Roman" w:hAnsi="Arial" w:cs="Arial"/>
          <w:kern w:val="0"/>
          <w:sz w:val="20"/>
          <w:szCs w:val="20"/>
        </w:rPr>
        <w:t xml:space="preserve">, Z. W., Dragomir, M., Mitchell, G., Kolesnikov, V. I., Stone, M. B., &amp; Gaulin, B. D. (2022). Dynamic parallel spin stripes from the 1/8 anomaly to the end of superconductivity in La1.6−x. </w:t>
      </w:r>
      <w:r w:rsidRPr="002F7431">
        <w:rPr>
          <w:rFonts w:ascii="Arial" w:eastAsia="Times New Roman" w:hAnsi="Arial" w:cs="Arial"/>
          <w:i/>
          <w:iCs/>
          <w:kern w:val="0"/>
          <w:sz w:val="20"/>
          <w:szCs w:val="20"/>
        </w:rPr>
        <w:t>Physical Review Research</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w:t>
      </w:r>
      <w:r w:rsidRPr="002F7431">
        <w:rPr>
          <w:rFonts w:ascii="Arial" w:eastAsia="Times New Roman" w:hAnsi="Arial" w:cs="Arial"/>
          <w:kern w:val="0"/>
          <w:sz w:val="20"/>
          <w:szCs w:val="20"/>
        </w:rPr>
        <w:t xml:space="preserve">(1). </w:t>
      </w:r>
      <w:hyperlink r:id="rId83" w:history="1">
        <w:r w:rsidRPr="002F7431">
          <w:rPr>
            <w:rStyle w:val="Hyperlink"/>
            <w:rFonts w:ascii="Arial" w:eastAsia="Times New Roman" w:hAnsi="Arial" w:cs="Arial"/>
            <w:kern w:val="0"/>
            <w:sz w:val="20"/>
            <w:szCs w:val="20"/>
          </w:rPr>
          <w:t>https://doi.org/10.1103/physrevresearch.4.013175</w:t>
        </w:r>
      </w:hyperlink>
    </w:p>
    <w:p w14:paraId="567ADE75" w14:textId="77777777" w:rsidR="00AF2BA3" w:rsidRPr="002F7431" w:rsidRDefault="00AF2BA3" w:rsidP="002F7431">
      <w:pPr>
        <w:spacing w:after="0" w:line="240" w:lineRule="auto"/>
        <w:jc w:val="both"/>
        <w:rPr>
          <w:rFonts w:ascii="Arial" w:eastAsia="Times New Roman" w:hAnsi="Arial" w:cs="Arial"/>
          <w:kern w:val="0"/>
          <w:sz w:val="20"/>
          <w:szCs w:val="20"/>
        </w:rPr>
      </w:pPr>
    </w:p>
    <w:p w14:paraId="42B512D5" w14:textId="77777777" w:rsidR="00AF2BA3" w:rsidRPr="002F7431" w:rsidRDefault="00AF2BA3"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Xia, J., Xia, J., Schemm, E., Schemm, E., Deutscher, G., Kivelson, S. A.,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Bonn, D. A., Hardy, W., Liang, R., Siemons, W., Siemons, W., Koster, G., Koster, G., Fejer, M. M., </w:t>
      </w:r>
      <w:proofErr w:type="spellStart"/>
      <w:r w:rsidRPr="002F7431">
        <w:rPr>
          <w:rFonts w:ascii="Arial" w:eastAsia="Times New Roman" w:hAnsi="Arial" w:cs="Arial"/>
          <w:kern w:val="0"/>
          <w:sz w:val="20"/>
          <w:szCs w:val="20"/>
        </w:rPr>
        <w:t>Kapitulnik</w:t>
      </w:r>
      <w:proofErr w:type="spellEnd"/>
      <w:r w:rsidRPr="002F7431">
        <w:rPr>
          <w:rFonts w:ascii="Arial" w:eastAsia="Times New Roman" w:hAnsi="Arial" w:cs="Arial"/>
          <w:kern w:val="0"/>
          <w:sz w:val="20"/>
          <w:szCs w:val="20"/>
        </w:rPr>
        <w:t xml:space="preserve">, A., &amp; </w:t>
      </w:r>
      <w:proofErr w:type="spellStart"/>
      <w:r w:rsidRPr="002F7431">
        <w:rPr>
          <w:rFonts w:ascii="Arial" w:eastAsia="Times New Roman" w:hAnsi="Arial" w:cs="Arial"/>
          <w:kern w:val="0"/>
          <w:sz w:val="20"/>
          <w:szCs w:val="20"/>
        </w:rPr>
        <w:t>Kapitulnik</w:t>
      </w:r>
      <w:proofErr w:type="spellEnd"/>
      <w:r w:rsidRPr="002F7431">
        <w:rPr>
          <w:rFonts w:ascii="Arial" w:eastAsia="Times New Roman" w:hAnsi="Arial" w:cs="Arial"/>
          <w:kern w:val="0"/>
          <w:sz w:val="20"/>
          <w:szCs w:val="20"/>
        </w:rPr>
        <w:t xml:space="preserve">, A. (2008). Polar Kerr-effect measurements of the high-temperature YBa2Cu3O6+x superconductor: evidence for broken symmetry near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temperature.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100</w:t>
      </w:r>
      <w:r w:rsidRPr="002F7431">
        <w:rPr>
          <w:rFonts w:ascii="Arial" w:eastAsia="Times New Roman" w:hAnsi="Arial" w:cs="Arial"/>
          <w:kern w:val="0"/>
          <w:sz w:val="20"/>
          <w:szCs w:val="20"/>
        </w:rPr>
        <w:t xml:space="preserve">(12), 127002. </w:t>
      </w:r>
      <w:hyperlink r:id="rId84" w:history="1">
        <w:r w:rsidRPr="002F7431">
          <w:rPr>
            <w:rStyle w:val="Hyperlink"/>
            <w:rFonts w:ascii="Arial" w:eastAsia="Times New Roman" w:hAnsi="Arial" w:cs="Arial"/>
            <w:kern w:val="0"/>
            <w:sz w:val="20"/>
            <w:szCs w:val="20"/>
          </w:rPr>
          <w:t>https://doi.org/10.1103/PHYSREVLETT.100.127002</w:t>
        </w:r>
      </w:hyperlink>
    </w:p>
    <w:p w14:paraId="37A05789" w14:textId="77777777" w:rsidR="00AF2BA3" w:rsidRPr="002F7431" w:rsidRDefault="00AF2BA3" w:rsidP="002F7431">
      <w:pPr>
        <w:spacing w:after="0" w:line="240" w:lineRule="auto"/>
        <w:jc w:val="both"/>
        <w:rPr>
          <w:rFonts w:ascii="Arial" w:eastAsia="Times New Roman" w:hAnsi="Arial" w:cs="Arial"/>
          <w:kern w:val="0"/>
          <w:sz w:val="20"/>
          <w:szCs w:val="20"/>
        </w:rPr>
      </w:pPr>
    </w:p>
    <w:p w14:paraId="1D4AFAAA" w14:textId="77777777" w:rsidR="004D3E66" w:rsidRPr="002F7431" w:rsidRDefault="004D3E66" w:rsidP="002F7431">
      <w:pPr>
        <w:pStyle w:val="ListParagraph"/>
        <w:numPr>
          <w:ilvl w:val="0"/>
          <w:numId w:val="12"/>
        </w:numPr>
        <w:spacing w:after="0" w:line="240" w:lineRule="auto"/>
        <w:jc w:val="both"/>
        <w:rPr>
          <w:rFonts w:ascii="Arial" w:eastAsia="Times New Roman" w:hAnsi="Arial" w:cs="Arial"/>
          <w:kern w:val="0"/>
          <w:sz w:val="20"/>
          <w:szCs w:val="20"/>
        </w:rPr>
      </w:pPr>
      <w:proofErr w:type="spellStart"/>
      <w:r w:rsidRPr="002F7431">
        <w:rPr>
          <w:rFonts w:ascii="Arial" w:eastAsia="Times New Roman" w:hAnsi="Arial" w:cs="Arial"/>
          <w:kern w:val="0"/>
          <w:sz w:val="20"/>
          <w:szCs w:val="20"/>
        </w:rPr>
        <w:t>Fauqué</w:t>
      </w:r>
      <w:proofErr w:type="spellEnd"/>
      <w:r w:rsidRPr="002F7431">
        <w:rPr>
          <w:rFonts w:ascii="Arial" w:eastAsia="Times New Roman" w:hAnsi="Arial" w:cs="Arial"/>
          <w:kern w:val="0"/>
          <w:sz w:val="20"/>
          <w:szCs w:val="20"/>
        </w:rPr>
        <w:t xml:space="preserve">, B., Sidis, Y., Hinkov, V., Pailhès, S., </w:t>
      </w:r>
      <w:proofErr w:type="spellStart"/>
      <w:r w:rsidRPr="002F7431">
        <w:rPr>
          <w:rFonts w:ascii="Arial" w:eastAsia="Times New Roman" w:hAnsi="Arial" w:cs="Arial"/>
          <w:kern w:val="0"/>
          <w:sz w:val="20"/>
          <w:szCs w:val="20"/>
        </w:rPr>
        <w:t>Pailhès</w:t>
      </w:r>
      <w:proofErr w:type="spellEnd"/>
      <w:r w:rsidRPr="002F7431">
        <w:rPr>
          <w:rFonts w:ascii="Arial" w:eastAsia="Times New Roman" w:hAnsi="Arial" w:cs="Arial"/>
          <w:kern w:val="0"/>
          <w:sz w:val="20"/>
          <w:szCs w:val="20"/>
        </w:rPr>
        <w:t xml:space="preserve">, S., Lin, C., Chaud, X., &amp; Bourges, Ph. (2006). Magnetic Order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of High- T C Superconductors. </w:t>
      </w:r>
      <w:r w:rsidRPr="002F7431">
        <w:rPr>
          <w:rFonts w:ascii="Arial" w:eastAsia="Times New Roman" w:hAnsi="Arial" w:cs="Arial"/>
          <w:i/>
          <w:iCs/>
          <w:kern w:val="0"/>
          <w:sz w:val="20"/>
          <w:szCs w:val="20"/>
        </w:rPr>
        <w:t>Physical Review Letters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96</w:t>
      </w:r>
      <w:r w:rsidRPr="002F7431">
        <w:rPr>
          <w:rFonts w:ascii="Arial" w:eastAsia="Times New Roman" w:hAnsi="Arial" w:cs="Arial"/>
          <w:kern w:val="0"/>
          <w:sz w:val="20"/>
          <w:szCs w:val="20"/>
        </w:rPr>
        <w:t xml:space="preserve">(19), 197001. </w:t>
      </w:r>
      <w:hyperlink r:id="rId85" w:history="1">
        <w:r w:rsidRPr="002F7431">
          <w:rPr>
            <w:rStyle w:val="Hyperlink"/>
            <w:rFonts w:ascii="Arial" w:eastAsia="Times New Roman" w:hAnsi="Arial" w:cs="Arial"/>
            <w:kern w:val="0"/>
            <w:sz w:val="20"/>
            <w:szCs w:val="20"/>
          </w:rPr>
          <w:t>https://doi.org/10.1103/PHYSREVLETT.96.197001</w:t>
        </w:r>
      </w:hyperlink>
    </w:p>
    <w:p w14:paraId="607F01B4" w14:textId="77777777" w:rsidR="004D3E66" w:rsidRPr="002F7431" w:rsidRDefault="004D3E66" w:rsidP="002F7431">
      <w:pPr>
        <w:spacing w:after="0" w:line="240" w:lineRule="auto"/>
        <w:jc w:val="both"/>
        <w:rPr>
          <w:rFonts w:ascii="Arial" w:eastAsia="Times New Roman" w:hAnsi="Arial" w:cs="Arial"/>
          <w:kern w:val="0"/>
          <w:sz w:val="20"/>
          <w:szCs w:val="20"/>
        </w:rPr>
      </w:pPr>
    </w:p>
    <w:p w14:paraId="03714E34" w14:textId="77777777" w:rsidR="004D3E66" w:rsidRPr="002F7431" w:rsidRDefault="004D3E66"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Li, Y., </w:t>
      </w:r>
      <w:proofErr w:type="spellStart"/>
      <w:r w:rsidRPr="002F7431">
        <w:rPr>
          <w:rFonts w:ascii="Arial" w:eastAsia="Times New Roman" w:hAnsi="Arial" w:cs="Arial"/>
          <w:kern w:val="0"/>
          <w:sz w:val="20"/>
          <w:szCs w:val="20"/>
        </w:rPr>
        <w:t>Balédent</w:t>
      </w:r>
      <w:proofErr w:type="spellEnd"/>
      <w:r w:rsidRPr="002F7431">
        <w:rPr>
          <w:rFonts w:ascii="Arial" w:eastAsia="Times New Roman" w:hAnsi="Arial" w:cs="Arial"/>
          <w:kern w:val="0"/>
          <w:sz w:val="20"/>
          <w:szCs w:val="20"/>
        </w:rPr>
        <w:t xml:space="preserve">, V., Barišić, N., Barišić, N., Cho, Y., Cho, Y., </w:t>
      </w:r>
      <w:proofErr w:type="spellStart"/>
      <w:r w:rsidRPr="002F7431">
        <w:rPr>
          <w:rFonts w:ascii="Arial" w:eastAsia="Times New Roman" w:hAnsi="Arial" w:cs="Arial"/>
          <w:kern w:val="0"/>
          <w:sz w:val="20"/>
          <w:szCs w:val="20"/>
        </w:rPr>
        <w:t>Fauqué</w:t>
      </w:r>
      <w:proofErr w:type="spellEnd"/>
      <w:r w:rsidRPr="002F7431">
        <w:rPr>
          <w:rFonts w:ascii="Arial" w:eastAsia="Times New Roman" w:hAnsi="Arial" w:cs="Arial"/>
          <w:kern w:val="0"/>
          <w:sz w:val="20"/>
          <w:szCs w:val="20"/>
        </w:rPr>
        <w:t xml:space="preserve">, B., Sidis, Y., Yu, G., Zhao, X., Zhao, X., Bourges, P., &amp; Greven, M. (2008). Unusual magnetic order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region of the superconductor HgBa2CuO4+δ. </w:t>
      </w:r>
      <w:r w:rsidRPr="002F7431">
        <w:rPr>
          <w:rFonts w:ascii="Arial" w:eastAsia="Times New Roman" w:hAnsi="Arial" w:cs="Arial"/>
          <w:i/>
          <w:iCs/>
          <w:kern w:val="0"/>
          <w:sz w:val="20"/>
          <w:szCs w:val="20"/>
        </w:rPr>
        <w:t>Nature</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455</w:t>
      </w:r>
      <w:r w:rsidRPr="002F7431">
        <w:rPr>
          <w:rFonts w:ascii="Arial" w:eastAsia="Times New Roman" w:hAnsi="Arial" w:cs="Arial"/>
          <w:kern w:val="0"/>
          <w:sz w:val="20"/>
          <w:szCs w:val="20"/>
        </w:rPr>
        <w:t xml:space="preserve">(7211), 372–375. </w:t>
      </w:r>
      <w:hyperlink r:id="rId86" w:history="1">
        <w:r w:rsidRPr="002F7431">
          <w:rPr>
            <w:rStyle w:val="Hyperlink"/>
            <w:rFonts w:ascii="Arial" w:eastAsia="Times New Roman" w:hAnsi="Arial" w:cs="Arial"/>
            <w:kern w:val="0"/>
            <w:sz w:val="20"/>
            <w:szCs w:val="20"/>
          </w:rPr>
          <w:t>https://doi.org/10.1038/NATURE07251</w:t>
        </w:r>
      </w:hyperlink>
    </w:p>
    <w:p w14:paraId="2CD1E560" w14:textId="77777777" w:rsidR="004D3E66" w:rsidRPr="002F7431" w:rsidRDefault="004D3E66" w:rsidP="002F7431">
      <w:pPr>
        <w:spacing w:after="0" w:line="240" w:lineRule="auto"/>
        <w:jc w:val="both"/>
        <w:rPr>
          <w:rFonts w:ascii="Arial" w:eastAsia="Times New Roman" w:hAnsi="Arial" w:cs="Arial"/>
          <w:kern w:val="0"/>
          <w:sz w:val="20"/>
          <w:szCs w:val="20"/>
        </w:rPr>
      </w:pPr>
    </w:p>
    <w:p w14:paraId="0B596E78" w14:textId="77777777"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Varma, C. (2020). Thermal Hall effect in the </w:t>
      </w:r>
      <w:proofErr w:type="spellStart"/>
      <w:r w:rsidRPr="002F7431">
        <w:rPr>
          <w:rFonts w:ascii="Arial" w:eastAsia="Times New Roman" w:hAnsi="Arial" w:cs="Arial"/>
          <w:kern w:val="0"/>
          <w:sz w:val="20"/>
          <w:szCs w:val="20"/>
        </w:rPr>
        <w:t>pseudogap</w:t>
      </w:r>
      <w:proofErr w:type="spellEnd"/>
      <w:r w:rsidRPr="002F7431">
        <w:rPr>
          <w:rFonts w:ascii="Arial" w:eastAsia="Times New Roman" w:hAnsi="Arial" w:cs="Arial"/>
          <w:kern w:val="0"/>
          <w:sz w:val="20"/>
          <w:szCs w:val="20"/>
        </w:rPr>
        <w:t xml:space="preserve"> phase of </w:t>
      </w:r>
      <w:proofErr w:type="spellStart"/>
      <w:r w:rsidRPr="002F7431">
        <w:rPr>
          <w:rFonts w:ascii="Arial" w:eastAsia="Times New Roman" w:hAnsi="Arial" w:cs="Arial"/>
          <w:kern w:val="0"/>
          <w:sz w:val="20"/>
          <w:szCs w:val="20"/>
        </w:rPr>
        <w:t>cuprates</w:t>
      </w:r>
      <w:proofErr w:type="spellEnd"/>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Physical Review B</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102</w:t>
      </w:r>
      <w:r w:rsidRPr="002F7431">
        <w:rPr>
          <w:rFonts w:ascii="Arial" w:eastAsia="Times New Roman" w:hAnsi="Arial" w:cs="Arial"/>
          <w:kern w:val="0"/>
          <w:sz w:val="20"/>
          <w:szCs w:val="20"/>
        </w:rPr>
        <w:t xml:space="preserve">(7), 075113. </w:t>
      </w:r>
      <w:hyperlink r:id="rId87" w:history="1">
        <w:r w:rsidRPr="002F7431">
          <w:rPr>
            <w:rStyle w:val="Hyperlink"/>
            <w:rFonts w:ascii="Arial" w:eastAsia="Times New Roman" w:hAnsi="Arial" w:cs="Arial"/>
            <w:kern w:val="0"/>
            <w:sz w:val="20"/>
            <w:szCs w:val="20"/>
          </w:rPr>
          <w:t>https://doi.org/10.1103/PHYSREVB.102.075113</w:t>
        </w:r>
      </w:hyperlink>
    </w:p>
    <w:p w14:paraId="00EF95DD" w14:textId="77777777" w:rsidR="00EC358A" w:rsidRPr="002F7431" w:rsidRDefault="00EC358A" w:rsidP="002F7431">
      <w:pPr>
        <w:spacing w:after="0" w:line="240" w:lineRule="auto"/>
        <w:jc w:val="both"/>
        <w:rPr>
          <w:rFonts w:ascii="Arial" w:eastAsia="Times New Roman" w:hAnsi="Arial" w:cs="Arial"/>
          <w:kern w:val="0"/>
          <w:sz w:val="20"/>
          <w:szCs w:val="20"/>
        </w:rPr>
      </w:pPr>
    </w:p>
    <w:p w14:paraId="0254EF78" w14:textId="77777777"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lastRenderedPageBreak/>
        <w:t xml:space="preserve">Wu, Y., Chubukov, A. V., Wang, Y., &amp;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A. (2025). Time-reversal symmetry breaking, collective modes, and Raman spectrum in pair-density-wave states. </w:t>
      </w:r>
      <w:proofErr w:type="spellStart"/>
      <w:r w:rsidRPr="002F7431">
        <w:rPr>
          <w:rFonts w:ascii="Arial" w:eastAsia="Times New Roman" w:hAnsi="Arial" w:cs="Arial"/>
          <w:i/>
          <w:iCs/>
          <w:kern w:val="0"/>
          <w:sz w:val="20"/>
          <w:szCs w:val="20"/>
        </w:rPr>
        <w:t>Npj</w:t>
      </w:r>
      <w:proofErr w:type="spellEnd"/>
      <w:r w:rsidRPr="002F7431">
        <w:rPr>
          <w:rFonts w:ascii="Arial" w:eastAsia="Times New Roman" w:hAnsi="Arial" w:cs="Arial"/>
          <w:i/>
          <w:iCs/>
          <w:kern w:val="0"/>
          <w:sz w:val="20"/>
          <w:szCs w:val="20"/>
        </w:rPr>
        <w:t xml:space="preserve"> Quantum Materials</w:t>
      </w:r>
      <w:r w:rsidRPr="002F7431">
        <w:rPr>
          <w:rFonts w:ascii="Arial" w:eastAsia="Times New Roman" w:hAnsi="Arial" w:cs="Arial"/>
          <w:kern w:val="0"/>
          <w:sz w:val="20"/>
          <w:szCs w:val="20"/>
        </w:rPr>
        <w:t xml:space="preserve">, </w:t>
      </w:r>
      <w:r w:rsidRPr="002F7431">
        <w:rPr>
          <w:rFonts w:ascii="Arial" w:eastAsia="Times New Roman" w:hAnsi="Arial" w:cs="Arial"/>
          <w:i/>
          <w:iCs/>
          <w:kern w:val="0"/>
          <w:sz w:val="20"/>
          <w:szCs w:val="20"/>
        </w:rPr>
        <w:t>10</w:t>
      </w:r>
      <w:r w:rsidRPr="002F7431">
        <w:rPr>
          <w:rFonts w:ascii="Arial" w:eastAsia="Times New Roman" w:hAnsi="Arial" w:cs="Arial"/>
          <w:kern w:val="0"/>
          <w:sz w:val="20"/>
          <w:szCs w:val="20"/>
        </w:rPr>
        <w:t xml:space="preserve">(1). </w:t>
      </w:r>
      <w:hyperlink r:id="rId88" w:history="1">
        <w:r w:rsidRPr="002F7431">
          <w:rPr>
            <w:rStyle w:val="Hyperlink"/>
            <w:rFonts w:ascii="Arial" w:eastAsia="Times New Roman" w:hAnsi="Arial" w:cs="Arial"/>
            <w:kern w:val="0"/>
            <w:sz w:val="20"/>
            <w:szCs w:val="20"/>
          </w:rPr>
          <w:t>https://doi.org/10.1038/s41535-025-00808-w</w:t>
        </w:r>
      </w:hyperlink>
    </w:p>
    <w:p w14:paraId="0F737A35" w14:textId="77777777" w:rsidR="00EC358A" w:rsidRPr="002F7431" w:rsidRDefault="00EC358A" w:rsidP="002F7431">
      <w:pPr>
        <w:spacing w:after="0" w:line="240" w:lineRule="auto"/>
        <w:jc w:val="both"/>
        <w:rPr>
          <w:rFonts w:ascii="Arial" w:eastAsia="Times New Roman" w:hAnsi="Arial" w:cs="Arial"/>
          <w:kern w:val="0"/>
          <w:sz w:val="20"/>
          <w:szCs w:val="20"/>
        </w:rPr>
      </w:pPr>
    </w:p>
    <w:p w14:paraId="5C23F74A" w14:textId="77777777" w:rsidR="00EC358A" w:rsidRPr="002F7431" w:rsidRDefault="00EC358A" w:rsidP="002F7431">
      <w:pPr>
        <w:pStyle w:val="ListParagraph"/>
        <w:numPr>
          <w:ilvl w:val="0"/>
          <w:numId w:val="12"/>
        </w:numPr>
        <w:spacing w:after="0" w:line="240" w:lineRule="auto"/>
        <w:jc w:val="both"/>
        <w:rPr>
          <w:rFonts w:ascii="Arial" w:eastAsia="Times New Roman" w:hAnsi="Arial" w:cs="Arial"/>
          <w:kern w:val="0"/>
          <w:sz w:val="20"/>
          <w:szCs w:val="20"/>
        </w:rPr>
      </w:pPr>
      <w:r w:rsidRPr="002F7431">
        <w:rPr>
          <w:rFonts w:ascii="Arial" w:eastAsia="Times New Roman" w:hAnsi="Arial" w:cs="Arial"/>
          <w:kern w:val="0"/>
          <w:sz w:val="20"/>
          <w:szCs w:val="20"/>
        </w:rPr>
        <w:t xml:space="preserve">Lee, J., </w:t>
      </w:r>
      <w:proofErr w:type="spellStart"/>
      <w:r w:rsidRPr="002F7431">
        <w:rPr>
          <w:rFonts w:ascii="Arial" w:eastAsia="Times New Roman" w:hAnsi="Arial" w:cs="Arial"/>
          <w:kern w:val="0"/>
          <w:sz w:val="20"/>
          <w:szCs w:val="20"/>
        </w:rPr>
        <w:t>Kivelson</w:t>
      </w:r>
      <w:proofErr w:type="spellEnd"/>
      <w:r w:rsidRPr="002F7431">
        <w:rPr>
          <w:rFonts w:ascii="Arial" w:eastAsia="Times New Roman" w:hAnsi="Arial" w:cs="Arial"/>
          <w:kern w:val="0"/>
          <w:sz w:val="20"/>
          <w:szCs w:val="20"/>
        </w:rPr>
        <w:t xml:space="preserve">, S., Wang, T., Ikeda, Y., Taniguchi, T., Fujita, M., &amp; Kao, C. ‐C. (2023). </w:t>
      </w:r>
      <w:r w:rsidRPr="002F7431">
        <w:rPr>
          <w:rFonts w:ascii="Arial" w:eastAsia="Times New Roman" w:hAnsi="Arial" w:cs="Arial"/>
          <w:i/>
          <w:iCs/>
          <w:kern w:val="0"/>
          <w:sz w:val="20"/>
          <w:szCs w:val="20"/>
        </w:rPr>
        <w:t xml:space="preserve">Pair-density wave signature observed by x-ray scattering in La-based high-Tc </w:t>
      </w:r>
      <w:proofErr w:type="spellStart"/>
      <w:r w:rsidRPr="002F7431">
        <w:rPr>
          <w:rFonts w:ascii="Arial" w:eastAsia="Times New Roman" w:hAnsi="Arial" w:cs="Arial"/>
          <w:i/>
          <w:iCs/>
          <w:kern w:val="0"/>
          <w:sz w:val="20"/>
          <w:szCs w:val="20"/>
        </w:rPr>
        <w:t>cuprates</w:t>
      </w:r>
      <w:proofErr w:type="spellEnd"/>
      <w:r w:rsidRPr="002F7431">
        <w:rPr>
          <w:rFonts w:ascii="Arial" w:eastAsia="Times New Roman" w:hAnsi="Arial" w:cs="Arial"/>
          <w:kern w:val="0"/>
          <w:sz w:val="20"/>
          <w:szCs w:val="20"/>
        </w:rPr>
        <w:t xml:space="preserve">. </w:t>
      </w:r>
      <w:hyperlink r:id="rId89" w:history="1">
        <w:r w:rsidRPr="002F7431">
          <w:rPr>
            <w:rStyle w:val="Hyperlink"/>
            <w:rFonts w:ascii="Arial" w:eastAsia="Times New Roman" w:hAnsi="Arial" w:cs="Arial"/>
            <w:kern w:val="0"/>
            <w:sz w:val="20"/>
            <w:szCs w:val="20"/>
          </w:rPr>
          <w:t>https://doi.org/10.21203/rs.3.rs-3514922/v1</w:t>
        </w:r>
      </w:hyperlink>
    </w:p>
    <w:p w14:paraId="6AD2ADA1" w14:textId="77777777" w:rsidR="00EC358A" w:rsidRPr="002F7431" w:rsidRDefault="00EC358A" w:rsidP="002F7431">
      <w:pPr>
        <w:spacing w:after="0" w:line="240" w:lineRule="auto"/>
        <w:jc w:val="both"/>
        <w:rPr>
          <w:rFonts w:ascii="Arial" w:eastAsia="Times New Roman" w:hAnsi="Arial" w:cs="Arial"/>
          <w:kern w:val="0"/>
          <w:sz w:val="20"/>
          <w:szCs w:val="20"/>
        </w:rPr>
      </w:pPr>
    </w:p>
    <w:p w14:paraId="2F5BF69F" w14:textId="77777777" w:rsidR="00EC358A" w:rsidRPr="002F7431" w:rsidRDefault="00EC358A" w:rsidP="002F7431">
      <w:pPr>
        <w:spacing w:after="0" w:line="240" w:lineRule="auto"/>
        <w:jc w:val="both"/>
        <w:rPr>
          <w:rFonts w:ascii="Arial" w:eastAsia="Times New Roman" w:hAnsi="Arial" w:cs="Arial"/>
          <w:kern w:val="0"/>
          <w:sz w:val="20"/>
          <w:szCs w:val="20"/>
        </w:rPr>
      </w:pPr>
    </w:p>
    <w:p w14:paraId="7610F26C" w14:textId="77777777" w:rsidR="00EC358A" w:rsidRPr="002F7431" w:rsidRDefault="00EC358A" w:rsidP="002F7431">
      <w:pPr>
        <w:spacing w:after="0" w:line="240" w:lineRule="auto"/>
        <w:jc w:val="both"/>
        <w:rPr>
          <w:rFonts w:ascii="Arial" w:eastAsia="Times New Roman" w:hAnsi="Arial" w:cs="Arial"/>
          <w:kern w:val="0"/>
          <w:sz w:val="20"/>
          <w:szCs w:val="20"/>
        </w:rPr>
      </w:pPr>
    </w:p>
    <w:p w14:paraId="03311013" w14:textId="77777777" w:rsidR="00EC358A" w:rsidRPr="002F7431" w:rsidRDefault="00EC358A" w:rsidP="002F7431">
      <w:pPr>
        <w:spacing w:after="0" w:line="240" w:lineRule="auto"/>
        <w:jc w:val="both"/>
        <w:rPr>
          <w:rFonts w:ascii="Arial" w:eastAsia="Times New Roman" w:hAnsi="Arial" w:cs="Arial"/>
          <w:kern w:val="0"/>
          <w:sz w:val="20"/>
          <w:szCs w:val="20"/>
        </w:rPr>
      </w:pPr>
    </w:p>
    <w:p w14:paraId="0C425FAE" w14:textId="77777777" w:rsidR="004D3E66" w:rsidRPr="002F7431" w:rsidRDefault="004D3E66" w:rsidP="002F7431">
      <w:pPr>
        <w:spacing w:after="0" w:line="240" w:lineRule="auto"/>
        <w:jc w:val="both"/>
        <w:rPr>
          <w:rFonts w:ascii="Arial" w:eastAsia="Times New Roman" w:hAnsi="Arial" w:cs="Arial"/>
          <w:kern w:val="0"/>
          <w:sz w:val="20"/>
          <w:szCs w:val="20"/>
        </w:rPr>
      </w:pPr>
    </w:p>
    <w:p w14:paraId="695D4138" w14:textId="77777777" w:rsidR="004D3E66" w:rsidRPr="002F7431" w:rsidRDefault="004D3E66" w:rsidP="002F7431">
      <w:pPr>
        <w:spacing w:after="0" w:line="240" w:lineRule="auto"/>
        <w:jc w:val="both"/>
        <w:rPr>
          <w:rFonts w:ascii="Arial" w:eastAsia="Times New Roman" w:hAnsi="Arial" w:cs="Arial"/>
          <w:kern w:val="0"/>
          <w:sz w:val="20"/>
          <w:szCs w:val="20"/>
        </w:rPr>
      </w:pPr>
    </w:p>
    <w:p w14:paraId="399BFC38" w14:textId="77777777" w:rsidR="00AF2BA3" w:rsidRPr="002F7431" w:rsidRDefault="00AF2BA3" w:rsidP="002F7431">
      <w:pPr>
        <w:spacing w:after="0" w:line="240" w:lineRule="auto"/>
        <w:jc w:val="both"/>
        <w:rPr>
          <w:rFonts w:ascii="Arial" w:eastAsia="Times New Roman" w:hAnsi="Arial" w:cs="Arial"/>
          <w:kern w:val="0"/>
          <w:sz w:val="20"/>
          <w:szCs w:val="20"/>
        </w:rPr>
      </w:pPr>
    </w:p>
    <w:p w14:paraId="3027B6B4" w14:textId="77777777" w:rsidR="00AF2BA3" w:rsidRPr="002F7431" w:rsidRDefault="00AF2BA3" w:rsidP="002F7431">
      <w:pPr>
        <w:spacing w:after="0" w:line="240" w:lineRule="auto"/>
        <w:jc w:val="both"/>
        <w:rPr>
          <w:rFonts w:ascii="Arial" w:eastAsia="Times New Roman" w:hAnsi="Arial" w:cs="Arial"/>
          <w:kern w:val="0"/>
          <w:sz w:val="20"/>
          <w:szCs w:val="20"/>
        </w:rPr>
      </w:pPr>
    </w:p>
    <w:p w14:paraId="7E98E05E" w14:textId="77777777" w:rsidR="00B832D7" w:rsidRPr="002F7431" w:rsidRDefault="00B832D7" w:rsidP="002F7431">
      <w:pPr>
        <w:spacing w:after="0" w:line="240" w:lineRule="auto"/>
        <w:jc w:val="both"/>
        <w:rPr>
          <w:rFonts w:ascii="Arial" w:eastAsia="Times New Roman" w:hAnsi="Arial" w:cs="Arial"/>
          <w:kern w:val="0"/>
          <w:sz w:val="20"/>
          <w:szCs w:val="20"/>
        </w:rPr>
      </w:pPr>
    </w:p>
    <w:p w14:paraId="49E47334" w14:textId="77777777" w:rsidR="00CB269A" w:rsidRPr="002F7431" w:rsidRDefault="00CB269A" w:rsidP="002F7431">
      <w:pPr>
        <w:spacing w:after="0" w:line="240" w:lineRule="auto"/>
        <w:jc w:val="both"/>
        <w:rPr>
          <w:rFonts w:ascii="Arial" w:eastAsia="Times New Roman" w:hAnsi="Arial" w:cs="Arial"/>
          <w:kern w:val="0"/>
          <w:sz w:val="20"/>
          <w:szCs w:val="20"/>
        </w:rPr>
      </w:pPr>
    </w:p>
    <w:p w14:paraId="5C2471DF" w14:textId="77777777" w:rsidR="000A217C" w:rsidRPr="002F7431" w:rsidRDefault="000A217C" w:rsidP="002F7431">
      <w:pPr>
        <w:spacing w:after="0" w:line="240" w:lineRule="auto"/>
        <w:jc w:val="both"/>
        <w:rPr>
          <w:rFonts w:ascii="Arial" w:eastAsia="Times New Roman" w:hAnsi="Arial" w:cs="Arial"/>
          <w:kern w:val="0"/>
          <w:sz w:val="20"/>
          <w:szCs w:val="20"/>
        </w:rPr>
      </w:pPr>
    </w:p>
    <w:p w14:paraId="7D316BFF" w14:textId="77777777" w:rsidR="00C1552E" w:rsidRPr="002F7431" w:rsidRDefault="00C1552E" w:rsidP="002F7431">
      <w:pPr>
        <w:spacing w:after="0" w:line="240" w:lineRule="auto"/>
        <w:jc w:val="both"/>
        <w:rPr>
          <w:rFonts w:ascii="Arial" w:eastAsia="Times New Roman" w:hAnsi="Arial" w:cs="Arial"/>
          <w:kern w:val="0"/>
          <w:sz w:val="20"/>
          <w:szCs w:val="20"/>
        </w:rPr>
      </w:pPr>
    </w:p>
    <w:p w14:paraId="6C091CBB" w14:textId="77777777" w:rsidR="00C1552E" w:rsidRPr="002F7431" w:rsidRDefault="00C1552E" w:rsidP="002F7431">
      <w:pPr>
        <w:spacing w:after="0" w:line="240" w:lineRule="auto"/>
        <w:jc w:val="both"/>
        <w:rPr>
          <w:rFonts w:ascii="Arial" w:eastAsia="Times New Roman" w:hAnsi="Arial" w:cs="Arial"/>
          <w:kern w:val="0"/>
          <w:sz w:val="20"/>
          <w:szCs w:val="20"/>
        </w:rPr>
      </w:pPr>
    </w:p>
    <w:p w14:paraId="34A01EF5" w14:textId="77777777" w:rsidR="00C1552E" w:rsidRPr="002F7431" w:rsidRDefault="00C1552E" w:rsidP="002F7431">
      <w:pPr>
        <w:spacing w:after="0" w:line="240" w:lineRule="auto"/>
        <w:jc w:val="both"/>
        <w:rPr>
          <w:rFonts w:ascii="Arial" w:eastAsia="Times New Roman" w:hAnsi="Arial" w:cs="Arial"/>
          <w:kern w:val="0"/>
          <w:sz w:val="20"/>
          <w:szCs w:val="20"/>
        </w:rPr>
      </w:pPr>
    </w:p>
    <w:p w14:paraId="7DD05B91" w14:textId="77777777" w:rsidR="00C1552E" w:rsidRPr="002F7431" w:rsidRDefault="00C1552E" w:rsidP="002F7431">
      <w:pPr>
        <w:spacing w:after="0" w:line="240" w:lineRule="auto"/>
        <w:jc w:val="both"/>
        <w:rPr>
          <w:rFonts w:ascii="Arial" w:hAnsi="Arial" w:cs="Arial"/>
          <w:color w:val="222222"/>
          <w:sz w:val="20"/>
          <w:szCs w:val="20"/>
          <w:shd w:val="clear" w:color="auto" w:fill="FFFFFF"/>
        </w:rPr>
      </w:pPr>
    </w:p>
    <w:p w14:paraId="3D55BD37" w14:textId="77777777" w:rsidR="00D71DCE" w:rsidRPr="002F7431" w:rsidRDefault="00D71DCE" w:rsidP="002F7431">
      <w:pPr>
        <w:spacing w:after="0" w:line="240" w:lineRule="auto"/>
        <w:jc w:val="both"/>
        <w:rPr>
          <w:rFonts w:ascii="Arial" w:hAnsi="Arial" w:cs="Arial"/>
          <w:color w:val="222222"/>
          <w:sz w:val="20"/>
          <w:szCs w:val="20"/>
          <w:shd w:val="clear" w:color="auto" w:fill="FFFFFF"/>
        </w:rPr>
      </w:pPr>
    </w:p>
    <w:p w14:paraId="1D48C46B" w14:textId="77777777" w:rsidR="00D71DCE" w:rsidRPr="002F7431" w:rsidRDefault="00D71DCE" w:rsidP="002F7431">
      <w:pPr>
        <w:spacing w:after="0" w:line="240" w:lineRule="auto"/>
        <w:jc w:val="both"/>
        <w:rPr>
          <w:rFonts w:ascii="Arial" w:eastAsia="Times New Roman" w:hAnsi="Arial" w:cs="Arial"/>
          <w:kern w:val="0"/>
          <w:sz w:val="20"/>
          <w:szCs w:val="20"/>
        </w:rPr>
      </w:pPr>
    </w:p>
    <w:p w14:paraId="0BA403C2" w14:textId="77777777" w:rsidR="0014260E" w:rsidRPr="002F7431" w:rsidRDefault="0014260E" w:rsidP="002F7431">
      <w:pPr>
        <w:spacing w:after="0" w:line="240" w:lineRule="auto"/>
        <w:jc w:val="both"/>
        <w:rPr>
          <w:rFonts w:ascii="Arial" w:eastAsia="Times New Roman" w:hAnsi="Arial" w:cs="Arial"/>
          <w:kern w:val="0"/>
          <w:sz w:val="20"/>
          <w:szCs w:val="20"/>
        </w:rPr>
      </w:pPr>
    </w:p>
    <w:p w14:paraId="2E30D683" w14:textId="77777777" w:rsidR="0014260E" w:rsidRPr="002F7431" w:rsidRDefault="0014260E" w:rsidP="002F7431">
      <w:pPr>
        <w:spacing w:after="0" w:line="240" w:lineRule="auto"/>
        <w:jc w:val="both"/>
        <w:rPr>
          <w:rFonts w:ascii="Arial" w:eastAsia="Times New Roman" w:hAnsi="Arial" w:cs="Arial"/>
          <w:kern w:val="0"/>
          <w:sz w:val="20"/>
          <w:szCs w:val="20"/>
        </w:rPr>
      </w:pPr>
    </w:p>
    <w:p w14:paraId="22A21970" w14:textId="77777777" w:rsidR="00AD7468" w:rsidRPr="002F7431" w:rsidRDefault="00AD7468" w:rsidP="002F7431">
      <w:pPr>
        <w:spacing w:after="0" w:line="240" w:lineRule="auto"/>
        <w:jc w:val="both"/>
        <w:rPr>
          <w:rFonts w:ascii="Arial" w:hAnsi="Arial" w:cs="Arial"/>
          <w:sz w:val="20"/>
          <w:szCs w:val="20"/>
        </w:rPr>
      </w:pPr>
    </w:p>
    <w:p w14:paraId="3FB699DB" w14:textId="77777777" w:rsidR="00AD7468" w:rsidRPr="002F7431" w:rsidRDefault="00AD7468" w:rsidP="002F7431">
      <w:pPr>
        <w:spacing w:after="0" w:line="240" w:lineRule="auto"/>
        <w:jc w:val="both"/>
        <w:rPr>
          <w:rFonts w:ascii="Arial" w:hAnsi="Arial" w:cs="Arial"/>
          <w:sz w:val="20"/>
          <w:szCs w:val="20"/>
        </w:rPr>
      </w:pPr>
    </w:p>
    <w:p w14:paraId="5B393AED" w14:textId="77777777" w:rsidR="00AD7468" w:rsidRPr="002F7431" w:rsidRDefault="00AD7468" w:rsidP="002F7431">
      <w:pPr>
        <w:spacing w:after="0" w:line="240" w:lineRule="auto"/>
        <w:jc w:val="both"/>
        <w:rPr>
          <w:rFonts w:ascii="Arial" w:eastAsia="Times New Roman" w:hAnsi="Arial" w:cs="Arial"/>
          <w:kern w:val="0"/>
          <w:sz w:val="20"/>
          <w:szCs w:val="20"/>
        </w:rPr>
      </w:pPr>
    </w:p>
    <w:p w14:paraId="3D96842B" w14:textId="77777777" w:rsidR="007E4236" w:rsidRPr="002F7431" w:rsidRDefault="007E4236" w:rsidP="002F7431">
      <w:pPr>
        <w:spacing w:after="0" w:line="240" w:lineRule="auto"/>
        <w:jc w:val="both"/>
        <w:rPr>
          <w:rFonts w:ascii="Arial" w:eastAsia="Times New Roman" w:hAnsi="Arial" w:cs="Arial"/>
          <w:kern w:val="0"/>
          <w:sz w:val="20"/>
          <w:szCs w:val="20"/>
        </w:rPr>
      </w:pPr>
    </w:p>
    <w:p w14:paraId="525938F1" w14:textId="77777777" w:rsidR="00152153" w:rsidRPr="002F7431" w:rsidRDefault="00152153" w:rsidP="002F7431">
      <w:pPr>
        <w:spacing w:after="0" w:line="240" w:lineRule="auto"/>
        <w:jc w:val="both"/>
        <w:rPr>
          <w:rFonts w:ascii="Arial" w:eastAsia="Times New Roman" w:hAnsi="Arial" w:cs="Arial"/>
          <w:kern w:val="0"/>
          <w:sz w:val="20"/>
          <w:szCs w:val="20"/>
        </w:rPr>
      </w:pPr>
    </w:p>
    <w:p w14:paraId="43EA4ECA" w14:textId="77777777" w:rsidR="00152153" w:rsidRPr="002F7431" w:rsidRDefault="00152153" w:rsidP="002F7431">
      <w:pPr>
        <w:spacing w:after="0" w:line="240" w:lineRule="auto"/>
        <w:jc w:val="both"/>
        <w:rPr>
          <w:rFonts w:ascii="Arial" w:eastAsia="Times New Roman" w:hAnsi="Arial" w:cs="Arial"/>
          <w:kern w:val="0"/>
          <w:sz w:val="20"/>
          <w:szCs w:val="20"/>
        </w:rPr>
      </w:pPr>
    </w:p>
    <w:p w14:paraId="0EDD820A" w14:textId="77777777" w:rsidR="00D64137" w:rsidRPr="002F7431" w:rsidRDefault="00D64137" w:rsidP="002F7431">
      <w:pPr>
        <w:spacing w:after="0" w:line="240" w:lineRule="auto"/>
        <w:jc w:val="both"/>
        <w:rPr>
          <w:rFonts w:ascii="Arial" w:eastAsia="Times New Roman" w:hAnsi="Arial" w:cs="Arial"/>
          <w:kern w:val="0"/>
          <w:sz w:val="20"/>
          <w:szCs w:val="20"/>
        </w:rPr>
      </w:pPr>
    </w:p>
    <w:p w14:paraId="62D26743" w14:textId="77777777" w:rsidR="00CB7DD5" w:rsidRPr="002F7431" w:rsidRDefault="00CB7DD5" w:rsidP="002F7431">
      <w:pPr>
        <w:spacing w:after="0" w:line="240" w:lineRule="auto"/>
        <w:jc w:val="both"/>
        <w:rPr>
          <w:rFonts w:ascii="Arial" w:eastAsia="Times New Roman" w:hAnsi="Arial" w:cs="Arial"/>
          <w:kern w:val="0"/>
          <w:sz w:val="20"/>
          <w:szCs w:val="20"/>
        </w:rPr>
      </w:pPr>
    </w:p>
    <w:p w14:paraId="3CD066EF" w14:textId="77777777" w:rsidR="00CB7DD5" w:rsidRPr="002F7431" w:rsidRDefault="00CB7DD5" w:rsidP="002F7431">
      <w:pPr>
        <w:spacing w:after="0" w:line="240" w:lineRule="auto"/>
        <w:jc w:val="both"/>
        <w:rPr>
          <w:rFonts w:ascii="Arial" w:eastAsia="Times New Roman" w:hAnsi="Arial" w:cs="Arial"/>
          <w:kern w:val="0"/>
          <w:sz w:val="20"/>
          <w:szCs w:val="20"/>
        </w:rPr>
      </w:pPr>
    </w:p>
    <w:p w14:paraId="2209A063" w14:textId="77777777" w:rsidR="00AD5075" w:rsidRPr="002F7431" w:rsidRDefault="00AD5075" w:rsidP="002F7431">
      <w:pPr>
        <w:spacing w:after="0" w:line="240" w:lineRule="auto"/>
        <w:jc w:val="both"/>
        <w:rPr>
          <w:rFonts w:ascii="Arial" w:eastAsia="Times New Roman" w:hAnsi="Arial" w:cs="Arial"/>
          <w:kern w:val="0"/>
          <w:sz w:val="20"/>
          <w:szCs w:val="20"/>
        </w:rPr>
      </w:pPr>
    </w:p>
    <w:p w14:paraId="665ACD54" w14:textId="77777777" w:rsidR="00AD5075" w:rsidRPr="002F7431" w:rsidRDefault="00AD5075" w:rsidP="002F7431">
      <w:pPr>
        <w:spacing w:after="0" w:line="240" w:lineRule="auto"/>
        <w:jc w:val="both"/>
        <w:rPr>
          <w:rFonts w:ascii="Arial" w:eastAsia="Times New Roman" w:hAnsi="Arial" w:cs="Arial"/>
          <w:kern w:val="0"/>
          <w:sz w:val="20"/>
          <w:szCs w:val="20"/>
        </w:rPr>
      </w:pPr>
    </w:p>
    <w:p w14:paraId="448407C7" w14:textId="77777777" w:rsidR="00AD5075" w:rsidRPr="002F7431" w:rsidRDefault="00AD5075" w:rsidP="002F7431">
      <w:pPr>
        <w:spacing w:after="0" w:line="240" w:lineRule="auto"/>
        <w:jc w:val="both"/>
        <w:rPr>
          <w:rFonts w:ascii="Arial" w:eastAsia="Times New Roman" w:hAnsi="Arial" w:cs="Arial"/>
          <w:kern w:val="0"/>
          <w:sz w:val="20"/>
          <w:szCs w:val="20"/>
        </w:rPr>
      </w:pPr>
    </w:p>
    <w:p w14:paraId="182B253A" w14:textId="77777777" w:rsidR="00AD5075" w:rsidRPr="002F7431" w:rsidRDefault="00AD5075" w:rsidP="002F7431">
      <w:pPr>
        <w:spacing w:after="0" w:line="240" w:lineRule="auto"/>
        <w:jc w:val="both"/>
        <w:rPr>
          <w:rFonts w:ascii="Arial" w:eastAsia="Times New Roman" w:hAnsi="Arial" w:cs="Arial"/>
          <w:kern w:val="0"/>
          <w:sz w:val="20"/>
          <w:szCs w:val="20"/>
        </w:rPr>
      </w:pPr>
    </w:p>
    <w:p w14:paraId="4A3FE3EF" w14:textId="77777777" w:rsidR="00AD5075" w:rsidRPr="002F7431" w:rsidRDefault="00AD5075" w:rsidP="002F7431">
      <w:pPr>
        <w:spacing w:after="0" w:line="240" w:lineRule="auto"/>
        <w:jc w:val="both"/>
        <w:rPr>
          <w:rFonts w:ascii="Arial" w:eastAsia="Times New Roman" w:hAnsi="Arial" w:cs="Arial"/>
          <w:kern w:val="0"/>
          <w:sz w:val="20"/>
          <w:szCs w:val="20"/>
        </w:rPr>
      </w:pPr>
    </w:p>
    <w:p w14:paraId="101814B4" w14:textId="77777777" w:rsidR="00C40ECA" w:rsidRPr="002F7431" w:rsidRDefault="00C40ECA" w:rsidP="002F7431">
      <w:pPr>
        <w:spacing w:after="0" w:line="240" w:lineRule="auto"/>
        <w:jc w:val="both"/>
        <w:rPr>
          <w:rFonts w:ascii="Arial" w:eastAsia="Times New Roman" w:hAnsi="Arial" w:cs="Arial"/>
          <w:kern w:val="0"/>
          <w:sz w:val="20"/>
          <w:szCs w:val="20"/>
        </w:rPr>
      </w:pPr>
    </w:p>
    <w:p w14:paraId="06DEFECF" w14:textId="77777777" w:rsidR="00C40ECA" w:rsidRPr="002F7431" w:rsidRDefault="00C40ECA" w:rsidP="002F7431">
      <w:pPr>
        <w:spacing w:after="0" w:line="240" w:lineRule="auto"/>
        <w:jc w:val="both"/>
        <w:rPr>
          <w:rFonts w:ascii="Arial" w:eastAsia="Times New Roman" w:hAnsi="Arial" w:cs="Arial"/>
          <w:kern w:val="0"/>
          <w:sz w:val="20"/>
          <w:szCs w:val="20"/>
        </w:rPr>
      </w:pPr>
    </w:p>
    <w:p w14:paraId="33E1EE44" w14:textId="77777777" w:rsidR="00B77668" w:rsidRPr="002F7431" w:rsidRDefault="00B77668" w:rsidP="002F7431">
      <w:pPr>
        <w:spacing w:after="0" w:line="240" w:lineRule="auto"/>
        <w:jc w:val="both"/>
        <w:rPr>
          <w:rFonts w:ascii="Arial" w:eastAsia="Times New Roman" w:hAnsi="Arial" w:cs="Arial"/>
          <w:kern w:val="0"/>
          <w:sz w:val="20"/>
          <w:szCs w:val="20"/>
        </w:rPr>
      </w:pPr>
    </w:p>
    <w:p w14:paraId="7D7E80D7" w14:textId="77777777" w:rsidR="00B77668" w:rsidRPr="002F7431" w:rsidRDefault="00B77668" w:rsidP="002F7431">
      <w:pPr>
        <w:spacing w:after="0" w:line="240" w:lineRule="auto"/>
        <w:jc w:val="both"/>
        <w:rPr>
          <w:rFonts w:ascii="Arial" w:eastAsia="Times New Roman" w:hAnsi="Arial" w:cs="Arial"/>
          <w:kern w:val="0"/>
          <w:sz w:val="20"/>
          <w:szCs w:val="20"/>
        </w:rPr>
      </w:pPr>
    </w:p>
    <w:p w14:paraId="7921A5A6" w14:textId="77777777" w:rsidR="00C40ECA" w:rsidRPr="002F7431" w:rsidRDefault="00C40ECA" w:rsidP="002F7431">
      <w:pPr>
        <w:spacing w:after="0" w:line="240" w:lineRule="auto"/>
        <w:jc w:val="both"/>
        <w:rPr>
          <w:rFonts w:ascii="Arial" w:eastAsia="Times New Roman" w:hAnsi="Arial" w:cs="Arial"/>
          <w:kern w:val="0"/>
          <w:sz w:val="20"/>
          <w:szCs w:val="20"/>
        </w:rPr>
      </w:pPr>
    </w:p>
    <w:p w14:paraId="1ADCC0BA" w14:textId="77777777" w:rsidR="00C40ECA" w:rsidRPr="002F7431" w:rsidRDefault="00C40ECA" w:rsidP="002F7431">
      <w:pPr>
        <w:spacing w:after="0" w:line="240" w:lineRule="auto"/>
        <w:jc w:val="both"/>
        <w:rPr>
          <w:rFonts w:ascii="Arial" w:eastAsia="Times New Roman" w:hAnsi="Arial" w:cs="Arial"/>
          <w:kern w:val="0"/>
          <w:sz w:val="20"/>
          <w:szCs w:val="20"/>
        </w:rPr>
      </w:pPr>
    </w:p>
    <w:p w14:paraId="21DA56F2" w14:textId="77777777" w:rsidR="00C40ECA" w:rsidRPr="002F7431" w:rsidRDefault="00C40ECA" w:rsidP="002F7431">
      <w:pPr>
        <w:spacing w:after="0" w:line="240" w:lineRule="auto"/>
        <w:jc w:val="both"/>
        <w:rPr>
          <w:rFonts w:ascii="Arial" w:eastAsia="Times New Roman" w:hAnsi="Arial" w:cs="Arial"/>
          <w:kern w:val="0"/>
          <w:sz w:val="20"/>
          <w:szCs w:val="20"/>
        </w:rPr>
      </w:pPr>
    </w:p>
    <w:p w14:paraId="50463E4E" w14:textId="77777777" w:rsidR="00C40ECA" w:rsidRPr="002F7431" w:rsidRDefault="00C40ECA" w:rsidP="002F7431">
      <w:pPr>
        <w:spacing w:after="0" w:line="240" w:lineRule="auto"/>
        <w:jc w:val="both"/>
        <w:rPr>
          <w:rFonts w:ascii="Arial" w:eastAsia="Times New Roman" w:hAnsi="Arial" w:cs="Arial"/>
          <w:kern w:val="0"/>
          <w:sz w:val="20"/>
          <w:szCs w:val="20"/>
        </w:rPr>
      </w:pPr>
    </w:p>
    <w:p w14:paraId="31D11F9D" w14:textId="77777777" w:rsidR="00C40ECA" w:rsidRPr="002F7431" w:rsidRDefault="00C40ECA" w:rsidP="002F7431">
      <w:pPr>
        <w:spacing w:after="0" w:line="240" w:lineRule="auto"/>
        <w:jc w:val="both"/>
        <w:rPr>
          <w:rFonts w:ascii="Arial" w:eastAsia="Times New Roman" w:hAnsi="Arial" w:cs="Arial"/>
          <w:kern w:val="0"/>
          <w:sz w:val="20"/>
          <w:szCs w:val="20"/>
        </w:rPr>
      </w:pPr>
    </w:p>
    <w:p w14:paraId="3EB68561" w14:textId="77777777" w:rsidR="00C40ECA" w:rsidRPr="002F7431" w:rsidRDefault="00C40ECA" w:rsidP="002F7431">
      <w:pPr>
        <w:spacing w:after="0" w:line="240" w:lineRule="auto"/>
        <w:jc w:val="both"/>
        <w:rPr>
          <w:rFonts w:ascii="Arial" w:eastAsia="Times New Roman" w:hAnsi="Arial" w:cs="Arial"/>
          <w:kern w:val="0"/>
          <w:sz w:val="20"/>
          <w:szCs w:val="20"/>
        </w:rPr>
      </w:pPr>
    </w:p>
    <w:p w14:paraId="7B27AEAE" w14:textId="77777777" w:rsidR="00C40ECA" w:rsidRPr="002F7431" w:rsidRDefault="00C40ECA" w:rsidP="002F7431">
      <w:pPr>
        <w:spacing w:before="100" w:beforeAutospacing="1" w:after="100" w:afterAutospacing="1" w:line="240" w:lineRule="auto"/>
        <w:jc w:val="both"/>
        <w:rPr>
          <w:rFonts w:ascii="Arial" w:eastAsia="Times New Roman" w:hAnsi="Arial" w:cs="Arial"/>
          <w:kern w:val="0"/>
          <w:sz w:val="20"/>
          <w:szCs w:val="20"/>
        </w:rPr>
      </w:pPr>
    </w:p>
    <w:p w14:paraId="3C653E40" w14:textId="77777777" w:rsidR="00C40ECA" w:rsidRPr="002F7431" w:rsidRDefault="00C40ECA" w:rsidP="002F7431">
      <w:pPr>
        <w:spacing w:line="240" w:lineRule="auto"/>
        <w:jc w:val="both"/>
        <w:rPr>
          <w:rFonts w:ascii="Arial" w:hAnsi="Arial" w:cs="Arial"/>
          <w:sz w:val="20"/>
          <w:szCs w:val="20"/>
        </w:rPr>
      </w:pPr>
    </w:p>
    <w:p w14:paraId="1311EC9A" w14:textId="77777777" w:rsidR="00C40ECA" w:rsidRPr="002F7431" w:rsidRDefault="00C40ECA" w:rsidP="002F7431">
      <w:pPr>
        <w:spacing w:line="240" w:lineRule="auto"/>
        <w:jc w:val="both"/>
        <w:rPr>
          <w:rFonts w:ascii="Arial" w:hAnsi="Arial" w:cs="Arial"/>
          <w:sz w:val="20"/>
          <w:szCs w:val="20"/>
        </w:rPr>
      </w:pPr>
    </w:p>
    <w:p w14:paraId="31AE9122" w14:textId="77777777" w:rsidR="00F4745C" w:rsidRPr="002F7431" w:rsidRDefault="00F4745C" w:rsidP="002F7431">
      <w:pPr>
        <w:spacing w:line="240" w:lineRule="auto"/>
        <w:jc w:val="both"/>
        <w:rPr>
          <w:rFonts w:ascii="Arial" w:hAnsi="Arial" w:cs="Arial"/>
          <w:sz w:val="20"/>
          <w:szCs w:val="20"/>
        </w:rPr>
      </w:pPr>
    </w:p>
    <w:sectPr w:rsidR="00F4745C" w:rsidRPr="002F7431" w:rsidSect="009F60B9">
      <w:headerReference w:type="even" r:id="rId90"/>
      <w:headerReference w:type="default" r:id="rId91"/>
      <w:footerReference w:type="even" r:id="rId92"/>
      <w:footerReference w:type="default" r:id="rId93"/>
      <w:headerReference w:type="first" r:id="rId94"/>
      <w:footerReference w:type="firs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14CA1" w14:textId="77777777" w:rsidR="00E334FE" w:rsidRDefault="00E334FE" w:rsidP="0097590B">
      <w:pPr>
        <w:spacing w:after="0" w:line="240" w:lineRule="auto"/>
      </w:pPr>
      <w:r>
        <w:separator/>
      </w:r>
    </w:p>
  </w:endnote>
  <w:endnote w:type="continuationSeparator" w:id="0">
    <w:p w14:paraId="72A4F096" w14:textId="77777777" w:rsidR="00E334FE" w:rsidRDefault="00E334FE" w:rsidP="00975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F8CD8" w14:textId="77777777" w:rsidR="00212E84" w:rsidRDefault="00212E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24ABE" w14:textId="77777777" w:rsidR="00212E84" w:rsidRDefault="00212E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C23B5" w14:textId="77777777" w:rsidR="00212E84" w:rsidRDefault="00212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F8207" w14:textId="77777777" w:rsidR="00E334FE" w:rsidRDefault="00E334FE" w:rsidP="0097590B">
      <w:pPr>
        <w:spacing w:after="0" w:line="240" w:lineRule="auto"/>
      </w:pPr>
      <w:r>
        <w:separator/>
      </w:r>
    </w:p>
  </w:footnote>
  <w:footnote w:type="continuationSeparator" w:id="0">
    <w:p w14:paraId="6C948C01" w14:textId="77777777" w:rsidR="00E334FE" w:rsidRDefault="00E334FE" w:rsidP="00975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0FC27" w14:textId="0AC45E2F" w:rsidR="00212E84" w:rsidRDefault="00212E84">
    <w:pPr>
      <w:pStyle w:val="Header"/>
    </w:pPr>
    <w:r>
      <w:rPr>
        <w:noProof/>
      </w:rPr>
      <w:pict w14:anchorId="198B2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332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DEEE5" w14:textId="6F84FA68" w:rsidR="00212E84" w:rsidRDefault="00212E84">
    <w:pPr>
      <w:pStyle w:val="Header"/>
    </w:pPr>
    <w:r>
      <w:rPr>
        <w:noProof/>
      </w:rPr>
      <w:pict w14:anchorId="65906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332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0CDEF" w14:textId="2FCCCB5A" w:rsidR="00212E84" w:rsidRDefault="00212E84">
    <w:pPr>
      <w:pStyle w:val="Header"/>
    </w:pPr>
    <w:r>
      <w:rPr>
        <w:noProof/>
      </w:rPr>
      <w:pict w14:anchorId="2A8448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332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C2651"/>
    <w:multiLevelType w:val="multilevel"/>
    <w:tmpl w:val="33A0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22003"/>
    <w:multiLevelType w:val="multilevel"/>
    <w:tmpl w:val="B79A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63BF1"/>
    <w:multiLevelType w:val="multilevel"/>
    <w:tmpl w:val="7BF6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A2FF3"/>
    <w:multiLevelType w:val="multilevel"/>
    <w:tmpl w:val="7AF69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03E77"/>
    <w:multiLevelType w:val="hybridMultilevel"/>
    <w:tmpl w:val="2E8645BA"/>
    <w:lvl w:ilvl="0" w:tplc="5D18DB06">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62498"/>
    <w:multiLevelType w:val="hybridMultilevel"/>
    <w:tmpl w:val="C726A0F6"/>
    <w:lvl w:ilvl="0" w:tplc="8C68ED4A">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54F6F"/>
    <w:multiLevelType w:val="hybridMultilevel"/>
    <w:tmpl w:val="2E365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926E4"/>
    <w:multiLevelType w:val="multilevel"/>
    <w:tmpl w:val="8028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D06EF"/>
    <w:multiLevelType w:val="multilevel"/>
    <w:tmpl w:val="77E0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F2EA3"/>
    <w:multiLevelType w:val="multilevel"/>
    <w:tmpl w:val="B384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E4FAF"/>
    <w:multiLevelType w:val="multilevel"/>
    <w:tmpl w:val="557E1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AB5EF2"/>
    <w:multiLevelType w:val="multilevel"/>
    <w:tmpl w:val="5ACC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50F6A"/>
    <w:multiLevelType w:val="hybridMultilevel"/>
    <w:tmpl w:val="6B421A52"/>
    <w:lvl w:ilvl="0" w:tplc="0A165000">
      <w:start w:val="4"/>
      <w:numFmt w:val="bullet"/>
      <w:lvlText w:val=""/>
      <w:lvlJc w:val="left"/>
      <w:pPr>
        <w:ind w:left="720" w:hanging="360"/>
      </w:pPr>
      <w:rPr>
        <w:rFonts w:ascii="Symbol" w:eastAsiaTheme="minorEastAsia" w:hAnsi="Symbol" w:cs="Arial"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7D16B2"/>
    <w:multiLevelType w:val="singleLevel"/>
    <w:tmpl w:val="687D16B2"/>
    <w:lvl w:ilvl="0">
      <w:start w:val="2"/>
      <w:numFmt w:val="decimal"/>
      <w:suff w:val="space"/>
      <w:lvlText w:val="%1."/>
      <w:lvlJc w:val="left"/>
    </w:lvl>
  </w:abstractNum>
  <w:abstractNum w:abstractNumId="14" w15:restartNumberingAfterBreak="0">
    <w:nsid w:val="729E6F48"/>
    <w:multiLevelType w:val="multilevel"/>
    <w:tmpl w:val="F038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867D26"/>
    <w:multiLevelType w:val="multilevel"/>
    <w:tmpl w:val="E3C6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8"/>
  </w:num>
  <w:num w:numId="4">
    <w:abstractNumId w:val="15"/>
  </w:num>
  <w:num w:numId="5">
    <w:abstractNumId w:val="9"/>
  </w:num>
  <w:num w:numId="6">
    <w:abstractNumId w:val="0"/>
  </w:num>
  <w:num w:numId="7">
    <w:abstractNumId w:val="1"/>
  </w:num>
  <w:num w:numId="8">
    <w:abstractNumId w:val="3"/>
  </w:num>
  <w:num w:numId="9">
    <w:abstractNumId w:val="7"/>
  </w:num>
  <w:num w:numId="10">
    <w:abstractNumId w:val="14"/>
  </w:num>
  <w:num w:numId="11">
    <w:abstractNumId w:val="10"/>
  </w:num>
  <w:num w:numId="12">
    <w:abstractNumId w:val="6"/>
  </w:num>
  <w:num w:numId="13">
    <w:abstractNumId w:val="12"/>
  </w:num>
  <w:num w:numId="14">
    <w:abstractNumId w:val="4"/>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0ECA"/>
    <w:rsid w:val="00000507"/>
    <w:rsid w:val="00030D12"/>
    <w:rsid w:val="000A217C"/>
    <w:rsid w:val="000D1814"/>
    <w:rsid w:val="000D5B0F"/>
    <w:rsid w:val="0014260E"/>
    <w:rsid w:val="001461E2"/>
    <w:rsid w:val="00152153"/>
    <w:rsid w:val="00176430"/>
    <w:rsid w:val="00203B8D"/>
    <w:rsid w:val="00212E84"/>
    <w:rsid w:val="00232BE6"/>
    <w:rsid w:val="002C629D"/>
    <w:rsid w:val="002E569F"/>
    <w:rsid w:val="002F2289"/>
    <w:rsid w:val="002F7431"/>
    <w:rsid w:val="0035637D"/>
    <w:rsid w:val="00374529"/>
    <w:rsid w:val="003855D6"/>
    <w:rsid w:val="003B79B0"/>
    <w:rsid w:val="00442011"/>
    <w:rsid w:val="004572DE"/>
    <w:rsid w:val="00483008"/>
    <w:rsid w:val="004831F8"/>
    <w:rsid w:val="00487DFF"/>
    <w:rsid w:val="004C48DE"/>
    <w:rsid w:val="004D3E66"/>
    <w:rsid w:val="004F5C68"/>
    <w:rsid w:val="00520071"/>
    <w:rsid w:val="00532800"/>
    <w:rsid w:val="00565C1C"/>
    <w:rsid w:val="005A40FE"/>
    <w:rsid w:val="005D5BFB"/>
    <w:rsid w:val="005E68C8"/>
    <w:rsid w:val="006221A7"/>
    <w:rsid w:val="00705530"/>
    <w:rsid w:val="00714721"/>
    <w:rsid w:val="0073327A"/>
    <w:rsid w:val="007B1A05"/>
    <w:rsid w:val="007D38C6"/>
    <w:rsid w:val="007D6F1E"/>
    <w:rsid w:val="007E4236"/>
    <w:rsid w:val="00844E3E"/>
    <w:rsid w:val="008A432A"/>
    <w:rsid w:val="008B5931"/>
    <w:rsid w:val="0097590B"/>
    <w:rsid w:val="00997D85"/>
    <w:rsid w:val="009F60B9"/>
    <w:rsid w:val="009F7F1A"/>
    <w:rsid w:val="00A013AD"/>
    <w:rsid w:val="00AC69B9"/>
    <w:rsid w:val="00AD5075"/>
    <w:rsid w:val="00AD7468"/>
    <w:rsid w:val="00AF2BA3"/>
    <w:rsid w:val="00B77668"/>
    <w:rsid w:val="00B832D7"/>
    <w:rsid w:val="00B90A05"/>
    <w:rsid w:val="00BB5D84"/>
    <w:rsid w:val="00BD1DA1"/>
    <w:rsid w:val="00C12D26"/>
    <w:rsid w:val="00C1552E"/>
    <w:rsid w:val="00C40ECA"/>
    <w:rsid w:val="00C64084"/>
    <w:rsid w:val="00C776BC"/>
    <w:rsid w:val="00CB269A"/>
    <w:rsid w:val="00CB7DD5"/>
    <w:rsid w:val="00D23217"/>
    <w:rsid w:val="00D36826"/>
    <w:rsid w:val="00D64137"/>
    <w:rsid w:val="00D7140F"/>
    <w:rsid w:val="00D71DCE"/>
    <w:rsid w:val="00D7350D"/>
    <w:rsid w:val="00D8223F"/>
    <w:rsid w:val="00D9342A"/>
    <w:rsid w:val="00D94565"/>
    <w:rsid w:val="00E334FE"/>
    <w:rsid w:val="00E45191"/>
    <w:rsid w:val="00E82F73"/>
    <w:rsid w:val="00EC358A"/>
    <w:rsid w:val="00EF0D5C"/>
    <w:rsid w:val="00F4745C"/>
    <w:rsid w:val="00FC4C6E"/>
    <w:rsid w:val="00FE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0C6290"/>
  <w15:docId w15:val="{2B058BC9-6293-4FEF-BF73-B7C84298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ECA"/>
    <w:pPr>
      <w:spacing w:after="160" w:line="278" w:lineRule="auto"/>
    </w:pPr>
    <w:rPr>
      <w:rFonts w:eastAsiaTheme="minorEastAsia"/>
      <w:kern w:val="2"/>
      <w:sz w:val="24"/>
      <w:szCs w:val="24"/>
    </w:rPr>
  </w:style>
  <w:style w:type="paragraph" w:styleId="Heading1">
    <w:name w:val="heading 1"/>
    <w:basedOn w:val="Normal"/>
    <w:next w:val="Normal"/>
    <w:link w:val="Heading1Char"/>
    <w:uiPriority w:val="9"/>
    <w:qFormat/>
    <w:rsid w:val="00C40E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40ECA"/>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paragraph" w:styleId="Heading3">
    <w:name w:val="heading 3"/>
    <w:basedOn w:val="Normal"/>
    <w:link w:val="Heading3Char"/>
    <w:uiPriority w:val="9"/>
    <w:qFormat/>
    <w:rsid w:val="00C40ECA"/>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Heading4">
    <w:name w:val="heading 4"/>
    <w:basedOn w:val="Normal"/>
    <w:next w:val="Normal"/>
    <w:link w:val="Heading4Char"/>
    <w:uiPriority w:val="9"/>
    <w:unhideWhenUsed/>
    <w:qFormat/>
    <w:rsid w:val="00C40EC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ECA"/>
    <w:rPr>
      <w:rFonts w:asciiTheme="majorHAnsi" w:eastAsiaTheme="majorEastAsia" w:hAnsiTheme="majorHAnsi" w:cstheme="majorBidi"/>
      <w:b/>
      <w:bCs/>
      <w:color w:val="365F91" w:themeColor="accent1" w:themeShade="BF"/>
      <w:kern w:val="2"/>
      <w:sz w:val="28"/>
      <w:szCs w:val="28"/>
    </w:rPr>
  </w:style>
  <w:style w:type="character" w:customStyle="1" w:styleId="Heading2Char">
    <w:name w:val="Heading 2 Char"/>
    <w:basedOn w:val="DefaultParagraphFont"/>
    <w:link w:val="Heading2"/>
    <w:uiPriority w:val="9"/>
    <w:rsid w:val="00C40EC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40E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40ECA"/>
    <w:rPr>
      <w:rFonts w:asciiTheme="majorHAnsi" w:eastAsiaTheme="majorEastAsia" w:hAnsiTheme="majorHAnsi" w:cstheme="majorBidi"/>
      <w:b/>
      <w:bCs/>
      <w:i/>
      <w:iCs/>
      <w:color w:val="4F81BD" w:themeColor="accent1"/>
      <w:kern w:val="2"/>
      <w:sz w:val="24"/>
      <w:szCs w:val="24"/>
    </w:rPr>
  </w:style>
  <w:style w:type="character" w:customStyle="1" w:styleId="bg-green-200">
    <w:name w:val="bg-green-200"/>
    <w:basedOn w:val="DefaultParagraphFont"/>
    <w:rsid w:val="00C40ECA"/>
  </w:style>
  <w:style w:type="character" w:customStyle="1" w:styleId="bg-red-200">
    <w:name w:val="bg-red-200"/>
    <w:basedOn w:val="DefaultParagraphFont"/>
    <w:rsid w:val="00C40ECA"/>
  </w:style>
  <w:style w:type="character" w:styleId="Strong">
    <w:name w:val="Strong"/>
    <w:basedOn w:val="DefaultParagraphFont"/>
    <w:uiPriority w:val="22"/>
    <w:qFormat/>
    <w:rsid w:val="00C40ECA"/>
    <w:rPr>
      <w:b/>
      <w:bCs/>
    </w:rPr>
  </w:style>
  <w:style w:type="paragraph" w:styleId="NormalWeb">
    <w:name w:val="Normal (Web)"/>
    <w:basedOn w:val="Normal"/>
    <w:uiPriority w:val="99"/>
    <w:unhideWhenUsed/>
    <w:rsid w:val="00C40ECA"/>
    <w:pPr>
      <w:spacing w:before="100" w:beforeAutospacing="1" w:after="100" w:afterAutospacing="1" w:line="240" w:lineRule="auto"/>
    </w:pPr>
    <w:rPr>
      <w:rFonts w:ascii="Times New Roman" w:eastAsia="Times New Roman" w:hAnsi="Times New Roman" w:cs="Times New Roman"/>
      <w:kern w:val="0"/>
    </w:rPr>
  </w:style>
  <w:style w:type="character" w:customStyle="1" w:styleId="katex-mathml">
    <w:name w:val="katex-mathml"/>
    <w:basedOn w:val="DefaultParagraphFont"/>
    <w:rsid w:val="00C40ECA"/>
  </w:style>
  <w:style w:type="character" w:customStyle="1" w:styleId="mord">
    <w:name w:val="mord"/>
    <w:basedOn w:val="DefaultParagraphFont"/>
    <w:rsid w:val="00C40ECA"/>
  </w:style>
  <w:style w:type="character" w:customStyle="1" w:styleId="vlist-s">
    <w:name w:val="vlist-s"/>
    <w:basedOn w:val="DefaultParagraphFont"/>
    <w:rsid w:val="00C40ECA"/>
  </w:style>
  <w:style w:type="character" w:customStyle="1" w:styleId="mbin">
    <w:name w:val="mbin"/>
    <w:basedOn w:val="DefaultParagraphFont"/>
    <w:rsid w:val="00C40ECA"/>
  </w:style>
  <w:style w:type="character" w:customStyle="1" w:styleId="mrel">
    <w:name w:val="mrel"/>
    <w:basedOn w:val="DefaultParagraphFont"/>
    <w:rsid w:val="00C40ECA"/>
  </w:style>
  <w:style w:type="character" w:customStyle="1" w:styleId="mopen">
    <w:name w:val="mopen"/>
    <w:basedOn w:val="DefaultParagraphFont"/>
    <w:rsid w:val="00C40ECA"/>
  </w:style>
  <w:style w:type="character" w:customStyle="1" w:styleId="mclose">
    <w:name w:val="mclose"/>
    <w:basedOn w:val="DefaultParagraphFont"/>
    <w:rsid w:val="00C40ECA"/>
  </w:style>
  <w:style w:type="character" w:styleId="Emphasis">
    <w:name w:val="Emphasis"/>
    <w:basedOn w:val="DefaultParagraphFont"/>
    <w:uiPriority w:val="20"/>
    <w:qFormat/>
    <w:rsid w:val="00C40ECA"/>
    <w:rPr>
      <w:i/>
      <w:iCs/>
    </w:rPr>
  </w:style>
  <w:style w:type="paragraph" w:styleId="BalloonText">
    <w:name w:val="Balloon Text"/>
    <w:basedOn w:val="Normal"/>
    <w:link w:val="BalloonTextChar"/>
    <w:uiPriority w:val="99"/>
    <w:semiHidden/>
    <w:unhideWhenUsed/>
    <w:rsid w:val="00C40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ECA"/>
    <w:rPr>
      <w:rFonts w:ascii="Tahoma" w:eastAsiaTheme="minorEastAsia" w:hAnsi="Tahoma" w:cs="Tahoma"/>
      <w:kern w:val="2"/>
      <w:sz w:val="16"/>
      <w:szCs w:val="16"/>
    </w:rPr>
  </w:style>
  <w:style w:type="character" w:customStyle="1" w:styleId="mpunct">
    <w:name w:val="mpunct"/>
    <w:basedOn w:val="DefaultParagraphFont"/>
    <w:rsid w:val="00C40ECA"/>
  </w:style>
  <w:style w:type="character" w:customStyle="1" w:styleId="mop">
    <w:name w:val="mop"/>
    <w:basedOn w:val="DefaultParagraphFont"/>
    <w:rsid w:val="00C40ECA"/>
  </w:style>
  <w:style w:type="character" w:customStyle="1" w:styleId="delimsizing">
    <w:name w:val="delimsizing"/>
    <w:basedOn w:val="DefaultParagraphFont"/>
    <w:rsid w:val="00C40ECA"/>
  </w:style>
  <w:style w:type="character" w:styleId="Hyperlink">
    <w:name w:val="Hyperlink"/>
    <w:basedOn w:val="DefaultParagraphFont"/>
    <w:uiPriority w:val="99"/>
    <w:unhideWhenUsed/>
    <w:rsid w:val="00C40ECA"/>
    <w:rPr>
      <w:color w:val="0000FF"/>
      <w:u w:val="single"/>
    </w:rPr>
  </w:style>
  <w:style w:type="character" w:customStyle="1" w:styleId="mtight">
    <w:name w:val="mtight"/>
    <w:basedOn w:val="DefaultParagraphFont"/>
    <w:rsid w:val="00C40ECA"/>
  </w:style>
  <w:style w:type="character" w:customStyle="1" w:styleId="ms-1">
    <w:name w:val="ms-1"/>
    <w:basedOn w:val="DefaultParagraphFont"/>
    <w:rsid w:val="00C40ECA"/>
  </w:style>
  <w:style w:type="character" w:customStyle="1" w:styleId="max-w-full">
    <w:name w:val="max-w-full"/>
    <w:basedOn w:val="DefaultParagraphFont"/>
    <w:rsid w:val="00C40ECA"/>
  </w:style>
  <w:style w:type="paragraph" w:styleId="Header">
    <w:name w:val="header"/>
    <w:basedOn w:val="Normal"/>
    <w:link w:val="HeaderChar"/>
    <w:uiPriority w:val="99"/>
    <w:unhideWhenUsed/>
    <w:rsid w:val="00C40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ECA"/>
    <w:rPr>
      <w:rFonts w:eastAsiaTheme="minorEastAsia"/>
      <w:kern w:val="2"/>
      <w:sz w:val="24"/>
      <w:szCs w:val="24"/>
    </w:rPr>
  </w:style>
  <w:style w:type="character" w:customStyle="1" w:styleId="FooterChar">
    <w:name w:val="Footer Char"/>
    <w:basedOn w:val="DefaultParagraphFont"/>
    <w:link w:val="Footer"/>
    <w:uiPriority w:val="99"/>
    <w:rsid w:val="00C40ECA"/>
    <w:rPr>
      <w:rFonts w:eastAsiaTheme="minorEastAsia"/>
      <w:kern w:val="2"/>
      <w:sz w:val="24"/>
      <w:szCs w:val="24"/>
    </w:rPr>
  </w:style>
  <w:style w:type="paragraph" w:styleId="Footer">
    <w:name w:val="footer"/>
    <w:basedOn w:val="Normal"/>
    <w:link w:val="FooterChar"/>
    <w:uiPriority w:val="99"/>
    <w:unhideWhenUsed/>
    <w:rsid w:val="00C40ECA"/>
    <w:pPr>
      <w:tabs>
        <w:tab w:val="center" w:pos="4680"/>
        <w:tab w:val="right" w:pos="9360"/>
      </w:tabs>
      <w:spacing w:after="0" w:line="240" w:lineRule="auto"/>
    </w:pPr>
  </w:style>
  <w:style w:type="character" w:customStyle="1" w:styleId="blue">
    <w:name w:val="blue"/>
    <w:basedOn w:val="DefaultParagraphFont"/>
    <w:rsid w:val="00C40ECA"/>
  </w:style>
  <w:style w:type="character" w:customStyle="1" w:styleId="red">
    <w:name w:val="red"/>
    <w:basedOn w:val="DefaultParagraphFont"/>
    <w:rsid w:val="00C40ECA"/>
  </w:style>
  <w:style w:type="character" w:customStyle="1" w:styleId="wrapper">
    <w:name w:val="wrapper"/>
    <w:basedOn w:val="DefaultParagraphFont"/>
    <w:rsid w:val="00C40ECA"/>
  </w:style>
  <w:style w:type="table" w:styleId="TableGrid">
    <w:name w:val="Table Grid"/>
    <w:basedOn w:val="TableNormal"/>
    <w:uiPriority w:val="59"/>
    <w:rsid w:val="00C40E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hitespace-normal">
    <w:name w:val="whitespace-normal"/>
    <w:basedOn w:val="Normal"/>
    <w:rsid w:val="00C40ECA"/>
    <w:pPr>
      <w:spacing w:before="100" w:beforeAutospacing="1" w:after="100" w:afterAutospacing="1" w:line="240" w:lineRule="auto"/>
    </w:pPr>
    <w:rPr>
      <w:rFonts w:ascii="Times New Roman" w:eastAsia="Times New Roman" w:hAnsi="Times New Roman" w:cs="Times New Roman"/>
      <w:kern w:val="0"/>
    </w:rPr>
  </w:style>
  <w:style w:type="paragraph" w:styleId="ListParagraph">
    <w:name w:val="List Paragraph"/>
    <w:basedOn w:val="Normal"/>
    <w:uiPriority w:val="34"/>
    <w:qFormat/>
    <w:rsid w:val="003B79B0"/>
    <w:pPr>
      <w:ind w:left="720"/>
      <w:contextualSpacing/>
    </w:pPr>
  </w:style>
  <w:style w:type="character" w:styleId="UnresolvedMention">
    <w:name w:val="Unresolved Mention"/>
    <w:basedOn w:val="DefaultParagraphFont"/>
    <w:uiPriority w:val="99"/>
    <w:semiHidden/>
    <w:unhideWhenUsed/>
    <w:rsid w:val="008B59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42566">
      <w:bodyDiv w:val="1"/>
      <w:marLeft w:val="0"/>
      <w:marRight w:val="0"/>
      <w:marTop w:val="0"/>
      <w:marBottom w:val="0"/>
      <w:divBdr>
        <w:top w:val="none" w:sz="0" w:space="0" w:color="auto"/>
        <w:left w:val="none" w:sz="0" w:space="0" w:color="auto"/>
        <w:bottom w:val="none" w:sz="0" w:space="0" w:color="auto"/>
        <w:right w:val="none" w:sz="0" w:space="0" w:color="auto"/>
      </w:divBdr>
      <w:divsChild>
        <w:div w:id="955142383">
          <w:marLeft w:val="0"/>
          <w:marRight w:val="0"/>
          <w:marTop w:val="0"/>
          <w:marBottom w:val="0"/>
          <w:divBdr>
            <w:top w:val="none" w:sz="0" w:space="0" w:color="auto"/>
            <w:left w:val="none" w:sz="0" w:space="0" w:color="auto"/>
            <w:bottom w:val="none" w:sz="0" w:space="0" w:color="auto"/>
            <w:right w:val="none" w:sz="0" w:space="0" w:color="auto"/>
          </w:divBdr>
        </w:div>
      </w:divsChild>
    </w:div>
    <w:div w:id="265114575">
      <w:bodyDiv w:val="1"/>
      <w:marLeft w:val="0"/>
      <w:marRight w:val="0"/>
      <w:marTop w:val="0"/>
      <w:marBottom w:val="0"/>
      <w:divBdr>
        <w:top w:val="none" w:sz="0" w:space="0" w:color="auto"/>
        <w:left w:val="none" w:sz="0" w:space="0" w:color="auto"/>
        <w:bottom w:val="none" w:sz="0" w:space="0" w:color="auto"/>
        <w:right w:val="none" w:sz="0" w:space="0" w:color="auto"/>
      </w:divBdr>
      <w:divsChild>
        <w:div w:id="1611472655">
          <w:marLeft w:val="0"/>
          <w:marRight w:val="0"/>
          <w:marTop w:val="0"/>
          <w:marBottom w:val="0"/>
          <w:divBdr>
            <w:top w:val="none" w:sz="0" w:space="0" w:color="auto"/>
            <w:left w:val="none" w:sz="0" w:space="0" w:color="auto"/>
            <w:bottom w:val="none" w:sz="0" w:space="0" w:color="auto"/>
            <w:right w:val="none" w:sz="0" w:space="0" w:color="auto"/>
          </w:divBdr>
        </w:div>
      </w:divsChild>
    </w:div>
    <w:div w:id="378743102">
      <w:bodyDiv w:val="1"/>
      <w:marLeft w:val="0"/>
      <w:marRight w:val="0"/>
      <w:marTop w:val="0"/>
      <w:marBottom w:val="0"/>
      <w:divBdr>
        <w:top w:val="none" w:sz="0" w:space="0" w:color="auto"/>
        <w:left w:val="none" w:sz="0" w:space="0" w:color="auto"/>
        <w:bottom w:val="none" w:sz="0" w:space="0" w:color="auto"/>
        <w:right w:val="none" w:sz="0" w:space="0" w:color="auto"/>
      </w:divBdr>
      <w:divsChild>
        <w:div w:id="1283414376">
          <w:marLeft w:val="0"/>
          <w:marRight w:val="0"/>
          <w:marTop w:val="0"/>
          <w:marBottom w:val="0"/>
          <w:divBdr>
            <w:top w:val="none" w:sz="0" w:space="0" w:color="auto"/>
            <w:left w:val="none" w:sz="0" w:space="0" w:color="auto"/>
            <w:bottom w:val="none" w:sz="0" w:space="0" w:color="auto"/>
            <w:right w:val="none" w:sz="0" w:space="0" w:color="auto"/>
          </w:divBdr>
        </w:div>
      </w:divsChild>
    </w:div>
    <w:div w:id="457992736">
      <w:bodyDiv w:val="1"/>
      <w:marLeft w:val="0"/>
      <w:marRight w:val="0"/>
      <w:marTop w:val="0"/>
      <w:marBottom w:val="0"/>
      <w:divBdr>
        <w:top w:val="none" w:sz="0" w:space="0" w:color="auto"/>
        <w:left w:val="none" w:sz="0" w:space="0" w:color="auto"/>
        <w:bottom w:val="none" w:sz="0" w:space="0" w:color="auto"/>
        <w:right w:val="none" w:sz="0" w:space="0" w:color="auto"/>
      </w:divBdr>
      <w:divsChild>
        <w:div w:id="132794374">
          <w:marLeft w:val="0"/>
          <w:marRight w:val="0"/>
          <w:marTop w:val="0"/>
          <w:marBottom w:val="0"/>
          <w:divBdr>
            <w:top w:val="none" w:sz="0" w:space="0" w:color="auto"/>
            <w:left w:val="none" w:sz="0" w:space="0" w:color="auto"/>
            <w:bottom w:val="none" w:sz="0" w:space="0" w:color="auto"/>
            <w:right w:val="none" w:sz="0" w:space="0" w:color="auto"/>
          </w:divBdr>
        </w:div>
      </w:divsChild>
    </w:div>
    <w:div w:id="464078270">
      <w:bodyDiv w:val="1"/>
      <w:marLeft w:val="0"/>
      <w:marRight w:val="0"/>
      <w:marTop w:val="0"/>
      <w:marBottom w:val="0"/>
      <w:divBdr>
        <w:top w:val="none" w:sz="0" w:space="0" w:color="auto"/>
        <w:left w:val="none" w:sz="0" w:space="0" w:color="auto"/>
        <w:bottom w:val="none" w:sz="0" w:space="0" w:color="auto"/>
        <w:right w:val="none" w:sz="0" w:space="0" w:color="auto"/>
      </w:divBdr>
      <w:divsChild>
        <w:div w:id="1396734982">
          <w:marLeft w:val="0"/>
          <w:marRight w:val="0"/>
          <w:marTop w:val="0"/>
          <w:marBottom w:val="0"/>
          <w:divBdr>
            <w:top w:val="none" w:sz="0" w:space="0" w:color="auto"/>
            <w:left w:val="none" w:sz="0" w:space="0" w:color="auto"/>
            <w:bottom w:val="none" w:sz="0" w:space="0" w:color="auto"/>
            <w:right w:val="none" w:sz="0" w:space="0" w:color="auto"/>
          </w:divBdr>
        </w:div>
      </w:divsChild>
    </w:div>
    <w:div w:id="487982023">
      <w:bodyDiv w:val="1"/>
      <w:marLeft w:val="0"/>
      <w:marRight w:val="0"/>
      <w:marTop w:val="0"/>
      <w:marBottom w:val="0"/>
      <w:divBdr>
        <w:top w:val="none" w:sz="0" w:space="0" w:color="auto"/>
        <w:left w:val="none" w:sz="0" w:space="0" w:color="auto"/>
        <w:bottom w:val="none" w:sz="0" w:space="0" w:color="auto"/>
        <w:right w:val="none" w:sz="0" w:space="0" w:color="auto"/>
      </w:divBdr>
      <w:divsChild>
        <w:div w:id="870460616">
          <w:marLeft w:val="0"/>
          <w:marRight w:val="0"/>
          <w:marTop w:val="0"/>
          <w:marBottom w:val="0"/>
          <w:divBdr>
            <w:top w:val="none" w:sz="0" w:space="0" w:color="auto"/>
            <w:left w:val="none" w:sz="0" w:space="0" w:color="auto"/>
            <w:bottom w:val="none" w:sz="0" w:space="0" w:color="auto"/>
            <w:right w:val="none" w:sz="0" w:space="0" w:color="auto"/>
          </w:divBdr>
        </w:div>
      </w:divsChild>
    </w:div>
    <w:div w:id="744839381">
      <w:bodyDiv w:val="1"/>
      <w:marLeft w:val="0"/>
      <w:marRight w:val="0"/>
      <w:marTop w:val="0"/>
      <w:marBottom w:val="0"/>
      <w:divBdr>
        <w:top w:val="none" w:sz="0" w:space="0" w:color="auto"/>
        <w:left w:val="none" w:sz="0" w:space="0" w:color="auto"/>
        <w:bottom w:val="none" w:sz="0" w:space="0" w:color="auto"/>
        <w:right w:val="none" w:sz="0" w:space="0" w:color="auto"/>
      </w:divBdr>
      <w:divsChild>
        <w:div w:id="591496">
          <w:marLeft w:val="0"/>
          <w:marRight w:val="0"/>
          <w:marTop w:val="0"/>
          <w:marBottom w:val="0"/>
          <w:divBdr>
            <w:top w:val="none" w:sz="0" w:space="0" w:color="auto"/>
            <w:left w:val="none" w:sz="0" w:space="0" w:color="auto"/>
            <w:bottom w:val="none" w:sz="0" w:space="0" w:color="auto"/>
            <w:right w:val="none" w:sz="0" w:space="0" w:color="auto"/>
          </w:divBdr>
        </w:div>
      </w:divsChild>
    </w:div>
    <w:div w:id="777524853">
      <w:bodyDiv w:val="1"/>
      <w:marLeft w:val="0"/>
      <w:marRight w:val="0"/>
      <w:marTop w:val="0"/>
      <w:marBottom w:val="0"/>
      <w:divBdr>
        <w:top w:val="none" w:sz="0" w:space="0" w:color="auto"/>
        <w:left w:val="none" w:sz="0" w:space="0" w:color="auto"/>
        <w:bottom w:val="none" w:sz="0" w:space="0" w:color="auto"/>
        <w:right w:val="none" w:sz="0" w:space="0" w:color="auto"/>
      </w:divBdr>
      <w:divsChild>
        <w:div w:id="285965679">
          <w:marLeft w:val="0"/>
          <w:marRight w:val="0"/>
          <w:marTop w:val="0"/>
          <w:marBottom w:val="0"/>
          <w:divBdr>
            <w:top w:val="none" w:sz="0" w:space="0" w:color="auto"/>
            <w:left w:val="none" w:sz="0" w:space="0" w:color="auto"/>
            <w:bottom w:val="none" w:sz="0" w:space="0" w:color="auto"/>
            <w:right w:val="none" w:sz="0" w:space="0" w:color="auto"/>
          </w:divBdr>
        </w:div>
      </w:divsChild>
    </w:div>
    <w:div w:id="880245966">
      <w:bodyDiv w:val="1"/>
      <w:marLeft w:val="0"/>
      <w:marRight w:val="0"/>
      <w:marTop w:val="0"/>
      <w:marBottom w:val="0"/>
      <w:divBdr>
        <w:top w:val="none" w:sz="0" w:space="0" w:color="auto"/>
        <w:left w:val="none" w:sz="0" w:space="0" w:color="auto"/>
        <w:bottom w:val="none" w:sz="0" w:space="0" w:color="auto"/>
        <w:right w:val="none" w:sz="0" w:space="0" w:color="auto"/>
      </w:divBdr>
      <w:divsChild>
        <w:div w:id="1230457042">
          <w:marLeft w:val="0"/>
          <w:marRight w:val="0"/>
          <w:marTop w:val="0"/>
          <w:marBottom w:val="0"/>
          <w:divBdr>
            <w:top w:val="none" w:sz="0" w:space="0" w:color="auto"/>
            <w:left w:val="none" w:sz="0" w:space="0" w:color="auto"/>
            <w:bottom w:val="none" w:sz="0" w:space="0" w:color="auto"/>
            <w:right w:val="none" w:sz="0" w:space="0" w:color="auto"/>
          </w:divBdr>
        </w:div>
      </w:divsChild>
    </w:div>
    <w:div w:id="925070977">
      <w:bodyDiv w:val="1"/>
      <w:marLeft w:val="0"/>
      <w:marRight w:val="0"/>
      <w:marTop w:val="0"/>
      <w:marBottom w:val="0"/>
      <w:divBdr>
        <w:top w:val="none" w:sz="0" w:space="0" w:color="auto"/>
        <w:left w:val="none" w:sz="0" w:space="0" w:color="auto"/>
        <w:bottom w:val="none" w:sz="0" w:space="0" w:color="auto"/>
        <w:right w:val="none" w:sz="0" w:space="0" w:color="auto"/>
      </w:divBdr>
      <w:divsChild>
        <w:div w:id="1371107798">
          <w:marLeft w:val="0"/>
          <w:marRight w:val="0"/>
          <w:marTop w:val="0"/>
          <w:marBottom w:val="0"/>
          <w:divBdr>
            <w:top w:val="none" w:sz="0" w:space="0" w:color="auto"/>
            <w:left w:val="none" w:sz="0" w:space="0" w:color="auto"/>
            <w:bottom w:val="none" w:sz="0" w:space="0" w:color="auto"/>
            <w:right w:val="none" w:sz="0" w:space="0" w:color="auto"/>
          </w:divBdr>
        </w:div>
      </w:divsChild>
    </w:div>
    <w:div w:id="1033380722">
      <w:bodyDiv w:val="1"/>
      <w:marLeft w:val="0"/>
      <w:marRight w:val="0"/>
      <w:marTop w:val="0"/>
      <w:marBottom w:val="0"/>
      <w:divBdr>
        <w:top w:val="none" w:sz="0" w:space="0" w:color="auto"/>
        <w:left w:val="none" w:sz="0" w:space="0" w:color="auto"/>
        <w:bottom w:val="none" w:sz="0" w:space="0" w:color="auto"/>
        <w:right w:val="none" w:sz="0" w:space="0" w:color="auto"/>
      </w:divBdr>
      <w:divsChild>
        <w:div w:id="286545531">
          <w:marLeft w:val="0"/>
          <w:marRight w:val="0"/>
          <w:marTop w:val="0"/>
          <w:marBottom w:val="0"/>
          <w:divBdr>
            <w:top w:val="none" w:sz="0" w:space="0" w:color="auto"/>
            <w:left w:val="none" w:sz="0" w:space="0" w:color="auto"/>
            <w:bottom w:val="none" w:sz="0" w:space="0" w:color="auto"/>
            <w:right w:val="none" w:sz="0" w:space="0" w:color="auto"/>
          </w:divBdr>
        </w:div>
      </w:divsChild>
    </w:div>
    <w:div w:id="1259219388">
      <w:bodyDiv w:val="1"/>
      <w:marLeft w:val="0"/>
      <w:marRight w:val="0"/>
      <w:marTop w:val="0"/>
      <w:marBottom w:val="0"/>
      <w:divBdr>
        <w:top w:val="none" w:sz="0" w:space="0" w:color="auto"/>
        <w:left w:val="none" w:sz="0" w:space="0" w:color="auto"/>
        <w:bottom w:val="none" w:sz="0" w:space="0" w:color="auto"/>
        <w:right w:val="none" w:sz="0" w:space="0" w:color="auto"/>
      </w:divBdr>
      <w:divsChild>
        <w:div w:id="1845394039">
          <w:marLeft w:val="0"/>
          <w:marRight w:val="0"/>
          <w:marTop w:val="0"/>
          <w:marBottom w:val="0"/>
          <w:divBdr>
            <w:top w:val="none" w:sz="0" w:space="0" w:color="auto"/>
            <w:left w:val="none" w:sz="0" w:space="0" w:color="auto"/>
            <w:bottom w:val="none" w:sz="0" w:space="0" w:color="auto"/>
            <w:right w:val="none" w:sz="0" w:space="0" w:color="auto"/>
          </w:divBdr>
        </w:div>
      </w:divsChild>
    </w:div>
    <w:div w:id="1259411640">
      <w:bodyDiv w:val="1"/>
      <w:marLeft w:val="0"/>
      <w:marRight w:val="0"/>
      <w:marTop w:val="0"/>
      <w:marBottom w:val="0"/>
      <w:divBdr>
        <w:top w:val="none" w:sz="0" w:space="0" w:color="auto"/>
        <w:left w:val="none" w:sz="0" w:space="0" w:color="auto"/>
        <w:bottom w:val="none" w:sz="0" w:space="0" w:color="auto"/>
        <w:right w:val="none" w:sz="0" w:space="0" w:color="auto"/>
      </w:divBdr>
      <w:divsChild>
        <w:div w:id="717776201">
          <w:marLeft w:val="0"/>
          <w:marRight w:val="0"/>
          <w:marTop w:val="0"/>
          <w:marBottom w:val="0"/>
          <w:divBdr>
            <w:top w:val="none" w:sz="0" w:space="0" w:color="auto"/>
            <w:left w:val="none" w:sz="0" w:space="0" w:color="auto"/>
            <w:bottom w:val="none" w:sz="0" w:space="0" w:color="auto"/>
            <w:right w:val="none" w:sz="0" w:space="0" w:color="auto"/>
          </w:divBdr>
        </w:div>
      </w:divsChild>
    </w:div>
    <w:div w:id="1271863949">
      <w:bodyDiv w:val="1"/>
      <w:marLeft w:val="0"/>
      <w:marRight w:val="0"/>
      <w:marTop w:val="0"/>
      <w:marBottom w:val="0"/>
      <w:divBdr>
        <w:top w:val="none" w:sz="0" w:space="0" w:color="auto"/>
        <w:left w:val="none" w:sz="0" w:space="0" w:color="auto"/>
        <w:bottom w:val="none" w:sz="0" w:space="0" w:color="auto"/>
        <w:right w:val="none" w:sz="0" w:space="0" w:color="auto"/>
      </w:divBdr>
      <w:divsChild>
        <w:div w:id="586886960">
          <w:marLeft w:val="0"/>
          <w:marRight w:val="0"/>
          <w:marTop w:val="0"/>
          <w:marBottom w:val="0"/>
          <w:divBdr>
            <w:top w:val="none" w:sz="0" w:space="0" w:color="auto"/>
            <w:left w:val="none" w:sz="0" w:space="0" w:color="auto"/>
            <w:bottom w:val="none" w:sz="0" w:space="0" w:color="auto"/>
            <w:right w:val="none" w:sz="0" w:space="0" w:color="auto"/>
          </w:divBdr>
        </w:div>
      </w:divsChild>
    </w:div>
    <w:div w:id="1404528333">
      <w:bodyDiv w:val="1"/>
      <w:marLeft w:val="0"/>
      <w:marRight w:val="0"/>
      <w:marTop w:val="0"/>
      <w:marBottom w:val="0"/>
      <w:divBdr>
        <w:top w:val="none" w:sz="0" w:space="0" w:color="auto"/>
        <w:left w:val="none" w:sz="0" w:space="0" w:color="auto"/>
        <w:bottom w:val="none" w:sz="0" w:space="0" w:color="auto"/>
        <w:right w:val="none" w:sz="0" w:space="0" w:color="auto"/>
      </w:divBdr>
      <w:divsChild>
        <w:div w:id="1718504145">
          <w:marLeft w:val="0"/>
          <w:marRight w:val="0"/>
          <w:marTop w:val="0"/>
          <w:marBottom w:val="0"/>
          <w:divBdr>
            <w:top w:val="none" w:sz="0" w:space="0" w:color="auto"/>
            <w:left w:val="none" w:sz="0" w:space="0" w:color="auto"/>
            <w:bottom w:val="none" w:sz="0" w:space="0" w:color="auto"/>
            <w:right w:val="none" w:sz="0" w:space="0" w:color="auto"/>
          </w:divBdr>
        </w:div>
      </w:divsChild>
    </w:div>
    <w:div w:id="1409230514">
      <w:bodyDiv w:val="1"/>
      <w:marLeft w:val="0"/>
      <w:marRight w:val="0"/>
      <w:marTop w:val="0"/>
      <w:marBottom w:val="0"/>
      <w:divBdr>
        <w:top w:val="none" w:sz="0" w:space="0" w:color="auto"/>
        <w:left w:val="none" w:sz="0" w:space="0" w:color="auto"/>
        <w:bottom w:val="none" w:sz="0" w:space="0" w:color="auto"/>
        <w:right w:val="none" w:sz="0" w:space="0" w:color="auto"/>
      </w:divBdr>
      <w:divsChild>
        <w:div w:id="985546582">
          <w:marLeft w:val="0"/>
          <w:marRight w:val="0"/>
          <w:marTop w:val="0"/>
          <w:marBottom w:val="0"/>
          <w:divBdr>
            <w:top w:val="none" w:sz="0" w:space="0" w:color="auto"/>
            <w:left w:val="none" w:sz="0" w:space="0" w:color="auto"/>
            <w:bottom w:val="none" w:sz="0" w:space="0" w:color="auto"/>
            <w:right w:val="none" w:sz="0" w:space="0" w:color="auto"/>
          </w:divBdr>
        </w:div>
      </w:divsChild>
    </w:div>
    <w:div w:id="1443722903">
      <w:bodyDiv w:val="1"/>
      <w:marLeft w:val="0"/>
      <w:marRight w:val="0"/>
      <w:marTop w:val="0"/>
      <w:marBottom w:val="0"/>
      <w:divBdr>
        <w:top w:val="none" w:sz="0" w:space="0" w:color="auto"/>
        <w:left w:val="none" w:sz="0" w:space="0" w:color="auto"/>
        <w:bottom w:val="none" w:sz="0" w:space="0" w:color="auto"/>
        <w:right w:val="none" w:sz="0" w:space="0" w:color="auto"/>
      </w:divBdr>
      <w:divsChild>
        <w:div w:id="1957441048">
          <w:marLeft w:val="0"/>
          <w:marRight w:val="0"/>
          <w:marTop w:val="0"/>
          <w:marBottom w:val="0"/>
          <w:divBdr>
            <w:top w:val="none" w:sz="0" w:space="0" w:color="auto"/>
            <w:left w:val="none" w:sz="0" w:space="0" w:color="auto"/>
            <w:bottom w:val="none" w:sz="0" w:space="0" w:color="auto"/>
            <w:right w:val="none" w:sz="0" w:space="0" w:color="auto"/>
          </w:divBdr>
        </w:div>
      </w:divsChild>
    </w:div>
    <w:div w:id="1447308734">
      <w:bodyDiv w:val="1"/>
      <w:marLeft w:val="0"/>
      <w:marRight w:val="0"/>
      <w:marTop w:val="0"/>
      <w:marBottom w:val="0"/>
      <w:divBdr>
        <w:top w:val="none" w:sz="0" w:space="0" w:color="auto"/>
        <w:left w:val="none" w:sz="0" w:space="0" w:color="auto"/>
        <w:bottom w:val="none" w:sz="0" w:space="0" w:color="auto"/>
        <w:right w:val="none" w:sz="0" w:space="0" w:color="auto"/>
      </w:divBdr>
      <w:divsChild>
        <w:div w:id="1963222589">
          <w:marLeft w:val="0"/>
          <w:marRight w:val="0"/>
          <w:marTop w:val="0"/>
          <w:marBottom w:val="0"/>
          <w:divBdr>
            <w:top w:val="none" w:sz="0" w:space="0" w:color="auto"/>
            <w:left w:val="none" w:sz="0" w:space="0" w:color="auto"/>
            <w:bottom w:val="none" w:sz="0" w:space="0" w:color="auto"/>
            <w:right w:val="none" w:sz="0" w:space="0" w:color="auto"/>
          </w:divBdr>
        </w:div>
      </w:divsChild>
    </w:div>
    <w:div w:id="1472551040">
      <w:bodyDiv w:val="1"/>
      <w:marLeft w:val="0"/>
      <w:marRight w:val="0"/>
      <w:marTop w:val="0"/>
      <w:marBottom w:val="0"/>
      <w:divBdr>
        <w:top w:val="none" w:sz="0" w:space="0" w:color="auto"/>
        <w:left w:val="none" w:sz="0" w:space="0" w:color="auto"/>
        <w:bottom w:val="none" w:sz="0" w:space="0" w:color="auto"/>
        <w:right w:val="none" w:sz="0" w:space="0" w:color="auto"/>
      </w:divBdr>
      <w:divsChild>
        <w:div w:id="1302223170">
          <w:marLeft w:val="0"/>
          <w:marRight w:val="0"/>
          <w:marTop w:val="0"/>
          <w:marBottom w:val="0"/>
          <w:divBdr>
            <w:top w:val="none" w:sz="0" w:space="0" w:color="auto"/>
            <w:left w:val="none" w:sz="0" w:space="0" w:color="auto"/>
            <w:bottom w:val="none" w:sz="0" w:space="0" w:color="auto"/>
            <w:right w:val="none" w:sz="0" w:space="0" w:color="auto"/>
          </w:divBdr>
        </w:div>
      </w:divsChild>
    </w:div>
    <w:div w:id="1517576618">
      <w:bodyDiv w:val="1"/>
      <w:marLeft w:val="0"/>
      <w:marRight w:val="0"/>
      <w:marTop w:val="0"/>
      <w:marBottom w:val="0"/>
      <w:divBdr>
        <w:top w:val="none" w:sz="0" w:space="0" w:color="auto"/>
        <w:left w:val="none" w:sz="0" w:space="0" w:color="auto"/>
        <w:bottom w:val="none" w:sz="0" w:space="0" w:color="auto"/>
        <w:right w:val="none" w:sz="0" w:space="0" w:color="auto"/>
      </w:divBdr>
      <w:divsChild>
        <w:div w:id="1758282382">
          <w:marLeft w:val="0"/>
          <w:marRight w:val="0"/>
          <w:marTop w:val="0"/>
          <w:marBottom w:val="0"/>
          <w:divBdr>
            <w:top w:val="none" w:sz="0" w:space="0" w:color="auto"/>
            <w:left w:val="none" w:sz="0" w:space="0" w:color="auto"/>
            <w:bottom w:val="none" w:sz="0" w:space="0" w:color="auto"/>
            <w:right w:val="none" w:sz="0" w:space="0" w:color="auto"/>
          </w:divBdr>
        </w:div>
      </w:divsChild>
    </w:div>
    <w:div w:id="1538195838">
      <w:bodyDiv w:val="1"/>
      <w:marLeft w:val="0"/>
      <w:marRight w:val="0"/>
      <w:marTop w:val="0"/>
      <w:marBottom w:val="0"/>
      <w:divBdr>
        <w:top w:val="none" w:sz="0" w:space="0" w:color="auto"/>
        <w:left w:val="none" w:sz="0" w:space="0" w:color="auto"/>
        <w:bottom w:val="none" w:sz="0" w:space="0" w:color="auto"/>
        <w:right w:val="none" w:sz="0" w:space="0" w:color="auto"/>
      </w:divBdr>
      <w:divsChild>
        <w:div w:id="341050260">
          <w:marLeft w:val="0"/>
          <w:marRight w:val="0"/>
          <w:marTop w:val="0"/>
          <w:marBottom w:val="0"/>
          <w:divBdr>
            <w:top w:val="none" w:sz="0" w:space="0" w:color="auto"/>
            <w:left w:val="none" w:sz="0" w:space="0" w:color="auto"/>
            <w:bottom w:val="none" w:sz="0" w:space="0" w:color="auto"/>
            <w:right w:val="none" w:sz="0" w:space="0" w:color="auto"/>
          </w:divBdr>
        </w:div>
      </w:divsChild>
    </w:div>
    <w:div w:id="1594897938">
      <w:bodyDiv w:val="1"/>
      <w:marLeft w:val="0"/>
      <w:marRight w:val="0"/>
      <w:marTop w:val="0"/>
      <w:marBottom w:val="0"/>
      <w:divBdr>
        <w:top w:val="none" w:sz="0" w:space="0" w:color="auto"/>
        <w:left w:val="none" w:sz="0" w:space="0" w:color="auto"/>
        <w:bottom w:val="none" w:sz="0" w:space="0" w:color="auto"/>
        <w:right w:val="none" w:sz="0" w:space="0" w:color="auto"/>
      </w:divBdr>
      <w:divsChild>
        <w:div w:id="1258640069">
          <w:marLeft w:val="0"/>
          <w:marRight w:val="0"/>
          <w:marTop w:val="0"/>
          <w:marBottom w:val="0"/>
          <w:divBdr>
            <w:top w:val="none" w:sz="0" w:space="0" w:color="auto"/>
            <w:left w:val="none" w:sz="0" w:space="0" w:color="auto"/>
            <w:bottom w:val="none" w:sz="0" w:space="0" w:color="auto"/>
            <w:right w:val="none" w:sz="0" w:space="0" w:color="auto"/>
          </w:divBdr>
        </w:div>
      </w:divsChild>
    </w:div>
    <w:div w:id="1627004499">
      <w:bodyDiv w:val="1"/>
      <w:marLeft w:val="0"/>
      <w:marRight w:val="0"/>
      <w:marTop w:val="0"/>
      <w:marBottom w:val="0"/>
      <w:divBdr>
        <w:top w:val="none" w:sz="0" w:space="0" w:color="auto"/>
        <w:left w:val="none" w:sz="0" w:space="0" w:color="auto"/>
        <w:bottom w:val="none" w:sz="0" w:space="0" w:color="auto"/>
        <w:right w:val="none" w:sz="0" w:space="0" w:color="auto"/>
      </w:divBdr>
      <w:divsChild>
        <w:div w:id="630719671">
          <w:marLeft w:val="0"/>
          <w:marRight w:val="0"/>
          <w:marTop w:val="0"/>
          <w:marBottom w:val="0"/>
          <w:divBdr>
            <w:top w:val="none" w:sz="0" w:space="0" w:color="auto"/>
            <w:left w:val="none" w:sz="0" w:space="0" w:color="auto"/>
            <w:bottom w:val="none" w:sz="0" w:space="0" w:color="auto"/>
            <w:right w:val="none" w:sz="0" w:space="0" w:color="auto"/>
          </w:divBdr>
        </w:div>
      </w:divsChild>
    </w:div>
    <w:div w:id="1683312881">
      <w:bodyDiv w:val="1"/>
      <w:marLeft w:val="0"/>
      <w:marRight w:val="0"/>
      <w:marTop w:val="0"/>
      <w:marBottom w:val="0"/>
      <w:divBdr>
        <w:top w:val="none" w:sz="0" w:space="0" w:color="auto"/>
        <w:left w:val="none" w:sz="0" w:space="0" w:color="auto"/>
        <w:bottom w:val="none" w:sz="0" w:space="0" w:color="auto"/>
        <w:right w:val="none" w:sz="0" w:space="0" w:color="auto"/>
      </w:divBdr>
      <w:divsChild>
        <w:div w:id="2004894994">
          <w:marLeft w:val="0"/>
          <w:marRight w:val="0"/>
          <w:marTop w:val="0"/>
          <w:marBottom w:val="0"/>
          <w:divBdr>
            <w:top w:val="none" w:sz="0" w:space="0" w:color="auto"/>
            <w:left w:val="none" w:sz="0" w:space="0" w:color="auto"/>
            <w:bottom w:val="none" w:sz="0" w:space="0" w:color="auto"/>
            <w:right w:val="none" w:sz="0" w:space="0" w:color="auto"/>
          </w:divBdr>
        </w:div>
      </w:divsChild>
    </w:div>
    <w:div w:id="1914196052">
      <w:bodyDiv w:val="1"/>
      <w:marLeft w:val="0"/>
      <w:marRight w:val="0"/>
      <w:marTop w:val="0"/>
      <w:marBottom w:val="0"/>
      <w:divBdr>
        <w:top w:val="none" w:sz="0" w:space="0" w:color="auto"/>
        <w:left w:val="none" w:sz="0" w:space="0" w:color="auto"/>
        <w:bottom w:val="none" w:sz="0" w:space="0" w:color="auto"/>
        <w:right w:val="none" w:sz="0" w:space="0" w:color="auto"/>
      </w:divBdr>
      <w:divsChild>
        <w:div w:id="639573077">
          <w:marLeft w:val="0"/>
          <w:marRight w:val="0"/>
          <w:marTop w:val="0"/>
          <w:marBottom w:val="0"/>
          <w:divBdr>
            <w:top w:val="none" w:sz="0" w:space="0" w:color="auto"/>
            <w:left w:val="none" w:sz="0" w:space="0" w:color="auto"/>
            <w:bottom w:val="none" w:sz="0" w:space="0" w:color="auto"/>
            <w:right w:val="none" w:sz="0" w:space="0" w:color="auto"/>
          </w:divBdr>
        </w:div>
      </w:divsChild>
    </w:div>
    <w:div w:id="1919166541">
      <w:bodyDiv w:val="1"/>
      <w:marLeft w:val="0"/>
      <w:marRight w:val="0"/>
      <w:marTop w:val="0"/>
      <w:marBottom w:val="0"/>
      <w:divBdr>
        <w:top w:val="none" w:sz="0" w:space="0" w:color="auto"/>
        <w:left w:val="none" w:sz="0" w:space="0" w:color="auto"/>
        <w:bottom w:val="none" w:sz="0" w:space="0" w:color="auto"/>
        <w:right w:val="none" w:sz="0" w:space="0" w:color="auto"/>
      </w:divBdr>
      <w:divsChild>
        <w:div w:id="500433693">
          <w:marLeft w:val="0"/>
          <w:marRight w:val="0"/>
          <w:marTop w:val="0"/>
          <w:marBottom w:val="0"/>
          <w:divBdr>
            <w:top w:val="none" w:sz="0" w:space="0" w:color="auto"/>
            <w:left w:val="none" w:sz="0" w:space="0" w:color="auto"/>
            <w:bottom w:val="none" w:sz="0" w:space="0" w:color="auto"/>
            <w:right w:val="none" w:sz="0" w:space="0" w:color="auto"/>
          </w:divBdr>
        </w:div>
      </w:divsChild>
    </w:div>
    <w:div w:id="2114935781">
      <w:bodyDiv w:val="1"/>
      <w:marLeft w:val="0"/>
      <w:marRight w:val="0"/>
      <w:marTop w:val="0"/>
      <w:marBottom w:val="0"/>
      <w:divBdr>
        <w:top w:val="none" w:sz="0" w:space="0" w:color="auto"/>
        <w:left w:val="none" w:sz="0" w:space="0" w:color="auto"/>
        <w:bottom w:val="none" w:sz="0" w:space="0" w:color="auto"/>
        <w:right w:val="none" w:sz="0" w:space="0" w:color="auto"/>
      </w:divBdr>
      <w:divsChild>
        <w:div w:id="985621858">
          <w:marLeft w:val="0"/>
          <w:marRight w:val="0"/>
          <w:marTop w:val="0"/>
          <w:marBottom w:val="0"/>
          <w:divBdr>
            <w:top w:val="none" w:sz="0" w:space="0" w:color="auto"/>
            <w:left w:val="none" w:sz="0" w:space="0" w:color="auto"/>
            <w:bottom w:val="none" w:sz="0" w:space="0" w:color="auto"/>
            <w:right w:val="none" w:sz="0" w:space="0" w:color="auto"/>
          </w:divBdr>
        </w:div>
      </w:divsChild>
    </w:div>
    <w:div w:id="2120905381">
      <w:bodyDiv w:val="1"/>
      <w:marLeft w:val="0"/>
      <w:marRight w:val="0"/>
      <w:marTop w:val="0"/>
      <w:marBottom w:val="0"/>
      <w:divBdr>
        <w:top w:val="none" w:sz="0" w:space="0" w:color="auto"/>
        <w:left w:val="none" w:sz="0" w:space="0" w:color="auto"/>
        <w:bottom w:val="none" w:sz="0" w:space="0" w:color="auto"/>
        <w:right w:val="none" w:sz="0" w:space="0" w:color="auto"/>
      </w:divBdr>
      <w:divsChild>
        <w:div w:id="1741100817">
          <w:marLeft w:val="0"/>
          <w:marRight w:val="0"/>
          <w:marTop w:val="0"/>
          <w:marBottom w:val="0"/>
          <w:divBdr>
            <w:top w:val="none" w:sz="0" w:space="0" w:color="auto"/>
            <w:left w:val="none" w:sz="0" w:space="0" w:color="auto"/>
            <w:bottom w:val="none" w:sz="0" w:space="0" w:color="auto"/>
            <w:right w:val="none" w:sz="0" w:space="0" w:color="auto"/>
          </w:divBdr>
        </w:div>
      </w:divsChild>
    </w:div>
    <w:div w:id="2125684525">
      <w:bodyDiv w:val="1"/>
      <w:marLeft w:val="0"/>
      <w:marRight w:val="0"/>
      <w:marTop w:val="0"/>
      <w:marBottom w:val="0"/>
      <w:divBdr>
        <w:top w:val="none" w:sz="0" w:space="0" w:color="auto"/>
        <w:left w:val="none" w:sz="0" w:space="0" w:color="auto"/>
        <w:bottom w:val="none" w:sz="0" w:space="0" w:color="auto"/>
        <w:right w:val="none" w:sz="0" w:space="0" w:color="auto"/>
      </w:divBdr>
      <w:divsChild>
        <w:div w:id="1075467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146/ANNUREV-CONMATPHYS-070909-104117" TargetMode="External"/><Relationship Id="rId21" Type="http://schemas.openxmlformats.org/officeDocument/2006/relationships/hyperlink" Target="https://doi.org/10.1103/PHYSREVB.101.125107" TargetMode="External"/><Relationship Id="rId42" Type="http://schemas.openxmlformats.org/officeDocument/2006/relationships/hyperlink" Target="https://doi.org/10.1073/PNAS.1821454116" TargetMode="External"/><Relationship Id="rId47" Type="http://schemas.openxmlformats.org/officeDocument/2006/relationships/hyperlink" Target="https://doi.org/10.48550/arxiv.2401.12647" TargetMode="External"/><Relationship Id="rId63" Type="http://schemas.openxmlformats.org/officeDocument/2006/relationships/hyperlink" Target="https://doi.org/10.1103/PHYSREVLETT.63.1996" TargetMode="External"/><Relationship Id="rId68" Type="http://schemas.openxmlformats.org/officeDocument/2006/relationships/hyperlink" Target="https://doi.org/10.1103/PHYSREVB.103.144514" TargetMode="External"/><Relationship Id="rId84" Type="http://schemas.openxmlformats.org/officeDocument/2006/relationships/hyperlink" Target="https://doi.org/10.1103/PHYSREVLETT.100.127002" TargetMode="External"/><Relationship Id="rId89" Type="http://schemas.openxmlformats.org/officeDocument/2006/relationships/hyperlink" Target="https://doi.org/10.21203/rs.3.rs-3514922/v1" TargetMode="External"/><Relationship Id="rId16" Type="http://schemas.openxmlformats.org/officeDocument/2006/relationships/hyperlink" Target="https://doi.org/10.48550/arxiv.2309.11874" TargetMode="External"/><Relationship Id="rId11" Type="http://schemas.openxmlformats.org/officeDocument/2006/relationships/image" Target="media/image4.emf"/><Relationship Id="rId32" Type="http://schemas.openxmlformats.org/officeDocument/2006/relationships/hyperlink" Target="https://doi.org/10.1038/S41567-020-0950-5" TargetMode="External"/><Relationship Id="rId37" Type="http://schemas.openxmlformats.org/officeDocument/2006/relationships/hyperlink" Target="https://doi.org/10.1143/JPSJ.81.011006" TargetMode="External"/><Relationship Id="rId53" Type="http://schemas.openxmlformats.org/officeDocument/2006/relationships/hyperlink" Target="https://doi.org/10.1080/08940886.2023.2224733" TargetMode="External"/><Relationship Id="rId58" Type="http://schemas.openxmlformats.org/officeDocument/2006/relationships/hyperlink" Target="https://doi.org/10.1103/PHYSREVB.101.174512" TargetMode="External"/><Relationship Id="rId74" Type="http://schemas.openxmlformats.org/officeDocument/2006/relationships/hyperlink" Target="https://doi.org/10.1007/978-1-4613-0947-5_2" TargetMode="External"/><Relationship Id="rId79" Type="http://schemas.openxmlformats.org/officeDocument/2006/relationships/hyperlink" Target="https://doi.org/10.1088/0256-307x/41/4/047401" TargetMode="Externa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s://doi.org/10.1038/S41586-019-0932-X" TargetMode="External"/><Relationship Id="rId27" Type="http://schemas.openxmlformats.org/officeDocument/2006/relationships/hyperlink" Target="https://doi.org/10.1038/NATURE16983" TargetMode="External"/><Relationship Id="rId43" Type="http://schemas.openxmlformats.org/officeDocument/2006/relationships/hyperlink" Target="https://doi.org/10.1007/s10948-022-06171-2" TargetMode="External"/><Relationship Id="rId48" Type="http://schemas.openxmlformats.org/officeDocument/2006/relationships/hyperlink" Target="http://export.arxiv.org/pdf/2110.06563" TargetMode="External"/><Relationship Id="rId64" Type="http://schemas.openxmlformats.org/officeDocument/2006/relationships/hyperlink" Target="https://doi.org/10.1103/PHYSREVRESEARCH.2.023172" TargetMode="External"/><Relationship Id="rId69" Type="http://schemas.openxmlformats.org/officeDocument/2006/relationships/hyperlink" Target="https://doi.org/10.1103/physrevb.109.155120" TargetMode="External"/><Relationship Id="rId80" Type="http://schemas.openxmlformats.org/officeDocument/2006/relationships/hyperlink" Target="https://doi.org/10.1103/PHYSREVB.101.064502" TargetMode="External"/><Relationship Id="rId85" Type="http://schemas.openxmlformats.org/officeDocument/2006/relationships/hyperlink" Target="https://doi.org/10.1103/PHYSREVLETT.96.19700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088/1674-1056/ABFA04" TargetMode="External"/><Relationship Id="rId25" Type="http://schemas.openxmlformats.org/officeDocument/2006/relationships/hyperlink" Target="https://doi.org/10.1038/s41567-022-01825-3" TargetMode="External"/><Relationship Id="rId33" Type="http://schemas.openxmlformats.org/officeDocument/2006/relationships/hyperlink" Target="https://doi.org/10.1073/pnas.2406624122" TargetMode="External"/><Relationship Id="rId38" Type="http://schemas.openxmlformats.org/officeDocument/2006/relationships/hyperlink" Target="https://doi.org/10.1016/J.PHYSE.2021.115052" TargetMode="External"/><Relationship Id="rId46" Type="http://schemas.openxmlformats.org/officeDocument/2006/relationships/hyperlink" Target="https://doi.org/10.1103/PHYSREVX.9.031042" TargetMode="External"/><Relationship Id="rId59" Type="http://schemas.openxmlformats.org/officeDocument/2006/relationships/hyperlink" Target="https://doi.org/10.1103/PHYSREVB.95.224517" TargetMode="External"/><Relationship Id="rId67" Type="http://schemas.openxmlformats.org/officeDocument/2006/relationships/hyperlink" Target="https://doi.org/10.1103/PHYSREVLETT.108.216401" TargetMode="External"/><Relationship Id="rId20" Type="http://schemas.openxmlformats.org/officeDocument/2006/relationships/hyperlink" Target="https://doi.org/10.1038/S41535-020-0208-6" TargetMode="External"/><Relationship Id="rId41" Type="http://schemas.openxmlformats.org/officeDocument/2006/relationships/hyperlink" Target="https://doi.org/10.1002/CHIN.200215010" TargetMode="External"/><Relationship Id="rId54" Type="http://schemas.openxmlformats.org/officeDocument/2006/relationships/hyperlink" Target="https://doi.org/10.1038/NPHYS4205" TargetMode="External"/><Relationship Id="rId62" Type="http://schemas.openxmlformats.org/officeDocument/2006/relationships/hyperlink" Target="https://doi.org/10.1038/NPHYS4302" TargetMode="External"/><Relationship Id="rId70" Type="http://schemas.openxmlformats.org/officeDocument/2006/relationships/hyperlink" Target="https://doi.org/10.1103/PHYSREV.131.993" TargetMode="External"/><Relationship Id="rId75" Type="http://schemas.openxmlformats.org/officeDocument/2006/relationships/hyperlink" Target="https://doi.org/10.1103/PHYSREVB.102.075108" TargetMode="External"/><Relationship Id="rId83" Type="http://schemas.openxmlformats.org/officeDocument/2006/relationships/hyperlink" Target="https://doi.org/10.1103/physrevresearch.4.013175" TargetMode="External"/><Relationship Id="rId88" Type="http://schemas.openxmlformats.org/officeDocument/2006/relationships/hyperlink" Target="https://doi.org/10.1038/s41535-025-00808-w"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i.org/10.1038/S41567-018-0334-2" TargetMode="External"/><Relationship Id="rId28" Type="http://schemas.openxmlformats.org/officeDocument/2006/relationships/hyperlink" Target="https://doi.org/10.1103/PHYSREVB.97.174521" TargetMode="External"/><Relationship Id="rId36" Type="http://schemas.openxmlformats.org/officeDocument/2006/relationships/hyperlink" Target="https://doi.org/10.1038/NPHYS3009" TargetMode="External"/><Relationship Id="rId49" Type="http://schemas.openxmlformats.org/officeDocument/2006/relationships/hyperlink" Target="https://doi.org/10.1103/REVMODPHYS.77.721" TargetMode="External"/><Relationship Id="rId57" Type="http://schemas.openxmlformats.org/officeDocument/2006/relationships/hyperlink" Target="https://doi.org/10.1103/PHYSREVB.103.214506" TargetMode="External"/><Relationship Id="rId10" Type="http://schemas.openxmlformats.org/officeDocument/2006/relationships/image" Target="media/image3.png"/><Relationship Id="rId31" Type="http://schemas.openxmlformats.org/officeDocument/2006/relationships/hyperlink" Target="https://doi.org/10.1103/PHYSREVB.97.064502" TargetMode="External"/><Relationship Id="rId44" Type="http://schemas.openxmlformats.org/officeDocument/2006/relationships/hyperlink" Target="https://doi.org/10.48550/arxiv.2411.08142" TargetMode="External"/><Relationship Id="rId52" Type="http://schemas.openxmlformats.org/officeDocument/2006/relationships/hyperlink" Target="https://doi.org/10.1016/j.ssc.2022.114689" TargetMode="External"/><Relationship Id="rId60" Type="http://schemas.openxmlformats.org/officeDocument/2006/relationships/hyperlink" Target="https://doi.org/10.1103/PHYSREVB.104.014515" TargetMode="External"/><Relationship Id="rId65" Type="http://schemas.openxmlformats.org/officeDocument/2006/relationships/hyperlink" Target="https://doi.org/10.1126/science.abq6011" TargetMode="External"/><Relationship Id="rId73" Type="http://schemas.openxmlformats.org/officeDocument/2006/relationships/hyperlink" Target="https://doi.org/10.48550/arxiv.2501.09121" TargetMode="External"/><Relationship Id="rId78" Type="http://schemas.openxmlformats.org/officeDocument/2006/relationships/hyperlink" Target="https://doi.org/10.1038/NATURE19061" TargetMode="External"/><Relationship Id="rId81" Type="http://schemas.openxmlformats.org/officeDocument/2006/relationships/hyperlink" Target="https://doi.org/10.1146/ANNUREV-CONMATPHYS-031119-050711" TargetMode="External"/><Relationship Id="rId86" Type="http://schemas.openxmlformats.org/officeDocument/2006/relationships/hyperlink" Target="https://doi.org/10.1038/NATURE07251" TargetMode="External"/><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https://doi.org/10.48550/arxiv.2410.10019" TargetMode="External"/><Relationship Id="rId39" Type="http://schemas.openxmlformats.org/officeDocument/2006/relationships/hyperlink" Target="https://doi.org/10.1007/S11433-019-9454-6" TargetMode="External"/><Relationship Id="rId34" Type="http://schemas.openxmlformats.org/officeDocument/2006/relationships/hyperlink" Target="https://doi.org/10.1103/physrevb.110.125154" TargetMode="External"/><Relationship Id="rId50" Type="http://schemas.openxmlformats.org/officeDocument/2006/relationships/hyperlink" Target="https://doi.org/10.1126/SCIENCE.AAA4990" TargetMode="External"/><Relationship Id="rId55" Type="http://schemas.openxmlformats.org/officeDocument/2006/relationships/hyperlink" Target="https://doi.org/10.1073/PNAS.1908786116" TargetMode="External"/><Relationship Id="rId76" Type="http://schemas.openxmlformats.org/officeDocument/2006/relationships/hyperlink" Target="https://doi.org/10.1103/physrevresearch.6.023328"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7/978-1-4757-5714-9"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doi.org/10.1073/PNAS.2106881118" TargetMode="External"/><Relationship Id="rId24" Type="http://schemas.openxmlformats.org/officeDocument/2006/relationships/hyperlink" Target="https://doi.org/10.48550/arxiv.2402.02785" TargetMode="External"/><Relationship Id="rId40" Type="http://schemas.openxmlformats.org/officeDocument/2006/relationships/hyperlink" Target="https://doi.org/10.3389/femat.2024.1473324" TargetMode="External"/><Relationship Id="rId45" Type="http://schemas.openxmlformats.org/officeDocument/2006/relationships/hyperlink" Target="https://doi.org/10.7566/JPSJ.90.111005" TargetMode="External"/><Relationship Id="rId66" Type="http://schemas.openxmlformats.org/officeDocument/2006/relationships/hyperlink" Target="http://ui.adsabs.harvard.edu/abs/2004cond.mat.10445L/abstract" TargetMode="External"/><Relationship Id="rId87" Type="http://schemas.openxmlformats.org/officeDocument/2006/relationships/hyperlink" Target="https://doi.org/10.1103/PHYSREVB.102.075113" TargetMode="External"/><Relationship Id="rId61" Type="http://schemas.openxmlformats.org/officeDocument/2006/relationships/hyperlink" Target="https://doi.org/10.48550/arxiv.2412.04790" TargetMode="External"/><Relationship Id="rId82" Type="http://schemas.openxmlformats.org/officeDocument/2006/relationships/hyperlink" Target="https://doi.org/10.1038/S41586-020-2143-X" TargetMode="External"/><Relationship Id="rId19" Type="http://schemas.openxmlformats.org/officeDocument/2006/relationships/hyperlink" Target="https://doi.org/10.48550/arxiv.2409.15928" TargetMode="External"/><Relationship Id="rId14" Type="http://schemas.openxmlformats.org/officeDocument/2006/relationships/image" Target="media/image7.png"/><Relationship Id="rId30" Type="http://schemas.openxmlformats.org/officeDocument/2006/relationships/hyperlink" Target="https://doi.org/10.1016/S0921-4534(00)01524-0" TargetMode="External"/><Relationship Id="rId35" Type="http://schemas.openxmlformats.org/officeDocument/2006/relationships/hyperlink" Target="https://doi.org/10.1051/JP1:1997135" TargetMode="External"/><Relationship Id="rId56" Type="http://schemas.openxmlformats.org/officeDocument/2006/relationships/hyperlink" Target="https://doi.org/10.48550/arxiv.2401.05213" TargetMode="External"/><Relationship Id="rId77" Type="http://schemas.openxmlformats.org/officeDocument/2006/relationships/hyperlink" Target="https://doi.org/10.1103/PHYSREVLETT.62.2317" TargetMode="External"/><Relationship Id="rId8" Type="http://schemas.openxmlformats.org/officeDocument/2006/relationships/image" Target="media/image1.png"/><Relationship Id="rId51" Type="http://schemas.openxmlformats.org/officeDocument/2006/relationships/hyperlink" Target="https://doi.org/10.1126/sciadv.adg9211" TargetMode="External"/><Relationship Id="rId72" Type="http://schemas.openxmlformats.org/officeDocument/2006/relationships/hyperlink" Target="https://doi.org/10.1103/physrevb.104.235154" TargetMode="External"/><Relationship Id="rId9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01D50-BD76-472D-87CA-8400957D7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21</Pages>
  <Words>8740</Words>
  <Characters>49820</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9</cp:revision>
  <dcterms:created xsi:type="dcterms:W3CDTF">2025-10-21T15:27:00Z</dcterms:created>
  <dcterms:modified xsi:type="dcterms:W3CDTF">2025-10-22T10:14:00Z</dcterms:modified>
</cp:coreProperties>
</file>