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B9428" w14:textId="77777777" w:rsidR="00CE0CEF" w:rsidRPr="00FA0F40" w:rsidRDefault="00CE0CEF" w:rsidP="00063C8F">
      <w:pPr>
        <w:pStyle w:val="ds-markdown-paragraph"/>
        <w:shd w:val="clear" w:color="auto" w:fill="FFFFFF"/>
        <w:spacing w:before="240" w:beforeAutospacing="0" w:after="240" w:afterAutospacing="0" w:line="360" w:lineRule="auto"/>
        <w:jc w:val="both"/>
        <w:rPr>
          <w:color w:val="0F1115"/>
          <w:sz w:val="36"/>
        </w:rPr>
      </w:pPr>
      <w:r w:rsidRPr="00FA0F40">
        <w:rPr>
          <w:rStyle w:val="Strong"/>
          <w:color w:val="0F1115"/>
          <w:sz w:val="36"/>
        </w:rPr>
        <w:t xml:space="preserve">Contribution of Vegetable Gardens in Combating Acute Malnutrition among Children Aged 6-59 Months in Karusi Province, Case of </w:t>
      </w:r>
      <w:proofErr w:type="spellStart"/>
      <w:r w:rsidRPr="00FA0F40">
        <w:rPr>
          <w:rStyle w:val="Strong"/>
          <w:color w:val="0F1115"/>
          <w:sz w:val="36"/>
        </w:rPr>
        <w:t>Nyabikere</w:t>
      </w:r>
      <w:proofErr w:type="spellEnd"/>
      <w:r w:rsidRPr="00FA0F40">
        <w:rPr>
          <w:rStyle w:val="Strong"/>
          <w:color w:val="0F1115"/>
          <w:sz w:val="36"/>
        </w:rPr>
        <w:t xml:space="preserve"> Commune</w:t>
      </w:r>
      <w:r w:rsidR="00FA0F40">
        <w:rPr>
          <w:rStyle w:val="Strong"/>
          <w:color w:val="0F1115"/>
          <w:sz w:val="36"/>
        </w:rPr>
        <w:t>.</w:t>
      </w:r>
    </w:p>
    <w:p w14:paraId="6B3B9D3F" w14:textId="77777777" w:rsidR="006B77BC" w:rsidRDefault="006B77BC" w:rsidP="00063C8F">
      <w:pPr>
        <w:pStyle w:val="ds-markdown-paragraph"/>
        <w:shd w:val="clear" w:color="auto" w:fill="FFFFFF"/>
        <w:spacing w:before="240" w:beforeAutospacing="0" w:after="240" w:afterAutospacing="0" w:line="360" w:lineRule="auto"/>
        <w:jc w:val="both"/>
        <w:rPr>
          <w:rStyle w:val="Strong"/>
          <w:color w:val="0F1115"/>
        </w:rPr>
      </w:pPr>
    </w:p>
    <w:p w14:paraId="69E56D24" w14:textId="1698492A"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rStyle w:val="Strong"/>
          <w:color w:val="0F1115"/>
        </w:rPr>
        <w:t>ABSTRACT</w:t>
      </w:r>
    </w:p>
    <w:p w14:paraId="2198FD3C"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This study aimed to assess the contribution of vegetable gardens to combating acute malnutrition in children aged 6-59 months in </w:t>
      </w:r>
      <w:proofErr w:type="spellStart"/>
      <w:r w:rsidRPr="00063C8F">
        <w:rPr>
          <w:color w:val="0F1115"/>
        </w:rPr>
        <w:t>Nyabikere</w:t>
      </w:r>
      <w:proofErr w:type="spellEnd"/>
      <w:r w:rsidRPr="00063C8F">
        <w:rPr>
          <w:color w:val="0F1115"/>
        </w:rPr>
        <w:t xml:space="preserve"> commune, </w:t>
      </w:r>
      <w:proofErr w:type="spellStart"/>
      <w:r w:rsidRPr="00063C8F">
        <w:rPr>
          <w:color w:val="0F1115"/>
        </w:rPr>
        <w:t>Karusi</w:t>
      </w:r>
      <w:proofErr w:type="spellEnd"/>
      <w:r w:rsidRPr="00063C8F">
        <w:rPr>
          <w:color w:val="0F1115"/>
        </w:rPr>
        <w:t xml:space="preserve"> province, Burundi.</w:t>
      </w:r>
      <w:r w:rsidR="00B549B2" w:rsidRPr="00063C8F">
        <w:rPr>
          <w:color w:val="0F1115"/>
        </w:rPr>
        <w:t xml:space="preserve"> </w:t>
      </w:r>
      <w:r w:rsidRPr="00063C8F">
        <w:rPr>
          <w:color w:val="0F1115"/>
        </w:rPr>
        <w:t>A cross-sectional study with descriptive and analytical components.</w:t>
      </w:r>
      <w:r w:rsidR="00B549B2" w:rsidRPr="00063C8F">
        <w:rPr>
          <w:color w:val="0F1115"/>
        </w:rPr>
        <w:t xml:space="preserve"> </w:t>
      </w:r>
      <w:r w:rsidRPr="00063C8F">
        <w:rPr>
          <w:color w:val="0F1115"/>
        </w:rPr>
        <w:t xml:space="preserve">The study was conducted in </w:t>
      </w:r>
      <w:proofErr w:type="spellStart"/>
      <w:r w:rsidRPr="00063C8F">
        <w:rPr>
          <w:color w:val="0F1115"/>
        </w:rPr>
        <w:t>Nyabikere</w:t>
      </w:r>
      <w:proofErr w:type="spellEnd"/>
      <w:r w:rsidRPr="00063C8F">
        <w:rPr>
          <w:color w:val="0F1115"/>
        </w:rPr>
        <w:t xml:space="preserve"> commune, </w:t>
      </w:r>
      <w:proofErr w:type="spellStart"/>
      <w:r w:rsidRPr="00063C8F">
        <w:rPr>
          <w:color w:val="0F1115"/>
        </w:rPr>
        <w:t>Karusi</w:t>
      </w:r>
      <w:proofErr w:type="spellEnd"/>
      <w:r w:rsidRPr="00063C8F">
        <w:rPr>
          <w:color w:val="0F1115"/>
        </w:rPr>
        <w:t xml:space="preserve"> province, from July to September 2024.</w:t>
      </w:r>
      <w:r w:rsidR="00B549B2" w:rsidRPr="00063C8F">
        <w:rPr>
          <w:color w:val="0F1115"/>
        </w:rPr>
        <w:t xml:space="preserve"> </w:t>
      </w:r>
      <w:r w:rsidRPr="00063C8F">
        <w:rPr>
          <w:color w:val="0F1115"/>
        </w:rPr>
        <w:t>A sample of 372 children from 372 households with children under five years was selected using systematic random sampling, comprising 186 households with vegetable gardens and 186 without.</w:t>
      </w:r>
      <w:r w:rsidR="00B549B2" w:rsidRPr="00063C8F">
        <w:rPr>
          <w:color w:val="0F1115"/>
        </w:rPr>
        <w:t xml:space="preserve"> </w:t>
      </w:r>
      <w:r w:rsidRPr="00063C8F">
        <w:rPr>
          <w:color w:val="0F1115"/>
        </w:rPr>
        <w:t>Data were collected through household surveys, anthropometric measurements (weight, height, MUAC), and interviews with local stakeholders. Nutritional status was assessed using weight-for-age and weight-for-height Z-scores according to WHO standards. Data were analyzed using descriptive statistics and comparative analysis.</w:t>
      </w:r>
      <w:r w:rsidR="00B549B2" w:rsidRPr="00063C8F">
        <w:rPr>
          <w:color w:val="0F1115"/>
        </w:rPr>
        <w:t xml:space="preserve"> </w:t>
      </w:r>
      <w:r w:rsidRPr="00063C8F">
        <w:rPr>
          <w:color w:val="0F1115"/>
        </w:rPr>
        <w:t>The results revealed a significant difference in nutritional status between children from households with and without vegetable gardens. The prevalence of acute malnutrition was 4% among children from gardening households compared to 5.37% in non-gardening households. Similarly, underweight prevalence was 32% versus 38.70% respectively. Households with access to other sources of fruits and vegetables showed a malnutrition rate of 3.38%, compared to 27.77% among those without access. Furthermore, 87.36% of households reported receiving information or training on gardening and nutrition.</w:t>
      </w:r>
      <w:r w:rsidR="00B549B2" w:rsidRPr="00063C8F">
        <w:rPr>
          <w:color w:val="0F1115"/>
        </w:rPr>
        <w:t xml:space="preserve"> </w:t>
      </w:r>
      <w:r w:rsidRPr="00063C8F">
        <w:rPr>
          <w:color w:val="0F1115"/>
        </w:rPr>
        <w:t xml:space="preserve">Vegetable gardens significantly contribute to reducing acute malnutrition among children in </w:t>
      </w:r>
      <w:proofErr w:type="spellStart"/>
      <w:r w:rsidRPr="00063C8F">
        <w:rPr>
          <w:color w:val="0F1115"/>
        </w:rPr>
        <w:t>Nyabikere</w:t>
      </w:r>
      <w:proofErr w:type="spellEnd"/>
      <w:r w:rsidRPr="00063C8F">
        <w:rPr>
          <w:color w:val="0F1115"/>
        </w:rPr>
        <w:t xml:space="preserve"> commune by improving dietary diversity and food security. Promoting vegetable gardening, coupled with nutritional education, represents a sustainable strategy for combating child malnutrition in rural Burundi.</w:t>
      </w:r>
    </w:p>
    <w:p w14:paraId="0537A3A4" w14:textId="77777777" w:rsidR="00CE0CEF" w:rsidRPr="00063C8F" w:rsidRDefault="00CE0CEF" w:rsidP="00063C8F">
      <w:pPr>
        <w:pStyle w:val="ds-markdown-paragraph"/>
        <w:shd w:val="clear" w:color="auto" w:fill="FFFFFF"/>
        <w:spacing w:before="240" w:beforeAutospacing="0" w:after="240" w:afterAutospacing="0" w:line="360" w:lineRule="auto"/>
        <w:jc w:val="both"/>
        <w:rPr>
          <w:i/>
          <w:color w:val="0F1115"/>
        </w:rPr>
      </w:pPr>
      <w:r w:rsidRPr="00063C8F">
        <w:rPr>
          <w:rStyle w:val="Strong"/>
          <w:i/>
          <w:color w:val="0F1115"/>
        </w:rPr>
        <w:t>Keywords:</w:t>
      </w:r>
      <w:r w:rsidRPr="00063C8F">
        <w:rPr>
          <w:i/>
          <w:color w:val="0F1115"/>
        </w:rPr>
        <w:t> </w:t>
      </w:r>
      <w:proofErr w:type="spellStart"/>
      <w:r w:rsidRPr="00063C8F">
        <w:rPr>
          <w:i/>
          <w:color w:val="0F1115"/>
        </w:rPr>
        <w:t>Nyabikere</w:t>
      </w:r>
      <w:proofErr w:type="spellEnd"/>
      <w:r w:rsidRPr="00063C8F">
        <w:rPr>
          <w:i/>
          <w:color w:val="0F1115"/>
        </w:rPr>
        <w:t xml:space="preserve"> commune, acute malnutrition, children under five, vegetable gardens, dietary diversity.</w:t>
      </w:r>
    </w:p>
    <w:p w14:paraId="428D90F0" w14:textId="77777777" w:rsidR="00CE0CEF" w:rsidRPr="00063C8F" w:rsidRDefault="00CE0CEF" w:rsidP="00063C8F">
      <w:pPr>
        <w:spacing w:before="480" w:after="480" w:line="360" w:lineRule="auto"/>
        <w:jc w:val="both"/>
        <w:rPr>
          <w:rFonts w:ascii="Times New Roman" w:hAnsi="Times New Roman" w:cs="Times New Roman"/>
          <w:sz w:val="24"/>
          <w:szCs w:val="24"/>
        </w:rPr>
      </w:pPr>
    </w:p>
    <w:p w14:paraId="6CBF1850" w14:textId="77777777" w:rsidR="00CE0CEF" w:rsidRPr="00063C8F" w:rsidRDefault="00CE0CEF" w:rsidP="00063C8F">
      <w:pPr>
        <w:pStyle w:val="Heading3"/>
        <w:shd w:val="clear" w:color="auto" w:fill="FFFFFF"/>
        <w:spacing w:before="480" w:beforeAutospacing="0" w:after="240" w:afterAutospacing="0" w:line="360" w:lineRule="auto"/>
        <w:jc w:val="both"/>
        <w:rPr>
          <w:color w:val="0F1115"/>
          <w:sz w:val="24"/>
          <w:szCs w:val="24"/>
        </w:rPr>
      </w:pPr>
      <w:r w:rsidRPr="00063C8F">
        <w:rPr>
          <w:rStyle w:val="Strong"/>
          <w:b/>
          <w:bCs/>
          <w:color w:val="0F1115"/>
          <w:sz w:val="24"/>
          <w:szCs w:val="24"/>
        </w:rPr>
        <w:lastRenderedPageBreak/>
        <w:t>1. INTRODUCTION</w:t>
      </w:r>
    </w:p>
    <w:p w14:paraId="7A1494F8"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Child malnutrition remains a major public health challenge in developing countries. According to the World Health Organization (2020), nearly 149 million children under five worldwide suffer from stunting, and approximately 45 million children are affected by wasting. These conditions often result from inadequate nutrition and poverty, exacerbated by socio-economic and environmental fact</w:t>
      </w:r>
      <w:bookmarkStart w:id="0" w:name="_GoBack"/>
      <w:bookmarkEnd w:id="0"/>
      <w:r w:rsidRPr="00063C8F">
        <w:rPr>
          <w:color w:val="0F1115"/>
        </w:rPr>
        <w:t>ors [1].</w:t>
      </w:r>
    </w:p>
    <w:p w14:paraId="02A3DB1E"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In Burundi, malnutrition significantly contributes to morbidity and mortality among children under five. The Demographic and Health Survey (EDSB-III, 2016-2017) estimates that more than half (56%) of children </w:t>
      </w:r>
      <w:r w:rsidR="00B549B2" w:rsidRPr="00063C8F">
        <w:rPr>
          <w:color w:val="0F1115"/>
        </w:rPr>
        <w:t>has a height</w:t>
      </w:r>
      <w:r w:rsidRPr="00063C8F">
        <w:rPr>
          <w:color w:val="0F1115"/>
        </w:rPr>
        <w:t xml:space="preserve"> too small for their age, indicating chronic malnutrition. Karusi province alone accounts for 62.8% of stunted children. Furthermore, 5% of children in this age group are wasted or too thin for their height, indicating acute malnutrition, with Karusi province at 8.1% [2].</w:t>
      </w:r>
    </w:p>
    <w:p w14:paraId="6319CC76"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Vegetable gardens represent an innovative approach to improving food security and combating malnutrition. By enabling families to grow vegetables and fruits, these gardens help increase plant-based food and nutrient intake, which is crucial for the physiological and cognitive development of young children. Gardening can strengthen family autonomy and promote healthy eating behaviors [3].</w:t>
      </w:r>
    </w:p>
    <w:p w14:paraId="6FC5BE68"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In this context, vegetable gardens emerge as a promising strategy to combat malnutrition. By providing direct access to fresh, nutritious foods, vegetable gardens can improve children's diets while strengthening household livelihoods. Many studies have shown that growing vegetables and fruits at home can diversify children's diets, promote healthy eating habits, and strengthen community resilience to economic and climate fluctuations [4].</w:t>
      </w:r>
    </w:p>
    <w:p w14:paraId="10269013"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Karusi province, the study area, is threatened by all forms of acute and chronic malnutrition (8.1% for acute malnutrition and 62.8% for chronic malnutrition). The most affected age group is children under five years, suffering from underweight, stunting, and wasting when considering their weight, age, and height. This study on the contribution of vegetable gardens was initiated to find a sustainable solution to combat this malnutrition in </w:t>
      </w:r>
      <w:proofErr w:type="spellStart"/>
      <w:r w:rsidRPr="00063C8F">
        <w:rPr>
          <w:color w:val="0F1115"/>
        </w:rPr>
        <w:t>Nyabikere</w:t>
      </w:r>
      <w:proofErr w:type="spellEnd"/>
      <w:r w:rsidRPr="00063C8F">
        <w:rPr>
          <w:color w:val="0F1115"/>
        </w:rPr>
        <w:t xml:space="preserve"> commune where several cases have been reported [5].</w:t>
      </w:r>
    </w:p>
    <w:p w14:paraId="3271D8C8" w14:textId="77777777" w:rsidR="00B549B2" w:rsidRPr="00063C8F" w:rsidRDefault="00B549B2" w:rsidP="00063C8F">
      <w:pPr>
        <w:spacing w:line="360" w:lineRule="auto"/>
        <w:jc w:val="both"/>
        <w:rPr>
          <w:rStyle w:val="Strong"/>
          <w:rFonts w:ascii="Times New Roman" w:eastAsia="Times New Roman" w:hAnsi="Times New Roman" w:cs="Times New Roman"/>
          <w:color w:val="0F1115"/>
          <w:sz w:val="24"/>
          <w:szCs w:val="24"/>
          <w:lang w:val="en-US"/>
        </w:rPr>
      </w:pPr>
      <w:r w:rsidRPr="00063C8F">
        <w:rPr>
          <w:rStyle w:val="Strong"/>
          <w:rFonts w:ascii="Times New Roman" w:hAnsi="Times New Roman" w:cs="Times New Roman"/>
          <w:b w:val="0"/>
          <w:bCs w:val="0"/>
          <w:color w:val="0F1115"/>
          <w:sz w:val="24"/>
          <w:szCs w:val="24"/>
        </w:rPr>
        <w:br w:type="page"/>
      </w:r>
    </w:p>
    <w:p w14:paraId="54964D1E" w14:textId="77777777" w:rsidR="00CE0CEF" w:rsidRPr="00063C8F" w:rsidRDefault="00CE0CEF" w:rsidP="00063C8F">
      <w:pPr>
        <w:pStyle w:val="Heading3"/>
        <w:shd w:val="clear" w:color="auto" w:fill="FFFFFF"/>
        <w:spacing w:before="480" w:beforeAutospacing="0" w:after="240" w:afterAutospacing="0" w:line="360" w:lineRule="auto"/>
        <w:jc w:val="both"/>
        <w:rPr>
          <w:color w:val="0F1115"/>
          <w:sz w:val="24"/>
          <w:szCs w:val="24"/>
        </w:rPr>
      </w:pPr>
      <w:r w:rsidRPr="00063C8F">
        <w:rPr>
          <w:rStyle w:val="Strong"/>
          <w:b/>
          <w:bCs/>
          <w:color w:val="0F1115"/>
          <w:sz w:val="24"/>
          <w:szCs w:val="24"/>
        </w:rPr>
        <w:lastRenderedPageBreak/>
        <w:t>2. MATERIAL AND METHODS</w:t>
      </w:r>
    </w:p>
    <w:p w14:paraId="25195749" w14:textId="77777777" w:rsidR="00CE0CEF" w:rsidRPr="00063C8F" w:rsidRDefault="00CE0CEF" w:rsidP="00063C8F">
      <w:pPr>
        <w:pStyle w:val="Heading4"/>
        <w:shd w:val="clear" w:color="auto" w:fill="FFFFFF"/>
        <w:spacing w:before="240" w:beforeAutospacing="0" w:after="240" w:afterAutospacing="0" w:line="360" w:lineRule="auto"/>
        <w:jc w:val="both"/>
        <w:rPr>
          <w:color w:val="0F1115"/>
        </w:rPr>
      </w:pPr>
      <w:r w:rsidRPr="00063C8F">
        <w:rPr>
          <w:rStyle w:val="Strong"/>
          <w:b/>
          <w:bCs/>
          <w:color w:val="0F1115"/>
        </w:rPr>
        <w:t>2.1. Study Design and Location</w:t>
      </w:r>
    </w:p>
    <w:p w14:paraId="583647C3"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A cross-sectional study was conducted in </w:t>
      </w:r>
      <w:proofErr w:type="spellStart"/>
      <w:r w:rsidRPr="00063C8F">
        <w:rPr>
          <w:color w:val="0F1115"/>
        </w:rPr>
        <w:t>Nyabikere</w:t>
      </w:r>
      <w:proofErr w:type="spellEnd"/>
      <w:r w:rsidRPr="00063C8F">
        <w:rPr>
          <w:color w:val="0F1115"/>
        </w:rPr>
        <w:t xml:space="preserve"> commune, </w:t>
      </w:r>
      <w:proofErr w:type="spellStart"/>
      <w:r w:rsidRPr="00063C8F">
        <w:rPr>
          <w:color w:val="0F1115"/>
        </w:rPr>
        <w:t>Karusi</w:t>
      </w:r>
      <w:proofErr w:type="spellEnd"/>
      <w:r w:rsidRPr="00063C8F">
        <w:rPr>
          <w:color w:val="0F1115"/>
        </w:rPr>
        <w:t xml:space="preserve"> province, Burundi, from July to September 2024. </w:t>
      </w:r>
      <w:proofErr w:type="spellStart"/>
      <w:r w:rsidRPr="00063C8F">
        <w:rPr>
          <w:color w:val="0F1115"/>
        </w:rPr>
        <w:t>Nyabikere</w:t>
      </w:r>
      <w:proofErr w:type="spellEnd"/>
      <w:r w:rsidRPr="00063C8F">
        <w:rPr>
          <w:color w:val="0F1115"/>
        </w:rPr>
        <w:t xml:space="preserve"> is a rural commune characterized by mountainous relief with altitudes ranging between 1,500 and 2,000 meters. It features typical green panoramic landscapes of the region. The climate is temperate, marked by rainy and dry periods, thus favoring agriculture, which is one of the main economic activities of its inhabitants [6].</w:t>
      </w:r>
    </w:p>
    <w:p w14:paraId="356BDF2E" w14:textId="77777777" w:rsidR="00CE0CEF" w:rsidRPr="00063C8F" w:rsidRDefault="00CE0CEF" w:rsidP="00063C8F">
      <w:pPr>
        <w:pStyle w:val="Heading4"/>
        <w:shd w:val="clear" w:color="auto" w:fill="FFFFFF"/>
        <w:spacing w:before="240" w:beforeAutospacing="0" w:after="240" w:afterAutospacing="0" w:line="360" w:lineRule="auto"/>
        <w:jc w:val="both"/>
        <w:rPr>
          <w:color w:val="0F1115"/>
        </w:rPr>
      </w:pPr>
      <w:r w:rsidRPr="00063C8F">
        <w:rPr>
          <w:rStyle w:val="Strong"/>
          <w:b/>
          <w:bCs/>
          <w:color w:val="0F1115"/>
        </w:rPr>
        <w:t>2.2. Study Population and Sampling</w:t>
      </w:r>
    </w:p>
    <w:p w14:paraId="065DAB4D"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The study population consisted of children aged 6-59 months residing in </w:t>
      </w:r>
      <w:proofErr w:type="spellStart"/>
      <w:r w:rsidRPr="00063C8F">
        <w:rPr>
          <w:color w:val="0F1115"/>
        </w:rPr>
        <w:t>Nyabikere</w:t>
      </w:r>
      <w:proofErr w:type="spellEnd"/>
      <w:r w:rsidRPr="00063C8F">
        <w:rPr>
          <w:color w:val="0F1115"/>
        </w:rPr>
        <w:t xml:space="preserve"> commune (13,078 children according to Karusi Provincial Health Office data from DHIS2).</w:t>
      </w:r>
    </w:p>
    <w:p w14:paraId="5281564E"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The sample size was calculated using the standard formula for finite populations:</w:t>
      </w:r>
    </w:p>
    <w:p w14:paraId="46D8C40E" w14:textId="77777777" w:rsidR="00063C8F" w:rsidRPr="00063C8F" w:rsidRDefault="00063C8F" w:rsidP="00063C8F">
      <w:pPr>
        <w:widowControl w:val="0"/>
        <w:autoSpaceDE w:val="0"/>
        <w:autoSpaceDN w:val="0"/>
        <w:spacing w:after="0" w:line="360" w:lineRule="auto"/>
        <w:jc w:val="both"/>
        <w:rPr>
          <w:rFonts w:ascii="Times New Roman" w:eastAsia="Times New Roman" w:hAnsi="Times New Roman" w:cs="Times New Roman"/>
          <w:b/>
          <w:sz w:val="24"/>
          <w:szCs w:val="24"/>
          <w:lang w:val="en-US" w:eastAsia="fr-FR"/>
        </w:rPr>
      </w:pPr>
      <m:oMath>
        <m:r>
          <m:rPr>
            <m:sty m:val="bi"/>
          </m:rPr>
          <w:rPr>
            <w:rFonts w:ascii="Cambria Math" w:eastAsia="Times New Roman" w:hAnsi="Cambria Math" w:cs="Times New Roman"/>
            <w:sz w:val="24"/>
            <w:szCs w:val="24"/>
            <w:lang w:eastAsia="fr-FR"/>
          </w:rPr>
          <m:t>n</m:t>
        </m:r>
        <m:r>
          <m:rPr>
            <m:sty m:val="bi"/>
          </m:rPr>
          <w:rPr>
            <w:rFonts w:ascii="Cambria Math" w:eastAsia="Times New Roman" w:hAnsi="Cambria Math" w:cs="Times New Roman"/>
            <w:sz w:val="24"/>
            <w:szCs w:val="24"/>
            <w:lang w:val="en-US" w:eastAsia="fr-FR"/>
          </w:rPr>
          <m:t xml:space="preserve">= </m:t>
        </m:r>
        <m:f>
          <m:fPr>
            <m:ctrlPr>
              <w:rPr>
                <w:rFonts w:ascii="Cambria Math" w:eastAsia="Times New Roman" w:hAnsi="Cambria Math" w:cs="Times New Roman"/>
                <w:b/>
                <w:i/>
                <w:sz w:val="24"/>
                <w:szCs w:val="24"/>
              </w:rPr>
            </m:ctrlPr>
          </m:fPr>
          <m:num>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val="en-US" w:eastAsia="fr-FR"/>
              </w:rPr>
              <m:t xml:space="preserve">. </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 (</m:t>
            </m:r>
            <m:r>
              <m:rPr>
                <m:sty m:val="bi"/>
              </m:rPr>
              <w:rPr>
                <w:rFonts w:ascii="Cambria Math" w:eastAsia="Times New Roman" w:hAnsi="Cambria Math" w:cs="Times New Roman"/>
                <w:sz w:val="24"/>
                <w:szCs w:val="24"/>
                <w:lang w:eastAsia="fr-FR"/>
              </w:rPr>
              <m:t>1</m:t>
            </m:r>
            <m:r>
              <m:rPr>
                <m:sty m:val="bi"/>
              </m:rPr>
              <w:rPr>
                <w:rFonts w:ascii="Cambria Math" w:eastAsia="Times New Roman" w:hAnsi="Cambria Math" w:cs="Times New Roman"/>
                <w:sz w:val="24"/>
                <w:szCs w:val="24"/>
                <w:lang w:val="en-US" w:eastAsia="fr-FR"/>
              </w:rPr>
              <m:t>-</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m:t>
            </m:r>
          </m:num>
          <m:den>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e</m:t>
                </m:r>
              </m:e>
              <m:sup>
                <m:r>
                  <m:rPr>
                    <m:sty m:val="bi"/>
                  </m:rPr>
                  <w:rPr>
                    <w:rFonts w:ascii="Cambria Math" w:eastAsia="Times New Roman" w:hAnsi="Cambria Math" w:cs="Times New Roman"/>
                    <w:sz w:val="24"/>
                    <w:szCs w:val="24"/>
                    <w:lang w:eastAsia="fr-FR"/>
                  </w:rPr>
                  <m:t>2</m:t>
                </m:r>
              </m:sup>
            </m:sSup>
          </m:den>
        </m:f>
      </m:oMath>
      <w:r w:rsidRPr="00063C8F">
        <w:rPr>
          <w:rFonts w:ascii="Times New Roman" w:eastAsia="Times New Roman" w:hAnsi="Times New Roman" w:cs="Times New Roman"/>
          <w:b/>
          <w:sz w:val="24"/>
          <w:szCs w:val="24"/>
          <w:lang w:val="en-US" w:eastAsia="fr-FR"/>
        </w:rPr>
        <w:t xml:space="preserve"> </w:t>
      </w:r>
    </w:p>
    <w:p w14:paraId="04E61F23"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Where: Z = 1.96 (95% confidence level), p = 0.5, e = 0.05 (margin of error)</w:t>
      </w:r>
    </w:p>
    <w:p w14:paraId="0B453139"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This yielded a sample size of 373 children. For practical purposes, a sample of 372 children from 372 households with children under five was selected, comprising 186 households with vegetable gardens and 186 without. The study population was selected by systematic random sampling with a sampling step of three.</w:t>
      </w:r>
    </w:p>
    <w:p w14:paraId="787E1153" w14:textId="77777777" w:rsidR="00CE0CEF" w:rsidRPr="00063C8F" w:rsidRDefault="00CE0CEF" w:rsidP="00063C8F">
      <w:pPr>
        <w:pStyle w:val="Heading4"/>
        <w:shd w:val="clear" w:color="auto" w:fill="FFFFFF"/>
        <w:spacing w:before="240" w:beforeAutospacing="0" w:after="240" w:afterAutospacing="0" w:line="360" w:lineRule="auto"/>
        <w:jc w:val="both"/>
        <w:rPr>
          <w:color w:val="0F1115"/>
        </w:rPr>
      </w:pPr>
      <w:r w:rsidRPr="00063C8F">
        <w:rPr>
          <w:rStyle w:val="Strong"/>
          <w:b/>
          <w:bCs/>
          <w:color w:val="0F1115"/>
        </w:rPr>
        <w:t>2.3. Data Collection Tools and Techniques</w:t>
      </w:r>
    </w:p>
    <w:p w14:paraId="176B9125"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Data were collected using a structured questionnaire that included:</w:t>
      </w:r>
    </w:p>
    <w:p w14:paraId="14ABF2D0" w14:textId="77777777" w:rsidR="00CE0CEF" w:rsidRPr="00063C8F" w:rsidRDefault="00CE0CEF" w:rsidP="00063C8F">
      <w:pPr>
        <w:pStyle w:val="ds-markdown-paragraph"/>
        <w:numPr>
          <w:ilvl w:val="0"/>
          <w:numId w:val="1"/>
        </w:numPr>
        <w:shd w:val="clear" w:color="auto" w:fill="FFFFFF"/>
        <w:spacing w:after="0" w:afterAutospacing="0" w:line="360" w:lineRule="auto"/>
        <w:ind w:left="0"/>
        <w:jc w:val="both"/>
        <w:rPr>
          <w:color w:val="0F1115"/>
        </w:rPr>
      </w:pPr>
      <w:r w:rsidRPr="00063C8F">
        <w:rPr>
          <w:color w:val="0F1115"/>
        </w:rPr>
        <w:t>Socio-demographic characteristics</w:t>
      </w:r>
    </w:p>
    <w:p w14:paraId="238EDC26" w14:textId="77777777" w:rsidR="00CE0CEF" w:rsidRPr="00063C8F" w:rsidRDefault="00CE0CEF" w:rsidP="00063C8F">
      <w:pPr>
        <w:pStyle w:val="ds-markdown-paragraph"/>
        <w:numPr>
          <w:ilvl w:val="0"/>
          <w:numId w:val="1"/>
        </w:numPr>
        <w:shd w:val="clear" w:color="auto" w:fill="FFFFFF"/>
        <w:spacing w:after="0" w:afterAutospacing="0" w:line="360" w:lineRule="auto"/>
        <w:ind w:left="0"/>
        <w:jc w:val="both"/>
        <w:rPr>
          <w:color w:val="0F1115"/>
        </w:rPr>
      </w:pPr>
      <w:r w:rsidRPr="00063C8F">
        <w:rPr>
          <w:color w:val="0F1115"/>
        </w:rPr>
        <w:t>Gardening practices and food consumption frequency</w:t>
      </w:r>
    </w:p>
    <w:p w14:paraId="3AA05554" w14:textId="77777777" w:rsidR="00CE0CEF" w:rsidRPr="00063C8F" w:rsidRDefault="00CE0CEF" w:rsidP="00063C8F">
      <w:pPr>
        <w:pStyle w:val="ds-markdown-paragraph"/>
        <w:numPr>
          <w:ilvl w:val="0"/>
          <w:numId w:val="1"/>
        </w:numPr>
        <w:shd w:val="clear" w:color="auto" w:fill="FFFFFF"/>
        <w:spacing w:after="0" w:afterAutospacing="0" w:line="360" w:lineRule="auto"/>
        <w:ind w:left="0"/>
        <w:jc w:val="both"/>
        <w:rPr>
          <w:color w:val="0F1115"/>
        </w:rPr>
      </w:pPr>
      <w:r w:rsidRPr="00063C8F">
        <w:rPr>
          <w:color w:val="0F1115"/>
        </w:rPr>
        <w:t>Anthropometric measurements (weight, height, MUAC)</w:t>
      </w:r>
    </w:p>
    <w:p w14:paraId="33F641D8" w14:textId="77777777" w:rsidR="00CE0CEF" w:rsidRPr="00063C8F" w:rsidRDefault="00CE0CEF" w:rsidP="00063C8F">
      <w:pPr>
        <w:pStyle w:val="ds-markdown-paragraph"/>
        <w:numPr>
          <w:ilvl w:val="0"/>
          <w:numId w:val="1"/>
        </w:numPr>
        <w:shd w:val="clear" w:color="auto" w:fill="FFFFFF"/>
        <w:spacing w:after="0" w:afterAutospacing="0" w:line="360" w:lineRule="auto"/>
        <w:ind w:left="0"/>
        <w:jc w:val="both"/>
        <w:rPr>
          <w:color w:val="0F1115"/>
        </w:rPr>
      </w:pPr>
      <w:r w:rsidRPr="00063C8F">
        <w:rPr>
          <w:color w:val="0F1115"/>
        </w:rPr>
        <w:t>Knowledge and practices related to nutrition</w:t>
      </w:r>
    </w:p>
    <w:p w14:paraId="0948DC81"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lastRenderedPageBreak/>
        <w:t>Anthropometric measurements were taken using standardized equipment: scales for weight, MUAC tape for mid-upper arm circumference, and height boards for height. Data collectors received prior training, and the questionnaire was pretested on 12 children.</w:t>
      </w:r>
    </w:p>
    <w:p w14:paraId="4B3FFCF5" w14:textId="77777777" w:rsidR="00CE0CEF" w:rsidRPr="00063C8F" w:rsidRDefault="00CE0CEF" w:rsidP="00063C8F">
      <w:pPr>
        <w:pStyle w:val="Heading4"/>
        <w:shd w:val="clear" w:color="auto" w:fill="FFFFFF"/>
        <w:spacing w:before="240" w:beforeAutospacing="0" w:after="240" w:afterAutospacing="0" w:line="360" w:lineRule="auto"/>
        <w:jc w:val="both"/>
        <w:rPr>
          <w:color w:val="0F1115"/>
        </w:rPr>
      </w:pPr>
      <w:r w:rsidRPr="00063C8F">
        <w:rPr>
          <w:rStyle w:val="Strong"/>
          <w:b/>
          <w:bCs/>
          <w:color w:val="0F1115"/>
        </w:rPr>
        <w:t>2.4. Data Analysis</w:t>
      </w:r>
    </w:p>
    <w:p w14:paraId="70D81067"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Data were analyzed using descriptive statistics (frequencies, percentages) and comparative analysis between households with and without vegetable gardens. Nutritional status was assessed using Z-scores for weight-for-age (underweight) and weight-for-height (wasting) according to WHO standards.</w:t>
      </w:r>
    </w:p>
    <w:p w14:paraId="2BFA319C" w14:textId="77777777" w:rsidR="00CE0CEF" w:rsidRPr="00063C8F" w:rsidRDefault="00CE0CEF" w:rsidP="00063C8F">
      <w:pPr>
        <w:pStyle w:val="Heading4"/>
        <w:shd w:val="clear" w:color="auto" w:fill="FFFFFF"/>
        <w:spacing w:before="240" w:beforeAutospacing="0" w:after="240" w:afterAutospacing="0" w:line="360" w:lineRule="auto"/>
        <w:jc w:val="both"/>
        <w:rPr>
          <w:color w:val="0F1115"/>
        </w:rPr>
      </w:pPr>
      <w:r w:rsidRPr="00063C8F">
        <w:rPr>
          <w:rStyle w:val="Strong"/>
          <w:b/>
          <w:bCs/>
          <w:color w:val="0F1115"/>
        </w:rPr>
        <w:t>2.5. Ethical Considerations</w:t>
      </w:r>
    </w:p>
    <w:p w14:paraId="384E009E"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Authorization was obtained from local administrative and health authorities. Informed consent was obtained from parents or guardians before data collection. Confidentiality of participants' information was maintained throughout the research process.</w:t>
      </w:r>
    </w:p>
    <w:p w14:paraId="237A8A29"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2F131BCA" w14:textId="77777777" w:rsidR="00CE0CEF" w:rsidRPr="00CE0CEF" w:rsidRDefault="00CE0CEF" w:rsidP="00063C8F">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lang w:val="en-US"/>
        </w:rPr>
      </w:pPr>
      <w:r w:rsidRPr="00063C8F">
        <w:rPr>
          <w:rFonts w:ascii="Times New Roman" w:eastAsia="Times New Roman" w:hAnsi="Times New Roman" w:cs="Times New Roman"/>
          <w:b/>
          <w:bCs/>
          <w:color w:val="0F1115"/>
          <w:sz w:val="24"/>
          <w:szCs w:val="24"/>
          <w:lang w:val="en-US"/>
        </w:rPr>
        <w:lastRenderedPageBreak/>
        <w:t>3. RESULTS AND DISCUSSION</w:t>
      </w:r>
    </w:p>
    <w:p w14:paraId="0B1DE682" w14:textId="77777777" w:rsidR="00CE0CEF" w:rsidRPr="00CE0CEF" w:rsidRDefault="00CE0CEF" w:rsidP="00063C8F">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sidRPr="00063C8F">
        <w:rPr>
          <w:rFonts w:ascii="Times New Roman" w:eastAsia="Times New Roman" w:hAnsi="Times New Roman" w:cs="Times New Roman"/>
          <w:b/>
          <w:bCs/>
          <w:color w:val="0F1115"/>
          <w:sz w:val="24"/>
          <w:szCs w:val="24"/>
          <w:lang w:val="en-US"/>
        </w:rPr>
        <w:t>3.1. Socio-Demographic Characteristics</w:t>
      </w:r>
    </w:p>
    <w:p w14:paraId="1520BFB4"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t>Table 1: Distribution of children aged 6-59 months by sex and age</w:t>
      </w:r>
    </w:p>
    <w:tbl>
      <w:tblPr>
        <w:tblStyle w:val="TableGrid"/>
        <w:tblW w:w="0" w:type="auto"/>
        <w:tblLook w:val="04A0" w:firstRow="1" w:lastRow="0" w:firstColumn="1" w:lastColumn="0" w:noHBand="0" w:noVBand="1"/>
      </w:tblPr>
      <w:tblGrid>
        <w:gridCol w:w="1543"/>
        <w:gridCol w:w="710"/>
        <w:gridCol w:w="756"/>
        <w:gridCol w:w="696"/>
        <w:gridCol w:w="756"/>
        <w:gridCol w:w="723"/>
        <w:gridCol w:w="756"/>
      </w:tblGrid>
      <w:tr w:rsidR="00CE0CEF" w:rsidRPr="00CE0CEF" w14:paraId="0BF1398B" w14:textId="77777777" w:rsidTr="007A2D5E">
        <w:tc>
          <w:tcPr>
            <w:tcW w:w="0" w:type="auto"/>
            <w:hideMark/>
          </w:tcPr>
          <w:p w14:paraId="246711E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Age (months)</w:t>
            </w:r>
          </w:p>
        </w:tc>
        <w:tc>
          <w:tcPr>
            <w:tcW w:w="0" w:type="auto"/>
            <w:hideMark/>
          </w:tcPr>
          <w:p w14:paraId="212625D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Boys</w:t>
            </w:r>
          </w:p>
        </w:tc>
        <w:tc>
          <w:tcPr>
            <w:tcW w:w="0" w:type="auto"/>
            <w:hideMark/>
          </w:tcPr>
          <w:p w14:paraId="4F86133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t>
            </w:r>
          </w:p>
        </w:tc>
        <w:tc>
          <w:tcPr>
            <w:tcW w:w="0" w:type="auto"/>
            <w:hideMark/>
          </w:tcPr>
          <w:p w14:paraId="659C706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Girls</w:t>
            </w:r>
          </w:p>
        </w:tc>
        <w:tc>
          <w:tcPr>
            <w:tcW w:w="0" w:type="auto"/>
            <w:hideMark/>
          </w:tcPr>
          <w:p w14:paraId="3D914BE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t>
            </w:r>
          </w:p>
        </w:tc>
        <w:tc>
          <w:tcPr>
            <w:tcW w:w="0" w:type="auto"/>
            <w:hideMark/>
          </w:tcPr>
          <w:p w14:paraId="0A19BC0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Total</w:t>
            </w:r>
          </w:p>
        </w:tc>
        <w:tc>
          <w:tcPr>
            <w:tcW w:w="0" w:type="auto"/>
            <w:hideMark/>
          </w:tcPr>
          <w:p w14:paraId="184E391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t>
            </w:r>
          </w:p>
        </w:tc>
      </w:tr>
      <w:tr w:rsidR="00CE0CEF" w:rsidRPr="00CE0CEF" w14:paraId="52E3BCD6" w14:textId="77777777" w:rsidTr="007A2D5E">
        <w:tc>
          <w:tcPr>
            <w:tcW w:w="0" w:type="auto"/>
            <w:hideMark/>
          </w:tcPr>
          <w:p w14:paraId="40394B9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[6,12[</w:t>
            </w:r>
          </w:p>
        </w:tc>
        <w:tc>
          <w:tcPr>
            <w:tcW w:w="0" w:type="auto"/>
            <w:hideMark/>
          </w:tcPr>
          <w:p w14:paraId="711574E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22</w:t>
            </w:r>
          </w:p>
        </w:tc>
        <w:tc>
          <w:tcPr>
            <w:tcW w:w="0" w:type="auto"/>
            <w:hideMark/>
          </w:tcPr>
          <w:p w14:paraId="5F32EA0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37.5</w:t>
            </w:r>
          </w:p>
        </w:tc>
        <w:tc>
          <w:tcPr>
            <w:tcW w:w="0" w:type="auto"/>
            <w:hideMark/>
          </w:tcPr>
          <w:p w14:paraId="3F4A0C0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37</w:t>
            </w:r>
          </w:p>
        </w:tc>
        <w:tc>
          <w:tcPr>
            <w:tcW w:w="0" w:type="auto"/>
            <w:hideMark/>
          </w:tcPr>
          <w:p w14:paraId="16BB51F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62.5</w:t>
            </w:r>
          </w:p>
        </w:tc>
        <w:tc>
          <w:tcPr>
            <w:tcW w:w="0" w:type="auto"/>
            <w:hideMark/>
          </w:tcPr>
          <w:p w14:paraId="2B433A4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59</w:t>
            </w:r>
          </w:p>
        </w:tc>
        <w:tc>
          <w:tcPr>
            <w:tcW w:w="0" w:type="auto"/>
            <w:hideMark/>
          </w:tcPr>
          <w:p w14:paraId="4D1FAAA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16</w:t>
            </w:r>
          </w:p>
        </w:tc>
      </w:tr>
      <w:tr w:rsidR="00CE0CEF" w:rsidRPr="00CE0CEF" w14:paraId="1C38FE67" w14:textId="77777777" w:rsidTr="007A2D5E">
        <w:tc>
          <w:tcPr>
            <w:tcW w:w="0" w:type="auto"/>
            <w:hideMark/>
          </w:tcPr>
          <w:p w14:paraId="05D03F9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[12,24[</w:t>
            </w:r>
          </w:p>
        </w:tc>
        <w:tc>
          <w:tcPr>
            <w:tcW w:w="0" w:type="auto"/>
            <w:hideMark/>
          </w:tcPr>
          <w:p w14:paraId="2124B2F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52</w:t>
            </w:r>
          </w:p>
        </w:tc>
        <w:tc>
          <w:tcPr>
            <w:tcW w:w="0" w:type="auto"/>
            <w:hideMark/>
          </w:tcPr>
          <w:p w14:paraId="17F2742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44.68</w:t>
            </w:r>
          </w:p>
        </w:tc>
        <w:tc>
          <w:tcPr>
            <w:tcW w:w="0" w:type="auto"/>
            <w:hideMark/>
          </w:tcPr>
          <w:p w14:paraId="4B5F3F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65</w:t>
            </w:r>
          </w:p>
        </w:tc>
        <w:tc>
          <w:tcPr>
            <w:tcW w:w="0" w:type="auto"/>
            <w:hideMark/>
          </w:tcPr>
          <w:p w14:paraId="2008A6D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55.31</w:t>
            </w:r>
          </w:p>
        </w:tc>
        <w:tc>
          <w:tcPr>
            <w:tcW w:w="0" w:type="auto"/>
            <w:hideMark/>
          </w:tcPr>
          <w:p w14:paraId="06F4CCF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117</w:t>
            </w:r>
          </w:p>
        </w:tc>
        <w:tc>
          <w:tcPr>
            <w:tcW w:w="0" w:type="auto"/>
            <w:hideMark/>
          </w:tcPr>
          <w:p w14:paraId="7866D65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31.33</w:t>
            </w:r>
          </w:p>
        </w:tc>
      </w:tr>
      <w:tr w:rsidR="00CE0CEF" w:rsidRPr="00CE0CEF" w14:paraId="7291E1F7" w14:textId="77777777" w:rsidTr="007A2D5E">
        <w:tc>
          <w:tcPr>
            <w:tcW w:w="0" w:type="auto"/>
            <w:hideMark/>
          </w:tcPr>
          <w:p w14:paraId="51847D9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[24,36[</w:t>
            </w:r>
          </w:p>
        </w:tc>
        <w:tc>
          <w:tcPr>
            <w:tcW w:w="0" w:type="auto"/>
            <w:hideMark/>
          </w:tcPr>
          <w:p w14:paraId="62D2472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52</w:t>
            </w:r>
          </w:p>
        </w:tc>
        <w:tc>
          <w:tcPr>
            <w:tcW w:w="0" w:type="auto"/>
            <w:hideMark/>
          </w:tcPr>
          <w:p w14:paraId="3801238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47.72</w:t>
            </w:r>
          </w:p>
        </w:tc>
        <w:tc>
          <w:tcPr>
            <w:tcW w:w="0" w:type="auto"/>
            <w:hideMark/>
          </w:tcPr>
          <w:p w14:paraId="1EBBA80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57</w:t>
            </w:r>
          </w:p>
        </w:tc>
        <w:tc>
          <w:tcPr>
            <w:tcW w:w="0" w:type="auto"/>
            <w:hideMark/>
          </w:tcPr>
          <w:p w14:paraId="202A468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52.27</w:t>
            </w:r>
          </w:p>
        </w:tc>
        <w:tc>
          <w:tcPr>
            <w:tcW w:w="0" w:type="auto"/>
            <w:hideMark/>
          </w:tcPr>
          <w:p w14:paraId="10DF5F3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109</w:t>
            </w:r>
          </w:p>
        </w:tc>
        <w:tc>
          <w:tcPr>
            <w:tcW w:w="0" w:type="auto"/>
            <w:hideMark/>
          </w:tcPr>
          <w:p w14:paraId="6453813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29.33</w:t>
            </w:r>
          </w:p>
        </w:tc>
      </w:tr>
      <w:tr w:rsidR="00CE0CEF" w:rsidRPr="00CE0CEF" w14:paraId="11A36985" w14:textId="77777777" w:rsidTr="007A2D5E">
        <w:tc>
          <w:tcPr>
            <w:tcW w:w="0" w:type="auto"/>
            <w:hideMark/>
          </w:tcPr>
          <w:p w14:paraId="6196B4A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[36,59]</w:t>
            </w:r>
          </w:p>
        </w:tc>
        <w:tc>
          <w:tcPr>
            <w:tcW w:w="0" w:type="auto"/>
            <w:hideMark/>
          </w:tcPr>
          <w:p w14:paraId="6D9CF7C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40</w:t>
            </w:r>
          </w:p>
        </w:tc>
        <w:tc>
          <w:tcPr>
            <w:tcW w:w="0" w:type="auto"/>
            <w:hideMark/>
          </w:tcPr>
          <w:p w14:paraId="39DA855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45.71</w:t>
            </w:r>
          </w:p>
        </w:tc>
        <w:tc>
          <w:tcPr>
            <w:tcW w:w="0" w:type="auto"/>
            <w:hideMark/>
          </w:tcPr>
          <w:p w14:paraId="0F39C10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47</w:t>
            </w:r>
          </w:p>
        </w:tc>
        <w:tc>
          <w:tcPr>
            <w:tcW w:w="0" w:type="auto"/>
            <w:hideMark/>
          </w:tcPr>
          <w:p w14:paraId="35B0124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54.28</w:t>
            </w:r>
          </w:p>
        </w:tc>
        <w:tc>
          <w:tcPr>
            <w:tcW w:w="0" w:type="auto"/>
            <w:hideMark/>
          </w:tcPr>
          <w:p w14:paraId="3EB8E4C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87</w:t>
            </w:r>
          </w:p>
        </w:tc>
        <w:tc>
          <w:tcPr>
            <w:tcW w:w="0" w:type="auto"/>
            <w:hideMark/>
          </w:tcPr>
          <w:p w14:paraId="562CD99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23.33</w:t>
            </w:r>
          </w:p>
        </w:tc>
      </w:tr>
      <w:tr w:rsidR="00CE0CEF" w:rsidRPr="00CE0CEF" w14:paraId="30F84E77" w14:textId="77777777" w:rsidTr="007A2D5E">
        <w:tc>
          <w:tcPr>
            <w:tcW w:w="0" w:type="auto"/>
            <w:hideMark/>
          </w:tcPr>
          <w:p w14:paraId="4513BEA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2184D98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166</w:t>
            </w:r>
          </w:p>
        </w:tc>
        <w:tc>
          <w:tcPr>
            <w:tcW w:w="0" w:type="auto"/>
            <w:hideMark/>
          </w:tcPr>
          <w:p w14:paraId="00996B2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44.62</w:t>
            </w:r>
          </w:p>
        </w:tc>
        <w:tc>
          <w:tcPr>
            <w:tcW w:w="0" w:type="auto"/>
            <w:hideMark/>
          </w:tcPr>
          <w:p w14:paraId="18B18F7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206</w:t>
            </w:r>
          </w:p>
        </w:tc>
        <w:tc>
          <w:tcPr>
            <w:tcW w:w="0" w:type="auto"/>
            <w:hideMark/>
          </w:tcPr>
          <w:p w14:paraId="6ED994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55.37</w:t>
            </w:r>
          </w:p>
        </w:tc>
        <w:tc>
          <w:tcPr>
            <w:tcW w:w="0" w:type="auto"/>
            <w:hideMark/>
          </w:tcPr>
          <w:p w14:paraId="2C17A1A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372</w:t>
            </w:r>
          </w:p>
        </w:tc>
        <w:tc>
          <w:tcPr>
            <w:tcW w:w="0" w:type="auto"/>
            <w:hideMark/>
          </w:tcPr>
          <w:p w14:paraId="21A0CD7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r>
    </w:tbl>
    <w:p w14:paraId="40E6F017"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study included 372 children with a higher proportion of girls (55.37%) compared to boys</w:t>
      </w:r>
      <w:r w:rsidR="00737D04">
        <w:rPr>
          <w:rFonts w:ascii="Times New Roman" w:eastAsia="Times New Roman" w:hAnsi="Times New Roman" w:cs="Times New Roman"/>
          <w:color w:val="0F1115"/>
          <w:sz w:val="24"/>
          <w:szCs w:val="24"/>
          <w:lang w:val="en-US"/>
        </w:rPr>
        <w:t xml:space="preserve"> (44.62%). The age group [12-24]</w:t>
      </w:r>
      <w:r w:rsidRPr="00CE0CEF">
        <w:rPr>
          <w:rFonts w:ascii="Times New Roman" w:eastAsia="Times New Roman" w:hAnsi="Times New Roman" w:cs="Times New Roman"/>
          <w:color w:val="0F1115"/>
          <w:sz w:val="24"/>
          <w:szCs w:val="24"/>
          <w:lang w:val="en-US"/>
        </w:rPr>
        <w:t xml:space="preserve"> months was the most represented (31.33%), which corresponds to the critical period for complementary feeding and high vulnerability to malnutrition. This demographic profile is consistent with national trends in Burundi, where slight female predominance is commonly observed in child populations</w:t>
      </w:r>
      <w:r w:rsidR="00737D04">
        <w:rPr>
          <w:rFonts w:ascii="Times New Roman" w:hAnsi="Times New Roman" w:cs="Times New Roman"/>
          <w:color w:val="0F1115"/>
          <w:sz w:val="24"/>
          <w:szCs w:val="24"/>
          <w:lang w:val="en-US"/>
        </w:rPr>
        <w:t xml:space="preserve"> [7</w:t>
      </w:r>
      <w:r w:rsidR="00737D04" w:rsidRPr="00737D04">
        <w:rPr>
          <w:rFonts w:ascii="Times New Roman" w:hAnsi="Times New Roman" w:cs="Times New Roman"/>
          <w:color w:val="0F1115"/>
          <w:sz w:val="24"/>
          <w:szCs w:val="24"/>
          <w:lang w:val="en-US"/>
        </w:rPr>
        <w:t>]</w:t>
      </w:r>
      <w:r w:rsidRPr="00CE0CEF">
        <w:rPr>
          <w:rFonts w:ascii="Times New Roman" w:eastAsia="Times New Roman" w:hAnsi="Times New Roman" w:cs="Times New Roman"/>
          <w:color w:val="0F1115"/>
          <w:sz w:val="24"/>
          <w:szCs w:val="24"/>
          <w:lang w:val="en-US"/>
        </w:rPr>
        <w:t>.</w:t>
      </w:r>
    </w:p>
    <w:p w14:paraId="7695796B"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t>Table 2: Distribution according to mothers' education level</w:t>
      </w:r>
    </w:p>
    <w:tbl>
      <w:tblPr>
        <w:tblStyle w:val="TableGrid"/>
        <w:tblW w:w="0" w:type="auto"/>
        <w:tblLook w:val="04A0" w:firstRow="1" w:lastRow="0" w:firstColumn="1" w:lastColumn="0" w:noHBand="0" w:noVBand="1"/>
      </w:tblPr>
      <w:tblGrid>
        <w:gridCol w:w="2396"/>
        <w:gridCol w:w="1229"/>
        <w:gridCol w:w="1269"/>
      </w:tblGrid>
      <w:tr w:rsidR="00CE0CEF" w:rsidRPr="00CE0CEF" w14:paraId="5D9E1AC1" w14:textId="77777777" w:rsidTr="007A2D5E">
        <w:tc>
          <w:tcPr>
            <w:tcW w:w="0" w:type="auto"/>
            <w:hideMark/>
          </w:tcPr>
          <w:p w14:paraId="5F60009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Education Level</w:t>
            </w:r>
          </w:p>
        </w:tc>
        <w:tc>
          <w:tcPr>
            <w:tcW w:w="0" w:type="auto"/>
            <w:hideMark/>
          </w:tcPr>
          <w:p w14:paraId="0104AC4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Frequency</w:t>
            </w:r>
          </w:p>
        </w:tc>
        <w:tc>
          <w:tcPr>
            <w:tcW w:w="0" w:type="auto"/>
            <w:hideMark/>
          </w:tcPr>
          <w:p w14:paraId="2B5100F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Percentage</w:t>
            </w:r>
          </w:p>
        </w:tc>
      </w:tr>
      <w:tr w:rsidR="00CE0CEF" w:rsidRPr="00CE0CEF" w14:paraId="57007BAF" w14:textId="77777777" w:rsidTr="007A2D5E">
        <w:tc>
          <w:tcPr>
            <w:tcW w:w="0" w:type="auto"/>
            <w:hideMark/>
          </w:tcPr>
          <w:p w14:paraId="1575577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Educated mothers</w:t>
            </w:r>
          </w:p>
        </w:tc>
        <w:tc>
          <w:tcPr>
            <w:tcW w:w="0" w:type="auto"/>
            <w:hideMark/>
          </w:tcPr>
          <w:p w14:paraId="51A916E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87</w:t>
            </w:r>
          </w:p>
        </w:tc>
        <w:tc>
          <w:tcPr>
            <w:tcW w:w="0" w:type="auto"/>
            <w:hideMark/>
          </w:tcPr>
          <w:p w14:paraId="5EE01E8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23.38</w:t>
            </w:r>
          </w:p>
        </w:tc>
      </w:tr>
      <w:tr w:rsidR="00CE0CEF" w:rsidRPr="00CE0CEF" w14:paraId="24873A83" w14:textId="77777777" w:rsidTr="007A2D5E">
        <w:tc>
          <w:tcPr>
            <w:tcW w:w="0" w:type="auto"/>
            <w:hideMark/>
          </w:tcPr>
          <w:p w14:paraId="4895C37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Non-educated mothers</w:t>
            </w:r>
          </w:p>
        </w:tc>
        <w:tc>
          <w:tcPr>
            <w:tcW w:w="0" w:type="auto"/>
            <w:hideMark/>
          </w:tcPr>
          <w:p w14:paraId="34786C5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285</w:t>
            </w:r>
          </w:p>
        </w:tc>
        <w:tc>
          <w:tcPr>
            <w:tcW w:w="0" w:type="auto"/>
            <w:hideMark/>
          </w:tcPr>
          <w:p w14:paraId="0AE23E9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76.61</w:t>
            </w:r>
          </w:p>
        </w:tc>
      </w:tr>
      <w:tr w:rsidR="00CE0CEF" w:rsidRPr="00CE0CEF" w14:paraId="4F134B06" w14:textId="77777777" w:rsidTr="007A2D5E">
        <w:tc>
          <w:tcPr>
            <w:tcW w:w="0" w:type="auto"/>
            <w:hideMark/>
          </w:tcPr>
          <w:p w14:paraId="72DC746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0E6A71D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372</w:t>
            </w:r>
          </w:p>
        </w:tc>
        <w:tc>
          <w:tcPr>
            <w:tcW w:w="0" w:type="auto"/>
            <w:hideMark/>
          </w:tcPr>
          <w:p w14:paraId="249DA6C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r>
    </w:tbl>
    <w:p w14:paraId="32320A42"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A striking 76.61% of mothers had no formal education, which significantly impacts child feeding practices and nutritional outcomes. This finding aligns with studies by Zoungrana (2015) and Hernandez et al. (2016), who demonstrated that maternal education is a key determinant of child nutritional status, as educated mothers are better equipped to understand and implement appropriate feeding practices</w:t>
      </w:r>
      <w:r w:rsidR="00737D04">
        <w:rPr>
          <w:rFonts w:ascii="Times New Roman" w:hAnsi="Times New Roman" w:cs="Times New Roman"/>
          <w:color w:val="0F1115"/>
          <w:sz w:val="24"/>
          <w:szCs w:val="24"/>
          <w:lang w:val="en-US"/>
        </w:rPr>
        <w:t xml:space="preserve"> [8,9</w:t>
      </w:r>
      <w:r w:rsidR="00737D04" w:rsidRPr="00737D04">
        <w:rPr>
          <w:rFonts w:ascii="Times New Roman" w:hAnsi="Times New Roman" w:cs="Times New Roman"/>
          <w:color w:val="0F1115"/>
          <w:sz w:val="24"/>
          <w:szCs w:val="24"/>
          <w:lang w:val="en-US"/>
        </w:rPr>
        <w:t>]</w:t>
      </w:r>
      <w:r w:rsidRPr="00CE0CEF">
        <w:rPr>
          <w:rFonts w:ascii="Times New Roman" w:eastAsia="Times New Roman" w:hAnsi="Times New Roman" w:cs="Times New Roman"/>
          <w:color w:val="0F1115"/>
          <w:sz w:val="24"/>
          <w:szCs w:val="24"/>
          <w:lang w:val="en-US"/>
        </w:rPr>
        <w:t>.</w:t>
      </w:r>
    </w:p>
    <w:p w14:paraId="44C06117"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23598467" w14:textId="77777777" w:rsidR="00CE0CEF" w:rsidRPr="00CE0CEF" w:rsidRDefault="00CE0CEF" w:rsidP="00063C8F">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sidRPr="00063C8F">
        <w:rPr>
          <w:rFonts w:ascii="Times New Roman" w:eastAsia="Times New Roman" w:hAnsi="Times New Roman" w:cs="Times New Roman"/>
          <w:b/>
          <w:bCs/>
          <w:color w:val="0F1115"/>
          <w:sz w:val="24"/>
          <w:szCs w:val="24"/>
          <w:lang w:val="en-US"/>
        </w:rPr>
        <w:lastRenderedPageBreak/>
        <w:t>3.2. Gardening Practices and Food Consumption</w:t>
      </w:r>
    </w:p>
    <w:p w14:paraId="3C391D1D"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t>Table 3: Distribution of households by type of plants cultivated in vegetable gardens</w:t>
      </w:r>
    </w:p>
    <w:tbl>
      <w:tblPr>
        <w:tblStyle w:val="TableGrid"/>
        <w:tblW w:w="0" w:type="auto"/>
        <w:tblLook w:val="04A0" w:firstRow="1" w:lastRow="0" w:firstColumn="1" w:lastColumn="0" w:noHBand="0" w:noVBand="1"/>
      </w:tblPr>
      <w:tblGrid>
        <w:gridCol w:w="1810"/>
        <w:gridCol w:w="1229"/>
        <w:gridCol w:w="1269"/>
      </w:tblGrid>
      <w:tr w:rsidR="00CE0CEF" w:rsidRPr="00CE0CEF" w14:paraId="306BF648" w14:textId="77777777" w:rsidTr="007A2D5E">
        <w:tc>
          <w:tcPr>
            <w:tcW w:w="0" w:type="auto"/>
            <w:hideMark/>
          </w:tcPr>
          <w:p w14:paraId="761EB62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Plants cultivated</w:t>
            </w:r>
          </w:p>
        </w:tc>
        <w:tc>
          <w:tcPr>
            <w:tcW w:w="0" w:type="auto"/>
            <w:hideMark/>
          </w:tcPr>
          <w:p w14:paraId="133DEC9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Frequency</w:t>
            </w:r>
          </w:p>
        </w:tc>
        <w:tc>
          <w:tcPr>
            <w:tcW w:w="0" w:type="auto"/>
            <w:hideMark/>
          </w:tcPr>
          <w:p w14:paraId="49AA96E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Percentage</w:t>
            </w:r>
          </w:p>
        </w:tc>
      </w:tr>
      <w:tr w:rsidR="00CE0CEF" w:rsidRPr="00CE0CEF" w14:paraId="0FFEE3AB" w14:textId="77777777" w:rsidTr="007A2D5E">
        <w:tc>
          <w:tcPr>
            <w:tcW w:w="0" w:type="auto"/>
            <w:hideMark/>
          </w:tcPr>
          <w:p w14:paraId="38D4043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Fruits</w:t>
            </w:r>
          </w:p>
        </w:tc>
        <w:tc>
          <w:tcPr>
            <w:tcW w:w="0" w:type="auto"/>
            <w:hideMark/>
          </w:tcPr>
          <w:p w14:paraId="38B3A16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5E44C9C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r>
      <w:tr w:rsidR="00CE0CEF" w:rsidRPr="00CE0CEF" w14:paraId="12484C05" w14:textId="77777777" w:rsidTr="007A2D5E">
        <w:tc>
          <w:tcPr>
            <w:tcW w:w="0" w:type="auto"/>
            <w:hideMark/>
          </w:tcPr>
          <w:p w14:paraId="4070C5F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Vegetables</w:t>
            </w:r>
          </w:p>
        </w:tc>
        <w:tc>
          <w:tcPr>
            <w:tcW w:w="0" w:type="auto"/>
            <w:hideMark/>
          </w:tcPr>
          <w:p w14:paraId="4166E94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186</w:t>
            </w:r>
          </w:p>
        </w:tc>
        <w:tc>
          <w:tcPr>
            <w:tcW w:w="0" w:type="auto"/>
            <w:hideMark/>
          </w:tcPr>
          <w:p w14:paraId="240FEEC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100</w:t>
            </w:r>
          </w:p>
        </w:tc>
      </w:tr>
      <w:tr w:rsidR="00CE0CEF" w:rsidRPr="00CE0CEF" w14:paraId="116A21BA" w14:textId="77777777" w:rsidTr="007A2D5E">
        <w:tc>
          <w:tcPr>
            <w:tcW w:w="0" w:type="auto"/>
            <w:hideMark/>
          </w:tcPr>
          <w:p w14:paraId="7A991BB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Chili peppers</w:t>
            </w:r>
          </w:p>
        </w:tc>
        <w:tc>
          <w:tcPr>
            <w:tcW w:w="0" w:type="auto"/>
            <w:hideMark/>
          </w:tcPr>
          <w:p w14:paraId="5EC9AC7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7</w:t>
            </w:r>
          </w:p>
        </w:tc>
        <w:tc>
          <w:tcPr>
            <w:tcW w:w="0" w:type="auto"/>
            <w:hideMark/>
          </w:tcPr>
          <w:p w14:paraId="79E9979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w:t>
            </w:r>
          </w:p>
        </w:tc>
      </w:tr>
      <w:tr w:rsidR="00CE0CEF" w:rsidRPr="00CE0CEF" w14:paraId="7F795532" w14:textId="77777777" w:rsidTr="007A2D5E">
        <w:tc>
          <w:tcPr>
            <w:tcW w:w="0" w:type="auto"/>
            <w:hideMark/>
          </w:tcPr>
          <w:p w14:paraId="2F9C9F5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Bell peppers</w:t>
            </w:r>
          </w:p>
        </w:tc>
        <w:tc>
          <w:tcPr>
            <w:tcW w:w="0" w:type="auto"/>
            <w:hideMark/>
          </w:tcPr>
          <w:p w14:paraId="269953A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15</w:t>
            </w:r>
          </w:p>
        </w:tc>
        <w:tc>
          <w:tcPr>
            <w:tcW w:w="0" w:type="auto"/>
            <w:hideMark/>
          </w:tcPr>
          <w:p w14:paraId="632AE3F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w:t>
            </w:r>
          </w:p>
        </w:tc>
      </w:tr>
    </w:tbl>
    <w:p w14:paraId="6CC65BC4"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All gardening households cultivated vegetables, but none reported fruit cultivation, indicating a significant gap in dietary diversity. The exclusive focus on vegetables limits the variety of micronutrients available to children, particularly vitamins from fruits.</w:t>
      </w:r>
    </w:p>
    <w:p w14:paraId="10BB711B"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t>Table 4: Consumption frequency of garden products for households with vegetable gardens</w:t>
      </w:r>
    </w:p>
    <w:tbl>
      <w:tblPr>
        <w:tblStyle w:val="TableGrid"/>
        <w:tblW w:w="0" w:type="auto"/>
        <w:tblLook w:val="04A0" w:firstRow="1" w:lastRow="0" w:firstColumn="1" w:lastColumn="0" w:noHBand="0" w:noVBand="1"/>
      </w:tblPr>
      <w:tblGrid>
        <w:gridCol w:w="2583"/>
        <w:gridCol w:w="1229"/>
        <w:gridCol w:w="1269"/>
      </w:tblGrid>
      <w:tr w:rsidR="00CE0CEF" w:rsidRPr="00CE0CEF" w14:paraId="65AFFA17" w14:textId="77777777" w:rsidTr="007A2D5E">
        <w:tc>
          <w:tcPr>
            <w:tcW w:w="0" w:type="auto"/>
            <w:hideMark/>
          </w:tcPr>
          <w:p w14:paraId="01EED8E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Consumption Frequency</w:t>
            </w:r>
          </w:p>
        </w:tc>
        <w:tc>
          <w:tcPr>
            <w:tcW w:w="0" w:type="auto"/>
            <w:hideMark/>
          </w:tcPr>
          <w:p w14:paraId="4302C87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Frequency</w:t>
            </w:r>
          </w:p>
        </w:tc>
        <w:tc>
          <w:tcPr>
            <w:tcW w:w="0" w:type="auto"/>
            <w:hideMark/>
          </w:tcPr>
          <w:p w14:paraId="5CD154D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Percentage</w:t>
            </w:r>
          </w:p>
        </w:tc>
      </w:tr>
      <w:tr w:rsidR="00CE0CEF" w:rsidRPr="00CE0CEF" w14:paraId="3E3D37C2" w14:textId="77777777" w:rsidTr="007A2D5E">
        <w:tc>
          <w:tcPr>
            <w:tcW w:w="0" w:type="auto"/>
            <w:hideMark/>
          </w:tcPr>
          <w:p w14:paraId="2B1A439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Daily</w:t>
            </w:r>
          </w:p>
        </w:tc>
        <w:tc>
          <w:tcPr>
            <w:tcW w:w="0" w:type="auto"/>
            <w:hideMark/>
          </w:tcPr>
          <w:p w14:paraId="299F954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52</w:t>
            </w:r>
          </w:p>
        </w:tc>
        <w:tc>
          <w:tcPr>
            <w:tcW w:w="0" w:type="auto"/>
            <w:hideMark/>
          </w:tcPr>
          <w:p w14:paraId="6A2F939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28</w:t>
            </w:r>
          </w:p>
        </w:tc>
      </w:tr>
      <w:tr w:rsidR="00CE0CEF" w:rsidRPr="00CE0CEF" w14:paraId="5CF42622" w14:textId="77777777" w:rsidTr="007A2D5E">
        <w:tc>
          <w:tcPr>
            <w:tcW w:w="0" w:type="auto"/>
            <w:hideMark/>
          </w:tcPr>
          <w:p w14:paraId="4D90E0A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 times per week</w:t>
            </w:r>
          </w:p>
        </w:tc>
        <w:tc>
          <w:tcPr>
            <w:tcW w:w="0" w:type="auto"/>
            <w:hideMark/>
          </w:tcPr>
          <w:p w14:paraId="4A070B9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w:t>
            </w:r>
          </w:p>
        </w:tc>
        <w:tc>
          <w:tcPr>
            <w:tcW w:w="0" w:type="auto"/>
            <w:hideMark/>
          </w:tcPr>
          <w:p w14:paraId="0B5528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w:t>
            </w:r>
          </w:p>
        </w:tc>
      </w:tr>
      <w:tr w:rsidR="00CE0CEF" w:rsidRPr="00CE0CEF" w14:paraId="774207E4" w14:textId="77777777" w:rsidTr="007A2D5E">
        <w:tc>
          <w:tcPr>
            <w:tcW w:w="0" w:type="auto"/>
            <w:hideMark/>
          </w:tcPr>
          <w:p w14:paraId="1D67DEF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2-3 times per week</w:t>
            </w:r>
          </w:p>
        </w:tc>
        <w:tc>
          <w:tcPr>
            <w:tcW w:w="0" w:type="auto"/>
            <w:hideMark/>
          </w:tcPr>
          <w:p w14:paraId="34E2545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17</w:t>
            </w:r>
          </w:p>
        </w:tc>
        <w:tc>
          <w:tcPr>
            <w:tcW w:w="0" w:type="auto"/>
            <w:hideMark/>
          </w:tcPr>
          <w:p w14:paraId="69C9A16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9.33</w:t>
            </w:r>
          </w:p>
        </w:tc>
      </w:tr>
      <w:tr w:rsidR="00CE0CEF" w:rsidRPr="00CE0CEF" w14:paraId="17F9839B" w14:textId="77777777" w:rsidTr="007A2D5E">
        <w:tc>
          <w:tcPr>
            <w:tcW w:w="0" w:type="auto"/>
            <w:hideMark/>
          </w:tcPr>
          <w:p w14:paraId="3B35B25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3-4 times per week</w:t>
            </w:r>
          </w:p>
        </w:tc>
        <w:tc>
          <w:tcPr>
            <w:tcW w:w="0" w:type="auto"/>
            <w:hideMark/>
          </w:tcPr>
          <w:p w14:paraId="1608491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22</w:t>
            </w:r>
          </w:p>
        </w:tc>
        <w:tc>
          <w:tcPr>
            <w:tcW w:w="0" w:type="auto"/>
            <w:hideMark/>
          </w:tcPr>
          <w:p w14:paraId="56E7DC4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w:t>
            </w:r>
          </w:p>
        </w:tc>
      </w:tr>
      <w:tr w:rsidR="00CE0CEF" w:rsidRPr="00CE0CEF" w14:paraId="2CADFB24" w14:textId="77777777" w:rsidTr="007A2D5E">
        <w:tc>
          <w:tcPr>
            <w:tcW w:w="0" w:type="auto"/>
            <w:hideMark/>
          </w:tcPr>
          <w:p w14:paraId="5A3A8A8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4-5 times per week</w:t>
            </w:r>
          </w:p>
        </w:tc>
        <w:tc>
          <w:tcPr>
            <w:tcW w:w="0" w:type="auto"/>
            <w:hideMark/>
          </w:tcPr>
          <w:p w14:paraId="12E23AB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40</w:t>
            </w:r>
          </w:p>
        </w:tc>
        <w:tc>
          <w:tcPr>
            <w:tcW w:w="0" w:type="auto"/>
            <w:hideMark/>
          </w:tcPr>
          <w:p w14:paraId="0BF40D4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21.33</w:t>
            </w:r>
          </w:p>
        </w:tc>
      </w:tr>
      <w:tr w:rsidR="00CE0CEF" w:rsidRPr="00CE0CEF" w14:paraId="78EE1C1F" w14:textId="77777777" w:rsidTr="007A2D5E">
        <w:tc>
          <w:tcPr>
            <w:tcW w:w="0" w:type="auto"/>
            <w:hideMark/>
          </w:tcPr>
          <w:p w14:paraId="29885D3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5-6 times per week</w:t>
            </w:r>
          </w:p>
        </w:tc>
        <w:tc>
          <w:tcPr>
            <w:tcW w:w="0" w:type="auto"/>
            <w:hideMark/>
          </w:tcPr>
          <w:p w14:paraId="6F6C9EE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47</w:t>
            </w:r>
          </w:p>
        </w:tc>
        <w:tc>
          <w:tcPr>
            <w:tcW w:w="0" w:type="auto"/>
            <w:hideMark/>
          </w:tcPr>
          <w:p w14:paraId="35181BC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25.33</w:t>
            </w:r>
          </w:p>
        </w:tc>
      </w:tr>
      <w:tr w:rsidR="00CE0CEF" w:rsidRPr="00CE0CEF" w14:paraId="7BB39759" w14:textId="77777777" w:rsidTr="007A2D5E">
        <w:tc>
          <w:tcPr>
            <w:tcW w:w="0" w:type="auto"/>
            <w:hideMark/>
          </w:tcPr>
          <w:p w14:paraId="61B9BD0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2D94D75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4216B1E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r>
    </w:tbl>
    <w:p w14:paraId="33C22685" w14:textId="77777777" w:rsidR="00517524" w:rsidRDefault="00517524" w:rsidP="00063C8F">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14:paraId="3A4C9974"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27A7C884"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lastRenderedPageBreak/>
        <w:t>Table 5: Consumption frequency of garden products for households without vegetable gardens</w:t>
      </w:r>
    </w:p>
    <w:tbl>
      <w:tblPr>
        <w:tblStyle w:val="TableGrid"/>
        <w:tblW w:w="0" w:type="auto"/>
        <w:tblLook w:val="04A0" w:firstRow="1" w:lastRow="0" w:firstColumn="1" w:lastColumn="0" w:noHBand="0" w:noVBand="1"/>
      </w:tblPr>
      <w:tblGrid>
        <w:gridCol w:w="2583"/>
        <w:gridCol w:w="1229"/>
        <w:gridCol w:w="1269"/>
      </w:tblGrid>
      <w:tr w:rsidR="00CE0CEF" w:rsidRPr="00CE0CEF" w14:paraId="3D4BD7EC" w14:textId="77777777" w:rsidTr="007A2D5E">
        <w:tc>
          <w:tcPr>
            <w:tcW w:w="0" w:type="auto"/>
            <w:hideMark/>
          </w:tcPr>
          <w:p w14:paraId="6AC42D7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Consumption Frequency</w:t>
            </w:r>
          </w:p>
        </w:tc>
        <w:tc>
          <w:tcPr>
            <w:tcW w:w="0" w:type="auto"/>
            <w:hideMark/>
          </w:tcPr>
          <w:p w14:paraId="0311334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Frequency</w:t>
            </w:r>
          </w:p>
        </w:tc>
        <w:tc>
          <w:tcPr>
            <w:tcW w:w="0" w:type="auto"/>
            <w:hideMark/>
          </w:tcPr>
          <w:p w14:paraId="45EA019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Percentage</w:t>
            </w:r>
          </w:p>
        </w:tc>
      </w:tr>
      <w:tr w:rsidR="00CE0CEF" w:rsidRPr="00CE0CEF" w14:paraId="36AEB960" w14:textId="77777777" w:rsidTr="007A2D5E">
        <w:tc>
          <w:tcPr>
            <w:tcW w:w="0" w:type="auto"/>
            <w:hideMark/>
          </w:tcPr>
          <w:p w14:paraId="21A74FF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Daily</w:t>
            </w:r>
          </w:p>
        </w:tc>
        <w:tc>
          <w:tcPr>
            <w:tcW w:w="0" w:type="auto"/>
            <w:hideMark/>
          </w:tcPr>
          <w:p w14:paraId="2AB3079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w:t>
            </w:r>
          </w:p>
        </w:tc>
        <w:tc>
          <w:tcPr>
            <w:tcW w:w="0" w:type="auto"/>
            <w:hideMark/>
          </w:tcPr>
          <w:p w14:paraId="31376F1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w:t>
            </w:r>
          </w:p>
        </w:tc>
      </w:tr>
      <w:tr w:rsidR="00CE0CEF" w:rsidRPr="00CE0CEF" w14:paraId="5080AC4E" w14:textId="77777777" w:rsidTr="007A2D5E">
        <w:tc>
          <w:tcPr>
            <w:tcW w:w="0" w:type="auto"/>
            <w:hideMark/>
          </w:tcPr>
          <w:p w14:paraId="680A6BC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 times per week</w:t>
            </w:r>
          </w:p>
        </w:tc>
        <w:tc>
          <w:tcPr>
            <w:tcW w:w="0" w:type="auto"/>
            <w:hideMark/>
          </w:tcPr>
          <w:p w14:paraId="72D6355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20</w:t>
            </w:r>
          </w:p>
        </w:tc>
        <w:tc>
          <w:tcPr>
            <w:tcW w:w="0" w:type="auto"/>
            <w:hideMark/>
          </w:tcPr>
          <w:p w14:paraId="1ECA433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10.66</w:t>
            </w:r>
          </w:p>
        </w:tc>
      </w:tr>
      <w:tr w:rsidR="00CE0CEF" w:rsidRPr="00CE0CEF" w14:paraId="29D12C1A" w14:textId="77777777" w:rsidTr="007A2D5E">
        <w:tc>
          <w:tcPr>
            <w:tcW w:w="0" w:type="auto"/>
            <w:hideMark/>
          </w:tcPr>
          <w:p w14:paraId="735F0FB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2-3 times per week</w:t>
            </w:r>
          </w:p>
        </w:tc>
        <w:tc>
          <w:tcPr>
            <w:tcW w:w="0" w:type="auto"/>
            <w:hideMark/>
          </w:tcPr>
          <w:p w14:paraId="20E9CD9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62</w:t>
            </w:r>
          </w:p>
        </w:tc>
        <w:tc>
          <w:tcPr>
            <w:tcW w:w="0" w:type="auto"/>
            <w:hideMark/>
          </w:tcPr>
          <w:p w14:paraId="4481276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33.33</w:t>
            </w:r>
          </w:p>
        </w:tc>
      </w:tr>
      <w:tr w:rsidR="00CE0CEF" w:rsidRPr="00CE0CEF" w14:paraId="74509E3D" w14:textId="77777777" w:rsidTr="007A2D5E">
        <w:tc>
          <w:tcPr>
            <w:tcW w:w="0" w:type="auto"/>
            <w:hideMark/>
          </w:tcPr>
          <w:p w14:paraId="5895B63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3-4 times per week</w:t>
            </w:r>
          </w:p>
        </w:tc>
        <w:tc>
          <w:tcPr>
            <w:tcW w:w="0" w:type="auto"/>
            <w:hideMark/>
          </w:tcPr>
          <w:p w14:paraId="027B39F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54</w:t>
            </w:r>
          </w:p>
        </w:tc>
        <w:tc>
          <w:tcPr>
            <w:tcW w:w="0" w:type="auto"/>
            <w:hideMark/>
          </w:tcPr>
          <w:p w14:paraId="4C6C5DA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29.03</w:t>
            </w:r>
          </w:p>
        </w:tc>
      </w:tr>
      <w:tr w:rsidR="00CE0CEF" w:rsidRPr="00CE0CEF" w14:paraId="096B24CF" w14:textId="77777777" w:rsidTr="007A2D5E">
        <w:tc>
          <w:tcPr>
            <w:tcW w:w="0" w:type="auto"/>
            <w:hideMark/>
          </w:tcPr>
          <w:p w14:paraId="53D376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4-5 times per week</w:t>
            </w:r>
          </w:p>
        </w:tc>
        <w:tc>
          <w:tcPr>
            <w:tcW w:w="0" w:type="auto"/>
            <w:hideMark/>
          </w:tcPr>
          <w:p w14:paraId="726AA66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30</w:t>
            </w:r>
          </w:p>
        </w:tc>
        <w:tc>
          <w:tcPr>
            <w:tcW w:w="0" w:type="auto"/>
            <w:hideMark/>
          </w:tcPr>
          <w:p w14:paraId="007E540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16</w:t>
            </w:r>
          </w:p>
        </w:tc>
      </w:tr>
      <w:tr w:rsidR="00CE0CEF" w:rsidRPr="00CE0CEF" w14:paraId="58AC82CA" w14:textId="77777777" w:rsidTr="007A2D5E">
        <w:tc>
          <w:tcPr>
            <w:tcW w:w="0" w:type="auto"/>
            <w:hideMark/>
          </w:tcPr>
          <w:p w14:paraId="6E6FC18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5-6 times per week</w:t>
            </w:r>
          </w:p>
        </w:tc>
        <w:tc>
          <w:tcPr>
            <w:tcW w:w="0" w:type="auto"/>
            <w:hideMark/>
          </w:tcPr>
          <w:p w14:paraId="505F994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w:t>
            </w:r>
          </w:p>
        </w:tc>
        <w:tc>
          <w:tcPr>
            <w:tcW w:w="0" w:type="auto"/>
            <w:hideMark/>
          </w:tcPr>
          <w:p w14:paraId="7E88944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6.45</w:t>
            </w:r>
          </w:p>
        </w:tc>
      </w:tr>
      <w:tr w:rsidR="00CE0CEF" w:rsidRPr="00CE0CEF" w14:paraId="7E3610DD" w14:textId="77777777" w:rsidTr="007A2D5E">
        <w:tc>
          <w:tcPr>
            <w:tcW w:w="0" w:type="auto"/>
            <w:hideMark/>
          </w:tcPr>
          <w:p w14:paraId="6D225EE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5AA0278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4D1A1F7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r>
    </w:tbl>
    <w:p w14:paraId="7B31D90E"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dramatic difference in daily consumption of garden products between households with gardens (28%) and without (4%) highlights the direct impact of home production on food consumption patterns. This supports findings by Boucher (2011) and Kansiime et al. (2014), who documented similar patterns in other African contexts</w:t>
      </w:r>
      <w:r w:rsidR="00737D04">
        <w:rPr>
          <w:rFonts w:ascii="Times New Roman" w:hAnsi="Times New Roman" w:cs="Times New Roman"/>
          <w:color w:val="0F1115"/>
          <w:sz w:val="24"/>
          <w:szCs w:val="24"/>
        </w:rPr>
        <w:t xml:space="preserve"> [10,11</w:t>
      </w:r>
      <w:r w:rsidR="00737D04" w:rsidRPr="00063C8F">
        <w:rPr>
          <w:rFonts w:ascii="Times New Roman" w:hAnsi="Times New Roman" w:cs="Times New Roman"/>
          <w:color w:val="0F1115"/>
          <w:sz w:val="24"/>
          <w:szCs w:val="24"/>
        </w:rPr>
        <w:t>]</w:t>
      </w:r>
      <w:r w:rsidRPr="00CE0CEF">
        <w:rPr>
          <w:rFonts w:ascii="Times New Roman" w:eastAsia="Times New Roman" w:hAnsi="Times New Roman" w:cs="Times New Roman"/>
          <w:color w:val="0F1115"/>
          <w:sz w:val="24"/>
          <w:szCs w:val="24"/>
          <w:lang w:val="en-US"/>
        </w:rPr>
        <w:t>.</w:t>
      </w:r>
    </w:p>
    <w:p w14:paraId="4260E825" w14:textId="77777777" w:rsidR="00CE0CEF" w:rsidRPr="00CE0CEF" w:rsidRDefault="00CE0CEF" w:rsidP="00063C8F">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sidRPr="00063C8F">
        <w:rPr>
          <w:rFonts w:ascii="Times New Roman" w:eastAsia="Times New Roman" w:hAnsi="Times New Roman" w:cs="Times New Roman"/>
          <w:b/>
          <w:bCs/>
          <w:color w:val="0F1115"/>
          <w:sz w:val="24"/>
          <w:szCs w:val="24"/>
          <w:lang w:val="en-US"/>
        </w:rPr>
        <w:t>3.3. Nutritional Status Assessment</w:t>
      </w:r>
    </w:p>
    <w:p w14:paraId="1AB6A93D"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063C8F">
        <w:rPr>
          <w:rFonts w:ascii="Times New Roman" w:eastAsia="Times New Roman" w:hAnsi="Times New Roman" w:cs="Times New Roman"/>
          <w:b/>
          <w:bCs/>
          <w:color w:val="0F1115"/>
          <w:sz w:val="24"/>
          <w:szCs w:val="24"/>
          <w:lang w:val="en-US"/>
        </w:rPr>
        <w:t xml:space="preserve">Table </w:t>
      </w:r>
      <w:r w:rsidR="00517524">
        <w:rPr>
          <w:rFonts w:ascii="Times New Roman" w:eastAsia="Times New Roman" w:hAnsi="Times New Roman" w:cs="Times New Roman"/>
          <w:b/>
          <w:bCs/>
          <w:color w:val="0F1115"/>
          <w:sz w:val="24"/>
          <w:szCs w:val="24"/>
          <w:lang w:val="en-US"/>
        </w:rPr>
        <w:t>6</w:t>
      </w:r>
      <w:r w:rsidRPr="00063C8F">
        <w:rPr>
          <w:rFonts w:ascii="Times New Roman" w:eastAsia="Times New Roman" w:hAnsi="Times New Roman" w:cs="Times New Roman"/>
          <w:b/>
          <w:bCs/>
          <w:color w:val="0F1115"/>
          <w:sz w:val="24"/>
          <w:szCs w:val="24"/>
          <w:lang w:val="en-US"/>
        </w:rPr>
        <w:t>: Weight status of children: Weight-for-age (households with vegetable gardens)</w:t>
      </w:r>
    </w:p>
    <w:tbl>
      <w:tblPr>
        <w:tblStyle w:val="TableGrid"/>
        <w:tblW w:w="0" w:type="auto"/>
        <w:tblLook w:val="04A0" w:firstRow="1" w:lastRow="0" w:firstColumn="1" w:lastColumn="0" w:noHBand="0" w:noVBand="1"/>
      </w:tblPr>
      <w:tblGrid>
        <w:gridCol w:w="2984"/>
        <w:gridCol w:w="923"/>
        <w:gridCol w:w="1829"/>
        <w:gridCol w:w="1076"/>
      </w:tblGrid>
      <w:tr w:rsidR="00CE0CEF" w:rsidRPr="00CE0CEF" w14:paraId="775F8D9A" w14:textId="77777777" w:rsidTr="007A2D5E">
        <w:tc>
          <w:tcPr>
            <w:tcW w:w="0" w:type="auto"/>
            <w:hideMark/>
          </w:tcPr>
          <w:p w14:paraId="6C873BC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Z-Score Value (W/A)</w:t>
            </w:r>
          </w:p>
        </w:tc>
        <w:tc>
          <w:tcPr>
            <w:tcW w:w="0" w:type="auto"/>
            <w:hideMark/>
          </w:tcPr>
          <w:p w14:paraId="1B0E6C5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Results</w:t>
            </w:r>
          </w:p>
        </w:tc>
        <w:tc>
          <w:tcPr>
            <w:tcW w:w="0" w:type="auto"/>
            <w:hideMark/>
          </w:tcPr>
          <w:p w14:paraId="135DF32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Number of cases</w:t>
            </w:r>
          </w:p>
        </w:tc>
        <w:tc>
          <w:tcPr>
            <w:tcW w:w="0" w:type="auto"/>
            <w:hideMark/>
          </w:tcPr>
          <w:p w14:paraId="1645306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Rate (%)</w:t>
            </w:r>
          </w:p>
        </w:tc>
      </w:tr>
      <w:tr w:rsidR="00CE0CEF" w:rsidRPr="00CE0CEF" w14:paraId="19069C09" w14:textId="77777777" w:rsidTr="007A2D5E">
        <w:tc>
          <w:tcPr>
            <w:tcW w:w="0" w:type="auto"/>
            <w:hideMark/>
          </w:tcPr>
          <w:p w14:paraId="27C83C2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 -1 (normal)</w:t>
            </w:r>
          </w:p>
        </w:tc>
        <w:tc>
          <w:tcPr>
            <w:tcW w:w="0" w:type="auto"/>
            <w:hideMark/>
          </w:tcPr>
          <w:p w14:paraId="47B7F9D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127</w:t>
            </w:r>
          </w:p>
        </w:tc>
        <w:tc>
          <w:tcPr>
            <w:tcW w:w="0" w:type="auto"/>
            <w:hideMark/>
          </w:tcPr>
          <w:p w14:paraId="77F8488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68</w:t>
            </w:r>
          </w:p>
        </w:tc>
        <w:tc>
          <w:tcPr>
            <w:tcW w:w="0" w:type="auto"/>
            <w:hideMark/>
          </w:tcPr>
          <w:p w14:paraId="0B034F5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286242F6" w14:textId="77777777" w:rsidTr="007A2D5E">
        <w:tc>
          <w:tcPr>
            <w:tcW w:w="0" w:type="auto"/>
            <w:hideMark/>
          </w:tcPr>
          <w:p w14:paraId="2D9CD54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-2 (moderate underweight)</w:t>
            </w:r>
          </w:p>
        </w:tc>
        <w:tc>
          <w:tcPr>
            <w:tcW w:w="0" w:type="auto"/>
            <w:hideMark/>
          </w:tcPr>
          <w:p w14:paraId="74AF77C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52</w:t>
            </w:r>
          </w:p>
        </w:tc>
        <w:tc>
          <w:tcPr>
            <w:tcW w:w="0" w:type="auto"/>
            <w:hideMark/>
          </w:tcPr>
          <w:p w14:paraId="0A93362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28</w:t>
            </w:r>
          </w:p>
        </w:tc>
        <w:tc>
          <w:tcPr>
            <w:tcW w:w="0" w:type="auto"/>
            <w:hideMark/>
          </w:tcPr>
          <w:p w14:paraId="4C926CB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5C13C360" w14:textId="77777777" w:rsidTr="007A2D5E">
        <w:tc>
          <w:tcPr>
            <w:tcW w:w="0" w:type="auto"/>
            <w:hideMark/>
          </w:tcPr>
          <w:p w14:paraId="5CAFA8F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-3 (severe underweight)</w:t>
            </w:r>
          </w:p>
        </w:tc>
        <w:tc>
          <w:tcPr>
            <w:tcW w:w="0" w:type="auto"/>
            <w:hideMark/>
          </w:tcPr>
          <w:p w14:paraId="59F1DE2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7</w:t>
            </w:r>
          </w:p>
        </w:tc>
        <w:tc>
          <w:tcPr>
            <w:tcW w:w="0" w:type="auto"/>
            <w:hideMark/>
          </w:tcPr>
          <w:p w14:paraId="2EE4508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w:t>
            </w:r>
          </w:p>
        </w:tc>
        <w:tc>
          <w:tcPr>
            <w:tcW w:w="0" w:type="auto"/>
            <w:hideMark/>
          </w:tcPr>
          <w:p w14:paraId="07F1A35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18FAE128" w14:textId="77777777" w:rsidTr="007A2D5E">
        <w:tc>
          <w:tcPr>
            <w:tcW w:w="0" w:type="auto"/>
            <w:hideMark/>
          </w:tcPr>
          <w:p w14:paraId="7D3B2F5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6294D56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02CCC44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c>
          <w:tcPr>
            <w:tcW w:w="0" w:type="auto"/>
            <w:hideMark/>
          </w:tcPr>
          <w:p w14:paraId="049310D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bl>
    <w:p w14:paraId="6B9C7118" w14:textId="77777777" w:rsidR="00517524" w:rsidRDefault="00517524" w:rsidP="00063C8F">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14:paraId="6BAB91CD"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3005533E" w14:textId="77777777" w:rsidR="00CE0CEF" w:rsidRPr="00CE0CEF" w:rsidRDefault="00517524"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lastRenderedPageBreak/>
        <w:t>Table 7</w:t>
      </w:r>
      <w:r w:rsidR="00CE0CEF" w:rsidRPr="00063C8F">
        <w:rPr>
          <w:rFonts w:ascii="Times New Roman" w:eastAsia="Times New Roman" w:hAnsi="Times New Roman" w:cs="Times New Roman"/>
          <w:b/>
          <w:bCs/>
          <w:color w:val="0F1115"/>
          <w:sz w:val="24"/>
          <w:szCs w:val="24"/>
          <w:lang w:val="en-US"/>
        </w:rPr>
        <w:t>: Weight status of children: Weight-for-age (households without vegetable gardens)</w:t>
      </w:r>
    </w:p>
    <w:tbl>
      <w:tblPr>
        <w:tblStyle w:val="TableGrid"/>
        <w:tblW w:w="0" w:type="auto"/>
        <w:tblLook w:val="04A0" w:firstRow="1" w:lastRow="0" w:firstColumn="1" w:lastColumn="0" w:noHBand="0" w:noVBand="1"/>
      </w:tblPr>
      <w:tblGrid>
        <w:gridCol w:w="2984"/>
        <w:gridCol w:w="923"/>
        <w:gridCol w:w="1829"/>
        <w:gridCol w:w="1076"/>
      </w:tblGrid>
      <w:tr w:rsidR="00CE0CEF" w:rsidRPr="00CE0CEF" w14:paraId="45F8AE8D" w14:textId="77777777" w:rsidTr="007A2D5E">
        <w:tc>
          <w:tcPr>
            <w:tcW w:w="0" w:type="auto"/>
            <w:hideMark/>
          </w:tcPr>
          <w:p w14:paraId="57574F6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Z-Score Value (W/A)</w:t>
            </w:r>
          </w:p>
        </w:tc>
        <w:tc>
          <w:tcPr>
            <w:tcW w:w="0" w:type="auto"/>
            <w:hideMark/>
          </w:tcPr>
          <w:p w14:paraId="4B8E397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Results</w:t>
            </w:r>
          </w:p>
        </w:tc>
        <w:tc>
          <w:tcPr>
            <w:tcW w:w="0" w:type="auto"/>
            <w:hideMark/>
          </w:tcPr>
          <w:p w14:paraId="2A3FB7F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Number of cases</w:t>
            </w:r>
          </w:p>
        </w:tc>
        <w:tc>
          <w:tcPr>
            <w:tcW w:w="0" w:type="auto"/>
            <w:hideMark/>
          </w:tcPr>
          <w:p w14:paraId="6982475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Rate (%)</w:t>
            </w:r>
          </w:p>
        </w:tc>
      </w:tr>
      <w:tr w:rsidR="00CE0CEF" w:rsidRPr="00CE0CEF" w14:paraId="1EDFE4A7" w14:textId="77777777" w:rsidTr="007A2D5E">
        <w:tc>
          <w:tcPr>
            <w:tcW w:w="0" w:type="auto"/>
            <w:hideMark/>
          </w:tcPr>
          <w:p w14:paraId="704D230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 -1 (normal)</w:t>
            </w:r>
          </w:p>
        </w:tc>
        <w:tc>
          <w:tcPr>
            <w:tcW w:w="0" w:type="auto"/>
            <w:hideMark/>
          </w:tcPr>
          <w:p w14:paraId="5A467CA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114</w:t>
            </w:r>
          </w:p>
        </w:tc>
        <w:tc>
          <w:tcPr>
            <w:tcW w:w="0" w:type="auto"/>
            <w:hideMark/>
          </w:tcPr>
          <w:p w14:paraId="5D2988F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61.29</w:t>
            </w:r>
          </w:p>
        </w:tc>
        <w:tc>
          <w:tcPr>
            <w:tcW w:w="0" w:type="auto"/>
            <w:hideMark/>
          </w:tcPr>
          <w:p w14:paraId="1D77FAD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6A221995" w14:textId="77777777" w:rsidTr="007A2D5E">
        <w:tc>
          <w:tcPr>
            <w:tcW w:w="0" w:type="auto"/>
            <w:hideMark/>
          </w:tcPr>
          <w:p w14:paraId="0E53918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-2 (moderate underweight)</w:t>
            </w:r>
          </w:p>
        </w:tc>
        <w:tc>
          <w:tcPr>
            <w:tcW w:w="0" w:type="auto"/>
            <w:hideMark/>
          </w:tcPr>
          <w:p w14:paraId="37024D4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62</w:t>
            </w:r>
          </w:p>
        </w:tc>
        <w:tc>
          <w:tcPr>
            <w:tcW w:w="0" w:type="auto"/>
            <w:hideMark/>
          </w:tcPr>
          <w:p w14:paraId="6E5C160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33.33</w:t>
            </w:r>
          </w:p>
        </w:tc>
        <w:tc>
          <w:tcPr>
            <w:tcW w:w="0" w:type="auto"/>
            <w:hideMark/>
          </w:tcPr>
          <w:p w14:paraId="5DC5037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53B0E90B" w14:textId="77777777" w:rsidTr="007A2D5E">
        <w:tc>
          <w:tcPr>
            <w:tcW w:w="0" w:type="auto"/>
            <w:hideMark/>
          </w:tcPr>
          <w:p w14:paraId="393C5BE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-3 (severe underweight)</w:t>
            </w:r>
          </w:p>
        </w:tc>
        <w:tc>
          <w:tcPr>
            <w:tcW w:w="0" w:type="auto"/>
            <w:hideMark/>
          </w:tcPr>
          <w:p w14:paraId="5B9F2AB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10</w:t>
            </w:r>
          </w:p>
        </w:tc>
        <w:tc>
          <w:tcPr>
            <w:tcW w:w="0" w:type="auto"/>
            <w:hideMark/>
          </w:tcPr>
          <w:p w14:paraId="0435F73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5.37</w:t>
            </w:r>
          </w:p>
        </w:tc>
        <w:tc>
          <w:tcPr>
            <w:tcW w:w="0" w:type="auto"/>
            <w:hideMark/>
          </w:tcPr>
          <w:p w14:paraId="25589DF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5FDF4214" w14:textId="77777777" w:rsidTr="007A2D5E">
        <w:tc>
          <w:tcPr>
            <w:tcW w:w="0" w:type="auto"/>
            <w:hideMark/>
          </w:tcPr>
          <w:p w14:paraId="44E91C7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3DF505E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7BF0232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c>
          <w:tcPr>
            <w:tcW w:w="0" w:type="auto"/>
            <w:hideMark/>
          </w:tcPr>
          <w:p w14:paraId="46810D1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bl>
    <w:p w14:paraId="12F6F19B"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prevalence of underweight was significantly lower in gardening households (32%) compared to non-gardening households (38.70%). This 6.7 percentage point difference represents a substantial protective effect, consistent with findings by Beaudry et al. (2016) who reported similar benefits of home gardening in other resource-poor settings</w:t>
      </w:r>
      <w:r w:rsidR="00737D04" w:rsidRPr="00737D04">
        <w:rPr>
          <w:rFonts w:ascii="Times New Roman" w:hAnsi="Times New Roman" w:cs="Times New Roman"/>
          <w:color w:val="0F1115"/>
          <w:sz w:val="24"/>
          <w:szCs w:val="24"/>
          <w:lang w:val="en-US"/>
        </w:rPr>
        <w:t xml:space="preserve"> [12]</w:t>
      </w:r>
      <w:r w:rsidRPr="00CE0CEF">
        <w:rPr>
          <w:rFonts w:ascii="Times New Roman" w:eastAsia="Times New Roman" w:hAnsi="Times New Roman" w:cs="Times New Roman"/>
          <w:color w:val="0F1115"/>
          <w:sz w:val="24"/>
          <w:szCs w:val="24"/>
          <w:lang w:val="en-US"/>
        </w:rPr>
        <w:t>.</w:t>
      </w:r>
    </w:p>
    <w:p w14:paraId="269F6FD9" w14:textId="77777777" w:rsidR="00CE0CEF" w:rsidRPr="00CE0CEF" w:rsidRDefault="00517524"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8</w:t>
      </w:r>
      <w:r w:rsidR="00CE0CEF" w:rsidRPr="00063C8F">
        <w:rPr>
          <w:rFonts w:ascii="Times New Roman" w:eastAsia="Times New Roman" w:hAnsi="Times New Roman" w:cs="Times New Roman"/>
          <w:b/>
          <w:bCs/>
          <w:color w:val="0F1115"/>
          <w:sz w:val="24"/>
          <w:szCs w:val="24"/>
          <w:lang w:val="en-US"/>
        </w:rPr>
        <w:t>: Wasting in children: Weight-for-height (households with vegetable gardens)</w:t>
      </w:r>
    </w:p>
    <w:tbl>
      <w:tblPr>
        <w:tblStyle w:val="TableGrid"/>
        <w:tblW w:w="0" w:type="auto"/>
        <w:tblLook w:val="04A0" w:firstRow="1" w:lastRow="0" w:firstColumn="1" w:lastColumn="0" w:noHBand="0" w:noVBand="1"/>
      </w:tblPr>
      <w:tblGrid>
        <w:gridCol w:w="3537"/>
        <w:gridCol w:w="923"/>
        <w:gridCol w:w="1829"/>
        <w:gridCol w:w="1076"/>
      </w:tblGrid>
      <w:tr w:rsidR="00CE0CEF" w:rsidRPr="00CE0CEF" w14:paraId="707814D2" w14:textId="77777777" w:rsidTr="007A2D5E">
        <w:tc>
          <w:tcPr>
            <w:tcW w:w="0" w:type="auto"/>
            <w:hideMark/>
          </w:tcPr>
          <w:p w14:paraId="4D92959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Z-Score Value (W/H)</w:t>
            </w:r>
          </w:p>
        </w:tc>
        <w:tc>
          <w:tcPr>
            <w:tcW w:w="0" w:type="auto"/>
            <w:hideMark/>
          </w:tcPr>
          <w:p w14:paraId="0B80F5A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Results</w:t>
            </w:r>
          </w:p>
        </w:tc>
        <w:tc>
          <w:tcPr>
            <w:tcW w:w="0" w:type="auto"/>
            <w:hideMark/>
          </w:tcPr>
          <w:p w14:paraId="6D5CEBE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Number of cases</w:t>
            </w:r>
          </w:p>
        </w:tc>
        <w:tc>
          <w:tcPr>
            <w:tcW w:w="0" w:type="auto"/>
            <w:hideMark/>
          </w:tcPr>
          <w:p w14:paraId="20D397E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Rate (%)</w:t>
            </w:r>
          </w:p>
        </w:tc>
      </w:tr>
      <w:tr w:rsidR="00CE0CEF" w:rsidRPr="00CE0CEF" w14:paraId="1914B21B" w14:textId="77777777" w:rsidTr="007A2D5E">
        <w:tc>
          <w:tcPr>
            <w:tcW w:w="0" w:type="auto"/>
            <w:hideMark/>
          </w:tcPr>
          <w:p w14:paraId="49C39F3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 -1 (normal)</w:t>
            </w:r>
          </w:p>
        </w:tc>
        <w:tc>
          <w:tcPr>
            <w:tcW w:w="0" w:type="auto"/>
            <w:hideMark/>
          </w:tcPr>
          <w:p w14:paraId="70BF120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179</w:t>
            </w:r>
          </w:p>
        </w:tc>
        <w:tc>
          <w:tcPr>
            <w:tcW w:w="0" w:type="auto"/>
            <w:hideMark/>
          </w:tcPr>
          <w:p w14:paraId="6D22D68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96</w:t>
            </w:r>
          </w:p>
        </w:tc>
        <w:tc>
          <w:tcPr>
            <w:tcW w:w="0" w:type="auto"/>
            <w:hideMark/>
          </w:tcPr>
          <w:p w14:paraId="6C8DDAE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71017AE5" w14:textId="77777777" w:rsidTr="007A2D5E">
        <w:tc>
          <w:tcPr>
            <w:tcW w:w="0" w:type="auto"/>
            <w:hideMark/>
          </w:tcPr>
          <w:p w14:paraId="4A0180F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-2 (moderate acute malnutrition)</w:t>
            </w:r>
          </w:p>
        </w:tc>
        <w:tc>
          <w:tcPr>
            <w:tcW w:w="0" w:type="auto"/>
            <w:hideMark/>
          </w:tcPr>
          <w:p w14:paraId="36BD3E5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7</w:t>
            </w:r>
          </w:p>
        </w:tc>
        <w:tc>
          <w:tcPr>
            <w:tcW w:w="0" w:type="auto"/>
            <w:hideMark/>
          </w:tcPr>
          <w:p w14:paraId="150CD1A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w:t>
            </w:r>
          </w:p>
        </w:tc>
        <w:tc>
          <w:tcPr>
            <w:tcW w:w="0" w:type="auto"/>
            <w:hideMark/>
          </w:tcPr>
          <w:p w14:paraId="27D3521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2F1E1BF5" w14:textId="77777777" w:rsidTr="007A2D5E">
        <w:tc>
          <w:tcPr>
            <w:tcW w:w="0" w:type="auto"/>
            <w:hideMark/>
          </w:tcPr>
          <w:p w14:paraId="60D4A00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-3 (severe acute malnutrition)</w:t>
            </w:r>
          </w:p>
        </w:tc>
        <w:tc>
          <w:tcPr>
            <w:tcW w:w="0" w:type="auto"/>
            <w:hideMark/>
          </w:tcPr>
          <w:p w14:paraId="580BD15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586A8AD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0A5D0F3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2823EF32" w14:textId="77777777" w:rsidTr="007A2D5E">
        <w:tc>
          <w:tcPr>
            <w:tcW w:w="0" w:type="auto"/>
            <w:hideMark/>
          </w:tcPr>
          <w:p w14:paraId="3123517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32F8CBF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0DB5DA7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c>
          <w:tcPr>
            <w:tcW w:w="0" w:type="auto"/>
            <w:hideMark/>
          </w:tcPr>
          <w:p w14:paraId="148AB3E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bl>
    <w:p w14:paraId="059C21F1" w14:textId="77777777" w:rsidR="00CE0CEF" w:rsidRPr="00CE0CEF" w:rsidRDefault="00517524"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9</w:t>
      </w:r>
      <w:r w:rsidR="00CE0CEF" w:rsidRPr="00063C8F">
        <w:rPr>
          <w:rFonts w:ascii="Times New Roman" w:eastAsia="Times New Roman" w:hAnsi="Times New Roman" w:cs="Times New Roman"/>
          <w:b/>
          <w:bCs/>
          <w:color w:val="0F1115"/>
          <w:sz w:val="24"/>
          <w:szCs w:val="24"/>
          <w:lang w:val="en-US"/>
        </w:rPr>
        <w:t>: Wasting in children: Weight-for-height (households without vegetable gardens)</w:t>
      </w:r>
    </w:p>
    <w:tbl>
      <w:tblPr>
        <w:tblStyle w:val="TableGrid"/>
        <w:tblW w:w="0" w:type="auto"/>
        <w:tblLook w:val="04A0" w:firstRow="1" w:lastRow="0" w:firstColumn="1" w:lastColumn="0" w:noHBand="0" w:noVBand="1"/>
      </w:tblPr>
      <w:tblGrid>
        <w:gridCol w:w="3537"/>
        <w:gridCol w:w="923"/>
        <w:gridCol w:w="1829"/>
        <w:gridCol w:w="1076"/>
      </w:tblGrid>
      <w:tr w:rsidR="00CE0CEF" w:rsidRPr="00CE0CEF" w14:paraId="01DCE141" w14:textId="77777777" w:rsidTr="007A2D5E">
        <w:tc>
          <w:tcPr>
            <w:tcW w:w="0" w:type="auto"/>
            <w:hideMark/>
          </w:tcPr>
          <w:p w14:paraId="51CEC6A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Z-Score Value (W/H)</w:t>
            </w:r>
          </w:p>
        </w:tc>
        <w:tc>
          <w:tcPr>
            <w:tcW w:w="0" w:type="auto"/>
            <w:hideMark/>
          </w:tcPr>
          <w:p w14:paraId="04A900E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Results</w:t>
            </w:r>
          </w:p>
        </w:tc>
        <w:tc>
          <w:tcPr>
            <w:tcW w:w="0" w:type="auto"/>
            <w:hideMark/>
          </w:tcPr>
          <w:p w14:paraId="6293F21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Number of cases</w:t>
            </w:r>
          </w:p>
        </w:tc>
        <w:tc>
          <w:tcPr>
            <w:tcW w:w="0" w:type="auto"/>
            <w:hideMark/>
          </w:tcPr>
          <w:p w14:paraId="60BB05D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Rate (%)</w:t>
            </w:r>
          </w:p>
        </w:tc>
      </w:tr>
      <w:tr w:rsidR="00CE0CEF" w:rsidRPr="00CE0CEF" w14:paraId="5D46CBF0" w14:textId="77777777" w:rsidTr="007A2D5E">
        <w:tc>
          <w:tcPr>
            <w:tcW w:w="0" w:type="auto"/>
            <w:hideMark/>
          </w:tcPr>
          <w:p w14:paraId="11BA38A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 -1 (normal)</w:t>
            </w:r>
          </w:p>
        </w:tc>
        <w:tc>
          <w:tcPr>
            <w:tcW w:w="0" w:type="auto"/>
            <w:hideMark/>
          </w:tcPr>
          <w:p w14:paraId="301C47C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176</w:t>
            </w:r>
          </w:p>
        </w:tc>
        <w:tc>
          <w:tcPr>
            <w:tcW w:w="0" w:type="auto"/>
            <w:hideMark/>
          </w:tcPr>
          <w:p w14:paraId="47FB218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94.62</w:t>
            </w:r>
          </w:p>
        </w:tc>
        <w:tc>
          <w:tcPr>
            <w:tcW w:w="0" w:type="auto"/>
            <w:hideMark/>
          </w:tcPr>
          <w:p w14:paraId="0841BEF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5288A4CB" w14:textId="77777777" w:rsidTr="007A2D5E">
        <w:tc>
          <w:tcPr>
            <w:tcW w:w="0" w:type="auto"/>
            <w:hideMark/>
          </w:tcPr>
          <w:p w14:paraId="000A8C5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-2 (moderate acute malnutrition)</w:t>
            </w:r>
          </w:p>
        </w:tc>
        <w:tc>
          <w:tcPr>
            <w:tcW w:w="0" w:type="auto"/>
            <w:hideMark/>
          </w:tcPr>
          <w:p w14:paraId="2FB7548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8</w:t>
            </w:r>
          </w:p>
        </w:tc>
        <w:tc>
          <w:tcPr>
            <w:tcW w:w="0" w:type="auto"/>
            <w:hideMark/>
          </w:tcPr>
          <w:p w14:paraId="273388B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4.30</w:t>
            </w:r>
          </w:p>
        </w:tc>
        <w:tc>
          <w:tcPr>
            <w:tcW w:w="0" w:type="auto"/>
            <w:hideMark/>
          </w:tcPr>
          <w:p w14:paraId="7F11376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610928C7" w14:textId="77777777" w:rsidTr="007A2D5E">
        <w:tc>
          <w:tcPr>
            <w:tcW w:w="0" w:type="auto"/>
            <w:hideMark/>
          </w:tcPr>
          <w:p w14:paraId="5F26E92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&lt; -3 (severe acute malnutrition)</w:t>
            </w:r>
          </w:p>
        </w:tc>
        <w:tc>
          <w:tcPr>
            <w:tcW w:w="0" w:type="auto"/>
            <w:hideMark/>
          </w:tcPr>
          <w:p w14:paraId="72CC064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w:t>
            </w:r>
          </w:p>
        </w:tc>
        <w:tc>
          <w:tcPr>
            <w:tcW w:w="0" w:type="auto"/>
            <w:hideMark/>
          </w:tcPr>
          <w:p w14:paraId="18192AE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1.07</w:t>
            </w:r>
          </w:p>
        </w:tc>
        <w:tc>
          <w:tcPr>
            <w:tcW w:w="0" w:type="auto"/>
            <w:hideMark/>
          </w:tcPr>
          <w:p w14:paraId="188FD5C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r w:rsidR="00CE0CEF" w:rsidRPr="00CE0CEF" w14:paraId="42E485F5" w14:textId="77777777" w:rsidTr="007A2D5E">
        <w:tc>
          <w:tcPr>
            <w:tcW w:w="0" w:type="auto"/>
            <w:hideMark/>
          </w:tcPr>
          <w:p w14:paraId="376E534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1E7E983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186</w:t>
            </w:r>
          </w:p>
        </w:tc>
        <w:tc>
          <w:tcPr>
            <w:tcW w:w="0" w:type="auto"/>
            <w:hideMark/>
          </w:tcPr>
          <w:p w14:paraId="79A2A81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100</w:t>
            </w:r>
          </w:p>
        </w:tc>
        <w:tc>
          <w:tcPr>
            <w:tcW w:w="0" w:type="auto"/>
            <w:hideMark/>
          </w:tcPr>
          <w:p w14:paraId="7017249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p>
        </w:tc>
      </w:tr>
    </w:tbl>
    <w:p w14:paraId="53F3E9A2"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absence of severe acute malnutrition in gardening households (0%) compared to non-gardening households (1.07%) is particularly noteworthy. This finding suggests that vegetable gardens may provide a critical safety net against the most severe forms of malnutrition, as documented by Mugisha et al. (2022) in their study of gardening interventions in Burundi</w:t>
      </w:r>
      <w:r w:rsidR="00737D04">
        <w:rPr>
          <w:rFonts w:ascii="Times New Roman" w:hAnsi="Times New Roman" w:cs="Times New Roman"/>
          <w:color w:val="0F1115"/>
          <w:sz w:val="24"/>
          <w:szCs w:val="24"/>
        </w:rPr>
        <w:t xml:space="preserve"> [13</w:t>
      </w:r>
      <w:r w:rsidR="00737D04" w:rsidRPr="00063C8F">
        <w:rPr>
          <w:rFonts w:ascii="Times New Roman" w:hAnsi="Times New Roman" w:cs="Times New Roman"/>
          <w:color w:val="0F1115"/>
          <w:sz w:val="24"/>
          <w:szCs w:val="24"/>
        </w:rPr>
        <w:t>]</w:t>
      </w:r>
      <w:r w:rsidRPr="00CE0CEF">
        <w:rPr>
          <w:rFonts w:ascii="Times New Roman" w:eastAsia="Times New Roman" w:hAnsi="Times New Roman" w:cs="Times New Roman"/>
          <w:color w:val="0F1115"/>
          <w:sz w:val="24"/>
          <w:szCs w:val="24"/>
          <w:lang w:val="en-US"/>
        </w:rPr>
        <w:t>.</w:t>
      </w:r>
    </w:p>
    <w:p w14:paraId="4F56DFB1"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52D05C19" w14:textId="77777777" w:rsidR="00CE0CEF" w:rsidRPr="00CE0CEF" w:rsidRDefault="00CE0CEF" w:rsidP="00063C8F">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sidRPr="00063C8F">
        <w:rPr>
          <w:rFonts w:ascii="Times New Roman" w:eastAsia="Times New Roman" w:hAnsi="Times New Roman" w:cs="Times New Roman"/>
          <w:b/>
          <w:bCs/>
          <w:color w:val="0F1115"/>
          <w:sz w:val="24"/>
          <w:szCs w:val="24"/>
          <w:lang w:val="en-US"/>
        </w:rPr>
        <w:lastRenderedPageBreak/>
        <w:t>3.4. Key Determinants of Nutritional Status</w:t>
      </w:r>
    </w:p>
    <w:p w14:paraId="1E69F9E9" w14:textId="77777777" w:rsidR="00CE0CEF" w:rsidRPr="00CE0CEF" w:rsidRDefault="00517524"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10</w:t>
      </w:r>
      <w:r w:rsidR="00CE0CEF" w:rsidRPr="00063C8F">
        <w:rPr>
          <w:rFonts w:ascii="Times New Roman" w:eastAsia="Times New Roman" w:hAnsi="Times New Roman" w:cs="Times New Roman"/>
          <w:b/>
          <w:bCs/>
          <w:color w:val="0F1115"/>
          <w:sz w:val="24"/>
          <w:szCs w:val="24"/>
          <w:lang w:val="en-US"/>
        </w:rPr>
        <w:t>: Nutritional status of children according to households with access to other sources of fruits and vegetables</w:t>
      </w:r>
    </w:p>
    <w:tbl>
      <w:tblPr>
        <w:tblStyle w:val="TableGrid"/>
        <w:tblW w:w="0" w:type="auto"/>
        <w:tblLook w:val="04A0" w:firstRow="1" w:lastRow="0" w:firstColumn="1" w:lastColumn="0" w:noHBand="0" w:noVBand="1"/>
      </w:tblPr>
      <w:tblGrid>
        <w:gridCol w:w="2887"/>
        <w:gridCol w:w="1503"/>
        <w:gridCol w:w="1497"/>
        <w:gridCol w:w="1230"/>
        <w:gridCol w:w="2171"/>
      </w:tblGrid>
      <w:tr w:rsidR="00CE0CEF" w:rsidRPr="00CE0CEF" w14:paraId="2828365A" w14:textId="77777777" w:rsidTr="007A2D5E">
        <w:tc>
          <w:tcPr>
            <w:tcW w:w="0" w:type="auto"/>
            <w:hideMark/>
          </w:tcPr>
          <w:p w14:paraId="62A5166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Households</w:t>
            </w:r>
          </w:p>
        </w:tc>
        <w:tc>
          <w:tcPr>
            <w:tcW w:w="0" w:type="auto"/>
            <w:hideMark/>
          </w:tcPr>
          <w:p w14:paraId="7259D83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Normal (W/H)</w:t>
            </w:r>
          </w:p>
        </w:tc>
        <w:tc>
          <w:tcPr>
            <w:tcW w:w="0" w:type="auto"/>
            <w:hideMark/>
          </w:tcPr>
          <w:p w14:paraId="7BC9A66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Moderate AM</w:t>
            </w:r>
          </w:p>
        </w:tc>
        <w:tc>
          <w:tcPr>
            <w:tcW w:w="0" w:type="auto"/>
            <w:hideMark/>
          </w:tcPr>
          <w:p w14:paraId="02019C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Severe AM</w:t>
            </w:r>
          </w:p>
        </w:tc>
        <w:tc>
          <w:tcPr>
            <w:tcW w:w="0" w:type="auto"/>
            <w:hideMark/>
          </w:tcPr>
          <w:p w14:paraId="12D2483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Malnutrition Rate (%)</w:t>
            </w:r>
          </w:p>
        </w:tc>
      </w:tr>
      <w:tr w:rsidR="00CE0CEF" w:rsidRPr="00CE0CEF" w14:paraId="0241BCCB" w14:textId="77777777" w:rsidTr="007A2D5E">
        <w:tc>
          <w:tcPr>
            <w:tcW w:w="0" w:type="auto"/>
            <w:hideMark/>
          </w:tcPr>
          <w:p w14:paraId="29B9EE2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With access to other sources</w:t>
            </w:r>
          </w:p>
        </w:tc>
        <w:tc>
          <w:tcPr>
            <w:tcW w:w="0" w:type="auto"/>
            <w:hideMark/>
          </w:tcPr>
          <w:p w14:paraId="5CF2A86F"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342</w:t>
            </w:r>
          </w:p>
        </w:tc>
        <w:tc>
          <w:tcPr>
            <w:tcW w:w="0" w:type="auto"/>
            <w:hideMark/>
          </w:tcPr>
          <w:p w14:paraId="643488B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12</w:t>
            </w:r>
          </w:p>
        </w:tc>
        <w:tc>
          <w:tcPr>
            <w:tcW w:w="0" w:type="auto"/>
            <w:hideMark/>
          </w:tcPr>
          <w:p w14:paraId="4E6E690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7CC08F2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3.38</w:t>
            </w:r>
          </w:p>
        </w:tc>
      </w:tr>
      <w:tr w:rsidR="00CE0CEF" w:rsidRPr="00CE0CEF" w14:paraId="1660CB46" w14:textId="77777777" w:rsidTr="007A2D5E">
        <w:tc>
          <w:tcPr>
            <w:tcW w:w="0" w:type="auto"/>
            <w:hideMark/>
          </w:tcPr>
          <w:p w14:paraId="2EF46C92"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Without access to other sources</w:t>
            </w:r>
          </w:p>
        </w:tc>
        <w:tc>
          <w:tcPr>
            <w:tcW w:w="0" w:type="auto"/>
            <w:hideMark/>
          </w:tcPr>
          <w:p w14:paraId="71F5F90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13</w:t>
            </w:r>
          </w:p>
        </w:tc>
        <w:tc>
          <w:tcPr>
            <w:tcW w:w="0" w:type="auto"/>
            <w:hideMark/>
          </w:tcPr>
          <w:p w14:paraId="04605AA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w:t>
            </w:r>
          </w:p>
        </w:tc>
        <w:tc>
          <w:tcPr>
            <w:tcW w:w="0" w:type="auto"/>
            <w:hideMark/>
          </w:tcPr>
          <w:p w14:paraId="7F82F7C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5E69A80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27.77</w:t>
            </w:r>
          </w:p>
        </w:tc>
      </w:tr>
      <w:tr w:rsidR="00CE0CEF" w:rsidRPr="00CE0CEF" w14:paraId="18BFB74F" w14:textId="77777777" w:rsidTr="007A2D5E">
        <w:tc>
          <w:tcPr>
            <w:tcW w:w="0" w:type="auto"/>
            <w:hideMark/>
          </w:tcPr>
          <w:p w14:paraId="1A62FA0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621E777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355</w:t>
            </w:r>
          </w:p>
        </w:tc>
        <w:tc>
          <w:tcPr>
            <w:tcW w:w="0" w:type="auto"/>
            <w:hideMark/>
          </w:tcPr>
          <w:p w14:paraId="45DB094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17</w:t>
            </w:r>
          </w:p>
        </w:tc>
        <w:tc>
          <w:tcPr>
            <w:tcW w:w="0" w:type="auto"/>
            <w:hideMark/>
          </w:tcPr>
          <w:p w14:paraId="7EFF7680"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0</w:t>
            </w:r>
          </w:p>
        </w:tc>
        <w:tc>
          <w:tcPr>
            <w:tcW w:w="0" w:type="auto"/>
            <w:hideMark/>
          </w:tcPr>
          <w:p w14:paraId="297215E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372</w:t>
            </w:r>
          </w:p>
        </w:tc>
      </w:tr>
    </w:tbl>
    <w:p w14:paraId="0DE80A80"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Households with access to multiple sources of fruits and vegetables showed dramatically lower malnutrition rates (3.38%) compared to those without such access (27.77%). This 24.39 percentage point difference underscores the critical importance of dietary diversity, supporting the findings of Hossain et al. (2018) on the role of food variety in preventing malnutrition</w:t>
      </w:r>
      <w:r w:rsidR="00737D04">
        <w:rPr>
          <w:rFonts w:ascii="Times New Roman" w:hAnsi="Times New Roman" w:cs="Times New Roman"/>
          <w:color w:val="0F1115"/>
          <w:sz w:val="24"/>
          <w:szCs w:val="24"/>
        </w:rPr>
        <w:t xml:space="preserve"> [14</w:t>
      </w:r>
      <w:r w:rsidR="00737D04" w:rsidRPr="00063C8F">
        <w:rPr>
          <w:rFonts w:ascii="Times New Roman" w:hAnsi="Times New Roman" w:cs="Times New Roman"/>
          <w:color w:val="0F1115"/>
          <w:sz w:val="24"/>
          <w:szCs w:val="24"/>
        </w:rPr>
        <w:t>]</w:t>
      </w:r>
      <w:r w:rsidRPr="00CE0CEF">
        <w:rPr>
          <w:rFonts w:ascii="Times New Roman" w:eastAsia="Times New Roman" w:hAnsi="Times New Roman" w:cs="Times New Roman"/>
          <w:color w:val="0F1115"/>
          <w:sz w:val="24"/>
          <w:szCs w:val="24"/>
          <w:lang w:val="en-US"/>
        </w:rPr>
        <w:t>.</w:t>
      </w:r>
    </w:p>
    <w:p w14:paraId="19E777D7" w14:textId="77777777" w:rsidR="00CE0CEF" w:rsidRPr="00CE0CEF" w:rsidRDefault="00517524"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11</w:t>
      </w:r>
      <w:r w:rsidR="00CE0CEF" w:rsidRPr="00063C8F">
        <w:rPr>
          <w:rFonts w:ascii="Times New Roman" w:eastAsia="Times New Roman" w:hAnsi="Times New Roman" w:cs="Times New Roman"/>
          <w:b/>
          <w:bCs/>
          <w:color w:val="0F1115"/>
          <w:sz w:val="24"/>
          <w:szCs w:val="24"/>
          <w:lang w:val="en-US"/>
        </w:rPr>
        <w:t>: Nutritional status of children according to households with information or training on gardening and nutrition</w:t>
      </w:r>
    </w:p>
    <w:tbl>
      <w:tblPr>
        <w:tblStyle w:val="TableGrid"/>
        <w:tblW w:w="0" w:type="auto"/>
        <w:tblLook w:val="04A0" w:firstRow="1" w:lastRow="0" w:firstColumn="1" w:lastColumn="0" w:noHBand="0" w:noVBand="1"/>
      </w:tblPr>
      <w:tblGrid>
        <w:gridCol w:w="2856"/>
        <w:gridCol w:w="1512"/>
        <w:gridCol w:w="1502"/>
        <w:gridCol w:w="1235"/>
        <w:gridCol w:w="2183"/>
      </w:tblGrid>
      <w:tr w:rsidR="00CE0CEF" w:rsidRPr="00CE0CEF" w14:paraId="346A72A3" w14:textId="77777777" w:rsidTr="007A2D5E">
        <w:tc>
          <w:tcPr>
            <w:tcW w:w="0" w:type="auto"/>
            <w:hideMark/>
          </w:tcPr>
          <w:p w14:paraId="5FED347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Households</w:t>
            </w:r>
          </w:p>
        </w:tc>
        <w:tc>
          <w:tcPr>
            <w:tcW w:w="0" w:type="auto"/>
            <w:hideMark/>
          </w:tcPr>
          <w:p w14:paraId="2A01BBE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Normal (W/H)</w:t>
            </w:r>
          </w:p>
        </w:tc>
        <w:tc>
          <w:tcPr>
            <w:tcW w:w="0" w:type="auto"/>
            <w:hideMark/>
          </w:tcPr>
          <w:p w14:paraId="1F915EA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Moderate AM</w:t>
            </w:r>
          </w:p>
        </w:tc>
        <w:tc>
          <w:tcPr>
            <w:tcW w:w="0" w:type="auto"/>
            <w:hideMark/>
          </w:tcPr>
          <w:p w14:paraId="26E85A0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Severe AM</w:t>
            </w:r>
          </w:p>
        </w:tc>
        <w:tc>
          <w:tcPr>
            <w:tcW w:w="0" w:type="auto"/>
            <w:hideMark/>
          </w:tcPr>
          <w:p w14:paraId="3AD2649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Malnutrition Rate (%)</w:t>
            </w:r>
          </w:p>
        </w:tc>
      </w:tr>
      <w:tr w:rsidR="00CE0CEF" w:rsidRPr="00CE0CEF" w14:paraId="753979C8" w14:textId="77777777" w:rsidTr="007A2D5E">
        <w:tc>
          <w:tcPr>
            <w:tcW w:w="0" w:type="auto"/>
            <w:hideMark/>
          </w:tcPr>
          <w:p w14:paraId="72BCB95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With information/training</w:t>
            </w:r>
          </w:p>
        </w:tc>
        <w:tc>
          <w:tcPr>
            <w:tcW w:w="0" w:type="auto"/>
            <w:hideMark/>
          </w:tcPr>
          <w:p w14:paraId="4D204967"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318</w:t>
            </w:r>
          </w:p>
        </w:tc>
        <w:tc>
          <w:tcPr>
            <w:tcW w:w="0" w:type="auto"/>
            <w:hideMark/>
          </w:tcPr>
          <w:p w14:paraId="6AACD0CD"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7</w:t>
            </w:r>
          </w:p>
        </w:tc>
        <w:tc>
          <w:tcPr>
            <w:tcW w:w="0" w:type="auto"/>
            <w:hideMark/>
          </w:tcPr>
          <w:p w14:paraId="02D34741"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0</w:t>
            </w:r>
          </w:p>
        </w:tc>
        <w:tc>
          <w:tcPr>
            <w:tcW w:w="0" w:type="auto"/>
            <w:hideMark/>
          </w:tcPr>
          <w:p w14:paraId="7E6148F9"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2.15</w:t>
            </w:r>
          </w:p>
        </w:tc>
      </w:tr>
      <w:tr w:rsidR="00CE0CEF" w:rsidRPr="00CE0CEF" w14:paraId="0426B9C6" w14:textId="77777777" w:rsidTr="007A2D5E">
        <w:tc>
          <w:tcPr>
            <w:tcW w:w="0" w:type="auto"/>
            <w:hideMark/>
          </w:tcPr>
          <w:p w14:paraId="3901F235"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Without information/training</w:t>
            </w:r>
          </w:p>
        </w:tc>
        <w:tc>
          <w:tcPr>
            <w:tcW w:w="0" w:type="auto"/>
            <w:hideMark/>
          </w:tcPr>
          <w:p w14:paraId="1AB59B2C"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37</w:t>
            </w:r>
          </w:p>
        </w:tc>
        <w:tc>
          <w:tcPr>
            <w:tcW w:w="0" w:type="auto"/>
            <w:hideMark/>
          </w:tcPr>
          <w:p w14:paraId="440E9823"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w:t>
            </w:r>
          </w:p>
        </w:tc>
        <w:tc>
          <w:tcPr>
            <w:tcW w:w="0" w:type="auto"/>
            <w:hideMark/>
          </w:tcPr>
          <w:p w14:paraId="7EEF568B"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5</w:t>
            </w:r>
          </w:p>
        </w:tc>
        <w:tc>
          <w:tcPr>
            <w:tcW w:w="0" w:type="auto"/>
            <w:hideMark/>
          </w:tcPr>
          <w:p w14:paraId="3ED81EEA"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CE0CEF">
              <w:rPr>
                <w:rFonts w:ascii="Times New Roman" w:eastAsia="Times New Roman" w:hAnsi="Times New Roman" w:cs="Times New Roman"/>
                <w:sz w:val="24"/>
                <w:szCs w:val="24"/>
                <w:lang w:val="en-US"/>
              </w:rPr>
              <w:t>21.27</w:t>
            </w:r>
          </w:p>
        </w:tc>
      </w:tr>
      <w:tr w:rsidR="00CE0CEF" w:rsidRPr="00CE0CEF" w14:paraId="75138DDC" w14:textId="77777777" w:rsidTr="007A2D5E">
        <w:tc>
          <w:tcPr>
            <w:tcW w:w="0" w:type="auto"/>
            <w:hideMark/>
          </w:tcPr>
          <w:p w14:paraId="5CB18E5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Total</w:t>
            </w:r>
          </w:p>
        </w:tc>
        <w:tc>
          <w:tcPr>
            <w:tcW w:w="0" w:type="auto"/>
            <w:hideMark/>
          </w:tcPr>
          <w:p w14:paraId="22AE55EE"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355</w:t>
            </w:r>
          </w:p>
        </w:tc>
        <w:tc>
          <w:tcPr>
            <w:tcW w:w="0" w:type="auto"/>
            <w:hideMark/>
          </w:tcPr>
          <w:p w14:paraId="15235964"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17</w:t>
            </w:r>
          </w:p>
        </w:tc>
        <w:tc>
          <w:tcPr>
            <w:tcW w:w="0" w:type="auto"/>
            <w:hideMark/>
          </w:tcPr>
          <w:p w14:paraId="08290136"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5</w:t>
            </w:r>
          </w:p>
        </w:tc>
        <w:tc>
          <w:tcPr>
            <w:tcW w:w="0" w:type="auto"/>
            <w:hideMark/>
          </w:tcPr>
          <w:p w14:paraId="28202AB8" w14:textId="77777777" w:rsidR="00CE0CEF" w:rsidRPr="00CE0CEF" w:rsidRDefault="00CE0CEF" w:rsidP="00063C8F">
            <w:pPr>
              <w:spacing w:line="360" w:lineRule="auto"/>
              <w:jc w:val="both"/>
              <w:rPr>
                <w:rFonts w:ascii="Times New Roman" w:eastAsia="Times New Roman" w:hAnsi="Times New Roman" w:cs="Times New Roman"/>
                <w:sz w:val="24"/>
                <w:szCs w:val="24"/>
                <w:lang w:val="en-US"/>
              </w:rPr>
            </w:pPr>
            <w:r w:rsidRPr="00063C8F">
              <w:rPr>
                <w:rFonts w:ascii="Times New Roman" w:eastAsia="Times New Roman" w:hAnsi="Times New Roman" w:cs="Times New Roman"/>
                <w:b/>
                <w:bCs/>
                <w:sz w:val="24"/>
                <w:szCs w:val="24"/>
                <w:lang w:val="en-US"/>
              </w:rPr>
              <w:t>372</w:t>
            </w:r>
          </w:p>
        </w:tc>
      </w:tr>
    </w:tbl>
    <w:p w14:paraId="0A3639E5"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 xml:space="preserve">The powerful impact of knowledge and training is evident in the 19.12 percentage point difference in malnutrition rates between informed (2.15%) and uninformed households (21.27%). This aligns with research by </w:t>
      </w:r>
      <w:proofErr w:type="spellStart"/>
      <w:r w:rsidRPr="00CE0CEF">
        <w:rPr>
          <w:rFonts w:ascii="Times New Roman" w:eastAsia="Times New Roman" w:hAnsi="Times New Roman" w:cs="Times New Roman"/>
          <w:color w:val="0F1115"/>
          <w:sz w:val="24"/>
          <w:szCs w:val="24"/>
          <w:lang w:val="en-US"/>
        </w:rPr>
        <w:t>Munyaneza</w:t>
      </w:r>
      <w:proofErr w:type="spellEnd"/>
      <w:r w:rsidRPr="00CE0CEF">
        <w:rPr>
          <w:rFonts w:ascii="Times New Roman" w:eastAsia="Times New Roman" w:hAnsi="Times New Roman" w:cs="Times New Roman"/>
          <w:color w:val="0F1115"/>
          <w:sz w:val="24"/>
          <w:szCs w:val="24"/>
          <w:lang w:val="en-US"/>
        </w:rPr>
        <w:t xml:space="preserve"> et al. (2020) and Niyonzima et al. (2020), who emphasized the importance of combining agricultural support with nutrition education for maximum impact</w:t>
      </w:r>
      <w:r w:rsidR="00737D04" w:rsidRPr="00737D04">
        <w:rPr>
          <w:rFonts w:ascii="Times New Roman" w:hAnsi="Times New Roman" w:cs="Times New Roman"/>
          <w:color w:val="0F1115"/>
          <w:sz w:val="24"/>
          <w:szCs w:val="24"/>
          <w:lang w:val="en-US"/>
        </w:rPr>
        <w:t xml:space="preserve"> [15</w:t>
      </w:r>
      <w:r w:rsidR="00737D04">
        <w:rPr>
          <w:rFonts w:ascii="Times New Roman" w:hAnsi="Times New Roman" w:cs="Times New Roman"/>
          <w:color w:val="0F1115"/>
          <w:sz w:val="24"/>
          <w:szCs w:val="24"/>
          <w:lang w:val="en-US"/>
        </w:rPr>
        <w:t>,16</w:t>
      </w:r>
      <w:r w:rsidR="00737D04" w:rsidRPr="00737D04">
        <w:rPr>
          <w:rFonts w:ascii="Times New Roman" w:hAnsi="Times New Roman" w:cs="Times New Roman"/>
          <w:color w:val="0F1115"/>
          <w:sz w:val="24"/>
          <w:szCs w:val="24"/>
          <w:lang w:val="en-US"/>
        </w:rPr>
        <w:t>]</w:t>
      </w:r>
      <w:r w:rsidRPr="00CE0CEF">
        <w:rPr>
          <w:rFonts w:ascii="Times New Roman" w:eastAsia="Times New Roman" w:hAnsi="Times New Roman" w:cs="Times New Roman"/>
          <w:color w:val="0F1115"/>
          <w:sz w:val="24"/>
          <w:szCs w:val="24"/>
          <w:lang w:val="en-US"/>
        </w:rPr>
        <w:t>.</w:t>
      </w:r>
    </w:p>
    <w:p w14:paraId="5D57BB2A" w14:textId="77777777" w:rsidR="00517524" w:rsidRDefault="00517524">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14:paraId="5EDDD8F2"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lastRenderedPageBreak/>
        <w:t>This study provides compelling evidence for the protective effect of vegetable gardens against child malnutrition in rural Burundi. The significantly better nutritional outcomes among children from gardening households demonstrate that home gardening represents a viable, sustainable strategy for addressing acute malnutrition in resource-poor settings.</w:t>
      </w:r>
    </w:p>
    <w:p w14:paraId="7FD8B7FE"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findings reveal that vegetable gardens contribute to improved nutritional status through multiple pathways: increased frequency of vegetable consumption, enhanced dietary diversity, and potentially through income generation from the sale of surplus production. The 28% daily consumption rate of garden products among gardening households, compared to only 4% in non-gardening households, represents a substantial improvement in regular access to fresh vegetables.</w:t>
      </w:r>
    </w:p>
    <w:p w14:paraId="381783AF"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dramatic differences in malnutrition rates based on access to information and training (2.15% vs 21.27%) highlight the critical importance of knowledge in nutritional outcomes. This suggests that simply providing agricultural inputs without accompanying nutrition education may yield suboptimal results. The success of the NGO Réseau Burundi 2000 Plus in supporting gardening initiatives in the study area since September 2021 demonstrates the potential for scaling up such integrated approaches</w:t>
      </w:r>
      <w:r w:rsidR="000B5C41" w:rsidRPr="000B5C41">
        <w:rPr>
          <w:rFonts w:ascii="Times New Roman" w:hAnsi="Times New Roman" w:cs="Times New Roman"/>
          <w:color w:val="0F1115"/>
          <w:sz w:val="24"/>
          <w:szCs w:val="24"/>
          <w:lang w:val="en-US"/>
        </w:rPr>
        <w:t xml:space="preserve"> [17]</w:t>
      </w:r>
      <w:r w:rsidRPr="00CE0CEF">
        <w:rPr>
          <w:rFonts w:ascii="Times New Roman" w:eastAsia="Times New Roman" w:hAnsi="Times New Roman" w:cs="Times New Roman"/>
          <w:color w:val="0F1115"/>
          <w:sz w:val="24"/>
          <w:szCs w:val="24"/>
          <w:lang w:val="en-US"/>
        </w:rPr>
        <w:t>.</w:t>
      </w:r>
    </w:p>
    <w:p w14:paraId="7923A684"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However, the complete absence of fruit cultivation in home gardens represents a significant limitation in current gardening practices. Future interventions should promote the integration of fruit trees and vitamin A-rich vegetables to further enhance dietary diversity and micronutrient intake.</w:t>
      </w:r>
    </w:p>
    <w:p w14:paraId="67B7FCE7" w14:textId="77777777" w:rsidR="00CE0CEF" w:rsidRPr="00CE0CEF" w:rsidRDefault="00CE0CEF" w:rsidP="00063C8F">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sidRPr="00CE0CEF">
        <w:rPr>
          <w:rFonts w:ascii="Times New Roman" w:eastAsia="Times New Roman" w:hAnsi="Times New Roman" w:cs="Times New Roman"/>
          <w:color w:val="0F1115"/>
          <w:sz w:val="24"/>
          <w:szCs w:val="24"/>
          <w:lang w:val="en-US"/>
        </w:rPr>
        <w:t>The study's findings are consistent with the national nutrition situation described in the EDSB-III (2016-2017), while demonstrating that targeted interventions at the household level can yield better outcomes than provincial averages</w:t>
      </w:r>
      <w:r w:rsidR="000B5C41" w:rsidRPr="000B5C41">
        <w:rPr>
          <w:rFonts w:ascii="Times New Roman" w:hAnsi="Times New Roman" w:cs="Times New Roman"/>
          <w:color w:val="0F1115"/>
          <w:sz w:val="24"/>
          <w:szCs w:val="24"/>
          <w:lang w:val="en-US"/>
        </w:rPr>
        <w:t xml:space="preserve"> [18]</w:t>
      </w:r>
      <w:r w:rsidRPr="00CE0CEF">
        <w:rPr>
          <w:rFonts w:ascii="Times New Roman" w:eastAsia="Times New Roman" w:hAnsi="Times New Roman" w:cs="Times New Roman"/>
          <w:color w:val="0F1115"/>
          <w:sz w:val="24"/>
          <w:szCs w:val="24"/>
          <w:lang w:val="en-US"/>
        </w:rPr>
        <w:t>. The acute malnutrition rate of 4% in gardening households compares favorably with the provincial average of 8.1%, suggesting that widespread adoption of home gardening could significantly improve child nutrition in Karusi province.</w:t>
      </w:r>
    </w:p>
    <w:p w14:paraId="186E19F0" w14:textId="77777777" w:rsidR="00517524" w:rsidRDefault="00517524">
      <w:pPr>
        <w:rPr>
          <w:rStyle w:val="Strong"/>
          <w:rFonts w:ascii="Times New Roman" w:eastAsia="Times New Roman" w:hAnsi="Times New Roman" w:cs="Times New Roman"/>
          <w:color w:val="0F1115"/>
          <w:sz w:val="24"/>
          <w:szCs w:val="24"/>
          <w:lang w:val="en-US"/>
        </w:rPr>
      </w:pPr>
      <w:r>
        <w:rPr>
          <w:rStyle w:val="Strong"/>
          <w:b w:val="0"/>
          <w:bCs w:val="0"/>
          <w:color w:val="0F1115"/>
          <w:sz w:val="24"/>
          <w:szCs w:val="24"/>
        </w:rPr>
        <w:br w:type="page"/>
      </w:r>
    </w:p>
    <w:p w14:paraId="52E5D4DE" w14:textId="334CE4B0" w:rsidR="00CE0CEF" w:rsidRPr="00063C8F" w:rsidRDefault="00EC069C" w:rsidP="00063C8F">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4</w:t>
      </w:r>
      <w:r w:rsidR="00CE0CEF" w:rsidRPr="00063C8F">
        <w:rPr>
          <w:rStyle w:val="Strong"/>
          <w:b/>
          <w:bCs/>
          <w:color w:val="0F1115"/>
          <w:sz w:val="24"/>
          <w:szCs w:val="24"/>
        </w:rPr>
        <w:t>. CONCLUSION</w:t>
      </w:r>
    </w:p>
    <w:p w14:paraId="562429D4"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This study concludes that vegetable gardens significantly contribute to reducing acute malnutrition among children aged 6-59 months in </w:t>
      </w:r>
      <w:proofErr w:type="spellStart"/>
      <w:r w:rsidRPr="00063C8F">
        <w:rPr>
          <w:color w:val="0F1115"/>
        </w:rPr>
        <w:t>Nyabikere</w:t>
      </w:r>
      <w:proofErr w:type="spellEnd"/>
      <w:r w:rsidRPr="00063C8F">
        <w:rPr>
          <w:color w:val="0F1115"/>
        </w:rPr>
        <w:t xml:space="preserve"> commune. Households with vegetable gardens demonstrated better nutritional outcomes, characterized by lower prevalence of both underweight and wasting. The protective effect of vegetable gardens is mediated through improved dietary diversity, increased frequency of vegetable consumption, and enhanced household food security.</w:t>
      </w:r>
    </w:p>
    <w:p w14:paraId="44659A68"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The findings underscore the importance of promoting home gardening as a sustainable strategy for combating child malnutrition in rural Burundi. Integrated interventions that combine agricultural support with nutrition education and women's empowerment offer the most promising approach to addressing the multifaceted challenge of child malnutrition.</w:t>
      </w:r>
    </w:p>
    <w:p w14:paraId="08E1734F" w14:textId="77777777" w:rsidR="007A2D5E" w:rsidRDefault="00CE0CEF" w:rsidP="00063C8F">
      <w:pPr>
        <w:pStyle w:val="ds-markdown-paragraph"/>
        <w:shd w:val="clear" w:color="auto" w:fill="FFFFFF"/>
        <w:spacing w:before="240" w:beforeAutospacing="0" w:after="240" w:afterAutospacing="0" w:line="360" w:lineRule="auto"/>
        <w:jc w:val="both"/>
        <w:rPr>
          <w:rStyle w:val="Strong"/>
          <w:color w:val="0F1115"/>
        </w:rPr>
      </w:pPr>
      <w:r w:rsidRPr="00063C8F">
        <w:rPr>
          <w:rStyle w:val="Strong"/>
          <w:color w:val="0F1115"/>
        </w:rPr>
        <w:t>CONSENT</w:t>
      </w:r>
    </w:p>
    <w:p w14:paraId="4C1143EA"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Written informed consent was obtained from all parents or guardians of participating children. The study purpose, procedures, and confidentiality measures were explained to all participants prior to data collection.</w:t>
      </w:r>
    </w:p>
    <w:p w14:paraId="4D6733E9" w14:textId="77777777" w:rsidR="007A2D5E" w:rsidRDefault="00CE0CEF" w:rsidP="00063C8F">
      <w:pPr>
        <w:pStyle w:val="ds-markdown-paragraph"/>
        <w:shd w:val="clear" w:color="auto" w:fill="FFFFFF"/>
        <w:spacing w:before="240" w:beforeAutospacing="0" w:after="240" w:afterAutospacing="0" w:line="360" w:lineRule="auto"/>
        <w:jc w:val="both"/>
        <w:rPr>
          <w:rStyle w:val="Strong"/>
          <w:color w:val="0F1115"/>
        </w:rPr>
      </w:pPr>
      <w:r w:rsidRPr="00063C8F">
        <w:rPr>
          <w:rStyle w:val="Strong"/>
          <w:color w:val="0F1115"/>
        </w:rPr>
        <w:t>ETHICAL APPROVAL</w:t>
      </w:r>
    </w:p>
    <w:p w14:paraId="0B3F4B90"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 xml:space="preserve">The study received approval from local administrative and health authorities in </w:t>
      </w:r>
      <w:proofErr w:type="spellStart"/>
      <w:r w:rsidRPr="00063C8F">
        <w:rPr>
          <w:color w:val="0F1115"/>
        </w:rPr>
        <w:t>Nyabikere</w:t>
      </w:r>
      <w:proofErr w:type="spellEnd"/>
      <w:r w:rsidRPr="00063C8F">
        <w:rPr>
          <w:color w:val="0F1115"/>
        </w:rPr>
        <w:t xml:space="preserve"> commune. The research was conducted in accordance with ethical principles for medical research involving human subjects.</w:t>
      </w:r>
    </w:p>
    <w:p w14:paraId="16428598" w14:textId="77777777" w:rsidR="007A2D5E" w:rsidRDefault="00CE0CEF" w:rsidP="00063C8F">
      <w:pPr>
        <w:pStyle w:val="ds-markdown-paragraph"/>
        <w:shd w:val="clear" w:color="auto" w:fill="FFFFFF"/>
        <w:spacing w:before="240" w:beforeAutospacing="0" w:after="240" w:afterAutospacing="0" w:line="360" w:lineRule="auto"/>
        <w:jc w:val="both"/>
        <w:rPr>
          <w:rStyle w:val="Strong"/>
          <w:color w:val="0F1115"/>
        </w:rPr>
      </w:pPr>
      <w:r w:rsidRPr="00063C8F">
        <w:rPr>
          <w:rStyle w:val="Strong"/>
          <w:color w:val="0F1115"/>
        </w:rPr>
        <w:t>DISCLAIMER</w:t>
      </w:r>
    </w:p>
    <w:p w14:paraId="110BC721" w14:textId="77777777" w:rsidR="00CE0CEF" w:rsidRPr="00063C8F" w:rsidRDefault="00CE0CEF" w:rsidP="00063C8F">
      <w:pPr>
        <w:pStyle w:val="ds-markdown-paragraph"/>
        <w:shd w:val="clear" w:color="auto" w:fill="FFFFFF"/>
        <w:spacing w:before="240" w:beforeAutospacing="0" w:after="240" w:afterAutospacing="0" w:line="360" w:lineRule="auto"/>
        <w:jc w:val="both"/>
        <w:rPr>
          <w:color w:val="0F1115"/>
        </w:rPr>
      </w:pPr>
      <w:r w:rsidRPr="00063C8F">
        <w:rPr>
          <w:color w:val="0F1115"/>
        </w:rPr>
        <w:t>Author(s) hereby declare that NO generative AI technologies such as Large Language Models (ChatGPT, COPILOT, etc.) and text-to-image generators have been used during the writing or editing of this manuscript.</w:t>
      </w:r>
    </w:p>
    <w:p w14:paraId="0BE2E53A" w14:textId="77777777" w:rsidR="007A2D5E" w:rsidRDefault="007A2D5E">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80AA4E" w14:textId="77777777" w:rsidR="00CE0CEF" w:rsidRPr="00517524" w:rsidRDefault="007A2D5E" w:rsidP="007A2D5E">
      <w:pPr>
        <w:rPr>
          <w:rFonts w:ascii="Times New Roman" w:hAnsi="Times New Roman" w:cs="Times New Roman"/>
          <w:b/>
          <w:sz w:val="24"/>
        </w:rPr>
      </w:pPr>
      <w:r w:rsidRPr="00517524">
        <w:rPr>
          <w:rFonts w:ascii="Times New Roman" w:hAnsi="Times New Roman" w:cs="Times New Roman"/>
          <w:b/>
          <w:sz w:val="24"/>
        </w:rPr>
        <w:lastRenderedPageBreak/>
        <w:t>REFERENCES</w:t>
      </w:r>
    </w:p>
    <w:p w14:paraId="1AEF09BD"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 World Health Organization. (2020). Levels and trends in child malnutrition: Key findings of the 2020 edition. UNICEF/WHO/World Bank Group Joint Child Malnutrition Estimates.</w:t>
      </w:r>
    </w:p>
    <w:p w14:paraId="5F554C55"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2. Ministry of Public Health and the Fight against AIDS, Burundi. (2017). *Burundi Demographic and Health Survey (EDSB-III) 2016-2017*. ISTEEBU.</w:t>
      </w:r>
    </w:p>
    <w:p w14:paraId="665E4D51"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3. </w:t>
      </w:r>
      <w:proofErr w:type="spellStart"/>
      <w:r w:rsidRPr="002337A6">
        <w:rPr>
          <w:rFonts w:ascii="Times New Roman" w:eastAsia="Times New Roman" w:hAnsi="Times New Roman" w:cs="Times New Roman"/>
          <w:color w:val="0F1115"/>
          <w:sz w:val="24"/>
          <w:szCs w:val="24"/>
          <w:lang w:val="en-US"/>
        </w:rPr>
        <w:t>Ndayabahizi</w:t>
      </w:r>
      <w:proofErr w:type="spellEnd"/>
      <w:r w:rsidRPr="002337A6">
        <w:rPr>
          <w:rFonts w:ascii="Times New Roman" w:eastAsia="Times New Roman" w:hAnsi="Times New Roman" w:cs="Times New Roman"/>
          <w:color w:val="0F1115"/>
          <w:sz w:val="24"/>
          <w:szCs w:val="24"/>
          <w:lang w:val="en-US"/>
        </w:rPr>
        <w:t>, P. (2022). Cultivating health: The impact of vegetable gardens on young children's nutrition. Studies and Perspectives Burundi, 45, 1-25.</w:t>
      </w:r>
    </w:p>
    <w:p w14:paraId="4AC9009B"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4. </w:t>
      </w:r>
      <w:proofErr w:type="spellStart"/>
      <w:r w:rsidRPr="002337A6">
        <w:rPr>
          <w:rFonts w:ascii="Times New Roman" w:eastAsia="Times New Roman" w:hAnsi="Times New Roman" w:cs="Times New Roman"/>
          <w:color w:val="0F1115"/>
          <w:sz w:val="24"/>
          <w:szCs w:val="24"/>
          <w:lang w:val="en-US"/>
        </w:rPr>
        <w:t>Léonars</w:t>
      </w:r>
      <w:proofErr w:type="spellEnd"/>
      <w:r w:rsidRPr="002337A6">
        <w:rPr>
          <w:rFonts w:ascii="Times New Roman" w:eastAsia="Times New Roman" w:hAnsi="Times New Roman" w:cs="Times New Roman"/>
          <w:color w:val="0F1115"/>
          <w:sz w:val="24"/>
          <w:szCs w:val="24"/>
          <w:lang w:val="en-US"/>
        </w:rPr>
        <w:t xml:space="preserve">, A., &amp; </w:t>
      </w:r>
      <w:proofErr w:type="spellStart"/>
      <w:r w:rsidRPr="002337A6">
        <w:rPr>
          <w:rFonts w:ascii="Times New Roman" w:eastAsia="Times New Roman" w:hAnsi="Times New Roman" w:cs="Times New Roman"/>
          <w:color w:val="0F1115"/>
          <w:sz w:val="24"/>
          <w:szCs w:val="24"/>
          <w:lang w:val="en-US"/>
        </w:rPr>
        <w:t>Ndorimana</w:t>
      </w:r>
      <w:proofErr w:type="spellEnd"/>
      <w:r w:rsidRPr="002337A6">
        <w:rPr>
          <w:rFonts w:ascii="Times New Roman" w:eastAsia="Times New Roman" w:hAnsi="Times New Roman" w:cs="Times New Roman"/>
          <w:color w:val="0F1115"/>
          <w:sz w:val="24"/>
          <w:szCs w:val="24"/>
          <w:lang w:val="en-US"/>
        </w:rPr>
        <w:t>, D. (2019). Evaluation of the impact of community gardens on food security in Burundi. Journal of Agricultural Sciences and Food Technology, 7(2), 78-89.</w:t>
      </w:r>
    </w:p>
    <w:p w14:paraId="1C290E88"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5. </w:t>
      </w:r>
      <w:proofErr w:type="spellStart"/>
      <w:r w:rsidRPr="002337A6">
        <w:rPr>
          <w:rFonts w:ascii="Times New Roman" w:eastAsia="Times New Roman" w:hAnsi="Times New Roman" w:cs="Times New Roman"/>
          <w:color w:val="0F1115"/>
          <w:sz w:val="24"/>
          <w:szCs w:val="24"/>
          <w:lang w:val="en-US"/>
        </w:rPr>
        <w:t>Karusi</w:t>
      </w:r>
      <w:proofErr w:type="spellEnd"/>
      <w:r w:rsidRPr="002337A6">
        <w:rPr>
          <w:rFonts w:ascii="Times New Roman" w:eastAsia="Times New Roman" w:hAnsi="Times New Roman" w:cs="Times New Roman"/>
          <w:color w:val="0F1115"/>
          <w:sz w:val="24"/>
          <w:szCs w:val="24"/>
          <w:lang w:val="en-US"/>
        </w:rPr>
        <w:t xml:space="preserve"> Provincial Health Office. (2023). Report on the mass malnutrition screening conducted in October 2023.</w:t>
      </w:r>
    </w:p>
    <w:p w14:paraId="6E1F312C"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6. Ministry of Agriculture and Livestock of Burundi. (2019). Study on agricultural potential and rural development challenges in </w:t>
      </w:r>
      <w:proofErr w:type="spellStart"/>
      <w:r w:rsidRPr="002337A6">
        <w:rPr>
          <w:rFonts w:ascii="Times New Roman" w:eastAsia="Times New Roman" w:hAnsi="Times New Roman" w:cs="Times New Roman"/>
          <w:color w:val="0F1115"/>
          <w:sz w:val="24"/>
          <w:szCs w:val="24"/>
          <w:lang w:val="en-US"/>
        </w:rPr>
        <w:t>Karusi</w:t>
      </w:r>
      <w:proofErr w:type="spellEnd"/>
      <w:r w:rsidRPr="002337A6">
        <w:rPr>
          <w:rFonts w:ascii="Times New Roman" w:eastAsia="Times New Roman" w:hAnsi="Times New Roman" w:cs="Times New Roman"/>
          <w:color w:val="0F1115"/>
          <w:sz w:val="24"/>
          <w:szCs w:val="24"/>
          <w:lang w:val="en-US"/>
        </w:rPr>
        <w:t xml:space="preserve"> province. MAEB.</w:t>
      </w:r>
    </w:p>
    <w:p w14:paraId="3DAE66E9"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7. Institute of Statistics and Economic Studies of Burundi. (2024). General Population and Housing Census of Burundi. ISTEEBU.</w:t>
      </w:r>
    </w:p>
    <w:p w14:paraId="66AED148"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8. Zoungrana, S. (2015). Analysis of the impact of maternal education on the nutrition of children under five in a context of chronic malnutrition. French Journal of Public Health, 27(4), 445-452.</w:t>
      </w:r>
    </w:p>
    <w:p w14:paraId="5B9FB2C9"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9. Hernandez, K., &amp; </w:t>
      </w:r>
      <w:proofErr w:type="spellStart"/>
      <w:r w:rsidRPr="002337A6">
        <w:rPr>
          <w:rFonts w:ascii="Times New Roman" w:eastAsia="Times New Roman" w:hAnsi="Times New Roman" w:cs="Times New Roman"/>
          <w:color w:val="0F1115"/>
          <w:sz w:val="24"/>
          <w:szCs w:val="24"/>
          <w:lang w:val="en-US"/>
        </w:rPr>
        <w:t>Bénamouzig</w:t>
      </w:r>
      <w:proofErr w:type="spellEnd"/>
      <w:r w:rsidRPr="002337A6">
        <w:rPr>
          <w:rFonts w:ascii="Times New Roman" w:eastAsia="Times New Roman" w:hAnsi="Times New Roman" w:cs="Times New Roman"/>
          <w:color w:val="0F1115"/>
          <w:sz w:val="24"/>
          <w:szCs w:val="24"/>
          <w:lang w:val="en-US"/>
        </w:rPr>
        <w:t>, R. (2016). Maternal Education and Prevention of Child Malnutrition: An Analysis of Social Determinants. Public Health, 28(2), 219-227.</w:t>
      </w:r>
    </w:p>
    <w:p w14:paraId="189ABDFC"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10. Boucher, J. (2011). Vegetable Gardens and Their Role in Food Security. Food Review, 45(2), 123-132.</w:t>
      </w:r>
    </w:p>
    <w:p w14:paraId="037734C8"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lastRenderedPageBreak/>
        <w:t xml:space="preserve">11. Kansiime, M. K., </w:t>
      </w:r>
      <w:proofErr w:type="spellStart"/>
      <w:r w:rsidRPr="002337A6">
        <w:rPr>
          <w:rFonts w:ascii="Times New Roman" w:eastAsia="Times New Roman" w:hAnsi="Times New Roman" w:cs="Times New Roman"/>
          <w:color w:val="0F1115"/>
          <w:sz w:val="24"/>
          <w:szCs w:val="24"/>
          <w:lang w:val="en-US"/>
        </w:rPr>
        <w:t>Kananura</w:t>
      </w:r>
      <w:proofErr w:type="spellEnd"/>
      <w:r w:rsidRPr="002337A6">
        <w:rPr>
          <w:rFonts w:ascii="Times New Roman" w:eastAsia="Times New Roman" w:hAnsi="Times New Roman" w:cs="Times New Roman"/>
          <w:color w:val="0F1115"/>
          <w:sz w:val="24"/>
          <w:szCs w:val="24"/>
          <w:lang w:val="en-US"/>
        </w:rPr>
        <w:t>, R., &amp; Muwanga, A. (2014). The Economic Impact of Home Gardening on Household Food Security in Uganda. Journal of Agricultural Science, 6(3), 123-130.</w:t>
      </w:r>
    </w:p>
    <w:p w14:paraId="0F309408"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12. Beaudry, M., Groleau, D., &amp; Paul, J. (2016). The Impacts of Community Gardens on Food Security. Agriculture and Nutrition Review, 41(1), 20-25.</w:t>
      </w:r>
    </w:p>
    <w:p w14:paraId="55ABB34C"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13. Mugisha, J., Nkeshimana, F., &amp; Bizimana, J. (2022). The impact of home gardens on child malnutrition in Burundi. Journal of Tropical Nutrition, 45(2), 123-134.</w:t>
      </w:r>
    </w:p>
    <w:p w14:paraId="370A53E2"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14. Hossain, M., Islam, M. T., &amp; Rahman, M. M. (2018). Impact of home gardening on child nutrition: A review of studies in Eastern Africa. Journal of Agricultural &amp; Food Systems Research, 8(2), 45-58.</w:t>
      </w:r>
    </w:p>
    <w:p w14:paraId="2240E6CF"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15. </w:t>
      </w:r>
      <w:proofErr w:type="spellStart"/>
      <w:r w:rsidRPr="002337A6">
        <w:rPr>
          <w:rFonts w:ascii="Times New Roman" w:eastAsia="Times New Roman" w:hAnsi="Times New Roman" w:cs="Times New Roman"/>
          <w:color w:val="0F1115"/>
          <w:sz w:val="24"/>
          <w:szCs w:val="24"/>
          <w:lang w:val="en-US"/>
        </w:rPr>
        <w:t>Munyaneza</w:t>
      </w:r>
      <w:proofErr w:type="spellEnd"/>
      <w:r w:rsidRPr="002337A6">
        <w:rPr>
          <w:rFonts w:ascii="Times New Roman" w:eastAsia="Times New Roman" w:hAnsi="Times New Roman" w:cs="Times New Roman"/>
          <w:color w:val="0F1115"/>
          <w:sz w:val="24"/>
          <w:szCs w:val="24"/>
          <w:lang w:val="en-US"/>
        </w:rPr>
        <w:t xml:space="preserve">, A., </w:t>
      </w:r>
      <w:proofErr w:type="spellStart"/>
      <w:r w:rsidRPr="002337A6">
        <w:rPr>
          <w:rFonts w:ascii="Times New Roman" w:eastAsia="Times New Roman" w:hAnsi="Times New Roman" w:cs="Times New Roman"/>
          <w:color w:val="0F1115"/>
          <w:sz w:val="24"/>
          <w:szCs w:val="24"/>
          <w:lang w:val="en-US"/>
        </w:rPr>
        <w:t>Nshimiyimana</w:t>
      </w:r>
      <w:proofErr w:type="spellEnd"/>
      <w:r w:rsidRPr="002337A6">
        <w:rPr>
          <w:rFonts w:ascii="Times New Roman" w:eastAsia="Times New Roman" w:hAnsi="Times New Roman" w:cs="Times New Roman"/>
          <w:color w:val="0F1115"/>
          <w:sz w:val="24"/>
          <w:szCs w:val="24"/>
          <w:lang w:val="en-US"/>
        </w:rPr>
        <w:t xml:space="preserve">, A., &amp; Niyonzima, D. (2020). Training and capacity building for home gardens: Challenges and opportunities. Annales des Sciences </w:t>
      </w:r>
      <w:proofErr w:type="spellStart"/>
      <w:r w:rsidRPr="002337A6">
        <w:rPr>
          <w:rFonts w:ascii="Times New Roman" w:eastAsia="Times New Roman" w:hAnsi="Times New Roman" w:cs="Times New Roman"/>
          <w:color w:val="0F1115"/>
          <w:sz w:val="24"/>
          <w:szCs w:val="24"/>
          <w:lang w:val="en-US"/>
        </w:rPr>
        <w:t>Agronomiques</w:t>
      </w:r>
      <w:proofErr w:type="spellEnd"/>
      <w:r w:rsidRPr="002337A6">
        <w:rPr>
          <w:rFonts w:ascii="Times New Roman" w:eastAsia="Times New Roman" w:hAnsi="Times New Roman" w:cs="Times New Roman"/>
          <w:color w:val="0F1115"/>
          <w:sz w:val="24"/>
          <w:szCs w:val="24"/>
          <w:lang w:val="en-US"/>
        </w:rPr>
        <w:t>, 27(1), 45-59.</w:t>
      </w:r>
    </w:p>
    <w:p w14:paraId="2EE367A5"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 xml:space="preserve">16. Niyonzima, E., &amp; </w:t>
      </w:r>
      <w:proofErr w:type="spellStart"/>
      <w:r w:rsidRPr="002337A6">
        <w:rPr>
          <w:rFonts w:ascii="Times New Roman" w:eastAsia="Times New Roman" w:hAnsi="Times New Roman" w:cs="Times New Roman"/>
          <w:color w:val="0F1115"/>
          <w:sz w:val="24"/>
          <w:szCs w:val="24"/>
          <w:lang w:val="en-US"/>
        </w:rPr>
        <w:t>Ndikumwami</w:t>
      </w:r>
      <w:proofErr w:type="spellEnd"/>
      <w:r w:rsidRPr="002337A6">
        <w:rPr>
          <w:rFonts w:ascii="Times New Roman" w:eastAsia="Times New Roman" w:hAnsi="Times New Roman" w:cs="Times New Roman"/>
          <w:color w:val="0F1115"/>
          <w:sz w:val="24"/>
          <w:szCs w:val="24"/>
          <w:lang w:val="en-US"/>
        </w:rPr>
        <w:t>, J. (2020). Nutrition Education and Vegetable Gardens: A Strategy to Combat Child Malnutrition. Burundian Journal of Public Health, 9(2), 100-110.</w:t>
      </w:r>
    </w:p>
    <w:p w14:paraId="650BF39D" w14:textId="77777777" w:rsidR="002337A6" w:rsidRPr="002337A6" w:rsidRDefault="002337A6" w:rsidP="002337A6">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sidRPr="002337A6">
        <w:rPr>
          <w:rFonts w:ascii="Times New Roman" w:eastAsia="Times New Roman" w:hAnsi="Times New Roman" w:cs="Times New Roman"/>
          <w:color w:val="0F1115"/>
          <w:sz w:val="24"/>
          <w:szCs w:val="24"/>
          <w:lang w:val="en-US"/>
        </w:rPr>
        <w:t>17. Burundi 2000 Plus Network. (2023). Annual Activity Report 2023: Food and Nutrition Security Program.</w:t>
      </w:r>
    </w:p>
    <w:p w14:paraId="4C127254" w14:textId="168DC39A" w:rsidR="007A2D5E" w:rsidRPr="007A2D5E" w:rsidRDefault="002337A6" w:rsidP="002337A6">
      <w:pPr>
        <w:shd w:val="clear" w:color="auto" w:fill="FFFFFF"/>
        <w:spacing w:before="100" w:beforeAutospacing="1" w:after="0" w:line="360" w:lineRule="auto"/>
        <w:ind w:left="720"/>
        <w:jc w:val="both"/>
        <w:rPr>
          <w:rFonts w:ascii="Times New Roman" w:hAnsi="Times New Roman" w:cs="Times New Roman"/>
          <w:sz w:val="24"/>
        </w:rPr>
      </w:pPr>
      <w:r w:rsidRPr="002337A6">
        <w:rPr>
          <w:rFonts w:ascii="Times New Roman" w:eastAsia="Times New Roman" w:hAnsi="Times New Roman" w:cs="Times New Roman"/>
          <w:color w:val="0F1115"/>
          <w:sz w:val="24"/>
          <w:szCs w:val="24"/>
          <w:lang w:val="en-US"/>
        </w:rPr>
        <w:t>18. Ministry of Public Health and the Fight against AIDS [MSPLS], Institute of Statistics and Economic Studies of Burundi [ISTEEBU], &amp; ICF. (2017). *Burundi Demographic and Health Survey 2016-2017*. ISTEEBU.</w:t>
      </w:r>
    </w:p>
    <w:sectPr w:rsidR="007A2D5E" w:rsidRPr="007A2D5E" w:rsidSect="007D42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A7060" w14:textId="77777777" w:rsidR="00F94C67" w:rsidRDefault="00F94C67" w:rsidP="006B77BC">
      <w:pPr>
        <w:spacing w:after="0" w:line="240" w:lineRule="auto"/>
      </w:pPr>
      <w:r>
        <w:separator/>
      </w:r>
    </w:p>
  </w:endnote>
  <w:endnote w:type="continuationSeparator" w:id="0">
    <w:p w14:paraId="5E901A65" w14:textId="77777777" w:rsidR="00F94C67" w:rsidRDefault="00F94C67" w:rsidP="006B7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F13C" w14:textId="77777777" w:rsidR="006B77BC" w:rsidRDefault="006B7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134A" w14:textId="77777777" w:rsidR="006B77BC" w:rsidRDefault="006B7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AC81" w14:textId="77777777" w:rsidR="006B77BC" w:rsidRDefault="006B7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293A1" w14:textId="77777777" w:rsidR="00F94C67" w:rsidRDefault="00F94C67" w:rsidP="006B77BC">
      <w:pPr>
        <w:spacing w:after="0" w:line="240" w:lineRule="auto"/>
      </w:pPr>
      <w:r>
        <w:separator/>
      </w:r>
    </w:p>
  </w:footnote>
  <w:footnote w:type="continuationSeparator" w:id="0">
    <w:p w14:paraId="2E609AC9" w14:textId="77777777" w:rsidR="00F94C67" w:rsidRDefault="00F94C67" w:rsidP="006B7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D329" w14:textId="0A015AFC" w:rsidR="006B77BC" w:rsidRDefault="006B77BC">
    <w:pPr>
      <w:pStyle w:val="Header"/>
    </w:pPr>
    <w:r>
      <w:rPr>
        <w:noProof/>
      </w:rPr>
      <w:pict w14:anchorId="445EF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86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B611" w14:textId="1805B70C" w:rsidR="006B77BC" w:rsidRDefault="006B77BC">
    <w:pPr>
      <w:pStyle w:val="Header"/>
    </w:pPr>
    <w:r>
      <w:rPr>
        <w:noProof/>
      </w:rPr>
      <w:pict w14:anchorId="798C5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86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85CF" w14:textId="08112F0D" w:rsidR="006B77BC" w:rsidRDefault="006B77BC">
    <w:pPr>
      <w:pStyle w:val="Header"/>
    </w:pPr>
    <w:r>
      <w:rPr>
        <w:noProof/>
      </w:rPr>
      <w:pict w14:anchorId="24EBE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86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A397E"/>
    <w:multiLevelType w:val="multilevel"/>
    <w:tmpl w:val="3AD6AF0C"/>
    <w:lvl w:ilvl="0">
      <w:start w:val="1"/>
      <w:numFmt w:val="decimal"/>
      <w:lvlText w:val="%1."/>
      <w:lvlJc w:val="left"/>
      <w:pPr>
        <w:tabs>
          <w:tab w:val="num" w:pos="720"/>
        </w:tabs>
        <w:ind w:left="720" w:hanging="360"/>
      </w:pPr>
      <w:rPr>
        <w:b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4C7F45"/>
    <w:multiLevelType w:val="multilevel"/>
    <w:tmpl w:val="C31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F23B7"/>
    <w:multiLevelType w:val="hybridMultilevel"/>
    <w:tmpl w:val="C180D93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E2B"/>
    <w:rsid w:val="00063C8F"/>
    <w:rsid w:val="000B5C41"/>
    <w:rsid w:val="002337A6"/>
    <w:rsid w:val="002979EB"/>
    <w:rsid w:val="002D452E"/>
    <w:rsid w:val="003F7E2B"/>
    <w:rsid w:val="00517524"/>
    <w:rsid w:val="006B77BC"/>
    <w:rsid w:val="006C6F5E"/>
    <w:rsid w:val="00737D04"/>
    <w:rsid w:val="007A2D5E"/>
    <w:rsid w:val="007D4261"/>
    <w:rsid w:val="00B05F39"/>
    <w:rsid w:val="00B549B2"/>
    <w:rsid w:val="00C11D9F"/>
    <w:rsid w:val="00CE0CEF"/>
    <w:rsid w:val="00CF5D86"/>
    <w:rsid w:val="00DF7BB6"/>
    <w:rsid w:val="00EB5B8F"/>
    <w:rsid w:val="00EC069C"/>
    <w:rsid w:val="00F400BD"/>
    <w:rsid w:val="00F45F15"/>
    <w:rsid w:val="00F94C67"/>
    <w:rsid w:val="00FA0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CB969"/>
  <w15:docId w15:val="{00B61B26-BDA2-4C2C-B4A9-B576CA7A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E0CE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CE0CE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0CEF"/>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E0CEF"/>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CE0CEF"/>
    <w:rPr>
      <w:b/>
      <w:bCs/>
    </w:rPr>
  </w:style>
  <w:style w:type="paragraph" w:customStyle="1" w:styleId="ds-markdown-paragraph">
    <w:name w:val="ds-markdown-paragraph"/>
    <w:basedOn w:val="Normal"/>
    <w:rsid w:val="00CE0C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rsid w:val="00CE0CEF"/>
  </w:style>
  <w:style w:type="character" w:customStyle="1" w:styleId="mord">
    <w:name w:val="mord"/>
    <w:basedOn w:val="DefaultParagraphFont"/>
    <w:rsid w:val="00CE0CEF"/>
  </w:style>
  <w:style w:type="character" w:customStyle="1" w:styleId="mrel">
    <w:name w:val="mrel"/>
    <w:basedOn w:val="DefaultParagraphFont"/>
    <w:rsid w:val="00CE0CEF"/>
  </w:style>
  <w:style w:type="character" w:customStyle="1" w:styleId="mopen">
    <w:name w:val="mopen"/>
    <w:basedOn w:val="DefaultParagraphFont"/>
    <w:rsid w:val="00CE0CEF"/>
  </w:style>
  <w:style w:type="character" w:customStyle="1" w:styleId="mbin">
    <w:name w:val="mbin"/>
    <w:basedOn w:val="DefaultParagraphFont"/>
    <w:rsid w:val="00CE0CEF"/>
  </w:style>
  <w:style w:type="character" w:customStyle="1" w:styleId="mclose">
    <w:name w:val="mclose"/>
    <w:basedOn w:val="DefaultParagraphFont"/>
    <w:rsid w:val="00CE0CEF"/>
  </w:style>
  <w:style w:type="character" w:customStyle="1" w:styleId="vlist-s">
    <w:name w:val="vlist-s"/>
    <w:basedOn w:val="DefaultParagraphFont"/>
    <w:rsid w:val="00CE0CEF"/>
  </w:style>
  <w:style w:type="paragraph" w:styleId="BalloonText">
    <w:name w:val="Balloon Text"/>
    <w:basedOn w:val="Normal"/>
    <w:link w:val="BalloonTextChar"/>
    <w:uiPriority w:val="99"/>
    <w:semiHidden/>
    <w:unhideWhenUsed/>
    <w:rsid w:val="0006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8F"/>
    <w:rPr>
      <w:rFonts w:ascii="Tahoma" w:hAnsi="Tahoma" w:cs="Tahoma"/>
      <w:sz w:val="16"/>
      <w:szCs w:val="16"/>
    </w:rPr>
  </w:style>
  <w:style w:type="table" w:styleId="TableGrid">
    <w:name w:val="Table Grid"/>
    <w:basedOn w:val="TableNormal"/>
    <w:uiPriority w:val="59"/>
    <w:rsid w:val="007A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45F15"/>
    <w:rPr>
      <w:i/>
      <w:iCs/>
    </w:rPr>
  </w:style>
  <w:style w:type="character" w:styleId="Hyperlink">
    <w:name w:val="Hyperlink"/>
    <w:basedOn w:val="DefaultParagraphFont"/>
    <w:uiPriority w:val="99"/>
    <w:unhideWhenUsed/>
    <w:rsid w:val="00B05F39"/>
    <w:rPr>
      <w:color w:val="0000FF" w:themeColor="hyperlink"/>
      <w:u w:val="single"/>
    </w:rPr>
  </w:style>
  <w:style w:type="character" w:customStyle="1" w:styleId="gi">
    <w:name w:val="gi"/>
    <w:basedOn w:val="DefaultParagraphFont"/>
    <w:rsid w:val="00B05F39"/>
  </w:style>
  <w:style w:type="paragraph" w:styleId="ListParagraph">
    <w:name w:val="List Paragraph"/>
    <w:basedOn w:val="Normal"/>
    <w:uiPriority w:val="34"/>
    <w:qFormat/>
    <w:rsid w:val="00B05F39"/>
    <w:pPr>
      <w:ind w:left="720"/>
      <w:contextualSpacing/>
    </w:pPr>
    <w:rPr>
      <w:lang w:val="en-US"/>
    </w:rPr>
  </w:style>
  <w:style w:type="character" w:styleId="UnresolvedMention">
    <w:name w:val="Unresolved Mention"/>
    <w:basedOn w:val="DefaultParagraphFont"/>
    <w:uiPriority w:val="99"/>
    <w:semiHidden/>
    <w:unhideWhenUsed/>
    <w:rsid w:val="00EC069C"/>
    <w:rPr>
      <w:color w:val="605E5C"/>
      <w:shd w:val="clear" w:color="auto" w:fill="E1DFDD"/>
    </w:rPr>
  </w:style>
  <w:style w:type="paragraph" w:styleId="Header">
    <w:name w:val="header"/>
    <w:basedOn w:val="Normal"/>
    <w:link w:val="HeaderChar"/>
    <w:uiPriority w:val="99"/>
    <w:unhideWhenUsed/>
    <w:rsid w:val="006B7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7BC"/>
  </w:style>
  <w:style w:type="paragraph" w:styleId="Footer">
    <w:name w:val="footer"/>
    <w:basedOn w:val="Normal"/>
    <w:link w:val="FooterChar"/>
    <w:uiPriority w:val="99"/>
    <w:unhideWhenUsed/>
    <w:rsid w:val="006B7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5181">
      <w:bodyDiv w:val="1"/>
      <w:marLeft w:val="0"/>
      <w:marRight w:val="0"/>
      <w:marTop w:val="0"/>
      <w:marBottom w:val="0"/>
      <w:divBdr>
        <w:top w:val="none" w:sz="0" w:space="0" w:color="auto"/>
        <w:left w:val="none" w:sz="0" w:space="0" w:color="auto"/>
        <w:bottom w:val="none" w:sz="0" w:space="0" w:color="auto"/>
        <w:right w:val="none" w:sz="0" w:space="0" w:color="auto"/>
      </w:divBdr>
    </w:div>
    <w:div w:id="858129038">
      <w:bodyDiv w:val="1"/>
      <w:marLeft w:val="0"/>
      <w:marRight w:val="0"/>
      <w:marTop w:val="0"/>
      <w:marBottom w:val="0"/>
      <w:divBdr>
        <w:top w:val="none" w:sz="0" w:space="0" w:color="auto"/>
        <w:left w:val="none" w:sz="0" w:space="0" w:color="auto"/>
        <w:bottom w:val="none" w:sz="0" w:space="0" w:color="auto"/>
        <w:right w:val="none" w:sz="0" w:space="0" w:color="auto"/>
      </w:divBdr>
      <w:divsChild>
        <w:div w:id="699748826">
          <w:marLeft w:val="0"/>
          <w:marRight w:val="0"/>
          <w:marTop w:val="0"/>
          <w:marBottom w:val="0"/>
          <w:divBdr>
            <w:top w:val="none" w:sz="0" w:space="0" w:color="auto"/>
            <w:left w:val="none" w:sz="0" w:space="0" w:color="auto"/>
            <w:bottom w:val="none" w:sz="0" w:space="0" w:color="auto"/>
            <w:right w:val="none" w:sz="0" w:space="0" w:color="auto"/>
          </w:divBdr>
        </w:div>
        <w:div w:id="2006740673">
          <w:marLeft w:val="0"/>
          <w:marRight w:val="0"/>
          <w:marTop w:val="0"/>
          <w:marBottom w:val="0"/>
          <w:divBdr>
            <w:top w:val="none" w:sz="0" w:space="0" w:color="auto"/>
            <w:left w:val="none" w:sz="0" w:space="0" w:color="auto"/>
            <w:bottom w:val="none" w:sz="0" w:space="0" w:color="auto"/>
            <w:right w:val="none" w:sz="0" w:space="0" w:color="auto"/>
          </w:divBdr>
        </w:div>
        <w:div w:id="1568107181">
          <w:marLeft w:val="0"/>
          <w:marRight w:val="0"/>
          <w:marTop w:val="0"/>
          <w:marBottom w:val="0"/>
          <w:divBdr>
            <w:top w:val="none" w:sz="0" w:space="0" w:color="auto"/>
            <w:left w:val="none" w:sz="0" w:space="0" w:color="auto"/>
            <w:bottom w:val="none" w:sz="0" w:space="0" w:color="auto"/>
            <w:right w:val="none" w:sz="0" w:space="0" w:color="auto"/>
          </w:divBdr>
        </w:div>
        <w:div w:id="943921334">
          <w:marLeft w:val="0"/>
          <w:marRight w:val="0"/>
          <w:marTop w:val="0"/>
          <w:marBottom w:val="0"/>
          <w:divBdr>
            <w:top w:val="none" w:sz="0" w:space="0" w:color="auto"/>
            <w:left w:val="none" w:sz="0" w:space="0" w:color="auto"/>
            <w:bottom w:val="none" w:sz="0" w:space="0" w:color="auto"/>
            <w:right w:val="none" w:sz="0" w:space="0" w:color="auto"/>
          </w:divBdr>
        </w:div>
        <w:div w:id="482938900">
          <w:marLeft w:val="0"/>
          <w:marRight w:val="0"/>
          <w:marTop w:val="0"/>
          <w:marBottom w:val="0"/>
          <w:divBdr>
            <w:top w:val="none" w:sz="0" w:space="0" w:color="auto"/>
            <w:left w:val="none" w:sz="0" w:space="0" w:color="auto"/>
            <w:bottom w:val="none" w:sz="0" w:space="0" w:color="auto"/>
            <w:right w:val="none" w:sz="0" w:space="0" w:color="auto"/>
          </w:divBdr>
        </w:div>
        <w:div w:id="471101248">
          <w:marLeft w:val="0"/>
          <w:marRight w:val="0"/>
          <w:marTop w:val="0"/>
          <w:marBottom w:val="0"/>
          <w:divBdr>
            <w:top w:val="none" w:sz="0" w:space="0" w:color="auto"/>
            <w:left w:val="none" w:sz="0" w:space="0" w:color="auto"/>
            <w:bottom w:val="none" w:sz="0" w:space="0" w:color="auto"/>
            <w:right w:val="none" w:sz="0" w:space="0" w:color="auto"/>
          </w:divBdr>
        </w:div>
        <w:div w:id="1370297449">
          <w:marLeft w:val="0"/>
          <w:marRight w:val="0"/>
          <w:marTop w:val="0"/>
          <w:marBottom w:val="0"/>
          <w:divBdr>
            <w:top w:val="none" w:sz="0" w:space="0" w:color="auto"/>
            <w:left w:val="none" w:sz="0" w:space="0" w:color="auto"/>
            <w:bottom w:val="none" w:sz="0" w:space="0" w:color="auto"/>
            <w:right w:val="none" w:sz="0" w:space="0" w:color="auto"/>
          </w:divBdr>
        </w:div>
        <w:div w:id="840199981">
          <w:marLeft w:val="0"/>
          <w:marRight w:val="0"/>
          <w:marTop w:val="0"/>
          <w:marBottom w:val="0"/>
          <w:divBdr>
            <w:top w:val="none" w:sz="0" w:space="0" w:color="auto"/>
            <w:left w:val="none" w:sz="0" w:space="0" w:color="auto"/>
            <w:bottom w:val="none" w:sz="0" w:space="0" w:color="auto"/>
            <w:right w:val="none" w:sz="0" w:space="0" w:color="auto"/>
          </w:divBdr>
        </w:div>
        <w:div w:id="388236234">
          <w:marLeft w:val="0"/>
          <w:marRight w:val="0"/>
          <w:marTop w:val="0"/>
          <w:marBottom w:val="0"/>
          <w:divBdr>
            <w:top w:val="none" w:sz="0" w:space="0" w:color="auto"/>
            <w:left w:val="none" w:sz="0" w:space="0" w:color="auto"/>
            <w:bottom w:val="none" w:sz="0" w:space="0" w:color="auto"/>
            <w:right w:val="none" w:sz="0" w:space="0" w:color="auto"/>
          </w:divBdr>
        </w:div>
        <w:div w:id="1340428734">
          <w:marLeft w:val="0"/>
          <w:marRight w:val="0"/>
          <w:marTop w:val="0"/>
          <w:marBottom w:val="0"/>
          <w:divBdr>
            <w:top w:val="none" w:sz="0" w:space="0" w:color="auto"/>
            <w:left w:val="none" w:sz="0" w:space="0" w:color="auto"/>
            <w:bottom w:val="none" w:sz="0" w:space="0" w:color="auto"/>
            <w:right w:val="none" w:sz="0" w:space="0" w:color="auto"/>
          </w:divBdr>
        </w:div>
        <w:div w:id="789979280">
          <w:marLeft w:val="0"/>
          <w:marRight w:val="0"/>
          <w:marTop w:val="0"/>
          <w:marBottom w:val="0"/>
          <w:divBdr>
            <w:top w:val="none" w:sz="0" w:space="0" w:color="auto"/>
            <w:left w:val="none" w:sz="0" w:space="0" w:color="auto"/>
            <w:bottom w:val="none" w:sz="0" w:space="0" w:color="auto"/>
            <w:right w:val="none" w:sz="0" w:space="0" w:color="auto"/>
          </w:divBdr>
        </w:div>
      </w:divsChild>
    </w:div>
    <w:div w:id="1563904970">
      <w:bodyDiv w:val="1"/>
      <w:marLeft w:val="0"/>
      <w:marRight w:val="0"/>
      <w:marTop w:val="0"/>
      <w:marBottom w:val="0"/>
      <w:divBdr>
        <w:top w:val="none" w:sz="0" w:space="0" w:color="auto"/>
        <w:left w:val="none" w:sz="0" w:space="0" w:color="auto"/>
        <w:bottom w:val="none" w:sz="0" w:space="0" w:color="auto"/>
        <w:right w:val="none" w:sz="0" w:space="0" w:color="auto"/>
      </w:divBdr>
    </w:div>
    <w:div w:id="208995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2852</Words>
  <Characters>16262</Characters>
  <Application>Microsoft Office Word</Application>
  <DocSecurity>0</DocSecurity>
  <Lines>135</Lines>
  <Paragraphs>38</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1. INTRODUCTION</vt:lpstr>
      <vt:lpstr>        2. MATERIAL AND METHODS</vt:lpstr>
      <vt:lpstr>        3. RESULTS AND DISCUSSION</vt:lpstr>
      <vt:lpstr>        4. DISCUSSION</vt:lpstr>
      <vt:lpstr>        5. CONCLUSION</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dc:creator>
  <cp:keywords/>
  <dc:description/>
  <cp:lastModifiedBy>SDI 1084</cp:lastModifiedBy>
  <cp:revision>17</cp:revision>
  <dcterms:created xsi:type="dcterms:W3CDTF">2025-10-22T07:04:00Z</dcterms:created>
  <dcterms:modified xsi:type="dcterms:W3CDTF">2025-10-22T14:02:00Z</dcterms:modified>
</cp:coreProperties>
</file>