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3E97" w14:textId="047CAC02" w:rsidR="00DC21C7" w:rsidRDefault="00DC21C7" w:rsidP="00DC21C7">
      <w:pPr>
        <w:spacing w:before="100" w:beforeAutospacing="1" w:after="100" w:afterAutospacing="1" w:line="240" w:lineRule="auto"/>
        <w:jc w:val="both"/>
        <w:outlineLvl w:val="1"/>
        <w:rPr>
          <w:rFonts w:ascii="Times New Roman" w:hAnsi="Times New Roman" w:cs="Times New Roman"/>
          <w:b/>
          <w:bCs/>
          <w:sz w:val="24"/>
          <w:szCs w:val="24"/>
        </w:rPr>
      </w:pPr>
      <w:proofErr w:type="spellStart"/>
      <w:r w:rsidRPr="003730CA">
        <w:rPr>
          <w:rFonts w:ascii="Times New Roman" w:hAnsi="Times New Roman" w:cs="Times New Roman"/>
          <w:b/>
          <w:bCs/>
          <w:sz w:val="24"/>
          <w:szCs w:val="24"/>
        </w:rPr>
        <w:t>Physico</w:t>
      </w:r>
      <w:proofErr w:type="spellEnd"/>
      <w:r w:rsidRPr="003730CA">
        <w:rPr>
          <w:rFonts w:ascii="Times New Roman" w:hAnsi="Times New Roman" w:cs="Times New Roman"/>
          <w:b/>
          <w:bCs/>
          <w:sz w:val="24"/>
          <w:szCs w:val="24"/>
        </w:rPr>
        <w:t xml:space="preserve">-Chemical Transport of Volatile Organic Compounds (VOCs) from Gas Flaring into Surface Waters of </w:t>
      </w:r>
      <w:proofErr w:type="spellStart"/>
      <w:r w:rsidRPr="003730CA">
        <w:rPr>
          <w:rFonts w:ascii="Times New Roman" w:hAnsi="Times New Roman" w:cs="Times New Roman"/>
          <w:b/>
          <w:bCs/>
          <w:sz w:val="24"/>
          <w:szCs w:val="24"/>
        </w:rPr>
        <w:t>Ogoniland</w:t>
      </w:r>
      <w:proofErr w:type="spellEnd"/>
      <w:r w:rsidRPr="003730CA">
        <w:rPr>
          <w:rFonts w:ascii="Times New Roman" w:hAnsi="Times New Roman" w:cs="Times New Roman"/>
          <w:b/>
          <w:bCs/>
          <w:sz w:val="24"/>
          <w:szCs w:val="24"/>
        </w:rPr>
        <w:t>, Rivers State, Nigeria</w:t>
      </w:r>
    </w:p>
    <w:p w14:paraId="3133A28D" w14:textId="77777777" w:rsidR="00DC21C7" w:rsidRPr="00DC21C7" w:rsidRDefault="00DC21C7" w:rsidP="00DC21C7">
      <w:pPr>
        <w:pStyle w:val="Heading2"/>
        <w:jc w:val="both"/>
        <w:rPr>
          <w:sz w:val="24"/>
          <w:szCs w:val="24"/>
        </w:rPr>
      </w:pPr>
      <w:r w:rsidRPr="00DC21C7">
        <w:rPr>
          <w:sz w:val="24"/>
          <w:szCs w:val="24"/>
        </w:rPr>
        <w:t>Abstract</w:t>
      </w:r>
    </w:p>
    <w:p w14:paraId="0FC04385" w14:textId="569319A3" w:rsidR="00DC21C7" w:rsidRPr="00DC21C7" w:rsidRDefault="00DC21C7" w:rsidP="00DC21C7">
      <w:pPr>
        <w:pStyle w:val="NormalWeb"/>
        <w:jc w:val="both"/>
      </w:pPr>
      <w:r w:rsidRPr="00DC21C7">
        <w:t xml:space="preserve">Gas flaring remains a persistent source of environmental pollution in the Niger Delta, releasing volatile organic compounds (VOCs) that contribute to atmospheric degradation and aquatic contamination. This study assessed the </w:t>
      </w:r>
      <w:proofErr w:type="spellStart"/>
      <w:r w:rsidRPr="00DC21C7">
        <w:t>physico</w:t>
      </w:r>
      <w:proofErr w:type="spellEnd"/>
      <w:r w:rsidRPr="00DC21C7">
        <w:t xml:space="preserve">-chemical transport of VOCs from gas flaring into surface waters of </w:t>
      </w:r>
      <w:proofErr w:type="spellStart"/>
      <w:r w:rsidRPr="00DC21C7">
        <w:t>Ogoniland</w:t>
      </w:r>
      <w:proofErr w:type="spellEnd"/>
      <w:r w:rsidRPr="00DC21C7">
        <w:t xml:space="preserve">, Rivers State, Nigeria. Surface water samples were collected from five stations located at varying distances (0.5–2 km) from active gas flare sites during wet and dry seasons. Standard analytical procedures were employed to determine </w:t>
      </w:r>
      <w:proofErr w:type="spellStart"/>
      <w:r w:rsidRPr="00DC21C7">
        <w:t>physico</w:t>
      </w:r>
      <w:proofErr w:type="spellEnd"/>
      <w:r w:rsidRPr="00DC21C7">
        <w:t>-chemical parameters, while VOCs, including benzene, toluene, ethylbenzene, and xylene (BTEX), were quantified using gas chromatography–mass spectrometry (GC–MS).</w:t>
      </w:r>
      <w:r>
        <w:t xml:space="preserve"> </w:t>
      </w:r>
      <w:r w:rsidRPr="00DC21C7">
        <w:t xml:space="preserve">Results revealed that temperature, pH, electrical conductivity (EC), total dissolved solids (TDS), and dissolved oxygen (DO) varied significantly (p &lt; 0.05) between stations and seasons. The highest VOC concentrations were recorded at stations closest to flare points, with total VOCs ranging from 0.021–0.086 mg/L in the wet season and 0.039–0.102 mg/L in the dry season. Correlation analysis indicated that VOC levels were positively associated with temperature and EC but negatively correlated with DO, suggesting that volatilisation, adsorption–desorption, and atmospheric deposition govern VOC transport in the aquatic </w:t>
      </w:r>
      <w:bookmarkStart w:id="0" w:name="_GoBack"/>
      <w:bookmarkEnd w:id="0"/>
      <w:r w:rsidRPr="00DC21C7">
        <w:t>system.</w:t>
      </w:r>
      <w:r>
        <w:t xml:space="preserve"> </w:t>
      </w:r>
      <w:r w:rsidRPr="00DC21C7">
        <w:t>The findings highlight that continuous gas flaring promotes the mobilisation and persistence of toxic organic compounds in surface waters, posing potential ecological and health risks to communities relying on these water sources. The study underscores the need for stricter regulation of gas flaring activities and continuous environmental monitoring to safeguard aquatic ecosystems and public health in the Niger Delta.</w:t>
      </w:r>
    </w:p>
    <w:p w14:paraId="5DEAFE09" w14:textId="77777777" w:rsidR="00DC21C7" w:rsidRPr="00DC21C7" w:rsidRDefault="00DC21C7" w:rsidP="00DC21C7">
      <w:pPr>
        <w:pStyle w:val="NormalWeb"/>
        <w:jc w:val="both"/>
      </w:pPr>
      <w:r w:rsidRPr="00DC21C7">
        <w:rPr>
          <w:rStyle w:val="Strong"/>
          <w:i/>
          <w:iCs/>
        </w:rPr>
        <w:t>Keywords:</w:t>
      </w:r>
      <w:r w:rsidRPr="00DC21C7">
        <w:t xml:space="preserve"> Gas flaring, volatile organic compounds, </w:t>
      </w:r>
      <w:proofErr w:type="spellStart"/>
      <w:r w:rsidRPr="00DC21C7">
        <w:t>Ogoniland</w:t>
      </w:r>
      <w:proofErr w:type="spellEnd"/>
      <w:r w:rsidRPr="00DC21C7">
        <w:t>, hydrochemistry, atmospheric deposition, Niger Delta</w:t>
      </w:r>
    </w:p>
    <w:p w14:paraId="5DA838C7" w14:textId="20EE287E" w:rsidR="00DC21C7" w:rsidRPr="00DC21C7" w:rsidRDefault="00DC21C7" w:rsidP="00DC21C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1. Introduction</w:t>
      </w:r>
    </w:p>
    <w:p w14:paraId="19971152"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Gas flaring, a common practice in petroleum-producing regions, involves the combustion of associated natural gas during crude oil extraction. Although intended to relieve pressure and dispose of unwanted gas, the process releases numerous pollutants, including volatile organic compounds (VOCs), into the atmosphere. These compounds, notably benzene, toluene, ethylbenzene, and xylene (collectively referred to as BTEX), are hazardous and persistent pollutants with carcinogenic, mutagenic, and neurotoxic effects (Dong et al., 2016; Brusseau et al., 2019). Continuous emission of VOCs from gas flaring results in their dispersion, atmospheric transformation, and eventual deposition onto terrestrial and aquatic environments, thereby affecting air, soil, and water quality (Ekpo et al., 2012; Adeniji et al., 2017).</w:t>
      </w:r>
    </w:p>
    <w:p w14:paraId="53804743"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In Nigeria’s Niger Delta, gas flaring has remained a major environmental issue for over five decades, contributing to the degradation of ecosystems and posing risks to human health (Akinola et al., 2019). Despite regulatory frameworks such as the Gas Flaring Prohibition Act, enforcement has been weak, and flaring continues at alarming rates, particularly in communities where oil installations are situated near human settlements and water bodies. </w:t>
      </w:r>
      <w:proofErr w:type="spellStart"/>
      <w:r w:rsidRPr="00DC21C7">
        <w:rPr>
          <w:rFonts w:ascii="Times New Roman" w:eastAsia="Times New Roman" w:hAnsi="Times New Roman" w:cs="Times New Roman"/>
          <w:sz w:val="24"/>
          <w:szCs w:val="24"/>
          <w:lang w:eastAsia="en-GB"/>
        </w:rPr>
        <w:t>Ogoniland</w:t>
      </w:r>
      <w:proofErr w:type="spellEnd"/>
      <w:r w:rsidRPr="00DC21C7">
        <w:rPr>
          <w:rFonts w:ascii="Times New Roman" w:eastAsia="Times New Roman" w:hAnsi="Times New Roman" w:cs="Times New Roman"/>
          <w:sz w:val="24"/>
          <w:szCs w:val="24"/>
          <w:lang w:eastAsia="en-GB"/>
        </w:rPr>
        <w:t xml:space="preserve">, located in Rivers State, is one of the most impacted regions due to its dense network of oil wells, pipelines, and flare stacks. The Hydrocarbon Pollution Remediation Project (HYPREP) and previous investigations by UNEP have documented severe contamination of </w:t>
      </w:r>
      <w:r w:rsidRPr="00DC21C7">
        <w:rPr>
          <w:rFonts w:ascii="Times New Roman" w:eastAsia="Times New Roman" w:hAnsi="Times New Roman" w:cs="Times New Roman"/>
          <w:sz w:val="24"/>
          <w:szCs w:val="24"/>
          <w:lang w:eastAsia="en-GB"/>
        </w:rPr>
        <w:lastRenderedPageBreak/>
        <w:t>surface and groundwater resources in the area, largely from petroleum hydrocarbons and gas flaring residues (</w:t>
      </w:r>
      <w:proofErr w:type="spellStart"/>
      <w:r w:rsidRPr="00DC21C7">
        <w:rPr>
          <w:rFonts w:ascii="Times New Roman" w:eastAsia="Times New Roman" w:hAnsi="Times New Roman" w:cs="Times New Roman"/>
          <w:sz w:val="24"/>
          <w:szCs w:val="24"/>
          <w:lang w:eastAsia="en-GB"/>
        </w:rPr>
        <w:t>Alagoa</w:t>
      </w:r>
      <w:proofErr w:type="spellEnd"/>
      <w:r w:rsidRPr="00DC21C7">
        <w:rPr>
          <w:rFonts w:ascii="Times New Roman" w:eastAsia="Times New Roman" w:hAnsi="Times New Roman" w:cs="Times New Roman"/>
          <w:sz w:val="24"/>
          <w:szCs w:val="24"/>
          <w:lang w:eastAsia="en-GB"/>
        </w:rPr>
        <w:t xml:space="preserve"> et al., 2018; </w:t>
      </w: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et al., 2025).</w:t>
      </w:r>
    </w:p>
    <w:p w14:paraId="7B3AB253"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Volatile organic compounds emitted during gas flaring can undergo atmospheric reactions to form secondary pollutants or be transported and deposited onto nearby surface waters through wet and dry deposition. Once in aquatic systems, their transport and fate are governed by </w:t>
      </w:r>
      <w:proofErr w:type="spellStart"/>
      <w:r w:rsidRPr="00DC21C7">
        <w:rPr>
          <w:rFonts w:ascii="Times New Roman" w:eastAsia="Times New Roman" w:hAnsi="Times New Roman" w:cs="Times New Roman"/>
          <w:sz w:val="24"/>
          <w:szCs w:val="24"/>
          <w:lang w:eastAsia="en-GB"/>
        </w:rPr>
        <w:t>physico</w:t>
      </w:r>
      <w:proofErr w:type="spellEnd"/>
      <w:r w:rsidRPr="00DC21C7">
        <w:rPr>
          <w:rFonts w:ascii="Times New Roman" w:eastAsia="Times New Roman" w:hAnsi="Times New Roman" w:cs="Times New Roman"/>
          <w:sz w:val="24"/>
          <w:szCs w:val="24"/>
          <w:lang w:eastAsia="en-GB"/>
        </w:rPr>
        <w:t xml:space="preserve">-chemical parameters such as temperature, pH, electrical conductivity (EC), total dissolved solids (TDS), and dissolved oxygen (DO). These factors influence VOC solubility, volatilisation, and partitioning between air, water, and sediment phases (Dhamar et al., 2013; </w:t>
      </w:r>
      <w:proofErr w:type="spellStart"/>
      <w:r w:rsidRPr="00DC21C7">
        <w:rPr>
          <w:rFonts w:ascii="Times New Roman" w:eastAsia="Times New Roman" w:hAnsi="Times New Roman" w:cs="Times New Roman"/>
          <w:sz w:val="24"/>
          <w:szCs w:val="24"/>
          <w:lang w:eastAsia="en-GB"/>
        </w:rPr>
        <w:t>Frasson</w:t>
      </w:r>
      <w:proofErr w:type="spellEnd"/>
      <w:r w:rsidRPr="00DC21C7">
        <w:rPr>
          <w:rFonts w:ascii="Times New Roman" w:eastAsia="Times New Roman" w:hAnsi="Times New Roman" w:cs="Times New Roman"/>
          <w:sz w:val="24"/>
          <w:szCs w:val="24"/>
          <w:lang w:eastAsia="en-GB"/>
        </w:rPr>
        <w:t xml:space="preserve"> de et al., 2019). Elevated temperatures near flare sites, for instance, enhance volatilisation–condensation cycles, while low pH and high ionic strength promote dissolution and chemical transformation of these compounds.</w:t>
      </w:r>
    </w:p>
    <w:p w14:paraId="15D803F4"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Previous studies in the Niger Delta have largely focused on petroleum hydrocarbons in sediments and biota (Ekpo et al., 2012; Akinola et al., 2019; </w:t>
      </w: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et al., 2025), but limited research has examined the coupling between </w:t>
      </w:r>
      <w:proofErr w:type="spellStart"/>
      <w:r w:rsidRPr="00DC21C7">
        <w:rPr>
          <w:rFonts w:ascii="Times New Roman" w:eastAsia="Times New Roman" w:hAnsi="Times New Roman" w:cs="Times New Roman"/>
          <w:sz w:val="24"/>
          <w:szCs w:val="24"/>
          <w:lang w:eastAsia="en-GB"/>
        </w:rPr>
        <w:t>hydrochemical</w:t>
      </w:r>
      <w:proofErr w:type="spellEnd"/>
      <w:r w:rsidRPr="00DC21C7">
        <w:rPr>
          <w:rFonts w:ascii="Times New Roman" w:eastAsia="Times New Roman" w:hAnsi="Times New Roman" w:cs="Times New Roman"/>
          <w:sz w:val="24"/>
          <w:szCs w:val="24"/>
          <w:lang w:eastAsia="en-GB"/>
        </w:rPr>
        <w:t xml:space="preserve"> parameters and VOC transport in surface waters adjacent to gas flaring zones. Understanding this relationship is essential for assessing the mechanisms driving pollutant mobility and persistence, and for formulating appropriate environmental management strategies.</w:t>
      </w:r>
    </w:p>
    <w:p w14:paraId="1B1C6D67" w14:textId="6F754862"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This study</w:t>
      </w:r>
      <w:r w:rsidR="003730CA">
        <w:rPr>
          <w:rFonts w:ascii="Times New Roman" w:eastAsia="Times New Roman" w:hAnsi="Times New Roman" w:cs="Times New Roman"/>
          <w:sz w:val="24"/>
          <w:szCs w:val="24"/>
          <w:lang w:eastAsia="en-GB"/>
        </w:rPr>
        <w:t>,</w:t>
      </w:r>
      <w:r w:rsidRPr="00DC21C7">
        <w:rPr>
          <w:rFonts w:ascii="Times New Roman" w:eastAsia="Times New Roman" w:hAnsi="Times New Roman" w:cs="Times New Roman"/>
          <w:sz w:val="24"/>
          <w:szCs w:val="24"/>
          <w:lang w:eastAsia="en-GB"/>
        </w:rPr>
        <w:t xml:space="preserve"> therefore</w:t>
      </w:r>
      <w:r w:rsidR="003730CA">
        <w:rPr>
          <w:rFonts w:ascii="Times New Roman" w:eastAsia="Times New Roman" w:hAnsi="Times New Roman" w:cs="Times New Roman"/>
          <w:sz w:val="24"/>
          <w:szCs w:val="24"/>
          <w:lang w:eastAsia="en-GB"/>
        </w:rPr>
        <w:t>,</w:t>
      </w:r>
      <w:r w:rsidRPr="00DC21C7">
        <w:rPr>
          <w:rFonts w:ascii="Times New Roman" w:eastAsia="Times New Roman" w:hAnsi="Times New Roman" w:cs="Times New Roman"/>
          <w:sz w:val="24"/>
          <w:szCs w:val="24"/>
          <w:lang w:eastAsia="en-GB"/>
        </w:rPr>
        <w:t xml:space="preserve"> investigates the </w:t>
      </w:r>
      <w:r w:rsidR="003730CA">
        <w:rPr>
          <w:rFonts w:ascii="Times New Roman" w:eastAsia="Times New Roman" w:hAnsi="Times New Roman" w:cs="Times New Roman"/>
          <w:sz w:val="24"/>
          <w:szCs w:val="24"/>
          <w:lang w:eastAsia="en-GB"/>
        </w:rPr>
        <w:t>physicochemical</w:t>
      </w:r>
      <w:r w:rsidRPr="00DC21C7">
        <w:rPr>
          <w:rFonts w:ascii="Times New Roman" w:eastAsia="Times New Roman" w:hAnsi="Times New Roman" w:cs="Times New Roman"/>
          <w:sz w:val="24"/>
          <w:szCs w:val="24"/>
          <w:lang w:eastAsia="en-GB"/>
        </w:rPr>
        <w:t xml:space="preserve"> transport of VOCs from gas flaring into surface waters of </w:t>
      </w:r>
      <w:proofErr w:type="spellStart"/>
      <w:r w:rsidRPr="00DC21C7">
        <w:rPr>
          <w:rFonts w:ascii="Times New Roman" w:eastAsia="Times New Roman" w:hAnsi="Times New Roman" w:cs="Times New Roman"/>
          <w:sz w:val="24"/>
          <w:szCs w:val="24"/>
          <w:lang w:eastAsia="en-GB"/>
        </w:rPr>
        <w:t>Ogoniland</w:t>
      </w:r>
      <w:proofErr w:type="spellEnd"/>
      <w:r w:rsidRPr="00DC21C7">
        <w:rPr>
          <w:rFonts w:ascii="Times New Roman" w:eastAsia="Times New Roman" w:hAnsi="Times New Roman" w:cs="Times New Roman"/>
          <w:sz w:val="24"/>
          <w:szCs w:val="24"/>
          <w:lang w:eastAsia="en-GB"/>
        </w:rPr>
        <w:t>. The specific objectives were to: (</w:t>
      </w:r>
      <w:proofErr w:type="spellStart"/>
      <w:r w:rsidRPr="00DC21C7">
        <w:rPr>
          <w:rFonts w:ascii="Times New Roman" w:eastAsia="Times New Roman" w:hAnsi="Times New Roman" w:cs="Times New Roman"/>
          <w:sz w:val="24"/>
          <w:szCs w:val="24"/>
          <w:lang w:eastAsia="en-GB"/>
        </w:rPr>
        <w:t>i</w:t>
      </w:r>
      <w:proofErr w:type="spellEnd"/>
      <w:r w:rsidRPr="00DC21C7">
        <w:rPr>
          <w:rFonts w:ascii="Times New Roman" w:eastAsia="Times New Roman" w:hAnsi="Times New Roman" w:cs="Times New Roman"/>
          <w:sz w:val="24"/>
          <w:szCs w:val="24"/>
          <w:lang w:eastAsia="en-GB"/>
        </w:rPr>
        <w:t xml:space="preserve">) determine the </w:t>
      </w:r>
      <w:proofErr w:type="spellStart"/>
      <w:r w:rsidRPr="00DC21C7">
        <w:rPr>
          <w:rFonts w:ascii="Times New Roman" w:eastAsia="Times New Roman" w:hAnsi="Times New Roman" w:cs="Times New Roman"/>
          <w:sz w:val="24"/>
          <w:szCs w:val="24"/>
          <w:lang w:eastAsia="en-GB"/>
        </w:rPr>
        <w:t>physico</w:t>
      </w:r>
      <w:proofErr w:type="spellEnd"/>
      <w:r w:rsidRPr="00DC21C7">
        <w:rPr>
          <w:rFonts w:ascii="Times New Roman" w:eastAsia="Times New Roman" w:hAnsi="Times New Roman" w:cs="Times New Roman"/>
          <w:sz w:val="24"/>
          <w:szCs w:val="24"/>
          <w:lang w:eastAsia="en-GB"/>
        </w:rPr>
        <w:t xml:space="preserve">-chemical characteristics of surface waters influenced by gas flaring; (ii) quantify the concentrations of selected VOCs (benzene, toluene, ethylbenzene, and xylene); and (iii) evaluate the relationship between </w:t>
      </w:r>
      <w:proofErr w:type="spellStart"/>
      <w:r w:rsidRPr="00DC21C7">
        <w:rPr>
          <w:rFonts w:ascii="Times New Roman" w:eastAsia="Times New Roman" w:hAnsi="Times New Roman" w:cs="Times New Roman"/>
          <w:sz w:val="24"/>
          <w:szCs w:val="24"/>
          <w:lang w:eastAsia="en-GB"/>
        </w:rPr>
        <w:t>hydrochemical</w:t>
      </w:r>
      <w:proofErr w:type="spellEnd"/>
      <w:r w:rsidRPr="00DC21C7">
        <w:rPr>
          <w:rFonts w:ascii="Times New Roman" w:eastAsia="Times New Roman" w:hAnsi="Times New Roman" w:cs="Times New Roman"/>
          <w:sz w:val="24"/>
          <w:szCs w:val="24"/>
          <w:lang w:eastAsia="en-GB"/>
        </w:rPr>
        <w:t xml:space="preserve"> parameters and VOC levels to elucidate their transport and fate in the aquatic environment.</w:t>
      </w:r>
    </w:p>
    <w:p w14:paraId="3ADC2AC0" w14:textId="77777777" w:rsidR="00DC21C7" w:rsidRPr="00DC21C7" w:rsidRDefault="00DC21C7" w:rsidP="00DC21C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2. Materials and Methods</w:t>
      </w:r>
    </w:p>
    <w:p w14:paraId="2B60E4AA" w14:textId="77777777" w:rsidR="00DC21C7" w:rsidRPr="00DC21C7" w:rsidRDefault="00DC21C7" w:rsidP="00DC21C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2.1 Study Area Description</w:t>
      </w:r>
    </w:p>
    <w:p w14:paraId="3F310A3A" w14:textId="4B4E3147" w:rsid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The study was conducted in </w:t>
      </w:r>
      <w:proofErr w:type="spellStart"/>
      <w:r w:rsidRPr="00DC21C7">
        <w:rPr>
          <w:rFonts w:ascii="Times New Roman" w:eastAsia="Times New Roman" w:hAnsi="Times New Roman" w:cs="Times New Roman"/>
          <w:sz w:val="24"/>
          <w:szCs w:val="24"/>
          <w:lang w:eastAsia="en-GB"/>
        </w:rPr>
        <w:t>Ogoniland</w:t>
      </w:r>
      <w:proofErr w:type="spellEnd"/>
      <w:r w:rsidRPr="00DC21C7">
        <w:rPr>
          <w:rFonts w:ascii="Times New Roman" w:eastAsia="Times New Roman" w:hAnsi="Times New Roman" w:cs="Times New Roman"/>
          <w:sz w:val="24"/>
          <w:szCs w:val="24"/>
          <w:lang w:eastAsia="en-GB"/>
        </w:rPr>
        <w:t xml:space="preserve">, located within Rivers State, southern Nigeria. The area lies between latitudes 4°35′N and 4°45′N and longitudes 7°15′E and 7°30′E, within the core Niger Delta sedimentary basin. The region is characterised by a humid tropical climate with mean annual rainfall of about 2,500 mm and average temperatures between 28°C and 33°C. It comprises low-lying floodplains, mangrove swamps, and a network of creeks that connect to the </w:t>
      </w:r>
      <w:r>
        <w:rPr>
          <w:rFonts w:ascii="Times New Roman" w:eastAsia="Times New Roman" w:hAnsi="Times New Roman" w:cs="Times New Roman"/>
          <w:sz w:val="24"/>
          <w:szCs w:val="24"/>
          <w:lang w:eastAsia="en-GB"/>
        </w:rPr>
        <w:t>Andoni</w:t>
      </w:r>
      <w:r w:rsidRPr="00DC21C7">
        <w:rPr>
          <w:rFonts w:ascii="Times New Roman" w:eastAsia="Times New Roman" w:hAnsi="Times New Roman" w:cs="Times New Roman"/>
          <w:sz w:val="24"/>
          <w:szCs w:val="24"/>
          <w:lang w:eastAsia="en-GB"/>
        </w:rPr>
        <w:t xml:space="preserve"> River</w:t>
      </w:r>
      <w:r>
        <w:rPr>
          <w:rFonts w:ascii="Times New Roman" w:eastAsia="Times New Roman" w:hAnsi="Times New Roman" w:cs="Times New Roman"/>
          <w:sz w:val="24"/>
          <w:szCs w:val="24"/>
          <w:lang w:eastAsia="en-GB"/>
        </w:rPr>
        <w:t xml:space="preserve"> within the </w:t>
      </w:r>
      <w:proofErr w:type="spellStart"/>
      <w:r>
        <w:rPr>
          <w:rFonts w:ascii="Times New Roman" w:eastAsia="Times New Roman" w:hAnsi="Times New Roman" w:cs="Times New Roman"/>
          <w:sz w:val="24"/>
          <w:szCs w:val="24"/>
          <w:lang w:eastAsia="en-GB"/>
        </w:rPr>
        <w:t>Ataba</w:t>
      </w:r>
      <w:proofErr w:type="spellEnd"/>
      <w:r>
        <w:rPr>
          <w:rFonts w:ascii="Times New Roman" w:eastAsia="Times New Roman" w:hAnsi="Times New Roman" w:cs="Times New Roman"/>
          <w:sz w:val="24"/>
          <w:szCs w:val="24"/>
          <w:lang w:eastAsia="en-GB"/>
        </w:rPr>
        <w:t xml:space="preserve"> Creek (</w:t>
      </w:r>
      <w:proofErr w:type="spellStart"/>
      <w:r>
        <w:rPr>
          <w:rFonts w:ascii="Times New Roman" w:eastAsia="Times New Roman" w:hAnsi="Times New Roman" w:cs="Times New Roman"/>
          <w:sz w:val="24"/>
          <w:szCs w:val="24"/>
          <w:lang w:eastAsia="en-GB"/>
        </w:rPr>
        <w:t>Okpoji</w:t>
      </w:r>
      <w:proofErr w:type="spellEnd"/>
      <w:r>
        <w:rPr>
          <w:rFonts w:ascii="Times New Roman" w:eastAsia="Times New Roman" w:hAnsi="Times New Roman" w:cs="Times New Roman"/>
          <w:sz w:val="24"/>
          <w:szCs w:val="24"/>
          <w:lang w:eastAsia="en-GB"/>
        </w:rPr>
        <w:t xml:space="preserve"> et al. 2025)</w:t>
      </w:r>
      <w:r w:rsidRPr="00DC21C7">
        <w:rPr>
          <w:rFonts w:ascii="Times New Roman" w:eastAsia="Times New Roman" w:hAnsi="Times New Roman" w:cs="Times New Roman"/>
          <w:sz w:val="24"/>
          <w:szCs w:val="24"/>
          <w:lang w:eastAsia="en-GB"/>
        </w:rPr>
        <w:t>. Oil exploration and production activities are widespread, and gas flaring occurs continuously at several flow stations and manifolds. The major communities investigated include K-</w:t>
      </w:r>
      <w:proofErr w:type="spellStart"/>
      <w:r w:rsidRPr="00DC21C7">
        <w:rPr>
          <w:rFonts w:ascii="Times New Roman" w:eastAsia="Times New Roman" w:hAnsi="Times New Roman" w:cs="Times New Roman"/>
          <w:sz w:val="24"/>
          <w:szCs w:val="24"/>
          <w:lang w:eastAsia="en-GB"/>
        </w:rPr>
        <w:t>Dere</w:t>
      </w:r>
      <w:proofErr w:type="spellEnd"/>
      <w:r w:rsidRPr="00DC21C7">
        <w:rPr>
          <w:rFonts w:ascii="Times New Roman" w:eastAsia="Times New Roman" w:hAnsi="Times New Roman" w:cs="Times New Roman"/>
          <w:sz w:val="24"/>
          <w:szCs w:val="24"/>
          <w:lang w:eastAsia="en-GB"/>
        </w:rPr>
        <w:t xml:space="preserve">, Bomu, </w:t>
      </w:r>
      <w:r w:rsidR="003730CA">
        <w:rPr>
          <w:rFonts w:ascii="Times New Roman" w:eastAsia="Times New Roman" w:hAnsi="Times New Roman" w:cs="Times New Roman"/>
          <w:sz w:val="24"/>
          <w:szCs w:val="24"/>
          <w:lang w:eastAsia="en-GB"/>
        </w:rPr>
        <w:t>in</w:t>
      </w:r>
      <w:r w:rsidRPr="00DC21C7">
        <w:rPr>
          <w:rFonts w:ascii="Times New Roman" w:eastAsia="Times New Roman" w:hAnsi="Times New Roman" w:cs="Times New Roman"/>
          <w:sz w:val="24"/>
          <w:szCs w:val="24"/>
          <w:lang w:eastAsia="en-GB"/>
        </w:rPr>
        <w:t xml:space="preserve"> </w:t>
      </w:r>
      <w:proofErr w:type="spellStart"/>
      <w:r w:rsidRPr="00DC21C7">
        <w:rPr>
          <w:rFonts w:ascii="Times New Roman" w:eastAsia="Times New Roman" w:hAnsi="Times New Roman" w:cs="Times New Roman"/>
          <w:sz w:val="24"/>
          <w:szCs w:val="24"/>
          <w:lang w:eastAsia="en-GB"/>
        </w:rPr>
        <w:t>Gokana</w:t>
      </w:r>
      <w:proofErr w:type="spellEnd"/>
      <w:r w:rsidR="003730CA">
        <w:rPr>
          <w:rFonts w:ascii="Times New Roman" w:eastAsia="Times New Roman" w:hAnsi="Times New Roman" w:cs="Times New Roman"/>
          <w:sz w:val="24"/>
          <w:szCs w:val="24"/>
          <w:lang w:eastAsia="en-GB"/>
        </w:rPr>
        <w:t xml:space="preserve"> Local Government Area</w:t>
      </w:r>
      <w:r w:rsidRPr="00DC21C7">
        <w:rPr>
          <w:rFonts w:ascii="Times New Roman" w:eastAsia="Times New Roman" w:hAnsi="Times New Roman" w:cs="Times New Roman"/>
          <w:sz w:val="24"/>
          <w:szCs w:val="24"/>
          <w:lang w:eastAsia="en-GB"/>
        </w:rPr>
        <w:t>, where flaring stacks are situated less than 1 km from residential and agricultural areas.</w:t>
      </w:r>
    </w:p>
    <w:p w14:paraId="57621CF3" w14:textId="77777777" w:rsidR="00DC21C7" w:rsidRPr="00DC21C7" w:rsidRDefault="00DC21C7" w:rsidP="00DC21C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2.2 Sample Collection and Preservation</w:t>
      </w:r>
    </w:p>
    <w:p w14:paraId="69FD73DC" w14:textId="1E69330F"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Surface water samples were collected from five sampling stations along a transect extending up to 2 km from the gas flare site. Stations 1 and 2 were within 500 m of the flare point, Stations 3 and 4 were between 1.0–1.5 km, and Station 5 served as a control site located over 2 km away in an area unaffected by direct flaring. Samples were collected during both wet (June–August) and dry (January–March) seasons to capture seasonal variability. Pre-cleaned 1-litre amber glass bottles with Teflon-lined caps were used to prevent VOC loss. Samples for VOC </w:t>
      </w:r>
      <w:r w:rsidRPr="00DC21C7">
        <w:rPr>
          <w:rFonts w:ascii="Times New Roman" w:eastAsia="Times New Roman" w:hAnsi="Times New Roman" w:cs="Times New Roman"/>
          <w:sz w:val="24"/>
          <w:szCs w:val="24"/>
          <w:lang w:eastAsia="en-GB"/>
        </w:rPr>
        <w:lastRenderedPageBreak/>
        <w:t xml:space="preserve">analysis were preserved with 1 ml of concentrated hydrochloric acid (HCl) to </w:t>
      </w:r>
      <w:r>
        <w:rPr>
          <w:rFonts w:ascii="Times New Roman" w:eastAsia="Times New Roman" w:hAnsi="Times New Roman" w:cs="Times New Roman"/>
          <w:sz w:val="24"/>
          <w:szCs w:val="24"/>
          <w:lang w:eastAsia="en-GB"/>
        </w:rPr>
        <w:t xml:space="preserve">a </w:t>
      </w:r>
      <w:r w:rsidRPr="00DC21C7">
        <w:rPr>
          <w:rFonts w:ascii="Times New Roman" w:eastAsia="Times New Roman" w:hAnsi="Times New Roman" w:cs="Times New Roman"/>
          <w:sz w:val="24"/>
          <w:szCs w:val="24"/>
          <w:lang w:eastAsia="en-GB"/>
        </w:rPr>
        <w:t>pH &lt;2 and stored at 4°C until analysis.</w:t>
      </w:r>
    </w:p>
    <w:p w14:paraId="3B52BA1B" w14:textId="77777777" w:rsidR="00DC21C7" w:rsidRPr="00DC21C7" w:rsidRDefault="00DC21C7" w:rsidP="00DC21C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 xml:space="preserve">2.3 Determination of </w:t>
      </w:r>
      <w:proofErr w:type="spellStart"/>
      <w:r w:rsidRPr="00DC21C7">
        <w:rPr>
          <w:rFonts w:ascii="Times New Roman" w:eastAsia="Times New Roman" w:hAnsi="Times New Roman" w:cs="Times New Roman"/>
          <w:b/>
          <w:bCs/>
          <w:sz w:val="24"/>
          <w:szCs w:val="24"/>
          <w:lang w:eastAsia="en-GB"/>
        </w:rPr>
        <w:t>Physico</w:t>
      </w:r>
      <w:proofErr w:type="spellEnd"/>
      <w:r w:rsidRPr="00DC21C7">
        <w:rPr>
          <w:rFonts w:ascii="Times New Roman" w:eastAsia="Times New Roman" w:hAnsi="Times New Roman" w:cs="Times New Roman"/>
          <w:b/>
          <w:bCs/>
          <w:sz w:val="24"/>
          <w:szCs w:val="24"/>
          <w:lang w:eastAsia="en-GB"/>
        </w:rPr>
        <w:t>-Chemical Parameters</w:t>
      </w:r>
    </w:p>
    <w:p w14:paraId="6FBA68F6"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Field measurements of temperature, pH, and electrical conductivity (EC) were carried out in situ using a calibrated portable multiparameter meter (Hanna HI 98194). Total dissolved solids (TDS) were derived from EC values using standard conversion factors. Dissolved oxygen (DO) was determined using the Winkler titration method, while biochemical oxygen demand (BOD) was measured after 5-day incubation at 20°C, following APHA (2017) procedures. All analyses were performed in triplicate to ensure reproducibility.</w:t>
      </w:r>
    </w:p>
    <w:p w14:paraId="5D598653" w14:textId="77777777" w:rsidR="00DC21C7" w:rsidRPr="00DC21C7" w:rsidRDefault="00DC21C7" w:rsidP="00DC21C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2.4 Determination of Volatile Organic Compounds (VOCs)</w:t>
      </w:r>
    </w:p>
    <w:p w14:paraId="4E82F9CA" w14:textId="483D784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VOCs, including benzene, toluene, ethylbenzene, and xylene (BTEX), were quantified using gas chromatography–mass spectrometry (GC–MS, Agilent 7890A/5975C). </w:t>
      </w:r>
      <w:r>
        <w:rPr>
          <w:rFonts w:ascii="Times New Roman" w:eastAsia="Times New Roman" w:hAnsi="Times New Roman" w:cs="Times New Roman"/>
          <w:sz w:val="24"/>
          <w:szCs w:val="24"/>
          <w:lang w:eastAsia="en-GB"/>
        </w:rPr>
        <w:t>Before</w:t>
      </w:r>
      <w:r w:rsidRPr="00DC21C7">
        <w:rPr>
          <w:rFonts w:ascii="Times New Roman" w:eastAsia="Times New Roman" w:hAnsi="Times New Roman" w:cs="Times New Roman"/>
          <w:sz w:val="24"/>
          <w:szCs w:val="24"/>
          <w:lang w:eastAsia="en-GB"/>
        </w:rPr>
        <w:t xml:space="preserve"> analysis, water samples were extracted with n-hexane using liquid–liquid extraction. The extracts were concentrated to 1 ml under a nitrogen stream, and 1 µl aliquots were injected into the GC–MS. A HP-5MS column (30 m × 0.25 mm × 0.25 µm) was employed with helium as carrier gas at 1 ml/min. The oven temperature was programmed from 50°C (2 min hold) to 250°C at 10°C/min. Compound identification was achieved by comparing retention times and mass spectra with reference standards. Calibration curves were prepared for each compound with correlation coefficients (R²) &gt; 0.995.</w:t>
      </w:r>
    </w:p>
    <w:p w14:paraId="11B599D8" w14:textId="77777777" w:rsidR="00DC21C7" w:rsidRPr="00DC21C7" w:rsidRDefault="00DC21C7" w:rsidP="00DC21C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2.5 Data Analysis</w:t>
      </w:r>
    </w:p>
    <w:p w14:paraId="7EDBB6AD"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Descriptive and inferential statistics were used to evaluate variations in </w:t>
      </w:r>
      <w:proofErr w:type="spellStart"/>
      <w:r w:rsidRPr="00DC21C7">
        <w:rPr>
          <w:rFonts w:ascii="Times New Roman" w:eastAsia="Times New Roman" w:hAnsi="Times New Roman" w:cs="Times New Roman"/>
          <w:sz w:val="24"/>
          <w:szCs w:val="24"/>
          <w:lang w:eastAsia="en-GB"/>
        </w:rPr>
        <w:t>physico</w:t>
      </w:r>
      <w:proofErr w:type="spellEnd"/>
      <w:r w:rsidRPr="00DC21C7">
        <w:rPr>
          <w:rFonts w:ascii="Times New Roman" w:eastAsia="Times New Roman" w:hAnsi="Times New Roman" w:cs="Times New Roman"/>
          <w:sz w:val="24"/>
          <w:szCs w:val="24"/>
          <w:lang w:eastAsia="en-GB"/>
        </w:rPr>
        <w:t xml:space="preserve">-chemical parameters and VOC concentrations across stations and seasons. Pearson correlation coefficients were computed to assess relationships between </w:t>
      </w:r>
      <w:proofErr w:type="spellStart"/>
      <w:r w:rsidRPr="00DC21C7">
        <w:rPr>
          <w:rFonts w:ascii="Times New Roman" w:eastAsia="Times New Roman" w:hAnsi="Times New Roman" w:cs="Times New Roman"/>
          <w:sz w:val="24"/>
          <w:szCs w:val="24"/>
          <w:lang w:eastAsia="en-GB"/>
        </w:rPr>
        <w:t>hydrochemical</w:t>
      </w:r>
      <w:proofErr w:type="spellEnd"/>
      <w:r w:rsidRPr="00DC21C7">
        <w:rPr>
          <w:rFonts w:ascii="Times New Roman" w:eastAsia="Times New Roman" w:hAnsi="Times New Roman" w:cs="Times New Roman"/>
          <w:sz w:val="24"/>
          <w:szCs w:val="24"/>
          <w:lang w:eastAsia="en-GB"/>
        </w:rPr>
        <w:t xml:space="preserve"> parameters and total VOCs. Spatial distribution maps were generated using ArcGIS 10.4, while results were compared with WHO (2017) and Nigerian Environmental Standards and Regulations Enforcement Agency (NESREA) limits. All statistical analyses were performed using SPSS version 25.</w:t>
      </w:r>
    </w:p>
    <w:p w14:paraId="01CE9371" w14:textId="77777777" w:rsidR="00DC21C7" w:rsidRPr="00DC21C7" w:rsidRDefault="00DC21C7" w:rsidP="00DC21C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3. Results and Discussion</w:t>
      </w:r>
    </w:p>
    <w:p w14:paraId="6CFAFE82" w14:textId="77777777" w:rsidR="00DC21C7" w:rsidRPr="00DC21C7" w:rsidRDefault="00DC21C7" w:rsidP="00DC21C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 xml:space="preserve">Table 1. </w:t>
      </w:r>
      <w:proofErr w:type="spellStart"/>
      <w:r w:rsidRPr="00DC21C7">
        <w:rPr>
          <w:rFonts w:ascii="Times New Roman" w:eastAsia="Times New Roman" w:hAnsi="Times New Roman" w:cs="Times New Roman"/>
          <w:b/>
          <w:bCs/>
          <w:sz w:val="24"/>
          <w:szCs w:val="24"/>
          <w:lang w:eastAsia="en-GB"/>
        </w:rPr>
        <w:t>Physico</w:t>
      </w:r>
      <w:proofErr w:type="spellEnd"/>
      <w:r w:rsidRPr="00DC21C7">
        <w:rPr>
          <w:rFonts w:ascii="Times New Roman" w:eastAsia="Times New Roman" w:hAnsi="Times New Roman" w:cs="Times New Roman"/>
          <w:b/>
          <w:bCs/>
          <w:sz w:val="24"/>
          <w:szCs w:val="24"/>
          <w:lang w:eastAsia="en-GB"/>
        </w:rPr>
        <w:t xml:space="preserve">-Chemical Characteristics of Surface Waters of </w:t>
      </w:r>
      <w:proofErr w:type="spellStart"/>
      <w:r w:rsidRPr="00DC21C7">
        <w:rPr>
          <w:rFonts w:ascii="Times New Roman" w:eastAsia="Times New Roman" w:hAnsi="Times New Roman" w:cs="Times New Roman"/>
          <w:b/>
          <w:bCs/>
          <w:sz w:val="24"/>
          <w:szCs w:val="24"/>
          <w:lang w:eastAsia="en-GB"/>
        </w:rPr>
        <w:t>Ogoniland</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1141"/>
        <w:gridCol w:w="381"/>
        <w:gridCol w:w="1252"/>
        <w:gridCol w:w="1285"/>
        <w:gridCol w:w="1180"/>
        <w:gridCol w:w="1352"/>
      </w:tblGrid>
      <w:tr w:rsidR="00DC21C7" w:rsidRPr="00DC21C7" w14:paraId="55D5685F" w14:textId="77777777" w:rsidTr="00DC21C7">
        <w:trPr>
          <w:tblHeader/>
          <w:tblCellSpacing w:w="15" w:type="dxa"/>
        </w:trPr>
        <w:tc>
          <w:tcPr>
            <w:tcW w:w="0" w:type="auto"/>
            <w:vAlign w:val="center"/>
            <w:hideMark/>
          </w:tcPr>
          <w:p w14:paraId="7402C4BA"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Sampling Station</w:t>
            </w:r>
          </w:p>
        </w:tc>
        <w:tc>
          <w:tcPr>
            <w:tcW w:w="0" w:type="auto"/>
            <w:vAlign w:val="center"/>
            <w:hideMark/>
          </w:tcPr>
          <w:p w14:paraId="2941FBF2"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Temp (°C)</w:t>
            </w:r>
          </w:p>
        </w:tc>
        <w:tc>
          <w:tcPr>
            <w:tcW w:w="0" w:type="auto"/>
            <w:vAlign w:val="center"/>
            <w:hideMark/>
          </w:tcPr>
          <w:p w14:paraId="636B4DCD"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pH</w:t>
            </w:r>
          </w:p>
        </w:tc>
        <w:tc>
          <w:tcPr>
            <w:tcW w:w="0" w:type="auto"/>
            <w:vAlign w:val="center"/>
            <w:hideMark/>
          </w:tcPr>
          <w:p w14:paraId="269497FA"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EC (µS/cm)</w:t>
            </w:r>
          </w:p>
        </w:tc>
        <w:tc>
          <w:tcPr>
            <w:tcW w:w="0" w:type="auto"/>
            <w:vAlign w:val="center"/>
            <w:hideMark/>
          </w:tcPr>
          <w:p w14:paraId="2D9717E1"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TDS (mg/L)</w:t>
            </w:r>
          </w:p>
        </w:tc>
        <w:tc>
          <w:tcPr>
            <w:tcW w:w="0" w:type="auto"/>
            <w:vAlign w:val="center"/>
            <w:hideMark/>
          </w:tcPr>
          <w:p w14:paraId="187BE636"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DO (mg/L)</w:t>
            </w:r>
          </w:p>
        </w:tc>
        <w:tc>
          <w:tcPr>
            <w:tcW w:w="0" w:type="auto"/>
            <w:vAlign w:val="center"/>
            <w:hideMark/>
          </w:tcPr>
          <w:p w14:paraId="643B666E"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BOD (mg/L)</w:t>
            </w:r>
          </w:p>
        </w:tc>
      </w:tr>
      <w:tr w:rsidR="00DC21C7" w:rsidRPr="00DC21C7" w14:paraId="4E2BF615" w14:textId="77777777" w:rsidTr="00DC21C7">
        <w:trPr>
          <w:tblCellSpacing w:w="15" w:type="dxa"/>
        </w:trPr>
        <w:tc>
          <w:tcPr>
            <w:tcW w:w="0" w:type="auto"/>
            <w:vAlign w:val="center"/>
            <w:hideMark/>
          </w:tcPr>
          <w:p w14:paraId="7711D941"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1 (near flare site)</w:t>
            </w:r>
          </w:p>
        </w:tc>
        <w:tc>
          <w:tcPr>
            <w:tcW w:w="0" w:type="auto"/>
            <w:vAlign w:val="center"/>
            <w:hideMark/>
          </w:tcPr>
          <w:p w14:paraId="02C87D2A"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33.2</w:t>
            </w:r>
          </w:p>
        </w:tc>
        <w:tc>
          <w:tcPr>
            <w:tcW w:w="0" w:type="auto"/>
            <w:vAlign w:val="center"/>
            <w:hideMark/>
          </w:tcPr>
          <w:p w14:paraId="6076731F"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6.3</w:t>
            </w:r>
          </w:p>
        </w:tc>
        <w:tc>
          <w:tcPr>
            <w:tcW w:w="0" w:type="auto"/>
            <w:vAlign w:val="center"/>
            <w:hideMark/>
          </w:tcPr>
          <w:p w14:paraId="3B2B5550"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890</w:t>
            </w:r>
          </w:p>
        </w:tc>
        <w:tc>
          <w:tcPr>
            <w:tcW w:w="0" w:type="auto"/>
            <w:vAlign w:val="center"/>
            <w:hideMark/>
          </w:tcPr>
          <w:p w14:paraId="0874C1DF"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460</w:t>
            </w:r>
          </w:p>
        </w:tc>
        <w:tc>
          <w:tcPr>
            <w:tcW w:w="0" w:type="auto"/>
            <w:vAlign w:val="center"/>
            <w:hideMark/>
          </w:tcPr>
          <w:p w14:paraId="023E396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4.2</w:t>
            </w:r>
          </w:p>
        </w:tc>
        <w:tc>
          <w:tcPr>
            <w:tcW w:w="0" w:type="auto"/>
            <w:vAlign w:val="center"/>
            <w:hideMark/>
          </w:tcPr>
          <w:p w14:paraId="282C7FB4"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3.8</w:t>
            </w:r>
          </w:p>
        </w:tc>
      </w:tr>
      <w:tr w:rsidR="00DC21C7" w:rsidRPr="00DC21C7" w14:paraId="304E6538" w14:textId="77777777" w:rsidTr="00DC21C7">
        <w:trPr>
          <w:tblCellSpacing w:w="15" w:type="dxa"/>
        </w:trPr>
        <w:tc>
          <w:tcPr>
            <w:tcW w:w="0" w:type="auto"/>
            <w:vAlign w:val="center"/>
            <w:hideMark/>
          </w:tcPr>
          <w:p w14:paraId="078C5E5F"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2</w:t>
            </w:r>
          </w:p>
        </w:tc>
        <w:tc>
          <w:tcPr>
            <w:tcW w:w="0" w:type="auto"/>
            <w:vAlign w:val="center"/>
            <w:hideMark/>
          </w:tcPr>
          <w:p w14:paraId="2F0D14B7"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32.6</w:t>
            </w:r>
          </w:p>
        </w:tc>
        <w:tc>
          <w:tcPr>
            <w:tcW w:w="0" w:type="auto"/>
            <w:vAlign w:val="center"/>
            <w:hideMark/>
          </w:tcPr>
          <w:p w14:paraId="23E07EC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6.5</w:t>
            </w:r>
          </w:p>
        </w:tc>
        <w:tc>
          <w:tcPr>
            <w:tcW w:w="0" w:type="auto"/>
            <w:vAlign w:val="center"/>
            <w:hideMark/>
          </w:tcPr>
          <w:p w14:paraId="766C9160"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820</w:t>
            </w:r>
          </w:p>
        </w:tc>
        <w:tc>
          <w:tcPr>
            <w:tcW w:w="0" w:type="auto"/>
            <w:vAlign w:val="center"/>
            <w:hideMark/>
          </w:tcPr>
          <w:p w14:paraId="3E11FE1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420</w:t>
            </w:r>
          </w:p>
        </w:tc>
        <w:tc>
          <w:tcPr>
            <w:tcW w:w="0" w:type="auto"/>
            <w:vAlign w:val="center"/>
            <w:hideMark/>
          </w:tcPr>
          <w:p w14:paraId="534DC00D"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4.8</w:t>
            </w:r>
          </w:p>
        </w:tc>
        <w:tc>
          <w:tcPr>
            <w:tcW w:w="0" w:type="auto"/>
            <w:vAlign w:val="center"/>
            <w:hideMark/>
          </w:tcPr>
          <w:p w14:paraId="68CD8AB0"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3.4</w:t>
            </w:r>
          </w:p>
        </w:tc>
      </w:tr>
      <w:tr w:rsidR="00DC21C7" w:rsidRPr="00DC21C7" w14:paraId="6BAA7F1A" w14:textId="77777777" w:rsidTr="00DC21C7">
        <w:trPr>
          <w:tblCellSpacing w:w="15" w:type="dxa"/>
        </w:trPr>
        <w:tc>
          <w:tcPr>
            <w:tcW w:w="0" w:type="auto"/>
            <w:vAlign w:val="center"/>
            <w:hideMark/>
          </w:tcPr>
          <w:p w14:paraId="4A8DE2AB"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3</w:t>
            </w:r>
          </w:p>
        </w:tc>
        <w:tc>
          <w:tcPr>
            <w:tcW w:w="0" w:type="auto"/>
            <w:vAlign w:val="center"/>
            <w:hideMark/>
          </w:tcPr>
          <w:p w14:paraId="403DA55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31.2</w:t>
            </w:r>
          </w:p>
        </w:tc>
        <w:tc>
          <w:tcPr>
            <w:tcW w:w="0" w:type="auto"/>
            <w:vAlign w:val="center"/>
            <w:hideMark/>
          </w:tcPr>
          <w:p w14:paraId="17FCF80A"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6.7</w:t>
            </w:r>
          </w:p>
        </w:tc>
        <w:tc>
          <w:tcPr>
            <w:tcW w:w="0" w:type="auto"/>
            <w:vAlign w:val="center"/>
            <w:hideMark/>
          </w:tcPr>
          <w:p w14:paraId="5EC44DA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710</w:t>
            </w:r>
          </w:p>
        </w:tc>
        <w:tc>
          <w:tcPr>
            <w:tcW w:w="0" w:type="auto"/>
            <w:vAlign w:val="center"/>
            <w:hideMark/>
          </w:tcPr>
          <w:p w14:paraId="2BE3FE73"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365</w:t>
            </w:r>
          </w:p>
        </w:tc>
        <w:tc>
          <w:tcPr>
            <w:tcW w:w="0" w:type="auto"/>
            <w:vAlign w:val="center"/>
            <w:hideMark/>
          </w:tcPr>
          <w:p w14:paraId="64A54224"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5.2</w:t>
            </w:r>
          </w:p>
        </w:tc>
        <w:tc>
          <w:tcPr>
            <w:tcW w:w="0" w:type="auto"/>
            <w:vAlign w:val="center"/>
            <w:hideMark/>
          </w:tcPr>
          <w:p w14:paraId="32E73A0B"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3.1</w:t>
            </w:r>
          </w:p>
        </w:tc>
      </w:tr>
      <w:tr w:rsidR="00DC21C7" w:rsidRPr="00DC21C7" w14:paraId="620AA28D" w14:textId="77777777" w:rsidTr="00DC21C7">
        <w:trPr>
          <w:tblCellSpacing w:w="15" w:type="dxa"/>
        </w:trPr>
        <w:tc>
          <w:tcPr>
            <w:tcW w:w="0" w:type="auto"/>
            <w:vAlign w:val="center"/>
            <w:hideMark/>
          </w:tcPr>
          <w:p w14:paraId="06DAF0C0"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4</w:t>
            </w:r>
          </w:p>
        </w:tc>
        <w:tc>
          <w:tcPr>
            <w:tcW w:w="0" w:type="auto"/>
            <w:vAlign w:val="center"/>
            <w:hideMark/>
          </w:tcPr>
          <w:p w14:paraId="1852A33C"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30.1</w:t>
            </w:r>
          </w:p>
        </w:tc>
        <w:tc>
          <w:tcPr>
            <w:tcW w:w="0" w:type="auto"/>
            <w:vAlign w:val="center"/>
            <w:hideMark/>
          </w:tcPr>
          <w:p w14:paraId="354CF217"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6.8</w:t>
            </w:r>
          </w:p>
        </w:tc>
        <w:tc>
          <w:tcPr>
            <w:tcW w:w="0" w:type="auto"/>
            <w:vAlign w:val="center"/>
            <w:hideMark/>
          </w:tcPr>
          <w:p w14:paraId="63F0262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600</w:t>
            </w:r>
          </w:p>
        </w:tc>
        <w:tc>
          <w:tcPr>
            <w:tcW w:w="0" w:type="auto"/>
            <w:vAlign w:val="center"/>
            <w:hideMark/>
          </w:tcPr>
          <w:p w14:paraId="0EF4C984"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300</w:t>
            </w:r>
          </w:p>
        </w:tc>
        <w:tc>
          <w:tcPr>
            <w:tcW w:w="0" w:type="auto"/>
            <w:vAlign w:val="center"/>
            <w:hideMark/>
          </w:tcPr>
          <w:p w14:paraId="5FE37F87"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5.8</w:t>
            </w:r>
          </w:p>
        </w:tc>
        <w:tc>
          <w:tcPr>
            <w:tcW w:w="0" w:type="auto"/>
            <w:vAlign w:val="center"/>
            <w:hideMark/>
          </w:tcPr>
          <w:p w14:paraId="35A04F30"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2.9</w:t>
            </w:r>
          </w:p>
        </w:tc>
      </w:tr>
      <w:tr w:rsidR="00DC21C7" w:rsidRPr="00DC21C7" w14:paraId="30C335E2" w14:textId="77777777" w:rsidTr="00DC21C7">
        <w:trPr>
          <w:tblCellSpacing w:w="15" w:type="dxa"/>
        </w:trPr>
        <w:tc>
          <w:tcPr>
            <w:tcW w:w="0" w:type="auto"/>
            <w:vAlign w:val="center"/>
            <w:hideMark/>
          </w:tcPr>
          <w:p w14:paraId="4D0AEB51"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5 (control site)</w:t>
            </w:r>
          </w:p>
        </w:tc>
        <w:tc>
          <w:tcPr>
            <w:tcW w:w="0" w:type="auto"/>
            <w:vAlign w:val="center"/>
            <w:hideMark/>
          </w:tcPr>
          <w:p w14:paraId="36F25213"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29.5</w:t>
            </w:r>
          </w:p>
        </w:tc>
        <w:tc>
          <w:tcPr>
            <w:tcW w:w="0" w:type="auto"/>
            <w:vAlign w:val="center"/>
            <w:hideMark/>
          </w:tcPr>
          <w:p w14:paraId="09437FF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7.1</w:t>
            </w:r>
          </w:p>
        </w:tc>
        <w:tc>
          <w:tcPr>
            <w:tcW w:w="0" w:type="auto"/>
            <w:vAlign w:val="center"/>
            <w:hideMark/>
          </w:tcPr>
          <w:p w14:paraId="7D90F121"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435</w:t>
            </w:r>
          </w:p>
        </w:tc>
        <w:tc>
          <w:tcPr>
            <w:tcW w:w="0" w:type="auto"/>
            <w:vAlign w:val="center"/>
            <w:hideMark/>
          </w:tcPr>
          <w:p w14:paraId="3C7F8D5A"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215</w:t>
            </w:r>
          </w:p>
        </w:tc>
        <w:tc>
          <w:tcPr>
            <w:tcW w:w="0" w:type="auto"/>
            <w:vAlign w:val="center"/>
            <w:hideMark/>
          </w:tcPr>
          <w:p w14:paraId="045E9409"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6.5</w:t>
            </w:r>
          </w:p>
        </w:tc>
        <w:tc>
          <w:tcPr>
            <w:tcW w:w="0" w:type="auto"/>
            <w:vAlign w:val="center"/>
            <w:hideMark/>
          </w:tcPr>
          <w:p w14:paraId="3B61C4AF"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2.4</w:t>
            </w:r>
          </w:p>
        </w:tc>
      </w:tr>
    </w:tbl>
    <w:p w14:paraId="589A16AF" w14:textId="65C407F1"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The </w:t>
      </w:r>
      <w:proofErr w:type="spellStart"/>
      <w:r w:rsidRPr="00DC21C7">
        <w:rPr>
          <w:rFonts w:ascii="Times New Roman" w:eastAsia="Times New Roman" w:hAnsi="Times New Roman" w:cs="Times New Roman"/>
          <w:sz w:val="24"/>
          <w:szCs w:val="24"/>
          <w:lang w:eastAsia="en-GB"/>
        </w:rPr>
        <w:t>physico</w:t>
      </w:r>
      <w:proofErr w:type="spellEnd"/>
      <w:r w:rsidRPr="00DC21C7">
        <w:rPr>
          <w:rFonts w:ascii="Times New Roman" w:eastAsia="Times New Roman" w:hAnsi="Times New Roman" w:cs="Times New Roman"/>
          <w:sz w:val="24"/>
          <w:szCs w:val="24"/>
          <w:lang w:eastAsia="en-GB"/>
        </w:rPr>
        <w:t xml:space="preserve">-chemical parameters reveal significant spatial variation among the sampling sites, largely influenced by proximity to gas flare points. Temperature values were highest at stations near the flare site (33.2°C) and decreased gradually with distance, confirming the thermal influence of gas flaring on surrounding water bodies. The elevated temperatures facilitate the </w:t>
      </w:r>
      <w:r w:rsidRPr="00DC21C7">
        <w:rPr>
          <w:rFonts w:ascii="Times New Roman" w:eastAsia="Times New Roman" w:hAnsi="Times New Roman" w:cs="Times New Roman"/>
          <w:sz w:val="24"/>
          <w:szCs w:val="24"/>
          <w:lang w:eastAsia="en-GB"/>
        </w:rPr>
        <w:lastRenderedPageBreak/>
        <w:t xml:space="preserve">volatilisation of hydrocarbons and increase </w:t>
      </w:r>
      <w:r w:rsidR="003730CA">
        <w:rPr>
          <w:rFonts w:ascii="Times New Roman" w:eastAsia="Times New Roman" w:hAnsi="Times New Roman" w:cs="Times New Roman"/>
          <w:sz w:val="24"/>
          <w:szCs w:val="24"/>
          <w:lang w:eastAsia="en-GB"/>
        </w:rPr>
        <w:t xml:space="preserve">the </w:t>
      </w:r>
      <w:r w:rsidRPr="00DC21C7">
        <w:rPr>
          <w:rFonts w:ascii="Times New Roman" w:eastAsia="Times New Roman" w:hAnsi="Times New Roman" w:cs="Times New Roman"/>
          <w:sz w:val="24"/>
          <w:szCs w:val="24"/>
          <w:lang w:eastAsia="en-GB"/>
        </w:rPr>
        <w:t xml:space="preserve">solubility of organic vapours in water. Similar thermal effects of gas flaring on ambient environments were reported by Ekpe et al. (2025) in </w:t>
      </w:r>
      <w:r w:rsidR="003730CA">
        <w:rPr>
          <w:rFonts w:ascii="Times New Roman" w:eastAsia="Times New Roman" w:hAnsi="Times New Roman" w:cs="Times New Roman"/>
          <w:sz w:val="24"/>
          <w:szCs w:val="24"/>
          <w:lang w:eastAsia="en-GB"/>
        </w:rPr>
        <w:t xml:space="preserve">the </w:t>
      </w:r>
      <w:r w:rsidRPr="00DC21C7">
        <w:rPr>
          <w:rFonts w:ascii="Times New Roman" w:eastAsia="Times New Roman" w:hAnsi="Times New Roman" w:cs="Times New Roman"/>
          <w:sz w:val="24"/>
          <w:szCs w:val="24"/>
          <w:lang w:eastAsia="en-GB"/>
        </w:rPr>
        <w:t>irrigation waters of Rivers State.</w:t>
      </w:r>
    </w:p>
    <w:p w14:paraId="2A65213A"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Electrical conductivity (EC) and total dissolved solids (TDS) showed the same decreasing trend away from the flare site, with EC ranging from 890 to 435 µS/cm and TDS from 460 to 215 mg/L. These elevated ionic concentrations near the flare site indicate increased dissolution of flue gas-derived aerosols, acid gases (SO₂, NOx), and particulate residues that alter ionic composition. A strong positive correlation (r = 0.88, p &lt; 0.01) was observed between EC and TDS, implying that both parameters are governed by similar solute-loading processes. The slightly acidic to neutral pH (6.3–7.1) suggests weak acidification, consistent with atmospheric deposition of combustion gases. This finding aligns with the work of </w:t>
      </w:r>
      <w:proofErr w:type="spellStart"/>
      <w:r w:rsidRPr="00DC21C7">
        <w:rPr>
          <w:rFonts w:ascii="Times New Roman" w:eastAsia="Times New Roman" w:hAnsi="Times New Roman" w:cs="Times New Roman"/>
          <w:sz w:val="24"/>
          <w:szCs w:val="24"/>
          <w:lang w:eastAsia="en-GB"/>
        </w:rPr>
        <w:t>Alagoa</w:t>
      </w:r>
      <w:proofErr w:type="spellEnd"/>
      <w:r w:rsidRPr="00DC21C7">
        <w:rPr>
          <w:rFonts w:ascii="Times New Roman" w:eastAsia="Times New Roman" w:hAnsi="Times New Roman" w:cs="Times New Roman"/>
          <w:sz w:val="24"/>
          <w:szCs w:val="24"/>
          <w:lang w:eastAsia="en-GB"/>
        </w:rPr>
        <w:t xml:space="preserve"> et al. (2018), who documented acidifying effects of gas flaring on aquatic systems in the Niger Delta.</w:t>
      </w:r>
    </w:p>
    <w:p w14:paraId="04B865E5"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Dissolved oxygen (DO) values ranged from 4.2 to 6.5 mg/L, with lower levels recorded at the flare-influenced stations, suggesting oxygen depletion from organic loading and hydrocarbon oxidation. The corresponding biochemical oxygen demand (BOD) ranged from 2.4 to 3.8 mg/L, indicating moderate organic pollution. A high BOD–low DO relationship reflects ongoing microbial degradation of organic pollutants, a process that intensifies under elevated temperatures and reduced water circulation. Comparable findings were reported by </w:t>
      </w: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et al. (2025), who noted that increased thermal and organic loading near gas flaring zones reduced water quality and ecological balance. Overall, Table 1 demonstrates that gas flaring alters water temperature, ionic strength, and oxygen regimes, thereby creating favourable conditions for the solubilisation and transport of VOCs.</w:t>
      </w:r>
    </w:p>
    <w:p w14:paraId="2A057D75" w14:textId="77777777" w:rsidR="00DC21C7" w:rsidRPr="00DC21C7" w:rsidRDefault="00DC21C7" w:rsidP="00DC21C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 xml:space="preserve">Table 2. Concentration of Volatile Organic Compounds (VOCs) in Surface Waters of </w:t>
      </w:r>
      <w:proofErr w:type="spellStart"/>
      <w:r w:rsidRPr="00DC21C7">
        <w:rPr>
          <w:rFonts w:ascii="Times New Roman" w:eastAsia="Times New Roman" w:hAnsi="Times New Roman" w:cs="Times New Roman"/>
          <w:b/>
          <w:bCs/>
          <w:sz w:val="24"/>
          <w:szCs w:val="24"/>
          <w:lang w:eastAsia="en-GB"/>
        </w:rPr>
        <w:t>Ogoniland</w:t>
      </w:r>
      <w:proofErr w:type="spellEnd"/>
      <w:r w:rsidRPr="00DC21C7">
        <w:rPr>
          <w:rFonts w:ascii="Times New Roman" w:eastAsia="Times New Roman" w:hAnsi="Times New Roman" w:cs="Times New Roman"/>
          <w:b/>
          <w:bCs/>
          <w:sz w:val="24"/>
          <w:szCs w:val="24"/>
          <w:lang w:eastAsia="en-GB"/>
        </w:rPr>
        <w:t xml:space="preserve"> (µg/L)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gridCol w:w="914"/>
        <w:gridCol w:w="887"/>
        <w:gridCol w:w="1447"/>
        <w:gridCol w:w="767"/>
        <w:gridCol w:w="1083"/>
        <w:gridCol w:w="2021"/>
      </w:tblGrid>
      <w:tr w:rsidR="00DC21C7" w:rsidRPr="00DC21C7" w14:paraId="319D5B9E" w14:textId="77777777" w:rsidTr="00DC21C7">
        <w:trPr>
          <w:tblHeader/>
          <w:tblCellSpacing w:w="15" w:type="dxa"/>
        </w:trPr>
        <w:tc>
          <w:tcPr>
            <w:tcW w:w="0" w:type="auto"/>
            <w:vAlign w:val="center"/>
            <w:hideMark/>
          </w:tcPr>
          <w:p w14:paraId="2FAAAF19"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Sampling Station</w:t>
            </w:r>
          </w:p>
        </w:tc>
        <w:tc>
          <w:tcPr>
            <w:tcW w:w="0" w:type="auto"/>
            <w:vAlign w:val="center"/>
            <w:hideMark/>
          </w:tcPr>
          <w:p w14:paraId="420C1166"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Benzene</w:t>
            </w:r>
          </w:p>
        </w:tc>
        <w:tc>
          <w:tcPr>
            <w:tcW w:w="0" w:type="auto"/>
            <w:vAlign w:val="center"/>
            <w:hideMark/>
          </w:tcPr>
          <w:p w14:paraId="64043C30"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Toluene</w:t>
            </w:r>
          </w:p>
        </w:tc>
        <w:tc>
          <w:tcPr>
            <w:tcW w:w="0" w:type="auto"/>
            <w:vAlign w:val="center"/>
            <w:hideMark/>
          </w:tcPr>
          <w:p w14:paraId="1185D7E1"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Ethylbenzene</w:t>
            </w:r>
          </w:p>
        </w:tc>
        <w:tc>
          <w:tcPr>
            <w:tcW w:w="0" w:type="auto"/>
            <w:vAlign w:val="center"/>
            <w:hideMark/>
          </w:tcPr>
          <w:p w14:paraId="56B78F6E"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Xylene</w:t>
            </w:r>
          </w:p>
        </w:tc>
        <w:tc>
          <w:tcPr>
            <w:tcW w:w="0" w:type="auto"/>
            <w:vAlign w:val="center"/>
            <w:hideMark/>
          </w:tcPr>
          <w:p w14:paraId="5B064DBE"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Total BTEX</w:t>
            </w:r>
          </w:p>
        </w:tc>
        <w:tc>
          <w:tcPr>
            <w:tcW w:w="0" w:type="auto"/>
            <w:vAlign w:val="center"/>
            <w:hideMark/>
          </w:tcPr>
          <w:p w14:paraId="1BE1699D" w14:textId="77777777" w:rsidR="00DC21C7" w:rsidRPr="00DC21C7" w:rsidRDefault="00DC21C7" w:rsidP="00DC21C7">
            <w:pPr>
              <w:spacing w:after="0" w:line="240" w:lineRule="auto"/>
              <w:jc w:val="both"/>
              <w:rPr>
                <w:rFonts w:ascii="Times New Roman" w:eastAsia="Times New Roman" w:hAnsi="Times New Roman" w:cs="Times New Roman"/>
                <w:b/>
                <w:bCs/>
                <w:sz w:val="24"/>
                <w:szCs w:val="24"/>
                <w:lang w:eastAsia="en-GB"/>
              </w:rPr>
            </w:pPr>
            <w:r w:rsidRPr="00DC21C7">
              <w:rPr>
                <w:rFonts w:ascii="Times New Roman" w:eastAsia="Times New Roman" w:hAnsi="Times New Roman" w:cs="Times New Roman"/>
                <w:b/>
                <w:bCs/>
                <w:sz w:val="24"/>
                <w:szCs w:val="24"/>
                <w:lang w:eastAsia="en-GB"/>
              </w:rPr>
              <w:t>WHO Limit (Total BTEX)</w:t>
            </w:r>
          </w:p>
        </w:tc>
      </w:tr>
      <w:tr w:rsidR="00DC21C7" w:rsidRPr="00DC21C7" w14:paraId="51ACF33B" w14:textId="77777777" w:rsidTr="00DC21C7">
        <w:trPr>
          <w:tblCellSpacing w:w="15" w:type="dxa"/>
        </w:trPr>
        <w:tc>
          <w:tcPr>
            <w:tcW w:w="0" w:type="auto"/>
            <w:vAlign w:val="center"/>
            <w:hideMark/>
          </w:tcPr>
          <w:p w14:paraId="7CD07CFC"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1 (near flare site)</w:t>
            </w:r>
          </w:p>
        </w:tc>
        <w:tc>
          <w:tcPr>
            <w:tcW w:w="0" w:type="auto"/>
            <w:vAlign w:val="center"/>
            <w:hideMark/>
          </w:tcPr>
          <w:p w14:paraId="6557BF6A"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11.4</w:t>
            </w:r>
          </w:p>
        </w:tc>
        <w:tc>
          <w:tcPr>
            <w:tcW w:w="0" w:type="auto"/>
            <w:vAlign w:val="center"/>
            <w:hideMark/>
          </w:tcPr>
          <w:p w14:paraId="725726B0"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6.7</w:t>
            </w:r>
          </w:p>
        </w:tc>
        <w:tc>
          <w:tcPr>
            <w:tcW w:w="0" w:type="auto"/>
            <w:vAlign w:val="center"/>
            <w:hideMark/>
          </w:tcPr>
          <w:p w14:paraId="14741E5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4.5</w:t>
            </w:r>
          </w:p>
        </w:tc>
        <w:tc>
          <w:tcPr>
            <w:tcW w:w="0" w:type="auto"/>
            <w:vAlign w:val="center"/>
            <w:hideMark/>
          </w:tcPr>
          <w:p w14:paraId="45BC680A"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3.4</w:t>
            </w:r>
          </w:p>
        </w:tc>
        <w:tc>
          <w:tcPr>
            <w:tcW w:w="0" w:type="auto"/>
            <w:vAlign w:val="center"/>
            <w:hideMark/>
          </w:tcPr>
          <w:p w14:paraId="67F0143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26.0</w:t>
            </w:r>
          </w:p>
        </w:tc>
        <w:tc>
          <w:tcPr>
            <w:tcW w:w="0" w:type="auto"/>
            <w:vAlign w:val="center"/>
            <w:hideMark/>
          </w:tcPr>
          <w:p w14:paraId="00442786"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10</w:t>
            </w:r>
          </w:p>
        </w:tc>
      </w:tr>
      <w:tr w:rsidR="00DC21C7" w:rsidRPr="00DC21C7" w14:paraId="129AF9DA" w14:textId="77777777" w:rsidTr="00DC21C7">
        <w:trPr>
          <w:tblCellSpacing w:w="15" w:type="dxa"/>
        </w:trPr>
        <w:tc>
          <w:tcPr>
            <w:tcW w:w="0" w:type="auto"/>
            <w:vAlign w:val="center"/>
            <w:hideMark/>
          </w:tcPr>
          <w:p w14:paraId="72FBF713"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2</w:t>
            </w:r>
          </w:p>
        </w:tc>
        <w:tc>
          <w:tcPr>
            <w:tcW w:w="0" w:type="auto"/>
            <w:vAlign w:val="center"/>
            <w:hideMark/>
          </w:tcPr>
          <w:p w14:paraId="4742778F"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9.6</w:t>
            </w:r>
          </w:p>
        </w:tc>
        <w:tc>
          <w:tcPr>
            <w:tcW w:w="0" w:type="auto"/>
            <w:vAlign w:val="center"/>
            <w:hideMark/>
          </w:tcPr>
          <w:p w14:paraId="5BF172E7"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5.9</w:t>
            </w:r>
          </w:p>
        </w:tc>
        <w:tc>
          <w:tcPr>
            <w:tcW w:w="0" w:type="auto"/>
            <w:vAlign w:val="center"/>
            <w:hideMark/>
          </w:tcPr>
          <w:p w14:paraId="58D1EC7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4.1</w:t>
            </w:r>
          </w:p>
        </w:tc>
        <w:tc>
          <w:tcPr>
            <w:tcW w:w="0" w:type="auto"/>
            <w:vAlign w:val="center"/>
            <w:hideMark/>
          </w:tcPr>
          <w:p w14:paraId="0869AEA9"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3.2</w:t>
            </w:r>
          </w:p>
        </w:tc>
        <w:tc>
          <w:tcPr>
            <w:tcW w:w="0" w:type="auto"/>
            <w:vAlign w:val="center"/>
            <w:hideMark/>
          </w:tcPr>
          <w:p w14:paraId="595E2E8F"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22.8</w:t>
            </w:r>
          </w:p>
        </w:tc>
        <w:tc>
          <w:tcPr>
            <w:tcW w:w="0" w:type="auto"/>
            <w:vAlign w:val="center"/>
            <w:hideMark/>
          </w:tcPr>
          <w:p w14:paraId="0D2D0163"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10</w:t>
            </w:r>
          </w:p>
        </w:tc>
      </w:tr>
      <w:tr w:rsidR="00DC21C7" w:rsidRPr="00DC21C7" w14:paraId="3AAEB561" w14:textId="77777777" w:rsidTr="00DC21C7">
        <w:trPr>
          <w:tblCellSpacing w:w="15" w:type="dxa"/>
        </w:trPr>
        <w:tc>
          <w:tcPr>
            <w:tcW w:w="0" w:type="auto"/>
            <w:vAlign w:val="center"/>
            <w:hideMark/>
          </w:tcPr>
          <w:p w14:paraId="5E6FCD3A"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3</w:t>
            </w:r>
          </w:p>
        </w:tc>
        <w:tc>
          <w:tcPr>
            <w:tcW w:w="0" w:type="auto"/>
            <w:vAlign w:val="center"/>
            <w:hideMark/>
          </w:tcPr>
          <w:p w14:paraId="02210A4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8.3</w:t>
            </w:r>
          </w:p>
        </w:tc>
        <w:tc>
          <w:tcPr>
            <w:tcW w:w="0" w:type="auto"/>
            <w:vAlign w:val="center"/>
            <w:hideMark/>
          </w:tcPr>
          <w:p w14:paraId="48942853"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5.2</w:t>
            </w:r>
          </w:p>
        </w:tc>
        <w:tc>
          <w:tcPr>
            <w:tcW w:w="0" w:type="auto"/>
            <w:vAlign w:val="center"/>
            <w:hideMark/>
          </w:tcPr>
          <w:p w14:paraId="76DBCC8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3.8</w:t>
            </w:r>
          </w:p>
        </w:tc>
        <w:tc>
          <w:tcPr>
            <w:tcW w:w="0" w:type="auto"/>
            <w:vAlign w:val="center"/>
            <w:hideMark/>
          </w:tcPr>
          <w:p w14:paraId="69420F63"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2.7</w:t>
            </w:r>
          </w:p>
        </w:tc>
        <w:tc>
          <w:tcPr>
            <w:tcW w:w="0" w:type="auto"/>
            <w:vAlign w:val="center"/>
            <w:hideMark/>
          </w:tcPr>
          <w:p w14:paraId="2655399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20.0</w:t>
            </w:r>
          </w:p>
        </w:tc>
        <w:tc>
          <w:tcPr>
            <w:tcW w:w="0" w:type="auto"/>
            <w:vAlign w:val="center"/>
            <w:hideMark/>
          </w:tcPr>
          <w:p w14:paraId="2E8EE332"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10</w:t>
            </w:r>
          </w:p>
        </w:tc>
      </w:tr>
      <w:tr w:rsidR="00DC21C7" w:rsidRPr="00DC21C7" w14:paraId="5EE1CD32" w14:textId="77777777" w:rsidTr="00DC21C7">
        <w:trPr>
          <w:tblCellSpacing w:w="15" w:type="dxa"/>
        </w:trPr>
        <w:tc>
          <w:tcPr>
            <w:tcW w:w="0" w:type="auto"/>
            <w:vAlign w:val="center"/>
            <w:hideMark/>
          </w:tcPr>
          <w:p w14:paraId="5B711743"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4</w:t>
            </w:r>
          </w:p>
        </w:tc>
        <w:tc>
          <w:tcPr>
            <w:tcW w:w="0" w:type="auto"/>
            <w:vAlign w:val="center"/>
            <w:hideMark/>
          </w:tcPr>
          <w:p w14:paraId="1C965B0E"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6.7</w:t>
            </w:r>
          </w:p>
        </w:tc>
        <w:tc>
          <w:tcPr>
            <w:tcW w:w="0" w:type="auto"/>
            <w:vAlign w:val="center"/>
            <w:hideMark/>
          </w:tcPr>
          <w:p w14:paraId="4F2FE946"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4.3</w:t>
            </w:r>
          </w:p>
        </w:tc>
        <w:tc>
          <w:tcPr>
            <w:tcW w:w="0" w:type="auto"/>
            <w:vAlign w:val="center"/>
            <w:hideMark/>
          </w:tcPr>
          <w:p w14:paraId="7C14FD50"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3.2</w:t>
            </w:r>
          </w:p>
        </w:tc>
        <w:tc>
          <w:tcPr>
            <w:tcW w:w="0" w:type="auto"/>
            <w:vAlign w:val="center"/>
            <w:hideMark/>
          </w:tcPr>
          <w:p w14:paraId="4C46F2ED"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2.3</w:t>
            </w:r>
          </w:p>
        </w:tc>
        <w:tc>
          <w:tcPr>
            <w:tcW w:w="0" w:type="auto"/>
            <w:vAlign w:val="center"/>
            <w:hideMark/>
          </w:tcPr>
          <w:p w14:paraId="58E25A8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16.5</w:t>
            </w:r>
          </w:p>
        </w:tc>
        <w:tc>
          <w:tcPr>
            <w:tcW w:w="0" w:type="auto"/>
            <w:vAlign w:val="center"/>
            <w:hideMark/>
          </w:tcPr>
          <w:p w14:paraId="7EB773C8"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10</w:t>
            </w:r>
          </w:p>
        </w:tc>
      </w:tr>
      <w:tr w:rsidR="00DC21C7" w:rsidRPr="00DC21C7" w14:paraId="270982B9" w14:textId="77777777" w:rsidTr="00DC21C7">
        <w:trPr>
          <w:tblCellSpacing w:w="15" w:type="dxa"/>
        </w:trPr>
        <w:tc>
          <w:tcPr>
            <w:tcW w:w="0" w:type="auto"/>
            <w:vAlign w:val="center"/>
            <w:hideMark/>
          </w:tcPr>
          <w:p w14:paraId="1789D5A7"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Station 5 (control site)</w:t>
            </w:r>
          </w:p>
        </w:tc>
        <w:tc>
          <w:tcPr>
            <w:tcW w:w="0" w:type="auto"/>
            <w:vAlign w:val="center"/>
            <w:hideMark/>
          </w:tcPr>
          <w:p w14:paraId="1DD61D0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3.8</w:t>
            </w:r>
          </w:p>
        </w:tc>
        <w:tc>
          <w:tcPr>
            <w:tcW w:w="0" w:type="auto"/>
            <w:vAlign w:val="center"/>
            <w:hideMark/>
          </w:tcPr>
          <w:p w14:paraId="3A2408E1"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2.9</w:t>
            </w:r>
          </w:p>
        </w:tc>
        <w:tc>
          <w:tcPr>
            <w:tcW w:w="0" w:type="auto"/>
            <w:vAlign w:val="center"/>
            <w:hideMark/>
          </w:tcPr>
          <w:p w14:paraId="13758532"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2.1</w:t>
            </w:r>
          </w:p>
        </w:tc>
        <w:tc>
          <w:tcPr>
            <w:tcW w:w="0" w:type="auto"/>
            <w:vAlign w:val="center"/>
            <w:hideMark/>
          </w:tcPr>
          <w:p w14:paraId="1E838065"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1.7</w:t>
            </w:r>
          </w:p>
        </w:tc>
        <w:tc>
          <w:tcPr>
            <w:tcW w:w="0" w:type="auto"/>
            <w:vAlign w:val="center"/>
            <w:hideMark/>
          </w:tcPr>
          <w:p w14:paraId="35E16321"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10.5</w:t>
            </w:r>
          </w:p>
        </w:tc>
        <w:tc>
          <w:tcPr>
            <w:tcW w:w="0" w:type="auto"/>
            <w:vAlign w:val="center"/>
            <w:hideMark/>
          </w:tcPr>
          <w:p w14:paraId="22A4CAEC" w14:textId="77777777" w:rsidR="00DC21C7" w:rsidRPr="00DC21C7" w:rsidRDefault="00DC21C7" w:rsidP="00DC21C7">
            <w:pPr>
              <w:spacing w:after="0"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10</w:t>
            </w:r>
          </w:p>
        </w:tc>
      </w:tr>
    </w:tbl>
    <w:p w14:paraId="24887FA4" w14:textId="58B2EF69"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The VOC data show clear spatial gradients that correspond with proximity to the gas flare site. The total BTEX concentrations ranged from 10.5 µg/L at the control site to 26.0 µg/L nearest the flare source, exceeding the World Health </w:t>
      </w:r>
      <w:r w:rsidR="003730CA">
        <w:rPr>
          <w:rFonts w:ascii="Times New Roman" w:eastAsia="Times New Roman" w:hAnsi="Times New Roman" w:cs="Times New Roman"/>
          <w:sz w:val="24"/>
          <w:szCs w:val="24"/>
          <w:lang w:eastAsia="en-GB"/>
        </w:rPr>
        <w:t>Organisation</w:t>
      </w:r>
      <w:r w:rsidRPr="00DC21C7">
        <w:rPr>
          <w:rFonts w:ascii="Times New Roman" w:eastAsia="Times New Roman" w:hAnsi="Times New Roman" w:cs="Times New Roman"/>
          <w:sz w:val="24"/>
          <w:szCs w:val="24"/>
          <w:lang w:eastAsia="en-GB"/>
        </w:rPr>
        <w:t xml:space="preserve"> (WHO, 2017) guideline limit of 10 µg/L for total BTEX in drinking water. Benzene exhibited the highest mean concentration across all stations, indicating its high volatility, atmospheric persistence, and solubility in water. This dominance pattern (benzene &gt; toluene &gt; ethylbenzene &gt; xylene) corresponds to the volatility order of these compounds and reflects similar findings from Dong et al. (2016) and Brusseau et al. (2019), who reported that aromatic hydrocarbons display strong atmospheric mobility and deposition tendencies in hydrocarbon-impacted areas.</w:t>
      </w:r>
    </w:p>
    <w:p w14:paraId="239585A1" w14:textId="621AF40C"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lastRenderedPageBreak/>
        <w:t xml:space="preserve">The significant decline in BTEX concentrations with distance from the flare point indicates atmospheric deposition and surface wash-off as the dominant transport pathways. The elevated temperature and ionic strength, as shown in Table 1, enhance the solubilisation of VOCs and facilitate their exchange between air and water phases. Statistical correlation analysis revealed a strong positive relationship between temperature and total VOC concentration (r = 0.78, p &lt; 0.05), suggesting that convective heat from flares intensifies volatilisation and subsequent recondensation of organic vapours into adjacent surface waters. These findings agree with those of </w:t>
      </w: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et al. (2025), who demonstrated similar </w:t>
      </w:r>
      <w:r w:rsidR="003730CA">
        <w:rPr>
          <w:rFonts w:ascii="Times New Roman" w:eastAsia="Times New Roman" w:hAnsi="Times New Roman" w:cs="Times New Roman"/>
          <w:sz w:val="24"/>
          <w:szCs w:val="24"/>
          <w:lang w:eastAsia="en-GB"/>
        </w:rPr>
        <w:t>temperature-VOC-VOC</w:t>
      </w:r>
      <w:r w:rsidRPr="00DC21C7">
        <w:rPr>
          <w:rFonts w:ascii="Times New Roman" w:eastAsia="Times New Roman" w:hAnsi="Times New Roman" w:cs="Times New Roman"/>
          <w:sz w:val="24"/>
          <w:szCs w:val="24"/>
          <w:lang w:eastAsia="en-GB"/>
        </w:rPr>
        <w:t>–VOC coupling in Bonny River systems.</w:t>
      </w:r>
    </w:p>
    <w:p w14:paraId="3A343D2B" w14:textId="6E81B26A"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Seasonal observations (not shown in </w:t>
      </w:r>
      <w:r w:rsidR="003730CA">
        <w:rPr>
          <w:rFonts w:ascii="Times New Roman" w:eastAsia="Times New Roman" w:hAnsi="Times New Roman" w:cs="Times New Roman"/>
          <w:sz w:val="24"/>
          <w:szCs w:val="24"/>
          <w:lang w:eastAsia="en-GB"/>
        </w:rPr>
        <w:t xml:space="preserve">the </w:t>
      </w:r>
      <w:r w:rsidRPr="00DC21C7">
        <w:rPr>
          <w:rFonts w:ascii="Times New Roman" w:eastAsia="Times New Roman" w:hAnsi="Times New Roman" w:cs="Times New Roman"/>
          <w:sz w:val="24"/>
          <w:szCs w:val="24"/>
          <w:lang w:eastAsia="en-GB"/>
        </w:rPr>
        <w:t xml:space="preserve">table) revealed higher VOC concentrations during the dry season (mean 21.7 µg/L) compared to the wet season (12.4 µg/L). The dry season accumulation reflects reduced dilution and intensified volatilisation–deposition cycling, while the wet season promotes dispersion through rainfall and runoff. This seasonal trend corroborates the work of Adeniji et al. (2017) and Ekpo et al. (2012), who found that hydrocarbon concentrations typically peak in dry periods in </w:t>
      </w:r>
      <w:r w:rsidR="003730CA">
        <w:rPr>
          <w:rFonts w:ascii="Times New Roman" w:eastAsia="Times New Roman" w:hAnsi="Times New Roman" w:cs="Times New Roman"/>
          <w:sz w:val="24"/>
          <w:szCs w:val="24"/>
          <w:lang w:eastAsia="en-GB"/>
        </w:rPr>
        <w:t xml:space="preserve">the </w:t>
      </w:r>
      <w:r w:rsidRPr="00DC21C7">
        <w:rPr>
          <w:rFonts w:ascii="Times New Roman" w:eastAsia="Times New Roman" w:hAnsi="Times New Roman" w:cs="Times New Roman"/>
          <w:sz w:val="24"/>
          <w:szCs w:val="24"/>
          <w:lang w:eastAsia="en-GB"/>
        </w:rPr>
        <w:t>Niger Delta rivers.</w:t>
      </w:r>
    </w:p>
    <w:p w14:paraId="011B5FA2"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The environmental and public health implications of these elevated VOC levels are substantial. Benzene and toluene are known carcinogens and neurotoxins; long-term exposure can result in haematological and neurological disorders. The </w:t>
      </w:r>
      <w:proofErr w:type="spellStart"/>
      <w:r w:rsidRPr="00DC21C7">
        <w:rPr>
          <w:rFonts w:ascii="Times New Roman" w:eastAsia="Times New Roman" w:hAnsi="Times New Roman" w:cs="Times New Roman"/>
          <w:sz w:val="24"/>
          <w:szCs w:val="24"/>
          <w:lang w:eastAsia="en-GB"/>
        </w:rPr>
        <w:t>bioaccumulative</w:t>
      </w:r>
      <w:proofErr w:type="spellEnd"/>
      <w:r w:rsidRPr="00DC21C7">
        <w:rPr>
          <w:rFonts w:ascii="Times New Roman" w:eastAsia="Times New Roman" w:hAnsi="Times New Roman" w:cs="Times New Roman"/>
          <w:sz w:val="24"/>
          <w:szCs w:val="24"/>
          <w:lang w:eastAsia="en-GB"/>
        </w:rPr>
        <w:t xml:space="preserve"> potential of VOCs poses risks to aquatic organisms and humans who consume fish and shellfish from these waters. Chase et al. (2013) and Chiesa et al. (2019) reported similar bioaccumulation of petroleum hydrocarbons in crustaceans and fish, linking such contamination to chronic exposure in local populations. The persistence of VOCs even at stations distant from flare sites indicates long-range atmospheric transport, consistent with findings by </w:t>
      </w:r>
      <w:proofErr w:type="spellStart"/>
      <w:r w:rsidRPr="00DC21C7">
        <w:rPr>
          <w:rFonts w:ascii="Times New Roman" w:eastAsia="Times New Roman" w:hAnsi="Times New Roman" w:cs="Times New Roman"/>
          <w:sz w:val="24"/>
          <w:szCs w:val="24"/>
          <w:lang w:eastAsia="en-GB"/>
        </w:rPr>
        <w:t>Frasson</w:t>
      </w:r>
      <w:proofErr w:type="spellEnd"/>
      <w:r w:rsidRPr="00DC21C7">
        <w:rPr>
          <w:rFonts w:ascii="Times New Roman" w:eastAsia="Times New Roman" w:hAnsi="Times New Roman" w:cs="Times New Roman"/>
          <w:sz w:val="24"/>
          <w:szCs w:val="24"/>
          <w:lang w:eastAsia="en-GB"/>
        </w:rPr>
        <w:t xml:space="preserve"> de et al. (2019), who established that hydrological and meteorological factors influence solute mobility in fluvial systems.</w:t>
      </w:r>
    </w:p>
    <w:p w14:paraId="1230887F" w14:textId="77777777" w:rsidR="00DC21C7" w:rsidRPr="00DC21C7" w:rsidRDefault="00DC21C7" w:rsidP="00DC21C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The elevated BTEX levels observed in </w:t>
      </w:r>
      <w:proofErr w:type="spellStart"/>
      <w:r w:rsidRPr="00DC21C7">
        <w:rPr>
          <w:rFonts w:ascii="Times New Roman" w:eastAsia="Times New Roman" w:hAnsi="Times New Roman" w:cs="Times New Roman"/>
          <w:sz w:val="24"/>
          <w:szCs w:val="24"/>
          <w:lang w:eastAsia="en-GB"/>
        </w:rPr>
        <w:t>Ogoniland</w:t>
      </w:r>
      <w:proofErr w:type="spellEnd"/>
      <w:r w:rsidRPr="00DC21C7">
        <w:rPr>
          <w:rFonts w:ascii="Times New Roman" w:eastAsia="Times New Roman" w:hAnsi="Times New Roman" w:cs="Times New Roman"/>
          <w:sz w:val="24"/>
          <w:szCs w:val="24"/>
          <w:lang w:eastAsia="en-GB"/>
        </w:rPr>
        <w:t xml:space="preserve"> surface waters are thus attributable to continuous gas flaring emissions, inefficient mitigation systems, and weak enforcement of environmental regulations. Akinola et al. (2019) and </w:t>
      </w:r>
      <w:proofErr w:type="spellStart"/>
      <w:r w:rsidRPr="00DC21C7">
        <w:rPr>
          <w:rFonts w:ascii="Times New Roman" w:eastAsia="Times New Roman" w:hAnsi="Times New Roman" w:cs="Times New Roman"/>
          <w:sz w:val="24"/>
          <w:szCs w:val="24"/>
          <w:lang w:eastAsia="en-GB"/>
        </w:rPr>
        <w:t>Alagoa</w:t>
      </w:r>
      <w:proofErr w:type="spellEnd"/>
      <w:r w:rsidRPr="00DC21C7">
        <w:rPr>
          <w:rFonts w:ascii="Times New Roman" w:eastAsia="Times New Roman" w:hAnsi="Times New Roman" w:cs="Times New Roman"/>
          <w:sz w:val="24"/>
          <w:szCs w:val="24"/>
          <w:lang w:eastAsia="en-GB"/>
        </w:rPr>
        <w:t xml:space="preserve"> et al. (2018) similarly identified hydrocarbon pollution in Niger Delta sediments and aquatic organisms, linking them to chronic gas flaring and petroleum discharge. The results from Table 2 confirm that VOCs from flaring activities undergo atmospheric dispersion, condensation, and subsequent deposition into surface waters, contributing to sustained contamination.</w:t>
      </w:r>
    </w:p>
    <w:p w14:paraId="05F055BA" w14:textId="46476018" w:rsidR="00DC21C7" w:rsidRPr="00DC21C7" w:rsidRDefault="00DC21C7" w:rsidP="00DC21C7">
      <w:pPr>
        <w:pStyle w:val="Heading2"/>
        <w:jc w:val="both"/>
        <w:rPr>
          <w:sz w:val="24"/>
          <w:szCs w:val="24"/>
        </w:rPr>
      </w:pPr>
      <w:r w:rsidRPr="00DC21C7">
        <w:rPr>
          <w:sz w:val="24"/>
          <w:szCs w:val="24"/>
        </w:rPr>
        <w:t xml:space="preserve">Conclusion </w:t>
      </w:r>
    </w:p>
    <w:p w14:paraId="70157671" w14:textId="5EBEA2F8" w:rsidR="00DC21C7" w:rsidRPr="00DC21C7" w:rsidRDefault="00DC21C7" w:rsidP="00DC21C7">
      <w:pPr>
        <w:pStyle w:val="NormalWeb"/>
        <w:jc w:val="both"/>
      </w:pPr>
      <w:r w:rsidRPr="00DC21C7">
        <w:t xml:space="preserve">The study investigated the </w:t>
      </w:r>
      <w:proofErr w:type="spellStart"/>
      <w:r w:rsidRPr="00DC21C7">
        <w:t>physico</w:t>
      </w:r>
      <w:proofErr w:type="spellEnd"/>
      <w:r w:rsidRPr="00DC21C7">
        <w:t xml:space="preserve">-chemical transport of volatile organic compounds (VOCs) from gas flaring into surface waters of </w:t>
      </w:r>
      <w:proofErr w:type="spellStart"/>
      <w:r w:rsidRPr="00DC21C7">
        <w:t>Ogoniland</w:t>
      </w:r>
      <w:proofErr w:type="spellEnd"/>
      <w:r w:rsidRPr="00DC21C7">
        <w:t xml:space="preserve">, Rivers State, Nigeria. It established clear evidence of pollutant mobilisation through atmospheric deposition and </w:t>
      </w:r>
      <w:proofErr w:type="spellStart"/>
      <w:r w:rsidRPr="00DC21C7">
        <w:t>hydrochemical</w:t>
      </w:r>
      <w:proofErr w:type="spellEnd"/>
      <w:r w:rsidRPr="00DC21C7">
        <w:t xml:space="preserve"> interactions. The results demonstrated that proximity to gas flare sites significantly influenced VOC concentrations, with elevated levels recorded within 500 m of active flare stacks. The observed positive correlations between temperature, electrical conductivity, and total VOCs indicate that flaring-induced thermal gradients enhance volatilisation, solubility, and transport of organic compounds into adjacent aquatic environments.</w:t>
      </w:r>
    </w:p>
    <w:p w14:paraId="026DBDE6" w14:textId="000C1BA4" w:rsidR="00DC21C7" w:rsidRDefault="00DC21C7" w:rsidP="00DC21C7">
      <w:pPr>
        <w:pStyle w:val="NormalWeb"/>
        <w:jc w:val="both"/>
      </w:pPr>
      <w:r w:rsidRPr="00DC21C7">
        <w:t xml:space="preserve">The study also revealed that the </w:t>
      </w:r>
      <w:proofErr w:type="spellStart"/>
      <w:r w:rsidRPr="00DC21C7">
        <w:t>physico</w:t>
      </w:r>
      <w:proofErr w:type="spellEnd"/>
      <w:r w:rsidRPr="00DC21C7">
        <w:t xml:space="preserve">-chemical parameters of the surface waters, including pH and dissolved oxygen, deviated from the WHO and NESREA recommended limits, especially in locations directly impacted by gas flaring. These deviations not only compromise water quality but also create conducive conditions for the transformation and persistence of </w:t>
      </w:r>
      <w:r w:rsidRPr="00DC21C7">
        <w:lastRenderedPageBreak/>
        <w:t xml:space="preserve">VOCs in the aquatic medium. The findings corroborate those of </w:t>
      </w:r>
      <w:proofErr w:type="spellStart"/>
      <w:r w:rsidRPr="00DC21C7">
        <w:t>Okpoji</w:t>
      </w:r>
      <w:proofErr w:type="spellEnd"/>
      <w:r w:rsidRPr="00DC21C7">
        <w:t xml:space="preserve"> et al. (2025), Ekpe et al. (2025), and Adeniji et al. (2017), who reported similar patterns of hydrocarbon and organic pollutant distribution in flaring-impacted and industrialised river systems.</w:t>
      </w:r>
    </w:p>
    <w:p w14:paraId="353B5D1C" w14:textId="77777777" w:rsidR="00DC21C7" w:rsidRPr="00DC21C7" w:rsidRDefault="00DC21C7" w:rsidP="00DC21C7">
      <w:pPr>
        <w:ind w:left="720" w:hanging="720"/>
        <w:jc w:val="both"/>
        <w:rPr>
          <w:rFonts w:ascii="Times New Roman" w:hAnsi="Times New Roman" w:cs="Times New Roman"/>
          <w:b/>
          <w:bCs/>
          <w:sz w:val="24"/>
          <w:szCs w:val="24"/>
        </w:rPr>
      </w:pPr>
      <w:r w:rsidRPr="00DC21C7">
        <w:rPr>
          <w:rFonts w:ascii="Times New Roman" w:hAnsi="Times New Roman" w:cs="Times New Roman"/>
          <w:b/>
          <w:bCs/>
          <w:sz w:val="24"/>
          <w:szCs w:val="24"/>
        </w:rPr>
        <w:t xml:space="preserve">References </w:t>
      </w:r>
    </w:p>
    <w:p w14:paraId="416FC0A1" w14:textId="77777777" w:rsidR="00DC21C7" w:rsidRPr="00DC21C7" w:rsidRDefault="00DC21C7" w:rsidP="00DC21C7">
      <w:pPr>
        <w:pStyle w:val="NormalWeb"/>
        <w:ind w:left="720" w:hanging="720"/>
        <w:jc w:val="both"/>
      </w:pPr>
      <w:r w:rsidRPr="00DC21C7">
        <w:t xml:space="preserve">Adeniji, A. O., Okoh, O. O., &amp; Okoh, A. I. (2017). Petroleum hydrocarbon fingerprints of water and sediment samples of Buffalo River Estuary in the Eastern Cape Province, South Africa. </w:t>
      </w:r>
      <w:r w:rsidRPr="00DC21C7">
        <w:rPr>
          <w:rStyle w:val="Emphasis"/>
        </w:rPr>
        <w:t>Journal of Analytical Methods in Chemistry, 2017</w:t>
      </w:r>
      <w:r w:rsidRPr="00DC21C7">
        <w:t>, 1–13. https://doi.org/10.1155/2017/2629365</w:t>
      </w:r>
    </w:p>
    <w:p w14:paraId="773DC8EF" w14:textId="77777777" w:rsidR="00DC21C7" w:rsidRPr="00DC21C7" w:rsidRDefault="00DC21C7" w:rsidP="00DC21C7">
      <w:pPr>
        <w:pStyle w:val="NormalWeb"/>
        <w:ind w:left="720" w:hanging="720"/>
        <w:jc w:val="both"/>
      </w:pPr>
      <w:r w:rsidRPr="00DC21C7">
        <w:t xml:space="preserve">Adeniji, A. O., Okoh, O. O., &amp; Okoh, A. I. (2017). Petroleum hydrocarbon profiles of water and sediment of Algoa Bay, Eastern Cape, South Africa. </w:t>
      </w:r>
      <w:r w:rsidRPr="00DC21C7">
        <w:rPr>
          <w:rStyle w:val="Emphasis"/>
        </w:rPr>
        <w:t>International Journal of Environmental Research and Public Health, 14</w:t>
      </w:r>
      <w:r w:rsidRPr="00DC21C7">
        <w:t>(10), 1263. https://doi.org/10.3390/ijerph14101263</w:t>
      </w:r>
    </w:p>
    <w:p w14:paraId="185280F9" w14:textId="77777777" w:rsidR="00DC21C7" w:rsidRPr="00DC21C7" w:rsidRDefault="00DC21C7" w:rsidP="00DC21C7">
      <w:pPr>
        <w:pStyle w:val="NormalWeb"/>
        <w:ind w:left="720" w:hanging="720"/>
        <w:jc w:val="both"/>
      </w:pPr>
      <w:r w:rsidRPr="00DC21C7">
        <w:t xml:space="preserve">Adeniji, O. O., Sibanda, T., &amp; Okoh, A. I. (2019). Recreational water quality status of Kidd’s Beach as determined by its physicochemical and bacteriological parameters. </w:t>
      </w:r>
      <w:proofErr w:type="spellStart"/>
      <w:r w:rsidRPr="00DC21C7">
        <w:rPr>
          <w:rStyle w:val="Emphasis"/>
        </w:rPr>
        <w:t>Heliyon</w:t>
      </w:r>
      <w:proofErr w:type="spellEnd"/>
      <w:r w:rsidRPr="00DC21C7">
        <w:rPr>
          <w:rStyle w:val="Emphasis"/>
        </w:rPr>
        <w:t>, 5</w:t>
      </w:r>
      <w:r w:rsidRPr="00DC21C7">
        <w:t>(4), e01893. https://doi.org/10.1016/j.heliyon.2019.e01893</w:t>
      </w:r>
    </w:p>
    <w:p w14:paraId="302A8595" w14:textId="77777777" w:rsidR="00DC21C7" w:rsidRPr="00DC21C7" w:rsidRDefault="00DC21C7" w:rsidP="00DC21C7">
      <w:pPr>
        <w:pStyle w:val="NormalWeb"/>
        <w:ind w:left="720" w:hanging="720"/>
        <w:jc w:val="both"/>
      </w:pPr>
      <w:r w:rsidRPr="00DC21C7">
        <w:t xml:space="preserve">Akinola, J. O., Olawusi-Peters, O. O., &amp; </w:t>
      </w:r>
      <w:proofErr w:type="spellStart"/>
      <w:r w:rsidRPr="00DC21C7">
        <w:t>Akpambang</w:t>
      </w:r>
      <w:proofErr w:type="spellEnd"/>
      <w:r w:rsidRPr="00DC21C7">
        <w:t>, V. O. E. (2019). Ecological hazards of total petroleum hydrocarbon in brackish water white shrimp (</w:t>
      </w:r>
      <w:proofErr w:type="spellStart"/>
      <w:r w:rsidRPr="00DC21C7">
        <w:rPr>
          <w:rStyle w:val="Emphasis"/>
        </w:rPr>
        <w:t>Nematopalaemon</w:t>
      </w:r>
      <w:proofErr w:type="spellEnd"/>
      <w:r w:rsidRPr="00DC21C7">
        <w:rPr>
          <w:rStyle w:val="Emphasis"/>
        </w:rPr>
        <w:t xml:space="preserve"> </w:t>
      </w:r>
      <w:proofErr w:type="spellStart"/>
      <w:r w:rsidRPr="00DC21C7">
        <w:rPr>
          <w:rStyle w:val="Emphasis"/>
        </w:rPr>
        <w:t>hastatus</w:t>
      </w:r>
      <w:proofErr w:type="spellEnd"/>
      <w:r w:rsidRPr="00DC21C7">
        <w:t xml:space="preserve">). </w:t>
      </w:r>
      <w:r w:rsidRPr="00DC21C7">
        <w:rPr>
          <w:rStyle w:val="Emphasis"/>
        </w:rPr>
        <w:t>Egyptian Journal of Aquatic Research, 45</w:t>
      </w:r>
      <w:r w:rsidRPr="00DC21C7">
        <w:t>(3), 205–210.</w:t>
      </w:r>
    </w:p>
    <w:p w14:paraId="6A5376A6" w14:textId="77777777" w:rsidR="00DC21C7" w:rsidRPr="00DC21C7" w:rsidRDefault="00DC21C7" w:rsidP="00DC21C7">
      <w:pPr>
        <w:pStyle w:val="NormalWeb"/>
        <w:ind w:left="720" w:hanging="720"/>
        <w:jc w:val="both"/>
      </w:pPr>
      <w:proofErr w:type="spellStart"/>
      <w:r w:rsidRPr="00DC21C7">
        <w:t>Alagoa</w:t>
      </w:r>
      <w:proofErr w:type="spellEnd"/>
      <w:r w:rsidRPr="00DC21C7">
        <w:t xml:space="preserve">, K., Godwin, J., </w:t>
      </w:r>
      <w:proofErr w:type="spellStart"/>
      <w:r w:rsidRPr="00DC21C7">
        <w:t>Daworiye</w:t>
      </w:r>
      <w:proofErr w:type="spellEnd"/>
      <w:r w:rsidRPr="00DC21C7">
        <w:t xml:space="preserve">, P., &amp; </w:t>
      </w:r>
      <w:proofErr w:type="spellStart"/>
      <w:r w:rsidRPr="00DC21C7">
        <w:t>Ipiteikumoh</w:t>
      </w:r>
      <w:proofErr w:type="spellEnd"/>
      <w:r w:rsidRPr="00DC21C7">
        <w:t xml:space="preserve">, B. (2018). Evaluation of total petroleum hydrocarbon (TPH) in sediments and aquatic macrophytes in the River Nun, </w:t>
      </w:r>
      <w:proofErr w:type="spellStart"/>
      <w:r w:rsidRPr="00DC21C7">
        <w:t>Amasoma</w:t>
      </w:r>
      <w:proofErr w:type="spellEnd"/>
      <w:r w:rsidRPr="00DC21C7">
        <w:t xml:space="preserve"> axis, Niger Delta, Nigeria. </w:t>
      </w:r>
      <w:r w:rsidRPr="00DC21C7">
        <w:rPr>
          <w:rStyle w:val="Emphasis"/>
        </w:rPr>
        <w:t>International Journal of Environmental and Agricultural Research, 4</w:t>
      </w:r>
      <w:r w:rsidRPr="00DC21C7">
        <w:t>(6), 63–67.</w:t>
      </w:r>
    </w:p>
    <w:p w14:paraId="1EFBB020" w14:textId="77777777" w:rsidR="00DC21C7" w:rsidRPr="00DC21C7" w:rsidRDefault="00DC21C7" w:rsidP="00DC21C7">
      <w:pPr>
        <w:spacing w:after="0"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Anarado</w:t>
      </w:r>
      <w:proofErr w:type="spellEnd"/>
      <w:r w:rsidRPr="00DC21C7">
        <w:rPr>
          <w:rFonts w:ascii="Times New Roman" w:eastAsia="Times New Roman" w:hAnsi="Times New Roman" w:cs="Times New Roman"/>
          <w:sz w:val="24"/>
          <w:szCs w:val="24"/>
          <w:lang w:eastAsia="en-GB"/>
        </w:rPr>
        <w:t xml:space="preserve">, C. J. O., </w:t>
      </w: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&amp; </w:t>
      </w:r>
      <w:proofErr w:type="spellStart"/>
      <w:r w:rsidRPr="00DC21C7">
        <w:rPr>
          <w:rFonts w:ascii="Times New Roman" w:eastAsia="Times New Roman" w:hAnsi="Times New Roman" w:cs="Times New Roman"/>
          <w:sz w:val="24"/>
          <w:szCs w:val="24"/>
          <w:lang w:eastAsia="en-GB"/>
        </w:rPr>
        <w:t>Anarado</w:t>
      </w:r>
      <w:proofErr w:type="spellEnd"/>
      <w:r w:rsidRPr="00DC21C7">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DC21C7">
        <w:rPr>
          <w:rFonts w:ascii="Times New Roman" w:eastAsia="Times New Roman" w:hAnsi="Times New Roman" w:cs="Times New Roman"/>
          <w:i/>
          <w:iCs/>
          <w:sz w:val="24"/>
          <w:szCs w:val="24"/>
          <w:lang w:eastAsia="en-GB"/>
        </w:rPr>
        <w:t>Asian Journal of Environmental &amp; Ecology, 21</w:t>
      </w:r>
      <w:r w:rsidRPr="00DC21C7">
        <w:rPr>
          <w:rFonts w:ascii="Times New Roman" w:eastAsia="Times New Roman" w:hAnsi="Times New Roman" w:cs="Times New Roman"/>
          <w:sz w:val="24"/>
          <w:szCs w:val="24"/>
          <w:lang w:eastAsia="en-GB"/>
        </w:rPr>
        <w:t>(4), 46–59.</w:t>
      </w:r>
    </w:p>
    <w:p w14:paraId="38A06BBB" w14:textId="77777777" w:rsidR="00DC21C7" w:rsidRPr="00DC21C7" w:rsidRDefault="00DC21C7" w:rsidP="00DC21C7">
      <w:pPr>
        <w:pStyle w:val="NormalWeb"/>
        <w:ind w:left="720" w:hanging="720"/>
        <w:jc w:val="both"/>
      </w:pPr>
      <w:proofErr w:type="spellStart"/>
      <w:r w:rsidRPr="00DC21C7">
        <w:t>Arzaghi</w:t>
      </w:r>
      <w:proofErr w:type="spellEnd"/>
      <w:r w:rsidRPr="00DC21C7">
        <w:t xml:space="preserve">, E., Abbassi, R., </w:t>
      </w:r>
      <w:proofErr w:type="spellStart"/>
      <w:r w:rsidRPr="00DC21C7">
        <w:t>Garaniya</w:t>
      </w:r>
      <w:proofErr w:type="spellEnd"/>
      <w:r w:rsidRPr="00DC21C7">
        <w:t xml:space="preserve">, V., Binns, J., &amp; Khan, F. (2018). An ecological risk assessment model for Arctic oil spills from subsea pipelines. </w:t>
      </w:r>
      <w:r w:rsidRPr="00DC21C7">
        <w:rPr>
          <w:rStyle w:val="Emphasis"/>
        </w:rPr>
        <w:t>Marine Pollution Bulletin, 135</w:t>
      </w:r>
      <w:r w:rsidRPr="00DC21C7">
        <w:t>, 1117–1127. https://doi.org/10.1016/j.marpolbul.2018.08.030</w:t>
      </w:r>
    </w:p>
    <w:p w14:paraId="7D51AFEF" w14:textId="51D2D1E9" w:rsidR="00DC21C7" w:rsidRPr="00DC21C7" w:rsidRDefault="00DC21C7" w:rsidP="00DC21C7">
      <w:pPr>
        <w:pStyle w:val="NormalWeb"/>
        <w:ind w:left="720" w:hanging="720"/>
        <w:jc w:val="both"/>
      </w:pPr>
      <w:r w:rsidRPr="00DC21C7">
        <w:t xml:space="preserve">Atta, H. A. (2020). Assessment and geographic </w:t>
      </w:r>
      <w:r w:rsidR="003730CA">
        <w:t>visualisation</w:t>
      </w:r>
      <w:r w:rsidRPr="00DC21C7">
        <w:t xml:space="preserve"> of </w:t>
      </w:r>
      <w:r>
        <w:t xml:space="preserve">the </w:t>
      </w:r>
      <w:r w:rsidRPr="00DC21C7">
        <w:t xml:space="preserve">salinity of </w:t>
      </w:r>
      <w:r>
        <w:t xml:space="preserve">the </w:t>
      </w:r>
      <w:r w:rsidRPr="00DC21C7">
        <w:t xml:space="preserve">Tigris and Diyala rivers in Baghdad City. </w:t>
      </w:r>
      <w:r w:rsidRPr="00DC21C7">
        <w:rPr>
          <w:rStyle w:val="Emphasis"/>
        </w:rPr>
        <w:t>Environmental Technology &amp; Innovation, 17</w:t>
      </w:r>
      <w:r w:rsidRPr="00DC21C7">
        <w:t>, 100538.</w:t>
      </w:r>
    </w:p>
    <w:p w14:paraId="41D75D35" w14:textId="77777777" w:rsidR="00DC21C7" w:rsidRPr="00DC21C7" w:rsidRDefault="00DC21C7" w:rsidP="00DC21C7">
      <w:pPr>
        <w:pStyle w:val="NormalWeb"/>
        <w:ind w:left="720" w:hanging="720"/>
        <w:jc w:val="both"/>
      </w:pPr>
      <w:r w:rsidRPr="00DC21C7">
        <w:t xml:space="preserve">Borja, Á., </w:t>
      </w:r>
      <w:proofErr w:type="spellStart"/>
      <w:r w:rsidRPr="00DC21C7">
        <w:t>Amouroux</w:t>
      </w:r>
      <w:proofErr w:type="spellEnd"/>
      <w:r w:rsidRPr="00DC21C7">
        <w:t xml:space="preserve">, D., Anschutz, P., Gómez-Gesteira, M., Uyarra, M. C., &amp; Valdés, L. (2019). The Bay of Biscay. In C. Sheppard (Ed.), </w:t>
      </w:r>
      <w:r w:rsidRPr="00DC21C7">
        <w:rPr>
          <w:rStyle w:val="Emphasis"/>
        </w:rPr>
        <w:t>World Seas: An Environmental Evaluation</w:t>
      </w:r>
      <w:r w:rsidRPr="00DC21C7">
        <w:t xml:space="preserve"> (2nd ed., pp. 113–152). Academic Press.</w:t>
      </w:r>
    </w:p>
    <w:p w14:paraId="7E1F9DFB" w14:textId="77777777" w:rsidR="00DC21C7" w:rsidRPr="00DC21C7" w:rsidRDefault="00DC21C7" w:rsidP="00DC21C7">
      <w:pPr>
        <w:pStyle w:val="NormalWeb"/>
        <w:ind w:left="720" w:hanging="720"/>
        <w:jc w:val="both"/>
      </w:pPr>
      <w:r w:rsidRPr="00DC21C7">
        <w:t xml:space="preserve">Brusseau, M. L., Matthias, A. D., Comrie, A. C., &amp; Musil, S. A. (2019). Atmospheric pollution. In M. L. Brusseau, I. L. Pepper, &amp; C. P. Gerba (Eds.), </w:t>
      </w:r>
      <w:r w:rsidRPr="00DC21C7">
        <w:rPr>
          <w:rStyle w:val="Emphasis"/>
        </w:rPr>
        <w:t>Environmental and Pollution Science</w:t>
      </w:r>
      <w:r w:rsidRPr="00DC21C7">
        <w:t xml:space="preserve"> (3rd ed., pp. 293–309). Academic Press.</w:t>
      </w:r>
    </w:p>
    <w:p w14:paraId="1DFC9D52" w14:textId="77777777" w:rsidR="00DC21C7" w:rsidRPr="00DC21C7" w:rsidRDefault="00DC21C7" w:rsidP="00DC21C7">
      <w:pPr>
        <w:pStyle w:val="NormalWeb"/>
        <w:ind w:left="720" w:hanging="720"/>
        <w:jc w:val="both"/>
      </w:pPr>
      <w:r w:rsidRPr="00DC21C7">
        <w:lastRenderedPageBreak/>
        <w:t>Chase, D. A., Edwards, D. S., Qin, G., Wages, M. R., Willming, M. M., Anderson, T. A., &amp; Maul, J. D. (2013). Bioaccumulation of petroleum hydrocarbons in fiddler crabs (</w:t>
      </w:r>
      <w:proofErr w:type="spellStart"/>
      <w:r w:rsidRPr="00DC21C7">
        <w:rPr>
          <w:rStyle w:val="Emphasis"/>
        </w:rPr>
        <w:t>Uca</w:t>
      </w:r>
      <w:proofErr w:type="spellEnd"/>
      <w:r w:rsidRPr="00DC21C7">
        <w:rPr>
          <w:rStyle w:val="Emphasis"/>
        </w:rPr>
        <w:t xml:space="preserve"> </w:t>
      </w:r>
      <w:proofErr w:type="spellStart"/>
      <w:r w:rsidRPr="00DC21C7">
        <w:rPr>
          <w:rStyle w:val="Emphasis"/>
        </w:rPr>
        <w:t>minax</w:t>
      </w:r>
      <w:proofErr w:type="spellEnd"/>
      <w:r w:rsidRPr="00DC21C7">
        <w:t xml:space="preserve">) exposed to weathered crude oil and dispersant mixtures. </w:t>
      </w:r>
      <w:r w:rsidRPr="00DC21C7">
        <w:rPr>
          <w:rStyle w:val="Emphasis"/>
        </w:rPr>
        <w:t>Science of the Total Environment, 444</w:t>
      </w:r>
      <w:r w:rsidRPr="00DC21C7">
        <w:t>, 121–127. https://doi.org/10.1016/j.scitotenv.2012.11.078</w:t>
      </w:r>
    </w:p>
    <w:p w14:paraId="7F2C256E" w14:textId="16CCF539" w:rsidR="00DC21C7" w:rsidRPr="00DC21C7" w:rsidRDefault="00DC21C7" w:rsidP="00DC21C7">
      <w:pPr>
        <w:pStyle w:val="NormalWeb"/>
        <w:ind w:left="720" w:hanging="720"/>
        <w:jc w:val="both"/>
      </w:pPr>
      <w:r w:rsidRPr="00DC21C7">
        <w:t xml:space="preserve">Chiesa, L. M., Zanardi, E., Nobile, M., </w:t>
      </w:r>
      <w:proofErr w:type="spellStart"/>
      <w:r w:rsidRPr="00DC21C7">
        <w:t>Panseri</w:t>
      </w:r>
      <w:proofErr w:type="spellEnd"/>
      <w:r w:rsidRPr="00DC21C7">
        <w:t xml:space="preserve">, S., Ferretti, E., Ghidini, S., Foschini, S., Ianieri, A., &amp; Arioli, F. (2019). Food risk </w:t>
      </w:r>
      <w:r>
        <w:t>characterisation</w:t>
      </w:r>
      <w:r w:rsidRPr="00DC21C7">
        <w:t xml:space="preserve"> from exposure to persistent organic pollutants and metals contaminating eels from an Italian lake. </w:t>
      </w:r>
      <w:r w:rsidRPr="00DC21C7">
        <w:rPr>
          <w:rStyle w:val="Emphasis"/>
        </w:rPr>
        <w:t>Food Additives &amp; Contaminants: Part A, 36</w:t>
      </w:r>
      <w:r w:rsidRPr="00DC21C7">
        <w:t>(5), 779–788. https://doi.org/10.1080/19440049.2019.1591642</w:t>
      </w:r>
    </w:p>
    <w:p w14:paraId="5BA4FA93" w14:textId="77777777" w:rsidR="00DC21C7" w:rsidRPr="00DC21C7" w:rsidRDefault="00DC21C7" w:rsidP="00DC21C7">
      <w:pPr>
        <w:pStyle w:val="NormalWeb"/>
        <w:ind w:left="720" w:hanging="720"/>
        <w:jc w:val="both"/>
      </w:pPr>
      <w:r w:rsidRPr="00DC21C7">
        <w:t xml:space="preserve">Dhamar, A., Vita, N., Hilmi, E., Piram, A., &amp; </w:t>
      </w:r>
      <w:proofErr w:type="spellStart"/>
      <w:r w:rsidRPr="00DC21C7">
        <w:t>Doumenq</w:t>
      </w:r>
      <w:proofErr w:type="spellEnd"/>
      <w:r w:rsidRPr="00DC21C7">
        <w:t xml:space="preserve">, P. (2013). Source apportionment of sedimentary hydrocarbons in the </w:t>
      </w:r>
      <w:proofErr w:type="spellStart"/>
      <w:r w:rsidRPr="00DC21C7">
        <w:t>Segara</w:t>
      </w:r>
      <w:proofErr w:type="spellEnd"/>
      <w:r w:rsidRPr="00DC21C7">
        <w:t xml:space="preserve"> </w:t>
      </w:r>
      <w:proofErr w:type="spellStart"/>
      <w:r w:rsidRPr="00DC21C7">
        <w:t>Anakan</w:t>
      </w:r>
      <w:proofErr w:type="spellEnd"/>
      <w:r w:rsidRPr="00DC21C7">
        <w:t xml:space="preserve"> Nature Reserve, Indonesia. </w:t>
      </w:r>
      <w:r w:rsidRPr="00DC21C7">
        <w:rPr>
          <w:rStyle w:val="Emphasis"/>
        </w:rPr>
        <w:t>Marine Pollution Bulletin, 74</w:t>
      </w:r>
      <w:r w:rsidRPr="00DC21C7">
        <w:t>(1), 141–148. https://doi.org/10.1016/j.marpolbul.2013.07.015</w:t>
      </w:r>
    </w:p>
    <w:p w14:paraId="632DBEEE" w14:textId="77777777" w:rsidR="00DC21C7" w:rsidRPr="00DC21C7" w:rsidRDefault="00DC21C7" w:rsidP="00DC21C7">
      <w:pPr>
        <w:pStyle w:val="NormalWeb"/>
        <w:ind w:left="720" w:hanging="720"/>
        <w:jc w:val="both"/>
      </w:pPr>
      <w:proofErr w:type="spellStart"/>
      <w:r w:rsidRPr="00DC21C7">
        <w:t>Dibofori</w:t>
      </w:r>
      <w:proofErr w:type="spellEnd"/>
      <w:r w:rsidRPr="00DC21C7">
        <w:t xml:space="preserve">-Orji, A. N., </w:t>
      </w:r>
      <w:proofErr w:type="spellStart"/>
      <w:r w:rsidRPr="00DC21C7">
        <w:t>Ihunwo</w:t>
      </w:r>
      <w:proofErr w:type="spellEnd"/>
      <w:r w:rsidRPr="00DC21C7">
        <w:t xml:space="preserve">, O., Udo, K. S., </w:t>
      </w:r>
      <w:proofErr w:type="spellStart"/>
      <w:r w:rsidRPr="00DC21C7">
        <w:t>Shahabinia</w:t>
      </w:r>
      <w:proofErr w:type="spellEnd"/>
      <w:r w:rsidRPr="00DC21C7">
        <w:t xml:space="preserve">, A. R., Onyema, M. O., &amp; Mmom, P. C. (2019). Spatial and temporal distribution and contamination assessment of heavy metals in </w:t>
      </w:r>
      <w:proofErr w:type="spellStart"/>
      <w:r w:rsidRPr="00DC21C7">
        <w:t>Woji</w:t>
      </w:r>
      <w:proofErr w:type="spellEnd"/>
      <w:r w:rsidRPr="00DC21C7">
        <w:t xml:space="preserve"> Creek. </w:t>
      </w:r>
      <w:r w:rsidRPr="00DC21C7">
        <w:rPr>
          <w:rStyle w:val="Emphasis"/>
        </w:rPr>
        <w:t>Environmental Research Communications, 1</w:t>
      </w:r>
      <w:r w:rsidRPr="00DC21C7">
        <w:t>(10), 1–10.</w:t>
      </w:r>
    </w:p>
    <w:p w14:paraId="6D028F05" w14:textId="77777777" w:rsidR="00DC21C7" w:rsidRPr="00DC21C7" w:rsidRDefault="00DC21C7" w:rsidP="00DC21C7">
      <w:pPr>
        <w:pStyle w:val="NormalWeb"/>
        <w:ind w:left="720" w:hanging="720"/>
        <w:jc w:val="both"/>
      </w:pPr>
      <w:r w:rsidRPr="00DC21C7">
        <w:t xml:space="preserve">Dong, J., Xia, X., Wang, M., Xie, H., Wen, J., &amp; Bao, Y. (2016). Effect of recurrent sediment resuspension-deposition events on bioavailability of polycyclic aromatic hydrocarbons in aquatic environments. </w:t>
      </w:r>
      <w:r w:rsidRPr="00DC21C7">
        <w:rPr>
          <w:rStyle w:val="Emphasis"/>
        </w:rPr>
        <w:t>Journal of Hydrology, 540</w:t>
      </w:r>
      <w:r w:rsidRPr="00DC21C7">
        <w:t>, 934–946.</w:t>
      </w:r>
    </w:p>
    <w:p w14:paraId="16359580"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DC21C7">
        <w:rPr>
          <w:rFonts w:ascii="Times New Roman" w:eastAsia="Times New Roman" w:hAnsi="Times New Roman" w:cs="Times New Roman"/>
          <w:sz w:val="24"/>
          <w:szCs w:val="24"/>
          <w:lang w:eastAsia="en-GB"/>
        </w:rPr>
        <w:t xml:space="preserve">Ekpe, J. E., </w:t>
      </w: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w:t>
      </w:r>
      <w:proofErr w:type="spellStart"/>
      <w:r w:rsidRPr="00DC21C7">
        <w:rPr>
          <w:rFonts w:ascii="Times New Roman" w:eastAsia="Times New Roman" w:hAnsi="Times New Roman" w:cs="Times New Roman"/>
          <w:sz w:val="24"/>
          <w:szCs w:val="24"/>
          <w:lang w:eastAsia="en-GB"/>
        </w:rPr>
        <w:t>Ekwere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Anarada</w:t>
      </w:r>
      <w:proofErr w:type="spellEnd"/>
      <w:r w:rsidRPr="00DC21C7">
        <w:rPr>
          <w:rFonts w:ascii="Times New Roman" w:eastAsia="Times New Roman" w:hAnsi="Times New Roman" w:cs="Times New Roman"/>
          <w:sz w:val="24"/>
          <w:szCs w:val="24"/>
          <w:lang w:eastAsia="en-GB"/>
        </w:rPr>
        <w:t xml:space="preserve">, C. J., </w:t>
      </w:r>
      <w:proofErr w:type="spellStart"/>
      <w:r w:rsidRPr="00DC21C7">
        <w:rPr>
          <w:rFonts w:ascii="Times New Roman" w:eastAsia="Times New Roman" w:hAnsi="Times New Roman" w:cs="Times New Roman"/>
          <w:sz w:val="24"/>
          <w:szCs w:val="24"/>
          <w:lang w:eastAsia="en-GB"/>
        </w:rPr>
        <w:t>Ewuola</w:t>
      </w:r>
      <w:proofErr w:type="spellEnd"/>
      <w:r w:rsidRPr="00DC21C7">
        <w:rPr>
          <w:rFonts w:ascii="Times New Roman" w:eastAsia="Times New Roman" w:hAnsi="Times New Roman" w:cs="Times New Roman"/>
          <w:sz w:val="24"/>
          <w:szCs w:val="24"/>
          <w:lang w:eastAsia="en-GB"/>
        </w:rPr>
        <w:t xml:space="preserve">, A. A., Ufuoma, V. O., </w:t>
      </w:r>
      <w:proofErr w:type="spellStart"/>
      <w:r w:rsidRPr="00DC21C7">
        <w:rPr>
          <w:rFonts w:ascii="Times New Roman" w:eastAsia="Times New Roman" w:hAnsi="Times New Roman" w:cs="Times New Roman"/>
          <w:sz w:val="24"/>
          <w:szCs w:val="24"/>
          <w:lang w:eastAsia="en-GB"/>
        </w:rPr>
        <w:t>Okpanachi</w:t>
      </w:r>
      <w:proofErr w:type="spellEnd"/>
      <w:r w:rsidRPr="00DC21C7">
        <w:rPr>
          <w:rFonts w:ascii="Times New Roman" w:eastAsia="Times New Roman" w:hAnsi="Times New Roman" w:cs="Times New Roman"/>
          <w:sz w:val="24"/>
          <w:szCs w:val="24"/>
          <w:lang w:eastAsia="en-GB"/>
        </w:rPr>
        <w:t xml:space="preserve">, C. B., Okonkwo, C. O., &amp; </w:t>
      </w:r>
      <w:proofErr w:type="spellStart"/>
      <w:r w:rsidRPr="00DC21C7">
        <w:rPr>
          <w:rFonts w:ascii="Times New Roman" w:eastAsia="Times New Roman" w:hAnsi="Times New Roman" w:cs="Times New Roman"/>
          <w:sz w:val="24"/>
          <w:szCs w:val="24"/>
          <w:lang w:eastAsia="en-GB"/>
        </w:rPr>
        <w:t>Obunezi</w:t>
      </w:r>
      <w:proofErr w:type="spellEnd"/>
      <w:r w:rsidRPr="00DC21C7">
        <w:rPr>
          <w:rFonts w:ascii="Times New Roman" w:eastAsia="Times New Roman" w:hAnsi="Times New Roman" w:cs="Times New Roman"/>
          <w:sz w:val="24"/>
          <w:szCs w:val="24"/>
          <w:lang w:eastAsia="en-GB"/>
        </w:rPr>
        <w:t xml:space="preserve">, O. A. (2025). </w:t>
      </w:r>
      <w:proofErr w:type="spellStart"/>
      <w:r w:rsidRPr="00DC21C7">
        <w:rPr>
          <w:rFonts w:ascii="Times New Roman" w:eastAsia="Times New Roman" w:hAnsi="Times New Roman" w:cs="Times New Roman"/>
          <w:sz w:val="24"/>
          <w:szCs w:val="24"/>
          <w:lang w:eastAsia="en-GB"/>
        </w:rPr>
        <w:t>Physico</w:t>
      </w:r>
      <w:proofErr w:type="spellEnd"/>
      <w:r w:rsidRPr="00DC21C7">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DC21C7">
        <w:rPr>
          <w:rFonts w:ascii="Times New Roman" w:eastAsia="Times New Roman" w:hAnsi="Times New Roman" w:cs="Times New Roman"/>
          <w:sz w:val="24"/>
          <w:szCs w:val="24"/>
          <w:lang w:eastAsia="en-GB"/>
        </w:rPr>
        <w:t>agro</w:t>
      </w:r>
      <w:proofErr w:type="spellEnd"/>
      <w:r w:rsidRPr="00DC21C7">
        <w:rPr>
          <w:rFonts w:ascii="Times New Roman" w:eastAsia="Times New Roman" w:hAnsi="Times New Roman" w:cs="Times New Roman"/>
          <w:sz w:val="24"/>
          <w:szCs w:val="24"/>
          <w:lang w:eastAsia="en-GB"/>
        </w:rPr>
        <w:t xml:space="preserve">-ecosystems of Rivers State, Nigeria. </w:t>
      </w:r>
      <w:proofErr w:type="spellStart"/>
      <w:r w:rsidRPr="00DC21C7">
        <w:rPr>
          <w:rFonts w:ascii="Times New Roman" w:eastAsia="Times New Roman" w:hAnsi="Times New Roman" w:cs="Times New Roman"/>
          <w:i/>
          <w:iCs/>
          <w:sz w:val="24"/>
          <w:szCs w:val="24"/>
          <w:lang w:eastAsia="en-GB"/>
        </w:rPr>
        <w:t>Palgo</w:t>
      </w:r>
      <w:proofErr w:type="spellEnd"/>
      <w:r w:rsidRPr="00DC21C7">
        <w:rPr>
          <w:rFonts w:ascii="Times New Roman" w:eastAsia="Times New Roman" w:hAnsi="Times New Roman" w:cs="Times New Roman"/>
          <w:i/>
          <w:iCs/>
          <w:sz w:val="24"/>
          <w:szCs w:val="24"/>
          <w:lang w:eastAsia="en-GB"/>
        </w:rPr>
        <w:t xml:space="preserve"> Journal of Agriculture, 9</w:t>
      </w:r>
      <w:r w:rsidRPr="00DC21C7">
        <w:rPr>
          <w:rFonts w:ascii="Times New Roman" w:eastAsia="Times New Roman" w:hAnsi="Times New Roman" w:cs="Times New Roman"/>
          <w:sz w:val="24"/>
          <w:szCs w:val="24"/>
          <w:lang w:eastAsia="en-GB"/>
        </w:rPr>
        <w:t xml:space="preserve">(2), 30–37. </w:t>
      </w:r>
      <w:r w:rsidRPr="00DC21C7">
        <w:rPr>
          <w:rFonts w:ascii="Times New Roman" w:hAnsi="Times New Roman" w:cs="Times New Roman"/>
          <w:sz w:val="24"/>
          <w:szCs w:val="24"/>
        </w:rPr>
        <w:br/>
      </w:r>
      <w:hyperlink r:id="rId6" w:history="1">
        <w:r w:rsidRPr="00DC21C7">
          <w:rPr>
            <w:rStyle w:val="Hyperlink"/>
            <w:rFonts w:ascii="Times New Roman" w:hAnsi="Times New Roman" w:cs="Times New Roman"/>
            <w:sz w:val="24"/>
            <w:szCs w:val="24"/>
            <w:shd w:val="clear" w:color="auto" w:fill="FFFFFF"/>
          </w:rPr>
          <w:t>https://doi.org/10.5281/zenodo.17148360</w:t>
        </w:r>
      </w:hyperlink>
    </w:p>
    <w:p w14:paraId="20B50B85" w14:textId="77777777" w:rsidR="00DC21C7" w:rsidRPr="00DC21C7" w:rsidRDefault="00DC21C7" w:rsidP="00DC21C7">
      <w:pPr>
        <w:pStyle w:val="NormalWeb"/>
        <w:ind w:left="720" w:hanging="720"/>
        <w:jc w:val="both"/>
      </w:pPr>
      <w:r w:rsidRPr="00DC21C7">
        <w:t xml:space="preserve">Ekpo, B. O., Oyo-Ita, O. E., Oros, D. R., &amp; Simoneit, B. R. T. (2012). Distributions and sources of polycyclic aromatic hydrocarbons in surface sediments from the Cross River Estuary, southeastern Niger Delta, Nigeria. </w:t>
      </w:r>
      <w:r w:rsidRPr="00DC21C7">
        <w:rPr>
          <w:rStyle w:val="Emphasis"/>
        </w:rPr>
        <w:t>Environmental Monitoring and Assessment, 184</w:t>
      </w:r>
      <w:r w:rsidRPr="00DC21C7">
        <w:t>(2), 1037–1047. https://doi.org/10.1007/s10661-011-2019-5</w:t>
      </w:r>
    </w:p>
    <w:p w14:paraId="5C87B3BF"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hAnsi="Times New Roman" w:cs="Times New Roman"/>
          <w:sz w:val="24"/>
          <w:szCs w:val="24"/>
        </w:rPr>
        <w:t>Ekwere</w:t>
      </w:r>
      <w:proofErr w:type="spellEnd"/>
      <w:r w:rsidRPr="00DC21C7">
        <w:rPr>
          <w:rFonts w:ascii="Times New Roman" w:hAnsi="Times New Roman" w:cs="Times New Roman"/>
          <w:sz w:val="24"/>
          <w:szCs w:val="24"/>
        </w:rPr>
        <w:t xml:space="preserve">, I. O., </w:t>
      </w:r>
      <w:proofErr w:type="spellStart"/>
      <w:r w:rsidRPr="00DC21C7">
        <w:rPr>
          <w:rFonts w:ascii="Times New Roman" w:hAnsi="Times New Roman" w:cs="Times New Roman"/>
          <w:sz w:val="24"/>
          <w:szCs w:val="24"/>
        </w:rPr>
        <w:t>Okpoji</w:t>
      </w:r>
      <w:proofErr w:type="spellEnd"/>
      <w:r w:rsidRPr="00DC21C7">
        <w:rPr>
          <w:rFonts w:ascii="Times New Roman" w:hAnsi="Times New Roman" w:cs="Times New Roman"/>
          <w:sz w:val="24"/>
          <w:szCs w:val="24"/>
        </w:rPr>
        <w:t xml:space="preserve">, A. U., </w:t>
      </w:r>
      <w:proofErr w:type="spellStart"/>
      <w:r w:rsidRPr="00DC21C7">
        <w:rPr>
          <w:rFonts w:ascii="Times New Roman" w:hAnsi="Times New Roman" w:cs="Times New Roman"/>
          <w:sz w:val="24"/>
          <w:szCs w:val="24"/>
        </w:rPr>
        <w:t>Igwegbe</w:t>
      </w:r>
      <w:proofErr w:type="spellEnd"/>
      <w:r w:rsidRPr="00DC21C7">
        <w:rPr>
          <w:rFonts w:ascii="Times New Roman" w:hAnsi="Times New Roman" w:cs="Times New Roman"/>
          <w:sz w:val="24"/>
          <w:szCs w:val="24"/>
        </w:rPr>
        <w:t xml:space="preserve">, K. C., Okonkwo, C. O., </w:t>
      </w:r>
      <w:proofErr w:type="spellStart"/>
      <w:r w:rsidRPr="00DC21C7">
        <w:rPr>
          <w:rFonts w:ascii="Times New Roman" w:hAnsi="Times New Roman" w:cs="Times New Roman"/>
          <w:sz w:val="24"/>
          <w:szCs w:val="24"/>
        </w:rPr>
        <w:t>Yekeen</w:t>
      </w:r>
      <w:proofErr w:type="spellEnd"/>
      <w:r w:rsidRPr="00DC21C7">
        <w:rPr>
          <w:rFonts w:ascii="Times New Roman" w:hAnsi="Times New Roman" w:cs="Times New Roman"/>
          <w:sz w:val="24"/>
          <w:szCs w:val="24"/>
        </w:rPr>
        <w:t xml:space="preserve">, A. A., </w:t>
      </w:r>
      <w:proofErr w:type="spellStart"/>
      <w:r w:rsidRPr="00DC21C7">
        <w:rPr>
          <w:rFonts w:ascii="Times New Roman" w:hAnsi="Times New Roman" w:cs="Times New Roman"/>
          <w:sz w:val="24"/>
          <w:szCs w:val="24"/>
        </w:rPr>
        <w:t>Obunezi</w:t>
      </w:r>
      <w:proofErr w:type="spellEnd"/>
      <w:r w:rsidRPr="00DC21C7">
        <w:rPr>
          <w:rFonts w:ascii="Times New Roman" w:hAnsi="Times New Roman" w:cs="Times New Roman"/>
          <w:sz w:val="24"/>
          <w:szCs w:val="24"/>
        </w:rPr>
        <w:t xml:space="preserve">, O. C., </w:t>
      </w:r>
      <w:proofErr w:type="spellStart"/>
      <w:r w:rsidRPr="00DC21C7">
        <w:rPr>
          <w:rFonts w:ascii="Times New Roman" w:hAnsi="Times New Roman" w:cs="Times New Roman"/>
          <w:sz w:val="24"/>
          <w:szCs w:val="24"/>
        </w:rPr>
        <w:t>Okpanachi</w:t>
      </w:r>
      <w:proofErr w:type="spellEnd"/>
      <w:r w:rsidRPr="00DC21C7">
        <w:rPr>
          <w:rFonts w:ascii="Times New Roman" w:hAnsi="Times New Roman" w:cs="Times New Roman"/>
          <w:sz w:val="24"/>
          <w:szCs w:val="24"/>
        </w:rPr>
        <w:t xml:space="preserve">, C. B., Garuba, M. H., </w:t>
      </w:r>
      <w:proofErr w:type="spellStart"/>
      <w:r w:rsidRPr="00DC21C7">
        <w:rPr>
          <w:rFonts w:ascii="Times New Roman" w:hAnsi="Times New Roman" w:cs="Times New Roman"/>
          <w:sz w:val="24"/>
          <w:szCs w:val="24"/>
        </w:rPr>
        <w:t>Ogini</w:t>
      </w:r>
      <w:proofErr w:type="spellEnd"/>
      <w:r w:rsidRPr="00DC21C7">
        <w:rPr>
          <w:rFonts w:ascii="Times New Roman" w:hAnsi="Times New Roman" w:cs="Times New Roman"/>
          <w:sz w:val="24"/>
          <w:szCs w:val="24"/>
        </w:rPr>
        <w:t xml:space="preserve">, O. R., &amp; </w:t>
      </w:r>
      <w:proofErr w:type="spellStart"/>
      <w:r w:rsidRPr="00DC21C7">
        <w:rPr>
          <w:rFonts w:ascii="Times New Roman" w:hAnsi="Times New Roman" w:cs="Times New Roman"/>
          <w:sz w:val="24"/>
          <w:szCs w:val="24"/>
        </w:rPr>
        <w:t>Odibo</w:t>
      </w:r>
      <w:proofErr w:type="spellEnd"/>
      <w:r w:rsidRPr="00DC21C7">
        <w:rPr>
          <w:rFonts w:ascii="Times New Roman" w:hAnsi="Times New Roman" w:cs="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5D079CB2"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hAnsi="Times New Roman" w:cs="Times New Roman"/>
          <w:sz w:val="24"/>
          <w:szCs w:val="24"/>
        </w:rPr>
        <w:t>Ekwere</w:t>
      </w:r>
      <w:proofErr w:type="spellEnd"/>
      <w:r w:rsidRPr="00DC21C7">
        <w:rPr>
          <w:rFonts w:ascii="Times New Roman" w:hAnsi="Times New Roman" w:cs="Times New Roman"/>
          <w:sz w:val="24"/>
          <w:szCs w:val="24"/>
        </w:rPr>
        <w:t xml:space="preserve">, I. O., </w:t>
      </w:r>
      <w:proofErr w:type="spellStart"/>
      <w:r w:rsidRPr="00DC21C7">
        <w:rPr>
          <w:rFonts w:ascii="Times New Roman" w:hAnsi="Times New Roman" w:cs="Times New Roman"/>
          <w:sz w:val="24"/>
          <w:szCs w:val="24"/>
        </w:rPr>
        <w:t>Okpoji</w:t>
      </w:r>
      <w:proofErr w:type="spellEnd"/>
      <w:r w:rsidRPr="00DC21C7">
        <w:rPr>
          <w:rFonts w:ascii="Times New Roman" w:hAnsi="Times New Roman" w:cs="Times New Roman"/>
          <w:sz w:val="24"/>
          <w:szCs w:val="24"/>
        </w:rPr>
        <w:t xml:space="preserve">, A. U., Ufuoma, V. O., Akinola, A. E., Raymond, C. A., Clement, R. O., </w:t>
      </w:r>
      <w:proofErr w:type="spellStart"/>
      <w:r w:rsidRPr="00DC21C7">
        <w:rPr>
          <w:rFonts w:ascii="Times New Roman" w:hAnsi="Times New Roman" w:cs="Times New Roman"/>
          <w:sz w:val="24"/>
          <w:szCs w:val="24"/>
        </w:rPr>
        <w:t>Alaekwe</w:t>
      </w:r>
      <w:proofErr w:type="spellEnd"/>
      <w:r w:rsidRPr="00DC21C7">
        <w:rPr>
          <w:rFonts w:ascii="Times New Roman" w:hAnsi="Times New Roman" w:cs="Times New Roman"/>
          <w:sz w:val="24"/>
          <w:szCs w:val="24"/>
        </w:rPr>
        <w:t xml:space="preserve">, I. O., </w:t>
      </w:r>
      <w:proofErr w:type="spellStart"/>
      <w:r w:rsidRPr="00DC21C7">
        <w:rPr>
          <w:rFonts w:ascii="Times New Roman" w:hAnsi="Times New Roman" w:cs="Times New Roman"/>
          <w:sz w:val="24"/>
          <w:szCs w:val="24"/>
        </w:rPr>
        <w:t>Etesin</w:t>
      </w:r>
      <w:proofErr w:type="spellEnd"/>
      <w:r w:rsidRPr="00DC21C7">
        <w:rPr>
          <w:rFonts w:ascii="Times New Roman" w:hAnsi="Times New Roman" w:cs="Times New Roman"/>
          <w:sz w:val="24"/>
          <w:szCs w:val="24"/>
        </w:rPr>
        <w:t xml:space="preserve">, M. O., &amp; </w:t>
      </w:r>
      <w:proofErr w:type="spellStart"/>
      <w:r w:rsidRPr="00DC21C7">
        <w:rPr>
          <w:rFonts w:ascii="Times New Roman" w:hAnsi="Times New Roman" w:cs="Times New Roman"/>
          <w:sz w:val="24"/>
          <w:szCs w:val="24"/>
        </w:rPr>
        <w:t>Edodi</w:t>
      </w:r>
      <w:proofErr w:type="spellEnd"/>
      <w:r w:rsidRPr="00DC21C7">
        <w:rPr>
          <w:rFonts w:ascii="Times New Roman" w:hAnsi="Times New Roman" w:cs="Times New Roman"/>
          <w:sz w:val="24"/>
          <w:szCs w:val="24"/>
        </w:rPr>
        <w:t xml:space="preserve">, I. O. (2025). </w:t>
      </w:r>
      <w:r w:rsidRPr="00DC21C7">
        <w:rPr>
          <w:rStyle w:val="Emphasis"/>
          <w:rFonts w:ascii="Times New Roman" w:hAnsi="Times New Roman" w:cs="Times New Roman"/>
          <w:sz w:val="24"/>
          <w:szCs w:val="24"/>
        </w:rPr>
        <w:t>Nutritional evaluation of Nile tilapia (Oreochromis niloticus) processed by different drying methods in Akwa Ibom State, Nigeria.</w:t>
      </w:r>
      <w:r w:rsidRPr="00DC21C7">
        <w:rPr>
          <w:rFonts w:ascii="Times New Roman" w:hAnsi="Times New Roman" w:cs="Times New Roman"/>
          <w:sz w:val="24"/>
          <w:szCs w:val="24"/>
        </w:rPr>
        <w:t xml:space="preserve"> </w:t>
      </w:r>
      <w:r w:rsidRPr="00DC21C7">
        <w:rPr>
          <w:rStyle w:val="Emphasis"/>
          <w:rFonts w:ascii="Times New Roman" w:hAnsi="Times New Roman" w:cs="Times New Roman"/>
          <w:sz w:val="24"/>
          <w:szCs w:val="24"/>
        </w:rPr>
        <w:t>Journal of Sustainable Research and Development, 1</w:t>
      </w:r>
      <w:r w:rsidRPr="00DC21C7">
        <w:rPr>
          <w:rFonts w:ascii="Times New Roman" w:hAnsi="Times New Roman" w:cs="Times New Roman"/>
          <w:sz w:val="24"/>
          <w:szCs w:val="24"/>
        </w:rPr>
        <w:t xml:space="preserve">(2), 11–17. </w:t>
      </w:r>
      <w:hyperlink r:id="rId7" w:tgtFrame="_new" w:history="1">
        <w:r w:rsidRPr="00DC21C7">
          <w:rPr>
            <w:rStyle w:val="Hyperlink"/>
            <w:rFonts w:ascii="Times New Roman" w:hAnsi="Times New Roman" w:cs="Times New Roman"/>
            <w:sz w:val="24"/>
            <w:szCs w:val="24"/>
          </w:rPr>
          <w:t>https://doi.org/10.69739/jsrd.v1i2.1033</w:t>
        </w:r>
      </w:hyperlink>
    </w:p>
    <w:p w14:paraId="0813519A" w14:textId="77777777" w:rsidR="00DC21C7" w:rsidRPr="00DC21C7" w:rsidRDefault="00DC21C7" w:rsidP="00DC21C7">
      <w:pPr>
        <w:pStyle w:val="NormalWeb"/>
        <w:ind w:left="720" w:hanging="720"/>
        <w:jc w:val="both"/>
      </w:pPr>
      <w:r w:rsidRPr="00DC21C7">
        <w:t xml:space="preserve">Farrington, J. W., &amp; Quinn, J. G. (2015). “Unresolved complex mixture” (UCM): A brief history of the term and moving beyond it. </w:t>
      </w:r>
      <w:r w:rsidRPr="00DC21C7">
        <w:rPr>
          <w:rStyle w:val="Emphasis"/>
        </w:rPr>
        <w:t>Marine Pollution Bulletin, 96</w:t>
      </w:r>
      <w:r w:rsidRPr="00DC21C7">
        <w:t>(1–2), 29–31. https://doi.org/10.1016/j.marpolbul.2015.04.039</w:t>
      </w:r>
    </w:p>
    <w:p w14:paraId="682E3ADD" w14:textId="77777777" w:rsidR="00DC21C7" w:rsidRPr="00DC21C7" w:rsidRDefault="00DC21C7" w:rsidP="00DC21C7">
      <w:pPr>
        <w:pStyle w:val="NormalWeb"/>
        <w:ind w:left="720" w:hanging="720"/>
        <w:jc w:val="both"/>
      </w:pPr>
      <w:proofErr w:type="spellStart"/>
      <w:r w:rsidRPr="00DC21C7">
        <w:lastRenderedPageBreak/>
        <w:t>Frasson</w:t>
      </w:r>
      <w:proofErr w:type="spellEnd"/>
      <w:r w:rsidRPr="00DC21C7">
        <w:t xml:space="preserve"> de, M. R. P., Pavelsky, T. M., </w:t>
      </w:r>
      <w:proofErr w:type="spellStart"/>
      <w:r w:rsidRPr="00DC21C7">
        <w:t>Fonstad</w:t>
      </w:r>
      <w:proofErr w:type="spellEnd"/>
      <w:r w:rsidRPr="00DC21C7">
        <w:t xml:space="preserve">, M. A., Durand, M. T., Allen, G. H., Schumann, G., Lion, C., Beighley, R. E., &amp; Yang, X. (2019). Global relationships between river width, slope, catchment area, meander wavelength, sinuosity, and discharge. </w:t>
      </w:r>
      <w:r w:rsidRPr="00DC21C7">
        <w:rPr>
          <w:rStyle w:val="Emphasis"/>
        </w:rPr>
        <w:t>Geophysical Research Letters, 46</w:t>
      </w:r>
      <w:r w:rsidRPr="00DC21C7">
        <w:t>(6), 3252–3262.</w:t>
      </w:r>
    </w:p>
    <w:p w14:paraId="509519C9" w14:textId="77777777" w:rsidR="00DC21C7" w:rsidRPr="00DC21C7" w:rsidRDefault="00DC21C7" w:rsidP="00DC21C7">
      <w:pPr>
        <w:spacing w:after="0"/>
        <w:ind w:left="720" w:hanging="720"/>
        <w:jc w:val="both"/>
        <w:rPr>
          <w:rFonts w:ascii="Times New Roman" w:eastAsia="Times New Roman" w:hAnsi="Times New Roman" w:cs="Times New Roman"/>
          <w:sz w:val="24"/>
          <w:szCs w:val="24"/>
        </w:rPr>
      </w:pPr>
      <w:r w:rsidRPr="00DC21C7">
        <w:rPr>
          <w:rFonts w:ascii="Times New Roman" w:hAnsi="Times New Roman" w:cs="Times New Roman"/>
          <w:sz w:val="24"/>
          <w:szCs w:val="24"/>
          <w:shd w:val="clear" w:color="auto" w:fill="F8F8F8"/>
        </w:rPr>
        <w:t xml:space="preserve">John E., E., Emah O., A., Ifiok O., E., </w:t>
      </w:r>
      <w:proofErr w:type="spellStart"/>
      <w:r w:rsidRPr="00DC21C7">
        <w:rPr>
          <w:rFonts w:ascii="Times New Roman" w:hAnsi="Times New Roman" w:cs="Times New Roman"/>
          <w:sz w:val="24"/>
          <w:szCs w:val="24"/>
          <w:shd w:val="clear" w:color="auto" w:fill="F8F8F8"/>
        </w:rPr>
        <w:t>Okpoji</w:t>
      </w:r>
      <w:proofErr w:type="spellEnd"/>
      <w:r w:rsidRPr="00DC21C7">
        <w:rPr>
          <w:rFonts w:ascii="Times New Roman" w:hAnsi="Times New Roman" w:cs="Times New Roman"/>
          <w:sz w:val="24"/>
          <w:szCs w:val="24"/>
          <w:shd w:val="clear" w:color="auto" w:fill="F8F8F8"/>
        </w:rPr>
        <w:t>, A. U., Iyam O., E., Henderson O., O., Akinola A., E., Gloria N., A., &amp; Charles N., O. (2025). Health Risk Implications of Polycyclic Aromatic Hydrocarbons in Smoked and Dried Fish Consumed in Nigeria. </w:t>
      </w:r>
      <w:r w:rsidRPr="00DC21C7">
        <w:rPr>
          <w:rFonts w:ascii="Times New Roman" w:hAnsi="Times New Roman" w:cs="Times New Roman"/>
          <w:i/>
          <w:iCs/>
          <w:sz w:val="24"/>
          <w:szCs w:val="24"/>
          <w:shd w:val="clear" w:color="auto" w:fill="F8F8F8"/>
        </w:rPr>
        <w:t>Journal of Medical Science, Biology, and Chemistry</w:t>
      </w:r>
      <w:r w:rsidRPr="00DC21C7">
        <w:rPr>
          <w:rFonts w:ascii="Times New Roman" w:hAnsi="Times New Roman" w:cs="Times New Roman"/>
          <w:sz w:val="24"/>
          <w:szCs w:val="24"/>
          <w:shd w:val="clear" w:color="auto" w:fill="F8F8F8"/>
        </w:rPr>
        <w:t>, </w:t>
      </w:r>
      <w:r w:rsidRPr="00DC21C7">
        <w:rPr>
          <w:rFonts w:ascii="Times New Roman" w:hAnsi="Times New Roman" w:cs="Times New Roman"/>
          <w:i/>
          <w:iCs/>
          <w:sz w:val="24"/>
          <w:szCs w:val="24"/>
          <w:shd w:val="clear" w:color="auto" w:fill="F8F8F8"/>
        </w:rPr>
        <w:t>2</w:t>
      </w:r>
      <w:r w:rsidRPr="00DC21C7">
        <w:rPr>
          <w:rFonts w:ascii="Times New Roman" w:hAnsi="Times New Roman" w:cs="Times New Roman"/>
          <w:sz w:val="24"/>
          <w:szCs w:val="24"/>
          <w:shd w:val="clear" w:color="auto" w:fill="F8F8F8"/>
        </w:rPr>
        <w:t>(2), 192-199. </w:t>
      </w:r>
      <w:hyperlink r:id="rId8" w:history="1">
        <w:r w:rsidRPr="00DC21C7">
          <w:rPr>
            <w:rStyle w:val="Hyperlink"/>
            <w:rFonts w:ascii="Times New Roman" w:hAnsi="Times New Roman" w:cs="Times New Roman"/>
            <w:color w:val="006798"/>
            <w:sz w:val="24"/>
            <w:szCs w:val="24"/>
            <w:shd w:val="clear" w:color="auto" w:fill="F8F8F8"/>
          </w:rPr>
          <w:t>https://doi.org/10.69739/jmsbc.v2i2.1045</w:t>
        </w:r>
      </w:hyperlink>
    </w:p>
    <w:p w14:paraId="030B0446"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w:t>
      </w:r>
      <w:proofErr w:type="spellStart"/>
      <w:r w:rsidRPr="00DC21C7">
        <w:rPr>
          <w:rFonts w:ascii="Times New Roman" w:eastAsia="Times New Roman" w:hAnsi="Times New Roman" w:cs="Times New Roman"/>
          <w:sz w:val="24"/>
          <w:szCs w:val="24"/>
          <w:lang w:eastAsia="en-GB"/>
        </w:rPr>
        <w:t>Anarado</w:t>
      </w:r>
      <w:proofErr w:type="spellEnd"/>
      <w:r w:rsidRPr="00DC21C7">
        <w:rPr>
          <w:rFonts w:ascii="Times New Roman" w:eastAsia="Times New Roman" w:hAnsi="Times New Roman" w:cs="Times New Roman"/>
          <w:sz w:val="24"/>
          <w:szCs w:val="24"/>
          <w:lang w:eastAsia="en-GB"/>
        </w:rPr>
        <w:t xml:space="preserve">, C. O., </w:t>
      </w:r>
      <w:proofErr w:type="spellStart"/>
      <w:r w:rsidRPr="00DC21C7">
        <w:rPr>
          <w:rFonts w:ascii="Times New Roman" w:eastAsia="Times New Roman" w:hAnsi="Times New Roman" w:cs="Times New Roman"/>
          <w:sz w:val="24"/>
          <w:szCs w:val="24"/>
          <w:lang w:eastAsia="en-GB"/>
        </w:rPr>
        <w:t>Mmuta</w:t>
      </w:r>
      <w:proofErr w:type="spellEnd"/>
      <w:r w:rsidRPr="00DC21C7">
        <w:rPr>
          <w:rFonts w:ascii="Times New Roman" w:eastAsia="Times New Roman" w:hAnsi="Times New Roman" w:cs="Times New Roman"/>
          <w:sz w:val="24"/>
          <w:szCs w:val="24"/>
          <w:lang w:eastAsia="en-GB"/>
        </w:rPr>
        <w:t xml:space="preserve">, E. C., </w:t>
      </w:r>
      <w:proofErr w:type="spellStart"/>
      <w:r w:rsidRPr="00DC21C7">
        <w:rPr>
          <w:rFonts w:ascii="Times New Roman" w:eastAsia="Times New Roman" w:hAnsi="Times New Roman" w:cs="Times New Roman"/>
          <w:sz w:val="24"/>
          <w:szCs w:val="24"/>
          <w:lang w:eastAsia="en-GB"/>
        </w:rPr>
        <w:t>Ekwere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Alaekwe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Odibo</w:t>
      </w:r>
      <w:proofErr w:type="spellEnd"/>
      <w:r w:rsidRPr="00DC21C7">
        <w:rPr>
          <w:rFonts w:ascii="Times New Roman" w:eastAsia="Times New Roman" w:hAnsi="Times New Roman" w:cs="Times New Roman"/>
          <w:sz w:val="24"/>
          <w:szCs w:val="24"/>
          <w:lang w:eastAsia="en-GB"/>
        </w:rPr>
        <w:t xml:space="preserve">, U. E., </w:t>
      </w:r>
      <w:proofErr w:type="spellStart"/>
      <w:r w:rsidRPr="00DC21C7">
        <w:rPr>
          <w:rFonts w:ascii="Times New Roman" w:eastAsia="Times New Roman" w:hAnsi="Times New Roman" w:cs="Times New Roman"/>
          <w:sz w:val="24"/>
          <w:szCs w:val="24"/>
          <w:lang w:eastAsia="en-GB"/>
        </w:rPr>
        <w:t>Igwegbe</w:t>
      </w:r>
      <w:proofErr w:type="spellEnd"/>
      <w:r w:rsidRPr="00DC21C7">
        <w:rPr>
          <w:rFonts w:ascii="Times New Roman" w:eastAsia="Times New Roman" w:hAnsi="Times New Roman" w:cs="Times New Roman"/>
          <w:sz w:val="24"/>
          <w:szCs w:val="24"/>
          <w:lang w:eastAsia="en-GB"/>
        </w:rPr>
        <w:t xml:space="preserve">, K. C., </w:t>
      </w:r>
      <w:proofErr w:type="spellStart"/>
      <w:r w:rsidRPr="00DC21C7">
        <w:rPr>
          <w:rFonts w:ascii="Times New Roman" w:eastAsia="Times New Roman" w:hAnsi="Times New Roman" w:cs="Times New Roman"/>
          <w:sz w:val="24"/>
          <w:szCs w:val="24"/>
          <w:lang w:eastAsia="en-GB"/>
        </w:rPr>
        <w:t>Eboj-Ajoku</w:t>
      </w:r>
      <w:proofErr w:type="spellEnd"/>
      <w:r w:rsidRPr="00DC21C7">
        <w:rPr>
          <w:rFonts w:ascii="Times New Roman" w:eastAsia="Times New Roman" w:hAnsi="Times New Roman" w:cs="Times New Roman"/>
          <w:sz w:val="24"/>
          <w:szCs w:val="24"/>
          <w:lang w:eastAsia="en-GB"/>
        </w:rPr>
        <w:t xml:space="preserve">, I. O., &amp; </w:t>
      </w:r>
      <w:proofErr w:type="spellStart"/>
      <w:r w:rsidRPr="00DC21C7">
        <w:rPr>
          <w:rFonts w:ascii="Times New Roman" w:eastAsia="Times New Roman" w:hAnsi="Times New Roman" w:cs="Times New Roman"/>
          <w:sz w:val="24"/>
          <w:szCs w:val="24"/>
          <w:lang w:eastAsia="en-GB"/>
        </w:rPr>
        <w:t>Obunezi</w:t>
      </w:r>
      <w:proofErr w:type="spellEnd"/>
      <w:r w:rsidRPr="00DC21C7">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DC21C7">
        <w:rPr>
          <w:rFonts w:ascii="Times New Roman" w:eastAsia="Times New Roman" w:hAnsi="Times New Roman" w:cs="Times New Roman"/>
          <w:i/>
          <w:iCs/>
          <w:sz w:val="24"/>
          <w:szCs w:val="24"/>
          <w:lang w:eastAsia="en-GB"/>
        </w:rPr>
        <w:t>Journal of Life Science and Public Health, 1</w:t>
      </w:r>
      <w:r w:rsidRPr="00DC21C7">
        <w:rPr>
          <w:rFonts w:ascii="Times New Roman" w:eastAsia="Times New Roman" w:hAnsi="Times New Roman" w:cs="Times New Roman"/>
          <w:sz w:val="24"/>
          <w:szCs w:val="24"/>
          <w:lang w:eastAsia="en-GB"/>
        </w:rPr>
        <w:t xml:space="preserve">(1), 24–31. </w:t>
      </w:r>
      <w:hyperlink r:id="rId9" w:tgtFrame="_new" w:history="1">
        <w:r w:rsidRPr="00DC21C7">
          <w:rPr>
            <w:rFonts w:ascii="Times New Roman" w:eastAsia="Times New Roman" w:hAnsi="Times New Roman" w:cs="Times New Roman"/>
            <w:color w:val="0000FF"/>
            <w:sz w:val="24"/>
            <w:szCs w:val="24"/>
            <w:u w:val="single"/>
            <w:lang w:eastAsia="en-GB"/>
          </w:rPr>
          <w:t>https://doi.org/10.69739/jlsph.v1i1.879</w:t>
        </w:r>
      </w:hyperlink>
    </w:p>
    <w:p w14:paraId="58AF9325"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Chinyere, U. E., </w:t>
      </w:r>
      <w:proofErr w:type="spellStart"/>
      <w:r w:rsidRPr="00DC21C7">
        <w:rPr>
          <w:rFonts w:ascii="Times New Roman" w:eastAsia="Times New Roman" w:hAnsi="Times New Roman" w:cs="Times New Roman"/>
          <w:sz w:val="24"/>
          <w:szCs w:val="24"/>
          <w:lang w:eastAsia="en-GB"/>
        </w:rPr>
        <w:t>Nwokoye</w:t>
      </w:r>
      <w:proofErr w:type="spellEnd"/>
      <w:r w:rsidRPr="00DC21C7">
        <w:rPr>
          <w:rFonts w:ascii="Times New Roman" w:eastAsia="Times New Roman" w:hAnsi="Times New Roman" w:cs="Times New Roman"/>
          <w:sz w:val="24"/>
          <w:szCs w:val="24"/>
          <w:lang w:eastAsia="en-GB"/>
        </w:rPr>
        <w:t xml:space="preserve">, J. N., </w:t>
      </w:r>
      <w:proofErr w:type="spellStart"/>
      <w:r w:rsidRPr="00DC21C7">
        <w:rPr>
          <w:rFonts w:ascii="Times New Roman" w:eastAsia="Times New Roman" w:hAnsi="Times New Roman" w:cs="Times New Roman"/>
          <w:sz w:val="24"/>
          <w:szCs w:val="24"/>
          <w:lang w:eastAsia="en-GB"/>
        </w:rPr>
        <w:t>Ezekwuemen</w:t>
      </w:r>
      <w:proofErr w:type="spellEnd"/>
      <w:r w:rsidRPr="00DC21C7">
        <w:rPr>
          <w:rFonts w:ascii="Times New Roman" w:eastAsia="Times New Roman" w:hAnsi="Times New Roman" w:cs="Times New Roman"/>
          <w:sz w:val="24"/>
          <w:szCs w:val="24"/>
          <w:lang w:eastAsia="en-GB"/>
        </w:rPr>
        <w:t xml:space="preserve">, O. I., </w:t>
      </w:r>
      <w:proofErr w:type="spellStart"/>
      <w:r w:rsidRPr="00DC21C7">
        <w:rPr>
          <w:rFonts w:ascii="Times New Roman" w:eastAsia="Times New Roman" w:hAnsi="Times New Roman" w:cs="Times New Roman"/>
          <w:sz w:val="24"/>
          <w:szCs w:val="24"/>
          <w:lang w:eastAsia="en-GB"/>
        </w:rPr>
        <w:t>Alaekwe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Odidika</w:t>
      </w:r>
      <w:proofErr w:type="spellEnd"/>
      <w:r w:rsidRPr="00DC21C7">
        <w:rPr>
          <w:rFonts w:ascii="Times New Roman" w:eastAsia="Times New Roman" w:hAnsi="Times New Roman" w:cs="Times New Roman"/>
          <w:sz w:val="24"/>
          <w:szCs w:val="24"/>
          <w:lang w:eastAsia="en-GB"/>
        </w:rPr>
        <w:t xml:space="preserve">, C. C., </w:t>
      </w:r>
      <w:proofErr w:type="spellStart"/>
      <w:r w:rsidRPr="00DC21C7">
        <w:rPr>
          <w:rFonts w:ascii="Times New Roman" w:eastAsia="Times New Roman" w:hAnsi="Times New Roman" w:cs="Times New Roman"/>
          <w:sz w:val="24"/>
          <w:szCs w:val="24"/>
          <w:lang w:eastAsia="en-GB"/>
        </w:rPr>
        <w:t>Owughara</w:t>
      </w:r>
      <w:proofErr w:type="spellEnd"/>
      <w:r w:rsidRPr="00DC21C7">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DC21C7">
        <w:rPr>
          <w:rFonts w:ascii="Times New Roman" w:eastAsia="Times New Roman" w:hAnsi="Times New Roman" w:cs="Times New Roman"/>
          <w:i/>
          <w:iCs/>
          <w:sz w:val="24"/>
          <w:szCs w:val="24"/>
          <w:lang w:eastAsia="en-GB"/>
        </w:rPr>
        <w:t>International Journal of Modern Science and Research Technology, 3</w:t>
      </w:r>
      <w:r w:rsidRPr="00DC21C7">
        <w:rPr>
          <w:rFonts w:ascii="Times New Roman" w:eastAsia="Times New Roman" w:hAnsi="Times New Roman" w:cs="Times New Roman"/>
          <w:sz w:val="24"/>
          <w:szCs w:val="24"/>
          <w:lang w:eastAsia="en-GB"/>
        </w:rPr>
        <w:t xml:space="preserve">(8), 22–30. </w:t>
      </w:r>
      <w:hyperlink r:id="rId10" w:tgtFrame="_new" w:history="1">
        <w:r w:rsidRPr="00DC21C7">
          <w:rPr>
            <w:rFonts w:ascii="Times New Roman" w:eastAsia="Times New Roman" w:hAnsi="Times New Roman" w:cs="Times New Roman"/>
            <w:color w:val="0000FF"/>
            <w:sz w:val="24"/>
            <w:szCs w:val="24"/>
            <w:u w:val="single"/>
            <w:lang w:eastAsia="en-GB"/>
          </w:rPr>
          <w:t>http://www.ijmsrt.com</w:t>
        </w:r>
      </w:hyperlink>
    </w:p>
    <w:p w14:paraId="62ACE89B"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Eboh-Ajoku, I. O., </w:t>
      </w:r>
      <w:proofErr w:type="spellStart"/>
      <w:r w:rsidRPr="00DC21C7">
        <w:rPr>
          <w:rFonts w:ascii="Times New Roman" w:eastAsia="Times New Roman" w:hAnsi="Times New Roman" w:cs="Times New Roman"/>
          <w:sz w:val="24"/>
          <w:szCs w:val="24"/>
          <w:lang w:eastAsia="en-GB"/>
        </w:rPr>
        <w:t>Mmuta</w:t>
      </w:r>
      <w:proofErr w:type="spellEnd"/>
      <w:r w:rsidRPr="00DC21C7">
        <w:rPr>
          <w:rFonts w:ascii="Times New Roman" w:eastAsia="Times New Roman" w:hAnsi="Times New Roman" w:cs="Times New Roman"/>
          <w:sz w:val="24"/>
          <w:szCs w:val="24"/>
          <w:lang w:eastAsia="en-GB"/>
        </w:rPr>
        <w:t xml:space="preserve">, E. C., Ndubuisi, J. O., </w:t>
      </w:r>
      <w:proofErr w:type="spellStart"/>
      <w:r w:rsidRPr="00DC21C7">
        <w:rPr>
          <w:rFonts w:ascii="Times New Roman" w:eastAsia="Times New Roman" w:hAnsi="Times New Roman" w:cs="Times New Roman"/>
          <w:sz w:val="24"/>
          <w:szCs w:val="24"/>
          <w:lang w:eastAsia="en-GB"/>
        </w:rPr>
        <w:t>Alaekwe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Odibo</w:t>
      </w:r>
      <w:proofErr w:type="spellEnd"/>
      <w:r w:rsidRPr="00DC21C7">
        <w:rPr>
          <w:rFonts w:ascii="Times New Roman" w:eastAsia="Times New Roman" w:hAnsi="Times New Roman" w:cs="Times New Roman"/>
          <w:sz w:val="24"/>
          <w:szCs w:val="24"/>
          <w:lang w:eastAsia="en-GB"/>
        </w:rPr>
        <w:t xml:space="preserve">, U. E., </w:t>
      </w:r>
      <w:proofErr w:type="spellStart"/>
      <w:r w:rsidRPr="00DC21C7">
        <w:rPr>
          <w:rFonts w:ascii="Times New Roman" w:eastAsia="Times New Roman" w:hAnsi="Times New Roman" w:cs="Times New Roman"/>
          <w:sz w:val="24"/>
          <w:szCs w:val="24"/>
          <w:lang w:eastAsia="en-GB"/>
        </w:rPr>
        <w:t>Nwoka</w:t>
      </w:r>
      <w:proofErr w:type="spellEnd"/>
      <w:r w:rsidRPr="00DC21C7">
        <w:rPr>
          <w:rFonts w:ascii="Times New Roman" w:eastAsia="Times New Roman" w:hAnsi="Times New Roman" w:cs="Times New Roman"/>
          <w:sz w:val="24"/>
          <w:szCs w:val="24"/>
          <w:lang w:eastAsia="en-GB"/>
        </w:rPr>
        <w:t xml:space="preserve">, N. G., Okafor, C. A., &amp; </w:t>
      </w:r>
      <w:proofErr w:type="spellStart"/>
      <w:r w:rsidRPr="00DC21C7">
        <w:rPr>
          <w:rFonts w:ascii="Times New Roman" w:eastAsia="Times New Roman" w:hAnsi="Times New Roman" w:cs="Times New Roman"/>
          <w:sz w:val="24"/>
          <w:szCs w:val="24"/>
          <w:lang w:eastAsia="en-GB"/>
        </w:rPr>
        <w:t>Obunezi</w:t>
      </w:r>
      <w:proofErr w:type="spellEnd"/>
      <w:r w:rsidRPr="00DC21C7">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DC21C7">
        <w:rPr>
          <w:rFonts w:ascii="Times New Roman" w:eastAsia="Times New Roman" w:hAnsi="Times New Roman" w:cs="Times New Roman"/>
          <w:i/>
          <w:iCs/>
          <w:sz w:val="24"/>
          <w:szCs w:val="24"/>
          <w:lang w:eastAsia="en-GB"/>
        </w:rPr>
        <w:t>ISA Journal of Multidisciplinary (ISAJM), 2</w:t>
      </w:r>
      <w:r w:rsidRPr="00DC21C7">
        <w:rPr>
          <w:rFonts w:ascii="Times New Roman" w:eastAsia="Times New Roman" w:hAnsi="Times New Roman" w:cs="Times New Roman"/>
          <w:sz w:val="24"/>
          <w:szCs w:val="24"/>
          <w:lang w:eastAsia="en-GB"/>
        </w:rPr>
        <w:t>(4), 14–21.</w:t>
      </w:r>
    </w:p>
    <w:p w14:paraId="1E645DF3"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w:t>
      </w:r>
      <w:proofErr w:type="spellStart"/>
      <w:r w:rsidRPr="00DC21C7">
        <w:rPr>
          <w:rFonts w:ascii="Times New Roman" w:eastAsia="Times New Roman" w:hAnsi="Times New Roman" w:cs="Times New Roman"/>
          <w:sz w:val="24"/>
          <w:szCs w:val="24"/>
          <w:lang w:eastAsia="en-GB"/>
        </w:rPr>
        <w:t>Ekwere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Igwegbe</w:t>
      </w:r>
      <w:proofErr w:type="spellEnd"/>
      <w:r w:rsidRPr="00DC21C7">
        <w:rPr>
          <w:rFonts w:ascii="Times New Roman" w:eastAsia="Times New Roman" w:hAnsi="Times New Roman" w:cs="Times New Roman"/>
          <w:sz w:val="24"/>
          <w:szCs w:val="24"/>
          <w:lang w:eastAsia="en-GB"/>
        </w:rPr>
        <w:t xml:space="preserve">, K. C., </w:t>
      </w:r>
      <w:proofErr w:type="spellStart"/>
      <w:r w:rsidRPr="00DC21C7">
        <w:rPr>
          <w:rFonts w:ascii="Times New Roman" w:eastAsia="Times New Roman" w:hAnsi="Times New Roman" w:cs="Times New Roman"/>
          <w:sz w:val="24"/>
          <w:szCs w:val="24"/>
          <w:lang w:eastAsia="en-GB"/>
        </w:rPr>
        <w:t>Anarado</w:t>
      </w:r>
      <w:proofErr w:type="spellEnd"/>
      <w:r w:rsidRPr="00DC21C7">
        <w:rPr>
          <w:rFonts w:ascii="Times New Roman" w:eastAsia="Times New Roman" w:hAnsi="Times New Roman" w:cs="Times New Roman"/>
          <w:sz w:val="24"/>
          <w:szCs w:val="24"/>
          <w:lang w:eastAsia="en-GB"/>
        </w:rPr>
        <w:t xml:space="preserve">, C. J. O., Ogbonna, C., </w:t>
      </w:r>
      <w:proofErr w:type="spellStart"/>
      <w:r w:rsidRPr="00DC21C7">
        <w:rPr>
          <w:rFonts w:ascii="Times New Roman" w:eastAsia="Times New Roman" w:hAnsi="Times New Roman" w:cs="Times New Roman"/>
          <w:sz w:val="24"/>
          <w:szCs w:val="24"/>
          <w:lang w:eastAsia="en-GB"/>
        </w:rPr>
        <w:t>Ewuola</w:t>
      </w:r>
      <w:proofErr w:type="spellEnd"/>
      <w:r w:rsidRPr="00DC21C7">
        <w:rPr>
          <w:rFonts w:ascii="Times New Roman" w:eastAsia="Times New Roman" w:hAnsi="Times New Roman" w:cs="Times New Roman"/>
          <w:sz w:val="24"/>
          <w:szCs w:val="24"/>
          <w:lang w:eastAsia="en-GB"/>
        </w:rPr>
        <w:t xml:space="preserve">, A. A., </w:t>
      </w:r>
      <w:proofErr w:type="spellStart"/>
      <w:r w:rsidRPr="00DC21C7">
        <w:rPr>
          <w:rFonts w:ascii="Times New Roman" w:eastAsia="Times New Roman" w:hAnsi="Times New Roman" w:cs="Times New Roman"/>
          <w:sz w:val="24"/>
          <w:szCs w:val="24"/>
          <w:lang w:eastAsia="en-GB"/>
        </w:rPr>
        <w:t>Odibo</w:t>
      </w:r>
      <w:proofErr w:type="spellEnd"/>
      <w:r w:rsidRPr="00DC21C7">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DC21C7">
        <w:rPr>
          <w:rFonts w:ascii="Times New Roman" w:eastAsia="Times New Roman" w:hAnsi="Times New Roman" w:cs="Times New Roman"/>
          <w:i/>
          <w:iCs/>
          <w:sz w:val="24"/>
          <w:szCs w:val="24"/>
          <w:lang w:eastAsia="en-GB"/>
        </w:rPr>
        <w:t>Journal of Life Science and Public Health, 1</w:t>
      </w:r>
      <w:r w:rsidRPr="00DC21C7">
        <w:rPr>
          <w:rFonts w:ascii="Times New Roman" w:eastAsia="Times New Roman" w:hAnsi="Times New Roman" w:cs="Times New Roman"/>
          <w:sz w:val="24"/>
          <w:szCs w:val="24"/>
          <w:lang w:eastAsia="en-GB"/>
        </w:rPr>
        <w:t xml:space="preserve">(1), 32–39. </w:t>
      </w:r>
      <w:hyperlink r:id="rId11" w:tgtFrame="_new" w:history="1">
        <w:r w:rsidRPr="00DC21C7">
          <w:rPr>
            <w:rFonts w:ascii="Times New Roman" w:eastAsia="Times New Roman" w:hAnsi="Times New Roman" w:cs="Times New Roman"/>
            <w:color w:val="0000FF"/>
            <w:sz w:val="24"/>
            <w:szCs w:val="24"/>
            <w:u w:val="single"/>
            <w:lang w:eastAsia="en-GB"/>
          </w:rPr>
          <w:t>https://doi.org/10.69739/jlsph.v1i1.962</w:t>
        </w:r>
      </w:hyperlink>
    </w:p>
    <w:p w14:paraId="0B74EC60"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w:t>
      </w:r>
      <w:proofErr w:type="spellStart"/>
      <w:r w:rsidRPr="00DC21C7">
        <w:rPr>
          <w:rFonts w:ascii="Times New Roman" w:eastAsia="Times New Roman" w:hAnsi="Times New Roman" w:cs="Times New Roman"/>
          <w:sz w:val="24"/>
          <w:szCs w:val="24"/>
          <w:lang w:eastAsia="en-GB"/>
        </w:rPr>
        <w:t>Ekwere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Igwegbe</w:t>
      </w:r>
      <w:proofErr w:type="spellEnd"/>
      <w:r w:rsidRPr="00DC21C7">
        <w:rPr>
          <w:rFonts w:ascii="Times New Roman" w:eastAsia="Times New Roman" w:hAnsi="Times New Roman" w:cs="Times New Roman"/>
          <w:sz w:val="24"/>
          <w:szCs w:val="24"/>
          <w:lang w:eastAsia="en-GB"/>
        </w:rPr>
        <w:t xml:space="preserve">, K. C., </w:t>
      </w:r>
      <w:proofErr w:type="spellStart"/>
      <w:r w:rsidRPr="00DC21C7">
        <w:rPr>
          <w:rFonts w:ascii="Times New Roman" w:eastAsia="Times New Roman" w:hAnsi="Times New Roman" w:cs="Times New Roman"/>
          <w:sz w:val="24"/>
          <w:szCs w:val="24"/>
          <w:lang w:eastAsia="en-GB"/>
        </w:rPr>
        <w:t>Etesin</w:t>
      </w:r>
      <w:proofErr w:type="spellEnd"/>
      <w:r w:rsidRPr="00DC21C7">
        <w:rPr>
          <w:rFonts w:ascii="Times New Roman" w:eastAsia="Times New Roman" w:hAnsi="Times New Roman" w:cs="Times New Roman"/>
          <w:sz w:val="24"/>
          <w:szCs w:val="24"/>
          <w:lang w:eastAsia="en-GB"/>
        </w:rPr>
        <w:t xml:space="preserve">, U. M., Ugwuanyi, G. C., </w:t>
      </w:r>
      <w:proofErr w:type="spellStart"/>
      <w:r w:rsidRPr="00DC21C7">
        <w:rPr>
          <w:rFonts w:ascii="Times New Roman" w:eastAsia="Times New Roman" w:hAnsi="Times New Roman" w:cs="Times New Roman"/>
          <w:sz w:val="24"/>
          <w:szCs w:val="24"/>
          <w:lang w:eastAsia="en-GB"/>
        </w:rPr>
        <w:t>Okpanachi</w:t>
      </w:r>
      <w:proofErr w:type="spellEnd"/>
      <w:r w:rsidRPr="00DC21C7">
        <w:rPr>
          <w:rFonts w:ascii="Times New Roman" w:eastAsia="Times New Roman" w:hAnsi="Times New Roman" w:cs="Times New Roman"/>
          <w:sz w:val="24"/>
          <w:szCs w:val="24"/>
          <w:lang w:eastAsia="en-GB"/>
        </w:rPr>
        <w:t xml:space="preserve">, C. B., </w:t>
      </w:r>
      <w:proofErr w:type="spellStart"/>
      <w:r w:rsidRPr="00DC21C7">
        <w:rPr>
          <w:rFonts w:ascii="Times New Roman" w:eastAsia="Times New Roman" w:hAnsi="Times New Roman" w:cs="Times New Roman"/>
          <w:sz w:val="24"/>
          <w:szCs w:val="24"/>
          <w:lang w:eastAsia="en-GB"/>
        </w:rPr>
        <w:t>Ewuola</w:t>
      </w:r>
      <w:proofErr w:type="spellEnd"/>
      <w:r w:rsidRPr="00DC21C7">
        <w:rPr>
          <w:rFonts w:ascii="Times New Roman" w:eastAsia="Times New Roman" w:hAnsi="Times New Roman" w:cs="Times New Roman"/>
          <w:sz w:val="24"/>
          <w:szCs w:val="24"/>
          <w:lang w:eastAsia="en-GB"/>
        </w:rPr>
        <w:t xml:space="preserve">, A. A., Mojisola, K. M., &amp; </w:t>
      </w:r>
      <w:proofErr w:type="spellStart"/>
      <w:r w:rsidRPr="00DC21C7">
        <w:rPr>
          <w:rFonts w:ascii="Times New Roman" w:eastAsia="Times New Roman" w:hAnsi="Times New Roman" w:cs="Times New Roman"/>
          <w:sz w:val="24"/>
          <w:szCs w:val="24"/>
          <w:lang w:eastAsia="en-GB"/>
        </w:rPr>
        <w:t>Ezekwueme</w:t>
      </w:r>
      <w:proofErr w:type="spellEnd"/>
      <w:r w:rsidRPr="00DC21C7">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DC21C7">
        <w:rPr>
          <w:rFonts w:ascii="Times New Roman" w:eastAsia="Times New Roman" w:hAnsi="Times New Roman" w:cs="Times New Roman"/>
          <w:sz w:val="24"/>
          <w:szCs w:val="24"/>
          <w:lang w:eastAsia="en-GB"/>
        </w:rPr>
        <w:t>TiO</w:t>
      </w:r>
      <w:proofErr w:type="spellEnd"/>
      <w:r w:rsidRPr="00DC21C7">
        <w:rPr>
          <w:rFonts w:ascii="Times New Roman" w:eastAsia="Times New Roman" w:hAnsi="Times New Roman" w:cs="Times New Roman"/>
          <w:sz w:val="24"/>
          <w:szCs w:val="24"/>
          <w:lang w:eastAsia="en-GB"/>
        </w:rPr>
        <w:t xml:space="preserve">₂ nanomaterials. </w:t>
      </w:r>
      <w:r w:rsidRPr="00DC21C7">
        <w:rPr>
          <w:rFonts w:ascii="Times New Roman" w:eastAsia="Times New Roman" w:hAnsi="Times New Roman" w:cs="Times New Roman"/>
          <w:i/>
          <w:iCs/>
          <w:sz w:val="24"/>
          <w:szCs w:val="24"/>
          <w:lang w:eastAsia="en-GB"/>
        </w:rPr>
        <w:t>Journal of Environment, Climate, and Ecology, 2</w:t>
      </w:r>
      <w:r w:rsidRPr="00DC21C7">
        <w:rPr>
          <w:rFonts w:ascii="Times New Roman" w:eastAsia="Times New Roman" w:hAnsi="Times New Roman" w:cs="Times New Roman"/>
          <w:sz w:val="24"/>
          <w:szCs w:val="24"/>
          <w:lang w:eastAsia="en-GB"/>
        </w:rPr>
        <w:t xml:space="preserve">(2), 56–62. </w:t>
      </w:r>
      <w:hyperlink r:id="rId12" w:tgtFrame="_new" w:history="1">
        <w:r w:rsidRPr="00DC21C7">
          <w:rPr>
            <w:rFonts w:ascii="Times New Roman" w:eastAsia="Times New Roman" w:hAnsi="Times New Roman" w:cs="Times New Roman"/>
            <w:color w:val="0000FF"/>
            <w:sz w:val="24"/>
            <w:szCs w:val="24"/>
            <w:u w:val="single"/>
            <w:lang w:eastAsia="en-GB"/>
          </w:rPr>
          <w:t>https://doi.org/10.69739/jece.v2i2.961</w:t>
        </w:r>
      </w:hyperlink>
    </w:p>
    <w:p w14:paraId="1F9CE217"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Emem, J. A., </w:t>
      </w:r>
      <w:proofErr w:type="spellStart"/>
      <w:r w:rsidRPr="00DC21C7">
        <w:rPr>
          <w:rFonts w:ascii="Times New Roman" w:eastAsia="Times New Roman" w:hAnsi="Times New Roman" w:cs="Times New Roman"/>
          <w:sz w:val="24"/>
          <w:szCs w:val="24"/>
          <w:lang w:eastAsia="en-GB"/>
        </w:rPr>
        <w:t>Ekwere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Odibo</w:t>
      </w:r>
      <w:proofErr w:type="spellEnd"/>
      <w:r w:rsidRPr="00DC21C7">
        <w:rPr>
          <w:rFonts w:ascii="Times New Roman" w:eastAsia="Times New Roman" w:hAnsi="Times New Roman" w:cs="Times New Roman"/>
          <w:sz w:val="24"/>
          <w:szCs w:val="24"/>
          <w:lang w:eastAsia="en-GB"/>
        </w:rPr>
        <w:t xml:space="preserve">, U. E., </w:t>
      </w:r>
      <w:proofErr w:type="spellStart"/>
      <w:r w:rsidRPr="00DC21C7">
        <w:rPr>
          <w:rFonts w:ascii="Times New Roman" w:eastAsia="Times New Roman" w:hAnsi="Times New Roman" w:cs="Times New Roman"/>
          <w:sz w:val="24"/>
          <w:szCs w:val="24"/>
          <w:lang w:eastAsia="en-GB"/>
        </w:rPr>
        <w:t>Alaekwe</w:t>
      </w:r>
      <w:proofErr w:type="spellEnd"/>
      <w:r w:rsidRPr="00DC21C7">
        <w:rPr>
          <w:rFonts w:ascii="Times New Roman" w:eastAsia="Times New Roman" w:hAnsi="Times New Roman" w:cs="Times New Roman"/>
          <w:sz w:val="24"/>
          <w:szCs w:val="24"/>
          <w:lang w:eastAsia="en-GB"/>
        </w:rPr>
        <w:t xml:space="preserve">, I. O., Warder, A. B., &amp; </w:t>
      </w:r>
      <w:proofErr w:type="spellStart"/>
      <w:r w:rsidRPr="00DC21C7">
        <w:rPr>
          <w:rFonts w:ascii="Times New Roman" w:eastAsia="Times New Roman" w:hAnsi="Times New Roman" w:cs="Times New Roman"/>
          <w:sz w:val="24"/>
          <w:szCs w:val="24"/>
          <w:lang w:eastAsia="en-GB"/>
        </w:rPr>
        <w:t>Eboj-Ajoku</w:t>
      </w:r>
      <w:proofErr w:type="spellEnd"/>
      <w:r w:rsidRPr="00DC21C7">
        <w:rPr>
          <w:rFonts w:ascii="Times New Roman" w:eastAsia="Times New Roman" w:hAnsi="Times New Roman" w:cs="Times New Roman"/>
          <w:sz w:val="24"/>
          <w:szCs w:val="24"/>
          <w:lang w:eastAsia="en-GB"/>
        </w:rPr>
        <w:t xml:space="preserve">, O. I. (2025). Bioaccumulation of nickel, lead, and cadmium in tissues of </w:t>
      </w:r>
      <w:r w:rsidRPr="00DC21C7">
        <w:rPr>
          <w:rFonts w:ascii="Times New Roman" w:eastAsia="Times New Roman" w:hAnsi="Times New Roman" w:cs="Times New Roman"/>
          <w:i/>
          <w:iCs/>
          <w:sz w:val="24"/>
          <w:szCs w:val="24"/>
          <w:lang w:eastAsia="en-GB"/>
        </w:rPr>
        <w:t>Callinectes sapidus</w:t>
      </w:r>
      <w:r w:rsidRPr="00DC21C7">
        <w:rPr>
          <w:rFonts w:ascii="Times New Roman" w:eastAsia="Times New Roman" w:hAnsi="Times New Roman" w:cs="Times New Roman"/>
          <w:sz w:val="24"/>
          <w:szCs w:val="24"/>
          <w:lang w:eastAsia="en-GB"/>
        </w:rPr>
        <w:t xml:space="preserve"> from the Iko River, Nigeria: Implications for human health risk and environmental safety. </w:t>
      </w:r>
      <w:r w:rsidRPr="00DC21C7">
        <w:rPr>
          <w:rFonts w:ascii="Times New Roman" w:eastAsia="Times New Roman" w:hAnsi="Times New Roman" w:cs="Times New Roman"/>
          <w:i/>
          <w:iCs/>
          <w:sz w:val="24"/>
          <w:szCs w:val="24"/>
          <w:lang w:eastAsia="en-GB"/>
        </w:rPr>
        <w:t>Journal of Environment, Climate, and Ecology, 2</w:t>
      </w:r>
      <w:r w:rsidRPr="00DC21C7">
        <w:rPr>
          <w:rFonts w:ascii="Times New Roman" w:eastAsia="Times New Roman" w:hAnsi="Times New Roman" w:cs="Times New Roman"/>
          <w:sz w:val="24"/>
          <w:szCs w:val="24"/>
          <w:lang w:eastAsia="en-GB"/>
        </w:rPr>
        <w:t xml:space="preserve">(2), 29–37. </w:t>
      </w:r>
      <w:hyperlink r:id="rId13" w:tgtFrame="_new" w:history="1">
        <w:r w:rsidRPr="00DC21C7">
          <w:rPr>
            <w:rFonts w:ascii="Times New Roman" w:eastAsia="Times New Roman" w:hAnsi="Times New Roman" w:cs="Times New Roman"/>
            <w:color w:val="0000FF"/>
            <w:sz w:val="24"/>
            <w:szCs w:val="24"/>
            <w:u w:val="single"/>
            <w:lang w:eastAsia="en-GB"/>
          </w:rPr>
          <w:t>https://doi.org/10.69739/jece.v2i2.844</w:t>
        </w:r>
      </w:hyperlink>
    </w:p>
    <w:p w14:paraId="609A3D35"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t>Okpoji</w:t>
      </w:r>
      <w:proofErr w:type="spellEnd"/>
      <w:r w:rsidRPr="00DC21C7">
        <w:rPr>
          <w:rFonts w:ascii="Times New Roman" w:eastAsia="Times New Roman" w:hAnsi="Times New Roman" w:cs="Times New Roman"/>
          <w:sz w:val="24"/>
          <w:szCs w:val="24"/>
          <w:lang w:eastAsia="en-GB"/>
        </w:rPr>
        <w:t xml:space="preserve">, A. U., Ndubuisi, J. O., Eboh-Ajoku, I. O., Emem, J. A., </w:t>
      </w:r>
      <w:proofErr w:type="spellStart"/>
      <w:r w:rsidRPr="00DC21C7">
        <w:rPr>
          <w:rFonts w:ascii="Times New Roman" w:eastAsia="Times New Roman" w:hAnsi="Times New Roman" w:cs="Times New Roman"/>
          <w:sz w:val="24"/>
          <w:szCs w:val="24"/>
          <w:lang w:eastAsia="en-GB"/>
        </w:rPr>
        <w:t>Ekwere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Alaekwe</w:t>
      </w:r>
      <w:proofErr w:type="spellEnd"/>
      <w:r w:rsidRPr="00DC21C7">
        <w:rPr>
          <w:rFonts w:ascii="Times New Roman" w:eastAsia="Times New Roman" w:hAnsi="Times New Roman" w:cs="Times New Roman"/>
          <w:sz w:val="24"/>
          <w:szCs w:val="24"/>
          <w:lang w:eastAsia="en-GB"/>
        </w:rPr>
        <w:t xml:space="preserve">, I. O., </w:t>
      </w:r>
      <w:proofErr w:type="spellStart"/>
      <w:r w:rsidRPr="00DC21C7">
        <w:rPr>
          <w:rFonts w:ascii="Times New Roman" w:eastAsia="Times New Roman" w:hAnsi="Times New Roman" w:cs="Times New Roman"/>
          <w:sz w:val="24"/>
          <w:szCs w:val="24"/>
          <w:lang w:eastAsia="en-GB"/>
        </w:rPr>
        <w:t>Odibo</w:t>
      </w:r>
      <w:proofErr w:type="spellEnd"/>
      <w:r w:rsidRPr="00DC21C7">
        <w:rPr>
          <w:rFonts w:ascii="Times New Roman" w:eastAsia="Times New Roman" w:hAnsi="Times New Roman" w:cs="Times New Roman"/>
          <w:sz w:val="24"/>
          <w:szCs w:val="24"/>
          <w:lang w:eastAsia="en-GB"/>
        </w:rPr>
        <w:t xml:space="preserve">, U. E., </w:t>
      </w:r>
      <w:proofErr w:type="spellStart"/>
      <w:r w:rsidRPr="00DC21C7">
        <w:rPr>
          <w:rFonts w:ascii="Times New Roman" w:eastAsia="Times New Roman" w:hAnsi="Times New Roman" w:cs="Times New Roman"/>
          <w:sz w:val="24"/>
          <w:szCs w:val="24"/>
          <w:lang w:eastAsia="en-GB"/>
        </w:rPr>
        <w:t>Igwegbe</w:t>
      </w:r>
      <w:proofErr w:type="spellEnd"/>
      <w:r w:rsidRPr="00DC21C7">
        <w:rPr>
          <w:rFonts w:ascii="Times New Roman" w:eastAsia="Times New Roman" w:hAnsi="Times New Roman" w:cs="Times New Roman"/>
          <w:sz w:val="24"/>
          <w:szCs w:val="24"/>
          <w:lang w:eastAsia="en-GB"/>
        </w:rPr>
        <w:t xml:space="preserve">, K. C., Onoja, C. R., Warder, A. B., &amp; </w:t>
      </w:r>
      <w:proofErr w:type="spellStart"/>
      <w:r w:rsidRPr="00DC21C7">
        <w:rPr>
          <w:rFonts w:ascii="Times New Roman" w:eastAsia="Times New Roman" w:hAnsi="Times New Roman" w:cs="Times New Roman"/>
          <w:sz w:val="24"/>
          <w:szCs w:val="24"/>
          <w:lang w:eastAsia="en-GB"/>
        </w:rPr>
        <w:t>InyangAbia</w:t>
      </w:r>
      <w:proofErr w:type="spellEnd"/>
      <w:r w:rsidRPr="00DC21C7">
        <w:rPr>
          <w:rFonts w:ascii="Times New Roman" w:eastAsia="Times New Roman" w:hAnsi="Times New Roman" w:cs="Times New Roman"/>
          <w:sz w:val="24"/>
          <w:szCs w:val="24"/>
          <w:lang w:eastAsia="en-GB"/>
        </w:rPr>
        <w:t xml:space="preserve">, A. J. (2025). Trematode infections and histopathological effects in </w:t>
      </w:r>
      <w:proofErr w:type="spellStart"/>
      <w:r w:rsidRPr="00DC21C7">
        <w:rPr>
          <w:rFonts w:ascii="Times New Roman" w:eastAsia="Times New Roman" w:hAnsi="Times New Roman" w:cs="Times New Roman"/>
          <w:i/>
          <w:iCs/>
          <w:sz w:val="24"/>
          <w:szCs w:val="24"/>
          <w:lang w:eastAsia="en-GB"/>
        </w:rPr>
        <w:t>Chrysichthys</w:t>
      </w:r>
      <w:proofErr w:type="spellEnd"/>
      <w:r w:rsidRPr="00DC21C7">
        <w:rPr>
          <w:rFonts w:ascii="Times New Roman" w:eastAsia="Times New Roman" w:hAnsi="Times New Roman" w:cs="Times New Roman"/>
          <w:i/>
          <w:iCs/>
          <w:sz w:val="24"/>
          <w:szCs w:val="24"/>
          <w:lang w:eastAsia="en-GB"/>
        </w:rPr>
        <w:t xml:space="preserve"> </w:t>
      </w:r>
      <w:proofErr w:type="spellStart"/>
      <w:r w:rsidRPr="00DC21C7">
        <w:rPr>
          <w:rFonts w:ascii="Times New Roman" w:eastAsia="Times New Roman" w:hAnsi="Times New Roman" w:cs="Times New Roman"/>
          <w:i/>
          <w:iCs/>
          <w:sz w:val="24"/>
          <w:szCs w:val="24"/>
          <w:lang w:eastAsia="en-GB"/>
        </w:rPr>
        <w:t>nigrodigitatus</w:t>
      </w:r>
      <w:proofErr w:type="spellEnd"/>
      <w:r w:rsidRPr="00DC21C7">
        <w:rPr>
          <w:rFonts w:ascii="Times New Roman" w:eastAsia="Times New Roman" w:hAnsi="Times New Roman" w:cs="Times New Roman"/>
          <w:sz w:val="24"/>
          <w:szCs w:val="24"/>
          <w:lang w:eastAsia="en-GB"/>
        </w:rPr>
        <w:t xml:space="preserve"> from the polluted Andoni River, Niger Delta, Nigeria. </w:t>
      </w:r>
      <w:r w:rsidRPr="00DC21C7">
        <w:rPr>
          <w:rFonts w:ascii="Times New Roman" w:eastAsia="Times New Roman" w:hAnsi="Times New Roman" w:cs="Times New Roman"/>
          <w:i/>
          <w:iCs/>
          <w:sz w:val="24"/>
          <w:szCs w:val="24"/>
          <w:lang w:eastAsia="en-GB"/>
        </w:rPr>
        <w:t>Journal of Agriculture, Aquaculture, and Animal Science, 2</w:t>
      </w:r>
      <w:r w:rsidRPr="00DC21C7">
        <w:rPr>
          <w:rFonts w:ascii="Times New Roman" w:eastAsia="Times New Roman" w:hAnsi="Times New Roman" w:cs="Times New Roman"/>
          <w:sz w:val="24"/>
          <w:szCs w:val="24"/>
          <w:lang w:eastAsia="en-GB"/>
        </w:rPr>
        <w:t xml:space="preserve">(2), 66–72. </w:t>
      </w:r>
      <w:hyperlink r:id="rId14" w:tgtFrame="_new" w:history="1">
        <w:r w:rsidRPr="00DC21C7">
          <w:rPr>
            <w:rFonts w:ascii="Times New Roman" w:eastAsia="Times New Roman" w:hAnsi="Times New Roman" w:cs="Times New Roman"/>
            <w:color w:val="0000FF"/>
            <w:sz w:val="24"/>
            <w:szCs w:val="24"/>
            <w:u w:val="single"/>
            <w:lang w:eastAsia="en-GB"/>
          </w:rPr>
          <w:t>https://doi.org/10.69739/jaaas.v2i2.882</w:t>
        </w:r>
      </w:hyperlink>
    </w:p>
    <w:p w14:paraId="182B0494"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C21C7">
        <w:rPr>
          <w:rFonts w:ascii="Times New Roman" w:eastAsia="Times New Roman" w:hAnsi="Times New Roman" w:cs="Times New Roman"/>
          <w:sz w:val="24"/>
          <w:szCs w:val="24"/>
          <w:lang w:eastAsia="en-GB"/>
        </w:rPr>
        <w:lastRenderedPageBreak/>
        <w:t>Okpoji</w:t>
      </w:r>
      <w:proofErr w:type="spellEnd"/>
      <w:r w:rsidRPr="00DC21C7">
        <w:rPr>
          <w:rFonts w:ascii="Times New Roman" w:eastAsia="Times New Roman" w:hAnsi="Times New Roman" w:cs="Times New Roman"/>
          <w:sz w:val="24"/>
          <w:szCs w:val="24"/>
          <w:lang w:eastAsia="en-GB"/>
        </w:rPr>
        <w:t xml:space="preserve">, A. U., </w:t>
      </w:r>
      <w:proofErr w:type="spellStart"/>
      <w:r w:rsidRPr="00DC21C7">
        <w:rPr>
          <w:rFonts w:ascii="Times New Roman" w:eastAsia="Times New Roman" w:hAnsi="Times New Roman" w:cs="Times New Roman"/>
          <w:sz w:val="24"/>
          <w:szCs w:val="24"/>
          <w:lang w:eastAsia="en-GB"/>
        </w:rPr>
        <w:t>Nwoka</w:t>
      </w:r>
      <w:proofErr w:type="spellEnd"/>
      <w:r w:rsidRPr="00DC21C7">
        <w:rPr>
          <w:rFonts w:ascii="Times New Roman" w:eastAsia="Times New Roman" w:hAnsi="Times New Roman" w:cs="Times New Roman"/>
          <w:sz w:val="24"/>
          <w:szCs w:val="24"/>
          <w:lang w:eastAsia="en-GB"/>
        </w:rPr>
        <w:t xml:space="preserve">, N. G., </w:t>
      </w:r>
      <w:proofErr w:type="spellStart"/>
      <w:r w:rsidRPr="00DC21C7">
        <w:rPr>
          <w:rFonts w:ascii="Times New Roman" w:eastAsia="Times New Roman" w:hAnsi="Times New Roman" w:cs="Times New Roman"/>
          <w:sz w:val="24"/>
          <w:szCs w:val="24"/>
          <w:lang w:eastAsia="en-GB"/>
        </w:rPr>
        <w:t>Odibo</w:t>
      </w:r>
      <w:proofErr w:type="spellEnd"/>
      <w:r w:rsidRPr="00DC21C7">
        <w:rPr>
          <w:rFonts w:ascii="Times New Roman" w:eastAsia="Times New Roman" w:hAnsi="Times New Roman" w:cs="Times New Roman"/>
          <w:sz w:val="24"/>
          <w:szCs w:val="24"/>
          <w:lang w:eastAsia="en-GB"/>
        </w:rPr>
        <w:t xml:space="preserve">, U. E., </w:t>
      </w:r>
      <w:proofErr w:type="spellStart"/>
      <w:r w:rsidRPr="00DC21C7">
        <w:rPr>
          <w:rFonts w:ascii="Times New Roman" w:eastAsia="Times New Roman" w:hAnsi="Times New Roman" w:cs="Times New Roman"/>
          <w:sz w:val="24"/>
          <w:szCs w:val="24"/>
          <w:lang w:eastAsia="en-GB"/>
        </w:rPr>
        <w:t>Alaekwe</w:t>
      </w:r>
      <w:proofErr w:type="spellEnd"/>
      <w:r w:rsidRPr="00DC21C7">
        <w:rPr>
          <w:rFonts w:ascii="Times New Roman" w:eastAsia="Times New Roman" w:hAnsi="Times New Roman" w:cs="Times New Roman"/>
          <w:sz w:val="24"/>
          <w:szCs w:val="24"/>
          <w:lang w:eastAsia="en-GB"/>
        </w:rPr>
        <w:t xml:space="preserve">, I. O., Okafor, C. A., </w:t>
      </w:r>
      <w:proofErr w:type="spellStart"/>
      <w:r w:rsidRPr="00DC21C7">
        <w:rPr>
          <w:rFonts w:ascii="Times New Roman" w:eastAsia="Times New Roman" w:hAnsi="Times New Roman" w:cs="Times New Roman"/>
          <w:sz w:val="24"/>
          <w:szCs w:val="24"/>
          <w:lang w:eastAsia="en-GB"/>
        </w:rPr>
        <w:t>Ogwu</w:t>
      </w:r>
      <w:proofErr w:type="spellEnd"/>
      <w:r w:rsidRPr="00DC21C7">
        <w:rPr>
          <w:rFonts w:ascii="Times New Roman" w:eastAsia="Times New Roman" w:hAnsi="Times New Roman" w:cs="Times New Roman"/>
          <w:sz w:val="24"/>
          <w:szCs w:val="24"/>
          <w:lang w:eastAsia="en-GB"/>
        </w:rPr>
        <w:t xml:space="preserve">, N. G., &amp; </w:t>
      </w:r>
      <w:proofErr w:type="spellStart"/>
      <w:r w:rsidRPr="00DC21C7">
        <w:rPr>
          <w:rFonts w:ascii="Times New Roman" w:eastAsia="Times New Roman" w:hAnsi="Times New Roman" w:cs="Times New Roman"/>
          <w:sz w:val="24"/>
          <w:szCs w:val="24"/>
          <w:lang w:eastAsia="en-GB"/>
        </w:rPr>
        <w:t>Akatakpo</w:t>
      </w:r>
      <w:proofErr w:type="spellEnd"/>
      <w:r w:rsidRPr="00DC21C7">
        <w:rPr>
          <w:rFonts w:ascii="Times New Roman" w:eastAsia="Times New Roman" w:hAnsi="Times New Roman" w:cs="Times New Roman"/>
          <w:sz w:val="24"/>
          <w:szCs w:val="24"/>
          <w:lang w:eastAsia="en-GB"/>
        </w:rPr>
        <w:t xml:space="preserve">, C. U. (2025). Seasonal variation in </w:t>
      </w:r>
      <w:proofErr w:type="spellStart"/>
      <w:r w:rsidRPr="00DC21C7">
        <w:rPr>
          <w:rFonts w:ascii="Times New Roman" w:eastAsia="Times New Roman" w:hAnsi="Times New Roman" w:cs="Times New Roman"/>
          <w:sz w:val="24"/>
          <w:szCs w:val="24"/>
          <w:lang w:eastAsia="en-GB"/>
        </w:rPr>
        <w:t>hydrochemical</w:t>
      </w:r>
      <w:proofErr w:type="spellEnd"/>
      <w:r w:rsidRPr="00DC21C7">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DC21C7">
        <w:rPr>
          <w:rFonts w:ascii="Times New Roman" w:eastAsia="Times New Roman" w:hAnsi="Times New Roman" w:cs="Times New Roman"/>
          <w:sz w:val="24"/>
          <w:szCs w:val="24"/>
          <w:lang w:eastAsia="en-GB"/>
        </w:rPr>
        <w:t>Andoni-Isiokwan</w:t>
      </w:r>
      <w:proofErr w:type="spellEnd"/>
      <w:r w:rsidRPr="00DC21C7">
        <w:rPr>
          <w:rFonts w:ascii="Times New Roman" w:eastAsia="Times New Roman" w:hAnsi="Times New Roman" w:cs="Times New Roman"/>
          <w:sz w:val="24"/>
          <w:szCs w:val="24"/>
          <w:lang w:eastAsia="en-GB"/>
        </w:rPr>
        <w:t xml:space="preserve"> District, Niger Delta, Nigeria. </w:t>
      </w:r>
      <w:r w:rsidRPr="00DC21C7">
        <w:rPr>
          <w:rFonts w:ascii="Times New Roman" w:eastAsia="Times New Roman" w:hAnsi="Times New Roman" w:cs="Times New Roman"/>
          <w:i/>
          <w:iCs/>
          <w:sz w:val="24"/>
          <w:szCs w:val="24"/>
          <w:lang w:eastAsia="en-GB"/>
        </w:rPr>
        <w:t>International Journal of Modern Science and Research Technology, 3</w:t>
      </w:r>
      <w:r w:rsidRPr="00DC21C7">
        <w:rPr>
          <w:rFonts w:ascii="Times New Roman" w:eastAsia="Times New Roman" w:hAnsi="Times New Roman" w:cs="Times New Roman"/>
          <w:sz w:val="24"/>
          <w:szCs w:val="24"/>
          <w:lang w:eastAsia="en-GB"/>
        </w:rPr>
        <w:t xml:space="preserve">(8), 44–51. </w:t>
      </w:r>
      <w:hyperlink r:id="rId15" w:tgtFrame="_new" w:history="1">
        <w:r w:rsidRPr="00DC21C7">
          <w:rPr>
            <w:rFonts w:ascii="Times New Roman" w:eastAsia="Times New Roman" w:hAnsi="Times New Roman" w:cs="Times New Roman"/>
            <w:color w:val="0000FF"/>
            <w:sz w:val="24"/>
            <w:szCs w:val="24"/>
            <w:u w:val="single"/>
            <w:lang w:eastAsia="en-GB"/>
          </w:rPr>
          <w:t>http://www.ijmsrt.com</w:t>
        </w:r>
      </w:hyperlink>
    </w:p>
    <w:p w14:paraId="455B71F0" w14:textId="77777777" w:rsidR="00DC21C7" w:rsidRPr="00DC21C7" w:rsidRDefault="00DC21C7" w:rsidP="00DC21C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DC21C7">
        <w:rPr>
          <w:rFonts w:ascii="Times New Roman" w:hAnsi="Times New Roman" w:cs="Times New Roman"/>
          <w:sz w:val="24"/>
          <w:szCs w:val="24"/>
        </w:rPr>
        <w:t xml:space="preserve">Onoja, C. R., Ogbaji, H. O., Edodi, I. O., </w:t>
      </w:r>
      <w:proofErr w:type="spellStart"/>
      <w:r w:rsidRPr="00DC21C7">
        <w:rPr>
          <w:rFonts w:ascii="Times New Roman" w:hAnsi="Times New Roman" w:cs="Times New Roman"/>
          <w:sz w:val="24"/>
          <w:szCs w:val="24"/>
        </w:rPr>
        <w:t>Mmuta</w:t>
      </w:r>
      <w:proofErr w:type="spellEnd"/>
      <w:r w:rsidRPr="00DC21C7">
        <w:rPr>
          <w:rFonts w:ascii="Times New Roman" w:hAnsi="Times New Roman" w:cs="Times New Roman"/>
          <w:sz w:val="24"/>
          <w:szCs w:val="24"/>
        </w:rPr>
        <w:t xml:space="preserve">, E. C., </w:t>
      </w:r>
      <w:proofErr w:type="spellStart"/>
      <w:r w:rsidRPr="00DC21C7">
        <w:rPr>
          <w:rFonts w:ascii="Times New Roman" w:hAnsi="Times New Roman" w:cs="Times New Roman"/>
          <w:sz w:val="24"/>
          <w:szCs w:val="24"/>
        </w:rPr>
        <w:t>Igwegbe</w:t>
      </w:r>
      <w:proofErr w:type="spellEnd"/>
      <w:r w:rsidRPr="00DC21C7">
        <w:rPr>
          <w:rFonts w:ascii="Times New Roman" w:hAnsi="Times New Roman" w:cs="Times New Roman"/>
          <w:sz w:val="24"/>
          <w:szCs w:val="24"/>
        </w:rPr>
        <w:t xml:space="preserve">, K. C., Ogini, O. R., </w:t>
      </w:r>
      <w:proofErr w:type="spellStart"/>
      <w:r w:rsidRPr="00DC21C7">
        <w:rPr>
          <w:rFonts w:ascii="Times New Roman" w:hAnsi="Times New Roman" w:cs="Times New Roman"/>
          <w:sz w:val="24"/>
          <w:szCs w:val="24"/>
        </w:rPr>
        <w:t>Odibo</w:t>
      </w:r>
      <w:proofErr w:type="spellEnd"/>
      <w:r w:rsidRPr="00DC21C7">
        <w:rPr>
          <w:rFonts w:ascii="Times New Roman" w:hAnsi="Times New Roman" w:cs="Times New Roman"/>
          <w:sz w:val="24"/>
          <w:szCs w:val="24"/>
        </w:rPr>
        <w:t xml:space="preserve">, U. E., </w:t>
      </w:r>
      <w:proofErr w:type="spellStart"/>
      <w:r w:rsidRPr="00DC21C7">
        <w:rPr>
          <w:rFonts w:ascii="Times New Roman" w:hAnsi="Times New Roman" w:cs="Times New Roman"/>
          <w:sz w:val="24"/>
          <w:szCs w:val="24"/>
        </w:rPr>
        <w:t>Ewuola</w:t>
      </w:r>
      <w:proofErr w:type="spellEnd"/>
      <w:r w:rsidRPr="00DC21C7">
        <w:rPr>
          <w:rFonts w:ascii="Times New Roman" w:hAnsi="Times New Roman" w:cs="Times New Roman"/>
          <w:sz w:val="24"/>
          <w:szCs w:val="24"/>
        </w:rPr>
        <w:t xml:space="preserve">, A. A., Mahmoud, A. B., &amp; </w:t>
      </w:r>
      <w:proofErr w:type="spellStart"/>
      <w:r w:rsidRPr="00DC21C7">
        <w:rPr>
          <w:rFonts w:ascii="Times New Roman" w:hAnsi="Times New Roman" w:cs="Times New Roman"/>
          <w:sz w:val="24"/>
          <w:szCs w:val="24"/>
        </w:rPr>
        <w:t>Okpoji</w:t>
      </w:r>
      <w:proofErr w:type="spellEnd"/>
      <w:r w:rsidRPr="00DC21C7">
        <w:rPr>
          <w:rFonts w:ascii="Times New Roman" w:hAnsi="Times New Roman" w:cs="Times New Roman"/>
          <w:sz w:val="24"/>
          <w:szCs w:val="24"/>
        </w:rPr>
        <w:t xml:space="preserve">, A. U. (2025). </w:t>
      </w:r>
      <w:r w:rsidRPr="00DC21C7">
        <w:rPr>
          <w:rStyle w:val="Emphasis"/>
          <w:rFonts w:ascii="Times New Roman" w:hAnsi="Times New Roman" w:cs="Times New Roman"/>
          <w:sz w:val="24"/>
          <w:szCs w:val="24"/>
        </w:rPr>
        <w:t>Heavy Metal Contamination and Health Risk Assessment of Smoked-Dried Fish Sold in Eke-</w:t>
      </w:r>
      <w:proofErr w:type="spellStart"/>
      <w:r w:rsidRPr="00DC21C7">
        <w:rPr>
          <w:rStyle w:val="Emphasis"/>
          <w:rFonts w:ascii="Times New Roman" w:hAnsi="Times New Roman" w:cs="Times New Roman"/>
          <w:sz w:val="24"/>
          <w:szCs w:val="24"/>
        </w:rPr>
        <w:t>Awka</w:t>
      </w:r>
      <w:proofErr w:type="spellEnd"/>
      <w:r w:rsidRPr="00DC21C7">
        <w:rPr>
          <w:rStyle w:val="Emphasis"/>
          <w:rFonts w:ascii="Times New Roman" w:hAnsi="Times New Roman" w:cs="Times New Roman"/>
          <w:sz w:val="24"/>
          <w:szCs w:val="24"/>
        </w:rPr>
        <w:t xml:space="preserve"> Market, Anambra State, Nigeria.</w:t>
      </w:r>
      <w:r w:rsidRPr="00DC21C7">
        <w:rPr>
          <w:rFonts w:ascii="Times New Roman" w:hAnsi="Times New Roman" w:cs="Times New Roman"/>
          <w:sz w:val="24"/>
          <w:szCs w:val="24"/>
        </w:rPr>
        <w:t xml:space="preserve"> Journal of Sustainable Research and Development, 1(2), 18-25. </w:t>
      </w:r>
      <w:hyperlink r:id="rId16" w:tgtFrame="_new" w:history="1">
        <w:r w:rsidRPr="00DC21C7">
          <w:rPr>
            <w:rStyle w:val="Hyperlink"/>
            <w:rFonts w:ascii="Times New Roman" w:hAnsi="Times New Roman" w:cs="Times New Roman"/>
            <w:sz w:val="24"/>
            <w:szCs w:val="24"/>
          </w:rPr>
          <w:t>https://doi.org/10.69739/jsrd.v1i2.1044</w:t>
        </w:r>
      </w:hyperlink>
    </w:p>
    <w:p w14:paraId="602EEBA9" w14:textId="77777777" w:rsidR="00DC21C7" w:rsidRPr="00DC21C7" w:rsidRDefault="00DC21C7" w:rsidP="00DC21C7">
      <w:pPr>
        <w:jc w:val="both"/>
        <w:rPr>
          <w:rFonts w:ascii="Times New Roman" w:hAnsi="Times New Roman" w:cs="Times New Roman"/>
          <w:sz w:val="24"/>
          <w:szCs w:val="24"/>
        </w:rPr>
      </w:pPr>
    </w:p>
    <w:p w14:paraId="6AF11DEB" w14:textId="77777777" w:rsidR="00965D60" w:rsidRPr="00DC21C7" w:rsidRDefault="00965D60" w:rsidP="00DC21C7">
      <w:pPr>
        <w:jc w:val="both"/>
        <w:rPr>
          <w:rFonts w:ascii="Times New Roman" w:hAnsi="Times New Roman" w:cs="Times New Roman"/>
          <w:sz w:val="24"/>
          <w:szCs w:val="24"/>
        </w:rPr>
      </w:pPr>
    </w:p>
    <w:sectPr w:rsidR="00965D60" w:rsidRPr="00DC21C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2EF1" w14:textId="77777777" w:rsidR="0057664E" w:rsidRDefault="0057664E" w:rsidP="00B13F26">
      <w:pPr>
        <w:spacing w:after="0" w:line="240" w:lineRule="auto"/>
      </w:pPr>
      <w:r>
        <w:separator/>
      </w:r>
    </w:p>
  </w:endnote>
  <w:endnote w:type="continuationSeparator" w:id="0">
    <w:p w14:paraId="3EFA88F1" w14:textId="77777777" w:rsidR="0057664E" w:rsidRDefault="0057664E" w:rsidP="00B1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D38C" w14:textId="77777777" w:rsidR="00B13F26" w:rsidRDefault="00B1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4309" w14:textId="77777777" w:rsidR="00B13F26" w:rsidRDefault="00B13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45F6" w14:textId="77777777" w:rsidR="00B13F26" w:rsidRDefault="00B1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5A3D4" w14:textId="77777777" w:rsidR="0057664E" w:rsidRDefault="0057664E" w:rsidP="00B13F26">
      <w:pPr>
        <w:spacing w:after="0" w:line="240" w:lineRule="auto"/>
      </w:pPr>
      <w:r>
        <w:separator/>
      </w:r>
    </w:p>
  </w:footnote>
  <w:footnote w:type="continuationSeparator" w:id="0">
    <w:p w14:paraId="68EEA2B1" w14:textId="77777777" w:rsidR="0057664E" w:rsidRDefault="0057664E" w:rsidP="00B13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4F69" w14:textId="035B256F" w:rsidR="00B13F26" w:rsidRDefault="00B13F26">
    <w:pPr>
      <w:pStyle w:val="Header"/>
    </w:pPr>
    <w:r>
      <w:rPr>
        <w:noProof/>
      </w:rPr>
      <w:pict w14:anchorId="1DB9F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8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5ED8" w14:textId="5F0E9B1D" w:rsidR="00B13F26" w:rsidRDefault="00B13F26">
    <w:pPr>
      <w:pStyle w:val="Header"/>
    </w:pPr>
    <w:r>
      <w:rPr>
        <w:noProof/>
      </w:rPr>
      <w:pict w14:anchorId="17B39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8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D3E2" w14:textId="0AD7EB53" w:rsidR="00B13F26" w:rsidRDefault="00B13F26">
    <w:pPr>
      <w:pStyle w:val="Header"/>
    </w:pPr>
    <w:r>
      <w:rPr>
        <w:noProof/>
      </w:rPr>
      <w:pict w14:anchorId="5FE90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8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C7"/>
    <w:rsid w:val="00115270"/>
    <w:rsid w:val="003730CA"/>
    <w:rsid w:val="0057664E"/>
    <w:rsid w:val="005C677D"/>
    <w:rsid w:val="00720781"/>
    <w:rsid w:val="0089659B"/>
    <w:rsid w:val="00965D60"/>
    <w:rsid w:val="009C7DD7"/>
    <w:rsid w:val="00B13F26"/>
    <w:rsid w:val="00BE2DFC"/>
    <w:rsid w:val="00DC21C7"/>
    <w:rsid w:val="00DE230A"/>
    <w:rsid w:val="00E40892"/>
    <w:rsid w:val="00EE6B96"/>
    <w:rsid w:val="00FA1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BA05D1"/>
  <w15:chartTrackingRefBased/>
  <w15:docId w15:val="{B6A87140-695A-4FD3-B75D-F3568B1F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21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C21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1C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C21C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C21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21C7"/>
    <w:rPr>
      <w:b/>
      <w:bCs/>
    </w:rPr>
  </w:style>
  <w:style w:type="character" w:styleId="Emphasis">
    <w:name w:val="Emphasis"/>
    <w:basedOn w:val="DefaultParagraphFont"/>
    <w:uiPriority w:val="20"/>
    <w:qFormat/>
    <w:rsid w:val="00DC21C7"/>
    <w:rPr>
      <w:i/>
      <w:iCs/>
    </w:rPr>
  </w:style>
  <w:style w:type="character" w:styleId="Hyperlink">
    <w:name w:val="Hyperlink"/>
    <w:basedOn w:val="DefaultParagraphFont"/>
    <w:uiPriority w:val="99"/>
    <w:unhideWhenUsed/>
    <w:rsid w:val="00DC21C7"/>
    <w:rPr>
      <w:color w:val="0563C1" w:themeColor="hyperlink"/>
      <w:u w:val="single"/>
    </w:rPr>
  </w:style>
  <w:style w:type="character" w:customStyle="1" w:styleId="15">
    <w:name w:val="15"/>
    <w:basedOn w:val="DefaultParagraphFont"/>
    <w:rsid w:val="003730CA"/>
    <w:rPr>
      <w:rFonts w:ascii="Calibri" w:hAnsi="Calibri" w:cs="Calibri" w:hint="default"/>
      <w:i/>
      <w:iCs/>
    </w:rPr>
  </w:style>
  <w:style w:type="character" w:customStyle="1" w:styleId="16">
    <w:name w:val="16"/>
    <w:basedOn w:val="DefaultParagraphFont"/>
    <w:rsid w:val="003730CA"/>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BE2DFC"/>
    <w:rPr>
      <w:color w:val="605E5C"/>
      <w:shd w:val="clear" w:color="auto" w:fill="E1DFDD"/>
    </w:rPr>
  </w:style>
  <w:style w:type="paragraph" w:styleId="Header">
    <w:name w:val="header"/>
    <w:basedOn w:val="Normal"/>
    <w:link w:val="HeaderChar"/>
    <w:uiPriority w:val="99"/>
    <w:unhideWhenUsed/>
    <w:rsid w:val="00B1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26"/>
  </w:style>
  <w:style w:type="paragraph" w:styleId="Footer">
    <w:name w:val="footer"/>
    <w:basedOn w:val="Normal"/>
    <w:link w:val="FooterChar"/>
    <w:uiPriority w:val="99"/>
    <w:unhideWhenUsed/>
    <w:rsid w:val="00B1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44948">
      <w:bodyDiv w:val="1"/>
      <w:marLeft w:val="0"/>
      <w:marRight w:val="0"/>
      <w:marTop w:val="0"/>
      <w:marBottom w:val="0"/>
      <w:divBdr>
        <w:top w:val="none" w:sz="0" w:space="0" w:color="auto"/>
        <w:left w:val="none" w:sz="0" w:space="0" w:color="auto"/>
        <w:bottom w:val="none" w:sz="0" w:space="0" w:color="auto"/>
        <w:right w:val="none" w:sz="0" w:space="0" w:color="auto"/>
      </w:divBdr>
    </w:div>
    <w:div w:id="650135745">
      <w:bodyDiv w:val="1"/>
      <w:marLeft w:val="0"/>
      <w:marRight w:val="0"/>
      <w:marTop w:val="0"/>
      <w:marBottom w:val="0"/>
      <w:divBdr>
        <w:top w:val="none" w:sz="0" w:space="0" w:color="auto"/>
        <w:left w:val="none" w:sz="0" w:space="0" w:color="auto"/>
        <w:bottom w:val="none" w:sz="0" w:space="0" w:color="auto"/>
        <w:right w:val="none" w:sz="0" w:space="0" w:color="auto"/>
      </w:divBdr>
      <w:divsChild>
        <w:div w:id="1641307413">
          <w:marLeft w:val="0"/>
          <w:marRight w:val="0"/>
          <w:marTop w:val="0"/>
          <w:marBottom w:val="0"/>
          <w:divBdr>
            <w:top w:val="none" w:sz="0" w:space="0" w:color="auto"/>
            <w:left w:val="none" w:sz="0" w:space="0" w:color="auto"/>
            <w:bottom w:val="none" w:sz="0" w:space="0" w:color="auto"/>
            <w:right w:val="none" w:sz="0" w:space="0" w:color="auto"/>
          </w:divBdr>
          <w:divsChild>
            <w:div w:id="129249252">
              <w:marLeft w:val="0"/>
              <w:marRight w:val="0"/>
              <w:marTop w:val="0"/>
              <w:marBottom w:val="0"/>
              <w:divBdr>
                <w:top w:val="none" w:sz="0" w:space="0" w:color="auto"/>
                <w:left w:val="none" w:sz="0" w:space="0" w:color="auto"/>
                <w:bottom w:val="none" w:sz="0" w:space="0" w:color="auto"/>
                <w:right w:val="none" w:sz="0" w:space="0" w:color="auto"/>
              </w:divBdr>
            </w:div>
          </w:divsChild>
        </w:div>
        <w:div w:id="1572543060">
          <w:marLeft w:val="0"/>
          <w:marRight w:val="0"/>
          <w:marTop w:val="0"/>
          <w:marBottom w:val="0"/>
          <w:divBdr>
            <w:top w:val="none" w:sz="0" w:space="0" w:color="auto"/>
            <w:left w:val="none" w:sz="0" w:space="0" w:color="auto"/>
            <w:bottom w:val="none" w:sz="0" w:space="0" w:color="auto"/>
            <w:right w:val="none" w:sz="0" w:space="0" w:color="auto"/>
          </w:divBdr>
          <w:divsChild>
            <w:div w:id="2067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8177">
      <w:bodyDiv w:val="1"/>
      <w:marLeft w:val="0"/>
      <w:marRight w:val="0"/>
      <w:marTop w:val="0"/>
      <w:marBottom w:val="0"/>
      <w:divBdr>
        <w:top w:val="none" w:sz="0" w:space="0" w:color="auto"/>
        <w:left w:val="none" w:sz="0" w:space="0" w:color="auto"/>
        <w:bottom w:val="none" w:sz="0" w:space="0" w:color="auto"/>
        <w:right w:val="none" w:sz="0" w:space="0" w:color="auto"/>
      </w:divBdr>
    </w:div>
    <w:div w:id="10684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9739/jmsbc.v2i2.1045" TargetMode="External"/><Relationship Id="rId13" Type="http://schemas.openxmlformats.org/officeDocument/2006/relationships/hyperlink" Target="https://doi.org/10.69739/jece.v2i2.844"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oi.org/10.69739/jsrd.v1i2.1033" TargetMode="External"/><Relationship Id="rId12" Type="http://schemas.openxmlformats.org/officeDocument/2006/relationships/hyperlink" Target="https://doi.org/10.69739/jece.v2i2.961"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69739/jsrd.v1i2.1044"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5281/zenodo.17148360" TargetMode="External"/><Relationship Id="rId11" Type="http://schemas.openxmlformats.org/officeDocument/2006/relationships/hyperlink" Target="https://doi.org/10.69739/jlsph.v1i1.962"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ijmsrt.com" TargetMode="External"/><Relationship Id="rId23" Type="http://schemas.openxmlformats.org/officeDocument/2006/relationships/fontTable" Target="fontTable.xml"/><Relationship Id="rId10" Type="http://schemas.openxmlformats.org/officeDocument/2006/relationships/hyperlink" Target="http://www.ijmsrt.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69739/jlsph.v1i1.879" TargetMode="External"/><Relationship Id="rId14" Type="http://schemas.openxmlformats.org/officeDocument/2006/relationships/hyperlink" Target="https://doi.org/10.69739/jaaas.v2i2.88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1180</cp:lastModifiedBy>
  <cp:revision>21</cp:revision>
  <dcterms:created xsi:type="dcterms:W3CDTF">2025-10-29T12:07:00Z</dcterms:created>
  <dcterms:modified xsi:type="dcterms:W3CDTF">2025-10-30T09:09:00Z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a64a8251-cd4e-4bdb-ba29-c42e8e689eb0</vt:lpwstr>
  </property>
</Properties>
</file>