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7D9D" w14:textId="77777777" w:rsidR="00CB6535" w:rsidRDefault="008665FD">
      <w:pPr>
        <w:spacing w:before="100" w:beforeAutospacing="1" w:after="100" w:afterAutospacing="1" w:line="240" w:lineRule="auto"/>
        <w:jc w:val="center"/>
        <w:outlineLvl w:val="0"/>
        <w:rPr>
          <w:rFonts w:eastAsia="Times New Roman" w:cs="Times New Roman"/>
          <w:b/>
          <w:bCs/>
          <w:kern w:val="36"/>
          <w:sz w:val="28"/>
          <w:szCs w:val="28"/>
        </w:rPr>
      </w:pPr>
      <w:r>
        <w:rPr>
          <w:rFonts w:eastAsia="Times New Roman" w:cs="Times New Roman"/>
          <w:b/>
          <w:bCs/>
          <w:kern w:val="36"/>
          <w:sz w:val="28"/>
          <w:szCs w:val="28"/>
        </w:rPr>
        <w:t>Application of Okra Seed Extract as Natural Coagulant for Clay Suspension Treatment in Alluvial Mining Wastewater</w:t>
      </w:r>
    </w:p>
    <w:p w14:paraId="10B27C7E" w14:textId="7C046BD3" w:rsidR="00DE4817" w:rsidRDefault="00DE4817">
      <w:pPr>
        <w:spacing w:after="0" w:line="240" w:lineRule="auto"/>
        <w:rPr>
          <w:rFonts w:eastAsia="Times New Roman" w:cs="Times New Roman"/>
          <w:szCs w:val="24"/>
        </w:rPr>
      </w:pPr>
      <w:r>
        <w:rPr>
          <w:rFonts w:eastAsia="Times New Roman" w:cs="Times New Roman"/>
          <w:szCs w:val="24"/>
        </w:rPr>
        <w:t xml:space="preserve"> </w:t>
      </w:r>
    </w:p>
    <w:p w14:paraId="2A5EB362"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ABSTRACT</w:t>
      </w:r>
    </w:p>
    <w:p w14:paraId="0E1486A1"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Small-scale alluvial mining activities mainly cause water pollution and, as a result, water pollution remains a major problem in developing nations and, mo</w:t>
      </w:r>
      <w:r>
        <w:rPr>
          <w:rFonts w:eastAsia="Times New Roman" w:cs="Times New Roman"/>
          <w:szCs w:val="24"/>
        </w:rPr>
        <w:t>re specifically, in Ghana, where constant turbidity in the water bodies is caused by the clay minerals suspended in water. The aim of the present study was to determine the effectiveness of a natural coagulant in settling suspended clay solids in mining wa</w:t>
      </w:r>
      <w:r>
        <w:rPr>
          <w:rFonts w:eastAsia="Times New Roman" w:cs="Times New Roman"/>
          <w:szCs w:val="24"/>
        </w:rPr>
        <w:t xml:space="preserve">stewater using okra (Abelmoschus </w:t>
      </w:r>
      <w:proofErr w:type="spellStart"/>
      <w:r>
        <w:rPr>
          <w:rFonts w:eastAsia="Times New Roman" w:cs="Times New Roman"/>
          <w:szCs w:val="24"/>
        </w:rPr>
        <w:t>esculentus</w:t>
      </w:r>
      <w:proofErr w:type="spellEnd"/>
      <w:r>
        <w:rPr>
          <w:rFonts w:eastAsia="Times New Roman" w:cs="Times New Roman"/>
          <w:szCs w:val="24"/>
        </w:rPr>
        <w:t>) seed extract as the natural coagulant. Three samples (A, B and C) of clay at various small-scale alluvial mines were prepared at 45 per cent solid of pulp and subjected to natural settling conditions, as well as</w:t>
      </w:r>
      <w:r>
        <w:rPr>
          <w:rFonts w:eastAsia="Times New Roman" w:cs="Times New Roman"/>
          <w:szCs w:val="24"/>
        </w:rPr>
        <w:t>, coagulant treatment by the okra seed. Lime was used to adjust the pH in order to maximize the coagulation. Findings have established that okra seed extract enhanced settling speeds by about three times, and velocity enhanced to 0.056-0.102 m/s to 0.019-0</w:t>
      </w:r>
      <w:r>
        <w:rPr>
          <w:rFonts w:eastAsia="Times New Roman" w:cs="Times New Roman"/>
          <w:szCs w:val="24"/>
        </w:rPr>
        <w:t xml:space="preserve">.036 m/s. The turbidity was especially reduced, and came down to 78.83221.17-8.6716.07 NTU. The research establishes okra seed extract as a useful, eco-friendly substitute to traditional chemical coagulants to treat the mining wastewater and has potential </w:t>
      </w:r>
      <w:r>
        <w:rPr>
          <w:rFonts w:eastAsia="Times New Roman" w:cs="Times New Roman"/>
          <w:szCs w:val="24"/>
        </w:rPr>
        <w:t>to be used widely in the environment with resource restrictions.</w:t>
      </w:r>
    </w:p>
    <w:p w14:paraId="447D81AA"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b/>
          <w:bCs/>
          <w:szCs w:val="24"/>
        </w:rPr>
        <w:t>Keywords:</w:t>
      </w:r>
      <w:r>
        <w:rPr>
          <w:rFonts w:eastAsia="Times New Roman" w:cs="Times New Roman"/>
          <w:szCs w:val="24"/>
        </w:rPr>
        <w:t xml:space="preserve"> Natural coagulant, okra seed, clay suspension, alluvial mining, water treatment, turbidity reduction</w:t>
      </w:r>
    </w:p>
    <w:p w14:paraId="1DE432EC" w14:textId="77777777" w:rsidR="00CB6535" w:rsidRDefault="00CB6535">
      <w:pPr>
        <w:spacing w:before="100" w:beforeAutospacing="1" w:after="100" w:afterAutospacing="1" w:line="240" w:lineRule="auto"/>
        <w:outlineLvl w:val="1"/>
        <w:rPr>
          <w:rFonts w:eastAsia="Times New Roman" w:cs="Times New Roman"/>
          <w:b/>
          <w:bCs/>
          <w:szCs w:val="24"/>
        </w:rPr>
      </w:pPr>
    </w:p>
    <w:p w14:paraId="56824B3E" w14:textId="77777777" w:rsidR="00CB6535" w:rsidRDefault="00CB6535">
      <w:pPr>
        <w:spacing w:before="100" w:beforeAutospacing="1" w:after="100" w:afterAutospacing="1" w:line="240" w:lineRule="auto"/>
        <w:outlineLvl w:val="1"/>
        <w:rPr>
          <w:rFonts w:eastAsia="Times New Roman" w:cs="Times New Roman"/>
          <w:b/>
          <w:bCs/>
          <w:szCs w:val="24"/>
        </w:rPr>
      </w:pPr>
    </w:p>
    <w:p w14:paraId="5F8D7C9D" w14:textId="77777777" w:rsidR="00CB6535" w:rsidRDefault="00CB6535">
      <w:pPr>
        <w:spacing w:before="100" w:beforeAutospacing="1" w:after="100" w:afterAutospacing="1" w:line="240" w:lineRule="auto"/>
        <w:outlineLvl w:val="1"/>
        <w:rPr>
          <w:rFonts w:eastAsia="Times New Roman" w:cs="Times New Roman"/>
          <w:b/>
          <w:bCs/>
          <w:szCs w:val="24"/>
        </w:rPr>
      </w:pPr>
    </w:p>
    <w:p w14:paraId="51F26CE0" w14:textId="77777777" w:rsidR="00CB6535" w:rsidRDefault="00CB6535">
      <w:pPr>
        <w:spacing w:before="100" w:beforeAutospacing="1" w:after="100" w:afterAutospacing="1" w:line="240" w:lineRule="auto"/>
        <w:outlineLvl w:val="1"/>
        <w:rPr>
          <w:rFonts w:eastAsia="Times New Roman" w:cs="Times New Roman"/>
          <w:b/>
          <w:bCs/>
          <w:szCs w:val="24"/>
        </w:rPr>
      </w:pPr>
    </w:p>
    <w:p w14:paraId="5C479F0C" w14:textId="77777777" w:rsidR="00CB6535" w:rsidRDefault="00CB6535">
      <w:pPr>
        <w:spacing w:before="100" w:beforeAutospacing="1" w:after="100" w:afterAutospacing="1" w:line="240" w:lineRule="auto"/>
        <w:outlineLvl w:val="1"/>
        <w:rPr>
          <w:rFonts w:eastAsia="Times New Roman" w:cs="Times New Roman"/>
          <w:b/>
          <w:bCs/>
          <w:szCs w:val="24"/>
        </w:rPr>
      </w:pPr>
    </w:p>
    <w:p w14:paraId="42AD68C0" w14:textId="77777777" w:rsidR="00CB6535" w:rsidRDefault="00CB6535">
      <w:pPr>
        <w:spacing w:before="100" w:beforeAutospacing="1" w:after="100" w:afterAutospacing="1" w:line="240" w:lineRule="auto"/>
        <w:outlineLvl w:val="1"/>
        <w:rPr>
          <w:rFonts w:eastAsia="Times New Roman" w:cs="Times New Roman"/>
          <w:b/>
          <w:bCs/>
          <w:szCs w:val="24"/>
        </w:rPr>
      </w:pPr>
    </w:p>
    <w:p w14:paraId="11985BFA" w14:textId="77777777" w:rsidR="00CB6535" w:rsidRDefault="00CB6535">
      <w:pPr>
        <w:spacing w:before="100" w:beforeAutospacing="1" w:after="100" w:afterAutospacing="1" w:line="240" w:lineRule="auto"/>
        <w:outlineLvl w:val="1"/>
        <w:rPr>
          <w:rFonts w:eastAsia="Times New Roman" w:cs="Times New Roman"/>
          <w:b/>
          <w:bCs/>
          <w:szCs w:val="24"/>
        </w:rPr>
      </w:pPr>
    </w:p>
    <w:p w14:paraId="1D0D5193" w14:textId="77777777" w:rsidR="00CB6535" w:rsidRDefault="00CB6535">
      <w:pPr>
        <w:spacing w:before="100" w:beforeAutospacing="1" w:after="100" w:afterAutospacing="1" w:line="240" w:lineRule="auto"/>
        <w:outlineLvl w:val="1"/>
        <w:rPr>
          <w:rFonts w:eastAsia="Times New Roman" w:cs="Times New Roman"/>
          <w:b/>
          <w:bCs/>
          <w:szCs w:val="24"/>
        </w:rPr>
      </w:pPr>
    </w:p>
    <w:p w14:paraId="22FF4062" w14:textId="77777777" w:rsidR="00CB6535" w:rsidRDefault="00CB6535">
      <w:pPr>
        <w:spacing w:before="100" w:beforeAutospacing="1" w:after="100" w:afterAutospacing="1" w:line="240" w:lineRule="auto"/>
        <w:outlineLvl w:val="1"/>
        <w:rPr>
          <w:rFonts w:eastAsia="Times New Roman" w:cs="Times New Roman"/>
          <w:b/>
          <w:bCs/>
          <w:szCs w:val="24"/>
        </w:rPr>
      </w:pPr>
    </w:p>
    <w:p w14:paraId="3555AA1F" w14:textId="77777777" w:rsidR="00CB6535" w:rsidRDefault="00CB6535">
      <w:pPr>
        <w:spacing w:before="100" w:beforeAutospacing="1" w:after="100" w:afterAutospacing="1" w:line="240" w:lineRule="auto"/>
        <w:outlineLvl w:val="1"/>
        <w:rPr>
          <w:rFonts w:eastAsia="Times New Roman" w:cs="Times New Roman"/>
          <w:b/>
          <w:bCs/>
          <w:szCs w:val="24"/>
        </w:rPr>
      </w:pPr>
    </w:p>
    <w:p w14:paraId="326C3BC8" w14:textId="77777777" w:rsidR="00CB6535" w:rsidRDefault="00CB6535">
      <w:pPr>
        <w:spacing w:before="100" w:beforeAutospacing="1" w:after="100" w:afterAutospacing="1" w:line="240" w:lineRule="auto"/>
        <w:outlineLvl w:val="1"/>
        <w:rPr>
          <w:rFonts w:eastAsia="Times New Roman" w:cs="Times New Roman"/>
          <w:b/>
          <w:bCs/>
          <w:szCs w:val="24"/>
        </w:rPr>
      </w:pPr>
    </w:p>
    <w:p w14:paraId="7D3E3D4C"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lastRenderedPageBreak/>
        <w:t>1. INTRODUCTION</w:t>
      </w:r>
    </w:p>
    <w:p w14:paraId="57C27E0D"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1.1 Background</w:t>
      </w:r>
    </w:p>
    <w:p w14:paraId="5B6A92DC"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Availability of clean drinking water is a very serious problem in the developing countries especially in places that are impacted by the activities of the small-scale mining (</w:t>
      </w:r>
      <w:proofErr w:type="spellStart"/>
      <w:r>
        <w:rPr>
          <w:rFonts w:eastAsia="Times New Roman" w:cs="Times New Roman"/>
          <w:szCs w:val="24"/>
        </w:rPr>
        <w:t>Aryee</w:t>
      </w:r>
      <w:proofErr w:type="spellEnd"/>
      <w:r>
        <w:rPr>
          <w:rFonts w:eastAsia="Times New Roman" w:cs="Times New Roman"/>
          <w:szCs w:val="24"/>
        </w:rPr>
        <w:t xml:space="preserve"> </w:t>
      </w:r>
      <w:r>
        <w:rPr>
          <w:rFonts w:eastAsia="Times New Roman" w:cs="Times New Roman"/>
          <w:i/>
          <w:iCs/>
          <w:szCs w:val="24"/>
        </w:rPr>
        <w:t xml:space="preserve">et al., </w:t>
      </w:r>
      <w:r>
        <w:rPr>
          <w:rFonts w:eastAsia="Times New Roman" w:cs="Times New Roman"/>
          <w:szCs w:val="24"/>
        </w:rPr>
        <w:t>2003). Alluvial mining activities that take place at the banks of r</w:t>
      </w:r>
      <w:r>
        <w:rPr>
          <w:rFonts w:eastAsia="Times New Roman" w:cs="Times New Roman"/>
          <w:szCs w:val="24"/>
        </w:rPr>
        <w:t>ivers in Ghana and other West African nations have played a major role in the degradation of water quality by the release of the clay-loaded tailings into the water bodies. They are suspended clay particles, generally less than 0.004 mm diameter making col</w:t>
      </w:r>
      <w:r>
        <w:rPr>
          <w:rFonts w:eastAsia="Times New Roman" w:cs="Times New Roman"/>
          <w:szCs w:val="24"/>
        </w:rPr>
        <w:t>loidal suspensions which are hard to settle by natural means because of the electrostatic charge and the low specific gravity (</w:t>
      </w:r>
      <w:proofErr w:type="spellStart"/>
      <w:r>
        <w:rPr>
          <w:rFonts w:eastAsia="Times New Roman" w:cs="Times New Roman"/>
          <w:szCs w:val="24"/>
        </w:rPr>
        <w:t>Adetuyi</w:t>
      </w:r>
      <w:proofErr w:type="spellEnd"/>
      <w:r>
        <w:rPr>
          <w:rFonts w:eastAsia="Times New Roman" w:cs="Times New Roman"/>
          <w:szCs w:val="24"/>
        </w:rPr>
        <w:t xml:space="preserve"> </w:t>
      </w:r>
      <w:r>
        <w:rPr>
          <w:rFonts w:eastAsia="Times New Roman" w:cs="Times New Roman"/>
          <w:i/>
          <w:iCs/>
          <w:szCs w:val="24"/>
        </w:rPr>
        <w:t xml:space="preserve">et al., </w:t>
      </w:r>
      <w:r>
        <w:rPr>
          <w:rFonts w:eastAsia="Times New Roman" w:cs="Times New Roman"/>
          <w:szCs w:val="24"/>
        </w:rPr>
        <w:t>2011).</w:t>
      </w:r>
    </w:p>
    <w:p w14:paraId="2290EF78"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Alluvial mining, whereby minerals are mined in the sedimentary deposits in the rivers and streams has grow</w:t>
      </w:r>
      <w:r>
        <w:rPr>
          <w:rFonts w:eastAsia="Times New Roman" w:cs="Times New Roman"/>
          <w:szCs w:val="24"/>
        </w:rPr>
        <w:t>n at an alarming rate over the past few decades. Although this activity offers economy to the local communities, it has left a devastating impact on the environment (especially water contamination). Ghana has also witnessed significant degradation of river</w:t>
      </w:r>
      <w:r>
        <w:rPr>
          <w:rFonts w:eastAsia="Times New Roman" w:cs="Times New Roman"/>
          <w:szCs w:val="24"/>
        </w:rPr>
        <w:t xml:space="preserve">s like the </w:t>
      </w:r>
      <w:proofErr w:type="spellStart"/>
      <w:r>
        <w:rPr>
          <w:rFonts w:eastAsia="Times New Roman" w:cs="Times New Roman"/>
          <w:szCs w:val="24"/>
        </w:rPr>
        <w:t>Pra</w:t>
      </w:r>
      <w:proofErr w:type="spellEnd"/>
      <w:r>
        <w:rPr>
          <w:rFonts w:eastAsia="Times New Roman" w:cs="Times New Roman"/>
          <w:szCs w:val="24"/>
        </w:rPr>
        <w:t xml:space="preserve">, </w:t>
      </w:r>
      <w:proofErr w:type="spellStart"/>
      <w:r>
        <w:rPr>
          <w:rFonts w:eastAsia="Times New Roman" w:cs="Times New Roman"/>
          <w:szCs w:val="24"/>
        </w:rPr>
        <w:t>Densu</w:t>
      </w:r>
      <w:proofErr w:type="spellEnd"/>
      <w:r>
        <w:rPr>
          <w:rFonts w:eastAsia="Times New Roman" w:cs="Times New Roman"/>
          <w:szCs w:val="24"/>
        </w:rPr>
        <w:t xml:space="preserve"> and </w:t>
      </w:r>
      <w:proofErr w:type="spellStart"/>
      <w:r>
        <w:rPr>
          <w:rFonts w:eastAsia="Times New Roman" w:cs="Times New Roman"/>
          <w:szCs w:val="24"/>
        </w:rPr>
        <w:t>Ankobra</w:t>
      </w:r>
      <w:proofErr w:type="spellEnd"/>
      <w:r>
        <w:rPr>
          <w:rFonts w:eastAsia="Times New Roman" w:cs="Times New Roman"/>
          <w:szCs w:val="24"/>
        </w:rPr>
        <w:t xml:space="preserve"> which not only impacted on aquatic biodiversity in the rivers but also had implication on human beings who used the rivers as their sources of water.</w:t>
      </w:r>
    </w:p>
    <w:p w14:paraId="2D3F9780"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1.2 Problem Statement</w:t>
      </w:r>
    </w:p>
    <w:p w14:paraId="7BA3D938"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traditional method of treatment of turbid wate</w:t>
      </w:r>
      <w:r>
        <w:rPr>
          <w:rFonts w:eastAsia="Times New Roman" w:cs="Times New Roman"/>
          <w:szCs w:val="24"/>
        </w:rPr>
        <w:t xml:space="preserve">r is the use of chemical coagulants like </w:t>
      </w:r>
      <w:proofErr w:type="spellStart"/>
      <w:r>
        <w:rPr>
          <w:rFonts w:eastAsia="Times New Roman" w:cs="Times New Roman"/>
          <w:szCs w:val="24"/>
        </w:rPr>
        <w:t>polyaluminum</w:t>
      </w:r>
      <w:proofErr w:type="spellEnd"/>
      <w:r>
        <w:rPr>
          <w:rFonts w:eastAsia="Times New Roman" w:cs="Times New Roman"/>
          <w:szCs w:val="24"/>
        </w:rPr>
        <w:t xml:space="preserve"> chloride and aluminum sulfate (alum). There are, however, a number of disadvantages associated with the synthetic coagulants: they are costly to those communities that are resource constrained and they </w:t>
      </w:r>
      <w:r>
        <w:rPr>
          <w:rFonts w:eastAsia="Times New Roman" w:cs="Times New Roman"/>
          <w:szCs w:val="24"/>
        </w:rPr>
        <w:t>produce a sludge that is dangerous due to the presence of the residual aluminum, and may lower water pH, especially in low temperatures.</w:t>
      </w:r>
    </w:p>
    <w:p w14:paraId="57D143BC"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Dialysis encephalopathy and other health conditions are one of the problems that concern people about the possible corr</w:t>
      </w:r>
      <w:r>
        <w:rPr>
          <w:rFonts w:eastAsia="Times New Roman" w:cs="Times New Roman"/>
          <w:szCs w:val="24"/>
        </w:rPr>
        <w:t>elations to the accumulation of aluminum in the treated water. Moreover, there is a problem of disposing aluminum rich sludge, which pose environmental problems, as the substances may accumulate in the ecosystem, and they may find their way into food chain</w:t>
      </w:r>
      <w:r>
        <w:rPr>
          <w:rFonts w:eastAsia="Times New Roman" w:cs="Times New Roman"/>
          <w:szCs w:val="24"/>
        </w:rPr>
        <w:t>s. Such restrictions demand the search of other more sustainable coagulation technologies.</w:t>
      </w:r>
    </w:p>
    <w:p w14:paraId="12207005"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1.3 Rationale for Natural Coagulants</w:t>
      </w:r>
    </w:p>
    <w:p w14:paraId="017638CD"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Plant coagulants have shown good potentials as alternatives to chemical coagulants. In order to lower toxic sludge generation, m</w:t>
      </w:r>
      <w:r>
        <w:rPr>
          <w:rFonts w:eastAsia="Times New Roman" w:cs="Times New Roman"/>
          <w:szCs w:val="24"/>
        </w:rPr>
        <w:t>inimal toxic content, most of these bio-based materials are biodegradable, locally sourced and inexpensive, and do not have negatively affecting environmental impacts. Okra (</w:t>
      </w:r>
      <w:r>
        <w:rPr>
          <w:rFonts w:eastAsia="Times New Roman" w:cs="Times New Roman"/>
          <w:i/>
          <w:iCs/>
          <w:szCs w:val="24"/>
        </w:rPr>
        <w:t xml:space="preserve">Abelmoschus </w:t>
      </w:r>
      <w:proofErr w:type="spellStart"/>
      <w:r>
        <w:rPr>
          <w:rFonts w:eastAsia="Times New Roman" w:cs="Times New Roman"/>
          <w:i/>
          <w:iCs/>
          <w:szCs w:val="24"/>
        </w:rPr>
        <w:t>esculentus</w:t>
      </w:r>
      <w:proofErr w:type="spellEnd"/>
      <w:r>
        <w:rPr>
          <w:rFonts w:eastAsia="Times New Roman" w:cs="Times New Roman"/>
          <w:szCs w:val="24"/>
        </w:rPr>
        <w:t>) is among other natural coagulants being studied in the wor</w:t>
      </w:r>
      <w:r>
        <w:rPr>
          <w:rFonts w:eastAsia="Times New Roman" w:cs="Times New Roman"/>
          <w:szCs w:val="24"/>
        </w:rPr>
        <w:t>ld because it contains mucilaginous and polymer plant components.</w:t>
      </w:r>
    </w:p>
    <w:p w14:paraId="2F6DC0CE"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1.4 Research Objectives</w:t>
      </w:r>
    </w:p>
    <w:p w14:paraId="208A5862"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This paper has attempted to determine the success rate of okra seed extract as a natural coagulant to settle suspended clay vested in alluvial mining waste water. Cer</w:t>
      </w:r>
      <w:r>
        <w:rPr>
          <w:rFonts w:eastAsia="Times New Roman" w:cs="Times New Roman"/>
          <w:szCs w:val="24"/>
        </w:rPr>
        <w:t xml:space="preserve">tain goals encompassed: numerically testing improvements in settling rate resulting with okra seed treatment, efficiency to </w:t>
      </w:r>
      <w:r>
        <w:rPr>
          <w:rFonts w:eastAsia="Times New Roman" w:cs="Times New Roman"/>
          <w:szCs w:val="24"/>
        </w:rPr>
        <w:lastRenderedPageBreak/>
        <w:t>reduce turbidity, a determination of optimal pH conditions to coagulant, and individual compositions of clay samples.</w:t>
      </w:r>
    </w:p>
    <w:p w14:paraId="766D79C2"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2. MATERIALS A</w:t>
      </w:r>
      <w:r>
        <w:rPr>
          <w:rFonts w:eastAsia="Times New Roman" w:cs="Times New Roman"/>
          <w:b/>
          <w:bCs/>
          <w:szCs w:val="24"/>
        </w:rPr>
        <w:t>ND METHODS</w:t>
      </w:r>
    </w:p>
    <w:p w14:paraId="60E4FAFA"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2.1 Sample Collection and Preparation</w:t>
      </w:r>
    </w:p>
    <w:p w14:paraId="4B7D35D7"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Three clay samples were obtained at various small-scale alluvial mines in Ghana referring to the following sample names; Sample A (AKY site), Sample B (KOLAK site), and Sample C (BSDT site). The areas were c</w:t>
      </w:r>
      <w:r>
        <w:rPr>
          <w:rFonts w:eastAsia="Times New Roman" w:cs="Times New Roman"/>
          <w:szCs w:val="24"/>
        </w:rPr>
        <w:t>hosen to symbolize the common mines that have an impact on the available sources of water.</w:t>
      </w:r>
    </w:p>
    <w:p w14:paraId="1D875DF6"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Each site had a representative 20 kg bulk sample collected according to the conventional sampling procedures. The samples were sieved to obtain 80 percent passing 38</w:t>
      </w:r>
      <w:r>
        <w:rPr>
          <w:rFonts w:eastAsia="Times New Roman" w:cs="Times New Roman"/>
          <w:szCs w:val="24"/>
        </w:rPr>
        <w:t xml:space="preserve"> 000m particle size, which was consistent across all the experimental trials in terms of the distribution of the particle size. Experimental procedures were made on 1 kg representative portions of each bulk sample by means of standard quartering.</w:t>
      </w:r>
    </w:p>
    <w:p w14:paraId="6D2C6C93"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2.2 Coagu</w:t>
      </w:r>
      <w:r>
        <w:rPr>
          <w:rFonts w:eastAsia="Times New Roman" w:cs="Times New Roman"/>
          <w:b/>
          <w:bCs/>
          <w:szCs w:val="24"/>
        </w:rPr>
        <w:t>lant Preparation</w:t>
      </w:r>
    </w:p>
    <w:p w14:paraId="5C4E24CF"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Seeds of fresh okra were obtained in Tarkwa local markets in Ghana. The preparation procedure consisted of: full washing to eliminate impurities and debris, sun drying over 24 hours at ambient temperature (about 28- 32 C), mortar and pestl</w:t>
      </w:r>
      <w:r>
        <w:rPr>
          <w:rFonts w:eastAsia="Times New Roman" w:cs="Times New Roman"/>
          <w:szCs w:val="24"/>
        </w:rPr>
        <w:t>e grinding to obtain fine powder and sieving to eliminate bigger particles to achieve homogeneity.</w:t>
      </w:r>
    </w:p>
    <w:p w14:paraId="3CE6F822"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powder which resulted was kept in sealed containers at room temperature. Each run of the experiment used 1g of the stock sample of okra seed powder.</w:t>
      </w:r>
    </w:p>
    <w:p w14:paraId="03CA0F84"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 xml:space="preserve">2.3 </w:t>
      </w:r>
      <w:r>
        <w:rPr>
          <w:rFonts w:eastAsia="Times New Roman" w:cs="Times New Roman"/>
          <w:b/>
          <w:bCs/>
          <w:szCs w:val="24"/>
        </w:rPr>
        <w:t>Experimental Design</w:t>
      </w:r>
    </w:p>
    <w:p w14:paraId="79C1E24A" w14:textId="77777777" w:rsidR="00CB6535" w:rsidRDefault="008665FD">
      <w:pPr>
        <w:spacing w:before="100" w:beforeAutospacing="1" w:after="100" w:afterAutospacing="1" w:line="240" w:lineRule="auto"/>
        <w:jc w:val="both"/>
        <w:outlineLvl w:val="3"/>
        <w:rPr>
          <w:rFonts w:eastAsia="Times New Roman" w:cs="Times New Roman"/>
          <w:b/>
          <w:bCs/>
          <w:szCs w:val="24"/>
        </w:rPr>
      </w:pPr>
      <w:r>
        <w:rPr>
          <w:rFonts w:eastAsia="Times New Roman" w:cs="Times New Roman"/>
          <w:b/>
          <w:bCs/>
          <w:szCs w:val="24"/>
        </w:rPr>
        <w:t>2.3.1 Pulp Preparation</w:t>
      </w:r>
    </w:p>
    <w:p w14:paraId="1E131896"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All settling tests were conducted at 45% solid concentration, calculated as follows:</w:t>
      </w:r>
    </w:p>
    <w:p w14:paraId="5DA2F4F4"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For total volume of 250 mL:</w:t>
      </w:r>
    </w:p>
    <w:p w14:paraId="4F9C12E6" w14:textId="77777777" w:rsidR="00CB6535" w:rsidRDefault="008665FD">
      <w:pPr>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Mass of solid = ρ × (250 - X) mL</w:t>
      </w:r>
    </w:p>
    <w:p w14:paraId="318DEEBA" w14:textId="77777777" w:rsidR="00CB6535" w:rsidRDefault="008665FD">
      <w:pPr>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Where X = volume of water</w:t>
      </w:r>
    </w:p>
    <w:p w14:paraId="2D0C2200" w14:textId="77777777" w:rsidR="00CB6535" w:rsidRDefault="008665FD">
      <w:pPr>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Percent solid = 45%</w:t>
      </w:r>
    </w:p>
    <w:p w14:paraId="458117F7"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This concentration </w:t>
      </w:r>
      <w:r>
        <w:rPr>
          <w:rFonts w:eastAsia="Times New Roman" w:cs="Times New Roman"/>
          <w:szCs w:val="24"/>
        </w:rPr>
        <w:t>was selected to simulate typical tailings densities encountered in small-scale mining operations while ensuring reproducible results.</w:t>
      </w:r>
    </w:p>
    <w:p w14:paraId="048140E4" w14:textId="77777777" w:rsidR="00CB6535" w:rsidRDefault="008665FD">
      <w:pPr>
        <w:spacing w:before="100" w:beforeAutospacing="1" w:after="100" w:afterAutospacing="1" w:line="240" w:lineRule="auto"/>
        <w:jc w:val="both"/>
        <w:outlineLvl w:val="3"/>
        <w:rPr>
          <w:rFonts w:eastAsia="Times New Roman" w:cs="Times New Roman"/>
          <w:b/>
          <w:bCs/>
          <w:szCs w:val="24"/>
        </w:rPr>
      </w:pPr>
      <w:r>
        <w:rPr>
          <w:rFonts w:eastAsia="Times New Roman" w:cs="Times New Roman"/>
          <w:b/>
          <w:bCs/>
          <w:szCs w:val="24"/>
        </w:rPr>
        <w:t>2.3.2 Natural Settling Tests</w:t>
      </w:r>
    </w:p>
    <w:p w14:paraId="6DA31C5A" w14:textId="77777777" w:rsidR="00CB6535" w:rsidRDefault="008665FD">
      <w:p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Early settlement condition was defined in natural conditions:</w:t>
      </w:r>
    </w:p>
    <w:p w14:paraId="2583AB5F"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lastRenderedPageBreak/>
        <w:t>80 g of the samples each were a</w:t>
      </w:r>
      <w:r>
        <w:rPr>
          <w:rFonts w:eastAsia="Times New Roman" w:cs="Times New Roman"/>
          <w:szCs w:val="24"/>
        </w:rPr>
        <w:t>dded to 220 mL of fresh water.</w:t>
      </w:r>
    </w:p>
    <w:p w14:paraId="47522CF5"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Mixes were pipetted (2 times) into graduated cylinders (250 mL).</w:t>
      </w:r>
    </w:p>
    <w:p w14:paraId="36939DDA"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Natural pH was taken with the help of a calibrated pH meter.</w:t>
      </w:r>
    </w:p>
    <w:p w14:paraId="581B8EC8"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Settling interface height was measured at time intervals that included 0, 2, 4, 6 and 8, 10, 15, 20</w:t>
      </w:r>
      <w:r>
        <w:rPr>
          <w:rFonts w:eastAsia="Times New Roman" w:cs="Times New Roman"/>
          <w:szCs w:val="24"/>
        </w:rPr>
        <w:t>, 25, 30, 40, 50, 70 and 90 minutes.</w:t>
      </w:r>
    </w:p>
    <w:p w14:paraId="34417FA6" w14:textId="77777777" w:rsidR="00CB6535" w:rsidRDefault="008665FD">
      <w:p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Initial turbidity was measured with the help of turbidity meter.</w:t>
      </w:r>
    </w:p>
    <w:p w14:paraId="4FCAD9D9" w14:textId="77777777" w:rsidR="00CB6535" w:rsidRDefault="008665FD">
      <w:pPr>
        <w:spacing w:before="100" w:beforeAutospacing="1" w:after="100" w:afterAutospacing="1" w:line="240" w:lineRule="auto"/>
        <w:jc w:val="both"/>
        <w:outlineLvl w:val="3"/>
        <w:rPr>
          <w:rFonts w:eastAsia="Times New Roman" w:cs="Times New Roman"/>
          <w:b/>
          <w:bCs/>
          <w:szCs w:val="24"/>
        </w:rPr>
      </w:pPr>
      <w:r>
        <w:rPr>
          <w:rFonts w:eastAsia="Times New Roman" w:cs="Times New Roman"/>
          <w:b/>
          <w:bCs/>
          <w:szCs w:val="24"/>
        </w:rPr>
        <w:t>2.3.3 Coagulation Tests</w:t>
      </w:r>
    </w:p>
    <w:p w14:paraId="34142BCE"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To assist the settling by coagulant:</w:t>
      </w:r>
    </w:p>
    <w:p w14:paraId="04E14CBD"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Fresh samples were made at a solid concentration of 45% fresh.</w:t>
      </w:r>
    </w:p>
    <w:p w14:paraId="5249AC66"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pH was then brought to a v</w:t>
      </w:r>
      <w:r>
        <w:rPr>
          <w:rFonts w:eastAsia="Times New Roman" w:cs="Times New Roman"/>
          <w:szCs w:val="24"/>
        </w:rPr>
        <w:t>alue of around 10.7 by adding 0.85 g lime (</w:t>
      </w:r>
      <w:proofErr w:type="spellStart"/>
      <w:r>
        <w:rPr>
          <w:rFonts w:eastAsia="Times New Roman" w:cs="Times New Roman"/>
          <w:szCs w:val="24"/>
        </w:rPr>
        <w:t>CaO</w:t>
      </w:r>
      <w:proofErr w:type="spellEnd"/>
      <w:r>
        <w:rPr>
          <w:rFonts w:eastAsia="Times New Roman" w:cs="Times New Roman"/>
          <w:szCs w:val="24"/>
        </w:rPr>
        <w:t>).</w:t>
      </w:r>
    </w:p>
    <w:p w14:paraId="6F67B8AB"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Ascent: 1 g okra seed powder was put in each sample.</w:t>
      </w:r>
    </w:p>
    <w:p w14:paraId="79245C5F"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Mixtures were stirred by hand during 30 seconds in order to have homogeneous distribution.</w:t>
      </w:r>
    </w:p>
    <w:p w14:paraId="02F8AA37"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Settling interface was observed in identical intervals.</w:t>
      </w:r>
    </w:p>
    <w:p w14:paraId="18A6C3A5"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 xml:space="preserve">Final </w:t>
      </w:r>
      <w:r>
        <w:rPr>
          <w:rFonts w:eastAsia="Times New Roman" w:cs="Times New Roman"/>
          <w:szCs w:val="24"/>
        </w:rPr>
        <w:t>turbidity was determined after 90 minutes.</w:t>
      </w:r>
    </w:p>
    <w:p w14:paraId="50AC453E"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2.4 Analytical Methods</w:t>
      </w:r>
    </w:p>
    <w:p w14:paraId="7BE9441F" w14:textId="77777777" w:rsidR="00CB6535" w:rsidRDefault="008665FD">
      <w:pPr>
        <w:spacing w:before="100" w:beforeAutospacing="1" w:after="100" w:afterAutospacing="1" w:line="240" w:lineRule="auto"/>
        <w:outlineLvl w:val="1"/>
        <w:rPr>
          <w:rFonts w:eastAsia="Times New Roman" w:cs="Times New Roman"/>
          <w:szCs w:val="24"/>
        </w:rPr>
      </w:pPr>
      <w:r>
        <w:rPr>
          <w:rFonts w:eastAsia="Times New Roman" w:cs="Times New Roman"/>
          <w:b/>
          <w:bCs/>
          <w:szCs w:val="24"/>
        </w:rPr>
        <w:t>pH Measurement:</w:t>
      </w:r>
      <w:r>
        <w:rPr>
          <w:rFonts w:eastAsia="Times New Roman" w:cs="Times New Roman"/>
          <w:szCs w:val="24"/>
        </w:rPr>
        <w:t xml:space="preserve"> In this case, the measurement was performed with the help of a calibrated digital pH meter (precision within spotted potassium deficiencies = -++) right after pulp preparatio</w:t>
      </w:r>
      <w:r>
        <w:rPr>
          <w:rFonts w:eastAsia="Times New Roman" w:cs="Times New Roman"/>
          <w:szCs w:val="24"/>
        </w:rPr>
        <w:t>n or after the lime was treated.</w:t>
      </w:r>
    </w:p>
    <w:p w14:paraId="3EE748FB" w14:textId="77777777" w:rsidR="00CB6535" w:rsidRDefault="008665FD">
      <w:pPr>
        <w:spacing w:before="100" w:beforeAutospacing="1" w:after="100" w:afterAutospacing="1" w:line="240" w:lineRule="auto"/>
        <w:outlineLvl w:val="1"/>
        <w:rPr>
          <w:rFonts w:eastAsia="Times New Roman" w:cs="Times New Roman"/>
          <w:szCs w:val="24"/>
        </w:rPr>
      </w:pPr>
      <w:r>
        <w:rPr>
          <w:rFonts w:eastAsia="Times New Roman" w:cs="Times New Roman"/>
          <w:b/>
          <w:bCs/>
          <w:szCs w:val="24"/>
        </w:rPr>
        <w:t>Turbidity Analysis:</w:t>
      </w:r>
      <w:r>
        <w:rPr>
          <w:rFonts w:eastAsia="Times New Roman" w:cs="Times New Roman"/>
          <w:szCs w:val="24"/>
        </w:rPr>
        <w:t xml:space="preserve"> Turbidity and clarity were determined by use of nephelometric turbidity meter using the </w:t>
      </w:r>
      <w:proofErr w:type="spellStart"/>
      <w:r>
        <w:rPr>
          <w:rFonts w:eastAsia="Times New Roman" w:cs="Times New Roman"/>
          <w:szCs w:val="24"/>
        </w:rPr>
        <w:t>formazin</w:t>
      </w:r>
      <w:proofErr w:type="spellEnd"/>
      <w:r>
        <w:rPr>
          <w:rFonts w:eastAsia="Times New Roman" w:cs="Times New Roman"/>
          <w:szCs w:val="24"/>
        </w:rPr>
        <w:t xml:space="preserve"> standards in Nephelometric Turbidity Unit (NTU).</w:t>
      </w:r>
    </w:p>
    <w:p w14:paraId="49E7986E" w14:textId="77777777" w:rsidR="00CB6535" w:rsidRDefault="008665FD">
      <w:pPr>
        <w:spacing w:before="100" w:beforeAutospacing="1" w:after="100" w:afterAutospacing="1" w:line="240" w:lineRule="auto"/>
        <w:outlineLvl w:val="1"/>
        <w:rPr>
          <w:rFonts w:eastAsia="Times New Roman" w:cs="Times New Roman"/>
          <w:szCs w:val="24"/>
        </w:rPr>
      </w:pPr>
      <w:r>
        <w:rPr>
          <w:rFonts w:eastAsia="Times New Roman" w:cs="Times New Roman"/>
          <w:b/>
          <w:bCs/>
          <w:szCs w:val="24"/>
        </w:rPr>
        <w:t>Calculation of Settling rate:</w:t>
      </w:r>
      <w:r>
        <w:rPr>
          <w:rFonts w:eastAsia="Times New Roman" w:cs="Times New Roman"/>
          <w:szCs w:val="24"/>
        </w:rPr>
        <w:t xml:space="preserve"> It was calculated by observ</w:t>
      </w:r>
      <w:r>
        <w:rPr>
          <w:rFonts w:eastAsia="Times New Roman" w:cs="Times New Roman"/>
          <w:szCs w:val="24"/>
        </w:rPr>
        <w:t>ing the slope of the height versus time plots in the first linear settling period, which is in meters per second (m/s).</w:t>
      </w:r>
    </w:p>
    <w:p w14:paraId="54CF863B"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3. RESULTS</w:t>
      </w:r>
    </w:p>
    <w:p w14:paraId="385D7035"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3.1 Initial Sample Characterization</w:t>
      </w:r>
    </w:p>
    <w:p w14:paraId="73A674DF"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t>3.1.1 Natural pH</w:t>
      </w:r>
    </w:p>
    <w:p w14:paraId="53DE8420"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pH of the natural samples of clay was found to be between 6.65 and 6</w:t>
      </w:r>
      <w:r>
        <w:rPr>
          <w:rFonts w:eastAsia="Times New Roman" w:cs="Times New Roman"/>
          <w:szCs w:val="24"/>
        </w:rPr>
        <w:t>.85 that is to say slightly acidic and near-neutral conditions:</w:t>
      </w:r>
    </w:p>
    <w:p w14:paraId="1A7F95DF"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1</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Showing the Natural pH of the Various Samples</w:t>
      </w:r>
    </w:p>
    <w:tbl>
      <w:tblPr>
        <w:tblStyle w:val="TableGrid"/>
        <w:tblW w:w="0" w:type="auto"/>
        <w:tblLook w:val="04A0" w:firstRow="1" w:lastRow="0" w:firstColumn="1" w:lastColumn="0" w:noHBand="0" w:noVBand="1"/>
      </w:tblPr>
      <w:tblGrid>
        <w:gridCol w:w="977"/>
        <w:gridCol w:w="1397"/>
      </w:tblGrid>
      <w:tr w:rsidR="00CB6535" w14:paraId="7D562930" w14:textId="77777777">
        <w:tc>
          <w:tcPr>
            <w:tcW w:w="0" w:type="auto"/>
          </w:tcPr>
          <w:p w14:paraId="2BA5421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7DE60B8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Natural pH</w:t>
            </w:r>
          </w:p>
        </w:tc>
      </w:tr>
      <w:tr w:rsidR="00CB6535" w14:paraId="69EB8D65" w14:textId="77777777">
        <w:tc>
          <w:tcPr>
            <w:tcW w:w="0" w:type="auto"/>
          </w:tcPr>
          <w:p w14:paraId="6D771823"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0CE5E0BE" w14:textId="77777777" w:rsidR="00CB6535" w:rsidRDefault="008665FD">
            <w:pPr>
              <w:spacing w:after="0" w:line="240" w:lineRule="auto"/>
              <w:rPr>
                <w:rFonts w:eastAsia="Times New Roman" w:cs="Times New Roman"/>
                <w:szCs w:val="24"/>
              </w:rPr>
            </w:pPr>
            <w:r>
              <w:rPr>
                <w:rFonts w:eastAsia="Times New Roman" w:cs="Times New Roman"/>
                <w:szCs w:val="24"/>
              </w:rPr>
              <w:t>6.82</w:t>
            </w:r>
          </w:p>
        </w:tc>
      </w:tr>
      <w:tr w:rsidR="00CB6535" w14:paraId="629EBC88" w14:textId="77777777">
        <w:tc>
          <w:tcPr>
            <w:tcW w:w="0" w:type="auto"/>
          </w:tcPr>
          <w:p w14:paraId="0C9C5AA0"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654D540F" w14:textId="77777777" w:rsidR="00CB6535" w:rsidRDefault="008665FD">
            <w:pPr>
              <w:spacing w:after="0" w:line="240" w:lineRule="auto"/>
              <w:rPr>
                <w:rFonts w:eastAsia="Times New Roman" w:cs="Times New Roman"/>
                <w:szCs w:val="24"/>
              </w:rPr>
            </w:pPr>
            <w:r>
              <w:rPr>
                <w:rFonts w:eastAsia="Times New Roman" w:cs="Times New Roman"/>
                <w:szCs w:val="24"/>
              </w:rPr>
              <w:t>6.65</w:t>
            </w:r>
          </w:p>
        </w:tc>
      </w:tr>
      <w:tr w:rsidR="00CB6535" w14:paraId="2974C2C0" w14:textId="77777777">
        <w:tc>
          <w:tcPr>
            <w:tcW w:w="0" w:type="auto"/>
          </w:tcPr>
          <w:p w14:paraId="7EB39B9F" w14:textId="77777777" w:rsidR="00CB6535" w:rsidRDefault="008665FD">
            <w:pPr>
              <w:spacing w:after="0" w:line="240" w:lineRule="auto"/>
              <w:rPr>
                <w:rFonts w:eastAsia="Times New Roman" w:cs="Times New Roman"/>
                <w:szCs w:val="24"/>
              </w:rPr>
            </w:pPr>
            <w:r>
              <w:rPr>
                <w:rFonts w:eastAsia="Times New Roman" w:cs="Times New Roman"/>
                <w:szCs w:val="24"/>
              </w:rPr>
              <w:lastRenderedPageBreak/>
              <w:t>C</w:t>
            </w:r>
          </w:p>
        </w:tc>
        <w:tc>
          <w:tcPr>
            <w:tcW w:w="0" w:type="auto"/>
          </w:tcPr>
          <w:p w14:paraId="4B662A62" w14:textId="77777777" w:rsidR="00CB6535" w:rsidRDefault="008665FD">
            <w:pPr>
              <w:spacing w:after="0" w:line="240" w:lineRule="auto"/>
              <w:rPr>
                <w:rFonts w:eastAsia="Times New Roman" w:cs="Times New Roman"/>
                <w:szCs w:val="24"/>
              </w:rPr>
            </w:pPr>
            <w:r>
              <w:rPr>
                <w:rFonts w:eastAsia="Times New Roman" w:cs="Times New Roman"/>
                <w:szCs w:val="24"/>
              </w:rPr>
              <w:t>6.85</w:t>
            </w:r>
          </w:p>
        </w:tc>
      </w:tr>
    </w:tbl>
    <w:p w14:paraId="7F600EB9"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The pH values are typical of a clay mineral which contains silica and </w:t>
      </w:r>
      <w:r>
        <w:rPr>
          <w:rFonts w:eastAsia="Times New Roman" w:cs="Times New Roman"/>
          <w:szCs w:val="24"/>
        </w:rPr>
        <w:t>other metal oxides and the chemical composition of the sedimentary minerals are reflected in the natural chemical composition.</w:t>
      </w:r>
    </w:p>
    <w:p w14:paraId="2321BA48"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t>3.1.2 Initial Turbidity</w:t>
      </w:r>
    </w:p>
    <w:p w14:paraId="5FF4255C"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Significant variation in initial turbidity was observed across samples:</w:t>
      </w:r>
    </w:p>
    <w:p w14:paraId="344A2605"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2</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w:t>
      </w:r>
      <w:r>
        <w:rPr>
          <w:i w:val="0"/>
          <w:iCs w:val="0"/>
          <w:color w:val="000000" w:themeColor="text1"/>
          <w:sz w:val="24"/>
          <w:szCs w:val="24"/>
        </w:rPr>
        <w:t>Turbidity before Coagulation.</w:t>
      </w:r>
    </w:p>
    <w:tbl>
      <w:tblPr>
        <w:tblStyle w:val="TableGrid"/>
        <w:tblW w:w="0" w:type="auto"/>
        <w:tblLook w:val="04A0" w:firstRow="1" w:lastRow="0" w:firstColumn="1" w:lastColumn="0" w:noHBand="0" w:noVBand="1"/>
      </w:tblPr>
      <w:tblGrid>
        <w:gridCol w:w="977"/>
        <w:gridCol w:w="2630"/>
      </w:tblGrid>
      <w:tr w:rsidR="00CB6535" w14:paraId="205338F7" w14:textId="77777777">
        <w:tc>
          <w:tcPr>
            <w:tcW w:w="0" w:type="auto"/>
          </w:tcPr>
          <w:p w14:paraId="1BA1615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1920F492"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Initial Turbidity (NTU)</w:t>
            </w:r>
          </w:p>
        </w:tc>
      </w:tr>
      <w:tr w:rsidR="00CB6535" w14:paraId="548A5765" w14:textId="77777777">
        <w:tc>
          <w:tcPr>
            <w:tcW w:w="0" w:type="auto"/>
          </w:tcPr>
          <w:p w14:paraId="33BD30DA"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7C07DBDB" w14:textId="77777777" w:rsidR="00CB6535" w:rsidRDefault="008665FD">
            <w:pPr>
              <w:spacing w:after="0" w:line="240" w:lineRule="auto"/>
              <w:rPr>
                <w:rFonts w:eastAsia="Times New Roman" w:cs="Times New Roman"/>
                <w:szCs w:val="24"/>
              </w:rPr>
            </w:pPr>
            <w:r>
              <w:rPr>
                <w:rFonts w:eastAsia="Times New Roman" w:cs="Times New Roman"/>
                <w:szCs w:val="24"/>
              </w:rPr>
              <w:t>78.83</w:t>
            </w:r>
          </w:p>
        </w:tc>
      </w:tr>
      <w:tr w:rsidR="00CB6535" w14:paraId="3D7C21D8" w14:textId="77777777">
        <w:tc>
          <w:tcPr>
            <w:tcW w:w="0" w:type="auto"/>
          </w:tcPr>
          <w:p w14:paraId="5A479AD3"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080B8864" w14:textId="77777777" w:rsidR="00CB6535" w:rsidRDefault="008665FD">
            <w:pPr>
              <w:spacing w:after="0" w:line="240" w:lineRule="auto"/>
              <w:rPr>
                <w:rFonts w:eastAsia="Times New Roman" w:cs="Times New Roman"/>
                <w:szCs w:val="24"/>
              </w:rPr>
            </w:pPr>
            <w:r>
              <w:rPr>
                <w:rFonts w:eastAsia="Times New Roman" w:cs="Times New Roman"/>
                <w:szCs w:val="24"/>
              </w:rPr>
              <w:t>99.17</w:t>
            </w:r>
          </w:p>
        </w:tc>
      </w:tr>
      <w:tr w:rsidR="00CB6535" w14:paraId="7CEE9DCA" w14:textId="77777777">
        <w:tc>
          <w:tcPr>
            <w:tcW w:w="0" w:type="auto"/>
          </w:tcPr>
          <w:p w14:paraId="5E2B3A2D"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3B63C0F7" w14:textId="77777777" w:rsidR="00CB6535" w:rsidRDefault="008665FD">
            <w:pPr>
              <w:spacing w:after="0" w:line="240" w:lineRule="auto"/>
              <w:rPr>
                <w:rFonts w:eastAsia="Times New Roman" w:cs="Times New Roman"/>
                <w:szCs w:val="24"/>
              </w:rPr>
            </w:pPr>
            <w:r>
              <w:rPr>
                <w:rFonts w:eastAsia="Times New Roman" w:cs="Times New Roman"/>
                <w:szCs w:val="24"/>
              </w:rPr>
              <w:t>221.17</w:t>
            </w:r>
          </w:p>
        </w:tc>
      </w:tr>
    </w:tbl>
    <w:p w14:paraId="69285B52" w14:textId="77777777" w:rsidR="00CB6535" w:rsidRDefault="008665FD">
      <w:pPr>
        <w:spacing w:before="100" w:beforeAutospacing="1" w:after="100" w:afterAutospacing="1" w:line="240" w:lineRule="auto"/>
        <w:outlineLvl w:val="2"/>
        <w:rPr>
          <w:rFonts w:eastAsia="Times New Roman" w:cs="Times New Roman"/>
          <w:szCs w:val="24"/>
        </w:rPr>
      </w:pPr>
      <w:r>
        <w:rPr>
          <w:rFonts w:eastAsia="Times New Roman" w:cs="Times New Roman"/>
          <w:szCs w:val="24"/>
        </w:rPr>
        <w:t xml:space="preserve">Sample C had almost triple the turbidity of Sample A, which indicates that there are variations in the composition of clay mineral and particle size distribution or </w:t>
      </w:r>
      <w:r>
        <w:rPr>
          <w:rFonts w:eastAsia="Times New Roman" w:cs="Times New Roman"/>
          <w:szCs w:val="24"/>
        </w:rPr>
        <w:t>surface chemistry.</w:t>
      </w:r>
    </w:p>
    <w:p w14:paraId="4C444C41"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3.2 Natural Settling Behavior</w:t>
      </w:r>
    </w:p>
    <w:p w14:paraId="732E2FEE"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Under natural conditions without coagulant, all samples demonstrated slow settling rates characteristic of fine clay suspensions:</w:t>
      </w:r>
    </w:p>
    <w:p w14:paraId="4DF1A0E4" w14:textId="10D8FD5A" w:rsidR="008D6A46" w:rsidRDefault="008D6A46">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Chart 1: </w:t>
      </w:r>
      <w:r w:rsidR="00FF369F" w:rsidRPr="00FF369F">
        <w:rPr>
          <w:rFonts w:eastAsia="Times New Roman" w:cs="Times New Roman"/>
          <w:szCs w:val="24"/>
        </w:rPr>
        <w:t>Comparison of Settling Behavior of Suspended Particulate Samples</w:t>
      </w:r>
    </w:p>
    <w:tbl>
      <w:tblPr>
        <w:tblStyle w:val="TableGrid"/>
        <w:tblW w:w="0" w:type="auto"/>
        <w:tblLook w:val="04A0" w:firstRow="1" w:lastRow="0" w:firstColumn="1" w:lastColumn="0" w:noHBand="0" w:noVBand="1"/>
      </w:tblPr>
      <w:tblGrid>
        <w:gridCol w:w="977"/>
        <w:gridCol w:w="2123"/>
        <w:gridCol w:w="3123"/>
      </w:tblGrid>
      <w:tr w:rsidR="00CB6535" w14:paraId="1248CF13" w14:textId="77777777">
        <w:tc>
          <w:tcPr>
            <w:tcW w:w="0" w:type="auto"/>
          </w:tcPr>
          <w:p w14:paraId="49B6262A"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w:t>
            </w:r>
            <w:r>
              <w:rPr>
                <w:rFonts w:eastAsia="Times New Roman" w:cs="Times New Roman"/>
                <w:b/>
                <w:bCs/>
                <w:szCs w:val="24"/>
              </w:rPr>
              <w:t>ple</w:t>
            </w:r>
          </w:p>
        </w:tc>
        <w:tc>
          <w:tcPr>
            <w:tcW w:w="0" w:type="auto"/>
          </w:tcPr>
          <w:p w14:paraId="6BE30334"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Settling Rate (m/s)</w:t>
            </w:r>
          </w:p>
        </w:tc>
        <w:tc>
          <w:tcPr>
            <w:tcW w:w="0" w:type="auto"/>
          </w:tcPr>
          <w:p w14:paraId="7EFEDBF2"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Time for 50% Settling (min)</w:t>
            </w:r>
          </w:p>
        </w:tc>
      </w:tr>
      <w:tr w:rsidR="00CB6535" w14:paraId="3AD89E78" w14:textId="77777777">
        <w:tc>
          <w:tcPr>
            <w:tcW w:w="0" w:type="auto"/>
          </w:tcPr>
          <w:p w14:paraId="0E3CBEA2"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4B69FF34" w14:textId="77777777" w:rsidR="00CB6535" w:rsidRDefault="008665FD">
            <w:pPr>
              <w:spacing w:after="0" w:line="240" w:lineRule="auto"/>
              <w:rPr>
                <w:rFonts w:eastAsia="Times New Roman" w:cs="Times New Roman"/>
                <w:szCs w:val="24"/>
              </w:rPr>
            </w:pPr>
            <w:r>
              <w:rPr>
                <w:rFonts w:eastAsia="Times New Roman" w:cs="Times New Roman"/>
                <w:szCs w:val="24"/>
              </w:rPr>
              <w:t>0.019</w:t>
            </w:r>
          </w:p>
        </w:tc>
        <w:tc>
          <w:tcPr>
            <w:tcW w:w="0" w:type="auto"/>
          </w:tcPr>
          <w:p w14:paraId="3C704A21" w14:textId="77777777" w:rsidR="00CB6535" w:rsidRDefault="008665FD">
            <w:pPr>
              <w:spacing w:after="0" w:line="240" w:lineRule="auto"/>
              <w:rPr>
                <w:rFonts w:eastAsia="Times New Roman" w:cs="Times New Roman"/>
                <w:szCs w:val="24"/>
              </w:rPr>
            </w:pPr>
            <w:r>
              <w:rPr>
                <w:rFonts w:eastAsia="Times New Roman" w:cs="Times New Roman"/>
                <w:szCs w:val="24"/>
              </w:rPr>
              <w:t>&gt;50</w:t>
            </w:r>
          </w:p>
        </w:tc>
      </w:tr>
      <w:tr w:rsidR="00CB6535" w14:paraId="0EDE0E23" w14:textId="77777777">
        <w:tc>
          <w:tcPr>
            <w:tcW w:w="0" w:type="auto"/>
          </w:tcPr>
          <w:p w14:paraId="23442A34"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0913C0BF" w14:textId="77777777" w:rsidR="00CB6535" w:rsidRDefault="008665FD">
            <w:pPr>
              <w:spacing w:after="0" w:line="240" w:lineRule="auto"/>
              <w:rPr>
                <w:rFonts w:eastAsia="Times New Roman" w:cs="Times New Roman"/>
                <w:szCs w:val="24"/>
              </w:rPr>
            </w:pPr>
            <w:r>
              <w:rPr>
                <w:rFonts w:eastAsia="Times New Roman" w:cs="Times New Roman"/>
                <w:szCs w:val="24"/>
              </w:rPr>
              <w:t>0.021</w:t>
            </w:r>
          </w:p>
        </w:tc>
        <w:tc>
          <w:tcPr>
            <w:tcW w:w="0" w:type="auto"/>
          </w:tcPr>
          <w:p w14:paraId="55D6072C" w14:textId="77777777" w:rsidR="00CB6535" w:rsidRDefault="008665FD">
            <w:pPr>
              <w:spacing w:after="0" w:line="240" w:lineRule="auto"/>
              <w:rPr>
                <w:rFonts w:eastAsia="Times New Roman" w:cs="Times New Roman"/>
                <w:szCs w:val="24"/>
              </w:rPr>
            </w:pPr>
            <w:r>
              <w:rPr>
                <w:rFonts w:eastAsia="Times New Roman" w:cs="Times New Roman"/>
                <w:szCs w:val="24"/>
              </w:rPr>
              <w:t>&gt;50</w:t>
            </w:r>
          </w:p>
        </w:tc>
      </w:tr>
      <w:tr w:rsidR="00CB6535" w14:paraId="5B4AF232" w14:textId="77777777">
        <w:tc>
          <w:tcPr>
            <w:tcW w:w="0" w:type="auto"/>
          </w:tcPr>
          <w:p w14:paraId="77D0FE72"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27BE6249" w14:textId="77777777" w:rsidR="00CB6535" w:rsidRDefault="008665FD">
            <w:pPr>
              <w:spacing w:after="0" w:line="240" w:lineRule="auto"/>
              <w:rPr>
                <w:rFonts w:eastAsia="Times New Roman" w:cs="Times New Roman"/>
                <w:szCs w:val="24"/>
              </w:rPr>
            </w:pPr>
            <w:r>
              <w:rPr>
                <w:rFonts w:eastAsia="Times New Roman" w:cs="Times New Roman"/>
                <w:szCs w:val="24"/>
              </w:rPr>
              <w:t>0.036</w:t>
            </w:r>
          </w:p>
        </w:tc>
        <w:tc>
          <w:tcPr>
            <w:tcW w:w="0" w:type="auto"/>
          </w:tcPr>
          <w:p w14:paraId="4DCD628F" w14:textId="77777777" w:rsidR="00CB6535" w:rsidRDefault="008665FD">
            <w:pPr>
              <w:spacing w:after="0" w:line="240" w:lineRule="auto"/>
              <w:rPr>
                <w:rFonts w:eastAsia="Times New Roman" w:cs="Times New Roman"/>
                <w:szCs w:val="24"/>
              </w:rPr>
            </w:pPr>
            <w:r>
              <w:rPr>
                <w:rFonts w:eastAsia="Times New Roman" w:cs="Times New Roman"/>
                <w:szCs w:val="24"/>
              </w:rPr>
              <w:t>~40</w:t>
            </w:r>
          </w:p>
        </w:tc>
      </w:tr>
    </w:tbl>
    <w:p w14:paraId="653A57BB"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The 20 </w:t>
      </w:r>
      <w:proofErr w:type="gramStart"/>
      <w:r>
        <w:rPr>
          <w:rFonts w:eastAsia="Times New Roman" w:cs="Times New Roman"/>
          <w:szCs w:val="24"/>
        </w:rPr>
        <w:t>minute</w:t>
      </w:r>
      <w:proofErr w:type="gramEnd"/>
      <w:r>
        <w:rPr>
          <w:rFonts w:eastAsia="Times New Roman" w:cs="Times New Roman"/>
          <w:szCs w:val="24"/>
        </w:rPr>
        <w:t xml:space="preserve"> initially steep, then much slower settling rates were observed in the patterns. Sample C showed the fastest natural growth rate, although it had the </w:t>
      </w:r>
      <w:r>
        <w:rPr>
          <w:rFonts w:eastAsia="Times New Roman" w:cs="Times New Roman"/>
          <w:szCs w:val="24"/>
        </w:rPr>
        <w:t>greatest turbidity, which could be attributed to a bigger aggregate particle size or a dissimilar composition of clay mineral.</w:t>
      </w:r>
    </w:p>
    <w:p w14:paraId="0A448C89"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3.3 pH Conditioning Effect</w:t>
      </w:r>
    </w:p>
    <w:p w14:paraId="02D010F5"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Addition of 0.85 g lime increased pH to optimal alkaline conditions:</w:t>
      </w:r>
    </w:p>
    <w:p w14:paraId="0327286D"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3</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Showing the pH After Conditioning</w:t>
      </w:r>
    </w:p>
    <w:tbl>
      <w:tblPr>
        <w:tblStyle w:val="TableGrid"/>
        <w:tblW w:w="0" w:type="auto"/>
        <w:tblLook w:val="04A0" w:firstRow="1" w:lastRow="0" w:firstColumn="1" w:lastColumn="0" w:noHBand="0" w:noVBand="1"/>
      </w:tblPr>
      <w:tblGrid>
        <w:gridCol w:w="977"/>
        <w:gridCol w:w="2550"/>
      </w:tblGrid>
      <w:tr w:rsidR="00CB6535" w14:paraId="6B9D4171" w14:textId="77777777">
        <w:tc>
          <w:tcPr>
            <w:tcW w:w="0" w:type="auto"/>
          </w:tcPr>
          <w:p w14:paraId="10469187"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7E49ADCB"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pH After Conditioning</w:t>
            </w:r>
          </w:p>
        </w:tc>
      </w:tr>
      <w:tr w:rsidR="00CB6535" w14:paraId="5EEE7627" w14:textId="77777777">
        <w:tc>
          <w:tcPr>
            <w:tcW w:w="0" w:type="auto"/>
          </w:tcPr>
          <w:p w14:paraId="0AE48E0E"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7D2A6841" w14:textId="77777777" w:rsidR="00CB6535" w:rsidRDefault="008665FD">
            <w:pPr>
              <w:spacing w:after="0" w:line="240" w:lineRule="auto"/>
              <w:rPr>
                <w:rFonts w:eastAsia="Times New Roman" w:cs="Times New Roman"/>
                <w:szCs w:val="24"/>
              </w:rPr>
            </w:pPr>
            <w:r>
              <w:rPr>
                <w:rFonts w:eastAsia="Times New Roman" w:cs="Times New Roman"/>
                <w:szCs w:val="24"/>
              </w:rPr>
              <w:t>10.77</w:t>
            </w:r>
          </w:p>
        </w:tc>
      </w:tr>
      <w:tr w:rsidR="00CB6535" w14:paraId="4BE37A3C" w14:textId="77777777">
        <w:tc>
          <w:tcPr>
            <w:tcW w:w="0" w:type="auto"/>
          </w:tcPr>
          <w:p w14:paraId="7D37AFC6"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5C5F3790" w14:textId="77777777" w:rsidR="00CB6535" w:rsidRDefault="008665FD">
            <w:pPr>
              <w:spacing w:after="0" w:line="240" w:lineRule="auto"/>
              <w:rPr>
                <w:rFonts w:eastAsia="Times New Roman" w:cs="Times New Roman"/>
                <w:szCs w:val="24"/>
              </w:rPr>
            </w:pPr>
            <w:r>
              <w:rPr>
                <w:rFonts w:eastAsia="Times New Roman" w:cs="Times New Roman"/>
                <w:szCs w:val="24"/>
              </w:rPr>
              <w:t>10.70</w:t>
            </w:r>
          </w:p>
        </w:tc>
      </w:tr>
      <w:tr w:rsidR="00CB6535" w14:paraId="6AE12FAA" w14:textId="77777777">
        <w:tc>
          <w:tcPr>
            <w:tcW w:w="0" w:type="auto"/>
          </w:tcPr>
          <w:p w14:paraId="70D5315A"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3DD33691" w14:textId="77777777" w:rsidR="00CB6535" w:rsidRDefault="008665FD">
            <w:pPr>
              <w:spacing w:after="0" w:line="240" w:lineRule="auto"/>
              <w:rPr>
                <w:rFonts w:eastAsia="Times New Roman" w:cs="Times New Roman"/>
                <w:szCs w:val="24"/>
              </w:rPr>
            </w:pPr>
            <w:r>
              <w:rPr>
                <w:rFonts w:eastAsia="Times New Roman" w:cs="Times New Roman"/>
                <w:szCs w:val="24"/>
              </w:rPr>
              <w:t>10.65</w:t>
            </w:r>
          </w:p>
        </w:tc>
      </w:tr>
    </w:tbl>
    <w:p w14:paraId="5BEE888A" w14:textId="77777777" w:rsidR="00CB6535" w:rsidRDefault="008665FD">
      <w:pPr>
        <w:spacing w:before="100" w:beforeAutospacing="1" w:after="100" w:afterAutospacing="1" w:line="240" w:lineRule="auto"/>
        <w:outlineLvl w:val="2"/>
        <w:rPr>
          <w:rFonts w:eastAsia="Times New Roman" w:cs="Times New Roman"/>
          <w:szCs w:val="24"/>
        </w:rPr>
      </w:pPr>
      <w:r>
        <w:rPr>
          <w:rFonts w:eastAsia="Times New Roman" w:cs="Times New Roman"/>
          <w:szCs w:val="24"/>
        </w:rPr>
        <w:lastRenderedPageBreak/>
        <w:t xml:space="preserve">The raised pH is essential in okra seed coagulants because higher pH favorable ionization of active polymeric substances as well as neutralizing clay particle </w:t>
      </w:r>
      <w:r>
        <w:rPr>
          <w:rFonts w:eastAsia="Times New Roman" w:cs="Times New Roman"/>
          <w:szCs w:val="24"/>
        </w:rPr>
        <w:t>charges.</w:t>
      </w:r>
    </w:p>
    <w:p w14:paraId="68F8F2AB"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3.4 Coagulation Performance</w:t>
      </w:r>
    </w:p>
    <w:p w14:paraId="31827079"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t>3.4.1 Settling Rate Enhancement</w:t>
      </w:r>
    </w:p>
    <w:p w14:paraId="7421B070"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Addition of okra seed coagulant dramatically improved settling rates:</w:t>
      </w:r>
    </w:p>
    <w:p w14:paraId="4B7ABAC3" w14:textId="77777777" w:rsidR="00CB6535" w:rsidRDefault="008665FD">
      <w:pPr>
        <w:pStyle w:val="Caption"/>
        <w:keepNext/>
        <w:rPr>
          <w:i w:val="0"/>
          <w:iCs w:val="0"/>
          <w:color w:val="000000" w:themeColor="text1"/>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4</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Setting rate before and after coagulation</w:t>
      </w:r>
    </w:p>
    <w:tbl>
      <w:tblPr>
        <w:tblStyle w:val="TableGrid"/>
        <w:tblW w:w="0" w:type="auto"/>
        <w:tblLook w:val="04A0" w:firstRow="1" w:lastRow="0" w:firstColumn="1" w:lastColumn="0" w:noHBand="0" w:noVBand="1"/>
      </w:tblPr>
      <w:tblGrid>
        <w:gridCol w:w="977"/>
        <w:gridCol w:w="2789"/>
        <w:gridCol w:w="2656"/>
        <w:gridCol w:w="2369"/>
      </w:tblGrid>
      <w:tr w:rsidR="00CB6535" w14:paraId="7EB518BE" w14:textId="77777777">
        <w:tc>
          <w:tcPr>
            <w:tcW w:w="0" w:type="auto"/>
          </w:tcPr>
          <w:p w14:paraId="3E5BB144"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5EAC6328"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Before Coagulation (m/s)</w:t>
            </w:r>
          </w:p>
        </w:tc>
        <w:tc>
          <w:tcPr>
            <w:tcW w:w="0" w:type="auto"/>
          </w:tcPr>
          <w:p w14:paraId="1664CD20"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 xml:space="preserve">After </w:t>
            </w:r>
            <w:r>
              <w:rPr>
                <w:rFonts w:eastAsia="Times New Roman" w:cs="Times New Roman"/>
                <w:b/>
                <w:bCs/>
                <w:szCs w:val="24"/>
              </w:rPr>
              <w:t>Coagulation (m/s)</w:t>
            </w:r>
          </w:p>
        </w:tc>
        <w:tc>
          <w:tcPr>
            <w:tcW w:w="0" w:type="auto"/>
          </w:tcPr>
          <w:p w14:paraId="341E0510"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Enhancement Factor</w:t>
            </w:r>
          </w:p>
        </w:tc>
      </w:tr>
      <w:tr w:rsidR="00CB6535" w14:paraId="6D75DDE9" w14:textId="77777777">
        <w:tc>
          <w:tcPr>
            <w:tcW w:w="0" w:type="auto"/>
          </w:tcPr>
          <w:p w14:paraId="04831A60"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34979756" w14:textId="77777777" w:rsidR="00CB6535" w:rsidRDefault="008665FD">
            <w:pPr>
              <w:spacing w:after="0" w:line="240" w:lineRule="auto"/>
              <w:rPr>
                <w:rFonts w:eastAsia="Times New Roman" w:cs="Times New Roman"/>
                <w:szCs w:val="24"/>
              </w:rPr>
            </w:pPr>
            <w:r>
              <w:rPr>
                <w:rFonts w:eastAsia="Times New Roman" w:cs="Times New Roman"/>
                <w:szCs w:val="24"/>
              </w:rPr>
              <w:t>0.019</w:t>
            </w:r>
          </w:p>
        </w:tc>
        <w:tc>
          <w:tcPr>
            <w:tcW w:w="0" w:type="auto"/>
          </w:tcPr>
          <w:p w14:paraId="36959C81" w14:textId="77777777" w:rsidR="00CB6535" w:rsidRDefault="008665FD">
            <w:pPr>
              <w:spacing w:after="0" w:line="240" w:lineRule="auto"/>
              <w:rPr>
                <w:rFonts w:eastAsia="Times New Roman" w:cs="Times New Roman"/>
                <w:szCs w:val="24"/>
              </w:rPr>
            </w:pPr>
            <w:r>
              <w:rPr>
                <w:rFonts w:eastAsia="Times New Roman" w:cs="Times New Roman"/>
                <w:szCs w:val="24"/>
              </w:rPr>
              <w:t>0.059</w:t>
            </w:r>
          </w:p>
        </w:tc>
        <w:tc>
          <w:tcPr>
            <w:tcW w:w="0" w:type="auto"/>
          </w:tcPr>
          <w:p w14:paraId="24A1C7AC" w14:textId="77777777" w:rsidR="00CB6535" w:rsidRDefault="008665FD">
            <w:pPr>
              <w:spacing w:after="0" w:line="240" w:lineRule="auto"/>
              <w:rPr>
                <w:rFonts w:eastAsia="Times New Roman" w:cs="Times New Roman"/>
                <w:szCs w:val="24"/>
              </w:rPr>
            </w:pPr>
            <w:r>
              <w:rPr>
                <w:rFonts w:eastAsia="Times New Roman" w:cs="Times New Roman"/>
                <w:szCs w:val="24"/>
              </w:rPr>
              <w:t>3.1×</w:t>
            </w:r>
          </w:p>
        </w:tc>
      </w:tr>
      <w:tr w:rsidR="00CB6535" w14:paraId="35930C89" w14:textId="77777777">
        <w:tc>
          <w:tcPr>
            <w:tcW w:w="0" w:type="auto"/>
          </w:tcPr>
          <w:p w14:paraId="5DCF17F9"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6CD78DB0" w14:textId="77777777" w:rsidR="00CB6535" w:rsidRDefault="008665FD">
            <w:pPr>
              <w:spacing w:after="0" w:line="240" w:lineRule="auto"/>
              <w:rPr>
                <w:rFonts w:eastAsia="Times New Roman" w:cs="Times New Roman"/>
                <w:szCs w:val="24"/>
              </w:rPr>
            </w:pPr>
            <w:r>
              <w:rPr>
                <w:rFonts w:eastAsia="Times New Roman" w:cs="Times New Roman"/>
                <w:szCs w:val="24"/>
              </w:rPr>
              <w:t>0.021</w:t>
            </w:r>
          </w:p>
        </w:tc>
        <w:tc>
          <w:tcPr>
            <w:tcW w:w="0" w:type="auto"/>
          </w:tcPr>
          <w:p w14:paraId="246377CC" w14:textId="77777777" w:rsidR="00CB6535" w:rsidRDefault="008665FD">
            <w:pPr>
              <w:spacing w:after="0" w:line="240" w:lineRule="auto"/>
              <w:rPr>
                <w:rFonts w:eastAsia="Times New Roman" w:cs="Times New Roman"/>
                <w:szCs w:val="24"/>
              </w:rPr>
            </w:pPr>
            <w:r>
              <w:rPr>
                <w:rFonts w:eastAsia="Times New Roman" w:cs="Times New Roman"/>
                <w:szCs w:val="24"/>
              </w:rPr>
              <w:t>0.056</w:t>
            </w:r>
          </w:p>
        </w:tc>
        <w:tc>
          <w:tcPr>
            <w:tcW w:w="0" w:type="auto"/>
          </w:tcPr>
          <w:p w14:paraId="16F7A574" w14:textId="77777777" w:rsidR="00CB6535" w:rsidRDefault="008665FD">
            <w:pPr>
              <w:spacing w:after="0" w:line="240" w:lineRule="auto"/>
              <w:rPr>
                <w:rFonts w:eastAsia="Times New Roman" w:cs="Times New Roman"/>
                <w:szCs w:val="24"/>
              </w:rPr>
            </w:pPr>
            <w:r>
              <w:rPr>
                <w:rFonts w:eastAsia="Times New Roman" w:cs="Times New Roman"/>
                <w:szCs w:val="24"/>
              </w:rPr>
              <w:t>2.7×</w:t>
            </w:r>
          </w:p>
        </w:tc>
      </w:tr>
      <w:tr w:rsidR="00CB6535" w14:paraId="644AA2C1" w14:textId="77777777">
        <w:tc>
          <w:tcPr>
            <w:tcW w:w="0" w:type="auto"/>
          </w:tcPr>
          <w:p w14:paraId="6554C2DA"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7FC4124A" w14:textId="77777777" w:rsidR="00CB6535" w:rsidRDefault="008665FD">
            <w:pPr>
              <w:spacing w:after="0" w:line="240" w:lineRule="auto"/>
              <w:rPr>
                <w:rFonts w:eastAsia="Times New Roman" w:cs="Times New Roman"/>
                <w:szCs w:val="24"/>
              </w:rPr>
            </w:pPr>
            <w:r>
              <w:rPr>
                <w:rFonts w:eastAsia="Times New Roman" w:cs="Times New Roman"/>
                <w:szCs w:val="24"/>
              </w:rPr>
              <w:t>0.036</w:t>
            </w:r>
          </w:p>
        </w:tc>
        <w:tc>
          <w:tcPr>
            <w:tcW w:w="0" w:type="auto"/>
          </w:tcPr>
          <w:p w14:paraId="1FFE8CB5" w14:textId="77777777" w:rsidR="00CB6535" w:rsidRDefault="008665FD">
            <w:pPr>
              <w:spacing w:after="0" w:line="240" w:lineRule="auto"/>
              <w:rPr>
                <w:rFonts w:eastAsia="Times New Roman" w:cs="Times New Roman"/>
                <w:szCs w:val="24"/>
              </w:rPr>
            </w:pPr>
            <w:r>
              <w:rPr>
                <w:rFonts w:eastAsia="Times New Roman" w:cs="Times New Roman"/>
                <w:szCs w:val="24"/>
              </w:rPr>
              <w:t>0.102</w:t>
            </w:r>
          </w:p>
        </w:tc>
        <w:tc>
          <w:tcPr>
            <w:tcW w:w="0" w:type="auto"/>
          </w:tcPr>
          <w:p w14:paraId="0368BDEB" w14:textId="77777777" w:rsidR="00CB6535" w:rsidRDefault="008665FD">
            <w:pPr>
              <w:spacing w:after="0" w:line="240" w:lineRule="auto"/>
              <w:rPr>
                <w:rFonts w:eastAsia="Times New Roman" w:cs="Times New Roman"/>
                <w:szCs w:val="24"/>
              </w:rPr>
            </w:pPr>
            <w:r>
              <w:rPr>
                <w:rFonts w:eastAsia="Times New Roman" w:cs="Times New Roman"/>
                <w:szCs w:val="24"/>
              </w:rPr>
              <w:t>2.8×</w:t>
            </w:r>
          </w:p>
        </w:tc>
      </w:tr>
    </w:tbl>
    <w:p w14:paraId="1E52C3C5"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The greatest impact was experienced in the initial 15 minutes following the agitation of coagulant, at which point the rate of settling was found to increase </w:t>
      </w:r>
      <w:r>
        <w:rPr>
          <w:rFonts w:eastAsia="Times New Roman" w:cs="Times New Roman"/>
          <w:szCs w:val="24"/>
        </w:rPr>
        <w:t>significantly. A period later, the settling rate became stable, which means that the primary process of the coagulation-flocculation process was finished.</w:t>
      </w:r>
    </w:p>
    <w:p w14:paraId="682D277E" w14:textId="77777777" w:rsidR="00CB6535" w:rsidRDefault="00CB6535">
      <w:pPr>
        <w:spacing w:line="360" w:lineRule="auto"/>
        <w:rPr>
          <w:rFonts w:cs="Times New Roman"/>
          <w:szCs w:val="24"/>
        </w:rPr>
      </w:pPr>
    </w:p>
    <w:p w14:paraId="2750FF31" w14:textId="77777777" w:rsidR="00CB6535" w:rsidRDefault="008665FD">
      <w:pPr>
        <w:keepNext/>
        <w:spacing w:line="360" w:lineRule="auto"/>
        <w:jc w:val="center"/>
      </w:pPr>
      <w:r>
        <w:rPr>
          <w:rFonts w:cs="Times New Roman"/>
          <w:noProof/>
          <w:szCs w:val="24"/>
        </w:rPr>
        <w:drawing>
          <wp:inline distT="0" distB="0" distL="0" distR="0" wp14:anchorId="3A1FF5D5" wp14:editId="7726D041">
            <wp:extent cx="54864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5ABC49" w14:textId="77777777" w:rsidR="00CB6535" w:rsidRDefault="008665FD">
      <w:pPr>
        <w:pStyle w:val="Caption"/>
        <w:jc w:val="center"/>
        <w:rPr>
          <w:rFonts w:cs="Times New Roman"/>
          <w:i w:val="0"/>
          <w:iCs w:val="0"/>
          <w:color w:val="000000" w:themeColor="text1"/>
          <w:sz w:val="24"/>
          <w:szCs w:val="36"/>
        </w:rPr>
      </w:pPr>
      <w:r>
        <w:rPr>
          <w:b/>
          <w:bCs/>
          <w:i w:val="0"/>
          <w:iCs w:val="0"/>
          <w:color w:val="000000" w:themeColor="text1"/>
          <w:sz w:val="24"/>
          <w:szCs w:val="24"/>
        </w:rPr>
        <w:t xml:space="preserve">Figure </w:t>
      </w:r>
      <w:r>
        <w:rPr>
          <w:b/>
          <w:bCs/>
          <w:i w:val="0"/>
          <w:iCs w:val="0"/>
          <w:color w:val="000000" w:themeColor="text1"/>
          <w:sz w:val="24"/>
          <w:szCs w:val="24"/>
        </w:rPr>
        <w:fldChar w:fldCharType="begin"/>
      </w:r>
      <w:r>
        <w:rPr>
          <w:b/>
          <w:bCs/>
          <w:i w:val="0"/>
          <w:iCs w:val="0"/>
          <w:color w:val="000000" w:themeColor="text1"/>
          <w:sz w:val="24"/>
          <w:szCs w:val="24"/>
        </w:rPr>
        <w:instrText xml:space="preserve"> SEQ Figure \* ARABIC </w:instrText>
      </w:r>
      <w:r>
        <w:rPr>
          <w:b/>
          <w:bCs/>
          <w:i w:val="0"/>
          <w:iCs w:val="0"/>
          <w:color w:val="000000" w:themeColor="text1"/>
          <w:sz w:val="24"/>
          <w:szCs w:val="24"/>
        </w:rPr>
        <w:fldChar w:fldCharType="separate"/>
      </w:r>
      <w:r>
        <w:rPr>
          <w:b/>
          <w:bCs/>
          <w:i w:val="0"/>
          <w:iCs w:val="0"/>
          <w:color w:val="000000" w:themeColor="text1"/>
          <w:sz w:val="24"/>
          <w:szCs w:val="24"/>
        </w:rPr>
        <w:t>1</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Showing the Settling Rates Before and After Coagulation</w:t>
      </w:r>
    </w:p>
    <w:p w14:paraId="58F63348" w14:textId="77777777" w:rsidR="00CB6535" w:rsidRDefault="00CB6535">
      <w:pPr>
        <w:spacing w:before="100" w:beforeAutospacing="1" w:after="100" w:afterAutospacing="1" w:line="240" w:lineRule="auto"/>
        <w:jc w:val="both"/>
        <w:rPr>
          <w:rFonts w:eastAsia="Times New Roman" w:cs="Times New Roman"/>
          <w:szCs w:val="24"/>
        </w:rPr>
      </w:pPr>
    </w:p>
    <w:p w14:paraId="781A272C"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t xml:space="preserve">3.4.2 </w:t>
      </w:r>
      <w:r>
        <w:rPr>
          <w:rFonts w:eastAsia="Times New Roman" w:cs="Times New Roman"/>
          <w:b/>
          <w:bCs/>
          <w:szCs w:val="24"/>
        </w:rPr>
        <w:t>Turbidity Reduction</w:t>
      </w:r>
    </w:p>
    <w:p w14:paraId="1E5DB0E8"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Turbidity decreased dramatically following okra seed treatment:</w:t>
      </w:r>
    </w:p>
    <w:p w14:paraId="0B5879BE"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lastRenderedPageBreak/>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5</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Turbidity before and after coagulation</w:t>
      </w:r>
    </w:p>
    <w:tbl>
      <w:tblPr>
        <w:tblStyle w:val="TableGrid"/>
        <w:tblW w:w="0" w:type="auto"/>
        <w:tblLook w:val="04A0" w:firstRow="1" w:lastRow="0" w:firstColumn="1" w:lastColumn="0" w:noHBand="0" w:noVBand="1"/>
      </w:tblPr>
      <w:tblGrid>
        <w:gridCol w:w="977"/>
        <w:gridCol w:w="1623"/>
        <w:gridCol w:w="1489"/>
        <w:gridCol w:w="1730"/>
      </w:tblGrid>
      <w:tr w:rsidR="00CB6535" w14:paraId="72213526" w14:textId="77777777">
        <w:tc>
          <w:tcPr>
            <w:tcW w:w="0" w:type="auto"/>
          </w:tcPr>
          <w:p w14:paraId="5C43301C"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189983F5"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Before (NTU)</w:t>
            </w:r>
          </w:p>
        </w:tc>
        <w:tc>
          <w:tcPr>
            <w:tcW w:w="0" w:type="auto"/>
          </w:tcPr>
          <w:p w14:paraId="5468030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After (NTU)</w:t>
            </w:r>
          </w:p>
        </w:tc>
        <w:tc>
          <w:tcPr>
            <w:tcW w:w="0" w:type="auto"/>
          </w:tcPr>
          <w:p w14:paraId="3549FAA4"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Reduction (%)</w:t>
            </w:r>
          </w:p>
        </w:tc>
      </w:tr>
      <w:tr w:rsidR="00CB6535" w14:paraId="69492AF9" w14:textId="77777777">
        <w:tc>
          <w:tcPr>
            <w:tcW w:w="0" w:type="auto"/>
          </w:tcPr>
          <w:p w14:paraId="7F00EF42"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61E7ABF0" w14:textId="77777777" w:rsidR="00CB6535" w:rsidRDefault="008665FD">
            <w:pPr>
              <w:spacing w:after="0" w:line="240" w:lineRule="auto"/>
              <w:rPr>
                <w:rFonts w:eastAsia="Times New Roman" w:cs="Times New Roman"/>
                <w:szCs w:val="24"/>
              </w:rPr>
            </w:pPr>
            <w:r>
              <w:rPr>
                <w:rFonts w:eastAsia="Times New Roman" w:cs="Times New Roman"/>
                <w:szCs w:val="24"/>
              </w:rPr>
              <w:t>78.83</w:t>
            </w:r>
          </w:p>
        </w:tc>
        <w:tc>
          <w:tcPr>
            <w:tcW w:w="0" w:type="auto"/>
          </w:tcPr>
          <w:p w14:paraId="0FBC04DC" w14:textId="77777777" w:rsidR="00CB6535" w:rsidRDefault="008665FD">
            <w:pPr>
              <w:spacing w:after="0" w:line="240" w:lineRule="auto"/>
              <w:rPr>
                <w:rFonts w:eastAsia="Times New Roman" w:cs="Times New Roman"/>
                <w:szCs w:val="24"/>
              </w:rPr>
            </w:pPr>
            <w:r>
              <w:rPr>
                <w:rFonts w:eastAsia="Times New Roman" w:cs="Times New Roman"/>
                <w:szCs w:val="24"/>
              </w:rPr>
              <w:t>11.57</w:t>
            </w:r>
          </w:p>
        </w:tc>
        <w:tc>
          <w:tcPr>
            <w:tcW w:w="0" w:type="auto"/>
          </w:tcPr>
          <w:p w14:paraId="3B132A43" w14:textId="77777777" w:rsidR="00CB6535" w:rsidRDefault="008665FD">
            <w:pPr>
              <w:spacing w:after="0" w:line="240" w:lineRule="auto"/>
              <w:rPr>
                <w:rFonts w:eastAsia="Times New Roman" w:cs="Times New Roman"/>
                <w:szCs w:val="24"/>
              </w:rPr>
            </w:pPr>
            <w:r>
              <w:rPr>
                <w:rFonts w:eastAsia="Times New Roman" w:cs="Times New Roman"/>
                <w:szCs w:val="24"/>
              </w:rPr>
              <w:t>85.3%</w:t>
            </w:r>
          </w:p>
        </w:tc>
      </w:tr>
      <w:tr w:rsidR="00CB6535" w14:paraId="48F2CFAD" w14:textId="77777777">
        <w:tc>
          <w:tcPr>
            <w:tcW w:w="0" w:type="auto"/>
          </w:tcPr>
          <w:p w14:paraId="37027C1B"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755FF5FE" w14:textId="77777777" w:rsidR="00CB6535" w:rsidRDefault="008665FD">
            <w:pPr>
              <w:spacing w:after="0" w:line="240" w:lineRule="auto"/>
              <w:rPr>
                <w:rFonts w:eastAsia="Times New Roman" w:cs="Times New Roman"/>
                <w:szCs w:val="24"/>
              </w:rPr>
            </w:pPr>
            <w:r>
              <w:rPr>
                <w:rFonts w:eastAsia="Times New Roman" w:cs="Times New Roman"/>
                <w:szCs w:val="24"/>
              </w:rPr>
              <w:t>99.17</w:t>
            </w:r>
          </w:p>
        </w:tc>
        <w:tc>
          <w:tcPr>
            <w:tcW w:w="0" w:type="auto"/>
          </w:tcPr>
          <w:p w14:paraId="7D6CF779" w14:textId="77777777" w:rsidR="00CB6535" w:rsidRDefault="008665FD">
            <w:pPr>
              <w:spacing w:after="0" w:line="240" w:lineRule="auto"/>
              <w:rPr>
                <w:rFonts w:eastAsia="Times New Roman" w:cs="Times New Roman"/>
                <w:szCs w:val="24"/>
              </w:rPr>
            </w:pPr>
            <w:r>
              <w:rPr>
                <w:rFonts w:eastAsia="Times New Roman" w:cs="Times New Roman"/>
                <w:szCs w:val="24"/>
              </w:rPr>
              <w:t>16.07</w:t>
            </w:r>
          </w:p>
        </w:tc>
        <w:tc>
          <w:tcPr>
            <w:tcW w:w="0" w:type="auto"/>
          </w:tcPr>
          <w:p w14:paraId="585ED3DE" w14:textId="77777777" w:rsidR="00CB6535" w:rsidRDefault="008665FD">
            <w:pPr>
              <w:spacing w:after="0" w:line="240" w:lineRule="auto"/>
              <w:rPr>
                <w:rFonts w:eastAsia="Times New Roman" w:cs="Times New Roman"/>
                <w:szCs w:val="24"/>
              </w:rPr>
            </w:pPr>
            <w:r>
              <w:rPr>
                <w:rFonts w:eastAsia="Times New Roman" w:cs="Times New Roman"/>
                <w:szCs w:val="24"/>
              </w:rPr>
              <w:t>83.8%</w:t>
            </w:r>
          </w:p>
        </w:tc>
      </w:tr>
      <w:tr w:rsidR="00CB6535" w14:paraId="1D6E2101" w14:textId="77777777">
        <w:tc>
          <w:tcPr>
            <w:tcW w:w="0" w:type="auto"/>
          </w:tcPr>
          <w:p w14:paraId="26160C7F"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36EA2626" w14:textId="77777777" w:rsidR="00CB6535" w:rsidRDefault="008665FD">
            <w:pPr>
              <w:spacing w:after="0" w:line="240" w:lineRule="auto"/>
              <w:rPr>
                <w:rFonts w:eastAsia="Times New Roman" w:cs="Times New Roman"/>
                <w:szCs w:val="24"/>
              </w:rPr>
            </w:pPr>
            <w:r>
              <w:rPr>
                <w:rFonts w:eastAsia="Times New Roman" w:cs="Times New Roman"/>
                <w:szCs w:val="24"/>
              </w:rPr>
              <w:t>221.17</w:t>
            </w:r>
          </w:p>
        </w:tc>
        <w:tc>
          <w:tcPr>
            <w:tcW w:w="0" w:type="auto"/>
          </w:tcPr>
          <w:p w14:paraId="4FC65A9E" w14:textId="77777777" w:rsidR="00CB6535" w:rsidRDefault="008665FD">
            <w:pPr>
              <w:spacing w:after="0" w:line="240" w:lineRule="auto"/>
              <w:rPr>
                <w:rFonts w:eastAsia="Times New Roman" w:cs="Times New Roman"/>
                <w:szCs w:val="24"/>
              </w:rPr>
            </w:pPr>
            <w:r>
              <w:rPr>
                <w:rFonts w:eastAsia="Times New Roman" w:cs="Times New Roman"/>
                <w:szCs w:val="24"/>
              </w:rPr>
              <w:t>8.67</w:t>
            </w:r>
          </w:p>
        </w:tc>
        <w:tc>
          <w:tcPr>
            <w:tcW w:w="0" w:type="auto"/>
          </w:tcPr>
          <w:p w14:paraId="078F3EF0" w14:textId="77777777" w:rsidR="00CB6535" w:rsidRDefault="008665FD">
            <w:pPr>
              <w:spacing w:after="0" w:line="240" w:lineRule="auto"/>
              <w:rPr>
                <w:rFonts w:eastAsia="Times New Roman" w:cs="Times New Roman"/>
                <w:szCs w:val="24"/>
              </w:rPr>
            </w:pPr>
            <w:r>
              <w:rPr>
                <w:rFonts w:eastAsia="Times New Roman" w:cs="Times New Roman"/>
                <w:szCs w:val="24"/>
              </w:rPr>
              <w:t>96.1%</w:t>
            </w:r>
          </w:p>
        </w:tc>
      </w:tr>
    </w:tbl>
    <w:p w14:paraId="24F4F676"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Sample C that had the highest turbidity initially recorded the highest absolute and relative turbidity reduction. This implies that okra seed coagulant is specifically used on highly turbid waters, where the concentration of the suspended parti</w:t>
      </w:r>
      <w:r>
        <w:rPr>
          <w:rFonts w:eastAsia="Times New Roman" w:cs="Times New Roman"/>
          <w:szCs w:val="24"/>
        </w:rPr>
        <w:t>cles enhances bridging of the particles.</w:t>
      </w:r>
    </w:p>
    <w:p w14:paraId="649FD133"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4. DISCUSSION</w:t>
      </w:r>
    </w:p>
    <w:p w14:paraId="6229848A"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4.1 Mechanisms of Coagulation</w:t>
      </w:r>
    </w:p>
    <w:p w14:paraId="6DCE9B5D"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mechanism of coagulation of okra seed extract may be explained by a number of processes:</w:t>
      </w:r>
    </w:p>
    <w:p w14:paraId="2A2B3AF1"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Charge Neutralization:</w:t>
      </w:r>
      <w:r>
        <w:rPr>
          <w:rFonts w:eastAsia="Times New Roman" w:cs="Times New Roman"/>
          <w:szCs w:val="24"/>
        </w:rPr>
        <w:t xml:space="preserve"> Cationic proteins and polysaccharides which occur in okra seeds neutralize the negative surface charges on clay particles. Clay minerals are normally negative charged because of an isomorphic replacement of the mineral structure, and ionization of the hyd</w:t>
      </w:r>
      <w:r>
        <w:rPr>
          <w:rFonts w:eastAsia="Times New Roman" w:cs="Times New Roman"/>
          <w:szCs w:val="24"/>
        </w:rPr>
        <w:t>roxyl groups that are attached to the surface.</w:t>
      </w:r>
    </w:p>
    <w:p w14:paraId="578108A4"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Polymer Bridging:</w:t>
      </w:r>
      <w:r>
        <w:rPr>
          <w:rFonts w:eastAsia="Times New Roman" w:cs="Times New Roman"/>
          <w:szCs w:val="24"/>
        </w:rPr>
        <w:t xml:space="preserve"> The polymers in the mucilaginous coats of okra seeds are long-chain polymers that simultaneously bind to various clay particle creating bridges to form bigger and more quickly settling flocs.</w:t>
      </w:r>
    </w:p>
    <w:p w14:paraId="0C35544C"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pH-Dependent Activity:</w:t>
      </w:r>
      <w:r>
        <w:rPr>
          <w:rFonts w:eastAsia="Times New Roman" w:cs="Times New Roman"/>
          <w:szCs w:val="24"/>
        </w:rPr>
        <w:t xml:space="preserve"> Alkalinity produced by the lime addition increases the solubility and activity of the active compounds of okra to enhance their reaction towards clay surfaces.</w:t>
      </w:r>
    </w:p>
    <w:p w14:paraId="74EF9D7B"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4.2 Comparison with Conventional Coagulants</w:t>
      </w:r>
    </w:p>
    <w:p w14:paraId="27796887"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Although, no direct comparis</w:t>
      </w:r>
      <w:r>
        <w:rPr>
          <w:rFonts w:eastAsia="Times New Roman" w:cs="Times New Roman"/>
          <w:szCs w:val="24"/>
        </w:rPr>
        <w:t>ons to aluminum-based coagulants were done in this study, literature indicates that natural coagulants such as okra can perform similarly under favorable circumstances. This increase in settling rate of 3 times and over 80 percent removal of turbidity impr</w:t>
      </w:r>
      <w:r>
        <w:rPr>
          <w:rFonts w:eastAsia="Times New Roman" w:cs="Times New Roman"/>
          <w:szCs w:val="24"/>
        </w:rPr>
        <w:t>ovement is also in line with or even greater performance of some traditional coagulants at the same dosage.</w:t>
      </w:r>
    </w:p>
    <w:p w14:paraId="77ABCBCC"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major benefits of okra seed coagulant are:</w:t>
      </w:r>
    </w:p>
    <w:p w14:paraId="14B63943"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Safety:</w:t>
      </w:r>
      <w:r>
        <w:rPr>
          <w:rFonts w:eastAsia="Times New Roman" w:cs="Times New Roman"/>
          <w:szCs w:val="24"/>
        </w:rPr>
        <w:t xml:space="preserve"> No residues of toxic metals in treated water and sludge.</w:t>
      </w:r>
    </w:p>
    <w:p w14:paraId="2DBF8566"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Biodegradability:</w:t>
      </w:r>
      <w:r>
        <w:rPr>
          <w:rFonts w:eastAsia="Times New Roman" w:cs="Times New Roman"/>
          <w:szCs w:val="24"/>
        </w:rPr>
        <w:t xml:space="preserve"> Organic sludge is </w:t>
      </w:r>
      <w:r>
        <w:rPr>
          <w:rFonts w:eastAsia="Times New Roman" w:cs="Times New Roman"/>
          <w:szCs w:val="24"/>
        </w:rPr>
        <w:t>able to occur naturally.</w:t>
      </w:r>
    </w:p>
    <w:p w14:paraId="276D6D87"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Local availability:</w:t>
      </w:r>
      <w:r>
        <w:rPr>
          <w:rFonts w:eastAsia="Times New Roman" w:cs="Times New Roman"/>
          <w:szCs w:val="24"/>
        </w:rPr>
        <w:t xml:space="preserve"> The okra is widely grown in the tropical areas.</w:t>
      </w:r>
    </w:p>
    <w:p w14:paraId="2C0F94DC"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Cost effectiveness:</w:t>
      </w:r>
      <w:r>
        <w:rPr>
          <w:rFonts w:eastAsia="Times New Roman" w:cs="Times New Roman"/>
          <w:szCs w:val="24"/>
        </w:rPr>
        <w:t xml:space="preserve"> Completely inexpensive compared to foreign chemical coagulants.</w:t>
      </w:r>
    </w:p>
    <w:p w14:paraId="6CCE73F7"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Features:</w:t>
      </w:r>
      <w:r>
        <w:rPr>
          <w:rFonts w:eastAsia="Times New Roman" w:cs="Times New Roman"/>
          <w:szCs w:val="24"/>
        </w:rPr>
        <w:t xml:space="preserve"> Does not need a lot of processing machinery.</w:t>
      </w:r>
    </w:p>
    <w:p w14:paraId="4743C5D6"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4.3 Sample Variability a</w:t>
      </w:r>
      <w:r>
        <w:rPr>
          <w:rFonts w:eastAsia="Times New Roman" w:cs="Times New Roman"/>
          <w:b/>
          <w:bCs/>
          <w:szCs w:val="24"/>
        </w:rPr>
        <w:t>nd Implications</w:t>
      </w:r>
    </w:p>
    <w:p w14:paraId="0E098D5E"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lastRenderedPageBreak/>
        <w:t>The varying reactions of the three clay samples stress on the relevancy of mineralogical composition in the coagulation efficiency. The better response of Sample C can be because of:</w:t>
      </w:r>
    </w:p>
    <w:p w14:paraId="1F8114D6"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Diversity: types of clay mineral (e.g. more smectite)</w:t>
      </w:r>
    </w:p>
    <w:p w14:paraId="3609065F"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Dis</w:t>
      </w:r>
      <w:r>
        <w:rPr>
          <w:rFonts w:eastAsia="Times New Roman" w:cs="Times New Roman"/>
          <w:szCs w:val="24"/>
        </w:rPr>
        <w:t>agreements in particle size distribution.</w:t>
      </w:r>
    </w:p>
    <w:p w14:paraId="13463FEF"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The dissimilarity of organic matter concentrations.</w:t>
      </w:r>
    </w:p>
    <w:p w14:paraId="090F6A00"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Various binding capacities of cation exchanges.</w:t>
      </w:r>
    </w:p>
    <w:p w14:paraId="2F6241FD"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This inconsistency implies that the best dosage levels of the coagulant can be determined by site-specific calibra</w:t>
      </w:r>
      <w:r>
        <w:rPr>
          <w:rFonts w:eastAsia="Times New Roman" w:cs="Times New Roman"/>
          <w:szCs w:val="24"/>
        </w:rPr>
        <w:t>tion, but the overall performance in all samples is promising in feasibility to be used in the field.</w:t>
      </w:r>
    </w:p>
    <w:p w14:paraId="678A6565"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4.4 Practical Applications</w:t>
      </w:r>
    </w:p>
    <w:p w14:paraId="4360AF67"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implications of the findings are important to the small-scale mining operations:</w:t>
      </w:r>
    </w:p>
    <w:p w14:paraId="6F35E8D8"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Water Recycling:</w:t>
      </w:r>
      <w:r>
        <w:rPr>
          <w:rFonts w:eastAsia="Times New Roman" w:cs="Times New Roman"/>
          <w:szCs w:val="24"/>
        </w:rPr>
        <w:t xml:space="preserve"> Treated water would have a chance to be recycled to be used in mining operations, and it would decrease the amount of fresh water and environmental emissions.</w:t>
      </w:r>
    </w:p>
    <w:p w14:paraId="02328BED"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Community Water Treatment:</w:t>
      </w:r>
      <w:r>
        <w:rPr>
          <w:rFonts w:eastAsia="Times New Roman" w:cs="Times New Roman"/>
          <w:szCs w:val="24"/>
        </w:rPr>
        <w:t xml:space="preserve"> Community level water treatment might also be introduced using simple okra-based treatment systems to treat the affected water sources.</w:t>
      </w:r>
    </w:p>
    <w:p w14:paraId="682EB479"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Regulatory Compliance:</w:t>
      </w:r>
      <w:r>
        <w:rPr>
          <w:rFonts w:eastAsia="Times New Roman" w:cs="Times New Roman"/>
          <w:szCs w:val="24"/>
        </w:rPr>
        <w:t xml:space="preserve"> Natural coagulation would potentially assist the mining industry to comply with the environmenta</w:t>
      </w:r>
      <w:r>
        <w:rPr>
          <w:rFonts w:eastAsia="Times New Roman" w:cs="Times New Roman"/>
          <w:szCs w:val="24"/>
        </w:rPr>
        <w:t>l standards akin to water discharge.</w:t>
      </w:r>
    </w:p>
    <w:p w14:paraId="62CE7AB2"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Scalability:</w:t>
      </w:r>
      <w:r>
        <w:rPr>
          <w:rFonts w:eastAsia="Times New Roman" w:cs="Times New Roman"/>
          <w:szCs w:val="24"/>
        </w:rPr>
        <w:t xml:space="preserve"> This approach is simple to prepare and apply and therefore it can be used in operations of any scale.</w:t>
      </w:r>
    </w:p>
    <w:p w14:paraId="2645EF5C"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4.5 Limitations and Challenges</w:t>
      </w:r>
    </w:p>
    <w:p w14:paraId="63FC5717"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There are a number of issues that have to be hurdled to adopt them on a l</w:t>
      </w:r>
      <w:r>
        <w:rPr>
          <w:rFonts w:eastAsia="Times New Roman" w:cs="Times New Roman"/>
          <w:szCs w:val="24"/>
        </w:rPr>
        <w:t>arge scale:</w:t>
      </w:r>
    </w:p>
    <w:p w14:paraId="62A5EFCF"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Seasonal Availability:</w:t>
      </w:r>
      <w:r>
        <w:rPr>
          <w:rFonts w:eastAsia="Times New Roman" w:cs="Times New Roman"/>
          <w:szCs w:val="24"/>
        </w:rPr>
        <w:t xml:space="preserve"> Okra supply could be seasonal and therefore needs storage policies.</w:t>
      </w:r>
    </w:p>
    <w:p w14:paraId="12EDCBF7"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Dosage Optimization:</w:t>
      </w:r>
      <w:r>
        <w:rPr>
          <w:rFonts w:eastAsia="Times New Roman" w:cs="Times New Roman"/>
          <w:szCs w:val="24"/>
        </w:rPr>
        <w:t xml:space="preserve"> It requires further research, which can determine optimum dosing protocols to operate with different qualities of water.</w:t>
      </w:r>
    </w:p>
    <w:p w14:paraId="47B68E8F"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Microbial G</w:t>
      </w:r>
      <w:r>
        <w:rPr>
          <w:rFonts w:eastAsia="Times New Roman" w:cs="Times New Roman"/>
          <w:b/>
          <w:bCs/>
          <w:szCs w:val="24"/>
        </w:rPr>
        <w:t>rowth:</w:t>
      </w:r>
      <w:r>
        <w:rPr>
          <w:rFonts w:eastAsia="Times New Roman" w:cs="Times New Roman"/>
          <w:szCs w:val="24"/>
        </w:rPr>
        <w:t xml:space="preserve"> Organic coagulants can promote bacteria growth; timely or corresponding care should be subjected to treated water.</w:t>
      </w:r>
    </w:p>
    <w:p w14:paraId="4187D6E5"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Mechanism Understanding:</w:t>
      </w:r>
      <w:r>
        <w:rPr>
          <w:rFonts w:eastAsia="Times New Roman" w:cs="Times New Roman"/>
          <w:szCs w:val="24"/>
        </w:rPr>
        <w:t xml:space="preserve"> Greater efforts to get molecular interactions optimized would be aided by more careful research.</w:t>
      </w:r>
    </w:p>
    <w:p w14:paraId="134BEBF5"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4.6 Economic</w:t>
      </w:r>
      <w:r>
        <w:rPr>
          <w:rFonts w:eastAsia="Times New Roman" w:cs="Times New Roman"/>
          <w:b/>
          <w:bCs/>
          <w:szCs w:val="24"/>
        </w:rPr>
        <w:t xml:space="preserve"> and Environmental Considerations</w:t>
      </w:r>
    </w:p>
    <w:p w14:paraId="62A7C488"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lastRenderedPageBreak/>
        <w:t>Okra seed coagulant is economically viable and this quality is compelling to resource-constrained environments. Local farming of okra offers a source of employment and farm production and solves the environmental issues. T</w:t>
      </w:r>
      <w:r>
        <w:rPr>
          <w:rFonts w:eastAsia="Times New Roman" w:cs="Times New Roman"/>
          <w:szCs w:val="24"/>
        </w:rPr>
        <w:t>he biodegradation of the treatment residue also removes expensive sludge disposal facilities that are involved in the aluminum-based systems.</w:t>
      </w:r>
    </w:p>
    <w:p w14:paraId="592B8DE4"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As far as environmental benefits are concerned, they are not limited to waste reduction. Okra coagulation can mini</w:t>
      </w:r>
      <w:r>
        <w:rPr>
          <w:rFonts w:eastAsia="Times New Roman" w:cs="Times New Roman"/>
          <w:szCs w:val="24"/>
        </w:rPr>
        <w:t>mize the impact of the mining industry on the natural water bodies by catalyzing the effective on-site treatment of the water that can help in the restoration of the ecosystems.</w:t>
      </w:r>
    </w:p>
    <w:p w14:paraId="76EF40A9" w14:textId="77777777" w:rsidR="00CB6535" w:rsidRDefault="008665FD">
      <w:pPr>
        <w:spacing w:before="100" w:beforeAutospacing="1" w:after="100" w:afterAutospacing="1" w:line="240" w:lineRule="auto"/>
        <w:jc w:val="both"/>
        <w:outlineLvl w:val="1"/>
        <w:rPr>
          <w:rFonts w:eastAsia="Times New Roman" w:cs="Times New Roman"/>
          <w:b/>
          <w:bCs/>
          <w:szCs w:val="24"/>
        </w:rPr>
      </w:pPr>
      <w:r>
        <w:rPr>
          <w:rFonts w:eastAsia="Times New Roman" w:cs="Times New Roman"/>
          <w:b/>
          <w:bCs/>
          <w:szCs w:val="24"/>
        </w:rPr>
        <w:t>5. CONCLUSIONS</w:t>
      </w:r>
    </w:p>
    <w:p w14:paraId="5390959E"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In this study, the authors were able to prove that okra seed ex</w:t>
      </w:r>
      <w:r>
        <w:rPr>
          <w:rFonts w:eastAsia="Times New Roman" w:cs="Times New Roman"/>
          <w:szCs w:val="24"/>
        </w:rPr>
        <w:t>tract can be used as a natural coagulant to blindly treat clay-contaminated wastewater in alluvial mining processes. Key findings include:</w:t>
      </w:r>
    </w:p>
    <w:p w14:paraId="6CC8C2E9"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In all samples that were tested, okra seed powder enhanced the rate of clay settling 2.7-3.1 times.</w:t>
      </w:r>
    </w:p>
    <w:p w14:paraId="6CEA4FCA"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In all cases, tur</w:t>
      </w:r>
      <w:r>
        <w:rPr>
          <w:rFonts w:eastAsia="Times New Roman" w:cs="Times New Roman"/>
          <w:szCs w:val="24"/>
        </w:rPr>
        <w:t>bidity reductions of over 83 percent were obtained and in others, reductions of up to 96 percent were obtained.</w:t>
      </w:r>
    </w:p>
    <w:p w14:paraId="7403EEFE"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conditioning to high PH (pH =10.7) improved the coagulant performance.</w:t>
      </w:r>
    </w:p>
    <w:p w14:paraId="55F474CB"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The coagulant was more effective within the initial 15 minutes of treatme</w:t>
      </w:r>
      <w:r>
        <w:rPr>
          <w:rFonts w:eastAsia="Times New Roman" w:cs="Times New Roman"/>
          <w:szCs w:val="24"/>
        </w:rPr>
        <w:t>nt.</w:t>
      </w:r>
    </w:p>
    <w:p w14:paraId="1E316697"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Best relative improvement was achieved with sample of high initial turbidity.</w:t>
      </w:r>
    </w:p>
    <w:p w14:paraId="68397656"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These findings prove okra seed extract as an alternative coagulant that is viable and sustainable, and can be widely used in developing areas where mining is observed to </w:t>
      </w:r>
      <w:r>
        <w:rPr>
          <w:rFonts w:eastAsia="Times New Roman" w:cs="Times New Roman"/>
          <w:szCs w:val="24"/>
        </w:rPr>
        <w:t>compromise the quality of water. The treatment is both environmentally, economically, and health-beneficial when compared to the aluminum-based treatments, and is also employing the locally available renewable resources.</w:t>
      </w:r>
    </w:p>
    <w:p w14:paraId="7F7DA604" w14:textId="77777777" w:rsidR="00CB6535" w:rsidRDefault="008665FD">
      <w:pPr>
        <w:spacing w:before="100" w:beforeAutospacing="1" w:after="100" w:afterAutospacing="1" w:line="240" w:lineRule="auto"/>
        <w:jc w:val="both"/>
        <w:outlineLvl w:val="1"/>
        <w:rPr>
          <w:rFonts w:eastAsia="Times New Roman" w:cs="Times New Roman"/>
          <w:b/>
          <w:bCs/>
          <w:szCs w:val="24"/>
        </w:rPr>
      </w:pPr>
      <w:r>
        <w:rPr>
          <w:rFonts w:eastAsia="Times New Roman" w:cs="Times New Roman"/>
          <w:b/>
          <w:bCs/>
          <w:szCs w:val="24"/>
        </w:rPr>
        <w:t>6. RECOMMENDATIONS</w:t>
      </w:r>
    </w:p>
    <w:p w14:paraId="1256F36C"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It needs further</w:t>
      </w:r>
      <w:r>
        <w:rPr>
          <w:rFonts w:eastAsia="Times New Roman" w:cs="Times New Roman"/>
          <w:szCs w:val="24"/>
        </w:rPr>
        <w:t xml:space="preserve"> studies into the effect of the different doses of okra seed between 0.5g to 2.0g on the coagulation efficiency and the effect the varying pH values between 8 and 12. Research should also be aimed at determining the best time to add coagulants, the compone</w:t>
      </w:r>
      <w:r>
        <w:rPr>
          <w:rFonts w:eastAsia="Times New Roman" w:cs="Times New Roman"/>
          <w:szCs w:val="24"/>
        </w:rPr>
        <w:t>nts of flocculation in okra seeds, and the composition of clay minerals to determine its association with the coagulation performance. The consistency of stored okra powder as well as seasonal differences in its activity should also be measured.</w:t>
      </w:r>
    </w:p>
    <w:p w14:paraId="2CC53567"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To apply t</w:t>
      </w:r>
      <w:r>
        <w:rPr>
          <w:rFonts w:eastAsia="Times New Roman" w:cs="Times New Roman"/>
          <w:szCs w:val="24"/>
        </w:rPr>
        <w:t>he protocol practically, standard guidelines must be Southern Arizona State University prepared to coagulate okra, guidelines to be adhered to in the field should be developed. Small-scale miners will be encouraged more through increases in the training pr</w:t>
      </w:r>
      <w:r>
        <w:rPr>
          <w:rFonts w:eastAsia="Times New Roman" w:cs="Times New Roman"/>
          <w:szCs w:val="24"/>
        </w:rPr>
        <w:t>ograms, and the local processing centers will be able to guarantee the continuity of supply. Remote mining sites should have simple and low-cost treatment units, and pilot tests should be encouraged in active operations to prove the large scale. Setting of</w:t>
      </w:r>
      <w:r>
        <w:rPr>
          <w:rFonts w:eastAsia="Times New Roman" w:cs="Times New Roman"/>
          <w:szCs w:val="24"/>
        </w:rPr>
        <w:t xml:space="preserve"> quality standards of okra seed preparation will also enhance reliability and acceptance.</w:t>
      </w:r>
    </w:p>
    <w:p w14:paraId="249E689E"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lastRenderedPageBreak/>
        <w:t>Governments ought to offer incentives and rules promoting sustainable water treatment methods at the policy level by promoting the use of natural coagulants. Adoption</w:t>
      </w:r>
      <w:r>
        <w:rPr>
          <w:rFonts w:eastAsia="Times New Roman" w:cs="Times New Roman"/>
          <w:szCs w:val="24"/>
        </w:rPr>
        <w:t xml:space="preserve"> would be enhanced by support of local investigation and adaptation of indigenous plant-based technology and their integration into environmental policy. Okra planting as food crop and water treatment resource can bring the two together in terms of achievi</w:t>
      </w:r>
      <w:r>
        <w:rPr>
          <w:rFonts w:eastAsia="Times New Roman" w:cs="Times New Roman"/>
          <w:szCs w:val="24"/>
        </w:rPr>
        <w:t>ng agricultural and environmental protection objectives.</w:t>
      </w:r>
    </w:p>
    <w:p w14:paraId="198DC9FF" w14:textId="77777777" w:rsidR="00CB6535" w:rsidRDefault="00CB6535">
      <w:pPr>
        <w:spacing w:before="100" w:beforeAutospacing="1" w:after="100" w:afterAutospacing="1" w:line="240" w:lineRule="auto"/>
        <w:outlineLvl w:val="1"/>
        <w:rPr>
          <w:rFonts w:eastAsia="Times New Roman" w:cs="Times New Roman"/>
          <w:b/>
          <w:bCs/>
          <w:szCs w:val="24"/>
        </w:rPr>
      </w:pPr>
      <w:bookmarkStart w:id="0" w:name="_GoBack"/>
      <w:bookmarkEnd w:id="0"/>
    </w:p>
    <w:p w14:paraId="6F8AEDFD"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R</w:t>
      </w:r>
      <w:r>
        <w:rPr>
          <w:rFonts w:eastAsia="Times New Roman" w:cs="Times New Roman"/>
          <w:b/>
          <w:bCs/>
          <w:szCs w:val="24"/>
        </w:rPr>
        <w:t>EFERENCES</w:t>
      </w:r>
    </w:p>
    <w:p w14:paraId="3FD8EAA6"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Adetuyi</w:t>
      </w:r>
      <w:proofErr w:type="spellEnd"/>
      <w:r>
        <w:rPr>
          <w:rFonts w:eastAsia="Times New Roman" w:cs="Times New Roman"/>
          <w:szCs w:val="24"/>
        </w:rPr>
        <w:t xml:space="preserve">, F.O., Osagie, A.U., &amp; Adekunle, A.T. (2011). Nutrient, antinutrient, mineral and zinc bioavailability of okra </w:t>
      </w:r>
      <w:r>
        <w:rPr>
          <w:rFonts w:eastAsia="Times New Roman" w:cs="Times New Roman"/>
          <w:i/>
          <w:iCs/>
          <w:szCs w:val="24"/>
        </w:rPr>
        <w:t xml:space="preserve">Abelmoschus </w:t>
      </w:r>
      <w:proofErr w:type="spellStart"/>
      <w:r>
        <w:rPr>
          <w:rFonts w:eastAsia="Times New Roman" w:cs="Times New Roman"/>
          <w:i/>
          <w:iCs/>
          <w:szCs w:val="24"/>
        </w:rPr>
        <w:t>esculentus</w:t>
      </w:r>
      <w:proofErr w:type="spellEnd"/>
      <w:r>
        <w:rPr>
          <w:rFonts w:eastAsia="Times New Roman" w:cs="Times New Roman"/>
          <w:szCs w:val="24"/>
        </w:rPr>
        <w:t xml:space="preserve"> (L) </w:t>
      </w:r>
      <w:proofErr w:type="spellStart"/>
      <w:r>
        <w:rPr>
          <w:rFonts w:eastAsia="Times New Roman" w:cs="Times New Roman"/>
          <w:szCs w:val="24"/>
        </w:rPr>
        <w:t>Moench</w:t>
      </w:r>
      <w:proofErr w:type="spellEnd"/>
      <w:r>
        <w:rPr>
          <w:rFonts w:eastAsia="Times New Roman" w:cs="Times New Roman"/>
          <w:szCs w:val="24"/>
        </w:rPr>
        <w:t xml:space="preserve"> variety. </w:t>
      </w:r>
      <w:r>
        <w:rPr>
          <w:rFonts w:eastAsia="Times New Roman" w:cs="Times New Roman"/>
          <w:i/>
          <w:iCs/>
          <w:szCs w:val="24"/>
        </w:rPr>
        <w:t>American Journal of Food and Nutrition</w:t>
      </w:r>
      <w:r>
        <w:rPr>
          <w:rFonts w:eastAsia="Times New Roman" w:cs="Times New Roman"/>
          <w:szCs w:val="24"/>
        </w:rPr>
        <w:t>, 1(2), 49-54.</w:t>
      </w:r>
    </w:p>
    <w:p w14:paraId="7FAEBB8A"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Aryee</w:t>
      </w:r>
      <w:proofErr w:type="spellEnd"/>
      <w:r>
        <w:rPr>
          <w:rFonts w:eastAsia="Times New Roman" w:cs="Times New Roman"/>
          <w:szCs w:val="24"/>
        </w:rPr>
        <w:t xml:space="preserve">, B.N., </w:t>
      </w:r>
      <w:proofErr w:type="spellStart"/>
      <w:r>
        <w:rPr>
          <w:rFonts w:eastAsia="Times New Roman" w:cs="Times New Roman"/>
          <w:szCs w:val="24"/>
        </w:rPr>
        <w:t>Ntibery</w:t>
      </w:r>
      <w:proofErr w:type="spellEnd"/>
      <w:r>
        <w:rPr>
          <w:rFonts w:eastAsia="Times New Roman" w:cs="Times New Roman"/>
          <w:szCs w:val="24"/>
        </w:rPr>
        <w:t xml:space="preserve">, B.K., &amp; </w:t>
      </w:r>
      <w:proofErr w:type="spellStart"/>
      <w:r>
        <w:rPr>
          <w:rFonts w:eastAsia="Times New Roman" w:cs="Times New Roman"/>
          <w:szCs w:val="24"/>
        </w:rPr>
        <w:t>Atorkui</w:t>
      </w:r>
      <w:proofErr w:type="spellEnd"/>
      <w:r>
        <w:rPr>
          <w:rFonts w:eastAsia="Times New Roman" w:cs="Times New Roman"/>
          <w:szCs w:val="24"/>
        </w:rPr>
        <w:t xml:space="preserve">, E. (2003). Trends in the small-scale mining of precious minerals in Ghana: A perspective on its environmental impact. </w:t>
      </w:r>
      <w:r>
        <w:rPr>
          <w:rFonts w:eastAsia="Times New Roman" w:cs="Times New Roman"/>
          <w:i/>
          <w:iCs/>
          <w:szCs w:val="24"/>
        </w:rPr>
        <w:t>Jou</w:t>
      </w:r>
      <w:r>
        <w:rPr>
          <w:rFonts w:eastAsia="Times New Roman" w:cs="Times New Roman"/>
          <w:i/>
          <w:iCs/>
          <w:szCs w:val="24"/>
        </w:rPr>
        <w:t>rnal of Cleaner Production</w:t>
      </w:r>
      <w:r>
        <w:rPr>
          <w:rFonts w:eastAsia="Times New Roman" w:cs="Times New Roman"/>
          <w:szCs w:val="24"/>
        </w:rPr>
        <w:t>, 11(2), 131-140.</w:t>
      </w:r>
    </w:p>
    <w:p w14:paraId="6D5DAA25"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 xml:space="preserve">De Jesus, E., Cruz, P.V., </w:t>
      </w:r>
      <w:proofErr w:type="spellStart"/>
      <w:r>
        <w:rPr>
          <w:rFonts w:eastAsia="Times New Roman" w:cs="Times New Roman"/>
          <w:szCs w:val="24"/>
        </w:rPr>
        <w:t>Pacífico</w:t>
      </w:r>
      <w:proofErr w:type="spellEnd"/>
      <w:r>
        <w:rPr>
          <w:rFonts w:eastAsia="Times New Roman" w:cs="Times New Roman"/>
          <w:szCs w:val="24"/>
        </w:rPr>
        <w:t xml:space="preserve">, J.A., &amp; Silva, A.S. (2013). Removal of turbidity, suspended solids and ions of Fe from aqueous solution using okra powder by coagulation-flocculation process. </w:t>
      </w:r>
      <w:r>
        <w:rPr>
          <w:rFonts w:eastAsia="Times New Roman" w:cs="Times New Roman"/>
          <w:i/>
          <w:iCs/>
          <w:szCs w:val="24"/>
        </w:rPr>
        <w:t xml:space="preserve">American Journal </w:t>
      </w:r>
      <w:r>
        <w:rPr>
          <w:rFonts w:eastAsia="Times New Roman" w:cs="Times New Roman"/>
          <w:i/>
          <w:iCs/>
          <w:szCs w:val="24"/>
        </w:rPr>
        <w:t>of Water Resources</w:t>
      </w:r>
      <w:r>
        <w:rPr>
          <w:rFonts w:eastAsia="Times New Roman" w:cs="Times New Roman"/>
          <w:szCs w:val="24"/>
        </w:rPr>
        <w:t>, 1(3), 20-24.</w:t>
      </w:r>
    </w:p>
    <w:p w14:paraId="3D5547F3"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Diersing</w:t>
      </w:r>
      <w:proofErr w:type="spellEnd"/>
      <w:r>
        <w:rPr>
          <w:rFonts w:eastAsia="Times New Roman" w:cs="Times New Roman"/>
          <w:szCs w:val="24"/>
        </w:rPr>
        <w:t xml:space="preserve">, N., Freeman, N., &amp; Jordan, S. (2009). </w:t>
      </w:r>
      <w:r>
        <w:rPr>
          <w:rFonts w:eastAsia="Times New Roman" w:cs="Times New Roman"/>
          <w:i/>
          <w:iCs/>
          <w:szCs w:val="24"/>
        </w:rPr>
        <w:t xml:space="preserve">Water quality monitoring: A practical guide to the design and implementation of freshwater quality studies and monitoring </w:t>
      </w:r>
      <w:proofErr w:type="spellStart"/>
      <w:r>
        <w:rPr>
          <w:rFonts w:eastAsia="Times New Roman" w:cs="Times New Roman"/>
          <w:i/>
          <w:iCs/>
          <w:szCs w:val="24"/>
        </w:rPr>
        <w:t>programmes</w:t>
      </w:r>
      <w:proofErr w:type="spellEnd"/>
      <w:r>
        <w:rPr>
          <w:rFonts w:eastAsia="Times New Roman" w:cs="Times New Roman"/>
          <w:szCs w:val="24"/>
        </w:rPr>
        <w:t xml:space="preserve">. United Nations Environment </w:t>
      </w:r>
      <w:proofErr w:type="spellStart"/>
      <w:r>
        <w:rPr>
          <w:rFonts w:eastAsia="Times New Roman" w:cs="Times New Roman"/>
          <w:szCs w:val="24"/>
        </w:rPr>
        <w:t>Programme</w:t>
      </w:r>
      <w:proofErr w:type="spellEnd"/>
      <w:r>
        <w:rPr>
          <w:rFonts w:eastAsia="Times New Roman" w:cs="Times New Roman"/>
          <w:szCs w:val="24"/>
        </w:rPr>
        <w:t xml:space="preserve"> and </w:t>
      </w:r>
      <w:r>
        <w:rPr>
          <w:rFonts w:eastAsia="Times New Roman" w:cs="Times New Roman"/>
          <w:szCs w:val="24"/>
        </w:rPr>
        <w:t>the World Health Organization.</w:t>
      </w:r>
    </w:p>
    <w:p w14:paraId="0BB60E85"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Habtamu</w:t>
      </w:r>
      <w:proofErr w:type="spellEnd"/>
      <w:r>
        <w:rPr>
          <w:rFonts w:eastAsia="Times New Roman" w:cs="Times New Roman"/>
          <w:szCs w:val="24"/>
        </w:rPr>
        <w:t xml:space="preserve">, F.G., </w:t>
      </w:r>
      <w:proofErr w:type="spellStart"/>
      <w:r>
        <w:rPr>
          <w:rFonts w:eastAsia="Times New Roman" w:cs="Times New Roman"/>
          <w:szCs w:val="24"/>
        </w:rPr>
        <w:t>Negussie</w:t>
      </w:r>
      <w:proofErr w:type="spellEnd"/>
      <w:r>
        <w:rPr>
          <w:rFonts w:eastAsia="Times New Roman" w:cs="Times New Roman"/>
          <w:szCs w:val="24"/>
        </w:rPr>
        <w:t xml:space="preserve">, R., Gupta, P.C., &amp; </w:t>
      </w:r>
      <w:proofErr w:type="spellStart"/>
      <w:r>
        <w:rPr>
          <w:rFonts w:eastAsia="Times New Roman" w:cs="Times New Roman"/>
          <w:szCs w:val="24"/>
        </w:rPr>
        <w:t>Ratta</w:t>
      </w:r>
      <w:proofErr w:type="spellEnd"/>
      <w:r>
        <w:rPr>
          <w:rFonts w:eastAsia="Times New Roman" w:cs="Times New Roman"/>
          <w:szCs w:val="24"/>
        </w:rPr>
        <w:t>, N. (2014). Okra (</w:t>
      </w:r>
      <w:r>
        <w:rPr>
          <w:rFonts w:eastAsia="Times New Roman" w:cs="Times New Roman"/>
          <w:i/>
          <w:iCs/>
          <w:szCs w:val="24"/>
        </w:rPr>
        <w:t xml:space="preserve">Abelmoschus </w:t>
      </w:r>
      <w:proofErr w:type="spellStart"/>
      <w:r>
        <w:rPr>
          <w:rFonts w:eastAsia="Times New Roman" w:cs="Times New Roman"/>
          <w:i/>
          <w:iCs/>
          <w:szCs w:val="24"/>
        </w:rPr>
        <w:t>esculentus</w:t>
      </w:r>
      <w:proofErr w:type="spellEnd"/>
      <w:r>
        <w:rPr>
          <w:rFonts w:eastAsia="Times New Roman" w:cs="Times New Roman"/>
          <w:szCs w:val="24"/>
        </w:rPr>
        <w:t xml:space="preserve"> (L.) </w:t>
      </w:r>
      <w:proofErr w:type="spellStart"/>
      <w:r>
        <w:rPr>
          <w:rFonts w:eastAsia="Times New Roman" w:cs="Times New Roman"/>
          <w:szCs w:val="24"/>
        </w:rPr>
        <w:t>Moench</w:t>
      </w:r>
      <w:proofErr w:type="spellEnd"/>
      <w:r>
        <w:rPr>
          <w:rFonts w:eastAsia="Times New Roman" w:cs="Times New Roman"/>
          <w:szCs w:val="24"/>
        </w:rPr>
        <w:t xml:space="preserve">) in Ethiopia: A review on research progress and future prospects. </w:t>
      </w:r>
      <w:r>
        <w:rPr>
          <w:rFonts w:eastAsia="Times New Roman" w:cs="Times New Roman"/>
          <w:i/>
          <w:iCs/>
          <w:szCs w:val="24"/>
        </w:rPr>
        <w:t>International Journal of Research</w:t>
      </w:r>
      <w:r>
        <w:rPr>
          <w:rFonts w:eastAsia="Times New Roman" w:cs="Times New Roman"/>
          <w:szCs w:val="24"/>
        </w:rPr>
        <w:t>, 1(9), 1-16.</w:t>
      </w:r>
    </w:p>
    <w:p w14:paraId="6257C49A"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Hustrulid</w:t>
      </w:r>
      <w:proofErr w:type="spellEnd"/>
      <w:r>
        <w:rPr>
          <w:rFonts w:eastAsia="Times New Roman" w:cs="Times New Roman"/>
          <w:szCs w:val="24"/>
        </w:rPr>
        <w:t xml:space="preserve">, W., </w:t>
      </w:r>
      <w:proofErr w:type="spellStart"/>
      <w:r>
        <w:rPr>
          <w:rFonts w:eastAsia="Times New Roman" w:cs="Times New Roman"/>
          <w:szCs w:val="24"/>
        </w:rPr>
        <w:t>Kuchta</w:t>
      </w:r>
      <w:proofErr w:type="spellEnd"/>
      <w:r>
        <w:rPr>
          <w:rFonts w:eastAsia="Times New Roman" w:cs="Times New Roman"/>
          <w:szCs w:val="24"/>
        </w:rPr>
        <w:t xml:space="preserve">, M., &amp; Martin, R. (2016). </w:t>
      </w:r>
      <w:r>
        <w:rPr>
          <w:rFonts w:eastAsia="Times New Roman" w:cs="Times New Roman"/>
          <w:i/>
          <w:iCs/>
          <w:szCs w:val="24"/>
        </w:rPr>
        <w:t>Open pit mine planning and design</w:t>
      </w:r>
      <w:r>
        <w:rPr>
          <w:rFonts w:eastAsia="Times New Roman" w:cs="Times New Roman"/>
          <w:szCs w:val="24"/>
        </w:rPr>
        <w:t xml:space="preserve"> (3rd ed.). CRC Press.</w:t>
      </w:r>
    </w:p>
    <w:p w14:paraId="5C1E424D"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Kulshreshtha</w:t>
      </w:r>
      <w:proofErr w:type="spellEnd"/>
      <w:r>
        <w:rPr>
          <w:rFonts w:eastAsia="Times New Roman" w:cs="Times New Roman"/>
          <w:szCs w:val="24"/>
        </w:rPr>
        <w:t xml:space="preserve">, S.N. (1998). A global outlook for water resources to the year 2025. </w:t>
      </w:r>
      <w:r>
        <w:rPr>
          <w:rFonts w:eastAsia="Times New Roman" w:cs="Times New Roman"/>
          <w:i/>
          <w:iCs/>
          <w:szCs w:val="24"/>
        </w:rPr>
        <w:t>Water Resources Management</w:t>
      </w:r>
      <w:r>
        <w:rPr>
          <w:rFonts w:eastAsia="Times New Roman" w:cs="Times New Roman"/>
          <w:szCs w:val="24"/>
        </w:rPr>
        <w:t>, 12(3), 167-184.</w:t>
      </w:r>
    </w:p>
    <w:p w14:paraId="0FE27591"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Miller, S.M., Fugate, E.J.</w:t>
      </w:r>
      <w:r>
        <w:rPr>
          <w:rFonts w:eastAsia="Times New Roman" w:cs="Times New Roman"/>
          <w:szCs w:val="24"/>
        </w:rPr>
        <w:t xml:space="preserve">, Craver, V.O., Smith, J.A., &amp; Zimmerman, J.B. (2008). Toward understanding the efficacy and mechanism of </w:t>
      </w:r>
      <w:r>
        <w:rPr>
          <w:rFonts w:eastAsia="Times New Roman" w:cs="Times New Roman"/>
          <w:i/>
          <w:iCs/>
          <w:szCs w:val="24"/>
        </w:rPr>
        <w:t>Opuntia</w:t>
      </w:r>
      <w:r>
        <w:rPr>
          <w:rFonts w:eastAsia="Times New Roman" w:cs="Times New Roman"/>
          <w:szCs w:val="24"/>
        </w:rPr>
        <w:t xml:space="preserve"> spp. as a natural coagulant for potential application in water treatment. </w:t>
      </w:r>
      <w:r>
        <w:rPr>
          <w:rFonts w:eastAsia="Times New Roman" w:cs="Times New Roman"/>
          <w:i/>
          <w:iCs/>
          <w:szCs w:val="24"/>
        </w:rPr>
        <w:t>Environmental Science &amp; Technology</w:t>
      </w:r>
      <w:r>
        <w:rPr>
          <w:rFonts w:eastAsia="Times New Roman" w:cs="Times New Roman"/>
          <w:szCs w:val="24"/>
        </w:rPr>
        <w:t>, 42(12), 4274-4279.</w:t>
      </w:r>
    </w:p>
    <w:p w14:paraId="7DC4FD3C"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Nacoulima</w:t>
      </w:r>
      <w:proofErr w:type="spellEnd"/>
      <w:r>
        <w:rPr>
          <w:rFonts w:eastAsia="Times New Roman" w:cs="Times New Roman"/>
          <w:szCs w:val="24"/>
        </w:rPr>
        <w:t>, G.</w:t>
      </w:r>
      <w:r>
        <w:rPr>
          <w:rFonts w:eastAsia="Times New Roman" w:cs="Times New Roman"/>
          <w:szCs w:val="24"/>
        </w:rPr>
        <w:t xml:space="preserve">B., </w:t>
      </w:r>
      <w:proofErr w:type="spellStart"/>
      <w:r>
        <w:rPr>
          <w:rFonts w:eastAsia="Times New Roman" w:cs="Times New Roman"/>
          <w:szCs w:val="24"/>
        </w:rPr>
        <w:t>Compaore</w:t>
      </w:r>
      <w:proofErr w:type="spellEnd"/>
      <w:r>
        <w:rPr>
          <w:rFonts w:eastAsia="Times New Roman" w:cs="Times New Roman"/>
          <w:szCs w:val="24"/>
        </w:rPr>
        <w:t xml:space="preserve">, O., </w:t>
      </w:r>
      <w:proofErr w:type="spellStart"/>
      <w:r>
        <w:rPr>
          <w:rFonts w:eastAsia="Times New Roman" w:cs="Times New Roman"/>
          <w:szCs w:val="24"/>
        </w:rPr>
        <w:t>Poda</w:t>
      </w:r>
      <w:proofErr w:type="spellEnd"/>
      <w:r>
        <w:rPr>
          <w:rFonts w:eastAsia="Times New Roman" w:cs="Times New Roman"/>
          <w:szCs w:val="24"/>
        </w:rPr>
        <w:t xml:space="preserve">, G., &amp; </w:t>
      </w:r>
      <w:proofErr w:type="spellStart"/>
      <w:r>
        <w:rPr>
          <w:rFonts w:eastAsia="Times New Roman" w:cs="Times New Roman"/>
          <w:szCs w:val="24"/>
        </w:rPr>
        <w:t>Kabore</w:t>
      </w:r>
      <w:proofErr w:type="spellEnd"/>
      <w:r>
        <w:rPr>
          <w:rFonts w:eastAsia="Times New Roman" w:cs="Times New Roman"/>
          <w:szCs w:val="24"/>
        </w:rPr>
        <w:t xml:space="preserve">, M. (2000). Study of the coagulating and flocculating properties of okra mucilage. </w:t>
      </w:r>
      <w:r>
        <w:rPr>
          <w:rFonts w:eastAsia="Times New Roman" w:cs="Times New Roman"/>
          <w:i/>
          <w:iCs/>
          <w:szCs w:val="24"/>
        </w:rPr>
        <w:t>Water Science and Technology</w:t>
      </w:r>
      <w:r>
        <w:rPr>
          <w:rFonts w:eastAsia="Times New Roman" w:cs="Times New Roman"/>
          <w:szCs w:val="24"/>
        </w:rPr>
        <w:t>, 42(3-4), 233-236.</w:t>
      </w:r>
    </w:p>
    <w:p w14:paraId="0933E488"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 xml:space="preserve">Oki, T., &amp; </w:t>
      </w:r>
      <w:proofErr w:type="spellStart"/>
      <w:r>
        <w:rPr>
          <w:rFonts w:eastAsia="Times New Roman" w:cs="Times New Roman"/>
          <w:szCs w:val="24"/>
        </w:rPr>
        <w:t>Kanae</w:t>
      </w:r>
      <w:proofErr w:type="spellEnd"/>
      <w:r>
        <w:rPr>
          <w:rFonts w:eastAsia="Times New Roman" w:cs="Times New Roman"/>
          <w:szCs w:val="24"/>
        </w:rPr>
        <w:t xml:space="preserve">, S. (2006). Global hydrological cycles and world water resources. </w:t>
      </w:r>
      <w:r>
        <w:rPr>
          <w:rFonts w:eastAsia="Times New Roman" w:cs="Times New Roman"/>
          <w:i/>
          <w:iCs/>
          <w:szCs w:val="24"/>
        </w:rPr>
        <w:t>Scien</w:t>
      </w:r>
      <w:r>
        <w:rPr>
          <w:rFonts w:eastAsia="Times New Roman" w:cs="Times New Roman"/>
          <w:i/>
          <w:iCs/>
          <w:szCs w:val="24"/>
        </w:rPr>
        <w:t>ce</w:t>
      </w:r>
      <w:r>
        <w:rPr>
          <w:rFonts w:eastAsia="Times New Roman" w:cs="Times New Roman"/>
          <w:szCs w:val="24"/>
        </w:rPr>
        <w:t>, 313(5790), 1068-1072.</w:t>
      </w:r>
    </w:p>
    <w:p w14:paraId="26D2E117"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lastRenderedPageBreak/>
        <w:t xml:space="preserve">Pink, D.H., &amp; Daniel, H. (2006). </w:t>
      </w:r>
      <w:r>
        <w:rPr>
          <w:rFonts w:eastAsia="Times New Roman" w:cs="Times New Roman"/>
          <w:i/>
          <w:iCs/>
          <w:szCs w:val="24"/>
        </w:rPr>
        <w:t>The water wars: Privatization, pollution, and profit</w:t>
      </w:r>
      <w:r>
        <w:rPr>
          <w:rFonts w:eastAsia="Times New Roman" w:cs="Times New Roman"/>
          <w:szCs w:val="24"/>
        </w:rPr>
        <w:t>. South End Press.</w:t>
      </w:r>
    </w:p>
    <w:p w14:paraId="0312053A"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Sobsey</w:t>
      </w:r>
      <w:proofErr w:type="spellEnd"/>
      <w:r>
        <w:rPr>
          <w:rFonts w:eastAsia="Times New Roman" w:cs="Times New Roman"/>
          <w:szCs w:val="24"/>
        </w:rPr>
        <w:t xml:space="preserve">, M.D. (2002). </w:t>
      </w:r>
      <w:r>
        <w:rPr>
          <w:rFonts w:eastAsia="Times New Roman" w:cs="Times New Roman"/>
          <w:i/>
          <w:iCs/>
          <w:szCs w:val="24"/>
        </w:rPr>
        <w:t>Managing water in the home: Accelerated health gains from improved water supply</w:t>
      </w:r>
      <w:r>
        <w:rPr>
          <w:rFonts w:eastAsia="Times New Roman" w:cs="Times New Roman"/>
          <w:szCs w:val="24"/>
        </w:rPr>
        <w:t>. World Health Organizatio</w:t>
      </w:r>
      <w:r>
        <w:rPr>
          <w:rFonts w:eastAsia="Times New Roman" w:cs="Times New Roman"/>
          <w:szCs w:val="24"/>
        </w:rPr>
        <w:t>n.</w:t>
      </w:r>
    </w:p>
    <w:p w14:paraId="655F3BB0" w14:textId="77777777" w:rsidR="00CB6535" w:rsidRDefault="008665FD">
      <w:pPr>
        <w:spacing w:before="100" w:beforeAutospacing="1" w:after="100" w:afterAutospacing="1" w:line="240" w:lineRule="auto"/>
        <w:rPr>
          <w:rFonts w:eastAsia="Times New Roman" w:cs="Times New Roman"/>
          <w:szCs w:val="24"/>
        </w:rPr>
      </w:pPr>
      <w:proofErr w:type="spellStart"/>
      <w:r>
        <w:rPr>
          <w:rFonts w:eastAsia="Times New Roman" w:cs="Times New Roman"/>
          <w:szCs w:val="24"/>
        </w:rPr>
        <w:t>Szynkarczuk</w:t>
      </w:r>
      <w:proofErr w:type="spellEnd"/>
      <w:r>
        <w:rPr>
          <w:rFonts w:eastAsia="Times New Roman" w:cs="Times New Roman"/>
          <w:szCs w:val="24"/>
        </w:rPr>
        <w:t xml:space="preserve">, J., Kan, J., Hassan, T.A.T., &amp; </w:t>
      </w:r>
      <w:proofErr w:type="spellStart"/>
      <w:r>
        <w:rPr>
          <w:rFonts w:eastAsia="Times New Roman" w:cs="Times New Roman"/>
          <w:szCs w:val="24"/>
        </w:rPr>
        <w:t>Donini</w:t>
      </w:r>
      <w:proofErr w:type="spellEnd"/>
      <w:r>
        <w:rPr>
          <w:rFonts w:eastAsia="Times New Roman" w:cs="Times New Roman"/>
          <w:szCs w:val="24"/>
        </w:rPr>
        <w:t xml:space="preserve">, J.C. (1994). Electrochemical coagulation of clay suspensions. </w:t>
      </w:r>
      <w:r>
        <w:rPr>
          <w:rFonts w:eastAsia="Times New Roman" w:cs="Times New Roman"/>
          <w:i/>
          <w:iCs/>
          <w:szCs w:val="24"/>
        </w:rPr>
        <w:t>Clays and Clay Minerals</w:t>
      </w:r>
      <w:r>
        <w:rPr>
          <w:rFonts w:eastAsia="Times New Roman" w:cs="Times New Roman"/>
          <w:szCs w:val="24"/>
        </w:rPr>
        <w:t>, 42(6), 667-673.</w:t>
      </w:r>
    </w:p>
    <w:p w14:paraId="1181C2EF"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 xml:space="preserve">Thakur, S.S., &amp; </w:t>
      </w:r>
      <w:proofErr w:type="spellStart"/>
      <w:r>
        <w:rPr>
          <w:rFonts w:eastAsia="Times New Roman" w:cs="Times New Roman"/>
          <w:szCs w:val="24"/>
        </w:rPr>
        <w:t>Choubey</w:t>
      </w:r>
      <w:proofErr w:type="spellEnd"/>
      <w:r>
        <w:rPr>
          <w:rFonts w:eastAsia="Times New Roman" w:cs="Times New Roman"/>
          <w:szCs w:val="24"/>
        </w:rPr>
        <w:t xml:space="preserve">, S. (2014). Assessment of coagulation efficiency of </w:t>
      </w:r>
      <w:r>
        <w:rPr>
          <w:rFonts w:eastAsia="Times New Roman" w:cs="Times New Roman"/>
          <w:i/>
          <w:iCs/>
          <w:szCs w:val="24"/>
        </w:rPr>
        <w:t>Moringa oleifera</w:t>
      </w:r>
      <w:r>
        <w:rPr>
          <w:rFonts w:eastAsia="Times New Roman" w:cs="Times New Roman"/>
          <w:szCs w:val="24"/>
        </w:rPr>
        <w:t xml:space="preserve"> and o</w:t>
      </w:r>
      <w:r>
        <w:rPr>
          <w:rFonts w:eastAsia="Times New Roman" w:cs="Times New Roman"/>
          <w:szCs w:val="24"/>
        </w:rPr>
        <w:t xml:space="preserve">kra for treatment of turbid water. </w:t>
      </w:r>
      <w:r>
        <w:rPr>
          <w:rFonts w:eastAsia="Times New Roman" w:cs="Times New Roman"/>
          <w:i/>
          <w:iCs/>
          <w:szCs w:val="24"/>
        </w:rPr>
        <w:t>Archives of Applied Science Research</w:t>
      </w:r>
      <w:r>
        <w:rPr>
          <w:rFonts w:eastAsia="Times New Roman" w:cs="Times New Roman"/>
          <w:szCs w:val="24"/>
        </w:rPr>
        <w:t>, 6(2), 24-30.</w:t>
      </w:r>
    </w:p>
    <w:sectPr w:rsidR="00CB65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2D0C8" w14:textId="77777777" w:rsidR="008665FD" w:rsidRDefault="008665FD">
      <w:pPr>
        <w:spacing w:line="240" w:lineRule="auto"/>
      </w:pPr>
      <w:r>
        <w:separator/>
      </w:r>
    </w:p>
  </w:endnote>
  <w:endnote w:type="continuationSeparator" w:id="0">
    <w:p w14:paraId="0A4D4015" w14:textId="77777777" w:rsidR="008665FD" w:rsidRDefault="00866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3EE2" w14:textId="77777777" w:rsidR="00D91FA8" w:rsidRDefault="00D91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66F8" w14:textId="77777777" w:rsidR="00D91FA8" w:rsidRDefault="00D91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3D87" w14:textId="77777777" w:rsidR="00D91FA8" w:rsidRDefault="00D91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347D3" w14:textId="77777777" w:rsidR="008665FD" w:rsidRDefault="008665FD">
      <w:pPr>
        <w:spacing w:after="0"/>
      </w:pPr>
      <w:r>
        <w:separator/>
      </w:r>
    </w:p>
  </w:footnote>
  <w:footnote w:type="continuationSeparator" w:id="0">
    <w:p w14:paraId="680BA7FC" w14:textId="77777777" w:rsidR="008665FD" w:rsidRDefault="00866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B2D4" w14:textId="3E258171" w:rsidR="00D91FA8" w:rsidRDefault="00D91FA8">
    <w:pPr>
      <w:pStyle w:val="Header"/>
    </w:pPr>
    <w:r>
      <w:rPr>
        <w:noProof/>
      </w:rPr>
      <w:pict w14:anchorId="0F294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17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A2E2" w14:textId="4EBDE0CB" w:rsidR="00D91FA8" w:rsidRDefault="00D91FA8">
    <w:pPr>
      <w:pStyle w:val="Header"/>
    </w:pPr>
    <w:r>
      <w:rPr>
        <w:noProof/>
      </w:rPr>
      <w:pict w14:anchorId="6A620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17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60232" w14:textId="32E0162D" w:rsidR="00D91FA8" w:rsidRDefault="00D91FA8">
    <w:pPr>
      <w:pStyle w:val="Header"/>
    </w:pPr>
    <w:r>
      <w:rPr>
        <w:noProof/>
      </w:rPr>
      <w:pict w14:anchorId="0A993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17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2DE6"/>
    <w:multiLevelType w:val="multilevel"/>
    <w:tmpl w:val="0C472DE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E4623A"/>
    <w:multiLevelType w:val="multilevel"/>
    <w:tmpl w:val="1AE462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4B3331"/>
    <w:multiLevelType w:val="multilevel"/>
    <w:tmpl w:val="1F4B333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996948"/>
    <w:multiLevelType w:val="multilevel"/>
    <w:tmpl w:val="1F99694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4415AC"/>
    <w:multiLevelType w:val="multilevel"/>
    <w:tmpl w:val="414415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9A43C06"/>
    <w:multiLevelType w:val="multilevel"/>
    <w:tmpl w:val="59A43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sTAyMzA1NjQ1MDRR0lEKTi0uzszPAykwrAUArhS4wSwAAAA="/>
  </w:docVars>
  <w:rsids>
    <w:rsidRoot w:val="00345166"/>
    <w:rsid w:val="00037AE4"/>
    <w:rsid w:val="00130536"/>
    <w:rsid w:val="00226577"/>
    <w:rsid w:val="0026456B"/>
    <w:rsid w:val="00317C89"/>
    <w:rsid w:val="00345166"/>
    <w:rsid w:val="003A231D"/>
    <w:rsid w:val="004A0BAA"/>
    <w:rsid w:val="00754E14"/>
    <w:rsid w:val="00765DA4"/>
    <w:rsid w:val="0081348B"/>
    <w:rsid w:val="008665FD"/>
    <w:rsid w:val="008D6A46"/>
    <w:rsid w:val="00A75156"/>
    <w:rsid w:val="00B1448B"/>
    <w:rsid w:val="00CB6535"/>
    <w:rsid w:val="00D171C3"/>
    <w:rsid w:val="00D257F1"/>
    <w:rsid w:val="00D91FA8"/>
    <w:rsid w:val="00DE4817"/>
    <w:rsid w:val="00EE3528"/>
    <w:rsid w:val="00F270FE"/>
    <w:rsid w:val="00FF369F"/>
    <w:rsid w:val="21305DB3"/>
    <w:rsid w:val="49220BFF"/>
    <w:rsid w:val="528D14FE"/>
    <w:rsid w:val="5824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F6BA0B"/>
  <w15:docId w15:val="{70803FF6-D347-4FF3-AD5B-A853910A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imes New Roman" w:hAnsi="Times New Roman"/>
      <w:sz w:val="24"/>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E4817"/>
    <w:rPr>
      <w:color w:val="0563C1" w:themeColor="hyperlink"/>
      <w:u w:val="single"/>
    </w:rPr>
  </w:style>
  <w:style w:type="character" w:styleId="UnresolvedMention">
    <w:name w:val="Unresolved Mention"/>
    <w:basedOn w:val="DefaultParagraphFont"/>
    <w:uiPriority w:val="99"/>
    <w:semiHidden/>
    <w:unhideWhenUsed/>
    <w:rsid w:val="00DE4817"/>
    <w:rPr>
      <w:color w:val="605E5C"/>
      <w:shd w:val="clear" w:color="auto" w:fill="E1DFDD"/>
    </w:rPr>
  </w:style>
  <w:style w:type="paragraph" w:styleId="Header">
    <w:name w:val="header"/>
    <w:basedOn w:val="Normal"/>
    <w:link w:val="HeaderChar"/>
    <w:uiPriority w:val="99"/>
    <w:unhideWhenUsed/>
    <w:rsid w:val="00D91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FA8"/>
    <w:rPr>
      <w:rFonts w:ascii="Times New Roman" w:hAnsi="Times New Roman"/>
      <w:sz w:val="24"/>
      <w:szCs w:val="22"/>
      <w:lang w:val="en-US" w:eastAsia="en-US"/>
    </w:rPr>
  </w:style>
  <w:style w:type="paragraph" w:styleId="Footer">
    <w:name w:val="footer"/>
    <w:basedOn w:val="Normal"/>
    <w:link w:val="FooterChar"/>
    <w:uiPriority w:val="99"/>
    <w:unhideWhenUsed/>
    <w:rsid w:val="00D91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FA8"/>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4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b="1"/>
              <a:t>SETTLING RATE</a:t>
            </a:r>
          </a:p>
        </c:rich>
      </c:tx>
      <c:layout>
        <c:manualLayout>
          <c:xMode val="edge"/>
          <c:yMode val="edge"/>
          <c:x val="0.36760990813648298"/>
          <c:y val="1.38888888888889E-2"/>
        </c:manualLayout>
      </c:layout>
      <c:overlay val="0"/>
      <c:spPr>
        <a:noFill/>
        <a:ln>
          <a:noFill/>
        </a:ln>
        <a:effectLst/>
      </c:spPr>
      <c:txPr>
        <a:bodyPr rot="0" spcFirstLastPara="1" vertOverflow="ellipsis" vert="horz" wrap="square" anchor="ctr" anchorCtr="1"/>
        <a:lstStyle/>
        <a:p>
          <a:pPr>
            <a:defRPr lang="en-US" sz="144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8.6902041808295097E-2"/>
          <c:y val="0.101669456208608"/>
          <c:w val="0.66034868037328698"/>
          <c:h val="0.76028163333200804"/>
        </c:manualLayout>
      </c:layout>
      <c:barChart>
        <c:barDir val="col"/>
        <c:grouping val="clustered"/>
        <c:varyColors val="0"/>
        <c:ser>
          <c:idx val="0"/>
          <c:order val="0"/>
          <c:tx>
            <c:strRef>
              <c:f>NO COAGULANT</c:f>
              <c:strCache>
                <c:ptCount val="1"/>
                <c:pt idx="0">
                  <c:v>NO COAGULANT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Sheet3!$B$43:$B$45</c:f>
              <c:strCache>
                <c:ptCount val="3"/>
                <c:pt idx="0">
                  <c:v>Sample A</c:v>
                </c:pt>
                <c:pt idx="1">
                  <c:v>Sample B</c:v>
                </c:pt>
                <c:pt idx="2">
                  <c:v>Sample C</c:v>
                </c:pt>
              </c:strCache>
            </c:strRef>
          </c:cat>
          <c:val>
            <c:numRef>
              <c:f>Sheet3!$C$43:$C$45</c:f>
              <c:numCache>
                <c:formatCode>General</c:formatCode>
                <c:ptCount val="3"/>
                <c:pt idx="0">
                  <c:v>1.7110000000000001</c:v>
                </c:pt>
                <c:pt idx="1">
                  <c:v>1.871</c:v>
                </c:pt>
                <c:pt idx="2">
                  <c:v>3.16</c:v>
                </c:pt>
              </c:numCache>
            </c:numRef>
          </c:val>
          <c:extLst>
            <c:ext xmlns:c16="http://schemas.microsoft.com/office/drawing/2014/chart" uri="{C3380CC4-5D6E-409C-BE32-E72D297353CC}">
              <c16:uniqueId val="{00000000-E165-4908-84CC-3DE2787C0733}"/>
            </c:ext>
          </c:extLst>
        </c:ser>
        <c:ser>
          <c:idx val="1"/>
          <c:order val="1"/>
          <c:tx>
            <c:strRef>
              <c:f>COAGULANT ADDED</c:f>
              <c:strCache>
                <c:ptCount val="1"/>
                <c:pt idx="0">
                  <c:v>COAGULANT ADDED</c:v>
                </c:pt>
              </c:strCache>
            </c:strRef>
          </c:tx>
          <c:spPr>
            <a:solidFill>
              <a:schemeClr val="accent2"/>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Sheet3!$B$43:$B$45</c:f>
              <c:strCache>
                <c:ptCount val="3"/>
                <c:pt idx="0">
                  <c:v>Sample A</c:v>
                </c:pt>
                <c:pt idx="1">
                  <c:v>Sample B</c:v>
                </c:pt>
                <c:pt idx="2">
                  <c:v>Sample C</c:v>
                </c:pt>
              </c:strCache>
            </c:strRef>
          </c:cat>
          <c:val>
            <c:numRef>
              <c:f>Sheet3!$D$43:$D$45</c:f>
              <c:numCache>
                <c:formatCode>0</c:formatCode>
                <c:ptCount val="3"/>
                <c:pt idx="0" formatCode="General">
                  <c:v>5.2</c:v>
                </c:pt>
                <c:pt idx="1">
                  <c:v>5</c:v>
                </c:pt>
                <c:pt idx="2" formatCode="General">
                  <c:v>9.1</c:v>
                </c:pt>
              </c:numCache>
            </c:numRef>
          </c:val>
          <c:extLst>
            <c:ext xmlns:c16="http://schemas.microsoft.com/office/drawing/2014/chart" uri="{C3380CC4-5D6E-409C-BE32-E72D297353CC}">
              <c16:uniqueId val="{00000001-E165-4908-84CC-3DE2787C0733}"/>
            </c:ext>
          </c:extLst>
        </c:ser>
        <c:dLbls>
          <c:showLegendKey val="0"/>
          <c:showVal val="1"/>
          <c:showCatName val="0"/>
          <c:showSerName val="0"/>
          <c:showPercent val="0"/>
          <c:showBubbleSize val="0"/>
        </c:dLbls>
        <c:gapWidth val="219"/>
        <c:overlap val="-27"/>
        <c:axId val="241585360"/>
        <c:axId val="241586448"/>
      </c:barChart>
      <c:catAx>
        <c:axId val="24158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41586448"/>
        <c:crosses val="autoZero"/>
        <c:auto val="1"/>
        <c:lblAlgn val="ctr"/>
        <c:lblOffset val="100"/>
        <c:noMultiLvlLbl val="0"/>
      </c:catAx>
      <c:valAx>
        <c:axId val="24158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t>Slope(m/s)</a:t>
                </a:r>
              </a:p>
            </c:rich>
          </c:tx>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41585360"/>
        <c:crosses val="autoZero"/>
        <c:crossBetween val="between"/>
      </c:valAx>
      <c:spPr>
        <a:noFill/>
        <a:ln>
          <a:noFill/>
        </a:ln>
        <a:effectLst/>
      </c:spPr>
    </c:plotArea>
    <c:legend>
      <c:legendPos val="r"/>
      <c:layout>
        <c:manualLayout>
          <c:xMode val="edge"/>
          <c:yMode val="edge"/>
          <c:x val="0.71474901574803196"/>
          <c:y val="0.31594233012540102"/>
          <c:w val="0.27310750218722701"/>
          <c:h val="0.279568387284923"/>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748e0b2-5d4a-4fd8-b30d-2862bfefc9d3}"/>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CD1A-24D7-4F1A-BAE7-647D8F6C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3068</Words>
  <Characters>17490</Characters>
  <Application>Microsoft Office Word</Application>
  <DocSecurity>0</DocSecurity>
  <Lines>145</Lines>
  <Paragraphs>41</Paragraphs>
  <ScaleCrop>false</ScaleCrop>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Aisosa Osabuohien</dc:creator>
  <cp:lastModifiedBy>SDI 1084</cp:lastModifiedBy>
  <cp:revision>6</cp:revision>
  <dcterms:created xsi:type="dcterms:W3CDTF">2025-11-02T21:05:00Z</dcterms:created>
  <dcterms:modified xsi:type="dcterms:W3CDTF">2025-11-11T07:18:00Z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FF7FAEE717034097B79BCCD52F1FB318_12</vt:lpwstr>
  </property>
  <property fmtid="{D5CDD505-2E9C-101B-9397-08002B2CF9AE}" pid="4" name="GrammarlyDocumentId">
    <vt:lpwstr>630720ee-2653-4ce3-b2ae-b9336712a6ea</vt:lpwstr>
  </property>
</Properties>
</file>