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A2C8F" w14:textId="2B430725" w:rsidR="00CC4A0E" w:rsidRDefault="00CC4A0E" w:rsidP="00D41878">
      <w:pPr>
        <w:spacing w:line="360" w:lineRule="auto"/>
        <w:jc w:val="center"/>
        <w:rPr>
          <w:rFonts w:ascii="Times New Roman" w:hAnsi="Times New Roman" w:cs="Times New Roman"/>
          <w:b/>
          <w:bCs/>
          <w:sz w:val="24"/>
          <w:szCs w:val="24"/>
        </w:rPr>
      </w:pPr>
      <w:r w:rsidRPr="00CC4A0E">
        <w:rPr>
          <w:rFonts w:ascii="Times New Roman" w:hAnsi="Times New Roman" w:cs="Times New Roman"/>
          <w:b/>
          <w:bCs/>
          <w:i/>
          <w:iCs/>
          <w:sz w:val="24"/>
          <w:szCs w:val="24"/>
          <w:u w:val="single"/>
          <w:lang w:val="en-US"/>
        </w:rPr>
        <w:t>Original Research Article</w:t>
      </w:r>
    </w:p>
    <w:p w14:paraId="3C1473BA" w14:textId="2A629B3D" w:rsidR="00C86943" w:rsidRPr="00C86943" w:rsidRDefault="00C86943" w:rsidP="00D41878">
      <w:pPr>
        <w:spacing w:line="360" w:lineRule="auto"/>
        <w:jc w:val="center"/>
        <w:rPr>
          <w:rFonts w:ascii="Times New Roman" w:hAnsi="Times New Roman" w:cs="Times New Roman"/>
          <w:b/>
          <w:bCs/>
          <w:sz w:val="24"/>
          <w:szCs w:val="24"/>
        </w:rPr>
      </w:pPr>
      <w:r w:rsidRPr="00C86943">
        <w:rPr>
          <w:rFonts w:ascii="Times New Roman" w:hAnsi="Times New Roman" w:cs="Times New Roman"/>
          <w:b/>
          <w:bCs/>
          <w:sz w:val="24"/>
          <w:szCs w:val="24"/>
        </w:rPr>
        <w:t xml:space="preserve">Integrated chemical analysis (GC/MS and ¹³C NMR) of the essential oil of </w:t>
      </w:r>
      <w:r w:rsidRPr="00C86943">
        <w:rPr>
          <w:rStyle w:val="Emphasis"/>
          <w:rFonts w:ascii="Times New Roman" w:hAnsi="Times New Roman" w:cs="Times New Roman"/>
          <w:b/>
          <w:bCs/>
          <w:sz w:val="24"/>
          <w:szCs w:val="24"/>
        </w:rPr>
        <w:t>Cleistopholis patens</w:t>
      </w:r>
      <w:r w:rsidRPr="00C86943">
        <w:rPr>
          <w:rFonts w:ascii="Times New Roman" w:hAnsi="Times New Roman" w:cs="Times New Roman"/>
          <w:b/>
          <w:bCs/>
          <w:sz w:val="24"/>
          <w:szCs w:val="24"/>
        </w:rPr>
        <w:t xml:space="preserve"> (Benth.) Engl. &amp; Diels from Divo (Côte d’Ivoire</w:t>
      </w:r>
      <w:proofErr w:type="gramStart"/>
      <w:r w:rsidRPr="00C86943">
        <w:rPr>
          <w:rFonts w:ascii="Times New Roman" w:hAnsi="Times New Roman" w:cs="Times New Roman"/>
          <w:b/>
          <w:bCs/>
          <w:sz w:val="24"/>
          <w:szCs w:val="24"/>
        </w:rPr>
        <w:t>):</w:t>
      </w:r>
      <w:proofErr w:type="gramEnd"/>
      <w:r w:rsidRPr="00C86943">
        <w:rPr>
          <w:rFonts w:ascii="Times New Roman" w:hAnsi="Times New Roman" w:cs="Times New Roman"/>
          <w:b/>
          <w:bCs/>
          <w:sz w:val="24"/>
          <w:szCs w:val="24"/>
        </w:rPr>
        <w:t xml:space="preserve"> composition and bioactive potential</w:t>
      </w:r>
    </w:p>
    <w:p w14:paraId="414ABEF8" w14:textId="77777777" w:rsidR="00C80496" w:rsidRDefault="00C80496">
      <w:pPr>
        <w:rPr>
          <w:rStyle w:val="Strong"/>
          <w:rFonts w:ascii="Times New Roman" w:hAnsi="Times New Roman" w:cs="Times New Roman"/>
          <w:sz w:val="24"/>
          <w:szCs w:val="24"/>
        </w:rPr>
      </w:pPr>
    </w:p>
    <w:p w14:paraId="762245AD" w14:textId="37CCA7B6" w:rsidR="001219EF" w:rsidRPr="00D763B5" w:rsidRDefault="001219EF">
      <w:pPr>
        <w:rPr>
          <w:rFonts w:ascii="Times New Roman" w:hAnsi="Times New Roman" w:cs="Times New Roman"/>
          <w:sz w:val="24"/>
          <w:szCs w:val="24"/>
        </w:rPr>
      </w:pPr>
      <w:bookmarkStart w:id="0" w:name="_GoBack"/>
      <w:bookmarkEnd w:id="0"/>
      <w:r w:rsidRPr="00D763B5">
        <w:rPr>
          <w:rStyle w:val="Strong"/>
          <w:rFonts w:ascii="Times New Roman" w:hAnsi="Times New Roman" w:cs="Times New Roman"/>
          <w:sz w:val="24"/>
          <w:szCs w:val="24"/>
        </w:rPr>
        <w:t>Abstract</w:t>
      </w:r>
    </w:p>
    <w:p w14:paraId="4F8522AD" w14:textId="79D4F32E" w:rsidR="00CB453A" w:rsidRDefault="001219EF" w:rsidP="001219EF">
      <w:pPr>
        <w:spacing w:line="360" w:lineRule="auto"/>
        <w:jc w:val="both"/>
        <w:rPr>
          <w:rFonts w:ascii="Times New Roman" w:hAnsi="Times New Roman" w:cs="Times New Roman"/>
          <w:sz w:val="24"/>
          <w:szCs w:val="24"/>
        </w:rPr>
      </w:pPr>
      <w:r w:rsidRPr="001219EF">
        <w:rPr>
          <w:rFonts w:ascii="Times New Roman" w:hAnsi="Times New Roman" w:cs="Times New Roman"/>
          <w:sz w:val="24"/>
          <w:szCs w:val="24"/>
        </w:rPr>
        <w:t xml:space="preserve">The essential oil of </w:t>
      </w:r>
      <w:r w:rsidRPr="001219EF">
        <w:rPr>
          <w:rStyle w:val="Emphasis"/>
          <w:rFonts w:ascii="Times New Roman" w:hAnsi="Times New Roman" w:cs="Times New Roman"/>
          <w:sz w:val="24"/>
          <w:szCs w:val="24"/>
        </w:rPr>
        <w:t>Cleistopholis patens</w:t>
      </w:r>
      <w:r w:rsidRPr="001219EF">
        <w:rPr>
          <w:rFonts w:ascii="Times New Roman" w:hAnsi="Times New Roman" w:cs="Times New Roman"/>
          <w:sz w:val="24"/>
          <w:szCs w:val="24"/>
        </w:rPr>
        <w:t xml:space="preserve"> from Divo (Côte d’Ivoire) was obtained by steam distillation with a yield of </w:t>
      </w:r>
      <w:r w:rsidRPr="001219EF">
        <w:rPr>
          <w:rStyle w:val="Strong"/>
          <w:rFonts w:ascii="Times New Roman" w:hAnsi="Times New Roman" w:cs="Times New Roman"/>
          <w:b w:val="0"/>
          <w:bCs w:val="0"/>
          <w:sz w:val="24"/>
          <w:szCs w:val="24"/>
        </w:rPr>
        <w:t>0.24 ± 0.01%</w:t>
      </w:r>
      <w:r w:rsidRPr="001219EF">
        <w:rPr>
          <w:rFonts w:ascii="Times New Roman" w:hAnsi="Times New Roman" w:cs="Times New Roman"/>
          <w:sz w:val="24"/>
          <w:szCs w:val="24"/>
        </w:rPr>
        <w:t xml:space="preserve">. The main compounds identified by gas chromatography–mass spectrometry (GC/MS) and confirmed by ¹³C NMR were </w:t>
      </w:r>
      <w:r w:rsidRPr="001219EF">
        <w:rPr>
          <w:rStyle w:val="Strong"/>
          <w:rFonts w:ascii="Times New Roman" w:hAnsi="Times New Roman" w:cs="Times New Roman"/>
          <w:b w:val="0"/>
          <w:bCs w:val="0"/>
          <w:sz w:val="24"/>
          <w:szCs w:val="24"/>
        </w:rPr>
        <w:t>D-limonene (14.40%)</w:t>
      </w:r>
      <w:r w:rsidRPr="001219EF">
        <w:rPr>
          <w:rFonts w:ascii="Times New Roman" w:hAnsi="Times New Roman" w:cs="Times New Roman"/>
          <w:b/>
          <w:bCs/>
          <w:sz w:val="24"/>
          <w:szCs w:val="24"/>
        </w:rPr>
        <w:t xml:space="preserve">, </w:t>
      </w:r>
      <w:r w:rsidRPr="001219EF">
        <w:rPr>
          <w:rStyle w:val="Strong"/>
          <w:rFonts w:ascii="Times New Roman" w:hAnsi="Times New Roman" w:cs="Times New Roman"/>
          <w:b w:val="0"/>
          <w:bCs w:val="0"/>
          <w:sz w:val="24"/>
          <w:szCs w:val="24"/>
        </w:rPr>
        <w:t>β-thujene (12.36%)</w:t>
      </w:r>
      <w:r w:rsidRPr="001219EF">
        <w:rPr>
          <w:rFonts w:ascii="Times New Roman" w:hAnsi="Times New Roman" w:cs="Times New Roman"/>
          <w:sz w:val="24"/>
          <w:szCs w:val="24"/>
        </w:rPr>
        <w:t xml:space="preserve">, </w:t>
      </w:r>
      <w:r w:rsidRPr="001219EF">
        <w:rPr>
          <w:rStyle w:val="Strong"/>
          <w:rFonts w:ascii="Times New Roman" w:hAnsi="Times New Roman" w:cs="Times New Roman"/>
          <w:b w:val="0"/>
          <w:bCs w:val="0"/>
          <w:sz w:val="24"/>
          <w:szCs w:val="24"/>
        </w:rPr>
        <w:t>α-pinene (8.17%)</w:t>
      </w:r>
      <w:r w:rsidRPr="001219EF">
        <w:rPr>
          <w:rFonts w:ascii="Times New Roman" w:hAnsi="Times New Roman" w:cs="Times New Roman"/>
          <w:sz w:val="24"/>
          <w:szCs w:val="24"/>
        </w:rPr>
        <w:t xml:space="preserve">, </w:t>
      </w:r>
      <w:r w:rsidRPr="001219EF">
        <w:rPr>
          <w:rStyle w:val="Strong"/>
          <w:rFonts w:ascii="Times New Roman" w:hAnsi="Times New Roman" w:cs="Times New Roman"/>
          <w:b w:val="0"/>
          <w:bCs w:val="0"/>
          <w:sz w:val="24"/>
          <w:szCs w:val="24"/>
        </w:rPr>
        <w:t>β-pinene (7.56%)</w:t>
      </w:r>
      <w:r w:rsidRPr="001219EF">
        <w:rPr>
          <w:rFonts w:ascii="Times New Roman" w:hAnsi="Times New Roman" w:cs="Times New Roman"/>
          <w:sz w:val="24"/>
          <w:szCs w:val="24"/>
        </w:rPr>
        <w:t xml:space="preserve">, </w:t>
      </w:r>
      <w:r w:rsidRPr="001219EF">
        <w:rPr>
          <w:rStyle w:val="Strong"/>
          <w:rFonts w:ascii="Times New Roman" w:hAnsi="Times New Roman" w:cs="Times New Roman"/>
          <w:b w:val="0"/>
          <w:bCs w:val="0"/>
          <w:sz w:val="24"/>
          <w:szCs w:val="24"/>
        </w:rPr>
        <w:t>γ-terpinene (7.35%)</w:t>
      </w:r>
      <w:r w:rsidRPr="001219EF">
        <w:rPr>
          <w:rFonts w:ascii="Times New Roman" w:hAnsi="Times New Roman" w:cs="Times New Roman"/>
          <w:sz w:val="24"/>
          <w:szCs w:val="24"/>
        </w:rPr>
        <w:t xml:space="preserve">, </w:t>
      </w:r>
      <w:proofErr w:type="gramStart"/>
      <w:r w:rsidRPr="001219EF">
        <w:rPr>
          <w:rStyle w:val="Strong"/>
          <w:rFonts w:ascii="Times New Roman" w:hAnsi="Times New Roman" w:cs="Times New Roman"/>
          <w:b w:val="0"/>
          <w:bCs w:val="0"/>
          <w:sz w:val="24"/>
          <w:szCs w:val="24"/>
        </w:rPr>
        <w:t>terpinen</w:t>
      </w:r>
      <w:proofErr w:type="gramEnd"/>
      <w:r w:rsidRPr="001219EF">
        <w:rPr>
          <w:rStyle w:val="Strong"/>
          <w:rFonts w:ascii="Times New Roman" w:hAnsi="Times New Roman" w:cs="Times New Roman"/>
          <w:b w:val="0"/>
          <w:bCs w:val="0"/>
          <w:sz w:val="24"/>
          <w:szCs w:val="24"/>
        </w:rPr>
        <w:t>-4-ol (7.05%)</w:t>
      </w:r>
      <w:r w:rsidRPr="001219EF">
        <w:rPr>
          <w:rFonts w:ascii="Times New Roman" w:hAnsi="Times New Roman" w:cs="Times New Roman"/>
          <w:sz w:val="24"/>
          <w:szCs w:val="24"/>
        </w:rPr>
        <w:t xml:space="preserve">, and </w:t>
      </w:r>
      <w:r w:rsidRPr="001219EF">
        <w:rPr>
          <w:rStyle w:val="Strong"/>
          <w:rFonts w:ascii="Times New Roman" w:hAnsi="Times New Roman" w:cs="Times New Roman"/>
          <w:b w:val="0"/>
          <w:bCs w:val="0"/>
          <w:sz w:val="24"/>
          <w:szCs w:val="24"/>
        </w:rPr>
        <w:t>caryophyllene (8.38%)</w:t>
      </w:r>
      <w:r w:rsidRPr="001219EF">
        <w:rPr>
          <w:rFonts w:ascii="Times New Roman" w:hAnsi="Times New Roman" w:cs="Times New Roman"/>
          <w:sz w:val="24"/>
          <w:szCs w:val="24"/>
        </w:rPr>
        <w:t xml:space="preserve">. These constituents exhibited strong antibacterial activity against the tested clinical strains, with antibacterial parameter values ranging from </w:t>
      </w:r>
      <w:r w:rsidRPr="001219EF">
        <w:rPr>
          <w:rStyle w:val="Strong"/>
          <w:rFonts w:ascii="Times New Roman" w:hAnsi="Times New Roman" w:cs="Times New Roman"/>
          <w:b w:val="0"/>
          <w:bCs w:val="0"/>
          <w:sz w:val="24"/>
          <w:szCs w:val="24"/>
        </w:rPr>
        <w:t>3.125 to 6.25 mg/mL</w:t>
      </w:r>
      <w:r w:rsidRPr="001219EF">
        <w:rPr>
          <w:rFonts w:ascii="Times New Roman" w:hAnsi="Times New Roman" w:cs="Times New Roman"/>
          <w:sz w:val="24"/>
          <w:szCs w:val="24"/>
        </w:rPr>
        <w:t>.</w:t>
      </w:r>
    </w:p>
    <w:p w14:paraId="79821E0C" w14:textId="17C4C67D" w:rsidR="00205757" w:rsidRPr="00205757" w:rsidRDefault="00205757" w:rsidP="00205757">
      <w:pPr>
        <w:spacing w:before="240" w:line="360" w:lineRule="auto"/>
        <w:jc w:val="both"/>
        <w:rPr>
          <w:rFonts w:ascii="Times New Roman" w:hAnsi="Times New Roman" w:cs="Times New Roman"/>
          <w:b/>
          <w:bCs/>
          <w:sz w:val="24"/>
          <w:szCs w:val="24"/>
        </w:rPr>
      </w:pPr>
      <w:r w:rsidRPr="00205757">
        <w:rPr>
          <w:rFonts w:ascii="Times New Roman" w:hAnsi="Times New Roman" w:cs="Times New Roman"/>
          <w:b/>
          <w:bCs/>
          <w:sz w:val="24"/>
          <w:szCs w:val="24"/>
        </w:rPr>
        <w:t>Introduction</w:t>
      </w:r>
    </w:p>
    <w:p w14:paraId="4B53269D" w14:textId="77777777" w:rsidR="00205757" w:rsidRDefault="00205757" w:rsidP="00205757">
      <w:pPr>
        <w:pStyle w:val="NormalWeb"/>
        <w:spacing w:line="360" w:lineRule="auto"/>
        <w:jc w:val="both"/>
      </w:pPr>
      <w:r>
        <w:rPr>
          <w:rStyle w:val="Emphasis"/>
        </w:rPr>
        <w:t>Cleistopholis patens</w:t>
      </w:r>
      <w:r>
        <w:t xml:space="preserve"> (Benth. </w:t>
      </w:r>
      <w:proofErr w:type="gramStart"/>
      <w:r>
        <w:t>ex</w:t>
      </w:r>
      <w:proofErr w:type="gramEnd"/>
      <w:r>
        <w:t xml:space="preserve"> Engl.) is a tropical tree belonging to the family </w:t>
      </w:r>
      <w:r w:rsidRPr="00205757">
        <w:rPr>
          <w:rStyle w:val="Strong"/>
          <w:b w:val="0"/>
          <w:bCs w:val="0"/>
        </w:rPr>
        <w:t>Annonaceae</w:t>
      </w:r>
      <w:r>
        <w:t xml:space="preserve">, widely distributed in Côte d’Ivoire, particularly in the Divo region. Members of the </w:t>
      </w:r>
      <w:r w:rsidRPr="00205757">
        <w:rPr>
          <w:rStyle w:val="Strong"/>
          <w:b w:val="0"/>
          <w:bCs w:val="0"/>
        </w:rPr>
        <w:t>Annonaceae</w:t>
      </w:r>
      <w:r>
        <w:t xml:space="preserve"> family are characterized by woody plants with simple and alternate leaves, abundant in the tropical rainforests of this region (</w:t>
      </w:r>
      <w:r>
        <w:rPr>
          <w:rStyle w:val="Strong"/>
        </w:rPr>
        <w:t xml:space="preserve">Ouattara </w:t>
      </w:r>
      <w:r>
        <w:rPr>
          <w:rStyle w:val="Emphasis"/>
          <w:b/>
          <w:bCs/>
        </w:rPr>
        <w:t>et al.</w:t>
      </w:r>
      <w:r>
        <w:rPr>
          <w:rStyle w:val="Strong"/>
        </w:rPr>
        <w:t xml:space="preserve">, </w:t>
      </w:r>
      <w:proofErr w:type="gramStart"/>
      <w:r>
        <w:rPr>
          <w:rStyle w:val="Strong"/>
        </w:rPr>
        <w:t>2013;</w:t>
      </w:r>
      <w:proofErr w:type="gramEnd"/>
      <w:r>
        <w:rPr>
          <w:rStyle w:val="Strong"/>
        </w:rPr>
        <w:t xml:space="preserve"> Ajayi </w:t>
      </w:r>
      <w:r>
        <w:rPr>
          <w:rStyle w:val="Emphasis"/>
          <w:b/>
          <w:bCs/>
        </w:rPr>
        <w:t>et al.</w:t>
      </w:r>
      <w:r>
        <w:rPr>
          <w:rStyle w:val="Strong"/>
        </w:rPr>
        <w:t>, 2025; Engler &amp; Diels, 1901</w:t>
      </w:r>
      <w:r>
        <w:t xml:space="preserve">). </w:t>
      </w:r>
      <w:r>
        <w:rPr>
          <w:rStyle w:val="Emphasis"/>
        </w:rPr>
        <w:t>C. patens</w:t>
      </w:r>
      <w:r>
        <w:t xml:space="preserve"> can reach up to 30 m in height, with a straight, cylindrical trunk covered by grayish to dark brown bark that is fissured and slightly scaly. The leaves are alternate, simple, leathery, and elliptical to oblong in shape, with an acuminate apex and a rounded base. The flowers, usually solitary or in small axillary inflorescences, are hermaphroditic, greenish to yellow, and possess a characteristic fragrance. The fruits are elongated follicles grouped in clusters, containing several seeds covered with a fleshy aril that is edible and locally appreciated (</w:t>
      </w:r>
      <w:r>
        <w:rPr>
          <w:rStyle w:val="Strong"/>
        </w:rPr>
        <w:t xml:space="preserve">Ononiwu </w:t>
      </w:r>
      <w:r>
        <w:rPr>
          <w:rStyle w:val="Emphasis"/>
          <w:b/>
          <w:bCs/>
        </w:rPr>
        <w:t>et al.</w:t>
      </w:r>
      <w:r>
        <w:rPr>
          <w:rStyle w:val="Strong"/>
        </w:rPr>
        <w:t xml:space="preserve">, </w:t>
      </w:r>
      <w:proofErr w:type="gramStart"/>
      <w:r>
        <w:rPr>
          <w:rStyle w:val="Strong"/>
        </w:rPr>
        <w:t>2024;</w:t>
      </w:r>
      <w:proofErr w:type="gramEnd"/>
      <w:r>
        <w:rPr>
          <w:rStyle w:val="Strong"/>
        </w:rPr>
        <w:t xml:space="preserve"> World Flora Online, 2024</w:t>
      </w:r>
      <w:r>
        <w:t>).</w:t>
      </w:r>
    </w:p>
    <w:p w14:paraId="4FFD1FE3" w14:textId="77777777" w:rsidR="00205757" w:rsidRDefault="00205757" w:rsidP="00205757">
      <w:pPr>
        <w:pStyle w:val="NormalWeb"/>
        <w:spacing w:line="360" w:lineRule="auto"/>
        <w:jc w:val="both"/>
      </w:pPr>
      <w:r>
        <w:t xml:space="preserve">From an ethnobotanical perspective, different parts of the tree are traditionally used to treat various ailments. The bark, leaves, and seeds possess antimicrobial, anti-inflammatory, and antioxidant properties. Bark extracts are used to treat typhoid fever, urogenital infections, and menstrual disorders, while leaf decoctions are administered against hepatitis, fever, trypanosomiasis, and rheumatoid arthritis. The bark paste is applied topically to relieve rheumatic pain and certain localized conditions. Traditional preparations based on leaves and </w:t>
      </w:r>
      <w:r>
        <w:lastRenderedPageBreak/>
        <w:t>bark are also used in the management of cysts, fibroids, myomas, and female fertility disorders (</w:t>
      </w:r>
      <w:r>
        <w:rPr>
          <w:rStyle w:val="Strong"/>
        </w:rPr>
        <w:t xml:space="preserve">Asase </w:t>
      </w:r>
      <w:r>
        <w:rPr>
          <w:rStyle w:val="Emphasis"/>
          <w:b/>
          <w:bCs/>
        </w:rPr>
        <w:t>et al.</w:t>
      </w:r>
      <w:r>
        <w:rPr>
          <w:rStyle w:val="Strong"/>
        </w:rPr>
        <w:t xml:space="preserve">, </w:t>
      </w:r>
      <w:proofErr w:type="gramStart"/>
      <w:r>
        <w:rPr>
          <w:rStyle w:val="Strong"/>
        </w:rPr>
        <w:t>2009;</w:t>
      </w:r>
      <w:proofErr w:type="gramEnd"/>
      <w:r>
        <w:rPr>
          <w:rStyle w:val="Strong"/>
        </w:rPr>
        <w:t xml:space="preserve"> Kouassi </w:t>
      </w:r>
      <w:r>
        <w:rPr>
          <w:rStyle w:val="Emphasis"/>
          <w:b/>
          <w:bCs/>
        </w:rPr>
        <w:t>et al.</w:t>
      </w:r>
      <w:r>
        <w:rPr>
          <w:rStyle w:val="Strong"/>
        </w:rPr>
        <w:t xml:space="preserve">, 2024; N’Guessan </w:t>
      </w:r>
      <w:r>
        <w:rPr>
          <w:rStyle w:val="Emphasis"/>
          <w:b/>
          <w:bCs/>
        </w:rPr>
        <w:t>et al.</w:t>
      </w:r>
      <w:r>
        <w:rPr>
          <w:rStyle w:val="Strong"/>
        </w:rPr>
        <w:t xml:space="preserve">, 2009; Djah </w:t>
      </w:r>
      <w:r>
        <w:rPr>
          <w:rStyle w:val="Emphasis"/>
          <w:b/>
          <w:bCs/>
        </w:rPr>
        <w:t>et al.</w:t>
      </w:r>
      <w:r>
        <w:rPr>
          <w:rStyle w:val="Strong"/>
        </w:rPr>
        <w:t>, 2024</w:t>
      </w:r>
      <w:r>
        <w:t>).</w:t>
      </w:r>
    </w:p>
    <w:p w14:paraId="3CBD32EA" w14:textId="77777777" w:rsidR="00205757" w:rsidRDefault="00205757" w:rsidP="00205757">
      <w:pPr>
        <w:pStyle w:val="NormalWeb"/>
        <w:spacing w:line="360" w:lineRule="auto"/>
        <w:jc w:val="both"/>
      </w:pPr>
      <w:r>
        <w:t xml:space="preserve">The chemical complexity of </w:t>
      </w:r>
      <w:r>
        <w:rPr>
          <w:rStyle w:val="Emphasis"/>
        </w:rPr>
        <w:t>C. patens</w:t>
      </w:r>
      <w:r>
        <w:t xml:space="preserve"> essential oils and their potential biological effects make this species a particularly relevant subject for research on tropical medicinal plants. Characterizing these essential oils provides a scientific basis linking the phytochemical richness of the species to its traditional uses and opens new perspectives for the development of high-value natural products.</w:t>
      </w:r>
    </w:p>
    <w:p w14:paraId="3C9351EE" w14:textId="77777777" w:rsidR="002F7B77" w:rsidRPr="002F7B77" w:rsidRDefault="002F7B77" w:rsidP="002F7B77">
      <w:pPr>
        <w:rPr>
          <w:rFonts w:ascii="Times New Roman" w:hAnsi="Times New Roman" w:cs="Times New Roman"/>
          <w:b/>
          <w:bCs/>
          <w:sz w:val="24"/>
          <w:szCs w:val="24"/>
          <w:lang w:eastAsia="fr-CI"/>
        </w:rPr>
      </w:pPr>
      <w:r w:rsidRPr="002F7B77">
        <w:rPr>
          <w:rFonts w:ascii="Times New Roman" w:hAnsi="Times New Roman" w:cs="Times New Roman"/>
          <w:b/>
          <w:bCs/>
          <w:sz w:val="24"/>
          <w:szCs w:val="24"/>
          <w:lang w:eastAsia="fr-CI"/>
        </w:rPr>
        <w:t>I. Materials and Methods</w:t>
      </w:r>
    </w:p>
    <w:p w14:paraId="7ABAF7F7" w14:textId="77777777" w:rsidR="002F7B77" w:rsidRPr="002F7B77" w:rsidRDefault="002F7B77" w:rsidP="002F7B77">
      <w:pPr>
        <w:rPr>
          <w:rFonts w:ascii="Times New Roman" w:hAnsi="Times New Roman" w:cs="Times New Roman"/>
          <w:b/>
          <w:bCs/>
          <w:sz w:val="24"/>
          <w:szCs w:val="24"/>
          <w:lang w:eastAsia="fr-CI"/>
        </w:rPr>
      </w:pPr>
      <w:r w:rsidRPr="002F7B77">
        <w:rPr>
          <w:rFonts w:ascii="Times New Roman" w:hAnsi="Times New Roman" w:cs="Times New Roman"/>
          <w:b/>
          <w:bCs/>
          <w:sz w:val="24"/>
          <w:szCs w:val="24"/>
          <w:lang w:eastAsia="fr-CI"/>
        </w:rPr>
        <w:t>1. Materials</w:t>
      </w:r>
    </w:p>
    <w:p w14:paraId="71C7BD22" w14:textId="77777777" w:rsidR="002F7B77" w:rsidRPr="002F7B77" w:rsidRDefault="002F7B77" w:rsidP="002F7B77">
      <w:pPr>
        <w:rPr>
          <w:rFonts w:ascii="Times New Roman" w:hAnsi="Times New Roman" w:cs="Times New Roman"/>
          <w:b/>
          <w:bCs/>
          <w:sz w:val="24"/>
          <w:szCs w:val="24"/>
          <w:lang w:eastAsia="fr-CI"/>
        </w:rPr>
      </w:pPr>
      <w:r w:rsidRPr="002F7B77">
        <w:rPr>
          <w:rFonts w:ascii="Times New Roman" w:hAnsi="Times New Roman" w:cs="Times New Roman"/>
          <w:b/>
          <w:bCs/>
          <w:sz w:val="24"/>
          <w:szCs w:val="24"/>
          <w:lang w:eastAsia="fr-CI"/>
        </w:rPr>
        <w:t>1.1. Plant material</w:t>
      </w:r>
    </w:p>
    <w:p w14:paraId="16AFABAD" w14:textId="77777777" w:rsidR="002F7B77" w:rsidRPr="002F7B77" w:rsidRDefault="002F7B77" w:rsidP="002F7B77">
      <w:pPr>
        <w:spacing w:before="100" w:beforeAutospacing="1" w:after="100" w:afterAutospacing="1" w:line="360" w:lineRule="auto"/>
        <w:jc w:val="both"/>
        <w:rPr>
          <w:rFonts w:ascii="Times New Roman" w:eastAsia="Times New Roman" w:hAnsi="Times New Roman" w:cs="Times New Roman"/>
          <w:sz w:val="24"/>
          <w:szCs w:val="24"/>
          <w:lang w:eastAsia="fr-CI"/>
        </w:rPr>
      </w:pPr>
      <w:r w:rsidRPr="002F7B77">
        <w:rPr>
          <w:rFonts w:ascii="Times New Roman" w:eastAsia="Times New Roman" w:hAnsi="Times New Roman" w:cs="Times New Roman"/>
          <w:sz w:val="24"/>
          <w:szCs w:val="24"/>
          <w:lang w:eastAsia="fr-CI"/>
        </w:rPr>
        <w:t xml:space="preserve">The plant material used in this study consisted of the leaves of </w:t>
      </w:r>
      <w:r w:rsidRPr="002F7B77">
        <w:rPr>
          <w:rFonts w:ascii="Times New Roman" w:eastAsia="Times New Roman" w:hAnsi="Times New Roman" w:cs="Times New Roman"/>
          <w:i/>
          <w:iCs/>
          <w:sz w:val="24"/>
          <w:szCs w:val="24"/>
          <w:lang w:eastAsia="fr-CI"/>
        </w:rPr>
        <w:t>Cleistopholis patens</w:t>
      </w:r>
      <w:r w:rsidRPr="002F7B77">
        <w:rPr>
          <w:rFonts w:ascii="Times New Roman" w:eastAsia="Times New Roman" w:hAnsi="Times New Roman" w:cs="Times New Roman"/>
          <w:sz w:val="24"/>
          <w:szCs w:val="24"/>
          <w:lang w:eastAsia="fr-CI"/>
        </w:rPr>
        <w:t>. They were collected between late July and early August 2024 in the Divo Department, located in the Gôh-Djiboua District (Côte d’Ivoire). The plant material was then dried under constant air conditioning at 27 °C for two weeks.</w:t>
      </w:r>
    </w:p>
    <w:p w14:paraId="6C59DC18" w14:textId="77777777" w:rsidR="002F7B77" w:rsidRPr="002F7B77" w:rsidRDefault="002F7B77" w:rsidP="002F7B77">
      <w:pPr>
        <w:rPr>
          <w:rFonts w:ascii="Times New Roman" w:hAnsi="Times New Roman" w:cs="Times New Roman"/>
          <w:b/>
          <w:bCs/>
          <w:sz w:val="24"/>
          <w:szCs w:val="24"/>
          <w:lang w:eastAsia="fr-CI"/>
        </w:rPr>
      </w:pPr>
      <w:r w:rsidRPr="002F7B77">
        <w:rPr>
          <w:rFonts w:ascii="Times New Roman" w:hAnsi="Times New Roman" w:cs="Times New Roman"/>
          <w:b/>
          <w:bCs/>
          <w:sz w:val="24"/>
          <w:szCs w:val="24"/>
          <w:lang w:eastAsia="fr-CI"/>
        </w:rPr>
        <w:t>1.2. Experimental equipment</w:t>
      </w:r>
    </w:p>
    <w:p w14:paraId="4E5D732A" w14:textId="1BE6D781" w:rsidR="002F7B77" w:rsidRPr="002F7B77" w:rsidRDefault="002F7B77" w:rsidP="002F7B77">
      <w:pPr>
        <w:spacing w:before="100" w:beforeAutospacing="1" w:after="100" w:afterAutospacing="1" w:line="360" w:lineRule="auto"/>
        <w:jc w:val="both"/>
        <w:rPr>
          <w:rFonts w:ascii="Times New Roman" w:eastAsia="Times New Roman" w:hAnsi="Times New Roman" w:cs="Times New Roman"/>
          <w:sz w:val="24"/>
          <w:szCs w:val="24"/>
          <w:lang w:eastAsia="fr-CI"/>
        </w:rPr>
      </w:pPr>
      <w:r w:rsidRPr="002F7B77">
        <w:rPr>
          <w:rFonts w:ascii="Times New Roman" w:eastAsia="Times New Roman" w:hAnsi="Times New Roman" w:cs="Times New Roman"/>
          <w:sz w:val="24"/>
          <w:szCs w:val="24"/>
          <w:lang w:eastAsia="fr-CI"/>
        </w:rPr>
        <w:t xml:space="preserve">The extraction and characterization of the essential oil were carried out using the following </w:t>
      </w:r>
      <w:proofErr w:type="gramStart"/>
      <w:r w:rsidRPr="002F7B77">
        <w:rPr>
          <w:rFonts w:ascii="Times New Roman" w:eastAsia="Times New Roman" w:hAnsi="Times New Roman" w:cs="Times New Roman"/>
          <w:sz w:val="24"/>
          <w:szCs w:val="24"/>
          <w:lang w:eastAsia="fr-CI"/>
        </w:rPr>
        <w:t>equipment:</w:t>
      </w:r>
      <w:proofErr w:type="gramEnd"/>
      <w:r w:rsidRPr="002F7B77">
        <w:rPr>
          <w:rFonts w:ascii="Times New Roman" w:eastAsia="Times New Roman" w:hAnsi="Times New Roman" w:cs="Times New Roman"/>
          <w:sz w:val="24"/>
          <w:szCs w:val="24"/>
          <w:lang w:eastAsia="fr-CI"/>
        </w:rPr>
        <w:t xml:space="preserve"> a Clevenger-type hydrodistillation apparatus, a heating plate, a Pioneer PA202C balance (capacity 2100 g, accuracy 0.01 g), a Delsi DI 200 gas chromatograph equipped with a flame ionization detector, a gas chromatography–mass spectrometry (GC</w:t>
      </w:r>
      <w:r w:rsidR="007C02A0">
        <w:rPr>
          <w:rFonts w:ascii="Times New Roman" w:eastAsia="Times New Roman" w:hAnsi="Times New Roman" w:cs="Times New Roman"/>
          <w:sz w:val="24"/>
          <w:szCs w:val="24"/>
          <w:lang w:eastAsia="fr-CI"/>
        </w:rPr>
        <w:t>/</w:t>
      </w:r>
      <w:r w:rsidRPr="002F7B77">
        <w:rPr>
          <w:rFonts w:ascii="Times New Roman" w:eastAsia="Times New Roman" w:hAnsi="Times New Roman" w:cs="Times New Roman"/>
          <w:sz w:val="24"/>
          <w:szCs w:val="24"/>
          <w:lang w:eastAsia="fr-CI"/>
        </w:rPr>
        <w:t>MS) system, a nuclear magnetic resonance (NMR) spectrometer, a HACH DR 2400 spectrophotometer, and standard laboratory glassware.</w:t>
      </w:r>
    </w:p>
    <w:p w14:paraId="7217E234" w14:textId="77777777" w:rsidR="002F7B77" w:rsidRPr="00254B92" w:rsidRDefault="002F7B77" w:rsidP="00254B92">
      <w:pPr>
        <w:rPr>
          <w:rFonts w:ascii="Times New Roman" w:hAnsi="Times New Roman" w:cs="Times New Roman"/>
          <w:b/>
          <w:bCs/>
          <w:sz w:val="24"/>
          <w:szCs w:val="24"/>
          <w:lang w:eastAsia="fr-CI"/>
        </w:rPr>
      </w:pPr>
      <w:r w:rsidRPr="00254B92">
        <w:rPr>
          <w:rFonts w:ascii="Times New Roman" w:hAnsi="Times New Roman" w:cs="Times New Roman"/>
          <w:b/>
          <w:bCs/>
          <w:sz w:val="24"/>
          <w:szCs w:val="24"/>
          <w:lang w:eastAsia="fr-CI"/>
        </w:rPr>
        <w:t>1.3. Clinical bacterial strains</w:t>
      </w:r>
    </w:p>
    <w:p w14:paraId="194DDDD4" w14:textId="77777777" w:rsidR="002F7B77" w:rsidRPr="002F7B77" w:rsidRDefault="002F7B77" w:rsidP="00254B92">
      <w:pPr>
        <w:spacing w:before="100" w:beforeAutospacing="1" w:after="100" w:afterAutospacing="1" w:line="360" w:lineRule="auto"/>
        <w:jc w:val="both"/>
        <w:rPr>
          <w:rFonts w:ascii="Times New Roman" w:eastAsia="Times New Roman" w:hAnsi="Times New Roman" w:cs="Times New Roman"/>
          <w:sz w:val="24"/>
          <w:szCs w:val="24"/>
          <w:lang w:eastAsia="fr-CI"/>
        </w:rPr>
      </w:pPr>
      <w:r w:rsidRPr="002F7B77">
        <w:rPr>
          <w:rFonts w:ascii="Times New Roman" w:eastAsia="Times New Roman" w:hAnsi="Times New Roman" w:cs="Times New Roman"/>
          <w:sz w:val="24"/>
          <w:szCs w:val="24"/>
          <w:lang w:eastAsia="fr-CI"/>
        </w:rPr>
        <w:t xml:space="preserve">A total of eight bacterial strains were used, including three </w:t>
      </w:r>
      <w:r w:rsidRPr="002F7B77">
        <w:rPr>
          <w:rFonts w:ascii="Times New Roman" w:eastAsia="Times New Roman" w:hAnsi="Times New Roman" w:cs="Times New Roman"/>
          <w:i/>
          <w:iCs/>
          <w:sz w:val="24"/>
          <w:szCs w:val="24"/>
          <w:lang w:eastAsia="fr-CI"/>
        </w:rPr>
        <w:t>Staphylococcus</w:t>
      </w:r>
      <w:r w:rsidRPr="002F7B77">
        <w:rPr>
          <w:rFonts w:ascii="Times New Roman" w:eastAsia="Times New Roman" w:hAnsi="Times New Roman" w:cs="Times New Roman"/>
          <w:sz w:val="24"/>
          <w:szCs w:val="24"/>
          <w:lang w:eastAsia="fr-CI"/>
        </w:rPr>
        <w:t xml:space="preserve"> species (</w:t>
      </w:r>
      <w:r w:rsidRPr="002F7B77">
        <w:rPr>
          <w:rFonts w:ascii="Times New Roman" w:eastAsia="Times New Roman" w:hAnsi="Times New Roman" w:cs="Times New Roman"/>
          <w:i/>
          <w:iCs/>
          <w:sz w:val="24"/>
          <w:szCs w:val="24"/>
          <w:lang w:eastAsia="fr-CI"/>
        </w:rPr>
        <w:t>S. aureus</w:t>
      </w:r>
      <w:r w:rsidRPr="002F7B77">
        <w:rPr>
          <w:rFonts w:ascii="Times New Roman" w:eastAsia="Times New Roman" w:hAnsi="Times New Roman" w:cs="Times New Roman"/>
          <w:sz w:val="24"/>
          <w:szCs w:val="24"/>
          <w:lang w:eastAsia="fr-CI"/>
        </w:rPr>
        <w:t xml:space="preserve"> ATCC 29213, </w:t>
      </w:r>
      <w:r w:rsidRPr="002F7B77">
        <w:rPr>
          <w:rFonts w:ascii="Times New Roman" w:eastAsia="Times New Roman" w:hAnsi="Times New Roman" w:cs="Times New Roman"/>
          <w:i/>
          <w:iCs/>
          <w:sz w:val="24"/>
          <w:szCs w:val="24"/>
          <w:lang w:eastAsia="fr-CI"/>
        </w:rPr>
        <w:t>S. aureus</w:t>
      </w:r>
      <w:r w:rsidRPr="002F7B77">
        <w:rPr>
          <w:rFonts w:ascii="Times New Roman" w:eastAsia="Times New Roman" w:hAnsi="Times New Roman" w:cs="Times New Roman"/>
          <w:sz w:val="24"/>
          <w:szCs w:val="24"/>
          <w:lang w:eastAsia="fr-CI"/>
        </w:rPr>
        <w:t xml:space="preserve"> 2247C/24, and </w:t>
      </w:r>
      <w:r w:rsidRPr="002F7B77">
        <w:rPr>
          <w:rFonts w:ascii="Times New Roman" w:eastAsia="Times New Roman" w:hAnsi="Times New Roman" w:cs="Times New Roman"/>
          <w:i/>
          <w:iCs/>
          <w:sz w:val="24"/>
          <w:szCs w:val="24"/>
          <w:lang w:eastAsia="fr-CI"/>
        </w:rPr>
        <w:t>S.</w:t>
      </w:r>
      <w:r w:rsidRPr="002F7B77">
        <w:rPr>
          <w:rFonts w:ascii="Times New Roman" w:eastAsia="Times New Roman" w:hAnsi="Times New Roman" w:cs="Times New Roman"/>
          <w:sz w:val="24"/>
          <w:szCs w:val="24"/>
          <w:lang w:eastAsia="fr-CI"/>
        </w:rPr>
        <w:t xml:space="preserve"> sp 2101PIS/24) and five Enterobacteriaceae (</w:t>
      </w:r>
      <w:r w:rsidRPr="002F7B77">
        <w:rPr>
          <w:rFonts w:ascii="Times New Roman" w:eastAsia="Times New Roman" w:hAnsi="Times New Roman" w:cs="Times New Roman"/>
          <w:i/>
          <w:iCs/>
          <w:sz w:val="24"/>
          <w:szCs w:val="24"/>
          <w:lang w:eastAsia="fr-CI"/>
        </w:rPr>
        <w:t>Escherichia coli</w:t>
      </w:r>
      <w:r w:rsidRPr="002F7B77">
        <w:rPr>
          <w:rFonts w:ascii="Times New Roman" w:eastAsia="Times New Roman" w:hAnsi="Times New Roman" w:cs="Times New Roman"/>
          <w:sz w:val="24"/>
          <w:szCs w:val="24"/>
          <w:lang w:eastAsia="fr-CI"/>
        </w:rPr>
        <w:t xml:space="preserve"> 2811C/24, </w:t>
      </w:r>
      <w:r w:rsidRPr="002F7B77">
        <w:rPr>
          <w:rFonts w:ascii="Times New Roman" w:eastAsia="Times New Roman" w:hAnsi="Times New Roman" w:cs="Times New Roman"/>
          <w:i/>
          <w:iCs/>
          <w:sz w:val="24"/>
          <w:szCs w:val="24"/>
          <w:lang w:eastAsia="fr-CI"/>
        </w:rPr>
        <w:t>Klebsiella pneumoniae</w:t>
      </w:r>
      <w:r w:rsidRPr="002F7B77">
        <w:rPr>
          <w:rFonts w:ascii="Times New Roman" w:eastAsia="Times New Roman" w:hAnsi="Times New Roman" w:cs="Times New Roman"/>
          <w:sz w:val="24"/>
          <w:szCs w:val="24"/>
          <w:lang w:eastAsia="fr-CI"/>
        </w:rPr>
        <w:t xml:space="preserve"> 2701C/24, </w:t>
      </w:r>
      <w:r w:rsidRPr="002F7B77">
        <w:rPr>
          <w:rFonts w:ascii="Times New Roman" w:eastAsia="Times New Roman" w:hAnsi="Times New Roman" w:cs="Times New Roman"/>
          <w:i/>
          <w:iCs/>
          <w:sz w:val="24"/>
          <w:szCs w:val="24"/>
          <w:lang w:eastAsia="fr-CI"/>
        </w:rPr>
        <w:t>Yersinia</w:t>
      </w:r>
      <w:r w:rsidRPr="002F7B77">
        <w:rPr>
          <w:rFonts w:ascii="Times New Roman" w:eastAsia="Times New Roman" w:hAnsi="Times New Roman" w:cs="Times New Roman"/>
          <w:sz w:val="24"/>
          <w:szCs w:val="24"/>
          <w:lang w:eastAsia="fr-CI"/>
        </w:rPr>
        <w:t xml:space="preserve"> sp 2340PIS/24, </w:t>
      </w:r>
      <w:r w:rsidRPr="002F7B77">
        <w:rPr>
          <w:rFonts w:ascii="Times New Roman" w:eastAsia="Times New Roman" w:hAnsi="Times New Roman" w:cs="Times New Roman"/>
          <w:i/>
          <w:iCs/>
          <w:sz w:val="24"/>
          <w:szCs w:val="24"/>
          <w:lang w:eastAsia="fr-CI"/>
        </w:rPr>
        <w:t>Salmonella</w:t>
      </w:r>
      <w:r w:rsidRPr="002F7B77">
        <w:rPr>
          <w:rFonts w:ascii="Times New Roman" w:eastAsia="Times New Roman" w:hAnsi="Times New Roman" w:cs="Times New Roman"/>
          <w:sz w:val="24"/>
          <w:szCs w:val="24"/>
          <w:lang w:eastAsia="fr-CI"/>
        </w:rPr>
        <w:t xml:space="preserve"> sp 2077AD/24, and </w:t>
      </w:r>
      <w:r w:rsidRPr="002F7B77">
        <w:rPr>
          <w:rFonts w:ascii="Times New Roman" w:eastAsia="Times New Roman" w:hAnsi="Times New Roman" w:cs="Times New Roman"/>
          <w:i/>
          <w:iCs/>
          <w:sz w:val="24"/>
          <w:szCs w:val="24"/>
          <w:lang w:eastAsia="fr-CI"/>
        </w:rPr>
        <w:t>Salmonella</w:t>
      </w:r>
      <w:r w:rsidRPr="002F7B77">
        <w:rPr>
          <w:rFonts w:ascii="Times New Roman" w:eastAsia="Times New Roman" w:hAnsi="Times New Roman" w:cs="Times New Roman"/>
          <w:sz w:val="24"/>
          <w:szCs w:val="24"/>
          <w:lang w:eastAsia="fr-CI"/>
        </w:rPr>
        <w:t xml:space="preserve"> sp 2520C/24). These strains were obtained from the biobank of the Pasteur Institute of Côte d’Ivoire.</w:t>
      </w:r>
    </w:p>
    <w:p w14:paraId="4E1916D5" w14:textId="77777777" w:rsidR="002F7B77" w:rsidRPr="004A1B69" w:rsidRDefault="002F7B77" w:rsidP="004A1B69">
      <w:pPr>
        <w:rPr>
          <w:rFonts w:ascii="Times New Roman" w:hAnsi="Times New Roman" w:cs="Times New Roman"/>
          <w:b/>
          <w:bCs/>
          <w:sz w:val="24"/>
          <w:szCs w:val="24"/>
        </w:rPr>
      </w:pPr>
      <w:r w:rsidRPr="004A1B69">
        <w:rPr>
          <w:rFonts w:ascii="Times New Roman" w:hAnsi="Times New Roman" w:cs="Times New Roman"/>
          <w:b/>
          <w:bCs/>
          <w:sz w:val="24"/>
          <w:szCs w:val="24"/>
        </w:rPr>
        <w:t>2. Methods</w:t>
      </w:r>
    </w:p>
    <w:p w14:paraId="338DC47E" w14:textId="77777777" w:rsidR="002F7B77" w:rsidRPr="004A1B69" w:rsidRDefault="002F7B77" w:rsidP="004A1B69">
      <w:pPr>
        <w:rPr>
          <w:rFonts w:ascii="Times New Roman" w:hAnsi="Times New Roman" w:cs="Times New Roman"/>
          <w:b/>
          <w:bCs/>
          <w:sz w:val="24"/>
          <w:szCs w:val="24"/>
        </w:rPr>
      </w:pPr>
      <w:r w:rsidRPr="004A1B69">
        <w:rPr>
          <w:rFonts w:ascii="Times New Roman" w:hAnsi="Times New Roman" w:cs="Times New Roman"/>
          <w:b/>
          <w:bCs/>
          <w:sz w:val="24"/>
          <w:szCs w:val="24"/>
        </w:rPr>
        <w:t>2.1. Extraction of essential oil by hydrodistillation</w:t>
      </w:r>
    </w:p>
    <w:p w14:paraId="60B7EAD1" w14:textId="77777777" w:rsidR="002F7B77" w:rsidRDefault="002F7B77" w:rsidP="004A1B69">
      <w:pPr>
        <w:pStyle w:val="NormalWeb"/>
        <w:spacing w:line="360" w:lineRule="auto"/>
        <w:jc w:val="both"/>
      </w:pPr>
      <w:r>
        <w:lastRenderedPageBreak/>
        <w:t xml:space="preserve">Approximately 1.5 L of water was added to the distillation flask. A measured amount of dried leaves was weighed and placed in the apparatus, which was then hermetically sealed and brought to a boil. The extraction was carried out for three hours from the appearance of the first drop of essential oil (EO). The obtained EOs were weighed, transferred into amber glass vials, and stored in </w:t>
      </w:r>
      <w:proofErr w:type="gramStart"/>
      <w:r>
        <w:t>a</w:t>
      </w:r>
      <w:proofErr w:type="gramEnd"/>
      <w:r>
        <w:t xml:space="preserve"> freezer at a temperature close to 0 °C.</w:t>
      </w:r>
    </w:p>
    <w:p w14:paraId="0AB833FD" w14:textId="77777777" w:rsidR="002F7B77" w:rsidRDefault="002F7B77" w:rsidP="004A1B69">
      <w:pPr>
        <w:pStyle w:val="NormalWeb"/>
        <w:spacing w:line="360" w:lineRule="auto"/>
        <w:jc w:val="both"/>
      </w:pPr>
      <w:r>
        <w:t xml:space="preserve">The yield of each EO sample was determined using the following </w:t>
      </w:r>
      <w:proofErr w:type="gramStart"/>
      <w:r>
        <w:t>formula:</w:t>
      </w:r>
      <w:proofErr w:type="gramEnd"/>
    </w:p>
    <w:p w14:paraId="3782196A" w14:textId="51CB1CE4" w:rsidR="001D553C" w:rsidRDefault="001D553C" w:rsidP="001D553C">
      <w:pPr>
        <w:spacing w:line="276" w:lineRule="auto"/>
        <w:jc w:val="center"/>
        <w:rPr>
          <w:rFonts w:ascii="Times New Roman" w:eastAsiaTheme="minorEastAsia" w:hAnsi="Times New Roman" w:cs="Times New Roman"/>
          <w:color w:val="000000" w:themeColor="text1"/>
          <w:sz w:val="24"/>
          <w:szCs w:val="24"/>
          <w:lang w:val="en-US"/>
        </w:rPr>
      </w:pPr>
      <w:r w:rsidRPr="005A70DB">
        <w:rPr>
          <w:rFonts w:ascii="Times New Roman" w:hAnsi="Times New Roman" w:cs="Times New Roman"/>
          <w:color w:val="000000" w:themeColor="text1"/>
          <w:sz w:val="24"/>
          <w:szCs w:val="24"/>
          <w:lang w:val="en-US"/>
        </w:rPr>
        <w:t>Rdt</w:t>
      </w:r>
      <w:r>
        <w:rPr>
          <w:rFonts w:ascii="Times New Roman" w:hAnsi="Times New Roman" w:cs="Times New Roman"/>
          <w:color w:val="000000" w:themeColor="text1"/>
          <w:sz w:val="24"/>
          <w:szCs w:val="24"/>
          <w:lang w:val="en-US"/>
        </w:rPr>
        <w:t xml:space="preserve"> </w:t>
      </w:r>
      <w:r w:rsidRPr="005A70DB">
        <w:rPr>
          <w:rFonts w:ascii="Times New Roman" w:hAnsi="Times New Roman" w:cs="Times New Roman"/>
          <w:color w:val="000000" w:themeColor="text1"/>
          <w:sz w:val="24"/>
          <w:szCs w:val="24"/>
          <w:lang w:val="en-US"/>
        </w:rPr>
        <w:t>(%) =</w:t>
      </w:r>
      <m:oMath>
        <m:f>
          <m:fPr>
            <m:ctrlPr>
              <w:rPr>
                <w:rFonts w:ascii="Cambria Math" w:hAnsi="Cambria Math" w:cs="Times New Roman"/>
                <w:i/>
                <w:color w:val="000000" w:themeColor="text1"/>
                <w:sz w:val="24"/>
                <w:szCs w:val="24"/>
              </w:rPr>
            </m:ctrlPr>
          </m:fPr>
          <m:num>
            <m:r>
              <m:rPr>
                <m:sty m:val="p"/>
              </m:rPr>
              <w:rPr>
                <w:rFonts w:ascii="Cambria Math" w:hAnsi="Cambria Math"/>
                <w:sz w:val="24"/>
                <w:szCs w:val="24"/>
              </w:rPr>
              <m:t xml:space="preserve">Mass of EO obtained (g) </m:t>
            </m:r>
          </m:num>
          <m:den>
            <m:r>
              <m:rPr>
                <m:sty m:val="p"/>
              </m:rPr>
              <w:rPr>
                <w:rFonts w:ascii="Cambria Math" w:hAnsi="Cambria Math"/>
                <w:sz w:val="24"/>
                <w:szCs w:val="24"/>
              </w:rPr>
              <m:t>Mass of dried plant material (g)</m:t>
            </m:r>
            <m:r>
              <w:rPr>
                <w:rFonts w:ascii="Cambria Math" w:hAnsi="Cambria Math" w:cs="Times New Roman"/>
                <w:color w:val="000000" w:themeColor="text1"/>
                <w:sz w:val="24"/>
                <w:szCs w:val="24"/>
                <w:lang w:val="en-US"/>
              </w:rPr>
              <m:t xml:space="preserve"> </m:t>
            </m:r>
          </m:den>
        </m:f>
        <m:r>
          <w:rPr>
            <w:rFonts w:ascii="Cambria Math" w:hAnsi="Cambria Math" w:cs="Times New Roman"/>
            <w:color w:val="000000" w:themeColor="text1"/>
            <w:sz w:val="24"/>
            <w:szCs w:val="24"/>
            <w:lang w:val="en-US"/>
          </w:rPr>
          <m:t xml:space="preserve"> ×100</m:t>
        </m:r>
      </m:oMath>
      <w:r>
        <w:rPr>
          <w:rFonts w:ascii="Times New Roman" w:eastAsiaTheme="minorEastAsia" w:hAnsi="Times New Roman" w:cs="Times New Roman"/>
          <w:color w:val="000000" w:themeColor="text1"/>
          <w:sz w:val="24"/>
          <w:szCs w:val="24"/>
          <w:lang w:val="en-US"/>
        </w:rPr>
        <w:t xml:space="preserve"> </w:t>
      </w:r>
      <w:r w:rsidR="002A2D27">
        <w:rPr>
          <w:rFonts w:ascii="Times New Roman" w:eastAsiaTheme="minorEastAsia" w:hAnsi="Times New Roman" w:cs="Times New Roman"/>
          <w:color w:val="000000" w:themeColor="text1"/>
          <w:sz w:val="24"/>
          <w:szCs w:val="24"/>
          <w:lang w:val="en-US"/>
        </w:rPr>
        <w:t>(</w:t>
      </w:r>
      <w:r>
        <w:rPr>
          <w:rFonts w:ascii="Times New Roman" w:eastAsiaTheme="minorEastAsia" w:hAnsi="Times New Roman" w:cs="Times New Roman"/>
          <w:color w:val="000000" w:themeColor="text1"/>
          <w:sz w:val="24"/>
          <w:szCs w:val="24"/>
          <w:lang w:val="en-US"/>
        </w:rPr>
        <w:t>Equation 1</w:t>
      </w:r>
      <w:r w:rsidR="002A2D27">
        <w:rPr>
          <w:rFonts w:ascii="Times New Roman" w:eastAsiaTheme="minorEastAsia" w:hAnsi="Times New Roman" w:cs="Times New Roman"/>
          <w:color w:val="000000" w:themeColor="text1"/>
          <w:sz w:val="24"/>
          <w:szCs w:val="24"/>
          <w:lang w:val="en-US"/>
        </w:rPr>
        <w:t>)</w:t>
      </w:r>
    </w:p>
    <w:p w14:paraId="15A8ECD8" w14:textId="77777777" w:rsidR="00C8601C" w:rsidRPr="00C8601C" w:rsidRDefault="00C8601C" w:rsidP="00C8601C">
      <w:pPr>
        <w:rPr>
          <w:rFonts w:ascii="Times New Roman" w:hAnsi="Times New Roman" w:cs="Times New Roman"/>
          <w:b/>
          <w:bCs/>
          <w:sz w:val="24"/>
          <w:szCs w:val="24"/>
        </w:rPr>
      </w:pPr>
      <w:r w:rsidRPr="00C8601C">
        <w:rPr>
          <w:rFonts w:ascii="Times New Roman" w:hAnsi="Times New Roman" w:cs="Times New Roman"/>
          <w:b/>
          <w:bCs/>
          <w:sz w:val="24"/>
          <w:szCs w:val="24"/>
        </w:rPr>
        <w:t>2.2. Characterization by GC/MS and ¹³C NMR</w:t>
      </w:r>
    </w:p>
    <w:p w14:paraId="777208E4" w14:textId="6058E373" w:rsidR="00C8601C" w:rsidRDefault="00C8601C" w:rsidP="00C8601C">
      <w:pPr>
        <w:pStyle w:val="NormalWeb"/>
        <w:spacing w:line="360" w:lineRule="auto"/>
        <w:jc w:val="both"/>
      </w:pPr>
      <w:r>
        <w:t xml:space="preserve">The extracted essential oil was characterized using different analytical </w:t>
      </w:r>
      <w:proofErr w:type="gramStart"/>
      <w:r>
        <w:t>techniques:</w:t>
      </w:r>
      <w:proofErr w:type="gramEnd"/>
      <w:r>
        <w:t xml:space="preserve"> proton and carbon-13 nuclear magnetic resonance (¹H and ¹³C NMR), gas chromatography (GC), and gas chromatography coupled with mass spectrometry (GC–MS). The NMR spectra were obtained on a Bruker spectrometer (Bruker BioSpin AG) equipped with a 5–10 mm probe, operating at 400.132 MHz for proton and 100.623 MHz for carbon-13. The chemical shifts (δ, expressed in ppm) were referenced to tetramethylsilane (TMS), used as the internal standard. The ¹³C spectra were recorded using a 5 mm probe, with a pulse angle of 45°, an acquisition time of 2.73 s corresponding to </w:t>
      </w:r>
      <w:proofErr w:type="gramStart"/>
      <w:r>
        <w:t>a</w:t>
      </w:r>
      <w:proofErr w:type="gramEnd"/>
      <w:r>
        <w:t xml:space="preserve"> 64 K acquisition, a spectral width (SW) of 25,000 Hz (250 ppm), and a digital resolution of 0.183 Hz/pt. The number of accumulations varied from 2000 to 5000 depending on the analysis. Decoupling was performed using the “Composite Phase Decoupling” pulse field method.</w:t>
      </w:r>
    </w:p>
    <w:p w14:paraId="6CCC1D12" w14:textId="77777777" w:rsidR="00C8601C" w:rsidRPr="00C8601C" w:rsidRDefault="00C8601C" w:rsidP="00C8601C">
      <w:pPr>
        <w:rPr>
          <w:rFonts w:ascii="Times New Roman" w:hAnsi="Times New Roman" w:cs="Times New Roman"/>
          <w:b/>
          <w:bCs/>
          <w:sz w:val="24"/>
          <w:szCs w:val="24"/>
        </w:rPr>
      </w:pPr>
      <w:r w:rsidRPr="00C8601C">
        <w:rPr>
          <w:rFonts w:ascii="Times New Roman" w:hAnsi="Times New Roman" w:cs="Times New Roman"/>
          <w:b/>
          <w:bCs/>
          <w:sz w:val="24"/>
          <w:szCs w:val="24"/>
        </w:rPr>
        <w:t>2.3. Antibacterial activity</w:t>
      </w:r>
    </w:p>
    <w:p w14:paraId="6D841A52" w14:textId="77777777" w:rsidR="00C8601C" w:rsidRDefault="00C8601C" w:rsidP="00C8601C">
      <w:pPr>
        <w:pStyle w:val="NormalWeb"/>
        <w:spacing w:line="360" w:lineRule="auto"/>
        <w:jc w:val="both"/>
      </w:pPr>
      <w:r>
        <w:t>A stock solution of the essential oil at 200 mg/mL was prepared using Tween 80, then successively diluted in water by a factor of 2 to obtain different concentrations. The bacterial inoculum was standardized at 10⁶ CFU/mL for tests conducted on agar (diffusion method) and in liquid medium (dilution method). The antibacterial effect of the extract was evaluated by measuring the diameter of the growth inhibition zones of bacterial strains around the essential oil on Muller-Hinton agar (</w:t>
      </w:r>
      <w:r w:rsidRPr="00377B02">
        <w:rPr>
          <w:b/>
          <w:bCs/>
        </w:rPr>
        <w:t xml:space="preserve">N’dri </w:t>
      </w:r>
      <w:r w:rsidRPr="00377B02">
        <w:rPr>
          <w:rStyle w:val="Emphasis"/>
          <w:b/>
          <w:bCs/>
        </w:rPr>
        <w:t>et al.</w:t>
      </w:r>
      <w:r w:rsidRPr="00377B02">
        <w:rPr>
          <w:b/>
          <w:bCs/>
        </w:rPr>
        <w:t>, 2023</w:t>
      </w:r>
      <w:r>
        <w:t>). The antibacterial parameters, namely the minimum inhibitory concentration (MIC) and the minimum bactericidal concentration (MBC), were determined in both liquid and solid media. The MIC corresponds to the lowest concentration preventing any visible growth, while the MBC represents the lowest concentration capable of eliminating 99.99% of the bacteria.</w:t>
      </w:r>
    </w:p>
    <w:p w14:paraId="1419C3BA" w14:textId="77777777" w:rsidR="00376D37" w:rsidRPr="00376D37" w:rsidRDefault="00376D37" w:rsidP="00376D37">
      <w:pPr>
        <w:rPr>
          <w:rFonts w:ascii="Times New Roman" w:hAnsi="Times New Roman" w:cs="Times New Roman"/>
          <w:b/>
          <w:bCs/>
          <w:sz w:val="24"/>
          <w:szCs w:val="24"/>
        </w:rPr>
      </w:pPr>
      <w:r w:rsidRPr="00376D37">
        <w:rPr>
          <w:rFonts w:ascii="Times New Roman" w:hAnsi="Times New Roman" w:cs="Times New Roman"/>
          <w:b/>
          <w:bCs/>
          <w:sz w:val="24"/>
          <w:szCs w:val="24"/>
        </w:rPr>
        <w:lastRenderedPageBreak/>
        <w:t>II. Results and Discussion</w:t>
      </w:r>
    </w:p>
    <w:p w14:paraId="3B76724A" w14:textId="77777777" w:rsidR="00376D37" w:rsidRPr="00376D37" w:rsidRDefault="00376D37" w:rsidP="00376D37">
      <w:pPr>
        <w:rPr>
          <w:rFonts w:ascii="Times New Roman" w:hAnsi="Times New Roman" w:cs="Times New Roman"/>
          <w:b/>
          <w:bCs/>
          <w:sz w:val="24"/>
          <w:szCs w:val="24"/>
        </w:rPr>
      </w:pPr>
      <w:r w:rsidRPr="00376D37">
        <w:rPr>
          <w:rFonts w:ascii="Times New Roman" w:hAnsi="Times New Roman" w:cs="Times New Roman"/>
          <w:b/>
          <w:bCs/>
          <w:sz w:val="24"/>
          <w:szCs w:val="24"/>
        </w:rPr>
        <w:t>1. Results</w:t>
      </w:r>
    </w:p>
    <w:p w14:paraId="4A0B51CE" w14:textId="77777777" w:rsidR="00376D37" w:rsidRPr="00376D37" w:rsidRDefault="00376D37" w:rsidP="00376D37">
      <w:pPr>
        <w:rPr>
          <w:rFonts w:ascii="Times New Roman" w:hAnsi="Times New Roman" w:cs="Times New Roman"/>
          <w:b/>
          <w:bCs/>
          <w:sz w:val="24"/>
          <w:szCs w:val="24"/>
        </w:rPr>
      </w:pPr>
      <w:r w:rsidRPr="00376D37">
        <w:rPr>
          <w:rFonts w:ascii="Times New Roman" w:hAnsi="Times New Roman" w:cs="Times New Roman"/>
          <w:b/>
          <w:bCs/>
          <w:sz w:val="24"/>
          <w:szCs w:val="24"/>
        </w:rPr>
        <w:t xml:space="preserve">1.1. Chemical characterization of the essential oil of </w:t>
      </w:r>
      <w:r w:rsidRPr="00376D37">
        <w:rPr>
          <w:rStyle w:val="Emphasis"/>
          <w:rFonts w:ascii="Times New Roman" w:hAnsi="Times New Roman" w:cs="Times New Roman"/>
          <w:b/>
          <w:bCs/>
          <w:sz w:val="24"/>
          <w:szCs w:val="24"/>
        </w:rPr>
        <w:t>Cleistopholis patens</w:t>
      </w:r>
    </w:p>
    <w:p w14:paraId="2F4E2C45" w14:textId="77777777" w:rsidR="00376D37" w:rsidRPr="00376D37" w:rsidRDefault="00376D37" w:rsidP="00376D37">
      <w:pPr>
        <w:spacing w:line="360" w:lineRule="auto"/>
        <w:jc w:val="both"/>
        <w:rPr>
          <w:rFonts w:ascii="Times New Roman" w:hAnsi="Times New Roman" w:cs="Times New Roman"/>
          <w:sz w:val="24"/>
          <w:szCs w:val="24"/>
        </w:rPr>
      </w:pPr>
      <w:r w:rsidRPr="00376D37">
        <w:rPr>
          <w:rFonts w:ascii="Times New Roman" w:hAnsi="Times New Roman" w:cs="Times New Roman"/>
          <w:sz w:val="24"/>
          <w:szCs w:val="24"/>
        </w:rPr>
        <w:t xml:space="preserve">The chromatogram (Figure 1) of the essential oil of </w:t>
      </w:r>
      <w:r w:rsidRPr="00376D37">
        <w:rPr>
          <w:rStyle w:val="Emphasis"/>
          <w:rFonts w:ascii="Times New Roman" w:hAnsi="Times New Roman" w:cs="Times New Roman"/>
          <w:sz w:val="24"/>
          <w:szCs w:val="24"/>
        </w:rPr>
        <w:t>Cleistopholis patens</w:t>
      </w:r>
      <w:r w:rsidRPr="00376D37">
        <w:rPr>
          <w:rFonts w:ascii="Times New Roman" w:hAnsi="Times New Roman" w:cs="Times New Roman"/>
          <w:sz w:val="24"/>
          <w:szCs w:val="24"/>
        </w:rPr>
        <w:t xml:space="preserve"> allowed the identification of twenty-six constituents representing </w:t>
      </w:r>
      <w:r w:rsidRPr="00376D37">
        <w:rPr>
          <w:rStyle w:val="Strong"/>
          <w:rFonts w:ascii="Times New Roman" w:hAnsi="Times New Roman" w:cs="Times New Roman"/>
          <w:b w:val="0"/>
          <w:bCs w:val="0"/>
          <w:sz w:val="24"/>
          <w:szCs w:val="24"/>
        </w:rPr>
        <w:t>97.55%</w:t>
      </w:r>
      <w:r w:rsidRPr="00376D37">
        <w:rPr>
          <w:rFonts w:ascii="Times New Roman" w:hAnsi="Times New Roman" w:cs="Times New Roman"/>
          <w:sz w:val="24"/>
          <w:szCs w:val="24"/>
        </w:rPr>
        <w:t xml:space="preserve"> of the total composition, along with </w:t>
      </w:r>
      <w:r w:rsidRPr="00376D37">
        <w:rPr>
          <w:rStyle w:val="Strong"/>
          <w:rFonts w:ascii="Times New Roman" w:hAnsi="Times New Roman" w:cs="Times New Roman"/>
          <w:b w:val="0"/>
          <w:bCs w:val="0"/>
          <w:sz w:val="24"/>
          <w:szCs w:val="24"/>
        </w:rPr>
        <w:t>2.45%</w:t>
      </w:r>
      <w:r w:rsidRPr="00376D37">
        <w:rPr>
          <w:rFonts w:ascii="Times New Roman" w:hAnsi="Times New Roman" w:cs="Times New Roman"/>
          <w:sz w:val="24"/>
          <w:szCs w:val="24"/>
        </w:rPr>
        <w:t xml:space="preserve"> of unidentified compounds, accounting for </w:t>
      </w:r>
      <w:r w:rsidRPr="00376D37">
        <w:rPr>
          <w:rStyle w:val="Strong"/>
          <w:rFonts w:ascii="Times New Roman" w:hAnsi="Times New Roman" w:cs="Times New Roman"/>
          <w:b w:val="0"/>
          <w:bCs w:val="0"/>
          <w:sz w:val="24"/>
          <w:szCs w:val="24"/>
        </w:rPr>
        <w:t>100%</w:t>
      </w:r>
      <w:r w:rsidRPr="00376D37">
        <w:rPr>
          <w:rFonts w:ascii="Times New Roman" w:hAnsi="Times New Roman" w:cs="Times New Roman"/>
          <w:sz w:val="24"/>
          <w:szCs w:val="24"/>
        </w:rPr>
        <w:t xml:space="preserve"> of the essential oil.</w:t>
      </w:r>
    </w:p>
    <w:p w14:paraId="6DF94565" w14:textId="578E068E" w:rsidR="00205757" w:rsidRDefault="0086015D" w:rsidP="0086015D">
      <w:pPr>
        <w:spacing w:line="360" w:lineRule="auto"/>
        <w:jc w:val="center"/>
        <w:rPr>
          <w:rFonts w:ascii="Times New Roman" w:hAnsi="Times New Roman" w:cs="Times New Roman"/>
          <w:sz w:val="24"/>
          <w:szCs w:val="24"/>
        </w:rPr>
      </w:pPr>
      <w:r w:rsidRPr="0007244C">
        <w:rPr>
          <w:rFonts w:ascii="Times New Roman" w:hAnsi="Times New Roman" w:cs="Times New Roman"/>
          <w:noProof/>
          <w:sz w:val="24"/>
          <w:szCs w:val="24"/>
          <w:lang w:val="fr-FR" w:eastAsia="fr-FR"/>
        </w:rPr>
        <w:drawing>
          <wp:inline distT="0" distB="0" distL="0" distR="0" wp14:anchorId="3476DF3F" wp14:editId="7BBD9738">
            <wp:extent cx="4349011" cy="263567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61359" cy="2643160"/>
                    </a:xfrm>
                    <a:prstGeom prst="rect">
                      <a:avLst/>
                    </a:prstGeom>
                  </pic:spPr>
                </pic:pic>
              </a:graphicData>
            </a:graphic>
          </wp:inline>
        </w:drawing>
      </w:r>
    </w:p>
    <w:p w14:paraId="7E9E63A7" w14:textId="25A94DA7" w:rsidR="005A3BF1" w:rsidRDefault="005A3BF1" w:rsidP="0086015D">
      <w:pPr>
        <w:spacing w:line="360" w:lineRule="auto"/>
        <w:jc w:val="center"/>
        <w:rPr>
          <w:rFonts w:ascii="Times New Roman" w:hAnsi="Times New Roman" w:cs="Times New Roman"/>
          <w:b/>
          <w:bCs/>
          <w:sz w:val="24"/>
          <w:szCs w:val="24"/>
        </w:rPr>
      </w:pPr>
      <w:r w:rsidRPr="005A3BF1">
        <w:rPr>
          <w:rFonts w:ascii="Times New Roman" w:hAnsi="Times New Roman" w:cs="Times New Roman"/>
          <w:b/>
          <w:bCs/>
          <w:sz w:val="24"/>
          <w:szCs w:val="24"/>
        </w:rPr>
        <w:t xml:space="preserve">Figure </w:t>
      </w:r>
      <w:proofErr w:type="gramStart"/>
      <w:r w:rsidRPr="005A3BF1">
        <w:rPr>
          <w:rFonts w:ascii="Times New Roman" w:hAnsi="Times New Roman" w:cs="Times New Roman"/>
          <w:b/>
          <w:bCs/>
          <w:sz w:val="24"/>
          <w:szCs w:val="24"/>
        </w:rPr>
        <w:t>1</w:t>
      </w:r>
      <w:r w:rsidRPr="005A3BF1">
        <w:rPr>
          <w:rFonts w:ascii="Times New Roman" w:hAnsi="Times New Roman" w:cs="Times New Roman"/>
          <w:sz w:val="24"/>
          <w:szCs w:val="24"/>
        </w:rPr>
        <w:t>:</w:t>
      </w:r>
      <w:proofErr w:type="gramEnd"/>
      <w:r w:rsidRPr="005A3BF1">
        <w:rPr>
          <w:rFonts w:ascii="Times New Roman" w:hAnsi="Times New Roman" w:cs="Times New Roman"/>
          <w:sz w:val="24"/>
          <w:szCs w:val="24"/>
        </w:rPr>
        <w:t xml:space="preserve"> GC</w:t>
      </w:r>
      <w:r w:rsidR="00D13EB5">
        <w:rPr>
          <w:rFonts w:ascii="Times New Roman" w:hAnsi="Times New Roman" w:cs="Times New Roman"/>
          <w:sz w:val="24"/>
          <w:szCs w:val="24"/>
        </w:rPr>
        <w:t>/</w:t>
      </w:r>
      <w:r w:rsidRPr="005A3BF1">
        <w:rPr>
          <w:rFonts w:ascii="Times New Roman" w:hAnsi="Times New Roman" w:cs="Times New Roman"/>
          <w:sz w:val="24"/>
          <w:szCs w:val="24"/>
        </w:rPr>
        <w:t>MS chromatogram of the essential oil</w:t>
      </w:r>
    </w:p>
    <w:p w14:paraId="6B14CD97" w14:textId="7EA0AB6C" w:rsidR="00D82972" w:rsidRDefault="00D82972" w:rsidP="00D82972">
      <w:pPr>
        <w:spacing w:line="360" w:lineRule="auto"/>
        <w:jc w:val="both"/>
        <w:rPr>
          <w:rFonts w:ascii="Times New Roman" w:hAnsi="Times New Roman" w:cs="Times New Roman"/>
          <w:sz w:val="24"/>
          <w:szCs w:val="24"/>
        </w:rPr>
      </w:pPr>
      <w:r w:rsidRPr="00D82972">
        <w:rPr>
          <w:rFonts w:ascii="Times New Roman" w:hAnsi="Times New Roman" w:cs="Times New Roman"/>
          <w:sz w:val="24"/>
          <w:szCs w:val="24"/>
        </w:rPr>
        <w:t xml:space="preserve">The analysis reveals a high proportion of hydrocarbon monoterpenes (α-pinene, β-pinene, β-thujene, camphene, β-myrcene, pseudolimonene, α-terpinene, D-limonene, β-ocimene, γ-terpinene, terpinolene), which constitute the major fraction. The predominant compound is D-limonene (14.40%), followed by β-thujene (12.36%), α-pinene (8.17%), β-pinene (7.56%), γ-terpinene (7.35%), terpinen-4-ol (7.05%), and caryophyllene (8.38%). The oxygenated monoterpenes are represented by constituents such as linalool (0.61%), trans-2-menthenol (0.10%), and terpinen-4-ol (7.05%). The hydrocarbon sesquiterpene fraction includes caryophyllene (8.38%), humulene (4.29%), γ-muurolene (0.10%), and copaene (0.10%). Finally, the oxygenated sesquiterpenes are represented by caryophyllene oxide (7.56%), elemol (0.20%), humulene epoxide 2 (0.92%), β-acorenol (1.84%), and betulenol (0.31%). This chemical profile, confirmed by the combined GC–MS and ¹³C NMR analyses, indicates that the essential oil of </w:t>
      </w:r>
      <w:r w:rsidRPr="00D82972">
        <w:rPr>
          <w:rStyle w:val="Emphasis"/>
          <w:rFonts w:ascii="Times New Roman" w:hAnsi="Times New Roman" w:cs="Times New Roman"/>
          <w:sz w:val="24"/>
          <w:szCs w:val="24"/>
        </w:rPr>
        <w:t>Cleistopholis patens</w:t>
      </w:r>
      <w:r w:rsidRPr="00D82972">
        <w:rPr>
          <w:rFonts w:ascii="Times New Roman" w:hAnsi="Times New Roman" w:cs="Times New Roman"/>
          <w:sz w:val="24"/>
          <w:szCs w:val="24"/>
        </w:rPr>
        <w:t xml:space="preserve"> is dominated by hydrocarbon monoterpenes (nearly half of the total composition), followed by a significant proportion of hydrocarbon and oxygenated sesquiterpenes. The chemical structures of the main constituents, illustrating these major compound groups, are shown in Figure 2.</w:t>
      </w:r>
    </w:p>
    <w:p w14:paraId="74DD5434" w14:textId="3EB845D4" w:rsidR="001758BE" w:rsidRDefault="001758BE" w:rsidP="001758BE">
      <w:pPr>
        <w:jc w:val="center"/>
        <w:rPr>
          <w:rFonts w:ascii="Times New Roman" w:hAnsi="Times New Roman" w:cs="Times New Roman"/>
          <w:sz w:val="24"/>
          <w:szCs w:val="24"/>
        </w:rPr>
      </w:pPr>
      <w:r w:rsidRPr="0007244C">
        <w:rPr>
          <w:rFonts w:ascii="Times New Roman" w:hAnsi="Times New Roman" w:cs="Times New Roman"/>
          <w:sz w:val="24"/>
          <w:szCs w:val="24"/>
        </w:rPr>
        <w:object w:dxaOrig="5429" w:dyaOrig="3849" w14:anchorId="69F44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35pt;height:191.75pt" o:ole="">
            <v:imagedata r:id="rId7" o:title=""/>
          </v:shape>
          <o:OLEObject Type="Embed" ProgID="ChemDraw_x64.Document.6.0" ShapeID="_x0000_i1025" DrawAspect="Content" ObjectID="_1823941001" r:id="rId8"/>
        </w:object>
      </w:r>
    </w:p>
    <w:p w14:paraId="3E5B9BD9" w14:textId="0C951607" w:rsidR="00067138" w:rsidRDefault="00067138" w:rsidP="001758BE">
      <w:pPr>
        <w:jc w:val="center"/>
        <w:rPr>
          <w:rFonts w:ascii="Times New Roman" w:hAnsi="Times New Roman" w:cs="Times New Roman"/>
          <w:sz w:val="24"/>
          <w:szCs w:val="24"/>
        </w:rPr>
      </w:pPr>
      <w:r w:rsidRPr="00067138">
        <w:rPr>
          <w:rFonts w:ascii="Times New Roman" w:hAnsi="Times New Roman" w:cs="Times New Roman"/>
          <w:b/>
          <w:bCs/>
          <w:sz w:val="24"/>
          <w:szCs w:val="24"/>
        </w:rPr>
        <w:t>Figure 2</w:t>
      </w:r>
      <w:r>
        <w:rPr>
          <w:rFonts w:ascii="Times New Roman" w:hAnsi="Times New Roman" w:cs="Times New Roman"/>
          <w:sz w:val="24"/>
          <w:szCs w:val="24"/>
        </w:rPr>
        <w:t xml:space="preserve"> </w:t>
      </w:r>
      <w:r w:rsidRPr="00067138">
        <w:rPr>
          <w:rFonts w:ascii="Times New Roman" w:hAnsi="Times New Roman" w:cs="Times New Roman"/>
          <w:sz w:val="24"/>
          <w:szCs w:val="24"/>
        </w:rPr>
        <w:t xml:space="preserve">: Chemical structures of the main compounds of the essential oil of </w:t>
      </w:r>
      <w:r w:rsidRPr="00067138">
        <w:rPr>
          <w:rStyle w:val="Emphasis"/>
          <w:rFonts w:ascii="Times New Roman" w:hAnsi="Times New Roman" w:cs="Times New Roman"/>
          <w:sz w:val="24"/>
          <w:szCs w:val="24"/>
        </w:rPr>
        <w:t xml:space="preserve">Cleistopholis </w:t>
      </w:r>
      <w:proofErr w:type="gramStart"/>
      <w:r w:rsidRPr="00067138">
        <w:rPr>
          <w:rStyle w:val="Emphasis"/>
          <w:rFonts w:ascii="Times New Roman" w:hAnsi="Times New Roman" w:cs="Times New Roman"/>
          <w:sz w:val="24"/>
          <w:szCs w:val="24"/>
        </w:rPr>
        <w:t>patens</w:t>
      </w:r>
      <w:r w:rsidRPr="00067138">
        <w:rPr>
          <w:rFonts w:ascii="Times New Roman" w:hAnsi="Times New Roman" w:cs="Times New Roman"/>
          <w:sz w:val="24"/>
          <w:szCs w:val="24"/>
        </w:rPr>
        <w:t>:</w:t>
      </w:r>
      <w:proofErr w:type="gramEnd"/>
      <w:r w:rsidRPr="00067138">
        <w:rPr>
          <w:rFonts w:ascii="Times New Roman" w:hAnsi="Times New Roman" w:cs="Times New Roman"/>
          <w:sz w:val="24"/>
          <w:szCs w:val="24"/>
        </w:rPr>
        <w:t xml:space="preserve"> D-limonene (a), followed by β-thujene (b), α-pinene (c), β-pinene (d), γ-terpinene (e), terpinen-4-ol (f), and caryophyllene (g).</w:t>
      </w:r>
    </w:p>
    <w:p w14:paraId="264B3387" w14:textId="335F39DA" w:rsidR="00B208F1" w:rsidRDefault="00651AEE" w:rsidP="00651AEE">
      <w:pPr>
        <w:pStyle w:val="NormalWeb"/>
        <w:spacing w:line="360" w:lineRule="auto"/>
        <w:jc w:val="both"/>
      </w:pPr>
      <w:r>
        <w:t>Hydrocarbon monoterpenes (β-pinene, α-phellandrene, limonene, etc.) dominate the composition, followed by hydrocarbon and oxygenated sesquiterpenes (β-caryophyllene, germacrene D, germacrene B). These structures are representative of the major classes of compounds identified by gas chromatography coupled with mass spectrometry (GC–MS) and confirmed by ¹³C NMR. The main constituents are presented in Table 1, with their retention times, relative abundances, and methods of characterization.</w:t>
      </w:r>
    </w:p>
    <w:p w14:paraId="7CA18F5B" w14:textId="77777777" w:rsidR="00651AEE" w:rsidRDefault="00651AEE" w:rsidP="00651AEE">
      <w:pPr>
        <w:pStyle w:val="NormalWeb"/>
        <w:spacing w:line="360" w:lineRule="auto"/>
        <w:jc w:val="both"/>
      </w:pPr>
      <w:r w:rsidRPr="00651AEE">
        <w:rPr>
          <w:b/>
          <w:bCs/>
        </w:rPr>
        <w:t xml:space="preserve">Table </w:t>
      </w:r>
      <w:proofErr w:type="gramStart"/>
      <w:r w:rsidRPr="00651AEE">
        <w:rPr>
          <w:b/>
          <w:bCs/>
        </w:rPr>
        <w:t>1</w:t>
      </w:r>
      <w:r>
        <w:t>:</w:t>
      </w:r>
      <w:proofErr w:type="gramEnd"/>
      <w:r>
        <w:t xml:space="preserve"> Chemical composition of the essential oil of </w:t>
      </w:r>
      <w:r>
        <w:rPr>
          <w:rStyle w:val="Emphasis"/>
        </w:rPr>
        <w:t>Cleistopholis patens</w:t>
      </w:r>
      <w:r>
        <w:t xml:space="preserve"> from Divo</w:t>
      </w:r>
    </w:p>
    <w:tbl>
      <w:tblPr>
        <w:tblStyle w:val="TableGridLight"/>
        <w:tblW w:w="0" w:type="auto"/>
        <w:tblLook w:val="04A0" w:firstRow="1" w:lastRow="0" w:firstColumn="1" w:lastColumn="0" w:noHBand="0" w:noVBand="1"/>
      </w:tblPr>
      <w:tblGrid>
        <w:gridCol w:w="540"/>
        <w:gridCol w:w="2183"/>
        <w:gridCol w:w="1862"/>
        <w:gridCol w:w="1690"/>
        <w:gridCol w:w="2787"/>
      </w:tblGrid>
      <w:tr w:rsidR="00B208F1" w:rsidRPr="00B208F1" w14:paraId="61A79D24" w14:textId="77777777" w:rsidTr="00B208F1">
        <w:tc>
          <w:tcPr>
            <w:tcW w:w="0" w:type="auto"/>
            <w:hideMark/>
          </w:tcPr>
          <w:p w14:paraId="2D3E083C" w14:textId="77777777" w:rsidR="00B208F1" w:rsidRPr="00B208F1" w:rsidRDefault="00B208F1" w:rsidP="00B208F1">
            <w:pPr>
              <w:jc w:val="center"/>
              <w:rPr>
                <w:rFonts w:ascii="Times New Roman" w:eastAsia="Times New Roman" w:hAnsi="Times New Roman" w:cs="Times New Roman"/>
                <w:b/>
                <w:bCs/>
                <w:lang w:eastAsia="fr-CI"/>
              </w:rPr>
            </w:pPr>
            <w:r w:rsidRPr="00B208F1">
              <w:rPr>
                <w:rFonts w:ascii="Times New Roman" w:eastAsia="Times New Roman" w:hAnsi="Times New Roman" w:cs="Times New Roman"/>
                <w:b/>
                <w:bCs/>
                <w:lang w:eastAsia="fr-CI"/>
              </w:rPr>
              <w:t>No.</w:t>
            </w:r>
          </w:p>
        </w:tc>
        <w:tc>
          <w:tcPr>
            <w:tcW w:w="0" w:type="auto"/>
            <w:hideMark/>
          </w:tcPr>
          <w:p w14:paraId="3FCEC3C2" w14:textId="77777777" w:rsidR="00B208F1" w:rsidRPr="00B208F1" w:rsidRDefault="00B208F1" w:rsidP="00B208F1">
            <w:pPr>
              <w:jc w:val="center"/>
              <w:rPr>
                <w:rFonts w:ascii="Times New Roman" w:eastAsia="Times New Roman" w:hAnsi="Times New Roman" w:cs="Times New Roman"/>
                <w:b/>
                <w:bCs/>
                <w:lang w:eastAsia="fr-CI"/>
              </w:rPr>
            </w:pPr>
            <w:r w:rsidRPr="00B208F1">
              <w:rPr>
                <w:rFonts w:ascii="Times New Roman" w:eastAsia="Times New Roman" w:hAnsi="Times New Roman" w:cs="Times New Roman"/>
                <w:b/>
                <w:bCs/>
                <w:lang w:eastAsia="fr-CI"/>
              </w:rPr>
              <w:t>Retention Time (min)</w:t>
            </w:r>
          </w:p>
        </w:tc>
        <w:tc>
          <w:tcPr>
            <w:tcW w:w="0" w:type="auto"/>
            <w:hideMark/>
          </w:tcPr>
          <w:p w14:paraId="7A38BAC5" w14:textId="77777777" w:rsidR="00B208F1" w:rsidRPr="00B208F1" w:rsidRDefault="00B208F1" w:rsidP="00B208F1">
            <w:pPr>
              <w:jc w:val="center"/>
              <w:rPr>
                <w:rFonts w:ascii="Times New Roman" w:eastAsia="Times New Roman" w:hAnsi="Times New Roman" w:cs="Times New Roman"/>
                <w:b/>
                <w:bCs/>
                <w:lang w:eastAsia="fr-CI"/>
              </w:rPr>
            </w:pPr>
            <w:r w:rsidRPr="00B208F1">
              <w:rPr>
                <w:rFonts w:ascii="Times New Roman" w:eastAsia="Times New Roman" w:hAnsi="Times New Roman" w:cs="Times New Roman"/>
                <w:b/>
                <w:bCs/>
                <w:lang w:eastAsia="fr-CI"/>
              </w:rPr>
              <w:t>Compound Name</w:t>
            </w:r>
          </w:p>
        </w:tc>
        <w:tc>
          <w:tcPr>
            <w:tcW w:w="0" w:type="auto"/>
            <w:hideMark/>
          </w:tcPr>
          <w:p w14:paraId="6D621AD7" w14:textId="77777777" w:rsidR="00B208F1" w:rsidRPr="00B208F1" w:rsidRDefault="00B208F1" w:rsidP="00B208F1">
            <w:pPr>
              <w:jc w:val="center"/>
              <w:rPr>
                <w:rFonts w:ascii="Times New Roman" w:eastAsia="Times New Roman" w:hAnsi="Times New Roman" w:cs="Times New Roman"/>
                <w:b/>
                <w:bCs/>
                <w:lang w:eastAsia="fr-CI"/>
              </w:rPr>
            </w:pPr>
            <w:r w:rsidRPr="00B208F1">
              <w:rPr>
                <w:rFonts w:ascii="Times New Roman" w:eastAsia="Times New Roman" w:hAnsi="Times New Roman" w:cs="Times New Roman"/>
                <w:b/>
                <w:bCs/>
                <w:lang w:eastAsia="fr-CI"/>
              </w:rPr>
              <w:t>Abundance (%)</w:t>
            </w:r>
          </w:p>
        </w:tc>
        <w:tc>
          <w:tcPr>
            <w:tcW w:w="0" w:type="auto"/>
            <w:hideMark/>
          </w:tcPr>
          <w:p w14:paraId="67AC8CEF" w14:textId="77777777" w:rsidR="00B208F1" w:rsidRPr="00B208F1" w:rsidRDefault="00B208F1" w:rsidP="00B208F1">
            <w:pPr>
              <w:jc w:val="center"/>
              <w:rPr>
                <w:rFonts w:ascii="Times New Roman" w:eastAsia="Times New Roman" w:hAnsi="Times New Roman" w:cs="Times New Roman"/>
                <w:b/>
                <w:bCs/>
                <w:lang w:eastAsia="fr-CI"/>
              </w:rPr>
            </w:pPr>
            <w:r w:rsidRPr="00B208F1">
              <w:rPr>
                <w:rFonts w:ascii="Times New Roman" w:eastAsia="Times New Roman" w:hAnsi="Times New Roman" w:cs="Times New Roman"/>
                <w:b/>
                <w:bCs/>
                <w:lang w:eastAsia="fr-CI"/>
              </w:rPr>
              <w:t>Method of Characterization</w:t>
            </w:r>
          </w:p>
        </w:tc>
      </w:tr>
      <w:tr w:rsidR="00B208F1" w:rsidRPr="00B208F1" w14:paraId="0088CD64" w14:textId="77777777" w:rsidTr="00B208F1">
        <w:tc>
          <w:tcPr>
            <w:tcW w:w="0" w:type="auto"/>
            <w:hideMark/>
          </w:tcPr>
          <w:p w14:paraId="764452A1"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w:t>
            </w:r>
          </w:p>
        </w:tc>
        <w:tc>
          <w:tcPr>
            <w:tcW w:w="0" w:type="auto"/>
            <w:hideMark/>
          </w:tcPr>
          <w:p w14:paraId="3622E18D"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15.154</w:t>
            </w:r>
          </w:p>
        </w:tc>
        <w:tc>
          <w:tcPr>
            <w:tcW w:w="0" w:type="auto"/>
            <w:hideMark/>
          </w:tcPr>
          <w:p w14:paraId="7333A9D3" w14:textId="77777777" w:rsidR="00B208F1" w:rsidRPr="00B208F1" w:rsidRDefault="00B208F1" w:rsidP="00B208F1">
            <w:pPr>
              <w:jc w:val="center"/>
              <w:rPr>
                <w:rFonts w:ascii="Times New Roman" w:eastAsia="Times New Roman" w:hAnsi="Times New Roman" w:cs="Times New Roman"/>
                <w:lang w:eastAsia="fr-CI"/>
              </w:rPr>
            </w:pPr>
            <w:proofErr w:type="gramStart"/>
            <w:r w:rsidRPr="00B208F1">
              <w:rPr>
                <w:rFonts w:ascii="Times New Roman" w:eastAsia="Times New Roman" w:hAnsi="Times New Roman" w:cs="Times New Roman"/>
                <w:lang w:eastAsia="fr-CI"/>
              </w:rPr>
              <w:t>β</w:t>
            </w:r>
            <w:proofErr w:type="gramEnd"/>
            <w:r w:rsidRPr="00B208F1">
              <w:rPr>
                <w:rFonts w:ascii="Times New Roman" w:eastAsia="Times New Roman" w:hAnsi="Times New Roman" w:cs="Times New Roman"/>
                <w:lang w:eastAsia="fr-CI"/>
              </w:rPr>
              <w:t>-Thujene</w:t>
            </w:r>
          </w:p>
        </w:tc>
        <w:tc>
          <w:tcPr>
            <w:tcW w:w="0" w:type="auto"/>
            <w:hideMark/>
          </w:tcPr>
          <w:p w14:paraId="2006E80F"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12.36</w:t>
            </w:r>
          </w:p>
        </w:tc>
        <w:tc>
          <w:tcPr>
            <w:tcW w:w="0" w:type="auto"/>
            <w:hideMark/>
          </w:tcPr>
          <w:p w14:paraId="44014A36"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6AE587FD" w14:textId="77777777" w:rsidTr="00B208F1">
        <w:tc>
          <w:tcPr>
            <w:tcW w:w="0" w:type="auto"/>
            <w:hideMark/>
          </w:tcPr>
          <w:p w14:paraId="1B3C2BA7"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2</w:t>
            </w:r>
          </w:p>
        </w:tc>
        <w:tc>
          <w:tcPr>
            <w:tcW w:w="0" w:type="auto"/>
            <w:hideMark/>
          </w:tcPr>
          <w:p w14:paraId="6E637398"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15.635</w:t>
            </w:r>
          </w:p>
        </w:tc>
        <w:tc>
          <w:tcPr>
            <w:tcW w:w="0" w:type="auto"/>
            <w:hideMark/>
          </w:tcPr>
          <w:p w14:paraId="78566FF6" w14:textId="77777777" w:rsidR="00B208F1" w:rsidRPr="00B208F1" w:rsidRDefault="00B208F1" w:rsidP="00B208F1">
            <w:pPr>
              <w:jc w:val="center"/>
              <w:rPr>
                <w:rFonts w:ascii="Times New Roman" w:eastAsia="Times New Roman" w:hAnsi="Times New Roman" w:cs="Times New Roman"/>
                <w:lang w:eastAsia="fr-CI"/>
              </w:rPr>
            </w:pPr>
            <w:proofErr w:type="gramStart"/>
            <w:r w:rsidRPr="00B208F1">
              <w:rPr>
                <w:rFonts w:ascii="Times New Roman" w:eastAsia="Times New Roman" w:hAnsi="Times New Roman" w:cs="Times New Roman"/>
                <w:lang w:eastAsia="fr-CI"/>
              </w:rPr>
              <w:t>α</w:t>
            </w:r>
            <w:proofErr w:type="gramEnd"/>
            <w:r w:rsidRPr="00B208F1">
              <w:rPr>
                <w:rFonts w:ascii="Times New Roman" w:eastAsia="Times New Roman" w:hAnsi="Times New Roman" w:cs="Times New Roman"/>
                <w:lang w:eastAsia="fr-CI"/>
              </w:rPr>
              <w:t>-Pinene</w:t>
            </w:r>
          </w:p>
        </w:tc>
        <w:tc>
          <w:tcPr>
            <w:tcW w:w="0" w:type="auto"/>
            <w:hideMark/>
          </w:tcPr>
          <w:p w14:paraId="27121B97"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8.17</w:t>
            </w:r>
          </w:p>
        </w:tc>
        <w:tc>
          <w:tcPr>
            <w:tcW w:w="0" w:type="auto"/>
            <w:hideMark/>
          </w:tcPr>
          <w:p w14:paraId="7CB946FE"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658B2F77" w14:textId="77777777" w:rsidTr="00B208F1">
        <w:tc>
          <w:tcPr>
            <w:tcW w:w="0" w:type="auto"/>
            <w:hideMark/>
          </w:tcPr>
          <w:p w14:paraId="029EEFB9"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3</w:t>
            </w:r>
          </w:p>
        </w:tc>
        <w:tc>
          <w:tcPr>
            <w:tcW w:w="0" w:type="auto"/>
            <w:hideMark/>
          </w:tcPr>
          <w:p w14:paraId="265F3498"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16.506</w:t>
            </w:r>
          </w:p>
        </w:tc>
        <w:tc>
          <w:tcPr>
            <w:tcW w:w="0" w:type="auto"/>
            <w:hideMark/>
          </w:tcPr>
          <w:p w14:paraId="2D718164"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Camphene</w:t>
            </w:r>
          </w:p>
        </w:tc>
        <w:tc>
          <w:tcPr>
            <w:tcW w:w="0" w:type="auto"/>
            <w:hideMark/>
          </w:tcPr>
          <w:p w14:paraId="767D9F75"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0.20</w:t>
            </w:r>
          </w:p>
        </w:tc>
        <w:tc>
          <w:tcPr>
            <w:tcW w:w="0" w:type="auto"/>
            <w:hideMark/>
          </w:tcPr>
          <w:p w14:paraId="4C5B4C4E"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4DC65CA" w14:textId="77777777" w:rsidTr="00B208F1">
        <w:tc>
          <w:tcPr>
            <w:tcW w:w="0" w:type="auto"/>
            <w:hideMark/>
          </w:tcPr>
          <w:p w14:paraId="27A8CDFC"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4</w:t>
            </w:r>
          </w:p>
        </w:tc>
        <w:tc>
          <w:tcPr>
            <w:tcW w:w="0" w:type="auto"/>
            <w:hideMark/>
          </w:tcPr>
          <w:p w14:paraId="11F309A7"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19.635</w:t>
            </w:r>
          </w:p>
        </w:tc>
        <w:tc>
          <w:tcPr>
            <w:tcW w:w="0" w:type="auto"/>
            <w:hideMark/>
          </w:tcPr>
          <w:p w14:paraId="33C5FBA0" w14:textId="77777777" w:rsidR="00B208F1" w:rsidRPr="00B208F1" w:rsidRDefault="00B208F1" w:rsidP="00B208F1">
            <w:pPr>
              <w:jc w:val="center"/>
              <w:rPr>
                <w:rFonts w:ascii="Times New Roman" w:eastAsia="Times New Roman" w:hAnsi="Times New Roman" w:cs="Times New Roman"/>
                <w:lang w:eastAsia="fr-CI"/>
              </w:rPr>
            </w:pPr>
            <w:proofErr w:type="gramStart"/>
            <w:r w:rsidRPr="00B208F1">
              <w:rPr>
                <w:rFonts w:ascii="Times New Roman" w:eastAsia="Times New Roman" w:hAnsi="Times New Roman" w:cs="Times New Roman"/>
                <w:lang w:eastAsia="fr-CI"/>
              </w:rPr>
              <w:t>β</w:t>
            </w:r>
            <w:proofErr w:type="gramEnd"/>
            <w:r w:rsidRPr="00B208F1">
              <w:rPr>
                <w:rFonts w:ascii="Times New Roman" w:eastAsia="Times New Roman" w:hAnsi="Times New Roman" w:cs="Times New Roman"/>
                <w:lang w:eastAsia="fr-CI"/>
              </w:rPr>
              <w:t>-Pinene</w:t>
            </w:r>
          </w:p>
        </w:tc>
        <w:tc>
          <w:tcPr>
            <w:tcW w:w="0" w:type="auto"/>
            <w:hideMark/>
          </w:tcPr>
          <w:p w14:paraId="4D52E631"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7.56</w:t>
            </w:r>
          </w:p>
        </w:tc>
        <w:tc>
          <w:tcPr>
            <w:tcW w:w="0" w:type="auto"/>
            <w:hideMark/>
          </w:tcPr>
          <w:p w14:paraId="0055C111"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7E7DE3E" w14:textId="77777777" w:rsidTr="00B208F1">
        <w:tc>
          <w:tcPr>
            <w:tcW w:w="0" w:type="auto"/>
            <w:hideMark/>
          </w:tcPr>
          <w:p w14:paraId="4639F490"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5</w:t>
            </w:r>
          </w:p>
        </w:tc>
        <w:tc>
          <w:tcPr>
            <w:tcW w:w="0" w:type="auto"/>
            <w:hideMark/>
          </w:tcPr>
          <w:p w14:paraId="38681C0B"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21.506</w:t>
            </w:r>
          </w:p>
        </w:tc>
        <w:tc>
          <w:tcPr>
            <w:tcW w:w="0" w:type="auto"/>
            <w:hideMark/>
          </w:tcPr>
          <w:p w14:paraId="0D08A2C6" w14:textId="77777777" w:rsidR="00B208F1" w:rsidRPr="00B208F1" w:rsidRDefault="00B208F1" w:rsidP="00B208F1">
            <w:pPr>
              <w:jc w:val="center"/>
              <w:rPr>
                <w:rFonts w:ascii="Times New Roman" w:eastAsia="Times New Roman" w:hAnsi="Times New Roman" w:cs="Times New Roman"/>
                <w:lang w:eastAsia="fr-CI"/>
              </w:rPr>
            </w:pPr>
            <w:proofErr w:type="gramStart"/>
            <w:r w:rsidRPr="00B208F1">
              <w:rPr>
                <w:rFonts w:ascii="Times New Roman" w:eastAsia="Times New Roman" w:hAnsi="Times New Roman" w:cs="Times New Roman"/>
                <w:lang w:eastAsia="fr-CI"/>
              </w:rPr>
              <w:t>β</w:t>
            </w:r>
            <w:proofErr w:type="gramEnd"/>
            <w:r w:rsidRPr="00B208F1">
              <w:rPr>
                <w:rFonts w:ascii="Times New Roman" w:eastAsia="Times New Roman" w:hAnsi="Times New Roman" w:cs="Times New Roman"/>
                <w:lang w:eastAsia="fr-CI"/>
              </w:rPr>
              <w:t>-Myrcene</w:t>
            </w:r>
          </w:p>
        </w:tc>
        <w:tc>
          <w:tcPr>
            <w:tcW w:w="0" w:type="auto"/>
            <w:hideMark/>
          </w:tcPr>
          <w:p w14:paraId="1F593211"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1.02</w:t>
            </w:r>
          </w:p>
        </w:tc>
        <w:tc>
          <w:tcPr>
            <w:tcW w:w="0" w:type="auto"/>
            <w:hideMark/>
          </w:tcPr>
          <w:p w14:paraId="3BE26921"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34715562" w14:textId="77777777" w:rsidTr="00B208F1">
        <w:tc>
          <w:tcPr>
            <w:tcW w:w="0" w:type="auto"/>
            <w:hideMark/>
          </w:tcPr>
          <w:p w14:paraId="1545E6C3"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6</w:t>
            </w:r>
          </w:p>
        </w:tc>
        <w:tc>
          <w:tcPr>
            <w:tcW w:w="0" w:type="auto"/>
            <w:hideMark/>
          </w:tcPr>
          <w:p w14:paraId="35B29298"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22.879</w:t>
            </w:r>
          </w:p>
        </w:tc>
        <w:tc>
          <w:tcPr>
            <w:tcW w:w="0" w:type="auto"/>
            <w:hideMark/>
          </w:tcPr>
          <w:p w14:paraId="1EAE9D33"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Pseudolimonene</w:t>
            </w:r>
          </w:p>
        </w:tc>
        <w:tc>
          <w:tcPr>
            <w:tcW w:w="0" w:type="auto"/>
            <w:hideMark/>
          </w:tcPr>
          <w:p w14:paraId="2BD1680C"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1.43</w:t>
            </w:r>
          </w:p>
        </w:tc>
        <w:tc>
          <w:tcPr>
            <w:tcW w:w="0" w:type="auto"/>
            <w:hideMark/>
          </w:tcPr>
          <w:p w14:paraId="1B9168E2"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4534F53" w14:textId="77777777" w:rsidTr="00B208F1">
        <w:tc>
          <w:tcPr>
            <w:tcW w:w="0" w:type="auto"/>
            <w:hideMark/>
          </w:tcPr>
          <w:p w14:paraId="7AE55BAD"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7</w:t>
            </w:r>
          </w:p>
        </w:tc>
        <w:tc>
          <w:tcPr>
            <w:tcW w:w="0" w:type="auto"/>
            <w:hideMark/>
          </w:tcPr>
          <w:p w14:paraId="4BFAFC33"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24.447</w:t>
            </w:r>
          </w:p>
        </w:tc>
        <w:tc>
          <w:tcPr>
            <w:tcW w:w="0" w:type="auto"/>
            <w:hideMark/>
          </w:tcPr>
          <w:p w14:paraId="76AA1035" w14:textId="77777777" w:rsidR="00B208F1" w:rsidRPr="00B208F1" w:rsidRDefault="00B208F1" w:rsidP="00B208F1">
            <w:pPr>
              <w:jc w:val="center"/>
              <w:rPr>
                <w:rFonts w:ascii="Times New Roman" w:eastAsia="Times New Roman" w:hAnsi="Times New Roman" w:cs="Times New Roman"/>
                <w:lang w:eastAsia="fr-CI"/>
              </w:rPr>
            </w:pPr>
            <w:proofErr w:type="gramStart"/>
            <w:r w:rsidRPr="00B208F1">
              <w:rPr>
                <w:rFonts w:ascii="Times New Roman" w:eastAsia="Times New Roman" w:hAnsi="Times New Roman" w:cs="Times New Roman"/>
                <w:lang w:eastAsia="fr-CI"/>
              </w:rPr>
              <w:t>α</w:t>
            </w:r>
            <w:proofErr w:type="gramEnd"/>
            <w:r w:rsidRPr="00B208F1">
              <w:rPr>
                <w:rFonts w:ascii="Times New Roman" w:eastAsia="Times New Roman" w:hAnsi="Times New Roman" w:cs="Times New Roman"/>
                <w:lang w:eastAsia="fr-CI"/>
              </w:rPr>
              <w:t>-Terpinene</w:t>
            </w:r>
          </w:p>
        </w:tc>
        <w:tc>
          <w:tcPr>
            <w:tcW w:w="0" w:type="auto"/>
            <w:hideMark/>
          </w:tcPr>
          <w:p w14:paraId="753CBFBB"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6.33</w:t>
            </w:r>
          </w:p>
        </w:tc>
        <w:tc>
          <w:tcPr>
            <w:tcW w:w="0" w:type="auto"/>
            <w:hideMark/>
          </w:tcPr>
          <w:p w14:paraId="36945A27"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0DB2C455" w14:textId="77777777" w:rsidTr="00B208F1">
        <w:tc>
          <w:tcPr>
            <w:tcW w:w="0" w:type="auto"/>
            <w:hideMark/>
          </w:tcPr>
          <w:p w14:paraId="3B171618"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8</w:t>
            </w:r>
          </w:p>
        </w:tc>
        <w:tc>
          <w:tcPr>
            <w:tcW w:w="0" w:type="auto"/>
            <w:hideMark/>
          </w:tcPr>
          <w:p w14:paraId="7FB762C4"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26.970</w:t>
            </w:r>
          </w:p>
        </w:tc>
        <w:tc>
          <w:tcPr>
            <w:tcW w:w="0" w:type="auto"/>
            <w:hideMark/>
          </w:tcPr>
          <w:p w14:paraId="3955076B"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D-Limonene</w:t>
            </w:r>
          </w:p>
        </w:tc>
        <w:tc>
          <w:tcPr>
            <w:tcW w:w="0" w:type="auto"/>
            <w:hideMark/>
          </w:tcPr>
          <w:p w14:paraId="0E0A646C"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14.40</w:t>
            </w:r>
          </w:p>
        </w:tc>
        <w:tc>
          <w:tcPr>
            <w:tcW w:w="0" w:type="auto"/>
            <w:hideMark/>
          </w:tcPr>
          <w:p w14:paraId="3FBB40D3"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07204F4" w14:textId="77777777" w:rsidTr="00B208F1">
        <w:tc>
          <w:tcPr>
            <w:tcW w:w="0" w:type="auto"/>
            <w:hideMark/>
          </w:tcPr>
          <w:p w14:paraId="1E22B704"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9</w:t>
            </w:r>
          </w:p>
        </w:tc>
        <w:tc>
          <w:tcPr>
            <w:tcW w:w="0" w:type="auto"/>
            <w:hideMark/>
          </w:tcPr>
          <w:p w14:paraId="34D3C888"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28.137</w:t>
            </w:r>
          </w:p>
        </w:tc>
        <w:tc>
          <w:tcPr>
            <w:tcW w:w="0" w:type="auto"/>
            <w:hideMark/>
          </w:tcPr>
          <w:p w14:paraId="3BC0C619" w14:textId="77777777" w:rsidR="00B208F1" w:rsidRPr="00B208F1" w:rsidRDefault="00B208F1" w:rsidP="00B208F1">
            <w:pPr>
              <w:jc w:val="center"/>
              <w:rPr>
                <w:rFonts w:ascii="Times New Roman" w:eastAsia="Times New Roman" w:hAnsi="Times New Roman" w:cs="Times New Roman"/>
                <w:lang w:eastAsia="fr-CI"/>
              </w:rPr>
            </w:pPr>
            <w:proofErr w:type="gramStart"/>
            <w:r w:rsidRPr="00B208F1">
              <w:rPr>
                <w:rFonts w:ascii="Times New Roman" w:eastAsia="Times New Roman" w:hAnsi="Times New Roman" w:cs="Times New Roman"/>
                <w:lang w:eastAsia="fr-CI"/>
              </w:rPr>
              <w:t>β</w:t>
            </w:r>
            <w:proofErr w:type="gramEnd"/>
            <w:r w:rsidRPr="00B208F1">
              <w:rPr>
                <w:rFonts w:ascii="Times New Roman" w:eastAsia="Times New Roman" w:hAnsi="Times New Roman" w:cs="Times New Roman"/>
                <w:lang w:eastAsia="fr-CI"/>
              </w:rPr>
              <w:t>-cis-Ocimene</w:t>
            </w:r>
          </w:p>
        </w:tc>
        <w:tc>
          <w:tcPr>
            <w:tcW w:w="0" w:type="auto"/>
            <w:hideMark/>
          </w:tcPr>
          <w:p w14:paraId="6D7C8BDD"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0.20</w:t>
            </w:r>
          </w:p>
        </w:tc>
        <w:tc>
          <w:tcPr>
            <w:tcW w:w="0" w:type="auto"/>
            <w:hideMark/>
          </w:tcPr>
          <w:p w14:paraId="5E0E94DF"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2C768C1D" w14:textId="77777777" w:rsidTr="00B208F1">
        <w:tc>
          <w:tcPr>
            <w:tcW w:w="0" w:type="auto"/>
            <w:hideMark/>
          </w:tcPr>
          <w:p w14:paraId="6134EB97"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10</w:t>
            </w:r>
          </w:p>
        </w:tc>
        <w:tc>
          <w:tcPr>
            <w:tcW w:w="0" w:type="auto"/>
            <w:hideMark/>
          </w:tcPr>
          <w:p w14:paraId="463EEFE0"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29.677</w:t>
            </w:r>
          </w:p>
        </w:tc>
        <w:tc>
          <w:tcPr>
            <w:tcW w:w="0" w:type="auto"/>
            <w:hideMark/>
          </w:tcPr>
          <w:p w14:paraId="77852D0D" w14:textId="77777777" w:rsidR="00B208F1" w:rsidRPr="00B208F1" w:rsidRDefault="00B208F1" w:rsidP="00B208F1">
            <w:pPr>
              <w:jc w:val="center"/>
              <w:rPr>
                <w:rFonts w:ascii="Times New Roman" w:eastAsia="Times New Roman" w:hAnsi="Times New Roman" w:cs="Times New Roman"/>
                <w:lang w:eastAsia="fr-CI"/>
              </w:rPr>
            </w:pPr>
            <w:proofErr w:type="gramStart"/>
            <w:r w:rsidRPr="00B208F1">
              <w:rPr>
                <w:rFonts w:ascii="Times New Roman" w:eastAsia="Times New Roman" w:hAnsi="Times New Roman" w:cs="Times New Roman"/>
                <w:lang w:eastAsia="fr-CI"/>
              </w:rPr>
              <w:t>γ</w:t>
            </w:r>
            <w:proofErr w:type="gramEnd"/>
            <w:r w:rsidRPr="00B208F1">
              <w:rPr>
                <w:rFonts w:ascii="Times New Roman" w:eastAsia="Times New Roman" w:hAnsi="Times New Roman" w:cs="Times New Roman"/>
                <w:lang w:eastAsia="fr-CI"/>
              </w:rPr>
              <w:t>-Terpinene</w:t>
            </w:r>
          </w:p>
        </w:tc>
        <w:tc>
          <w:tcPr>
            <w:tcW w:w="0" w:type="auto"/>
            <w:hideMark/>
          </w:tcPr>
          <w:p w14:paraId="4B1E5345"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7.35</w:t>
            </w:r>
          </w:p>
        </w:tc>
        <w:tc>
          <w:tcPr>
            <w:tcW w:w="0" w:type="auto"/>
            <w:hideMark/>
          </w:tcPr>
          <w:p w14:paraId="656D482B"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32D2195" w14:textId="77777777" w:rsidTr="00B208F1">
        <w:tc>
          <w:tcPr>
            <w:tcW w:w="0" w:type="auto"/>
            <w:hideMark/>
          </w:tcPr>
          <w:p w14:paraId="5AE9FCFD"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11</w:t>
            </w:r>
          </w:p>
        </w:tc>
        <w:tc>
          <w:tcPr>
            <w:tcW w:w="0" w:type="auto"/>
            <w:hideMark/>
          </w:tcPr>
          <w:p w14:paraId="5D9B688D"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30.323</w:t>
            </w:r>
          </w:p>
        </w:tc>
        <w:tc>
          <w:tcPr>
            <w:tcW w:w="0" w:type="auto"/>
            <w:hideMark/>
          </w:tcPr>
          <w:p w14:paraId="2E06BF9E"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Sabinene hydrate</w:t>
            </w:r>
          </w:p>
        </w:tc>
        <w:tc>
          <w:tcPr>
            <w:tcW w:w="0" w:type="auto"/>
            <w:hideMark/>
          </w:tcPr>
          <w:p w14:paraId="53F1D46F"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0.82</w:t>
            </w:r>
          </w:p>
        </w:tc>
        <w:tc>
          <w:tcPr>
            <w:tcW w:w="0" w:type="auto"/>
            <w:hideMark/>
          </w:tcPr>
          <w:p w14:paraId="7F6F7D76"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0EDE92AD" w14:textId="77777777" w:rsidTr="00B208F1">
        <w:tc>
          <w:tcPr>
            <w:tcW w:w="0" w:type="auto"/>
            <w:hideMark/>
          </w:tcPr>
          <w:p w14:paraId="256E4BF0"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12</w:t>
            </w:r>
          </w:p>
        </w:tc>
        <w:tc>
          <w:tcPr>
            <w:tcW w:w="0" w:type="auto"/>
            <w:hideMark/>
          </w:tcPr>
          <w:p w14:paraId="136404F1"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31.943</w:t>
            </w:r>
          </w:p>
        </w:tc>
        <w:tc>
          <w:tcPr>
            <w:tcW w:w="0" w:type="auto"/>
            <w:hideMark/>
          </w:tcPr>
          <w:p w14:paraId="7F1E415A"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Terpinolene</w:t>
            </w:r>
          </w:p>
        </w:tc>
        <w:tc>
          <w:tcPr>
            <w:tcW w:w="0" w:type="auto"/>
            <w:hideMark/>
          </w:tcPr>
          <w:p w14:paraId="46BE158D"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5.31</w:t>
            </w:r>
          </w:p>
        </w:tc>
        <w:tc>
          <w:tcPr>
            <w:tcW w:w="0" w:type="auto"/>
            <w:hideMark/>
          </w:tcPr>
          <w:p w14:paraId="054DA5CE"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26CBAB8" w14:textId="77777777" w:rsidTr="00B208F1">
        <w:tc>
          <w:tcPr>
            <w:tcW w:w="0" w:type="auto"/>
            <w:hideMark/>
          </w:tcPr>
          <w:p w14:paraId="0BADAB3A"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13</w:t>
            </w:r>
          </w:p>
        </w:tc>
        <w:tc>
          <w:tcPr>
            <w:tcW w:w="0" w:type="auto"/>
            <w:hideMark/>
          </w:tcPr>
          <w:p w14:paraId="208E8246"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34.037</w:t>
            </w:r>
          </w:p>
        </w:tc>
        <w:tc>
          <w:tcPr>
            <w:tcW w:w="0" w:type="auto"/>
            <w:hideMark/>
          </w:tcPr>
          <w:p w14:paraId="162885BC"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Linalool</w:t>
            </w:r>
          </w:p>
        </w:tc>
        <w:tc>
          <w:tcPr>
            <w:tcW w:w="0" w:type="auto"/>
            <w:hideMark/>
          </w:tcPr>
          <w:p w14:paraId="2B9F29A8"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0.61</w:t>
            </w:r>
          </w:p>
        </w:tc>
        <w:tc>
          <w:tcPr>
            <w:tcW w:w="0" w:type="auto"/>
            <w:hideMark/>
          </w:tcPr>
          <w:p w14:paraId="140DD9E4"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194D1187" w14:textId="77777777" w:rsidTr="00B208F1">
        <w:tc>
          <w:tcPr>
            <w:tcW w:w="0" w:type="auto"/>
            <w:hideMark/>
          </w:tcPr>
          <w:p w14:paraId="50441C34"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14</w:t>
            </w:r>
          </w:p>
        </w:tc>
        <w:tc>
          <w:tcPr>
            <w:tcW w:w="0" w:type="auto"/>
            <w:hideMark/>
          </w:tcPr>
          <w:p w14:paraId="5FFADE5D"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35.822</w:t>
            </w:r>
          </w:p>
        </w:tc>
        <w:tc>
          <w:tcPr>
            <w:tcW w:w="0" w:type="auto"/>
            <w:hideMark/>
          </w:tcPr>
          <w:p w14:paraId="36319012" w14:textId="77777777" w:rsidR="00B208F1" w:rsidRPr="00B208F1" w:rsidRDefault="00B208F1" w:rsidP="00B208F1">
            <w:pPr>
              <w:jc w:val="center"/>
              <w:rPr>
                <w:rFonts w:ascii="Times New Roman" w:eastAsia="Times New Roman" w:hAnsi="Times New Roman" w:cs="Times New Roman"/>
                <w:lang w:eastAsia="fr-CI"/>
              </w:rPr>
            </w:pPr>
            <w:proofErr w:type="gramStart"/>
            <w:r w:rsidRPr="00B208F1">
              <w:rPr>
                <w:rFonts w:ascii="Times New Roman" w:eastAsia="Times New Roman" w:hAnsi="Times New Roman" w:cs="Times New Roman"/>
                <w:lang w:eastAsia="fr-CI"/>
              </w:rPr>
              <w:t>trans</w:t>
            </w:r>
            <w:proofErr w:type="gramEnd"/>
            <w:r w:rsidRPr="00B208F1">
              <w:rPr>
                <w:rFonts w:ascii="Times New Roman" w:eastAsia="Times New Roman" w:hAnsi="Times New Roman" w:cs="Times New Roman"/>
                <w:lang w:eastAsia="fr-CI"/>
              </w:rPr>
              <w:t>-2-Menthenol</w:t>
            </w:r>
          </w:p>
        </w:tc>
        <w:tc>
          <w:tcPr>
            <w:tcW w:w="0" w:type="auto"/>
            <w:hideMark/>
          </w:tcPr>
          <w:p w14:paraId="2670C6CD"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0.10</w:t>
            </w:r>
          </w:p>
        </w:tc>
        <w:tc>
          <w:tcPr>
            <w:tcW w:w="0" w:type="auto"/>
            <w:hideMark/>
          </w:tcPr>
          <w:p w14:paraId="4F876C28"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492DAFA7" w14:textId="77777777" w:rsidTr="00B208F1">
        <w:tc>
          <w:tcPr>
            <w:tcW w:w="0" w:type="auto"/>
            <w:hideMark/>
          </w:tcPr>
          <w:p w14:paraId="3CA61719"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15</w:t>
            </w:r>
          </w:p>
        </w:tc>
        <w:tc>
          <w:tcPr>
            <w:tcW w:w="0" w:type="auto"/>
            <w:hideMark/>
          </w:tcPr>
          <w:p w14:paraId="4AD0F69E"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41.001</w:t>
            </w:r>
          </w:p>
        </w:tc>
        <w:tc>
          <w:tcPr>
            <w:tcW w:w="0" w:type="auto"/>
            <w:hideMark/>
          </w:tcPr>
          <w:p w14:paraId="4D91F1C0"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Terpinen-4-ol</w:t>
            </w:r>
          </w:p>
        </w:tc>
        <w:tc>
          <w:tcPr>
            <w:tcW w:w="0" w:type="auto"/>
            <w:hideMark/>
          </w:tcPr>
          <w:p w14:paraId="72F4313B"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7.05</w:t>
            </w:r>
          </w:p>
        </w:tc>
        <w:tc>
          <w:tcPr>
            <w:tcW w:w="0" w:type="auto"/>
            <w:hideMark/>
          </w:tcPr>
          <w:p w14:paraId="1D11A683"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2852F0E" w14:textId="77777777" w:rsidTr="00B208F1">
        <w:tc>
          <w:tcPr>
            <w:tcW w:w="0" w:type="auto"/>
            <w:hideMark/>
          </w:tcPr>
          <w:p w14:paraId="78B87F1E"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16</w:t>
            </w:r>
          </w:p>
        </w:tc>
        <w:tc>
          <w:tcPr>
            <w:tcW w:w="0" w:type="auto"/>
            <w:hideMark/>
          </w:tcPr>
          <w:p w14:paraId="58F19FDA"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52.737</w:t>
            </w:r>
          </w:p>
        </w:tc>
        <w:tc>
          <w:tcPr>
            <w:tcW w:w="0" w:type="auto"/>
            <w:hideMark/>
          </w:tcPr>
          <w:p w14:paraId="488E5512"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Copaene</w:t>
            </w:r>
          </w:p>
        </w:tc>
        <w:tc>
          <w:tcPr>
            <w:tcW w:w="0" w:type="auto"/>
            <w:hideMark/>
          </w:tcPr>
          <w:p w14:paraId="17627C71"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0.10</w:t>
            </w:r>
          </w:p>
        </w:tc>
        <w:tc>
          <w:tcPr>
            <w:tcW w:w="0" w:type="auto"/>
            <w:hideMark/>
          </w:tcPr>
          <w:p w14:paraId="384CB9EB"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0E186542" w14:textId="77777777" w:rsidTr="00B208F1">
        <w:tc>
          <w:tcPr>
            <w:tcW w:w="0" w:type="auto"/>
            <w:hideMark/>
          </w:tcPr>
          <w:p w14:paraId="7A6B1F3F"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17</w:t>
            </w:r>
          </w:p>
        </w:tc>
        <w:tc>
          <w:tcPr>
            <w:tcW w:w="0" w:type="auto"/>
            <w:hideMark/>
          </w:tcPr>
          <w:p w14:paraId="7A9ABB21"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54.510</w:t>
            </w:r>
          </w:p>
        </w:tc>
        <w:tc>
          <w:tcPr>
            <w:tcW w:w="0" w:type="auto"/>
            <w:hideMark/>
          </w:tcPr>
          <w:p w14:paraId="1D09DBF3"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Ylangene</w:t>
            </w:r>
          </w:p>
        </w:tc>
        <w:tc>
          <w:tcPr>
            <w:tcW w:w="0" w:type="auto"/>
            <w:hideMark/>
          </w:tcPr>
          <w:p w14:paraId="1E47AF9A"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0.41</w:t>
            </w:r>
          </w:p>
        </w:tc>
        <w:tc>
          <w:tcPr>
            <w:tcW w:w="0" w:type="auto"/>
            <w:hideMark/>
          </w:tcPr>
          <w:p w14:paraId="3F2874DF"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EC45E1E" w14:textId="77777777" w:rsidTr="00B208F1">
        <w:tc>
          <w:tcPr>
            <w:tcW w:w="0" w:type="auto"/>
            <w:hideMark/>
          </w:tcPr>
          <w:p w14:paraId="58F14B13"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18</w:t>
            </w:r>
          </w:p>
        </w:tc>
        <w:tc>
          <w:tcPr>
            <w:tcW w:w="0" w:type="auto"/>
            <w:hideMark/>
          </w:tcPr>
          <w:p w14:paraId="3BD9F749"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57.692</w:t>
            </w:r>
          </w:p>
        </w:tc>
        <w:tc>
          <w:tcPr>
            <w:tcW w:w="0" w:type="auto"/>
            <w:hideMark/>
          </w:tcPr>
          <w:p w14:paraId="33F08E20"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Caryophyllene</w:t>
            </w:r>
          </w:p>
        </w:tc>
        <w:tc>
          <w:tcPr>
            <w:tcW w:w="0" w:type="auto"/>
            <w:hideMark/>
          </w:tcPr>
          <w:p w14:paraId="2E893CF7"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8.38</w:t>
            </w:r>
          </w:p>
        </w:tc>
        <w:tc>
          <w:tcPr>
            <w:tcW w:w="0" w:type="auto"/>
            <w:hideMark/>
          </w:tcPr>
          <w:p w14:paraId="61F49350"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GC–MS, ¹³C NMR</w:t>
            </w:r>
          </w:p>
        </w:tc>
      </w:tr>
      <w:tr w:rsidR="00B208F1" w:rsidRPr="00B208F1" w14:paraId="79268638" w14:textId="77777777" w:rsidTr="00B208F1">
        <w:tc>
          <w:tcPr>
            <w:tcW w:w="0" w:type="auto"/>
            <w:hideMark/>
          </w:tcPr>
          <w:p w14:paraId="4E5BA0FB"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lastRenderedPageBreak/>
              <w:t>19</w:t>
            </w:r>
          </w:p>
        </w:tc>
        <w:tc>
          <w:tcPr>
            <w:tcW w:w="0" w:type="auto"/>
            <w:hideMark/>
          </w:tcPr>
          <w:p w14:paraId="2C3B8F3B"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59.683</w:t>
            </w:r>
          </w:p>
        </w:tc>
        <w:tc>
          <w:tcPr>
            <w:tcW w:w="0" w:type="auto"/>
            <w:hideMark/>
          </w:tcPr>
          <w:p w14:paraId="03F2A04E"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Humulene</w:t>
            </w:r>
          </w:p>
        </w:tc>
        <w:tc>
          <w:tcPr>
            <w:tcW w:w="0" w:type="auto"/>
            <w:hideMark/>
          </w:tcPr>
          <w:p w14:paraId="0DFC89F6"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4.29</w:t>
            </w:r>
          </w:p>
        </w:tc>
        <w:tc>
          <w:tcPr>
            <w:tcW w:w="0" w:type="auto"/>
            <w:hideMark/>
          </w:tcPr>
          <w:p w14:paraId="2C4549A2" w14:textId="77777777" w:rsidR="00B208F1" w:rsidRPr="00B208F1" w:rsidRDefault="00B208F1" w:rsidP="00B208F1">
            <w:pPr>
              <w:jc w:val="center"/>
              <w:rPr>
                <w:rFonts w:ascii="Times New Roman" w:eastAsia="Times New Roman" w:hAnsi="Times New Roman" w:cs="Times New Roman"/>
                <w:lang w:eastAsia="fr-CI"/>
              </w:rPr>
            </w:pPr>
            <w:r w:rsidRPr="00B208F1">
              <w:rPr>
                <w:rFonts w:ascii="Times New Roman" w:eastAsia="Times New Roman" w:hAnsi="Times New Roman" w:cs="Times New Roman"/>
                <w:lang w:eastAsia="fr-CI"/>
              </w:rPr>
              <w:t>GC–M</w:t>
            </w:r>
          </w:p>
        </w:tc>
      </w:tr>
    </w:tbl>
    <w:p w14:paraId="4E7AAFEE" w14:textId="3C37695F" w:rsidR="00651AEE" w:rsidRDefault="00651AEE" w:rsidP="00651AEE">
      <w:pPr>
        <w:rPr>
          <w:rFonts w:ascii="Times New Roman" w:hAnsi="Times New Roman" w:cs="Times New Roman"/>
          <w:sz w:val="24"/>
          <w:szCs w:val="24"/>
        </w:rPr>
      </w:pPr>
    </w:p>
    <w:p w14:paraId="2AE9BA34" w14:textId="77777777" w:rsidR="003532D7" w:rsidRPr="003532D7" w:rsidRDefault="003532D7" w:rsidP="003532D7">
      <w:pPr>
        <w:rPr>
          <w:rFonts w:ascii="Times New Roman" w:hAnsi="Times New Roman" w:cs="Times New Roman"/>
          <w:b/>
          <w:bCs/>
          <w:sz w:val="24"/>
          <w:szCs w:val="24"/>
        </w:rPr>
      </w:pPr>
      <w:r w:rsidRPr="003532D7">
        <w:rPr>
          <w:rFonts w:ascii="Times New Roman" w:hAnsi="Times New Roman" w:cs="Times New Roman"/>
          <w:b/>
          <w:bCs/>
          <w:sz w:val="24"/>
          <w:szCs w:val="24"/>
        </w:rPr>
        <w:t>1.2. Antibacterial potential</w:t>
      </w:r>
    </w:p>
    <w:p w14:paraId="067C6B04" w14:textId="24A19418" w:rsidR="00D46ED8" w:rsidRDefault="003532D7" w:rsidP="003532D7">
      <w:pPr>
        <w:pStyle w:val="NormalWeb"/>
        <w:spacing w:line="360" w:lineRule="auto"/>
        <w:jc w:val="both"/>
      </w:pPr>
      <w:r>
        <w:t xml:space="preserve">This screening revealed variable sensitivities of the essential oil at 200 mg/mL against the bacterial strains studied (Table 2). The negative control used (Tween 80 and sterile distilled water) showed no effect against the tested bacterial strains. In contrast, the essential oil was active against all the bacterial strains tested. According to </w:t>
      </w:r>
      <w:r w:rsidRPr="003532D7">
        <w:rPr>
          <w:b/>
          <w:bCs/>
        </w:rPr>
        <w:t xml:space="preserve">Ponce </w:t>
      </w:r>
      <w:r w:rsidRPr="003532D7">
        <w:rPr>
          <w:rStyle w:val="Emphasis"/>
          <w:b/>
          <w:bCs/>
        </w:rPr>
        <w:t>et al.</w:t>
      </w:r>
      <w:r w:rsidRPr="003532D7">
        <w:rPr>
          <w:b/>
          <w:bCs/>
        </w:rPr>
        <w:t xml:space="preserve"> (2003)</w:t>
      </w:r>
      <w:r>
        <w:t>, a substance is considered active when its inhibition zone diameter against a bacterium is strictly greater than 9 mm. Thus, the antibacterial parameters were evaluated (Table 2). Based on the results, the essential oil exhibited strong antibacterial activity, with MIC and MBC values ranging from 3.125 to 6.25 mg/mL. This activity was found to be bactericidal against all tested bacterial strains (</w:t>
      </w:r>
      <w:r w:rsidRPr="001E009F">
        <w:rPr>
          <w:b/>
          <w:bCs/>
        </w:rPr>
        <w:t>Fauchère, 2002</w:t>
      </w:r>
      <w:r>
        <w:t>). The bactericidal effect could be attributed to the presence of secondary metabolites in the essential oil, such as terpenoid compounds, which are well known for their antimicrobial activity.</w:t>
      </w:r>
    </w:p>
    <w:p w14:paraId="3911675D" w14:textId="77777777" w:rsidR="003532D7" w:rsidRDefault="003532D7" w:rsidP="003532D7">
      <w:pPr>
        <w:pStyle w:val="NormalWeb"/>
      </w:pPr>
      <w:r>
        <w:rPr>
          <w:rStyle w:val="Strong"/>
        </w:rPr>
        <w:t xml:space="preserve">Table </w:t>
      </w:r>
      <w:proofErr w:type="gramStart"/>
      <w:r>
        <w:rPr>
          <w:rStyle w:val="Strong"/>
        </w:rPr>
        <w:t>2:</w:t>
      </w:r>
      <w:proofErr w:type="gramEnd"/>
      <w:r>
        <w:rPr>
          <w:rStyle w:val="Strong"/>
        </w:rPr>
        <w:t xml:space="preserve"> Inhibition zone diameters and antibacterial parameters of the essential oil</w:t>
      </w:r>
    </w:p>
    <w:tbl>
      <w:tblPr>
        <w:tblStyle w:val="TableGrid"/>
        <w:tblpPr w:leftFromText="180" w:rightFromText="180" w:vertAnchor="text" w:horzAnchor="margin" w:tblpY="141"/>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1133"/>
        <w:gridCol w:w="843"/>
        <w:gridCol w:w="1276"/>
        <w:gridCol w:w="1275"/>
        <w:gridCol w:w="993"/>
        <w:gridCol w:w="1701"/>
      </w:tblGrid>
      <w:tr w:rsidR="006707FB" w:rsidRPr="00D46ED8" w14:paraId="175FBC09" w14:textId="77777777" w:rsidTr="00A4569F">
        <w:tc>
          <w:tcPr>
            <w:tcW w:w="1705" w:type="dxa"/>
          </w:tcPr>
          <w:p w14:paraId="1DE0662F" w14:textId="77777777" w:rsidR="006707FB" w:rsidRPr="00D46ED8" w:rsidRDefault="006707FB" w:rsidP="00A4569F">
            <w:pPr>
              <w:spacing w:line="360" w:lineRule="auto"/>
              <w:jc w:val="both"/>
              <w:rPr>
                <w:rFonts w:ascii="Times New Roman" w:hAnsi="Times New Roman" w:cs="Times New Roman"/>
                <w:b/>
                <w:sz w:val="20"/>
                <w:szCs w:val="20"/>
                <w:lang w:val="fr-CI"/>
              </w:rPr>
            </w:pPr>
          </w:p>
        </w:tc>
        <w:tc>
          <w:tcPr>
            <w:tcW w:w="1976" w:type="dxa"/>
            <w:gridSpan w:val="2"/>
            <w:tcBorders>
              <w:top w:val="single" w:sz="4" w:space="0" w:color="auto"/>
              <w:bottom w:val="single" w:sz="4" w:space="0" w:color="auto"/>
            </w:tcBorders>
          </w:tcPr>
          <w:p w14:paraId="44BCD4B8" w14:textId="2B9914CD" w:rsidR="006707FB" w:rsidRPr="00D46ED8" w:rsidRDefault="006707FB" w:rsidP="00A4569F">
            <w:pPr>
              <w:spacing w:line="360" w:lineRule="auto"/>
              <w:jc w:val="center"/>
              <w:rPr>
                <w:rFonts w:ascii="Times New Roman" w:hAnsi="Times New Roman" w:cs="Times New Roman"/>
                <w:b/>
                <w:bCs/>
                <w:sz w:val="20"/>
                <w:szCs w:val="20"/>
                <w:lang w:val="fr-CI"/>
              </w:rPr>
            </w:pPr>
            <w:r w:rsidRPr="00D46ED8">
              <w:rPr>
                <w:rFonts w:ascii="Times New Roman" w:hAnsi="Times New Roman" w:cs="Times New Roman"/>
                <w:b/>
                <w:bCs/>
                <w:sz w:val="20"/>
                <w:szCs w:val="20"/>
              </w:rPr>
              <w:t>Inhibition zone diameter</w:t>
            </w:r>
            <w:r w:rsidRPr="00D46ED8">
              <w:rPr>
                <w:rFonts w:ascii="Times New Roman" w:hAnsi="Times New Roman" w:cs="Times New Roman"/>
                <w:b/>
                <w:bCs/>
                <w:sz w:val="20"/>
                <w:szCs w:val="20"/>
                <w:lang w:val="fr-CI"/>
              </w:rPr>
              <w:t xml:space="preserve"> </w:t>
            </w:r>
          </w:p>
        </w:tc>
        <w:tc>
          <w:tcPr>
            <w:tcW w:w="2551" w:type="dxa"/>
            <w:gridSpan w:val="2"/>
            <w:tcBorders>
              <w:top w:val="single" w:sz="4" w:space="0" w:color="auto"/>
              <w:bottom w:val="single" w:sz="4" w:space="0" w:color="auto"/>
            </w:tcBorders>
          </w:tcPr>
          <w:p w14:paraId="278F73D8" w14:textId="77777777" w:rsidR="006707FB" w:rsidRPr="00D46ED8" w:rsidRDefault="006707FB" w:rsidP="00A4569F">
            <w:pPr>
              <w:spacing w:line="360" w:lineRule="auto"/>
              <w:jc w:val="center"/>
              <w:rPr>
                <w:rFonts w:ascii="Times New Roman" w:hAnsi="Times New Roman" w:cs="Times New Roman"/>
                <w:b/>
                <w:bCs/>
                <w:sz w:val="20"/>
                <w:szCs w:val="20"/>
              </w:rPr>
            </w:pPr>
            <w:r w:rsidRPr="00D46ED8">
              <w:rPr>
                <w:rFonts w:ascii="Times New Roman" w:hAnsi="Times New Roman" w:cs="Times New Roman"/>
                <w:b/>
                <w:bCs/>
                <w:sz w:val="20"/>
                <w:szCs w:val="20"/>
              </w:rPr>
              <w:t>Antibacterial</w:t>
            </w:r>
          </w:p>
          <w:p w14:paraId="1B3960CD" w14:textId="54D26C3E" w:rsidR="006707FB" w:rsidRPr="00D46ED8" w:rsidRDefault="006707FB" w:rsidP="00A4569F">
            <w:pPr>
              <w:spacing w:line="360" w:lineRule="auto"/>
              <w:jc w:val="center"/>
              <w:rPr>
                <w:rFonts w:ascii="Times New Roman" w:hAnsi="Times New Roman" w:cs="Times New Roman"/>
                <w:b/>
                <w:sz w:val="20"/>
                <w:szCs w:val="20"/>
                <w:lang w:val="fr-CI"/>
              </w:rPr>
            </w:pPr>
            <w:r w:rsidRPr="00D46ED8">
              <w:rPr>
                <w:rFonts w:ascii="Times New Roman" w:hAnsi="Times New Roman" w:cs="Times New Roman"/>
                <w:b/>
                <w:bCs/>
                <w:sz w:val="20"/>
                <w:szCs w:val="20"/>
              </w:rPr>
              <w:t xml:space="preserve"> </w:t>
            </w:r>
            <w:proofErr w:type="gramStart"/>
            <w:r w:rsidRPr="00D46ED8">
              <w:rPr>
                <w:rFonts w:ascii="Times New Roman" w:hAnsi="Times New Roman" w:cs="Times New Roman"/>
                <w:b/>
                <w:bCs/>
                <w:sz w:val="20"/>
                <w:szCs w:val="20"/>
              </w:rPr>
              <w:t>parameters</w:t>
            </w:r>
            <w:proofErr w:type="gramEnd"/>
            <w:r w:rsidRPr="00D46ED8">
              <w:rPr>
                <w:rFonts w:ascii="Times New Roman" w:hAnsi="Times New Roman" w:cs="Times New Roman"/>
                <w:b/>
                <w:sz w:val="20"/>
                <w:szCs w:val="20"/>
                <w:lang w:val="fr-CI"/>
              </w:rPr>
              <w:t xml:space="preserve"> </w:t>
            </w:r>
          </w:p>
        </w:tc>
        <w:tc>
          <w:tcPr>
            <w:tcW w:w="993" w:type="dxa"/>
            <w:tcBorders>
              <w:bottom w:val="single" w:sz="4" w:space="0" w:color="auto"/>
            </w:tcBorders>
          </w:tcPr>
          <w:p w14:paraId="034356AB" w14:textId="77777777" w:rsidR="006707FB" w:rsidRPr="00D46ED8" w:rsidRDefault="006707FB" w:rsidP="00A4569F">
            <w:pPr>
              <w:spacing w:line="360" w:lineRule="auto"/>
              <w:jc w:val="center"/>
              <w:rPr>
                <w:rFonts w:ascii="Times New Roman" w:hAnsi="Times New Roman" w:cs="Times New Roman"/>
                <w:b/>
                <w:sz w:val="20"/>
                <w:szCs w:val="20"/>
                <w:lang w:val="fr-CI"/>
              </w:rPr>
            </w:pPr>
          </w:p>
        </w:tc>
        <w:tc>
          <w:tcPr>
            <w:tcW w:w="1701" w:type="dxa"/>
            <w:tcBorders>
              <w:bottom w:val="single" w:sz="4" w:space="0" w:color="auto"/>
            </w:tcBorders>
          </w:tcPr>
          <w:p w14:paraId="49608875" w14:textId="77777777" w:rsidR="006707FB" w:rsidRPr="00D46ED8" w:rsidRDefault="006707FB" w:rsidP="00A4569F">
            <w:pPr>
              <w:spacing w:line="360" w:lineRule="auto"/>
              <w:jc w:val="center"/>
              <w:rPr>
                <w:rFonts w:ascii="Times New Roman" w:hAnsi="Times New Roman" w:cs="Times New Roman"/>
                <w:b/>
                <w:sz w:val="20"/>
                <w:szCs w:val="20"/>
                <w:lang w:val="fr-CI"/>
              </w:rPr>
            </w:pPr>
          </w:p>
        </w:tc>
      </w:tr>
      <w:tr w:rsidR="006707FB" w:rsidRPr="00D46ED8" w14:paraId="27A5058F" w14:textId="77777777" w:rsidTr="00A4569F">
        <w:tc>
          <w:tcPr>
            <w:tcW w:w="1705" w:type="dxa"/>
            <w:tcBorders>
              <w:bottom w:val="single" w:sz="4" w:space="0" w:color="auto"/>
            </w:tcBorders>
          </w:tcPr>
          <w:p w14:paraId="4EBD7358" w14:textId="77777777" w:rsidR="006707FB" w:rsidRPr="00D46ED8" w:rsidRDefault="006707FB" w:rsidP="00A4569F">
            <w:pPr>
              <w:spacing w:line="360" w:lineRule="auto"/>
              <w:jc w:val="both"/>
              <w:rPr>
                <w:rFonts w:ascii="Times New Roman" w:hAnsi="Times New Roman" w:cs="Times New Roman"/>
                <w:b/>
                <w:sz w:val="20"/>
                <w:szCs w:val="20"/>
                <w:lang w:val="fr-CI"/>
              </w:rPr>
            </w:pPr>
          </w:p>
        </w:tc>
        <w:tc>
          <w:tcPr>
            <w:tcW w:w="1133" w:type="dxa"/>
            <w:tcBorders>
              <w:top w:val="single" w:sz="4" w:space="0" w:color="auto"/>
              <w:bottom w:val="single" w:sz="4" w:space="0" w:color="auto"/>
            </w:tcBorders>
          </w:tcPr>
          <w:p w14:paraId="54FEDB26" w14:textId="77777777" w:rsidR="006707FB" w:rsidRPr="00D46ED8" w:rsidRDefault="006707FB" w:rsidP="00A4569F">
            <w:pPr>
              <w:spacing w:line="360" w:lineRule="auto"/>
              <w:jc w:val="center"/>
              <w:rPr>
                <w:rFonts w:ascii="Times New Roman" w:hAnsi="Times New Roman" w:cs="Times New Roman"/>
                <w:b/>
                <w:sz w:val="20"/>
                <w:szCs w:val="20"/>
                <w:lang w:val="fr-CI"/>
              </w:rPr>
            </w:pPr>
            <w:r w:rsidRPr="00D46ED8">
              <w:rPr>
                <w:rFonts w:ascii="Times New Roman" w:hAnsi="Times New Roman" w:cs="Times New Roman"/>
                <w:b/>
                <w:sz w:val="20"/>
                <w:szCs w:val="20"/>
                <w:lang w:val="fr-CI"/>
              </w:rPr>
              <w:t>200 mg/ml</w:t>
            </w:r>
          </w:p>
        </w:tc>
        <w:tc>
          <w:tcPr>
            <w:tcW w:w="843" w:type="dxa"/>
            <w:tcBorders>
              <w:top w:val="single" w:sz="4" w:space="0" w:color="auto"/>
              <w:bottom w:val="single" w:sz="4" w:space="0" w:color="auto"/>
            </w:tcBorders>
          </w:tcPr>
          <w:p w14:paraId="502A1506" w14:textId="77777777" w:rsidR="006707FB" w:rsidRPr="00D46ED8" w:rsidRDefault="006707FB" w:rsidP="00A4569F">
            <w:pPr>
              <w:spacing w:line="360" w:lineRule="auto"/>
              <w:jc w:val="center"/>
              <w:rPr>
                <w:rFonts w:ascii="Times New Roman" w:hAnsi="Times New Roman" w:cs="Times New Roman"/>
                <w:b/>
                <w:sz w:val="20"/>
                <w:szCs w:val="20"/>
                <w:lang w:val="fr-CI"/>
              </w:rPr>
            </w:pPr>
            <w:r w:rsidRPr="00D46ED8">
              <w:rPr>
                <w:rFonts w:ascii="Times New Roman" w:hAnsi="Times New Roman" w:cs="Times New Roman"/>
                <w:b/>
                <w:sz w:val="20"/>
                <w:szCs w:val="20"/>
                <w:lang w:val="fr-CI"/>
              </w:rPr>
              <w:t>EDS</w:t>
            </w:r>
          </w:p>
        </w:tc>
        <w:tc>
          <w:tcPr>
            <w:tcW w:w="1276" w:type="dxa"/>
            <w:tcBorders>
              <w:top w:val="single" w:sz="4" w:space="0" w:color="auto"/>
              <w:bottom w:val="single" w:sz="4" w:space="0" w:color="auto"/>
            </w:tcBorders>
          </w:tcPr>
          <w:p w14:paraId="7975674F" w14:textId="77777777" w:rsidR="006707FB" w:rsidRPr="00D46ED8" w:rsidRDefault="006707FB" w:rsidP="00A4569F">
            <w:pPr>
              <w:spacing w:line="360" w:lineRule="auto"/>
              <w:jc w:val="center"/>
              <w:rPr>
                <w:rFonts w:ascii="Times New Roman" w:hAnsi="Times New Roman" w:cs="Times New Roman"/>
                <w:b/>
                <w:sz w:val="20"/>
                <w:szCs w:val="20"/>
                <w:lang w:val="fr-CI"/>
              </w:rPr>
            </w:pPr>
            <w:r w:rsidRPr="00D46ED8">
              <w:rPr>
                <w:rFonts w:ascii="Times New Roman" w:hAnsi="Times New Roman" w:cs="Times New Roman"/>
                <w:b/>
                <w:sz w:val="20"/>
                <w:szCs w:val="20"/>
                <w:lang w:val="fr-CI"/>
              </w:rPr>
              <w:t>CMI (mg/mL)</w:t>
            </w:r>
          </w:p>
        </w:tc>
        <w:tc>
          <w:tcPr>
            <w:tcW w:w="1275" w:type="dxa"/>
            <w:tcBorders>
              <w:top w:val="single" w:sz="4" w:space="0" w:color="auto"/>
              <w:bottom w:val="single" w:sz="4" w:space="0" w:color="auto"/>
            </w:tcBorders>
          </w:tcPr>
          <w:p w14:paraId="280943A0" w14:textId="77777777" w:rsidR="006707FB" w:rsidRPr="00D46ED8" w:rsidRDefault="006707FB" w:rsidP="00A4569F">
            <w:pPr>
              <w:spacing w:line="360" w:lineRule="auto"/>
              <w:jc w:val="center"/>
              <w:rPr>
                <w:rFonts w:ascii="Times New Roman" w:hAnsi="Times New Roman" w:cs="Times New Roman"/>
                <w:b/>
                <w:sz w:val="20"/>
                <w:szCs w:val="20"/>
                <w:lang w:val="fr-CI"/>
              </w:rPr>
            </w:pPr>
            <w:r w:rsidRPr="00D46ED8">
              <w:rPr>
                <w:rFonts w:ascii="Times New Roman" w:hAnsi="Times New Roman" w:cs="Times New Roman"/>
                <w:b/>
                <w:sz w:val="20"/>
                <w:szCs w:val="20"/>
                <w:lang w:val="fr-CI"/>
              </w:rPr>
              <w:t>CMB (mg/mL)</w:t>
            </w:r>
          </w:p>
        </w:tc>
        <w:tc>
          <w:tcPr>
            <w:tcW w:w="993" w:type="dxa"/>
            <w:tcBorders>
              <w:top w:val="single" w:sz="4" w:space="0" w:color="auto"/>
              <w:bottom w:val="single" w:sz="4" w:space="0" w:color="auto"/>
            </w:tcBorders>
          </w:tcPr>
          <w:p w14:paraId="067429C5" w14:textId="77777777" w:rsidR="006707FB" w:rsidRPr="00D46ED8" w:rsidRDefault="006707FB" w:rsidP="00A4569F">
            <w:pPr>
              <w:spacing w:line="360" w:lineRule="auto"/>
              <w:jc w:val="center"/>
              <w:rPr>
                <w:rFonts w:ascii="Times New Roman" w:hAnsi="Times New Roman" w:cs="Times New Roman"/>
                <w:b/>
                <w:sz w:val="20"/>
                <w:szCs w:val="20"/>
                <w:lang w:val="fr-CI"/>
              </w:rPr>
            </w:pPr>
            <w:r w:rsidRPr="00D46ED8">
              <w:rPr>
                <w:rFonts w:ascii="Times New Roman" w:hAnsi="Times New Roman" w:cs="Times New Roman"/>
                <w:b/>
                <w:sz w:val="20"/>
                <w:szCs w:val="20"/>
                <w:lang w:val="fr-CI"/>
              </w:rPr>
              <w:t>CMB/CMI</w:t>
            </w:r>
          </w:p>
        </w:tc>
        <w:tc>
          <w:tcPr>
            <w:tcW w:w="1701" w:type="dxa"/>
            <w:tcBorders>
              <w:top w:val="single" w:sz="4" w:space="0" w:color="auto"/>
              <w:bottom w:val="single" w:sz="4" w:space="0" w:color="auto"/>
            </w:tcBorders>
          </w:tcPr>
          <w:p w14:paraId="31731979" w14:textId="312104A4" w:rsidR="006707FB" w:rsidRPr="00D46ED8" w:rsidRDefault="006707FB" w:rsidP="00A4569F">
            <w:pPr>
              <w:spacing w:line="360" w:lineRule="auto"/>
              <w:jc w:val="center"/>
              <w:rPr>
                <w:rFonts w:ascii="Times New Roman" w:hAnsi="Times New Roman" w:cs="Times New Roman"/>
                <w:b/>
                <w:sz w:val="20"/>
                <w:szCs w:val="20"/>
                <w:lang w:val="fr-CI"/>
              </w:rPr>
            </w:pPr>
            <w:r w:rsidRPr="00D46ED8">
              <w:rPr>
                <w:rFonts w:ascii="Times New Roman" w:hAnsi="Times New Roman" w:cs="Times New Roman"/>
                <w:b/>
                <w:sz w:val="20"/>
                <w:szCs w:val="20"/>
                <w:lang w:val="fr-CI"/>
              </w:rPr>
              <w:t>Interpr</w:t>
            </w:r>
            <w:r w:rsidR="00A66B27" w:rsidRPr="00D46ED8">
              <w:rPr>
                <w:rFonts w:ascii="Times New Roman" w:hAnsi="Times New Roman" w:cs="Times New Roman"/>
                <w:b/>
                <w:sz w:val="20"/>
                <w:szCs w:val="20"/>
                <w:lang w:val="fr-CI"/>
              </w:rPr>
              <w:t>e</w:t>
            </w:r>
            <w:r w:rsidRPr="00D46ED8">
              <w:rPr>
                <w:rFonts w:ascii="Times New Roman" w:hAnsi="Times New Roman" w:cs="Times New Roman"/>
                <w:b/>
                <w:sz w:val="20"/>
                <w:szCs w:val="20"/>
                <w:lang w:val="fr-CI"/>
              </w:rPr>
              <w:t>tation</w:t>
            </w:r>
          </w:p>
        </w:tc>
      </w:tr>
      <w:tr w:rsidR="006707FB" w:rsidRPr="00D46ED8" w14:paraId="5DA48680" w14:textId="77777777" w:rsidTr="00A4569F">
        <w:tc>
          <w:tcPr>
            <w:tcW w:w="1705" w:type="dxa"/>
            <w:tcBorders>
              <w:top w:val="single" w:sz="4" w:space="0" w:color="auto"/>
            </w:tcBorders>
          </w:tcPr>
          <w:p w14:paraId="00D3072F" w14:textId="77777777" w:rsidR="006707FB" w:rsidRPr="00D46ED8" w:rsidRDefault="006707FB" w:rsidP="00A4569F">
            <w:pPr>
              <w:spacing w:line="360" w:lineRule="auto"/>
              <w:jc w:val="both"/>
              <w:rPr>
                <w:rFonts w:ascii="Times New Roman" w:hAnsi="Times New Roman" w:cs="Times New Roman"/>
                <w:i/>
                <w:sz w:val="20"/>
                <w:szCs w:val="20"/>
              </w:rPr>
            </w:pPr>
            <w:proofErr w:type="gramStart"/>
            <w:r w:rsidRPr="00D46ED8">
              <w:rPr>
                <w:rFonts w:ascii="Times New Roman" w:hAnsi="Times New Roman" w:cs="Times New Roman"/>
                <w:i/>
                <w:sz w:val="20"/>
                <w:szCs w:val="20"/>
              </w:rPr>
              <w:t>S.aureus</w:t>
            </w:r>
            <w:proofErr w:type="gramEnd"/>
            <w:r w:rsidRPr="00D46ED8">
              <w:rPr>
                <w:rFonts w:ascii="Times New Roman" w:hAnsi="Times New Roman" w:cs="Times New Roman"/>
                <w:i/>
                <w:sz w:val="20"/>
                <w:szCs w:val="20"/>
              </w:rPr>
              <w:t xml:space="preserve"> </w:t>
            </w:r>
            <w:r w:rsidRPr="00D46ED8">
              <w:rPr>
                <w:rFonts w:ascii="Times New Roman" w:hAnsi="Times New Roman" w:cs="Times New Roman"/>
                <w:sz w:val="20"/>
                <w:szCs w:val="20"/>
              </w:rPr>
              <w:t>ATCC 25923</w:t>
            </w:r>
          </w:p>
        </w:tc>
        <w:tc>
          <w:tcPr>
            <w:tcW w:w="1133" w:type="dxa"/>
            <w:tcBorders>
              <w:top w:val="single" w:sz="4" w:space="0" w:color="auto"/>
            </w:tcBorders>
          </w:tcPr>
          <w:p w14:paraId="3AC74D72" w14:textId="77777777" w:rsidR="006707FB" w:rsidRPr="00D46ED8" w:rsidRDefault="006707FB" w:rsidP="00A4569F">
            <w:pPr>
              <w:spacing w:line="360" w:lineRule="auto"/>
              <w:jc w:val="center"/>
              <w:rPr>
                <w:rFonts w:ascii="Times New Roman" w:hAnsi="Times New Roman" w:cs="Times New Roman"/>
                <w:sz w:val="20"/>
                <w:szCs w:val="20"/>
              </w:rPr>
            </w:pPr>
            <w:r w:rsidRPr="00D46ED8">
              <w:rPr>
                <w:rFonts w:ascii="Times New Roman" w:hAnsi="Times New Roman" w:cs="Times New Roman"/>
                <w:sz w:val="20"/>
                <w:szCs w:val="20"/>
                <w:lang w:val="fr-CI"/>
              </w:rPr>
              <w:t>27</w:t>
            </w:r>
            <w:r w:rsidRPr="00D46ED8">
              <w:rPr>
                <w:rFonts w:ascii="Times New Roman" w:hAnsi="Times New Roman" w:cs="Times New Roman"/>
                <w:sz w:val="20"/>
                <w:szCs w:val="20"/>
              </w:rPr>
              <w:t>±0,5</w:t>
            </w:r>
          </w:p>
        </w:tc>
        <w:tc>
          <w:tcPr>
            <w:tcW w:w="843" w:type="dxa"/>
            <w:tcBorders>
              <w:top w:val="single" w:sz="4" w:space="0" w:color="auto"/>
            </w:tcBorders>
          </w:tcPr>
          <w:p w14:paraId="0AF2F12D"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06</w:t>
            </w:r>
            <w:r w:rsidRPr="00D46ED8">
              <w:rPr>
                <w:rFonts w:ascii="Times New Roman" w:hAnsi="Times New Roman" w:cs="Times New Roman"/>
                <w:sz w:val="20"/>
                <w:szCs w:val="20"/>
              </w:rPr>
              <w:t>±0</w:t>
            </w:r>
          </w:p>
        </w:tc>
        <w:tc>
          <w:tcPr>
            <w:tcW w:w="1276" w:type="dxa"/>
            <w:tcBorders>
              <w:top w:val="single" w:sz="4" w:space="0" w:color="auto"/>
            </w:tcBorders>
          </w:tcPr>
          <w:p w14:paraId="251AF35D"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3,125</w:t>
            </w:r>
          </w:p>
        </w:tc>
        <w:tc>
          <w:tcPr>
            <w:tcW w:w="1275" w:type="dxa"/>
            <w:tcBorders>
              <w:top w:val="single" w:sz="4" w:space="0" w:color="auto"/>
            </w:tcBorders>
          </w:tcPr>
          <w:p w14:paraId="15F6EA1D"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3,125</w:t>
            </w:r>
          </w:p>
        </w:tc>
        <w:tc>
          <w:tcPr>
            <w:tcW w:w="993" w:type="dxa"/>
            <w:tcBorders>
              <w:top w:val="single" w:sz="4" w:space="0" w:color="auto"/>
            </w:tcBorders>
          </w:tcPr>
          <w:p w14:paraId="3C801E45"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1</w:t>
            </w:r>
          </w:p>
        </w:tc>
        <w:tc>
          <w:tcPr>
            <w:tcW w:w="1701" w:type="dxa"/>
            <w:tcBorders>
              <w:top w:val="single" w:sz="4" w:space="0" w:color="auto"/>
            </w:tcBorders>
          </w:tcPr>
          <w:p w14:paraId="1A161EB3" w14:textId="3FCBD038" w:rsidR="006707FB" w:rsidRPr="00D46ED8" w:rsidRDefault="00D46ED8"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Bactericidal</w:t>
            </w:r>
          </w:p>
        </w:tc>
      </w:tr>
      <w:tr w:rsidR="006707FB" w:rsidRPr="00D46ED8" w14:paraId="6BC45566" w14:textId="77777777" w:rsidTr="00A4569F">
        <w:tc>
          <w:tcPr>
            <w:tcW w:w="1705" w:type="dxa"/>
          </w:tcPr>
          <w:p w14:paraId="0BC8D5AA" w14:textId="77777777" w:rsidR="006707FB" w:rsidRPr="00D46ED8" w:rsidRDefault="006707FB" w:rsidP="00A4569F">
            <w:pPr>
              <w:spacing w:line="360" w:lineRule="auto"/>
              <w:jc w:val="both"/>
              <w:rPr>
                <w:rFonts w:ascii="Times New Roman" w:hAnsi="Times New Roman" w:cs="Times New Roman"/>
                <w:b/>
                <w:sz w:val="20"/>
                <w:szCs w:val="20"/>
                <w:lang w:val="fr-CI"/>
              </w:rPr>
            </w:pPr>
            <w:proofErr w:type="gramStart"/>
            <w:r w:rsidRPr="00D46ED8">
              <w:rPr>
                <w:rFonts w:ascii="Times New Roman" w:hAnsi="Times New Roman" w:cs="Times New Roman"/>
                <w:i/>
                <w:sz w:val="20"/>
                <w:szCs w:val="20"/>
              </w:rPr>
              <w:t>S.aureus</w:t>
            </w:r>
            <w:proofErr w:type="gramEnd"/>
            <w:r w:rsidRPr="00D46ED8">
              <w:rPr>
                <w:rFonts w:ascii="Times New Roman" w:hAnsi="Times New Roman" w:cs="Times New Roman"/>
                <w:i/>
                <w:sz w:val="20"/>
                <w:szCs w:val="20"/>
              </w:rPr>
              <w:t xml:space="preserve"> </w:t>
            </w:r>
            <w:r w:rsidRPr="00D46ED8">
              <w:rPr>
                <w:rFonts w:ascii="Times New Roman" w:hAnsi="Times New Roman" w:cs="Times New Roman"/>
                <w:sz w:val="20"/>
                <w:szCs w:val="20"/>
              </w:rPr>
              <w:t>2247C/24</w:t>
            </w:r>
          </w:p>
        </w:tc>
        <w:tc>
          <w:tcPr>
            <w:tcW w:w="1133" w:type="dxa"/>
          </w:tcPr>
          <w:p w14:paraId="32B98338"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29±1</w:t>
            </w:r>
          </w:p>
        </w:tc>
        <w:tc>
          <w:tcPr>
            <w:tcW w:w="843" w:type="dxa"/>
          </w:tcPr>
          <w:p w14:paraId="11EBD87C"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06</w:t>
            </w:r>
            <w:r w:rsidRPr="00D46ED8">
              <w:rPr>
                <w:rFonts w:ascii="Times New Roman" w:hAnsi="Times New Roman" w:cs="Times New Roman"/>
                <w:sz w:val="20"/>
                <w:szCs w:val="20"/>
              </w:rPr>
              <w:t>±0</w:t>
            </w:r>
          </w:p>
        </w:tc>
        <w:tc>
          <w:tcPr>
            <w:tcW w:w="1276" w:type="dxa"/>
          </w:tcPr>
          <w:p w14:paraId="1FDCB80F"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3,125</w:t>
            </w:r>
          </w:p>
        </w:tc>
        <w:tc>
          <w:tcPr>
            <w:tcW w:w="1275" w:type="dxa"/>
          </w:tcPr>
          <w:p w14:paraId="718DD4F6"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3,125</w:t>
            </w:r>
          </w:p>
        </w:tc>
        <w:tc>
          <w:tcPr>
            <w:tcW w:w="993" w:type="dxa"/>
          </w:tcPr>
          <w:p w14:paraId="692FE670"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1</w:t>
            </w:r>
          </w:p>
        </w:tc>
        <w:tc>
          <w:tcPr>
            <w:tcW w:w="1701" w:type="dxa"/>
          </w:tcPr>
          <w:p w14:paraId="6DA8474D" w14:textId="1EFCB8E0" w:rsidR="006707FB" w:rsidRPr="00D46ED8" w:rsidRDefault="00D46ED8"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Bactericidal</w:t>
            </w:r>
          </w:p>
        </w:tc>
      </w:tr>
      <w:tr w:rsidR="006707FB" w:rsidRPr="00D46ED8" w14:paraId="4652191F" w14:textId="77777777" w:rsidTr="00A4569F">
        <w:tc>
          <w:tcPr>
            <w:tcW w:w="1705" w:type="dxa"/>
          </w:tcPr>
          <w:p w14:paraId="660D10C8" w14:textId="77777777" w:rsidR="006707FB" w:rsidRPr="00D46ED8" w:rsidRDefault="006707FB" w:rsidP="00A4569F">
            <w:pPr>
              <w:spacing w:line="360" w:lineRule="auto"/>
              <w:jc w:val="both"/>
              <w:rPr>
                <w:rFonts w:ascii="Times New Roman" w:hAnsi="Times New Roman" w:cs="Times New Roman"/>
                <w:b/>
                <w:sz w:val="20"/>
                <w:szCs w:val="20"/>
                <w:lang w:val="fr-CI"/>
              </w:rPr>
            </w:pPr>
            <w:proofErr w:type="gramStart"/>
            <w:r w:rsidRPr="00D46ED8">
              <w:rPr>
                <w:rFonts w:ascii="Times New Roman" w:hAnsi="Times New Roman" w:cs="Times New Roman"/>
                <w:i/>
                <w:sz w:val="20"/>
                <w:szCs w:val="20"/>
              </w:rPr>
              <w:t>S.sp</w:t>
            </w:r>
            <w:proofErr w:type="gramEnd"/>
            <w:r w:rsidRPr="00D46ED8">
              <w:rPr>
                <w:rFonts w:ascii="Times New Roman" w:hAnsi="Times New Roman" w:cs="Times New Roman"/>
                <w:i/>
                <w:sz w:val="20"/>
                <w:szCs w:val="20"/>
              </w:rPr>
              <w:t xml:space="preserve"> </w:t>
            </w:r>
            <w:r w:rsidRPr="00D46ED8">
              <w:rPr>
                <w:rFonts w:ascii="Times New Roman" w:hAnsi="Times New Roman" w:cs="Times New Roman"/>
                <w:sz w:val="20"/>
                <w:szCs w:val="20"/>
              </w:rPr>
              <w:t>2101PIS/24</w:t>
            </w:r>
          </w:p>
        </w:tc>
        <w:tc>
          <w:tcPr>
            <w:tcW w:w="1133" w:type="dxa"/>
          </w:tcPr>
          <w:p w14:paraId="1E49A3B2"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26±0,58</w:t>
            </w:r>
          </w:p>
        </w:tc>
        <w:tc>
          <w:tcPr>
            <w:tcW w:w="843" w:type="dxa"/>
          </w:tcPr>
          <w:p w14:paraId="0A19B1BE"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06</w:t>
            </w:r>
            <w:r w:rsidRPr="00D46ED8">
              <w:rPr>
                <w:rFonts w:ascii="Times New Roman" w:hAnsi="Times New Roman" w:cs="Times New Roman"/>
                <w:sz w:val="20"/>
                <w:szCs w:val="20"/>
              </w:rPr>
              <w:t>±0</w:t>
            </w:r>
          </w:p>
        </w:tc>
        <w:tc>
          <w:tcPr>
            <w:tcW w:w="1276" w:type="dxa"/>
          </w:tcPr>
          <w:p w14:paraId="16C483D8"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1275" w:type="dxa"/>
          </w:tcPr>
          <w:p w14:paraId="0C02A354"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993" w:type="dxa"/>
          </w:tcPr>
          <w:p w14:paraId="5C408749"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1</w:t>
            </w:r>
          </w:p>
        </w:tc>
        <w:tc>
          <w:tcPr>
            <w:tcW w:w="1701" w:type="dxa"/>
          </w:tcPr>
          <w:p w14:paraId="3292D715" w14:textId="71FC9460" w:rsidR="006707FB" w:rsidRPr="00D46ED8" w:rsidRDefault="00D46ED8"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Bactericidal</w:t>
            </w:r>
          </w:p>
        </w:tc>
      </w:tr>
      <w:tr w:rsidR="006707FB" w:rsidRPr="00D46ED8" w14:paraId="765163C9" w14:textId="77777777" w:rsidTr="00A4569F">
        <w:tc>
          <w:tcPr>
            <w:tcW w:w="1705" w:type="dxa"/>
            <w:shd w:val="clear" w:color="auto" w:fill="FFFFFF" w:themeFill="background1"/>
          </w:tcPr>
          <w:p w14:paraId="569A8198" w14:textId="77777777" w:rsidR="006707FB" w:rsidRPr="00D46ED8" w:rsidRDefault="006707FB" w:rsidP="00A4569F">
            <w:pPr>
              <w:spacing w:line="360" w:lineRule="auto"/>
              <w:jc w:val="both"/>
              <w:rPr>
                <w:rFonts w:ascii="Times New Roman" w:hAnsi="Times New Roman" w:cs="Times New Roman"/>
                <w:sz w:val="20"/>
                <w:szCs w:val="20"/>
              </w:rPr>
            </w:pPr>
            <w:proofErr w:type="gramStart"/>
            <w:r w:rsidRPr="00D46ED8">
              <w:rPr>
                <w:rFonts w:ascii="Times New Roman" w:hAnsi="Times New Roman" w:cs="Times New Roman"/>
                <w:i/>
                <w:sz w:val="20"/>
                <w:szCs w:val="20"/>
              </w:rPr>
              <w:t>E.coli</w:t>
            </w:r>
            <w:proofErr w:type="gramEnd"/>
            <w:r w:rsidRPr="00D46ED8">
              <w:rPr>
                <w:rFonts w:ascii="Times New Roman" w:hAnsi="Times New Roman" w:cs="Times New Roman"/>
                <w:sz w:val="20"/>
                <w:szCs w:val="20"/>
              </w:rPr>
              <w:t xml:space="preserve"> 2811C/24</w:t>
            </w:r>
          </w:p>
        </w:tc>
        <w:tc>
          <w:tcPr>
            <w:tcW w:w="1133" w:type="dxa"/>
          </w:tcPr>
          <w:p w14:paraId="006A7B11"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18±1</w:t>
            </w:r>
          </w:p>
        </w:tc>
        <w:tc>
          <w:tcPr>
            <w:tcW w:w="843" w:type="dxa"/>
          </w:tcPr>
          <w:p w14:paraId="0FFFDC4C"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06</w:t>
            </w:r>
            <w:r w:rsidRPr="00D46ED8">
              <w:rPr>
                <w:rFonts w:ascii="Times New Roman" w:hAnsi="Times New Roman" w:cs="Times New Roman"/>
                <w:sz w:val="20"/>
                <w:szCs w:val="20"/>
              </w:rPr>
              <w:t>±0</w:t>
            </w:r>
          </w:p>
        </w:tc>
        <w:tc>
          <w:tcPr>
            <w:tcW w:w="1276" w:type="dxa"/>
          </w:tcPr>
          <w:p w14:paraId="65B30E06"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1275" w:type="dxa"/>
          </w:tcPr>
          <w:p w14:paraId="212DED49"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993" w:type="dxa"/>
          </w:tcPr>
          <w:p w14:paraId="79F4D74B"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1</w:t>
            </w:r>
          </w:p>
        </w:tc>
        <w:tc>
          <w:tcPr>
            <w:tcW w:w="1701" w:type="dxa"/>
          </w:tcPr>
          <w:p w14:paraId="40F446EA" w14:textId="14D50966" w:rsidR="006707FB" w:rsidRPr="00D46ED8" w:rsidRDefault="00D46ED8"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Bactericidal</w:t>
            </w:r>
          </w:p>
        </w:tc>
      </w:tr>
      <w:tr w:rsidR="006707FB" w:rsidRPr="00D46ED8" w14:paraId="0CE31B96" w14:textId="77777777" w:rsidTr="00A4569F">
        <w:tc>
          <w:tcPr>
            <w:tcW w:w="1705" w:type="dxa"/>
            <w:shd w:val="clear" w:color="auto" w:fill="FFFFFF" w:themeFill="background1"/>
          </w:tcPr>
          <w:p w14:paraId="2B6DFBA0" w14:textId="77777777" w:rsidR="006707FB" w:rsidRPr="00D46ED8" w:rsidRDefault="006707FB" w:rsidP="00A4569F">
            <w:pPr>
              <w:spacing w:line="360" w:lineRule="auto"/>
              <w:jc w:val="both"/>
              <w:rPr>
                <w:rFonts w:ascii="Times New Roman" w:hAnsi="Times New Roman" w:cs="Times New Roman"/>
                <w:sz w:val="20"/>
                <w:szCs w:val="20"/>
                <w:highlight w:val="yellow"/>
              </w:rPr>
            </w:pPr>
            <w:proofErr w:type="gramStart"/>
            <w:r w:rsidRPr="00D46ED8">
              <w:rPr>
                <w:rFonts w:ascii="Times New Roman" w:hAnsi="Times New Roman" w:cs="Times New Roman"/>
                <w:i/>
                <w:sz w:val="20"/>
                <w:szCs w:val="20"/>
              </w:rPr>
              <w:t>K.pneu</w:t>
            </w:r>
            <w:proofErr w:type="gramEnd"/>
            <w:r w:rsidRPr="00D46ED8">
              <w:rPr>
                <w:rFonts w:ascii="Times New Roman" w:hAnsi="Times New Roman" w:cs="Times New Roman"/>
                <w:i/>
                <w:sz w:val="20"/>
                <w:szCs w:val="20"/>
              </w:rPr>
              <w:t xml:space="preserve">. </w:t>
            </w:r>
            <w:r w:rsidRPr="00D46ED8">
              <w:rPr>
                <w:rFonts w:ascii="Times New Roman" w:hAnsi="Times New Roman" w:cs="Times New Roman"/>
                <w:sz w:val="20"/>
                <w:szCs w:val="20"/>
              </w:rPr>
              <w:t>2701C/24</w:t>
            </w:r>
          </w:p>
        </w:tc>
        <w:tc>
          <w:tcPr>
            <w:tcW w:w="1133" w:type="dxa"/>
          </w:tcPr>
          <w:p w14:paraId="355AE84A" w14:textId="77777777" w:rsidR="006707FB" w:rsidRPr="00D46ED8" w:rsidRDefault="006707FB" w:rsidP="00A4569F">
            <w:pPr>
              <w:spacing w:line="360" w:lineRule="auto"/>
              <w:jc w:val="center"/>
              <w:rPr>
                <w:rFonts w:ascii="Times New Roman" w:hAnsi="Times New Roman" w:cs="Times New Roman"/>
                <w:sz w:val="20"/>
                <w:szCs w:val="20"/>
              </w:rPr>
            </w:pPr>
            <w:r w:rsidRPr="00D46ED8">
              <w:rPr>
                <w:rFonts w:ascii="Times New Roman" w:hAnsi="Times New Roman" w:cs="Times New Roman"/>
                <w:sz w:val="20"/>
                <w:szCs w:val="20"/>
              </w:rPr>
              <w:t>15±1</w:t>
            </w:r>
          </w:p>
        </w:tc>
        <w:tc>
          <w:tcPr>
            <w:tcW w:w="843" w:type="dxa"/>
          </w:tcPr>
          <w:p w14:paraId="7B8E3D70" w14:textId="77777777" w:rsidR="006707FB" w:rsidRPr="00D46ED8" w:rsidRDefault="006707FB" w:rsidP="00A4569F">
            <w:pPr>
              <w:spacing w:line="360" w:lineRule="auto"/>
              <w:jc w:val="center"/>
              <w:rPr>
                <w:rFonts w:ascii="Times New Roman" w:hAnsi="Times New Roman" w:cs="Times New Roman"/>
                <w:sz w:val="20"/>
                <w:szCs w:val="20"/>
              </w:rPr>
            </w:pPr>
            <w:r w:rsidRPr="00D46ED8">
              <w:rPr>
                <w:rFonts w:ascii="Times New Roman" w:hAnsi="Times New Roman" w:cs="Times New Roman"/>
                <w:sz w:val="20"/>
                <w:szCs w:val="20"/>
                <w:lang w:val="fr-CI"/>
              </w:rPr>
              <w:t>06</w:t>
            </w:r>
            <w:r w:rsidRPr="00D46ED8">
              <w:rPr>
                <w:rFonts w:ascii="Times New Roman" w:hAnsi="Times New Roman" w:cs="Times New Roman"/>
                <w:sz w:val="20"/>
                <w:szCs w:val="20"/>
              </w:rPr>
              <w:t>±0</w:t>
            </w:r>
          </w:p>
        </w:tc>
        <w:tc>
          <w:tcPr>
            <w:tcW w:w="1276" w:type="dxa"/>
          </w:tcPr>
          <w:p w14:paraId="1AD7FABC"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1275" w:type="dxa"/>
          </w:tcPr>
          <w:p w14:paraId="6ABABA50"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993" w:type="dxa"/>
          </w:tcPr>
          <w:p w14:paraId="188A7BDC"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1</w:t>
            </w:r>
          </w:p>
        </w:tc>
        <w:tc>
          <w:tcPr>
            <w:tcW w:w="1701" w:type="dxa"/>
          </w:tcPr>
          <w:p w14:paraId="13BE76E0" w14:textId="79F4C5A2" w:rsidR="006707FB" w:rsidRPr="00D46ED8" w:rsidRDefault="00D46ED8"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Bactericidal</w:t>
            </w:r>
          </w:p>
        </w:tc>
      </w:tr>
      <w:tr w:rsidR="006707FB" w:rsidRPr="00D46ED8" w14:paraId="76E28D22" w14:textId="77777777" w:rsidTr="00A4569F">
        <w:tc>
          <w:tcPr>
            <w:tcW w:w="1705" w:type="dxa"/>
            <w:shd w:val="clear" w:color="auto" w:fill="FFFFFF" w:themeFill="background1"/>
          </w:tcPr>
          <w:p w14:paraId="7FA60368" w14:textId="77777777" w:rsidR="006707FB" w:rsidRPr="00D46ED8" w:rsidRDefault="006707FB" w:rsidP="00A4569F">
            <w:pPr>
              <w:spacing w:line="360" w:lineRule="auto"/>
              <w:jc w:val="both"/>
              <w:rPr>
                <w:rFonts w:ascii="Times New Roman" w:hAnsi="Times New Roman" w:cs="Times New Roman"/>
                <w:sz w:val="20"/>
                <w:szCs w:val="20"/>
              </w:rPr>
            </w:pPr>
            <w:r w:rsidRPr="00D46ED8">
              <w:rPr>
                <w:rFonts w:ascii="Times New Roman" w:hAnsi="Times New Roman" w:cs="Times New Roman"/>
                <w:i/>
                <w:sz w:val="20"/>
                <w:szCs w:val="20"/>
              </w:rPr>
              <w:t xml:space="preserve">Yer.sp </w:t>
            </w:r>
            <w:r w:rsidRPr="00D46ED8">
              <w:rPr>
                <w:rFonts w:ascii="Times New Roman" w:hAnsi="Times New Roman" w:cs="Times New Roman"/>
                <w:sz w:val="20"/>
                <w:szCs w:val="20"/>
              </w:rPr>
              <w:t>2340PIS/24</w:t>
            </w:r>
          </w:p>
        </w:tc>
        <w:tc>
          <w:tcPr>
            <w:tcW w:w="1133" w:type="dxa"/>
          </w:tcPr>
          <w:p w14:paraId="1EDDBCA5" w14:textId="77777777" w:rsidR="006707FB" w:rsidRPr="00D46ED8" w:rsidRDefault="006707FB" w:rsidP="00A4569F">
            <w:pPr>
              <w:spacing w:line="360" w:lineRule="auto"/>
              <w:jc w:val="center"/>
              <w:rPr>
                <w:rFonts w:ascii="Times New Roman" w:hAnsi="Times New Roman" w:cs="Times New Roman"/>
                <w:sz w:val="20"/>
                <w:szCs w:val="20"/>
              </w:rPr>
            </w:pPr>
            <w:r w:rsidRPr="00D46ED8">
              <w:rPr>
                <w:rFonts w:ascii="Times New Roman" w:hAnsi="Times New Roman" w:cs="Times New Roman"/>
                <w:sz w:val="20"/>
                <w:szCs w:val="20"/>
              </w:rPr>
              <w:t>23,5±0,5</w:t>
            </w:r>
          </w:p>
        </w:tc>
        <w:tc>
          <w:tcPr>
            <w:tcW w:w="843" w:type="dxa"/>
          </w:tcPr>
          <w:p w14:paraId="3B9AD631" w14:textId="77777777" w:rsidR="006707FB" w:rsidRPr="00D46ED8" w:rsidRDefault="006707FB" w:rsidP="00A4569F">
            <w:pPr>
              <w:spacing w:line="360" w:lineRule="auto"/>
              <w:jc w:val="center"/>
              <w:rPr>
                <w:rFonts w:ascii="Times New Roman" w:hAnsi="Times New Roman" w:cs="Times New Roman"/>
                <w:sz w:val="20"/>
                <w:szCs w:val="20"/>
              </w:rPr>
            </w:pPr>
            <w:r w:rsidRPr="00D46ED8">
              <w:rPr>
                <w:rFonts w:ascii="Times New Roman" w:hAnsi="Times New Roman" w:cs="Times New Roman"/>
                <w:sz w:val="20"/>
                <w:szCs w:val="20"/>
                <w:lang w:val="fr-CI"/>
              </w:rPr>
              <w:t>06</w:t>
            </w:r>
            <w:r w:rsidRPr="00D46ED8">
              <w:rPr>
                <w:rFonts w:ascii="Times New Roman" w:hAnsi="Times New Roman" w:cs="Times New Roman"/>
                <w:sz w:val="20"/>
                <w:szCs w:val="20"/>
              </w:rPr>
              <w:t>±0</w:t>
            </w:r>
          </w:p>
        </w:tc>
        <w:tc>
          <w:tcPr>
            <w:tcW w:w="1276" w:type="dxa"/>
          </w:tcPr>
          <w:p w14:paraId="3E17DDE2"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1275" w:type="dxa"/>
          </w:tcPr>
          <w:p w14:paraId="34A7F6E7"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993" w:type="dxa"/>
          </w:tcPr>
          <w:p w14:paraId="2AB7C08E"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1</w:t>
            </w:r>
          </w:p>
        </w:tc>
        <w:tc>
          <w:tcPr>
            <w:tcW w:w="1701" w:type="dxa"/>
          </w:tcPr>
          <w:p w14:paraId="6662C9BF" w14:textId="2F9D1F80" w:rsidR="006707FB" w:rsidRPr="00D46ED8" w:rsidRDefault="00D46ED8"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Bactericidal</w:t>
            </w:r>
          </w:p>
        </w:tc>
      </w:tr>
      <w:tr w:rsidR="006707FB" w:rsidRPr="00D46ED8" w14:paraId="72C5F1AF" w14:textId="77777777" w:rsidTr="00A4569F">
        <w:tc>
          <w:tcPr>
            <w:tcW w:w="1705" w:type="dxa"/>
          </w:tcPr>
          <w:p w14:paraId="6C4D4F01" w14:textId="77777777" w:rsidR="006707FB" w:rsidRPr="00D46ED8" w:rsidRDefault="006707FB" w:rsidP="00A4569F">
            <w:pPr>
              <w:spacing w:line="360" w:lineRule="auto"/>
              <w:jc w:val="both"/>
              <w:rPr>
                <w:rFonts w:ascii="Times New Roman" w:hAnsi="Times New Roman" w:cs="Times New Roman"/>
                <w:sz w:val="20"/>
                <w:szCs w:val="20"/>
              </w:rPr>
            </w:pPr>
            <w:r w:rsidRPr="00D46ED8">
              <w:rPr>
                <w:rFonts w:ascii="Times New Roman" w:hAnsi="Times New Roman" w:cs="Times New Roman"/>
                <w:i/>
                <w:sz w:val="20"/>
                <w:szCs w:val="20"/>
              </w:rPr>
              <w:t>Sal.</w:t>
            </w:r>
            <w:r w:rsidRPr="00D46ED8">
              <w:rPr>
                <w:rFonts w:ascii="Times New Roman" w:hAnsi="Times New Roman" w:cs="Times New Roman"/>
                <w:sz w:val="20"/>
                <w:szCs w:val="20"/>
              </w:rPr>
              <w:t>sp 2077AD/24</w:t>
            </w:r>
          </w:p>
        </w:tc>
        <w:tc>
          <w:tcPr>
            <w:tcW w:w="1133" w:type="dxa"/>
            <w:shd w:val="clear" w:color="auto" w:fill="FFFFFF" w:themeFill="background1"/>
          </w:tcPr>
          <w:p w14:paraId="6CDCCABA"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30±1</w:t>
            </w:r>
          </w:p>
        </w:tc>
        <w:tc>
          <w:tcPr>
            <w:tcW w:w="843" w:type="dxa"/>
          </w:tcPr>
          <w:p w14:paraId="6D5A3B07"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06</w:t>
            </w:r>
            <w:r w:rsidRPr="00D46ED8">
              <w:rPr>
                <w:rFonts w:ascii="Times New Roman" w:hAnsi="Times New Roman" w:cs="Times New Roman"/>
                <w:sz w:val="20"/>
                <w:szCs w:val="20"/>
              </w:rPr>
              <w:t>±0</w:t>
            </w:r>
          </w:p>
        </w:tc>
        <w:tc>
          <w:tcPr>
            <w:tcW w:w="1276" w:type="dxa"/>
          </w:tcPr>
          <w:p w14:paraId="39976651"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1275" w:type="dxa"/>
          </w:tcPr>
          <w:p w14:paraId="003D0520"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6,25</w:t>
            </w:r>
          </w:p>
        </w:tc>
        <w:tc>
          <w:tcPr>
            <w:tcW w:w="993" w:type="dxa"/>
          </w:tcPr>
          <w:p w14:paraId="3FFA4BFB"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1</w:t>
            </w:r>
          </w:p>
        </w:tc>
        <w:tc>
          <w:tcPr>
            <w:tcW w:w="1701" w:type="dxa"/>
          </w:tcPr>
          <w:p w14:paraId="0041AE3C"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Bactéricide</w:t>
            </w:r>
          </w:p>
        </w:tc>
      </w:tr>
      <w:tr w:rsidR="006707FB" w:rsidRPr="00D46ED8" w14:paraId="7E0FEB27" w14:textId="77777777" w:rsidTr="00A4569F">
        <w:tc>
          <w:tcPr>
            <w:tcW w:w="1705" w:type="dxa"/>
            <w:tcBorders>
              <w:bottom w:val="single" w:sz="4" w:space="0" w:color="auto"/>
            </w:tcBorders>
          </w:tcPr>
          <w:p w14:paraId="2ED5C821" w14:textId="77777777" w:rsidR="006707FB" w:rsidRPr="00D46ED8" w:rsidRDefault="006707FB" w:rsidP="00A4569F">
            <w:pPr>
              <w:spacing w:line="360" w:lineRule="auto"/>
              <w:jc w:val="both"/>
              <w:rPr>
                <w:rFonts w:ascii="Times New Roman" w:hAnsi="Times New Roman" w:cs="Times New Roman"/>
                <w:sz w:val="20"/>
                <w:szCs w:val="20"/>
              </w:rPr>
            </w:pPr>
            <w:r w:rsidRPr="00D46ED8">
              <w:rPr>
                <w:rFonts w:ascii="Times New Roman" w:hAnsi="Times New Roman" w:cs="Times New Roman"/>
                <w:i/>
                <w:sz w:val="20"/>
                <w:szCs w:val="20"/>
              </w:rPr>
              <w:t>Sal.</w:t>
            </w:r>
            <w:r w:rsidRPr="00D46ED8">
              <w:rPr>
                <w:rFonts w:ascii="Times New Roman" w:hAnsi="Times New Roman" w:cs="Times New Roman"/>
                <w:sz w:val="20"/>
                <w:szCs w:val="20"/>
              </w:rPr>
              <w:t>sp 2520C/24</w:t>
            </w:r>
          </w:p>
        </w:tc>
        <w:tc>
          <w:tcPr>
            <w:tcW w:w="1133" w:type="dxa"/>
            <w:tcBorders>
              <w:bottom w:val="single" w:sz="4" w:space="0" w:color="auto"/>
            </w:tcBorders>
          </w:tcPr>
          <w:p w14:paraId="5A6B5E19"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30±1</w:t>
            </w:r>
          </w:p>
        </w:tc>
        <w:tc>
          <w:tcPr>
            <w:tcW w:w="843" w:type="dxa"/>
            <w:tcBorders>
              <w:bottom w:val="single" w:sz="4" w:space="0" w:color="auto"/>
            </w:tcBorders>
          </w:tcPr>
          <w:p w14:paraId="6405C331"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06</w:t>
            </w:r>
            <w:r w:rsidRPr="00D46ED8">
              <w:rPr>
                <w:rFonts w:ascii="Times New Roman" w:hAnsi="Times New Roman" w:cs="Times New Roman"/>
                <w:sz w:val="20"/>
                <w:szCs w:val="20"/>
              </w:rPr>
              <w:t>±0</w:t>
            </w:r>
          </w:p>
        </w:tc>
        <w:tc>
          <w:tcPr>
            <w:tcW w:w="1276" w:type="dxa"/>
            <w:tcBorders>
              <w:bottom w:val="single" w:sz="4" w:space="0" w:color="auto"/>
            </w:tcBorders>
          </w:tcPr>
          <w:p w14:paraId="4C1E0E09"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3,125</w:t>
            </w:r>
          </w:p>
        </w:tc>
        <w:tc>
          <w:tcPr>
            <w:tcW w:w="1275" w:type="dxa"/>
            <w:tcBorders>
              <w:bottom w:val="single" w:sz="4" w:space="0" w:color="auto"/>
            </w:tcBorders>
          </w:tcPr>
          <w:p w14:paraId="380D43F0"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3,125</w:t>
            </w:r>
          </w:p>
        </w:tc>
        <w:tc>
          <w:tcPr>
            <w:tcW w:w="993" w:type="dxa"/>
            <w:tcBorders>
              <w:bottom w:val="single" w:sz="4" w:space="0" w:color="auto"/>
            </w:tcBorders>
          </w:tcPr>
          <w:p w14:paraId="6FF431C4" w14:textId="77777777" w:rsidR="006707FB" w:rsidRPr="00D46ED8" w:rsidRDefault="006707FB"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lang w:val="fr-CI"/>
              </w:rPr>
              <w:t>1</w:t>
            </w:r>
          </w:p>
        </w:tc>
        <w:tc>
          <w:tcPr>
            <w:tcW w:w="1701" w:type="dxa"/>
            <w:tcBorders>
              <w:bottom w:val="single" w:sz="4" w:space="0" w:color="auto"/>
            </w:tcBorders>
          </w:tcPr>
          <w:p w14:paraId="06261568" w14:textId="5D6CD932" w:rsidR="006707FB" w:rsidRPr="00D46ED8" w:rsidRDefault="00D46ED8" w:rsidP="00A4569F">
            <w:pPr>
              <w:spacing w:line="360" w:lineRule="auto"/>
              <w:jc w:val="center"/>
              <w:rPr>
                <w:rFonts w:ascii="Times New Roman" w:hAnsi="Times New Roman" w:cs="Times New Roman"/>
                <w:sz w:val="20"/>
                <w:szCs w:val="20"/>
                <w:lang w:val="fr-CI"/>
              </w:rPr>
            </w:pPr>
            <w:r w:rsidRPr="00D46ED8">
              <w:rPr>
                <w:rFonts w:ascii="Times New Roman" w:hAnsi="Times New Roman" w:cs="Times New Roman"/>
                <w:sz w:val="20"/>
                <w:szCs w:val="20"/>
              </w:rPr>
              <w:t>Bactericidal</w:t>
            </w:r>
          </w:p>
        </w:tc>
      </w:tr>
    </w:tbl>
    <w:p w14:paraId="34D22DDD" w14:textId="0ADE4A6E" w:rsidR="003532D7" w:rsidRDefault="008259A5" w:rsidP="007966D4">
      <w:pPr>
        <w:spacing w:before="240"/>
        <w:jc w:val="center"/>
        <w:rPr>
          <w:rFonts w:ascii="Times New Roman" w:hAnsi="Times New Roman" w:cs="Times New Roman"/>
        </w:rPr>
      </w:pPr>
      <w:proofErr w:type="gramStart"/>
      <w:r w:rsidRPr="009C11DA">
        <w:rPr>
          <w:rStyle w:val="Strong"/>
          <w:rFonts w:ascii="Times New Roman" w:hAnsi="Times New Roman" w:cs="Times New Roman"/>
        </w:rPr>
        <w:t>sp:</w:t>
      </w:r>
      <w:proofErr w:type="gramEnd"/>
      <w:r w:rsidRPr="009C11DA">
        <w:rPr>
          <w:rFonts w:ascii="Times New Roman" w:hAnsi="Times New Roman" w:cs="Times New Roman"/>
        </w:rPr>
        <w:t xml:space="preserve"> Unidentified species; </w:t>
      </w:r>
      <w:r w:rsidRPr="009C11DA">
        <w:rPr>
          <w:rStyle w:val="Strong"/>
          <w:rFonts w:ascii="Times New Roman" w:hAnsi="Times New Roman" w:cs="Times New Roman"/>
        </w:rPr>
        <w:t>MIC:</w:t>
      </w:r>
      <w:r w:rsidRPr="009C11DA">
        <w:rPr>
          <w:rFonts w:ascii="Times New Roman" w:hAnsi="Times New Roman" w:cs="Times New Roman"/>
        </w:rPr>
        <w:t xml:space="preserve"> Minimum Inhibitory Concentration; </w:t>
      </w:r>
      <w:r w:rsidRPr="009C11DA">
        <w:rPr>
          <w:rStyle w:val="Strong"/>
          <w:rFonts w:ascii="Times New Roman" w:hAnsi="Times New Roman" w:cs="Times New Roman"/>
        </w:rPr>
        <w:t>MBC:</w:t>
      </w:r>
      <w:r w:rsidRPr="009C11DA">
        <w:rPr>
          <w:rFonts w:ascii="Times New Roman" w:hAnsi="Times New Roman" w:cs="Times New Roman"/>
        </w:rPr>
        <w:t xml:space="preserve"> Minimum Bactericidal Concentration</w:t>
      </w:r>
    </w:p>
    <w:p w14:paraId="22B5CE1C" w14:textId="77777777" w:rsidR="007966D4" w:rsidRPr="007966D4" w:rsidRDefault="007966D4" w:rsidP="007966D4">
      <w:pPr>
        <w:rPr>
          <w:rFonts w:ascii="Times New Roman" w:hAnsi="Times New Roman" w:cs="Times New Roman"/>
          <w:b/>
          <w:bCs/>
          <w:sz w:val="24"/>
          <w:szCs w:val="24"/>
        </w:rPr>
      </w:pPr>
      <w:r w:rsidRPr="007966D4">
        <w:rPr>
          <w:rFonts w:ascii="Times New Roman" w:hAnsi="Times New Roman" w:cs="Times New Roman"/>
          <w:b/>
          <w:bCs/>
          <w:sz w:val="24"/>
          <w:szCs w:val="24"/>
        </w:rPr>
        <w:t>2. Discussion</w:t>
      </w:r>
    </w:p>
    <w:p w14:paraId="33B0C191" w14:textId="77777777" w:rsidR="007966D4" w:rsidRDefault="007966D4" w:rsidP="007966D4">
      <w:pPr>
        <w:pStyle w:val="NormalWeb"/>
        <w:spacing w:line="360" w:lineRule="auto"/>
        <w:jc w:val="both"/>
      </w:pPr>
      <w:r>
        <w:t xml:space="preserve">The essential oil from the leaves of </w:t>
      </w:r>
      <w:r>
        <w:rPr>
          <w:rStyle w:val="Emphasis"/>
        </w:rPr>
        <w:t>Cleistopholis patens</w:t>
      </w:r>
      <w:r>
        <w:t xml:space="preserve"> was obtained with a yield of 0.24 ± 0.01%, which reflects a relatively low extraction efficiency but is typical of essential oils </w:t>
      </w:r>
      <w:r>
        <w:lastRenderedPageBreak/>
        <w:t>derived from the leaves or bark of tropical trees. This modest yield may be attributed to the nature of the plant, the part used, and the distillation conditions, yet it remains sufficient to provide an oil rich in bioactive compounds.</w:t>
      </w:r>
    </w:p>
    <w:p w14:paraId="1EFEB6C3" w14:textId="77777777" w:rsidR="007966D4" w:rsidRDefault="007966D4" w:rsidP="007966D4">
      <w:pPr>
        <w:pStyle w:val="NormalWeb"/>
        <w:spacing w:line="360" w:lineRule="auto"/>
        <w:jc w:val="both"/>
      </w:pPr>
      <w:r>
        <w:t xml:space="preserve">Studies conducted in other African regions confirm comparable </w:t>
      </w:r>
      <w:proofErr w:type="gramStart"/>
      <w:r>
        <w:t>values:</w:t>
      </w:r>
      <w:proofErr w:type="gramEnd"/>
      <w:r>
        <w:t xml:space="preserve"> in Cameroon, the yields of essential oils extracted from the leaves and stem bark of </w:t>
      </w:r>
      <w:r>
        <w:rPr>
          <w:rStyle w:val="Emphasis"/>
        </w:rPr>
        <w:t>C. patens</w:t>
      </w:r>
      <w:r>
        <w:t xml:space="preserve"> were 0.19% and 0.23%, respectively (</w:t>
      </w:r>
      <w:r>
        <w:rPr>
          <w:rStyle w:val="Strong"/>
        </w:rPr>
        <w:t xml:space="preserve">Boyom </w:t>
      </w:r>
      <w:r>
        <w:rPr>
          <w:rStyle w:val="Emphasis"/>
          <w:b/>
          <w:bCs/>
        </w:rPr>
        <w:t>et al.</w:t>
      </w:r>
      <w:r>
        <w:rPr>
          <w:rStyle w:val="Strong"/>
        </w:rPr>
        <w:t>, 2010</w:t>
      </w:r>
      <w:r>
        <w:t>). Similarly, in Côte d’Ivoire, previous research reported yields ranging between 0.18% and 0.23% (</w:t>
      </w:r>
      <w:r>
        <w:rPr>
          <w:rStyle w:val="Strong"/>
        </w:rPr>
        <w:t xml:space="preserve">Koné </w:t>
      </w:r>
      <w:r>
        <w:rPr>
          <w:rStyle w:val="Emphasis"/>
          <w:b/>
          <w:bCs/>
        </w:rPr>
        <w:t>et al.</w:t>
      </w:r>
      <w:r>
        <w:rPr>
          <w:rStyle w:val="Strong"/>
        </w:rPr>
        <w:t>, 2004</w:t>
      </w:r>
      <w:r>
        <w:t>). These results suggest a relative stability in the yield of this species across different geographical areas while highlighting the influence of pedoclimatic conditions, harvest period, and distillation parameters.</w:t>
      </w:r>
    </w:p>
    <w:p w14:paraId="2CB61D93" w14:textId="77777777" w:rsidR="007966D4" w:rsidRDefault="007966D4" w:rsidP="007966D4">
      <w:pPr>
        <w:pStyle w:val="NormalWeb"/>
        <w:spacing w:line="360" w:lineRule="auto"/>
        <w:jc w:val="both"/>
      </w:pPr>
      <w:r>
        <w:t xml:space="preserve">Gas chromatography coupled with mass spectrometry and ¹³C NMR spectroscopy revealed that the essential oil is dominated by hydrocarbon monoterpenes, followed by hydrocarbon and oxygenated sesquiterpenes. The main identified compounds are D-limonene (14.40%), β-thujene (12.36%), α-pinene (8.17%), β-pinene (7.56%), γ-terpinene (7.35%), terpinen-4-ol (7.05%), and caryophyllene (8.38%). These results confirm and complement the observations of </w:t>
      </w:r>
      <w:r>
        <w:rPr>
          <w:rStyle w:val="Strong"/>
        </w:rPr>
        <w:t xml:space="preserve">Ouattara </w:t>
      </w:r>
      <w:r>
        <w:rPr>
          <w:rStyle w:val="Emphasis"/>
          <w:b/>
          <w:bCs/>
        </w:rPr>
        <w:t>et al.</w:t>
      </w:r>
      <w:r>
        <w:rPr>
          <w:rStyle w:val="Strong"/>
        </w:rPr>
        <w:t>, 2013</w:t>
      </w:r>
      <w:r>
        <w:t xml:space="preserve">, who identified β-caryophyllene and germacrene D as the major constituents of </w:t>
      </w:r>
      <w:r>
        <w:rPr>
          <w:rStyle w:val="Emphasis"/>
        </w:rPr>
        <w:t>C. patens</w:t>
      </w:r>
      <w:r>
        <w:t xml:space="preserve"> essential oil. The predominance of monoterpenes, particularly D-limonene and the pinene isomers, is characteristic of essential oils rich in volatile and biologically active compounds (</w:t>
      </w:r>
      <w:r>
        <w:rPr>
          <w:rStyle w:val="Strong"/>
        </w:rPr>
        <w:t xml:space="preserve">Bakkali </w:t>
      </w:r>
      <w:r>
        <w:rPr>
          <w:rStyle w:val="Emphasis"/>
          <w:b/>
          <w:bCs/>
        </w:rPr>
        <w:t>et al.</w:t>
      </w:r>
      <w:r>
        <w:rPr>
          <w:rStyle w:val="Strong"/>
        </w:rPr>
        <w:t>, 2008</w:t>
      </w:r>
      <w:r>
        <w:t>).</w:t>
      </w:r>
    </w:p>
    <w:p w14:paraId="619955DC" w14:textId="77777777" w:rsidR="007966D4" w:rsidRDefault="007966D4" w:rsidP="007966D4">
      <w:pPr>
        <w:pStyle w:val="NormalWeb"/>
        <w:spacing w:line="360" w:lineRule="auto"/>
        <w:jc w:val="both"/>
      </w:pPr>
      <w:r>
        <w:t xml:space="preserve">Biologically, the essential oil of </w:t>
      </w:r>
      <w:r>
        <w:rPr>
          <w:rStyle w:val="Emphasis"/>
        </w:rPr>
        <w:t>Cleistopholis patens</w:t>
      </w:r>
      <w:r>
        <w:t xml:space="preserve"> exhibited marked antibacterial activity against all tested strains (Table 2). The inhibition zone diameters ranged from 15 ± 1 mm to 30 ± 1 mm, indicating variable sensitivity depending on the microorganism. The minimum inhibitory concentration (MIC) and minimum bactericidal concentration (MBC) values ranged between 3.125 mg/mL and 6.25 mg/mL, with an MBC/MIC ratio equal to 1, indicating a strong bactericidal effect on all tested strains (</w:t>
      </w:r>
      <w:r>
        <w:rPr>
          <w:rStyle w:val="Strong"/>
        </w:rPr>
        <w:t>Fauchère, 2002</w:t>
      </w:r>
      <w:r>
        <w:t>).</w:t>
      </w:r>
    </w:p>
    <w:p w14:paraId="527FC15F" w14:textId="77777777" w:rsidR="007966D4" w:rsidRDefault="007966D4" w:rsidP="007966D4">
      <w:pPr>
        <w:pStyle w:val="NormalWeb"/>
        <w:spacing w:line="360" w:lineRule="auto"/>
        <w:jc w:val="both"/>
      </w:pPr>
      <w:r>
        <w:t>These results demonstrate a broad-spectrum antibacterial activity, affecting both Gram-positive bacteria (</w:t>
      </w:r>
      <w:r>
        <w:rPr>
          <w:rStyle w:val="Emphasis"/>
        </w:rPr>
        <w:t>Staphylococcus aureus</w:t>
      </w:r>
      <w:r>
        <w:t>) and Gram-negative bacteria (</w:t>
      </w:r>
      <w:r>
        <w:rPr>
          <w:rStyle w:val="Emphasis"/>
        </w:rPr>
        <w:t>E. coli</w:t>
      </w:r>
      <w:r>
        <w:t xml:space="preserve">, </w:t>
      </w:r>
      <w:r>
        <w:rPr>
          <w:rStyle w:val="Emphasis"/>
        </w:rPr>
        <w:t>K. pneumoniae</w:t>
      </w:r>
      <w:r>
        <w:t xml:space="preserve">, </w:t>
      </w:r>
      <w:r>
        <w:rPr>
          <w:rStyle w:val="Emphasis"/>
        </w:rPr>
        <w:t>Salmonella</w:t>
      </w:r>
      <w:r>
        <w:t xml:space="preserve"> sp.). The major compounds identified, such as D-limonene, α-pinene, terpinen-4-ol, and β-caryophyllene, are well known for their strong antimicrobial effects (</w:t>
      </w:r>
      <w:r>
        <w:rPr>
          <w:rStyle w:val="Strong"/>
        </w:rPr>
        <w:t xml:space="preserve">Hammer </w:t>
      </w:r>
      <w:r>
        <w:rPr>
          <w:rStyle w:val="Emphasis"/>
          <w:b/>
          <w:bCs/>
        </w:rPr>
        <w:t>et al.</w:t>
      </w:r>
      <w:r>
        <w:rPr>
          <w:rStyle w:val="Strong"/>
        </w:rPr>
        <w:t xml:space="preserve">, </w:t>
      </w:r>
      <w:proofErr w:type="gramStart"/>
      <w:r>
        <w:rPr>
          <w:rStyle w:val="Strong"/>
        </w:rPr>
        <w:t>1999;</w:t>
      </w:r>
      <w:proofErr w:type="gramEnd"/>
      <w:r>
        <w:rPr>
          <w:rStyle w:val="Strong"/>
        </w:rPr>
        <w:t xml:space="preserve"> Miguel, 2010</w:t>
      </w:r>
      <w:r>
        <w:t>). These molecules act by disrupting cellular membranes, causing leakage of intracellular contents, and inhibiting essential metabolic enzymes (</w:t>
      </w:r>
      <w:r>
        <w:rPr>
          <w:rStyle w:val="Strong"/>
        </w:rPr>
        <w:t>Burt, 2004</w:t>
      </w:r>
      <w:r>
        <w:t>).</w:t>
      </w:r>
    </w:p>
    <w:p w14:paraId="0A2A3B4C" w14:textId="77777777" w:rsidR="007966D4" w:rsidRDefault="007966D4" w:rsidP="007966D4">
      <w:pPr>
        <w:pStyle w:val="NormalWeb"/>
        <w:spacing w:line="360" w:lineRule="auto"/>
        <w:jc w:val="both"/>
      </w:pPr>
      <w:r>
        <w:lastRenderedPageBreak/>
        <w:t xml:space="preserve">Thus, despite a modest yield, the essential oil of </w:t>
      </w:r>
      <w:r>
        <w:rPr>
          <w:rStyle w:val="Emphasis"/>
        </w:rPr>
        <w:t>C. patens</w:t>
      </w:r>
      <w:r>
        <w:t xml:space="preserve"> stands out for its high content of bioactive compounds and strong bactericidal efficiency. It therefore presents considerable pharmacological, cosmetic, and agro-food interest.</w:t>
      </w:r>
    </w:p>
    <w:p w14:paraId="113187A9" w14:textId="77777777" w:rsidR="007966D4" w:rsidRDefault="007966D4" w:rsidP="007966D4">
      <w:pPr>
        <w:pStyle w:val="NormalWeb"/>
        <w:spacing w:line="360" w:lineRule="auto"/>
        <w:jc w:val="both"/>
      </w:pPr>
      <w:r>
        <w:t>Further studies should be undertaken to isolate and individually test the bioactive compounds, evaluate their synergistic interactions, and assess their in vivo efficacy and safety, with a view to pharmaceutical and industrial valorization.</w:t>
      </w:r>
    </w:p>
    <w:p w14:paraId="7979FD1A" w14:textId="77777777" w:rsidR="009161C7" w:rsidRPr="009161C7" w:rsidRDefault="009161C7" w:rsidP="009161C7">
      <w:pPr>
        <w:rPr>
          <w:rFonts w:ascii="Times New Roman" w:hAnsi="Times New Roman" w:cs="Times New Roman"/>
          <w:b/>
          <w:bCs/>
          <w:sz w:val="24"/>
          <w:szCs w:val="24"/>
        </w:rPr>
      </w:pPr>
      <w:r w:rsidRPr="009161C7">
        <w:rPr>
          <w:rFonts w:ascii="Times New Roman" w:hAnsi="Times New Roman" w:cs="Times New Roman"/>
          <w:b/>
          <w:bCs/>
          <w:sz w:val="24"/>
          <w:szCs w:val="24"/>
        </w:rPr>
        <w:t>Conclusion</w:t>
      </w:r>
    </w:p>
    <w:p w14:paraId="57EFB672" w14:textId="77777777" w:rsidR="009161C7" w:rsidRDefault="009161C7" w:rsidP="009161C7">
      <w:pPr>
        <w:pStyle w:val="NormalWeb"/>
        <w:spacing w:line="360" w:lineRule="auto"/>
        <w:jc w:val="both"/>
      </w:pPr>
      <w:r>
        <w:t xml:space="preserve">The study of the essential oil of </w:t>
      </w:r>
      <w:r>
        <w:rPr>
          <w:rStyle w:val="Emphasis"/>
        </w:rPr>
        <w:t>Cleistopholis patens</w:t>
      </w:r>
      <w:r>
        <w:t xml:space="preserve"> from Divo reveals a chemical composition rich in monoterpenes and sesquiterpenes, dominated by D-limonene, β-thujene, and caryophyllene. These compounds impart significant antimicrobial, antioxidant, and anti-inflammatory properties to the oil. The results highlight the potential of this tropical plant for pharmaceutical, cosmetic, and agro-food applications while opening the way for future research on its biological effects and synergistic interactions.</w:t>
      </w:r>
    </w:p>
    <w:p w14:paraId="0CDA1C61" w14:textId="2FD749F1" w:rsidR="007966D4" w:rsidRDefault="00E33BC5" w:rsidP="007966D4">
      <w:pPr>
        <w:rPr>
          <w:rFonts w:ascii="Times New Roman" w:hAnsi="Times New Roman" w:cs="Times New Roman"/>
          <w:b/>
          <w:bCs/>
          <w:sz w:val="24"/>
          <w:szCs w:val="24"/>
        </w:rPr>
      </w:pPr>
      <w:r w:rsidRPr="00E33BC5">
        <w:rPr>
          <w:rFonts w:ascii="Times New Roman" w:hAnsi="Times New Roman" w:cs="Times New Roman"/>
          <w:b/>
          <w:bCs/>
          <w:sz w:val="24"/>
          <w:szCs w:val="24"/>
        </w:rPr>
        <w:t>References</w:t>
      </w:r>
    </w:p>
    <w:p w14:paraId="345829B9" w14:textId="77777777" w:rsidR="003E2D50" w:rsidRPr="0007244C" w:rsidRDefault="003E2D50" w:rsidP="003E2D50">
      <w:pPr>
        <w:spacing w:after="100" w:afterAutospacing="1" w:line="360" w:lineRule="auto"/>
        <w:jc w:val="both"/>
        <w:rPr>
          <w:rFonts w:ascii="Times New Roman" w:eastAsia="Times New Roman" w:hAnsi="Times New Roman" w:cs="Times New Roman"/>
          <w:sz w:val="24"/>
          <w:szCs w:val="24"/>
          <w:lang w:val="en-US" w:eastAsia="fr-CI"/>
        </w:rPr>
      </w:pPr>
      <w:r w:rsidRPr="0007244C">
        <w:rPr>
          <w:rFonts w:ascii="Times New Roman" w:eastAsia="Times New Roman" w:hAnsi="Times New Roman" w:cs="Times New Roman"/>
          <w:b/>
          <w:bCs/>
          <w:sz w:val="24"/>
          <w:szCs w:val="24"/>
          <w:lang w:eastAsia="fr-CI"/>
        </w:rPr>
        <w:t>Ouattara, Z. A., Boti, J. B., Attioua, K. B., Ahibo, C. A., Bekro, Y.-A., Mamyrbekova, C., Casanova, J., Tomi, F., &amp; Bighelli, A. (2013)</w:t>
      </w:r>
      <w:r w:rsidRPr="0007244C">
        <w:rPr>
          <w:rFonts w:ascii="Times New Roman" w:eastAsia="Times New Roman" w:hAnsi="Times New Roman" w:cs="Times New Roman"/>
          <w:sz w:val="24"/>
          <w:szCs w:val="24"/>
          <w:lang w:eastAsia="fr-CI"/>
        </w:rPr>
        <w:t xml:space="preserve">. </w:t>
      </w:r>
      <w:r w:rsidRPr="0007244C">
        <w:rPr>
          <w:rFonts w:ascii="Times New Roman" w:eastAsia="Times New Roman" w:hAnsi="Times New Roman" w:cs="Times New Roman"/>
          <w:sz w:val="24"/>
          <w:szCs w:val="24"/>
          <w:lang w:val="en-US" w:eastAsia="fr-CI"/>
        </w:rPr>
        <w:t xml:space="preserve">Composition and chemical variability of </w:t>
      </w:r>
      <w:r w:rsidRPr="0007244C">
        <w:rPr>
          <w:rFonts w:ascii="Times New Roman" w:eastAsia="Times New Roman" w:hAnsi="Times New Roman" w:cs="Times New Roman"/>
          <w:i/>
          <w:iCs/>
          <w:sz w:val="24"/>
          <w:szCs w:val="24"/>
          <w:lang w:val="en-US" w:eastAsia="fr-CI"/>
        </w:rPr>
        <w:t>Cleistopholis patens</w:t>
      </w:r>
      <w:r w:rsidRPr="0007244C">
        <w:rPr>
          <w:rFonts w:ascii="Times New Roman" w:eastAsia="Times New Roman" w:hAnsi="Times New Roman" w:cs="Times New Roman"/>
          <w:sz w:val="24"/>
          <w:szCs w:val="24"/>
          <w:lang w:val="en-US" w:eastAsia="fr-CI"/>
        </w:rPr>
        <w:t xml:space="preserve"> trunk bark oil from Côte d’Ivoire. </w:t>
      </w:r>
      <w:r w:rsidRPr="0007244C">
        <w:rPr>
          <w:rFonts w:ascii="Times New Roman" w:eastAsia="Times New Roman" w:hAnsi="Times New Roman" w:cs="Times New Roman"/>
          <w:i/>
          <w:iCs/>
          <w:sz w:val="24"/>
          <w:szCs w:val="24"/>
          <w:lang w:val="en-US" w:eastAsia="fr-CI"/>
        </w:rPr>
        <w:t>Chemistry &amp; Biodiversity, 10</w:t>
      </w:r>
      <w:r w:rsidRPr="0007244C">
        <w:rPr>
          <w:rFonts w:ascii="Times New Roman" w:eastAsia="Times New Roman" w:hAnsi="Times New Roman" w:cs="Times New Roman"/>
          <w:sz w:val="24"/>
          <w:szCs w:val="24"/>
          <w:lang w:val="en-US" w:eastAsia="fr-CI"/>
        </w:rPr>
        <w:t>(11), 1981–1992.</w:t>
      </w:r>
    </w:p>
    <w:p w14:paraId="7E8EA362"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Ajayi, O. S., Fakola, E. G., Olubiyo, F. F., Balogun, O. S., Olawuni, I. J., &amp; Kelani, T. O. (2025). Antioxidant, antidiabetic and molecular docking studies of D-pinitol isolated from the leaf extract of Cleistopholis patens (Benth.). Discover Chemistry, 2:129</w:t>
      </w:r>
    </w:p>
    <w:p w14:paraId="39961669" w14:textId="77777777" w:rsidR="00297A22" w:rsidRDefault="00297A22" w:rsidP="00C41128">
      <w:pPr>
        <w:spacing w:after="100" w:afterAutospacing="1" w:line="360" w:lineRule="auto"/>
        <w:jc w:val="both"/>
        <w:rPr>
          <w:rFonts w:ascii="Times New Roman" w:eastAsia="Times New Roman" w:hAnsi="Times New Roman" w:cs="Times New Roman"/>
          <w:sz w:val="24"/>
          <w:szCs w:val="24"/>
          <w:lang w:val="en-US" w:eastAsia="fr-CI"/>
        </w:rPr>
      </w:pPr>
      <w:r w:rsidRPr="00297A22">
        <w:rPr>
          <w:rFonts w:ascii="Times New Roman" w:eastAsia="Times New Roman" w:hAnsi="Times New Roman" w:cs="Times New Roman"/>
          <w:sz w:val="24"/>
          <w:szCs w:val="24"/>
          <w:lang w:val="en-US" w:eastAsia="fr-CI"/>
        </w:rPr>
        <w:t>Engler, H.G.A. &amp; Diels, F. (1901). Annonaceae. In: Monographiae Phanerogamarum, Phanerogamarum Africanae: Monographs of African plant families and genera. Vol. 6, p. 35. Berlin: Wilhelm Engelmann. Available at:</w:t>
      </w:r>
    </w:p>
    <w:p w14:paraId="5A1BD810" w14:textId="62538805"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Ononiwu, C. P., Joshua, P. E., Amah, C. C., Asomadu, R. O., Okorigwe, E. M., Nnemolisa, J. S., Ezeorba, T. P. J., Nwanelo, V. O., Iyidiegwu, F. C., Duru, J. O., Okeke, P. N., Adile B. O., 2024 (2014). Cleistofolis patens root bark extract exerts cardioprotective effect against doxorubicin-induced myocardial toxicity in rat. Laboratory Animal Research, 40(1), 39</w:t>
      </w:r>
    </w:p>
    <w:p w14:paraId="793CB2C7"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lastRenderedPageBreak/>
        <w:t>Asase, A., &amp; Oppong-Mensah, G. (2009). Traditional antimalarial phytotherapy remedies in herbal markets in southern Ghana. Journal of Ethnopharmacology, 126, 492–499.</w:t>
      </w:r>
    </w:p>
    <w:p w14:paraId="28A37BBF"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Kouassi, K. G., Aka, A.-G. A. A. S., Yapo, Y. C. V., Béné, K., Kanga, Y., Konan, G. K. N. A., &amp; Zirihi, N. G. (2024). Inventory and use of medicinal plants by the Akyé people against microbial dermatoses in the Mé region (Southeastern Ivory Coast). RAMReS Review – African Traditional Pharmacopeia and Medicine Series, 23(1), 102–128.</w:t>
      </w:r>
    </w:p>
    <w:p w14:paraId="22CF272E"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N’Guessan, K., Kouassi, K. E., &amp; Tiébré, M. S. (2009). Plants used in the treatment of gynecological-obstetric disorders by the Abbey and Krobou peoples of Agboville (Ivory Coast). Abstract, 1–15.</w:t>
      </w:r>
    </w:p>
    <w:p w14:paraId="001ECC8F"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Djah, F. M., Kouassi, K. E., &amp; Tiébré, M. S. (2024). Medicinal plants used in the traditional treatment of female infertility among the Anyi of the Indénié-Djuablin region (East of Côte d'Ivoire). RAMReS Review – Series Pharmacopoeia and Traditional African Medicine, 23(2), 82–103.</w:t>
      </w:r>
    </w:p>
    <w:p w14:paraId="389A29F2"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N’dri, K.A., Atsain, M.R.A., Konan, N.S., Kouame, B.A., Mamyrbekova-békro, J.A., Bekro, Y.A. (2023). Chemical Composition and Antibacterial Activities of Essential Oils Extracted from the Leaves of Harunga madagascariensis Lam. Ex Poiret (Hypericaceae) and Allanblackia parviflora a. Chev (Clusiaceae). International Journal of Pharmaceutical Sciences Review and Research, 79(2) 41, 277-282</w:t>
      </w:r>
    </w:p>
    <w:p w14:paraId="0D47F1E6"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World Flora Online. (2024). Cleistopholis patens (Benth.) Engl. &amp; Diels. In WCSP (Monographs of African Plant Families, 6, p. 35). Retrieved June 4, 2024, from https://www.worldfloraonline.org/taxon/wfo-0000609410</w:t>
      </w:r>
    </w:p>
    <w:p w14:paraId="1C17C346"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 xml:space="preserve">Ponce AG, Fritz R, Del Valle CE, Roura SI (2003). Antimicrobial activity of essential Danoils on the native microflora of organic Swiss chard. Food Science and </w:t>
      </w:r>
      <w:proofErr w:type="gramStart"/>
      <w:r w:rsidRPr="00C41128">
        <w:rPr>
          <w:rFonts w:ascii="Times New Roman" w:eastAsia="Times New Roman" w:hAnsi="Times New Roman" w:cs="Times New Roman"/>
          <w:sz w:val="24"/>
          <w:szCs w:val="24"/>
          <w:lang w:val="en-US" w:eastAsia="fr-CI"/>
        </w:rPr>
        <w:t>Technology ;</w:t>
      </w:r>
      <w:proofErr w:type="gramEnd"/>
      <w:r w:rsidRPr="00C41128">
        <w:rPr>
          <w:rFonts w:ascii="Times New Roman" w:eastAsia="Times New Roman" w:hAnsi="Times New Roman" w:cs="Times New Roman"/>
          <w:sz w:val="24"/>
          <w:szCs w:val="24"/>
          <w:lang w:val="en-US" w:eastAsia="fr-CI"/>
        </w:rPr>
        <w:t xml:space="preserve"> 36: 679-684.</w:t>
      </w:r>
    </w:p>
    <w:p w14:paraId="56AB092E"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Faucher JL (2002). General and Medical Bacteriology. Editions Ellipses: Paris, 365 p.</w:t>
      </w:r>
    </w:p>
    <w:p w14:paraId="7A8BFEC0"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Boyom, F. F., Ngouana, V., Kemgne, E. A. M., Zollo, P. H. A., Menut, C., Bessière, J. M., Gut, J., &amp; Rosenthal, P. J. (2010). Antiplasmodial volatile extracts from Cleistopholis patens Engler &amp; Diels and Uvariastrum pierreanum Engl. &amp; Diels (Annonaceae) growing in Cameroon. Parasitology Research, 108(5), 1211–1217.</w:t>
      </w:r>
    </w:p>
    <w:p w14:paraId="67B9122B"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lastRenderedPageBreak/>
        <w:t>Koné, W. M., Atindehou, K. K., Terreaux, C., Hostettmann, K., Traoré, D., &amp; Dosso, M. (2004). Traditional medicine in North Côte d’Ivoire: Screening of 50 medicinal plants for antibacterial activity. Journal of Ethnopharmacology, 93(1), 43–49.</w:t>
      </w:r>
    </w:p>
    <w:p w14:paraId="41FAF6BA"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Bakkali, F., Averbeck, S., Averbeck, D., Idaomar, M. (2008). Biological effects of essential oils – A review. Food and Chemical Toxicology, 46: 446–475.</w:t>
      </w:r>
    </w:p>
    <w:p w14:paraId="53D8281E"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Miguel, M. G. (2010). Antioxidant and anti-inflammatory activities of essential oils: a short review. Molecules, 15: 9252–9287.</w:t>
      </w:r>
    </w:p>
    <w:p w14:paraId="2687EBFB"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Hammer, K. A., Carson, J. F., Riley, T. V. (1999). Antimicrobial activity of essential oils and other plant extracts. Journal of Applied Microbiology, 86: 985–990.</w:t>
      </w:r>
    </w:p>
    <w:p w14:paraId="4774B0EF"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Gertsch, J., Leonti, M., Raduner, S., Rácz, I., Chen, J.-Z., Xie, X.-Q., Altmann, K.-H., Karsak, M., &amp; Zimmer, A. (2008). Beta-caryophyllene is a dietary cannabinoid. Proceedings of the National Academy of Sciences of the United States of America, 105(26), 9099–9104.</w:t>
      </w:r>
    </w:p>
    <w:p w14:paraId="62B495DE" w14:textId="77777777" w:rsidR="00C41128" w:rsidRPr="00C41128" w:rsidRDefault="00C41128" w:rsidP="00C41128">
      <w:pPr>
        <w:spacing w:after="100" w:afterAutospacing="1" w:line="360" w:lineRule="auto"/>
        <w:jc w:val="both"/>
        <w:rPr>
          <w:rFonts w:ascii="Times New Roman" w:eastAsia="Times New Roman" w:hAnsi="Times New Roman" w:cs="Times New Roman"/>
          <w:sz w:val="24"/>
          <w:szCs w:val="24"/>
          <w:lang w:val="en-US" w:eastAsia="fr-CI"/>
        </w:rPr>
      </w:pPr>
      <w:r w:rsidRPr="00C41128">
        <w:rPr>
          <w:rFonts w:ascii="Times New Roman" w:eastAsia="Times New Roman" w:hAnsi="Times New Roman" w:cs="Times New Roman"/>
          <w:sz w:val="24"/>
          <w:szCs w:val="24"/>
          <w:lang w:val="en-US" w:eastAsia="fr-CI"/>
        </w:rPr>
        <w:t>Cox, S. D., Mann, J. M., Markham, J. L., Bell, H. C., Gustafson, J. E., Warmington, J. R., &amp; Wyllie, S. G. (2000). The mode of antimicrobial action of the essential oil of Melaleuca alternifolia (tea tree oil). Journal of Applied Microbiology, 88(1), 170–175.</w:t>
      </w:r>
    </w:p>
    <w:p w14:paraId="77AFA1B8" w14:textId="44E645B5" w:rsidR="003E2D50" w:rsidRPr="00C41128" w:rsidRDefault="00C41128" w:rsidP="00C41128">
      <w:pPr>
        <w:spacing w:after="100" w:afterAutospacing="1" w:line="360" w:lineRule="auto"/>
        <w:jc w:val="both"/>
        <w:rPr>
          <w:rFonts w:ascii="Times New Roman" w:eastAsia="Times New Roman" w:hAnsi="Times New Roman" w:cs="Times New Roman"/>
          <w:sz w:val="24"/>
          <w:szCs w:val="24"/>
          <w:lang w:eastAsia="fr-CI"/>
        </w:rPr>
      </w:pPr>
      <w:r w:rsidRPr="00C41128">
        <w:rPr>
          <w:rFonts w:ascii="Times New Roman" w:eastAsia="Times New Roman" w:hAnsi="Times New Roman" w:cs="Times New Roman"/>
          <w:sz w:val="24"/>
          <w:szCs w:val="24"/>
          <w:lang w:val="en-US" w:eastAsia="fr-CI"/>
        </w:rPr>
        <w:t>Burt, S. (2004). Essential oils: their antibacterial properties and potential applications in foods—a review. International Journal of Food Microbiology, 94: 223–253</w:t>
      </w:r>
      <w:r w:rsidR="003E2D50" w:rsidRPr="00C41128">
        <w:rPr>
          <w:rFonts w:ascii="Times New Roman" w:eastAsia="Times New Roman" w:hAnsi="Times New Roman" w:cs="Times New Roman"/>
          <w:sz w:val="24"/>
          <w:szCs w:val="24"/>
          <w:lang w:eastAsia="fr-CI"/>
        </w:rPr>
        <w:t>.</w:t>
      </w:r>
    </w:p>
    <w:p w14:paraId="713C60BD" w14:textId="77777777" w:rsidR="003E2D50" w:rsidRPr="003E2D50" w:rsidRDefault="003E2D50" w:rsidP="003E2D50">
      <w:pPr>
        <w:jc w:val="both"/>
        <w:rPr>
          <w:rFonts w:ascii="Times New Roman" w:hAnsi="Times New Roman" w:cs="Times New Roman"/>
          <w:sz w:val="24"/>
          <w:szCs w:val="24"/>
        </w:rPr>
      </w:pPr>
    </w:p>
    <w:sectPr w:rsidR="003E2D50" w:rsidRPr="003E2D5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62933" w14:textId="77777777" w:rsidR="00925313" w:rsidRDefault="00925313" w:rsidP="00C80496">
      <w:pPr>
        <w:spacing w:after="0" w:line="240" w:lineRule="auto"/>
      </w:pPr>
      <w:r>
        <w:separator/>
      </w:r>
    </w:p>
  </w:endnote>
  <w:endnote w:type="continuationSeparator" w:id="0">
    <w:p w14:paraId="5B23E719" w14:textId="77777777" w:rsidR="00925313" w:rsidRDefault="00925313" w:rsidP="00C80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72060" w14:textId="77777777" w:rsidR="00C80496" w:rsidRDefault="00C80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9712" w14:textId="77777777" w:rsidR="00C80496" w:rsidRDefault="00C80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EA78" w14:textId="77777777" w:rsidR="00C80496" w:rsidRDefault="00C80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A9B30" w14:textId="77777777" w:rsidR="00925313" w:rsidRDefault="00925313" w:rsidP="00C80496">
      <w:pPr>
        <w:spacing w:after="0" w:line="240" w:lineRule="auto"/>
      </w:pPr>
      <w:r>
        <w:separator/>
      </w:r>
    </w:p>
  </w:footnote>
  <w:footnote w:type="continuationSeparator" w:id="0">
    <w:p w14:paraId="5DE0B042" w14:textId="77777777" w:rsidR="00925313" w:rsidRDefault="00925313" w:rsidP="00C80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B027" w14:textId="6E5226EB" w:rsidR="00C80496" w:rsidRDefault="00C80496">
    <w:pPr>
      <w:pStyle w:val="Header"/>
    </w:pPr>
    <w:r>
      <w:rPr>
        <w:noProof/>
      </w:rPr>
      <w:pict w14:anchorId="09787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4198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A385" w14:textId="451AD976" w:rsidR="00C80496" w:rsidRDefault="00C80496">
    <w:pPr>
      <w:pStyle w:val="Header"/>
    </w:pPr>
    <w:r>
      <w:rPr>
        <w:noProof/>
      </w:rPr>
      <w:pict w14:anchorId="28A7B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4198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A4344" w14:textId="70A5B946" w:rsidR="00C80496" w:rsidRDefault="00C80496">
    <w:pPr>
      <w:pStyle w:val="Header"/>
    </w:pPr>
    <w:r>
      <w:rPr>
        <w:noProof/>
      </w:rPr>
      <w:pict w14:anchorId="679F9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4198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E8"/>
    <w:rsid w:val="00067138"/>
    <w:rsid w:val="001219EF"/>
    <w:rsid w:val="001758BE"/>
    <w:rsid w:val="00190436"/>
    <w:rsid w:val="001D553C"/>
    <w:rsid w:val="001E009F"/>
    <w:rsid w:val="001F0B73"/>
    <w:rsid w:val="00205757"/>
    <w:rsid w:val="00254B92"/>
    <w:rsid w:val="00297A22"/>
    <w:rsid w:val="002A2D27"/>
    <w:rsid w:val="002F7B77"/>
    <w:rsid w:val="00332961"/>
    <w:rsid w:val="003430CC"/>
    <w:rsid w:val="003532D7"/>
    <w:rsid w:val="00376D37"/>
    <w:rsid w:val="00377B02"/>
    <w:rsid w:val="003C2052"/>
    <w:rsid w:val="003E2D50"/>
    <w:rsid w:val="004A1B69"/>
    <w:rsid w:val="005A3BF1"/>
    <w:rsid w:val="00611D28"/>
    <w:rsid w:val="00651AEE"/>
    <w:rsid w:val="006573EF"/>
    <w:rsid w:val="006707FB"/>
    <w:rsid w:val="006738C1"/>
    <w:rsid w:val="00721BCE"/>
    <w:rsid w:val="007966D4"/>
    <w:rsid w:val="007C02A0"/>
    <w:rsid w:val="008259A5"/>
    <w:rsid w:val="00841485"/>
    <w:rsid w:val="0086015D"/>
    <w:rsid w:val="008E2684"/>
    <w:rsid w:val="008F54E8"/>
    <w:rsid w:val="00912066"/>
    <w:rsid w:val="009161C7"/>
    <w:rsid w:val="00925313"/>
    <w:rsid w:val="00943821"/>
    <w:rsid w:val="009B4816"/>
    <w:rsid w:val="009C11DA"/>
    <w:rsid w:val="009D1B90"/>
    <w:rsid w:val="00A66B27"/>
    <w:rsid w:val="00B208F1"/>
    <w:rsid w:val="00B662CF"/>
    <w:rsid w:val="00BE7A1E"/>
    <w:rsid w:val="00C41128"/>
    <w:rsid w:val="00C6551F"/>
    <w:rsid w:val="00C80496"/>
    <w:rsid w:val="00C8601C"/>
    <w:rsid w:val="00C86943"/>
    <w:rsid w:val="00CB453A"/>
    <w:rsid w:val="00CC4A0E"/>
    <w:rsid w:val="00D13EB5"/>
    <w:rsid w:val="00D41878"/>
    <w:rsid w:val="00D46ED8"/>
    <w:rsid w:val="00D763B5"/>
    <w:rsid w:val="00D82972"/>
    <w:rsid w:val="00E33BC5"/>
    <w:rsid w:val="00E43F98"/>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B34627"/>
  <w15:chartTrackingRefBased/>
  <w15:docId w15:val="{4E036741-87EF-4616-A2D6-9289247F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878"/>
  </w:style>
  <w:style w:type="paragraph" w:styleId="Heading3">
    <w:name w:val="heading 3"/>
    <w:basedOn w:val="Normal"/>
    <w:link w:val="Heading3Char"/>
    <w:uiPriority w:val="9"/>
    <w:qFormat/>
    <w:rsid w:val="002F7B77"/>
    <w:pPr>
      <w:spacing w:before="100" w:beforeAutospacing="1" w:after="100" w:afterAutospacing="1" w:line="240" w:lineRule="auto"/>
      <w:outlineLvl w:val="2"/>
    </w:pPr>
    <w:rPr>
      <w:rFonts w:ascii="Times New Roman" w:eastAsia="Times New Roman" w:hAnsi="Times New Roman" w:cs="Times New Roman"/>
      <w:b/>
      <w:bCs/>
      <w:sz w:val="27"/>
      <w:szCs w:val="27"/>
      <w:lang w:eastAsia="fr-CI"/>
    </w:rPr>
  </w:style>
  <w:style w:type="paragraph" w:styleId="Heading4">
    <w:name w:val="heading 4"/>
    <w:basedOn w:val="Normal"/>
    <w:link w:val="Heading4Char"/>
    <w:uiPriority w:val="9"/>
    <w:qFormat/>
    <w:rsid w:val="002F7B77"/>
    <w:pPr>
      <w:spacing w:before="100" w:beforeAutospacing="1" w:after="100" w:afterAutospacing="1" w:line="240" w:lineRule="auto"/>
      <w:outlineLvl w:val="3"/>
    </w:pPr>
    <w:rPr>
      <w:rFonts w:ascii="Times New Roman" w:eastAsia="Times New Roman" w:hAnsi="Times New Roman" w:cs="Times New Roman"/>
      <w:b/>
      <w:bCs/>
      <w:sz w:val="24"/>
      <w:szCs w:val="24"/>
      <w:lang w:eastAsia="fr-CI"/>
    </w:rPr>
  </w:style>
  <w:style w:type="paragraph" w:styleId="Heading5">
    <w:name w:val="heading 5"/>
    <w:basedOn w:val="Normal"/>
    <w:link w:val="Heading5Char"/>
    <w:uiPriority w:val="9"/>
    <w:qFormat/>
    <w:rsid w:val="002F7B77"/>
    <w:pPr>
      <w:spacing w:before="100" w:beforeAutospacing="1" w:after="100" w:afterAutospacing="1" w:line="240" w:lineRule="auto"/>
      <w:outlineLvl w:val="4"/>
    </w:pPr>
    <w:rPr>
      <w:rFonts w:ascii="Times New Roman" w:eastAsia="Times New Roman" w:hAnsi="Times New Roman" w:cs="Times New Roman"/>
      <w:b/>
      <w:bCs/>
      <w:sz w:val="20"/>
      <w:szCs w:val="20"/>
      <w:lang w:eastAsia="fr-C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41878"/>
    <w:rPr>
      <w:i/>
      <w:iCs/>
    </w:rPr>
  </w:style>
  <w:style w:type="character" w:styleId="Hyperlink">
    <w:name w:val="Hyperlink"/>
    <w:basedOn w:val="DefaultParagraphFont"/>
    <w:uiPriority w:val="99"/>
    <w:unhideWhenUsed/>
    <w:rsid w:val="00D41878"/>
    <w:rPr>
      <w:color w:val="0000FF"/>
      <w:u w:val="single"/>
    </w:rPr>
  </w:style>
  <w:style w:type="character" w:styleId="Strong">
    <w:name w:val="Strong"/>
    <w:basedOn w:val="DefaultParagraphFont"/>
    <w:uiPriority w:val="22"/>
    <w:qFormat/>
    <w:rsid w:val="001219EF"/>
    <w:rPr>
      <w:b/>
      <w:bCs/>
    </w:rPr>
  </w:style>
  <w:style w:type="paragraph" w:styleId="NormalWeb">
    <w:name w:val="Normal (Web)"/>
    <w:basedOn w:val="Normal"/>
    <w:uiPriority w:val="99"/>
    <w:unhideWhenUsed/>
    <w:rsid w:val="00205757"/>
    <w:pPr>
      <w:spacing w:before="100" w:beforeAutospacing="1" w:after="100" w:afterAutospacing="1" w:line="240" w:lineRule="auto"/>
    </w:pPr>
    <w:rPr>
      <w:rFonts w:ascii="Times New Roman" w:eastAsia="Times New Roman" w:hAnsi="Times New Roman" w:cs="Times New Roman"/>
      <w:sz w:val="24"/>
      <w:szCs w:val="24"/>
      <w:lang w:eastAsia="fr-CI"/>
    </w:rPr>
  </w:style>
  <w:style w:type="character" w:customStyle="1" w:styleId="Heading3Char">
    <w:name w:val="Heading 3 Char"/>
    <w:basedOn w:val="DefaultParagraphFont"/>
    <w:link w:val="Heading3"/>
    <w:uiPriority w:val="9"/>
    <w:rsid w:val="002F7B77"/>
    <w:rPr>
      <w:rFonts w:ascii="Times New Roman" w:eastAsia="Times New Roman" w:hAnsi="Times New Roman" w:cs="Times New Roman"/>
      <w:b/>
      <w:bCs/>
      <w:sz w:val="27"/>
      <w:szCs w:val="27"/>
      <w:lang w:eastAsia="fr-CI"/>
    </w:rPr>
  </w:style>
  <w:style w:type="character" w:customStyle="1" w:styleId="Heading4Char">
    <w:name w:val="Heading 4 Char"/>
    <w:basedOn w:val="DefaultParagraphFont"/>
    <w:link w:val="Heading4"/>
    <w:uiPriority w:val="9"/>
    <w:rsid w:val="002F7B77"/>
    <w:rPr>
      <w:rFonts w:ascii="Times New Roman" w:eastAsia="Times New Roman" w:hAnsi="Times New Roman" w:cs="Times New Roman"/>
      <w:b/>
      <w:bCs/>
      <w:sz w:val="24"/>
      <w:szCs w:val="24"/>
      <w:lang w:eastAsia="fr-CI"/>
    </w:rPr>
  </w:style>
  <w:style w:type="character" w:customStyle="1" w:styleId="Heading5Char">
    <w:name w:val="Heading 5 Char"/>
    <w:basedOn w:val="DefaultParagraphFont"/>
    <w:link w:val="Heading5"/>
    <w:uiPriority w:val="9"/>
    <w:rsid w:val="002F7B77"/>
    <w:rPr>
      <w:rFonts w:ascii="Times New Roman" w:eastAsia="Times New Roman" w:hAnsi="Times New Roman" w:cs="Times New Roman"/>
      <w:b/>
      <w:bCs/>
      <w:sz w:val="20"/>
      <w:szCs w:val="20"/>
      <w:lang w:eastAsia="fr-CI"/>
    </w:rPr>
  </w:style>
  <w:style w:type="table" w:styleId="TableGridLight">
    <w:name w:val="Grid Table Light"/>
    <w:basedOn w:val="TableNormal"/>
    <w:uiPriority w:val="40"/>
    <w:rsid w:val="00B208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707FB"/>
    <w:pPr>
      <w:spacing w:after="0" w:line="240" w:lineRule="auto"/>
    </w:pPr>
    <w:rPr>
      <w:rFonts w:eastAsiaTheme="minorEastAsia"/>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84"/>
    <w:pPr>
      <w:ind w:left="720"/>
      <w:contextualSpacing/>
    </w:pPr>
  </w:style>
  <w:style w:type="paragraph" w:styleId="Header">
    <w:name w:val="header"/>
    <w:basedOn w:val="Normal"/>
    <w:link w:val="HeaderChar"/>
    <w:uiPriority w:val="99"/>
    <w:unhideWhenUsed/>
    <w:rsid w:val="00C80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496"/>
  </w:style>
  <w:style w:type="paragraph" w:styleId="Footer">
    <w:name w:val="footer"/>
    <w:basedOn w:val="Normal"/>
    <w:link w:val="FooterChar"/>
    <w:uiPriority w:val="99"/>
    <w:unhideWhenUsed/>
    <w:rsid w:val="00C80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0652">
      <w:bodyDiv w:val="1"/>
      <w:marLeft w:val="0"/>
      <w:marRight w:val="0"/>
      <w:marTop w:val="0"/>
      <w:marBottom w:val="0"/>
      <w:divBdr>
        <w:top w:val="none" w:sz="0" w:space="0" w:color="auto"/>
        <w:left w:val="none" w:sz="0" w:space="0" w:color="auto"/>
        <w:bottom w:val="none" w:sz="0" w:space="0" w:color="auto"/>
        <w:right w:val="none" w:sz="0" w:space="0" w:color="auto"/>
      </w:divBdr>
    </w:div>
    <w:div w:id="301663109">
      <w:bodyDiv w:val="1"/>
      <w:marLeft w:val="0"/>
      <w:marRight w:val="0"/>
      <w:marTop w:val="0"/>
      <w:marBottom w:val="0"/>
      <w:divBdr>
        <w:top w:val="none" w:sz="0" w:space="0" w:color="auto"/>
        <w:left w:val="none" w:sz="0" w:space="0" w:color="auto"/>
        <w:bottom w:val="none" w:sz="0" w:space="0" w:color="auto"/>
        <w:right w:val="none" w:sz="0" w:space="0" w:color="auto"/>
      </w:divBdr>
    </w:div>
    <w:div w:id="823816703">
      <w:bodyDiv w:val="1"/>
      <w:marLeft w:val="0"/>
      <w:marRight w:val="0"/>
      <w:marTop w:val="0"/>
      <w:marBottom w:val="0"/>
      <w:divBdr>
        <w:top w:val="none" w:sz="0" w:space="0" w:color="auto"/>
        <w:left w:val="none" w:sz="0" w:space="0" w:color="auto"/>
        <w:bottom w:val="none" w:sz="0" w:space="0" w:color="auto"/>
        <w:right w:val="none" w:sz="0" w:space="0" w:color="auto"/>
      </w:divBdr>
    </w:div>
    <w:div w:id="1068697295">
      <w:bodyDiv w:val="1"/>
      <w:marLeft w:val="0"/>
      <w:marRight w:val="0"/>
      <w:marTop w:val="0"/>
      <w:marBottom w:val="0"/>
      <w:divBdr>
        <w:top w:val="none" w:sz="0" w:space="0" w:color="auto"/>
        <w:left w:val="none" w:sz="0" w:space="0" w:color="auto"/>
        <w:bottom w:val="none" w:sz="0" w:space="0" w:color="auto"/>
        <w:right w:val="none" w:sz="0" w:space="0" w:color="auto"/>
      </w:divBdr>
    </w:div>
    <w:div w:id="1447045793">
      <w:bodyDiv w:val="1"/>
      <w:marLeft w:val="0"/>
      <w:marRight w:val="0"/>
      <w:marTop w:val="0"/>
      <w:marBottom w:val="0"/>
      <w:divBdr>
        <w:top w:val="none" w:sz="0" w:space="0" w:color="auto"/>
        <w:left w:val="none" w:sz="0" w:space="0" w:color="auto"/>
        <w:bottom w:val="none" w:sz="0" w:space="0" w:color="auto"/>
        <w:right w:val="none" w:sz="0" w:space="0" w:color="auto"/>
      </w:divBdr>
    </w:div>
    <w:div w:id="1808741402">
      <w:bodyDiv w:val="1"/>
      <w:marLeft w:val="0"/>
      <w:marRight w:val="0"/>
      <w:marTop w:val="0"/>
      <w:marBottom w:val="0"/>
      <w:divBdr>
        <w:top w:val="none" w:sz="0" w:space="0" w:color="auto"/>
        <w:left w:val="none" w:sz="0" w:space="0" w:color="auto"/>
        <w:bottom w:val="none" w:sz="0" w:space="0" w:color="auto"/>
        <w:right w:val="none" w:sz="0" w:space="0" w:color="auto"/>
      </w:divBdr>
    </w:div>
    <w:div w:id="1848325380">
      <w:bodyDiv w:val="1"/>
      <w:marLeft w:val="0"/>
      <w:marRight w:val="0"/>
      <w:marTop w:val="0"/>
      <w:marBottom w:val="0"/>
      <w:divBdr>
        <w:top w:val="none" w:sz="0" w:space="0" w:color="auto"/>
        <w:left w:val="none" w:sz="0" w:space="0" w:color="auto"/>
        <w:bottom w:val="none" w:sz="0" w:space="0" w:color="auto"/>
        <w:right w:val="none" w:sz="0" w:space="0" w:color="auto"/>
      </w:divBdr>
    </w:div>
    <w:div w:id="1918246348">
      <w:bodyDiv w:val="1"/>
      <w:marLeft w:val="0"/>
      <w:marRight w:val="0"/>
      <w:marTop w:val="0"/>
      <w:marBottom w:val="0"/>
      <w:divBdr>
        <w:top w:val="none" w:sz="0" w:space="0" w:color="auto"/>
        <w:left w:val="none" w:sz="0" w:space="0" w:color="auto"/>
        <w:bottom w:val="none" w:sz="0" w:space="0" w:color="auto"/>
        <w:right w:val="none" w:sz="0" w:space="0" w:color="auto"/>
      </w:divBdr>
    </w:div>
    <w:div w:id="1961036060">
      <w:bodyDiv w:val="1"/>
      <w:marLeft w:val="0"/>
      <w:marRight w:val="0"/>
      <w:marTop w:val="0"/>
      <w:marBottom w:val="0"/>
      <w:divBdr>
        <w:top w:val="none" w:sz="0" w:space="0" w:color="auto"/>
        <w:left w:val="none" w:sz="0" w:space="0" w:color="auto"/>
        <w:bottom w:val="none" w:sz="0" w:space="0" w:color="auto"/>
        <w:right w:val="none" w:sz="0" w:space="0" w:color="auto"/>
      </w:divBdr>
    </w:div>
    <w:div w:id="2037609156">
      <w:bodyDiv w:val="1"/>
      <w:marLeft w:val="0"/>
      <w:marRight w:val="0"/>
      <w:marTop w:val="0"/>
      <w:marBottom w:val="0"/>
      <w:divBdr>
        <w:top w:val="none" w:sz="0" w:space="0" w:color="auto"/>
        <w:left w:val="none" w:sz="0" w:space="0" w:color="auto"/>
        <w:bottom w:val="none" w:sz="0" w:space="0" w:color="auto"/>
        <w:right w:val="none" w:sz="0" w:space="0" w:color="auto"/>
      </w:divBdr>
      <w:divsChild>
        <w:div w:id="1888562366">
          <w:marLeft w:val="0"/>
          <w:marRight w:val="0"/>
          <w:marTop w:val="0"/>
          <w:marBottom w:val="0"/>
          <w:divBdr>
            <w:top w:val="none" w:sz="0" w:space="0" w:color="auto"/>
            <w:left w:val="none" w:sz="0" w:space="0" w:color="auto"/>
            <w:bottom w:val="none" w:sz="0" w:space="0" w:color="auto"/>
            <w:right w:val="none" w:sz="0" w:space="0" w:color="auto"/>
          </w:divBdr>
          <w:divsChild>
            <w:div w:id="1967352062">
              <w:marLeft w:val="0"/>
              <w:marRight w:val="0"/>
              <w:marTop w:val="0"/>
              <w:marBottom w:val="0"/>
              <w:divBdr>
                <w:top w:val="none" w:sz="0" w:space="0" w:color="auto"/>
                <w:left w:val="none" w:sz="0" w:space="0" w:color="auto"/>
                <w:bottom w:val="none" w:sz="0" w:space="0" w:color="auto"/>
                <w:right w:val="none" w:sz="0" w:space="0" w:color="auto"/>
              </w:divBdr>
              <w:divsChild>
                <w:div w:id="739912823">
                  <w:marLeft w:val="0"/>
                  <w:marRight w:val="0"/>
                  <w:marTop w:val="0"/>
                  <w:marBottom w:val="0"/>
                  <w:divBdr>
                    <w:top w:val="none" w:sz="0" w:space="0" w:color="auto"/>
                    <w:left w:val="none" w:sz="0" w:space="0" w:color="auto"/>
                    <w:bottom w:val="none" w:sz="0" w:space="0" w:color="auto"/>
                    <w:right w:val="none" w:sz="0" w:space="0" w:color="auto"/>
                  </w:divBdr>
                  <w:divsChild>
                    <w:div w:id="1916695384">
                      <w:marLeft w:val="0"/>
                      <w:marRight w:val="0"/>
                      <w:marTop w:val="0"/>
                      <w:marBottom w:val="0"/>
                      <w:divBdr>
                        <w:top w:val="none" w:sz="0" w:space="0" w:color="auto"/>
                        <w:left w:val="none" w:sz="0" w:space="0" w:color="auto"/>
                        <w:bottom w:val="none" w:sz="0" w:space="0" w:color="auto"/>
                        <w:right w:val="none" w:sz="0" w:space="0" w:color="auto"/>
                      </w:divBdr>
                      <w:divsChild>
                        <w:div w:id="1001588623">
                          <w:marLeft w:val="0"/>
                          <w:marRight w:val="0"/>
                          <w:marTop w:val="0"/>
                          <w:marBottom w:val="0"/>
                          <w:divBdr>
                            <w:top w:val="none" w:sz="0" w:space="0" w:color="auto"/>
                            <w:left w:val="none" w:sz="0" w:space="0" w:color="auto"/>
                            <w:bottom w:val="none" w:sz="0" w:space="0" w:color="auto"/>
                            <w:right w:val="none" w:sz="0" w:space="0" w:color="auto"/>
                          </w:divBdr>
                          <w:divsChild>
                            <w:div w:id="3719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3049</Words>
  <Characters>17385</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59</cp:revision>
  <dcterms:created xsi:type="dcterms:W3CDTF">2025-11-05T10:13:00Z</dcterms:created>
  <dcterms:modified xsi:type="dcterms:W3CDTF">2025-11-06T08:00:00Z</dcterms:modified>
</cp:coreProperties>
</file>