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33FA5" w14:textId="3C115C3B" w:rsidR="00437B39" w:rsidRPr="005F1A2F" w:rsidRDefault="00437B39" w:rsidP="005F1A2F">
      <w:pPr>
        <w:spacing w:after="0" w:line="240" w:lineRule="auto"/>
        <w:jc w:val="right"/>
        <w:rPr>
          <w:rFonts w:cs="Arial"/>
          <w:b/>
          <w:bCs/>
          <w:i/>
          <w:iCs/>
          <w:color w:val="000000"/>
          <w:sz w:val="48"/>
          <w:szCs w:val="48"/>
        </w:rPr>
      </w:pPr>
      <w:r w:rsidRPr="005F1A2F">
        <w:rPr>
          <w:rFonts w:cs="Arial"/>
          <w:b/>
          <w:bCs/>
          <w:color w:val="000000"/>
          <w:sz w:val="48"/>
          <w:szCs w:val="48"/>
        </w:rPr>
        <w:t xml:space="preserve">Utilization of </w:t>
      </w:r>
      <w:r w:rsidR="00005676" w:rsidRPr="005F1A2F">
        <w:rPr>
          <w:rFonts w:cs="Arial"/>
          <w:b/>
          <w:bCs/>
          <w:color w:val="000000"/>
          <w:sz w:val="48"/>
          <w:szCs w:val="48"/>
        </w:rPr>
        <w:t xml:space="preserve">tofu industry effluent as liquid organic fertilizer: effects on growth performance </w:t>
      </w:r>
      <w:r w:rsidRPr="005F1A2F">
        <w:rPr>
          <w:rFonts w:cs="Arial"/>
          <w:b/>
          <w:bCs/>
          <w:color w:val="000000"/>
          <w:sz w:val="48"/>
          <w:szCs w:val="48"/>
        </w:rPr>
        <w:t>of</w:t>
      </w:r>
      <w:r w:rsidR="00005676" w:rsidRPr="005F1A2F">
        <w:rPr>
          <w:rFonts w:cs="Arial"/>
          <w:b/>
          <w:bCs/>
          <w:color w:val="000000"/>
          <w:sz w:val="48"/>
          <w:szCs w:val="48"/>
        </w:rPr>
        <w:t xml:space="preserve"> </w:t>
      </w:r>
      <w:r w:rsidRPr="005F1A2F">
        <w:rPr>
          <w:rFonts w:cs="Arial"/>
          <w:b/>
          <w:bCs/>
          <w:i/>
          <w:iCs/>
          <w:color w:val="000000"/>
          <w:sz w:val="48"/>
          <w:szCs w:val="48"/>
        </w:rPr>
        <w:t xml:space="preserve">Brassica </w:t>
      </w:r>
      <w:proofErr w:type="spellStart"/>
      <w:r w:rsidRPr="005F1A2F">
        <w:rPr>
          <w:rFonts w:cs="Arial"/>
          <w:b/>
          <w:bCs/>
          <w:i/>
          <w:iCs/>
          <w:color w:val="000000"/>
          <w:sz w:val="48"/>
          <w:szCs w:val="48"/>
        </w:rPr>
        <w:t>rapa</w:t>
      </w:r>
      <w:proofErr w:type="spellEnd"/>
      <w:r w:rsidRPr="005F1A2F">
        <w:rPr>
          <w:rFonts w:cs="Arial"/>
          <w:b/>
          <w:bCs/>
          <w:i/>
          <w:iCs/>
          <w:color w:val="000000"/>
          <w:sz w:val="48"/>
          <w:szCs w:val="48"/>
        </w:rPr>
        <w:t xml:space="preserve"> L</w:t>
      </w:r>
      <w:r w:rsidR="000D0C99" w:rsidRPr="005F1A2F">
        <w:rPr>
          <w:rFonts w:cs="Arial"/>
          <w:b/>
          <w:bCs/>
          <w:i/>
          <w:iCs/>
          <w:color w:val="000000"/>
          <w:sz w:val="48"/>
          <w:szCs w:val="48"/>
        </w:rPr>
        <w:t xml:space="preserve"> </w:t>
      </w:r>
      <w:r w:rsidR="000D0C99" w:rsidRPr="005F1A2F">
        <w:rPr>
          <w:rFonts w:cs="Arial"/>
          <w:b/>
          <w:bCs/>
          <w:color w:val="000000"/>
          <w:sz w:val="48"/>
          <w:szCs w:val="48"/>
        </w:rPr>
        <w:t>(</w:t>
      </w:r>
      <w:proofErr w:type="spellStart"/>
      <w:r w:rsidR="000D0C99" w:rsidRPr="005F1A2F">
        <w:rPr>
          <w:rFonts w:cs="Arial"/>
          <w:b/>
          <w:bCs/>
          <w:color w:val="000000"/>
          <w:sz w:val="48"/>
          <w:szCs w:val="48"/>
        </w:rPr>
        <w:t>pokcoy</w:t>
      </w:r>
      <w:proofErr w:type="spellEnd"/>
      <w:r w:rsidR="000D0C99" w:rsidRPr="005F1A2F">
        <w:rPr>
          <w:rFonts w:cs="Arial"/>
          <w:b/>
          <w:bCs/>
          <w:color w:val="000000"/>
          <w:sz w:val="48"/>
          <w:szCs w:val="48"/>
        </w:rPr>
        <w:t>)</w:t>
      </w:r>
    </w:p>
    <w:p w14:paraId="50DC94CC" w14:textId="77777777" w:rsidR="000D0C99" w:rsidRPr="005F1A2F" w:rsidRDefault="000D0C99" w:rsidP="005F1A2F">
      <w:pPr>
        <w:spacing w:after="0" w:line="276" w:lineRule="auto"/>
        <w:jc w:val="right"/>
        <w:rPr>
          <w:rFonts w:cs="Arial"/>
          <w:b/>
          <w:bCs/>
          <w:i/>
          <w:iCs/>
          <w:color w:val="000000"/>
          <w:sz w:val="28"/>
          <w:szCs w:val="28"/>
        </w:rPr>
      </w:pPr>
    </w:p>
    <w:p w14:paraId="647F2927" w14:textId="77777777" w:rsidR="0009389B" w:rsidRPr="005F1A2F" w:rsidRDefault="0009389B" w:rsidP="005F1A2F">
      <w:pPr>
        <w:autoSpaceDE w:val="0"/>
        <w:autoSpaceDN w:val="0"/>
        <w:adjustRightInd w:val="0"/>
        <w:spacing w:after="0" w:line="276" w:lineRule="auto"/>
        <w:jc w:val="right"/>
        <w:rPr>
          <w:rFonts w:cs="Arial"/>
          <w:color w:val="000000"/>
        </w:rPr>
      </w:pPr>
      <w:bookmarkStart w:id="0" w:name="_Hlk212810184"/>
    </w:p>
    <w:bookmarkEnd w:id="0"/>
    <w:p w14:paraId="72F4FD9C" w14:textId="77777777" w:rsidR="00600FFE" w:rsidRPr="005F1A2F" w:rsidRDefault="00600FFE" w:rsidP="004D5998">
      <w:pPr>
        <w:spacing w:after="0" w:line="276" w:lineRule="auto"/>
        <w:jc w:val="both"/>
        <w:rPr>
          <w:rFonts w:eastAsiaTheme="majorEastAsia" w:cs="Arial"/>
          <w:b/>
          <w:color w:val="000000" w:themeColor="text1"/>
        </w:rPr>
      </w:pPr>
    </w:p>
    <w:p w14:paraId="5876219B" w14:textId="77777777" w:rsidR="005F0096" w:rsidRPr="005F1A2F" w:rsidRDefault="005F0096" w:rsidP="004D5998">
      <w:pPr>
        <w:spacing w:after="0" w:line="276" w:lineRule="auto"/>
        <w:jc w:val="both"/>
        <w:rPr>
          <w:rFonts w:eastAsiaTheme="majorEastAsia" w:cs="Arial"/>
          <w:b/>
          <w:color w:val="000000" w:themeColor="text1"/>
        </w:rPr>
      </w:pPr>
    </w:p>
    <w:p w14:paraId="06AE06B5" w14:textId="288B4E62" w:rsidR="00437B39" w:rsidRPr="00A05FC8" w:rsidRDefault="000F2938" w:rsidP="0093767D">
      <w:pPr>
        <w:spacing w:after="120" w:line="276" w:lineRule="auto"/>
        <w:jc w:val="both"/>
        <w:rPr>
          <w:rFonts w:cs="Arial"/>
          <w:b/>
          <w:color w:val="000000"/>
        </w:rPr>
      </w:pPr>
      <w:r w:rsidRPr="00A05FC8">
        <w:rPr>
          <w:rFonts w:eastAsiaTheme="majorEastAsia" w:cs="Arial"/>
          <w:b/>
          <w:color w:val="000000" w:themeColor="text1"/>
        </w:rPr>
        <w:t>ABSTRACT</w:t>
      </w:r>
      <w:r w:rsidR="00396E5D" w:rsidRPr="00A05FC8">
        <w:rPr>
          <w:rFonts w:eastAsiaTheme="majorEastAsia" w:cs="Arial"/>
          <w:b/>
          <w:color w:val="000000" w:themeColor="text1"/>
        </w:rPr>
        <w:t xml:space="preserve">  </w:t>
      </w:r>
    </w:p>
    <w:p w14:paraId="309C9D7B" w14:textId="0928C23B" w:rsidR="00385D91" w:rsidRPr="005F1A2F" w:rsidRDefault="0021248A" w:rsidP="00C00428">
      <w:pPr>
        <w:spacing w:after="0" w:line="276" w:lineRule="auto"/>
        <w:jc w:val="both"/>
        <w:rPr>
          <w:rFonts w:cs="Arial"/>
          <w:sz w:val="20"/>
          <w:szCs w:val="20"/>
        </w:rPr>
      </w:pPr>
      <w:proofErr w:type="gramStart"/>
      <w:r w:rsidRPr="0021248A">
        <w:rPr>
          <w:rFonts w:cs="Arial"/>
          <w:b/>
          <w:sz w:val="20"/>
          <w:szCs w:val="20"/>
        </w:rPr>
        <w:t>Background :</w:t>
      </w:r>
      <w:proofErr w:type="gramEnd"/>
      <w:r>
        <w:rPr>
          <w:rFonts w:cs="Arial"/>
          <w:bCs/>
          <w:sz w:val="20"/>
          <w:szCs w:val="20"/>
        </w:rPr>
        <w:t xml:space="preserve"> </w:t>
      </w:r>
      <w:r>
        <w:rPr>
          <w:rFonts w:cs="Arial"/>
          <w:sz w:val="20"/>
          <w:szCs w:val="20"/>
        </w:rPr>
        <w:t xml:space="preserve"> </w:t>
      </w:r>
      <w:r w:rsidRPr="0021248A">
        <w:rPr>
          <w:rFonts w:cs="Arial"/>
          <w:sz w:val="20"/>
          <w:szCs w:val="20"/>
        </w:rPr>
        <w:t xml:space="preserve">Household-scale tofu production produces nutrient-rich wastewater that poses environmental risks if discharged untreated, yet it has potential as a sustainable source of organic fertilizer. </w:t>
      </w:r>
      <w:r w:rsidRPr="0021248A">
        <w:rPr>
          <w:rFonts w:cs="Arial"/>
          <w:b/>
          <w:bCs/>
          <w:sz w:val="20"/>
          <w:szCs w:val="20"/>
        </w:rPr>
        <w:t>Objective</w:t>
      </w:r>
      <w:r>
        <w:rPr>
          <w:rFonts w:cs="Arial"/>
          <w:sz w:val="20"/>
          <w:szCs w:val="20"/>
        </w:rPr>
        <w:t>:  t</w:t>
      </w:r>
      <w:r w:rsidRPr="0021248A">
        <w:rPr>
          <w:rFonts w:cs="Arial"/>
          <w:sz w:val="20"/>
          <w:szCs w:val="20"/>
        </w:rPr>
        <w:t>his study aimed to evaluate the potential of tofu wastewater as a raw material for liquid organic fertilizer (LOF) and to determine the optimal concentration for enhancing the growth and physiological performance of Brassica rapa L. (</w:t>
      </w:r>
      <w:proofErr w:type="spellStart"/>
      <w:r w:rsidRPr="0021248A">
        <w:rPr>
          <w:rFonts w:cs="Arial"/>
          <w:sz w:val="20"/>
          <w:szCs w:val="20"/>
        </w:rPr>
        <w:t>pakcoy</w:t>
      </w:r>
      <w:proofErr w:type="spellEnd"/>
      <w:r w:rsidRPr="0021248A">
        <w:rPr>
          <w:rFonts w:cs="Arial"/>
          <w:sz w:val="20"/>
          <w:szCs w:val="20"/>
        </w:rPr>
        <w:t xml:space="preserve">). </w:t>
      </w:r>
      <w:proofErr w:type="gramStart"/>
      <w:r w:rsidRPr="0021248A">
        <w:rPr>
          <w:rFonts w:cs="Arial"/>
          <w:b/>
          <w:bCs/>
          <w:sz w:val="20"/>
          <w:szCs w:val="20"/>
        </w:rPr>
        <w:t xml:space="preserve">Methods </w:t>
      </w:r>
      <w:r>
        <w:rPr>
          <w:rFonts w:cs="Arial"/>
          <w:sz w:val="20"/>
          <w:szCs w:val="20"/>
        </w:rPr>
        <w:t>:</w:t>
      </w:r>
      <w:proofErr w:type="gramEnd"/>
      <w:r>
        <w:rPr>
          <w:rFonts w:cs="Arial"/>
          <w:sz w:val="20"/>
          <w:szCs w:val="20"/>
        </w:rPr>
        <w:t xml:space="preserve"> </w:t>
      </w:r>
      <w:r w:rsidRPr="0021248A">
        <w:rPr>
          <w:rFonts w:cs="Arial"/>
          <w:sz w:val="20"/>
          <w:szCs w:val="20"/>
        </w:rPr>
        <w:t>The experiment was arranged using a Completely Randomized Design (CRD) with four LOF concentrations (0%, 10%, 25%, and 50%) applied to soil-based media for four weeks. Growth parameters</w:t>
      </w:r>
      <w:r>
        <w:rPr>
          <w:rFonts w:cs="Arial"/>
          <w:sz w:val="20"/>
          <w:szCs w:val="20"/>
        </w:rPr>
        <w:t xml:space="preserve"> </w:t>
      </w:r>
      <w:r w:rsidRPr="0021248A">
        <w:rPr>
          <w:rFonts w:cs="Arial"/>
          <w:sz w:val="20"/>
          <w:szCs w:val="20"/>
        </w:rPr>
        <w:t>including plant height, number of leaves, fresh weight, dry weight, and protein content</w:t>
      </w:r>
      <w:r>
        <w:rPr>
          <w:rFonts w:cs="Arial"/>
          <w:sz w:val="20"/>
          <w:szCs w:val="20"/>
        </w:rPr>
        <w:t xml:space="preserve"> </w:t>
      </w:r>
      <w:r w:rsidRPr="0021248A">
        <w:rPr>
          <w:rFonts w:cs="Arial"/>
          <w:sz w:val="20"/>
          <w:szCs w:val="20"/>
        </w:rPr>
        <w:t xml:space="preserve">were measured weekly. </w:t>
      </w:r>
      <w:proofErr w:type="gramStart"/>
      <w:r w:rsidRPr="0021248A">
        <w:rPr>
          <w:rFonts w:cs="Arial"/>
          <w:b/>
          <w:bCs/>
          <w:sz w:val="20"/>
          <w:szCs w:val="20"/>
        </w:rPr>
        <w:t xml:space="preserve">Result </w:t>
      </w:r>
      <w:r>
        <w:rPr>
          <w:rFonts w:cs="Arial"/>
          <w:sz w:val="20"/>
          <w:szCs w:val="20"/>
        </w:rPr>
        <w:t>:</w:t>
      </w:r>
      <w:proofErr w:type="gramEnd"/>
      <w:r>
        <w:rPr>
          <w:rFonts w:cs="Arial"/>
          <w:sz w:val="20"/>
          <w:szCs w:val="20"/>
        </w:rPr>
        <w:t xml:space="preserve"> </w:t>
      </w:r>
      <w:r w:rsidRPr="0021248A">
        <w:rPr>
          <w:rFonts w:cs="Arial"/>
          <w:sz w:val="20"/>
          <w:szCs w:val="20"/>
        </w:rPr>
        <w:t>Two-way ANOVA revealed highly significant effects (p &lt; 0.0001) of LOF concentration, observation time, and their interaction on all measured parameters. Tukey’s HSD test indicated that 10% and 25% LOF significantly improved plant growth compared to the control, especially in the third and fourth weeks. Polynomial regression analysis demonstrated a nonlinear dose–response relationship, showing that 10% LOF was optimal in early growth, while 25% LOF yielded the highest biomass and protein content at the final observation. In contrast, the 50% treatment resulted in nutrient oversaturation and potential phytotoxic effects.</w:t>
      </w:r>
      <w:r>
        <w:rPr>
          <w:rFonts w:cs="Arial"/>
          <w:sz w:val="20"/>
          <w:szCs w:val="20"/>
        </w:rPr>
        <w:t xml:space="preserve"> </w:t>
      </w:r>
      <w:proofErr w:type="spellStart"/>
      <w:r w:rsidRPr="0021248A">
        <w:rPr>
          <w:rFonts w:cs="Arial"/>
          <w:b/>
          <w:bCs/>
          <w:sz w:val="20"/>
          <w:szCs w:val="20"/>
        </w:rPr>
        <w:t>Conclution</w:t>
      </w:r>
      <w:proofErr w:type="spellEnd"/>
      <w:r w:rsidRPr="0021248A">
        <w:rPr>
          <w:rFonts w:cs="Arial"/>
          <w:b/>
          <w:bCs/>
          <w:sz w:val="20"/>
          <w:szCs w:val="20"/>
        </w:rPr>
        <w:t>:</w:t>
      </w:r>
      <w:r w:rsidRPr="0021248A">
        <w:rPr>
          <w:rFonts w:cs="Arial"/>
          <w:sz w:val="20"/>
          <w:szCs w:val="20"/>
        </w:rPr>
        <w:t xml:space="preserve"> Overall, the results confirm that tofu wastewater, when properly diluted, can be used effectively as a liquid organic fertilizer to promote sustainable crop growth, reduce environmental pollution, and support circular agricultural systems through the </w:t>
      </w:r>
      <w:proofErr w:type="spellStart"/>
      <w:r w:rsidRPr="0021248A">
        <w:rPr>
          <w:rFonts w:cs="Arial"/>
          <w:sz w:val="20"/>
          <w:szCs w:val="20"/>
        </w:rPr>
        <w:t>valorization</w:t>
      </w:r>
      <w:proofErr w:type="spellEnd"/>
      <w:r w:rsidRPr="0021248A">
        <w:rPr>
          <w:rFonts w:cs="Arial"/>
          <w:sz w:val="20"/>
          <w:szCs w:val="20"/>
        </w:rPr>
        <w:t xml:space="preserve"> of </w:t>
      </w:r>
      <w:proofErr w:type="spellStart"/>
      <w:r w:rsidRPr="0021248A">
        <w:rPr>
          <w:rFonts w:cs="Arial"/>
          <w:sz w:val="20"/>
          <w:szCs w:val="20"/>
        </w:rPr>
        <w:t>agro</w:t>
      </w:r>
      <w:proofErr w:type="spellEnd"/>
      <w:r w:rsidRPr="0021248A">
        <w:rPr>
          <w:rFonts w:cs="Arial"/>
          <w:sz w:val="20"/>
          <w:szCs w:val="20"/>
        </w:rPr>
        <w:t>-industrial effluents.</w:t>
      </w:r>
    </w:p>
    <w:p w14:paraId="1135D4D4" w14:textId="77777777" w:rsidR="0021248A" w:rsidRDefault="0021248A" w:rsidP="00C00428">
      <w:pPr>
        <w:spacing w:after="0" w:line="276" w:lineRule="auto"/>
        <w:jc w:val="both"/>
        <w:rPr>
          <w:rFonts w:cs="Arial"/>
          <w:sz w:val="20"/>
          <w:szCs w:val="20"/>
        </w:rPr>
      </w:pPr>
    </w:p>
    <w:p w14:paraId="160A17DF" w14:textId="102C5502" w:rsidR="00C00428" w:rsidRPr="005F1A2F" w:rsidRDefault="00EB42D6" w:rsidP="00C00428">
      <w:pPr>
        <w:spacing w:after="0" w:line="276" w:lineRule="auto"/>
        <w:jc w:val="both"/>
        <w:rPr>
          <w:rFonts w:cs="Arial"/>
        </w:rPr>
      </w:pPr>
      <w:r w:rsidRPr="005F1A2F">
        <w:rPr>
          <w:rFonts w:cs="Arial"/>
          <w:sz w:val="20"/>
          <w:szCs w:val="20"/>
        </w:rPr>
        <w:t xml:space="preserve">Keywords: </w:t>
      </w:r>
      <w:r w:rsidR="0021248A" w:rsidRPr="0021248A">
        <w:rPr>
          <w:rFonts w:cs="Arial"/>
          <w:sz w:val="20"/>
          <w:szCs w:val="20"/>
        </w:rPr>
        <w:t>Tofu wastewater; Liquid organic fertilizer; Brassica rapa L.; Plant growth; Polynomial regression; Sustainable agriculture</w:t>
      </w:r>
    </w:p>
    <w:p w14:paraId="40C9375B" w14:textId="77777777" w:rsidR="00747E36" w:rsidRPr="005F1A2F" w:rsidRDefault="00747E36" w:rsidP="006314ED">
      <w:pPr>
        <w:spacing w:after="120" w:line="276" w:lineRule="auto"/>
        <w:jc w:val="both"/>
        <w:rPr>
          <w:rFonts w:eastAsia="Times New Roman" w:cs="Arial"/>
          <w:b/>
          <w:bCs/>
          <w:lang w:eastAsia="en-ID"/>
        </w:rPr>
      </w:pPr>
    </w:p>
    <w:p w14:paraId="1BEDE442" w14:textId="77777777" w:rsidR="005F0096" w:rsidRPr="005F1A2F" w:rsidRDefault="005F0096" w:rsidP="00005676">
      <w:pPr>
        <w:spacing w:after="120" w:line="276" w:lineRule="auto"/>
        <w:jc w:val="both"/>
        <w:rPr>
          <w:rFonts w:eastAsia="Times New Roman" w:cs="Arial"/>
          <w:b/>
          <w:bCs/>
          <w:lang w:eastAsia="en-ID"/>
        </w:rPr>
      </w:pPr>
    </w:p>
    <w:p w14:paraId="783ACE6A" w14:textId="77777777" w:rsidR="005F0096" w:rsidRPr="005F1A2F" w:rsidRDefault="005F0096" w:rsidP="00005676">
      <w:pPr>
        <w:spacing w:after="120" w:line="276" w:lineRule="auto"/>
        <w:jc w:val="both"/>
        <w:rPr>
          <w:rFonts w:eastAsia="Times New Roman" w:cs="Arial"/>
          <w:b/>
          <w:bCs/>
          <w:lang w:eastAsia="en-ID"/>
        </w:rPr>
      </w:pPr>
    </w:p>
    <w:p w14:paraId="642B950B" w14:textId="105A6E01" w:rsidR="00F519EF" w:rsidRPr="005F1A2F" w:rsidRDefault="00747E36" w:rsidP="00005676">
      <w:pPr>
        <w:spacing w:after="120" w:line="276" w:lineRule="auto"/>
        <w:jc w:val="both"/>
        <w:rPr>
          <w:rFonts w:eastAsia="Times New Roman" w:cs="Arial"/>
          <w:b/>
          <w:bCs/>
          <w:lang w:eastAsia="en-ID"/>
        </w:rPr>
      </w:pPr>
      <w:r w:rsidRPr="005F1A2F">
        <w:rPr>
          <w:rFonts w:eastAsia="Times New Roman" w:cs="Arial"/>
          <w:b/>
          <w:bCs/>
          <w:lang w:eastAsia="en-ID"/>
        </w:rPr>
        <w:t>INTRODUCTION</w:t>
      </w:r>
    </w:p>
    <w:p w14:paraId="27A85409" w14:textId="3EAD5A5C" w:rsidR="001942A7" w:rsidRPr="00A05FC8" w:rsidRDefault="00EB42D6" w:rsidP="00005676">
      <w:pPr>
        <w:pStyle w:val="NormalWeb"/>
        <w:spacing w:before="0" w:beforeAutospacing="0" w:after="0" w:afterAutospacing="0" w:line="276" w:lineRule="auto"/>
        <w:ind w:firstLine="567"/>
        <w:jc w:val="both"/>
        <w:rPr>
          <w:rFonts w:ascii="Arial" w:hAnsi="Arial" w:cs="Arial"/>
          <w:sz w:val="20"/>
          <w:szCs w:val="20"/>
        </w:rPr>
      </w:pPr>
      <w:r w:rsidRPr="00A05FC8">
        <w:rPr>
          <w:rFonts w:ascii="Arial" w:hAnsi="Arial" w:cs="Arial"/>
          <w:sz w:val="20"/>
          <w:szCs w:val="20"/>
        </w:rPr>
        <w:t xml:space="preserve">The tofu industry is one of the most rapidly growing micro-enterprises in rural Indonesia. Characterized by low capital requirements, simple production technology, and easy access to raw materials, this sector provides a vital source of income for many households and plays a significant role in promoting local economic development </w:t>
      </w:r>
      <w:r w:rsidR="00B45C3B" w:rsidRPr="00A05FC8">
        <w:rPr>
          <w:rFonts w:ascii="Arial" w:hAnsi="Arial" w:cs="Arial"/>
          <w:sz w:val="20"/>
          <w:szCs w:val="20"/>
        </w:rPr>
        <w:lastRenderedPageBreak/>
        <w:fldChar w:fldCharType="begin" w:fldLock="1"/>
      </w:r>
      <w:r w:rsidR="00B45C3B" w:rsidRPr="00A05FC8">
        <w:rPr>
          <w:rFonts w:ascii="Arial" w:hAnsi="Arial" w:cs="Arial"/>
          <w:sz w:val="20"/>
          <w:szCs w:val="20"/>
        </w:rPr>
        <w:instrText>ADDIN CSL_CITATION {"citationItems":[{"id":"ITEM-1","itemData":{"ISSN":"2961-712X","author":[{"dropping-particle":"","family":"Harahap","given":"Junda","non-dropping-particle":"","parse-names":false,"suffix":""},{"dropping-particle":"","family":"Nasution","given":"Nur Hakima Akhirani","non-dropping-particle":"","parse-names":false,"suffix":""},{"dropping-particle":"","family":"Angraeni","given":"Rini","non-dropping-particle":"","parse-names":false,"suffix":""}],"container-title":"International Journal of Economics (IJEC)","id":"ITEM-1","issue":"1","issued":{"date-parts":[["2023"]]},"title":"The Role of Home Industry in Improving Family Welfare of Tofu Home Industry Employees According to Islamic Economics in Aek Lancat Village, Lubuk Barumun District.","type":"article-journal","volume":"2"},"uris":["http://www.mendeley.com/documents/?uuid=2d5af02b-e11e-446d-ba1e-e897bc248065"]}],"mendeley":{"formattedCitation":"(Harahap, Nasution and Angraeni, 2023)","plainTextFormattedCitation":"(Harahap, Nasution and Angraeni, 2023)","previouslyFormattedCitation":"(Harahap, Nasution and Angraeni, 2023)"},"properties":{"noteIndex":0},"schema":"https://github.com/citation-style-language/schema/raw/master/csl-citation.json"}</w:instrText>
      </w:r>
      <w:r w:rsidR="00B45C3B" w:rsidRPr="00A05FC8">
        <w:rPr>
          <w:rFonts w:ascii="Arial" w:hAnsi="Arial" w:cs="Arial"/>
          <w:sz w:val="20"/>
          <w:szCs w:val="20"/>
        </w:rPr>
        <w:fldChar w:fldCharType="separate"/>
      </w:r>
      <w:r w:rsidR="00B45C3B" w:rsidRPr="00A05FC8">
        <w:rPr>
          <w:rFonts w:ascii="Arial" w:hAnsi="Arial" w:cs="Arial"/>
          <w:noProof/>
          <w:sz w:val="20"/>
          <w:szCs w:val="20"/>
        </w:rPr>
        <w:t>(Harahap, Nasution and Angraeni, 2023)</w:t>
      </w:r>
      <w:r w:rsidR="00B45C3B" w:rsidRPr="00A05FC8">
        <w:rPr>
          <w:rFonts w:ascii="Arial" w:hAnsi="Arial" w:cs="Arial"/>
          <w:sz w:val="20"/>
          <w:szCs w:val="20"/>
        </w:rPr>
        <w:fldChar w:fldCharType="end"/>
      </w:r>
      <w:r w:rsidR="001942A7" w:rsidRPr="00A05FC8">
        <w:rPr>
          <w:rFonts w:ascii="Arial" w:hAnsi="Arial" w:cs="Arial"/>
          <w:sz w:val="20"/>
          <w:szCs w:val="20"/>
        </w:rPr>
        <w:t xml:space="preserve"> </w:t>
      </w:r>
      <w:r w:rsidR="00B45C3B" w:rsidRPr="00A05FC8">
        <w:rPr>
          <w:rFonts w:ascii="Arial" w:hAnsi="Arial" w:cs="Arial"/>
          <w:sz w:val="20"/>
          <w:szCs w:val="20"/>
        </w:rPr>
        <w:fldChar w:fldCharType="begin" w:fldLock="1"/>
      </w:r>
      <w:r w:rsidR="00D72D27" w:rsidRPr="00A05FC8">
        <w:rPr>
          <w:rFonts w:ascii="Arial" w:hAnsi="Arial" w:cs="Arial"/>
          <w:sz w:val="20"/>
          <w:szCs w:val="20"/>
        </w:rPr>
        <w:instrText>ADDIN CSL_CITATION {"citationItems":[{"id":"ITEM-1","itemData":{"ISSN":"2405-8440","author":[{"dropping-particle":"","family":"Karim","given":"Ahasanul","non-dropping-particle":"","parse-names":false,"suffix":""},{"dropping-particle":"","family":"Osse","given":"Emmanuel Freddy","non-dropping-particle":"","parse-names":false,"suffix":""},{"dropping-particle":"","family":"Khalloufi","given":"Seddik","non-dropping-particle":"","parse-names":false,"suffix":""}],"container-title":"Heliyon","id":"ITEM-1","issued":{"date-parts":[["2025"]]},"publisher":"Elsevier","title":"Innovative strategies for valorization of byproducts from soybean industry: A review on status, challenges, and sustainable approaches towards zero-waste processing systems","type":"article-journal"},"uris":["http://www.mendeley.com/documents/?uuid=0433b5cb-d68f-49e1-a386-adfc57524c20"]}],"mendeley":{"formattedCitation":"(Karim, Osse and Khalloufi, 2025)","plainTextFormattedCitation":"(Karim, Osse and Khalloufi, 2025)","previouslyFormattedCitation":"(Karim, Osse and Khalloufi, 2025)"},"properties":{"noteIndex":0},"schema":"https://github.com/citation-style-language/schema/raw/master/csl-citation.json"}</w:instrText>
      </w:r>
      <w:r w:rsidR="00B45C3B" w:rsidRPr="00A05FC8">
        <w:rPr>
          <w:rFonts w:ascii="Arial" w:hAnsi="Arial" w:cs="Arial"/>
          <w:sz w:val="20"/>
          <w:szCs w:val="20"/>
        </w:rPr>
        <w:fldChar w:fldCharType="separate"/>
      </w:r>
      <w:r w:rsidR="00B45C3B" w:rsidRPr="00A05FC8">
        <w:rPr>
          <w:rFonts w:ascii="Arial" w:hAnsi="Arial" w:cs="Arial"/>
          <w:noProof/>
          <w:sz w:val="20"/>
          <w:szCs w:val="20"/>
        </w:rPr>
        <w:t>(Karim, Osse and Khalloufi, 2025)</w:t>
      </w:r>
      <w:r w:rsidR="00B45C3B" w:rsidRPr="00A05FC8">
        <w:rPr>
          <w:rFonts w:ascii="Arial" w:hAnsi="Arial" w:cs="Arial"/>
          <w:sz w:val="20"/>
          <w:szCs w:val="20"/>
        </w:rPr>
        <w:fldChar w:fldCharType="end"/>
      </w:r>
      <w:r w:rsidR="00D72D27" w:rsidRPr="00A05FC8">
        <w:rPr>
          <w:rFonts w:ascii="Arial" w:hAnsi="Arial" w:cs="Arial"/>
          <w:sz w:val="20"/>
          <w:szCs w:val="20"/>
        </w:rPr>
        <w:t xml:space="preserve">. </w:t>
      </w:r>
      <w:r w:rsidRPr="00A05FC8">
        <w:rPr>
          <w:rFonts w:ascii="Arial" w:hAnsi="Arial" w:cs="Arial"/>
          <w:sz w:val="20"/>
          <w:szCs w:val="20"/>
        </w:rPr>
        <w:t xml:space="preserve">Nevertheless, alongside its socioeconomic benefits, tofu production poses significant environmental challenges. The wastewater generated during key processing stages such as soybean washing, soaking, and filtration contains high concentrations of organic compounds, including proteins, lipids, and carbohydrates, as well as essential nutrients like nitrogen (N), phosphorus (P), and potassium (K). These constituents contribute to elevated levels of Biochemical Oxygen Demand (BOD) and Chemical Oxygen Demand (COD), which can reach concentrations of 5,000–10,000 mg/L and 7,000–12,000 mg/L, respectively. </w:t>
      </w:r>
      <w:r w:rsidR="00D72D27" w:rsidRPr="00A05FC8">
        <w:rPr>
          <w:rFonts w:ascii="Arial" w:hAnsi="Arial" w:cs="Arial"/>
          <w:sz w:val="20"/>
          <w:szCs w:val="20"/>
        </w:rPr>
        <w:fldChar w:fldCharType="begin" w:fldLock="1"/>
      </w:r>
      <w:r w:rsidR="00D72D27" w:rsidRPr="00A05FC8">
        <w:rPr>
          <w:rFonts w:ascii="Arial" w:hAnsi="Arial" w:cs="Arial"/>
          <w:sz w:val="20"/>
          <w:szCs w:val="20"/>
        </w:rPr>
        <w:instrText>ADDIN CSL_CITATION {"citationItems":[{"id":"ITEM-1","itemData":{"ISSN":"0970-7077","author":[{"dropping-particle":"","family":"Faisal","given":"M","non-dropping-particle":"","parse-names":false,"suffix":""},{"dropping-particle":"","family":"Gani","given":"Asri","non-dropping-particle":"","parse-names":false,"suffix":""},{"dropping-particle":"","family":"Mulana","given":"Farid","non-dropping-particle":"","parse-names":false,"suffix":""},{"dropping-particle":"","family":"Daimon","given":"H","non-dropping-particle":"","parse-names":false,"suffix":""}],"container-title":"Asian Journal of Chemistry","id":"ITEM-1","issue":"3","issued":{"date-parts":[["2016"]]},"title":"Treatment and utilization of industrial tofu waste in Indonesia.","type":"article-journal","volume":"28"},"uris":["http://www.mendeley.com/documents/?uuid=150daad3-f535-4ae7-8e4f-574c4247fa69"]}],"mendeley":{"formattedCitation":"(Faisal &lt;i&gt;et al.&lt;/i&gt;, 2016)","plainTextFormattedCitation":"(Faisal et al., 2016)","previouslyFormattedCitation":"(Faisal &lt;i&gt;et al.&lt;/i&gt;, 2016)"},"properties":{"noteIndex":0},"schema":"https://github.com/citation-style-language/schema/raw/master/csl-citation.json"}</w:instrText>
      </w:r>
      <w:r w:rsidR="00D72D27" w:rsidRPr="00A05FC8">
        <w:rPr>
          <w:rFonts w:ascii="Arial" w:hAnsi="Arial" w:cs="Arial"/>
          <w:sz w:val="20"/>
          <w:szCs w:val="20"/>
        </w:rPr>
        <w:fldChar w:fldCharType="separate"/>
      </w:r>
      <w:r w:rsidR="00D72D27" w:rsidRPr="00A05FC8">
        <w:rPr>
          <w:rFonts w:ascii="Arial" w:hAnsi="Arial" w:cs="Arial"/>
          <w:noProof/>
          <w:sz w:val="20"/>
          <w:szCs w:val="20"/>
        </w:rPr>
        <w:t xml:space="preserve">(Faisal </w:t>
      </w:r>
      <w:r w:rsidR="00D72D27" w:rsidRPr="00A05FC8">
        <w:rPr>
          <w:rFonts w:ascii="Arial" w:hAnsi="Arial" w:cs="Arial"/>
          <w:i/>
          <w:noProof/>
          <w:sz w:val="20"/>
          <w:szCs w:val="20"/>
        </w:rPr>
        <w:t>et al.</w:t>
      </w:r>
      <w:r w:rsidR="00D72D27" w:rsidRPr="00A05FC8">
        <w:rPr>
          <w:rFonts w:ascii="Arial" w:hAnsi="Arial" w:cs="Arial"/>
          <w:noProof/>
          <w:sz w:val="20"/>
          <w:szCs w:val="20"/>
        </w:rPr>
        <w:t>, 2016)</w:t>
      </w:r>
      <w:r w:rsidR="00D72D27" w:rsidRPr="00A05FC8">
        <w:rPr>
          <w:rFonts w:ascii="Arial" w:hAnsi="Arial" w:cs="Arial"/>
          <w:sz w:val="20"/>
          <w:szCs w:val="20"/>
        </w:rPr>
        <w:fldChar w:fldCharType="end"/>
      </w:r>
      <w:r w:rsidR="001942A7" w:rsidRPr="00A05FC8">
        <w:rPr>
          <w:rFonts w:ascii="Arial" w:hAnsi="Arial" w:cs="Arial"/>
          <w:sz w:val="20"/>
          <w:szCs w:val="20"/>
        </w:rPr>
        <w:t xml:space="preserve"> respectively</w:t>
      </w:r>
      <w:r w:rsidR="00B45C3B" w:rsidRPr="00A05FC8">
        <w:rPr>
          <w:rFonts w:ascii="Arial" w:hAnsi="Arial" w:cs="Arial"/>
          <w:sz w:val="20"/>
          <w:szCs w:val="20"/>
        </w:rPr>
        <w:t xml:space="preserve"> </w:t>
      </w:r>
      <w:r w:rsidR="001942A7" w:rsidRPr="00A05FC8">
        <w:rPr>
          <w:rFonts w:ascii="Arial" w:hAnsi="Arial" w:cs="Arial"/>
          <w:sz w:val="20"/>
          <w:szCs w:val="20"/>
        </w:rPr>
        <w:t>substantially exceeding the effluent quality standards stipulated by the Indonesian Ministry of Environment and Forestry Regulation No. 5 of 2014</w:t>
      </w:r>
      <w:r w:rsidRPr="00A05FC8">
        <w:rPr>
          <w:rFonts w:ascii="Arial" w:hAnsi="Arial" w:cs="Arial"/>
          <w:sz w:val="20"/>
          <w:szCs w:val="20"/>
        </w:rPr>
        <w:t xml:space="preserve"> </w:t>
      </w:r>
      <w:r w:rsidR="00D72D27" w:rsidRPr="00A05FC8">
        <w:rPr>
          <w:rFonts w:ascii="Arial" w:hAnsi="Arial" w:cs="Arial"/>
          <w:sz w:val="20"/>
          <w:szCs w:val="20"/>
        </w:rPr>
        <w:fldChar w:fldCharType="begin" w:fldLock="1"/>
      </w:r>
      <w:r w:rsidR="003D1D4C" w:rsidRPr="00A05FC8">
        <w:rPr>
          <w:rFonts w:ascii="Arial" w:hAnsi="Arial" w:cs="Arial"/>
          <w:sz w:val="20"/>
          <w:szCs w:val="20"/>
        </w:rPr>
        <w:instrText>ADDIN CSL_CITATION {"citationItems":[{"id":"ITEM-1","itemData":{"ISBN":"1755-1315","author":[{"dropping-particle":"","family":"Persulessy","given":"A E","non-dropping-particle":"","parse-names":false,"suffix":""},{"dropping-particle":"","family":"Rosmalina","given":"R T","non-dropping-particle":"","parse-names":false,"suffix":""},{"dropping-particle":"","family":"Hartati","given":"E","non-dropping-particle":"","parse-names":false,"suffix":""},{"dropping-particle":"","family":"Putra","given":"R D","non-dropping-particle":"","parse-names":false,"suffix":""}],"container-title":"IOP Conference Series: Earth and Environmental Science","id":"ITEM-1","issue":"1","issued":{"date-parts":[["2020"]]},"page":"12014","publisher":"IOP Publishing","title":"Tofu’s Liquid waste treatment by continuous vermibiofilter column-type reactor","type":"paper-conference","volume":"483"},"uris":["http://www.mendeley.com/documents/?uuid=2891d503-ec63-40af-9a1c-f0938d4e0860"]}],"mendeley":{"formattedCitation":"(Persulessy &lt;i&gt;et al.&lt;/i&gt;, 2020)","plainTextFormattedCitation":"(Persulessy et al., 2020)","previouslyFormattedCitation":"(Persulessy &lt;i&gt;et al.&lt;/i&gt;, 2020)"},"properties":{"noteIndex":0},"schema":"https://github.com/citation-style-language/schema/raw/master/csl-citation.json"}</w:instrText>
      </w:r>
      <w:r w:rsidR="00D72D27" w:rsidRPr="00A05FC8">
        <w:rPr>
          <w:rFonts w:ascii="Arial" w:hAnsi="Arial" w:cs="Arial"/>
          <w:sz w:val="20"/>
          <w:szCs w:val="20"/>
        </w:rPr>
        <w:fldChar w:fldCharType="separate"/>
      </w:r>
      <w:r w:rsidR="00D72D27" w:rsidRPr="00A05FC8">
        <w:rPr>
          <w:rFonts w:ascii="Arial" w:hAnsi="Arial" w:cs="Arial"/>
          <w:noProof/>
          <w:sz w:val="20"/>
          <w:szCs w:val="20"/>
        </w:rPr>
        <w:t xml:space="preserve">(Persulessy </w:t>
      </w:r>
      <w:r w:rsidR="00D72D27" w:rsidRPr="00A05FC8">
        <w:rPr>
          <w:rFonts w:ascii="Arial" w:hAnsi="Arial" w:cs="Arial"/>
          <w:i/>
          <w:noProof/>
          <w:sz w:val="20"/>
          <w:szCs w:val="20"/>
        </w:rPr>
        <w:t>et al.</w:t>
      </w:r>
      <w:r w:rsidR="00D72D27" w:rsidRPr="00A05FC8">
        <w:rPr>
          <w:rFonts w:ascii="Arial" w:hAnsi="Arial" w:cs="Arial"/>
          <w:noProof/>
          <w:sz w:val="20"/>
          <w:szCs w:val="20"/>
        </w:rPr>
        <w:t>, 2020)</w:t>
      </w:r>
      <w:r w:rsidR="00D72D27" w:rsidRPr="00A05FC8">
        <w:rPr>
          <w:rFonts w:ascii="Arial" w:hAnsi="Arial" w:cs="Arial"/>
          <w:sz w:val="20"/>
          <w:szCs w:val="20"/>
        </w:rPr>
        <w:fldChar w:fldCharType="end"/>
      </w:r>
    </w:p>
    <w:p w14:paraId="5D357905" w14:textId="774082FE" w:rsidR="001942A7" w:rsidRPr="00A05FC8" w:rsidRDefault="00EB42D6" w:rsidP="00005676">
      <w:pPr>
        <w:pStyle w:val="NormalWeb"/>
        <w:spacing w:before="0" w:beforeAutospacing="0" w:after="0" w:afterAutospacing="0" w:line="276" w:lineRule="auto"/>
        <w:ind w:firstLine="567"/>
        <w:jc w:val="both"/>
        <w:rPr>
          <w:rFonts w:ascii="Arial" w:hAnsi="Arial" w:cs="Arial"/>
          <w:sz w:val="20"/>
          <w:szCs w:val="20"/>
        </w:rPr>
      </w:pPr>
      <w:r w:rsidRPr="00A05FC8">
        <w:rPr>
          <w:rFonts w:ascii="Arial" w:hAnsi="Arial" w:cs="Arial"/>
          <w:sz w:val="20"/>
          <w:szCs w:val="20"/>
        </w:rPr>
        <w:t>Nevertheless, alongside its socioeconomic benefits, tofu production poses significant environmental challenges. The wastewater generated during key processing stages</w:t>
      </w:r>
      <w:r w:rsidR="006B4A0F" w:rsidRPr="00A05FC8">
        <w:rPr>
          <w:rFonts w:ascii="Arial" w:hAnsi="Arial" w:cs="Arial"/>
          <w:sz w:val="20"/>
          <w:szCs w:val="20"/>
        </w:rPr>
        <w:t xml:space="preserve"> </w:t>
      </w:r>
      <w:r w:rsidRPr="00A05FC8">
        <w:rPr>
          <w:rFonts w:ascii="Arial" w:hAnsi="Arial" w:cs="Arial"/>
          <w:sz w:val="20"/>
          <w:szCs w:val="20"/>
        </w:rPr>
        <w:t>such as soybean washing, soaking, and filtration</w:t>
      </w:r>
      <w:r w:rsidR="006B4A0F" w:rsidRPr="00A05FC8">
        <w:rPr>
          <w:rFonts w:ascii="Arial" w:hAnsi="Arial" w:cs="Arial"/>
          <w:sz w:val="20"/>
          <w:szCs w:val="20"/>
        </w:rPr>
        <w:t xml:space="preserve"> </w:t>
      </w:r>
      <w:r w:rsidRPr="00A05FC8">
        <w:rPr>
          <w:rFonts w:ascii="Arial" w:hAnsi="Arial" w:cs="Arial"/>
          <w:sz w:val="20"/>
          <w:szCs w:val="20"/>
        </w:rPr>
        <w:t xml:space="preserve">contains high concentrations of organic compounds, including proteins, lipids, and carbohydrates, as well as essential nutrients like nitrogen (N), phosphorus (P), and potassium (K). These constituents contribute to elevated levels of Biochemical Oxygen Demand (BOD) and Chemical Oxygen Demand (COD), which can reach concentrations of 5,000–10,000 mg/L and 7,000–12,000 mg/L, respectively  </w:t>
      </w:r>
      <w:r w:rsidR="003D1D4C" w:rsidRPr="00A05FC8">
        <w:rPr>
          <w:rFonts w:ascii="Arial" w:hAnsi="Arial" w:cs="Arial"/>
          <w:sz w:val="20"/>
          <w:szCs w:val="20"/>
        </w:rPr>
        <w:fldChar w:fldCharType="begin" w:fldLock="1"/>
      </w:r>
      <w:r w:rsidR="00EA6521" w:rsidRPr="00A05FC8">
        <w:rPr>
          <w:rFonts w:ascii="Arial" w:hAnsi="Arial" w:cs="Arial"/>
          <w:sz w:val="20"/>
          <w:szCs w:val="20"/>
        </w:rPr>
        <w:instrText>ADDIN CSL_CITATION {"citationItems":[{"id":"ITEM-1","itemData":{"ISSN":"2716-3970","author":[{"dropping-particle":"","family":"Prasetyo","given":"Arifin Heri","non-dropping-particle":"","parse-names":false,"suffix":""},{"dropping-particle":"","family":"Saga","given":"Pradicko Afrindo","non-dropping-particle":"","parse-names":false,"suffix":""},{"dropping-particle":"","family":"Mokodongan","given":"Trisagia","non-dropping-particle":"","parse-names":false,"suffix":""},{"dropping-particle":"","family":"Turgarini","given":"Dewi","non-dropping-particle":"","parse-names":false,"suffix":""}],"container-title":"The Journal Gastronomy Tourism","id":"ITEM-1","issue":"2","issued":{"date-parts":[["2022"]]},"page":"68-81","title":"Preservation of traditional and local foods of Blora Regency as a gastronomic tourist attraction","type":"article-journal","volume":"9"},"uris":["http://www.mendeley.com/documents/?uuid=ac52e947-4bde-473a-9879-ef18a5431dcb"]}],"mendeley":{"formattedCitation":"(Prasetyo &lt;i&gt;et al.&lt;/i&gt;, 2022)","plainTextFormattedCitation":"(Prasetyo et al., 2022)","previouslyFormattedCitation":"(Prasetyo &lt;i&gt;et al.&lt;/i&gt;, 2022)"},"properties":{"noteIndex":0},"schema":"https://github.com/citation-style-language/schema/raw/master/csl-citation.json"}</w:instrText>
      </w:r>
      <w:r w:rsidR="003D1D4C" w:rsidRPr="00A05FC8">
        <w:rPr>
          <w:rFonts w:ascii="Arial" w:hAnsi="Arial" w:cs="Arial"/>
          <w:sz w:val="20"/>
          <w:szCs w:val="20"/>
        </w:rPr>
        <w:fldChar w:fldCharType="separate"/>
      </w:r>
      <w:r w:rsidR="003D1D4C" w:rsidRPr="00A05FC8">
        <w:rPr>
          <w:rFonts w:ascii="Arial" w:hAnsi="Arial" w:cs="Arial"/>
          <w:noProof/>
          <w:sz w:val="20"/>
          <w:szCs w:val="20"/>
        </w:rPr>
        <w:t xml:space="preserve">(Prasetyo </w:t>
      </w:r>
      <w:r w:rsidR="003D1D4C" w:rsidRPr="00A05FC8">
        <w:rPr>
          <w:rFonts w:ascii="Arial" w:hAnsi="Arial" w:cs="Arial"/>
          <w:i/>
          <w:noProof/>
          <w:sz w:val="20"/>
          <w:szCs w:val="20"/>
        </w:rPr>
        <w:t>et al.</w:t>
      </w:r>
      <w:r w:rsidR="003D1D4C" w:rsidRPr="00A05FC8">
        <w:rPr>
          <w:rFonts w:ascii="Arial" w:hAnsi="Arial" w:cs="Arial"/>
          <w:noProof/>
          <w:sz w:val="20"/>
          <w:szCs w:val="20"/>
        </w:rPr>
        <w:t>, 2022)</w:t>
      </w:r>
      <w:r w:rsidR="003D1D4C" w:rsidRPr="00A05FC8">
        <w:rPr>
          <w:rFonts w:ascii="Arial" w:hAnsi="Arial" w:cs="Arial"/>
          <w:sz w:val="20"/>
          <w:szCs w:val="20"/>
        </w:rPr>
        <w:fldChar w:fldCharType="end"/>
      </w:r>
    </w:p>
    <w:p w14:paraId="5B943B24" w14:textId="4F039178" w:rsidR="001942A7" w:rsidRPr="00A05FC8" w:rsidRDefault="00EB42D6" w:rsidP="00005676">
      <w:pPr>
        <w:pStyle w:val="NormalWeb"/>
        <w:spacing w:before="0" w:beforeAutospacing="0" w:after="0" w:afterAutospacing="0" w:line="276" w:lineRule="auto"/>
        <w:ind w:firstLine="567"/>
        <w:jc w:val="both"/>
        <w:rPr>
          <w:rFonts w:ascii="Arial" w:hAnsi="Arial" w:cs="Arial"/>
          <w:sz w:val="20"/>
          <w:szCs w:val="20"/>
        </w:rPr>
      </w:pPr>
      <w:r w:rsidRPr="00A05FC8">
        <w:rPr>
          <w:rFonts w:ascii="Arial" w:hAnsi="Arial" w:cs="Arial"/>
          <w:sz w:val="20"/>
          <w:szCs w:val="20"/>
        </w:rPr>
        <w:t xml:space="preserve">One strategic and sustainable response to the aforementioned environmental challenge is the </w:t>
      </w:r>
      <w:proofErr w:type="spellStart"/>
      <w:r w:rsidRPr="00A05FC8">
        <w:rPr>
          <w:rFonts w:ascii="Arial" w:hAnsi="Arial" w:cs="Arial"/>
          <w:sz w:val="20"/>
          <w:szCs w:val="20"/>
        </w:rPr>
        <w:t>valorization</w:t>
      </w:r>
      <w:proofErr w:type="spellEnd"/>
      <w:r w:rsidRPr="00A05FC8">
        <w:rPr>
          <w:rFonts w:ascii="Arial" w:hAnsi="Arial" w:cs="Arial"/>
          <w:sz w:val="20"/>
          <w:szCs w:val="20"/>
        </w:rPr>
        <w:t xml:space="preserve"> of tofu industry effluent through its conversion into liquid organic fertilizer (LOF). With appropriate treatment, the nutrient-rich content of the wastewater particularly nitrogen, phosphorus, and potassium can be transformed into a bioavailable nutrient solution that supports plant growth </w:t>
      </w:r>
      <w:r w:rsidR="00EA6521" w:rsidRPr="00A05FC8">
        <w:rPr>
          <w:rFonts w:ascii="Arial" w:hAnsi="Arial" w:cs="Arial"/>
          <w:sz w:val="20"/>
          <w:szCs w:val="20"/>
        </w:rPr>
        <w:fldChar w:fldCharType="begin" w:fldLock="1"/>
      </w:r>
      <w:r w:rsidR="00EA6521" w:rsidRPr="00A05FC8">
        <w:rPr>
          <w:rFonts w:ascii="Arial" w:hAnsi="Arial" w:cs="Arial"/>
          <w:sz w:val="20"/>
          <w:szCs w:val="20"/>
        </w:rPr>
        <w:instrText>ADDIN CSL_CITATION {"citationItems":[{"id":"ITEM-1","itemData":{"ISSN":"2299-8993","author":[{"dropping-particle":"","family":"Afifah","given":"Ratih Nur","non-dropping-particle":"","parse-names":false,"suffix":""},{"dropping-particle":"","family":"Setyono","given":"Prabang","non-dropping-particle":"","parse-names":false,"suffix":""},{"dropping-particle":"","family":"Rachmawati","given":"Siti","non-dropping-particle":"","parse-names":false,"suffix":""}],"container-title":"Journal of Ecological Engineering","id":"ITEM-1","issue":"10","issued":{"date-parts":[["2024"]]},"title":"Utilization of WWTP Output into Liquid Organic Fertilizer on the Growth of Pak Choi (Brassica rapa L.).","type":"article-journal","volume":"25"},"uris":["http://www.mendeley.com/documents/?uuid=29c40264-79d6-455e-86f8-eb9ec3845c6c"]}],"mendeley":{"formattedCitation":"(Afifah, Setyono and Rachmawati, 2024)","plainTextFormattedCitation":"(Afifah, Setyono and Rachmawati, 2024)","previouslyFormattedCitation":"(Afifah, Setyono and Rachmawati, 2024)"},"properties":{"noteIndex":0},"schema":"https://github.com/citation-style-language/schema/raw/master/csl-citation.json"}</w:instrText>
      </w:r>
      <w:r w:rsidR="00EA6521" w:rsidRPr="00A05FC8">
        <w:rPr>
          <w:rFonts w:ascii="Arial" w:hAnsi="Arial" w:cs="Arial"/>
          <w:sz w:val="20"/>
          <w:szCs w:val="20"/>
        </w:rPr>
        <w:fldChar w:fldCharType="separate"/>
      </w:r>
      <w:r w:rsidR="00EA6521" w:rsidRPr="00A05FC8">
        <w:rPr>
          <w:rFonts w:ascii="Arial" w:hAnsi="Arial" w:cs="Arial"/>
          <w:noProof/>
          <w:sz w:val="20"/>
          <w:szCs w:val="20"/>
        </w:rPr>
        <w:t>(Afifah, Setyono and Rachmawati, 2024)</w:t>
      </w:r>
      <w:r w:rsidR="00EA6521" w:rsidRPr="00A05FC8">
        <w:rPr>
          <w:rFonts w:ascii="Arial" w:hAnsi="Arial" w:cs="Arial"/>
          <w:sz w:val="20"/>
          <w:szCs w:val="20"/>
        </w:rPr>
        <w:fldChar w:fldCharType="end"/>
      </w:r>
      <w:r w:rsidR="00EA6521" w:rsidRPr="00A05FC8">
        <w:rPr>
          <w:rFonts w:ascii="Arial" w:hAnsi="Arial" w:cs="Arial"/>
          <w:sz w:val="20"/>
          <w:szCs w:val="20"/>
        </w:rPr>
        <w:t xml:space="preserve"> </w:t>
      </w:r>
      <w:r w:rsidRPr="00A05FC8">
        <w:rPr>
          <w:rFonts w:ascii="Arial" w:hAnsi="Arial" w:cs="Arial"/>
          <w:sz w:val="20"/>
          <w:szCs w:val="20"/>
        </w:rPr>
        <w:t>This not only reduces the environmental burden associated with organic pollution but also adds value by repurposing waste as an agricultural input. Such an initiative aligns closely with the principles of the circular economy, which promote the transformation of waste streams into resource flows. Moreover, the development of tofu-based LOF holds considerable potential as a practical alternative for smallholder farmers, particularly in regions with limited access to synthetic fertilizers, while simultaneously promoting more ecologically responsible and sustainable agricultural practices</w:t>
      </w:r>
    </w:p>
    <w:p w14:paraId="4DA3C578" w14:textId="4CAA8ED7" w:rsidR="00066192" w:rsidRPr="00A05FC8" w:rsidRDefault="006073A1" w:rsidP="00005676">
      <w:pPr>
        <w:pStyle w:val="NormalWeb"/>
        <w:spacing w:before="0" w:beforeAutospacing="0" w:after="0" w:afterAutospacing="0" w:line="276" w:lineRule="auto"/>
        <w:ind w:firstLine="567"/>
        <w:jc w:val="both"/>
        <w:rPr>
          <w:rFonts w:ascii="Arial" w:hAnsi="Arial" w:cs="Arial"/>
          <w:sz w:val="20"/>
          <w:szCs w:val="20"/>
        </w:rPr>
      </w:pPr>
      <w:r w:rsidRPr="00A05FC8">
        <w:rPr>
          <w:rFonts w:ascii="Arial" w:hAnsi="Arial" w:cs="Arial"/>
          <w:sz w:val="20"/>
          <w:szCs w:val="20"/>
        </w:rPr>
        <w:t xml:space="preserve">Within the framework of this study, </w:t>
      </w:r>
      <w:r w:rsidRPr="00A05FC8">
        <w:rPr>
          <w:rFonts w:ascii="Arial" w:hAnsi="Arial" w:cs="Arial"/>
          <w:i/>
          <w:iCs/>
          <w:sz w:val="20"/>
          <w:szCs w:val="20"/>
        </w:rPr>
        <w:t>Brassica rapa</w:t>
      </w:r>
      <w:r w:rsidRPr="00A05FC8">
        <w:rPr>
          <w:rFonts w:ascii="Arial" w:hAnsi="Arial" w:cs="Arial"/>
          <w:sz w:val="20"/>
          <w:szCs w:val="20"/>
        </w:rPr>
        <w:t xml:space="preserve"> L. subsp. </w:t>
      </w:r>
      <w:proofErr w:type="spellStart"/>
      <w:r w:rsidRPr="00A05FC8">
        <w:rPr>
          <w:rFonts w:ascii="Arial" w:hAnsi="Arial" w:cs="Arial"/>
          <w:sz w:val="20"/>
          <w:szCs w:val="20"/>
        </w:rPr>
        <w:t>chinensis</w:t>
      </w:r>
      <w:proofErr w:type="spellEnd"/>
      <w:r w:rsidRPr="00A05FC8">
        <w:rPr>
          <w:rFonts w:ascii="Arial" w:hAnsi="Arial" w:cs="Arial"/>
          <w:sz w:val="20"/>
          <w:szCs w:val="20"/>
        </w:rPr>
        <w:t xml:space="preserve"> (</w:t>
      </w:r>
      <w:proofErr w:type="spellStart"/>
      <w:r w:rsidRPr="00A05FC8">
        <w:rPr>
          <w:rFonts w:ascii="Arial" w:hAnsi="Arial" w:cs="Arial"/>
          <w:sz w:val="20"/>
          <w:szCs w:val="20"/>
        </w:rPr>
        <w:t>pakcoy</w:t>
      </w:r>
      <w:proofErr w:type="spellEnd"/>
      <w:r w:rsidRPr="00A05FC8">
        <w:rPr>
          <w:rFonts w:ascii="Arial" w:hAnsi="Arial" w:cs="Arial"/>
          <w:sz w:val="20"/>
          <w:szCs w:val="20"/>
        </w:rPr>
        <w:t xml:space="preserve">) was selected as a model crop to evaluate the agronomic efficacy of liquid organic fertilizer (LOF) derived from tofu industry effluent. </w:t>
      </w:r>
      <w:proofErr w:type="spellStart"/>
      <w:r w:rsidRPr="00A05FC8">
        <w:rPr>
          <w:rFonts w:ascii="Arial" w:hAnsi="Arial" w:cs="Arial"/>
          <w:sz w:val="20"/>
          <w:szCs w:val="20"/>
        </w:rPr>
        <w:t>Pakcoy</w:t>
      </w:r>
      <w:proofErr w:type="spellEnd"/>
      <w:r w:rsidRPr="00A05FC8">
        <w:rPr>
          <w:rFonts w:ascii="Arial" w:hAnsi="Arial" w:cs="Arial"/>
          <w:sz w:val="20"/>
          <w:szCs w:val="20"/>
        </w:rPr>
        <w:t xml:space="preserve"> is a fast-growing leafy vegetable characterized by a short cultivation cycle (approximately 40–45 days), high economic value, and substantial nutritional content, including vitamins A, K, and E, folic acid, and glucosinolates. Its rapid and nutrient-responsive growth profile renders it particularly appropriate for assessing the performance of organic fertilization strategies. Moreover, the application of locally produced LOF in </w:t>
      </w:r>
      <w:proofErr w:type="spellStart"/>
      <w:r w:rsidRPr="00A05FC8">
        <w:rPr>
          <w:rFonts w:ascii="Arial" w:hAnsi="Arial" w:cs="Arial"/>
          <w:sz w:val="20"/>
          <w:szCs w:val="20"/>
        </w:rPr>
        <w:t>pakcoy</w:t>
      </w:r>
      <w:proofErr w:type="spellEnd"/>
      <w:r w:rsidRPr="00A05FC8">
        <w:rPr>
          <w:rFonts w:ascii="Arial" w:hAnsi="Arial" w:cs="Arial"/>
          <w:sz w:val="20"/>
          <w:szCs w:val="20"/>
        </w:rPr>
        <w:t xml:space="preserve"> cultivation not only contributes to improved household food security but also represents an agroecological approach that aligns with the principles of sustainability, resource efficiency, and rural resilience in the face of environmental and economic pressures </w:t>
      </w:r>
      <w:r w:rsidR="00EA6521" w:rsidRPr="00A05FC8">
        <w:rPr>
          <w:rFonts w:ascii="Arial" w:hAnsi="Arial" w:cs="Arial"/>
          <w:sz w:val="20"/>
          <w:szCs w:val="20"/>
        </w:rPr>
        <w:fldChar w:fldCharType="begin" w:fldLock="1"/>
      </w:r>
      <w:r w:rsidR="007F0F71" w:rsidRPr="00A05FC8">
        <w:rPr>
          <w:rFonts w:ascii="Arial" w:hAnsi="Arial" w:cs="Arial"/>
          <w:sz w:val="20"/>
          <w:szCs w:val="20"/>
        </w:rPr>
        <w:instrText>ADDIN CSL_CITATION {"citationItems":[{"id":"ITEM-1","itemData":{"ISBN":"1755-1315","author":[{"dropping-particle":"","family":"Chaorlina","given":"Arnita","non-dropping-particle":"","parse-names":false,"suffix":""},{"dropping-particle":"","family":"Setyaningsih","given":"Maryanti","non-dropping-particle":"","parse-names":false,"suffix":""},{"dropping-particle":"","family":"Faruq","given":"Hilman","non-dropping-particle":"","parse-names":false,"suffix":""}],"container-title":"IOP Conference Series: Earth and Environmental Science","id":"ITEM-1","issue":"1","issued":{"date-parts":[["2021"]]},"page":"12049","publisher":"IOP Publishing","title":"The utilization of tofu waste water as an addition of nutrition in hydroponic media to lettuce growth (Lactuca sativa L.)","type":"paper-conference","volume":"755"},"uris":["http://www.mendeley.com/documents/?uuid=02c26c7f-fdbe-4708-92ff-93caa412c61a"]}],"mendeley":{"formattedCitation":"(Chaorlina, Setyaningsih and Faruq, 2021)","plainTextFormattedCitation":"(Chaorlina, Setyaningsih and Faruq, 2021)","previouslyFormattedCitation":"(Chaorlina, Setyaningsih and Faruq, 2021)"},"properties":{"noteIndex":0},"schema":"https://github.com/citation-style-language/schema/raw/master/csl-citation.json"}</w:instrText>
      </w:r>
      <w:r w:rsidR="00EA6521" w:rsidRPr="00A05FC8">
        <w:rPr>
          <w:rFonts w:ascii="Arial" w:hAnsi="Arial" w:cs="Arial"/>
          <w:sz w:val="20"/>
          <w:szCs w:val="20"/>
        </w:rPr>
        <w:fldChar w:fldCharType="separate"/>
      </w:r>
      <w:r w:rsidR="00EA6521" w:rsidRPr="00A05FC8">
        <w:rPr>
          <w:rFonts w:ascii="Arial" w:hAnsi="Arial" w:cs="Arial"/>
          <w:noProof/>
          <w:sz w:val="20"/>
          <w:szCs w:val="20"/>
        </w:rPr>
        <w:t>(Chaorlina, Setyaningsih and Faruq, 2021)</w:t>
      </w:r>
      <w:r w:rsidR="00EA6521" w:rsidRPr="00A05FC8">
        <w:rPr>
          <w:rFonts w:ascii="Arial" w:hAnsi="Arial" w:cs="Arial"/>
          <w:sz w:val="20"/>
          <w:szCs w:val="20"/>
        </w:rPr>
        <w:fldChar w:fldCharType="end"/>
      </w:r>
    </w:p>
    <w:p w14:paraId="7785C668" w14:textId="5107F7EE" w:rsidR="00EB42D6" w:rsidRPr="00A05FC8" w:rsidRDefault="00EB42D6" w:rsidP="00005676">
      <w:pPr>
        <w:spacing w:after="0" w:line="276" w:lineRule="auto"/>
        <w:ind w:firstLine="709"/>
        <w:jc w:val="both"/>
        <w:rPr>
          <w:rFonts w:eastAsia="Times New Roman" w:cs="Arial"/>
          <w:sz w:val="20"/>
          <w:szCs w:val="20"/>
          <w:lang w:eastAsia="en-ID"/>
        </w:rPr>
      </w:pPr>
      <w:r w:rsidRPr="00A05FC8">
        <w:rPr>
          <w:rFonts w:eastAsia="Times New Roman" w:cs="Arial"/>
          <w:sz w:val="20"/>
          <w:szCs w:val="20"/>
          <w:lang w:eastAsia="en-ID"/>
        </w:rPr>
        <w:t xml:space="preserve">This study adopts a controlled experimental design to evaluate the effectiveness of tofu-processing wastewater as liquid organic fertilizer (LOF) in enhancing the growth of </w:t>
      </w:r>
      <w:r w:rsidRPr="00A05FC8">
        <w:rPr>
          <w:rFonts w:eastAsia="Times New Roman" w:cs="Arial"/>
          <w:i/>
          <w:iCs/>
          <w:sz w:val="20"/>
          <w:szCs w:val="20"/>
          <w:lang w:eastAsia="en-ID"/>
        </w:rPr>
        <w:t xml:space="preserve">Brassica rapa </w:t>
      </w:r>
      <w:r w:rsidRPr="00A05FC8">
        <w:rPr>
          <w:rFonts w:eastAsia="Times New Roman" w:cs="Arial"/>
          <w:sz w:val="20"/>
          <w:szCs w:val="20"/>
          <w:lang w:eastAsia="en-ID"/>
        </w:rPr>
        <w:t>L. (</w:t>
      </w:r>
      <w:proofErr w:type="spellStart"/>
      <w:r w:rsidRPr="00A05FC8">
        <w:rPr>
          <w:rFonts w:eastAsia="Times New Roman" w:cs="Arial"/>
          <w:sz w:val="20"/>
          <w:szCs w:val="20"/>
          <w:lang w:eastAsia="en-ID"/>
        </w:rPr>
        <w:t>pakcoy</w:t>
      </w:r>
      <w:proofErr w:type="spellEnd"/>
      <w:r w:rsidRPr="00A05FC8">
        <w:rPr>
          <w:rFonts w:eastAsia="Times New Roman" w:cs="Arial"/>
          <w:sz w:val="20"/>
          <w:szCs w:val="20"/>
          <w:lang w:eastAsia="en-ID"/>
        </w:rPr>
        <w:t xml:space="preserve">). LOF was formulated at three concentration levels (10%, 25%, and 50%) and applied to soil-based growing media. Plant growth was monitored weekly over four weeks using five agronomic indicators: fresh weight, dry weight, plant height, leaf number, and leaf protein content. Statistical analyses including two-way ANOVA (p &lt; </w:t>
      </w:r>
      <w:r w:rsidRPr="00A05FC8">
        <w:rPr>
          <w:rFonts w:eastAsia="Times New Roman" w:cs="Arial"/>
          <w:sz w:val="20"/>
          <w:szCs w:val="20"/>
          <w:lang w:eastAsia="en-ID"/>
        </w:rPr>
        <w:lastRenderedPageBreak/>
        <w:t>0.0001), Tukey’s HSD test, and polynomial regression</w:t>
      </w:r>
      <w:r w:rsidR="006B4A0F" w:rsidRPr="00A05FC8">
        <w:rPr>
          <w:rFonts w:eastAsia="Times New Roman" w:cs="Arial"/>
          <w:sz w:val="20"/>
          <w:szCs w:val="20"/>
          <w:lang w:eastAsia="en-ID"/>
        </w:rPr>
        <w:t xml:space="preserve"> </w:t>
      </w:r>
      <w:r w:rsidRPr="00A05FC8">
        <w:rPr>
          <w:rFonts w:eastAsia="Times New Roman" w:cs="Arial"/>
          <w:sz w:val="20"/>
          <w:szCs w:val="20"/>
          <w:lang w:eastAsia="en-ID"/>
        </w:rPr>
        <w:t>demonstrated that LOF concentration, observation period, and their interaction had significant effects on all measured parameters. The 10% concentration proved most effective during early growth stages, whereas 25% yielded the highest biomass and protein content by the fourth week. In contrast, the 50% treatment exhibited signs of nutrient oversaturation and phytotoxicity, underscoring the importance of dosage optimization in organic fertilization</w:t>
      </w:r>
    </w:p>
    <w:p w14:paraId="3D56AD2C" w14:textId="023151AC" w:rsidR="003A594F" w:rsidRPr="00A05FC8" w:rsidRDefault="00EB42D6" w:rsidP="00005676">
      <w:pPr>
        <w:spacing w:after="0" w:line="276" w:lineRule="auto"/>
        <w:ind w:firstLine="709"/>
        <w:jc w:val="both"/>
        <w:rPr>
          <w:rFonts w:eastAsia="Times New Roman" w:cs="Arial"/>
          <w:sz w:val="20"/>
          <w:szCs w:val="20"/>
          <w:lang w:eastAsia="en-ID"/>
        </w:rPr>
      </w:pPr>
      <w:r w:rsidRPr="00A05FC8">
        <w:rPr>
          <w:rFonts w:eastAsia="Times New Roman" w:cs="Arial"/>
          <w:sz w:val="20"/>
          <w:szCs w:val="20"/>
          <w:lang w:eastAsia="en-ID"/>
        </w:rPr>
        <w:t xml:space="preserve">This study presents a novel, integrative approach that merges agroecological principles, circular economy concepts, and data driven analysis to </w:t>
      </w:r>
      <w:proofErr w:type="spellStart"/>
      <w:r w:rsidRPr="00A05FC8">
        <w:rPr>
          <w:rFonts w:eastAsia="Times New Roman" w:cs="Arial"/>
          <w:sz w:val="20"/>
          <w:szCs w:val="20"/>
          <w:lang w:eastAsia="en-ID"/>
        </w:rPr>
        <w:t>valorize</w:t>
      </w:r>
      <w:proofErr w:type="spellEnd"/>
      <w:r w:rsidRPr="00A05FC8">
        <w:rPr>
          <w:rFonts w:eastAsia="Times New Roman" w:cs="Arial"/>
          <w:sz w:val="20"/>
          <w:szCs w:val="20"/>
          <w:lang w:eastAsia="en-ID"/>
        </w:rPr>
        <w:t xml:space="preserve"> household scale tofu wastewater as a sustainable agricultural input. It offers practical insights into localized resource utilization and </w:t>
      </w:r>
      <w:proofErr w:type="gramStart"/>
      <w:r w:rsidRPr="00A05FC8">
        <w:rPr>
          <w:rFonts w:eastAsia="Times New Roman" w:cs="Arial"/>
          <w:sz w:val="20"/>
          <w:szCs w:val="20"/>
          <w:lang w:eastAsia="en-ID"/>
        </w:rPr>
        <w:t>community based</w:t>
      </w:r>
      <w:proofErr w:type="gramEnd"/>
      <w:r w:rsidRPr="00A05FC8">
        <w:rPr>
          <w:rFonts w:eastAsia="Times New Roman" w:cs="Arial"/>
          <w:sz w:val="20"/>
          <w:szCs w:val="20"/>
          <w:lang w:eastAsia="en-ID"/>
        </w:rPr>
        <w:t xml:space="preserve"> wastewater management, serving as an environmentally sound and socially relevant model for rural sustainability. The novelty of this research lies in its methodological integration, employing three complementary analytical techniques</w:t>
      </w:r>
      <w:r w:rsidR="006B4A0F" w:rsidRPr="00A05FC8">
        <w:rPr>
          <w:rFonts w:eastAsia="Times New Roman" w:cs="Arial"/>
          <w:sz w:val="20"/>
          <w:szCs w:val="20"/>
          <w:lang w:eastAsia="en-ID"/>
        </w:rPr>
        <w:t xml:space="preserve"> </w:t>
      </w:r>
      <w:r w:rsidRPr="00A05FC8">
        <w:rPr>
          <w:rFonts w:eastAsia="Times New Roman" w:cs="Arial"/>
          <w:sz w:val="20"/>
          <w:szCs w:val="20"/>
          <w:lang w:eastAsia="en-ID"/>
        </w:rPr>
        <w:t>ANOVA, Tukey’s HSD, and polynomial regression—to simultaneously evaluate five physiological growth parameters on a weekly basis. These findings highlight the importance of dose- and time-specific precision fertilization strategies to enhance the efficiency, sustainability, and environmental compatibility of organic agriculture</w:t>
      </w:r>
    </w:p>
    <w:p w14:paraId="4472BCA1" w14:textId="77777777" w:rsidR="00921E74" w:rsidRPr="005F1A2F" w:rsidRDefault="00921E74" w:rsidP="006B4A0F">
      <w:pPr>
        <w:spacing w:before="120" w:after="0" w:line="276" w:lineRule="auto"/>
        <w:jc w:val="both"/>
        <w:rPr>
          <w:rFonts w:eastAsia="Microsoft Sans Serif" w:cs="Arial"/>
          <w:b/>
          <w:bCs/>
        </w:rPr>
      </w:pPr>
      <w:r w:rsidRPr="005F1A2F">
        <w:rPr>
          <w:rFonts w:eastAsia="Microsoft Sans Serif" w:cs="Arial"/>
          <w:b/>
          <w:bCs/>
        </w:rPr>
        <w:t>MATERIALS AND METHODS</w:t>
      </w:r>
    </w:p>
    <w:p w14:paraId="6ACE40C0" w14:textId="56D1A9FA" w:rsidR="003948CE" w:rsidRPr="005F1A2F" w:rsidRDefault="007F0F71" w:rsidP="006B4A0F">
      <w:pPr>
        <w:spacing w:before="120" w:after="0" w:line="276" w:lineRule="auto"/>
        <w:jc w:val="both"/>
        <w:rPr>
          <w:rFonts w:eastAsia="Microsoft Sans Serif" w:cs="Arial"/>
          <w:b/>
          <w:bCs/>
        </w:rPr>
      </w:pPr>
      <w:r w:rsidRPr="005F1A2F">
        <w:rPr>
          <w:rFonts w:eastAsia="Microsoft Sans Serif" w:cs="Arial"/>
          <w:b/>
          <w:bCs/>
        </w:rPr>
        <w:t>Tools and Materials</w:t>
      </w:r>
    </w:p>
    <w:p w14:paraId="7B132B0F" w14:textId="6766FB83" w:rsidR="003948CE" w:rsidRPr="00A05FC8" w:rsidRDefault="00EB42D6" w:rsidP="00EB42D6">
      <w:pPr>
        <w:spacing w:after="0" w:line="276" w:lineRule="auto"/>
        <w:jc w:val="both"/>
        <w:rPr>
          <w:rFonts w:cs="Arial"/>
          <w:sz w:val="20"/>
          <w:szCs w:val="20"/>
        </w:rPr>
      </w:pPr>
      <w:r w:rsidRPr="00A05FC8">
        <w:rPr>
          <w:rFonts w:cs="Arial"/>
          <w:sz w:val="20"/>
          <w:szCs w:val="20"/>
        </w:rPr>
        <w:t xml:space="preserve">This study utilized a comprehensive set of tools and materials tailored to support each experimental stage, from tofu wastewater fermentation to the cultivation and evaluation of </w:t>
      </w:r>
      <w:r w:rsidRPr="00A05FC8">
        <w:rPr>
          <w:rFonts w:cs="Arial"/>
          <w:i/>
          <w:iCs/>
          <w:sz w:val="20"/>
          <w:szCs w:val="20"/>
        </w:rPr>
        <w:t>Brassica rapa L.</w:t>
      </w:r>
      <w:r w:rsidRPr="00A05FC8">
        <w:rPr>
          <w:rFonts w:cs="Arial"/>
          <w:sz w:val="20"/>
          <w:szCs w:val="20"/>
        </w:rPr>
        <w:t xml:space="preserve"> (</w:t>
      </w:r>
      <w:proofErr w:type="spellStart"/>
      <w:r w:rsidRPr="00A05FC8">
        <w:rPr>
          <w:rFonts w:cs="Arial"/>
          <w:sz w:val="20"/>
          <w:szCs w:val="20"/>
        </w:rPr>
        <w:t>pakcoy</w:t>
      </w:r>
      <w:proofErr w:type="spellEnd"/>
      <w:r w:rsidRPr="00A05FC8">
        <w:rPr>
          <w:rFonts w:cs="Arial"/>
          <w:sz w:val="20"/>
          <w:szCs w:val="20"/>
        </w:rPr>
        <w:t xml:space="preserve">). Fermentation was carried out in plastic buckets, with the resulting liquid organic fertilizer (LOF) stored in jerry cans and bottles. Accurate dilution was ensured using graduated measuring cylinders. </w:t>
      </w:r>
      <w:proofErr w:type="spellStart"/>
      <w:r w:rsidRPr="00A05FC8">
        <w:rPr>
          <w:rFonts w:cs="Arial"/>
          <w:sz w:val="20"/>
          <w:szCs w:val="20"/>
        </w:rPr>
        <w:t>Pakcoy</w:t>
      </w:r>
      <w:proofErr w:type="spellEnd"/>
      <w:r w:rsidRPr="00A05FC8">
        <w:rPr>
          <w:rFonts w:cs="Arial"/>
          <w:sz w:val="20"/>
          <w:szCs w:val="20"/>
        </w:rPr>
        <w:t xml:space="preserve"> cultivation was conducted in polybags filled with a standardized soil–compost–sand medium, placed under </w:t>
      </w:r>
      <w:proofErr w:type="spellStart"/>
      <w:r w:rsidRPr="00A05FC8">
        <w:rPr>
          <w:rFonts w:cs="Arial"/>
          <w:sz w:val="20"/>
          <w:szCs w:val="20"/>
        </w:rPr>
        <w:t>paranet</w:t>
      </w:r>
      <w:proofErr w:type="spellEnd"/>
      <w:r w:rsidRPr="00A05FC8">
        <w:rPr>
          <w:rFonts w:cs="Arial"/>
          <w:sz w:val="20"/>
          <w:szCs w:val="20"/>
        </w:rPr>
        <w:t xml:space="preserve"> shading to control light intensity. Growth parameters were measured using a standard ruler, while biomass analysis employed an analytical balance (±0.01 g), drying oven, </w:t>
      </w:r>
      <w:proofErr w:type="spellStart"/>
      <w:r w:rsidRPr="00A05FC8">
        <w:rPr>
          <w:rFonts w:cs="Arial"/>
          <w:sz w:val="20"/>
          <w:szCs w:val="20"/>
        </w:rPr>
        <w:t>aluminum</w:t>
      </w:r>
      <w:proofErr w:type="spellEnd"/>
      <w:r w:rsidRPr="00A05FC8">
        <w:rPr>
          <w:rFonts w:cs="Arial"/>
          <w:sz w:val="20"/>
          <w:szCs w:val="20"/>
        </w:rPr>
        <w:t xml:space="preserve"> dishes, forceps, and desiccators. Protein content was determined using a Kjeldahl apparatus. The primary material wastewater from local tofu home industries was diluted with clean water prior to application. Supporting materials such as cotton, plastic coverings, and </w:t>
      </w:r>
      <w:proofErr w:type="spellStart"/>
      <w:r w:rsidRPr="00A05FC8">
        <w:rPr>
          <w:rFonts w:cs="Arial"/>
          <w:sz w:val="20"/>
          <w:szCs w:val="20"/>
        </w:rPr>
        <w:t>labeling</w:t>
      </w:r>
      <w:proofErr w:type="spellEnd"/>
      <w:r w:rsidRPr="00A05FC8">
        <w:rPr>
          <w:rFonts w:cs="Arial"/>
          <w:sz w:val="20"/>
          <w:szCs w:val="20"/>
        </w:rPr>
        <w:t xml:space="preserve"> equipment were used to ensure plant maintenance and data reliability. All equipment and materials were selected to reflect sustainable agricultural practices and align with circular economy principles through the </w:t>
      </w:r>
      <w:proofErr w:type="spellStart"/>
      <w:r w:rsidRPr="00A05FC8">
        <w:rPr>
          <w:rFonts w:cs="Arial"/>
          <w:sz w:val="20"/>
          <w:szCs w:val="20"/>
        </w:rPr>
        <w:t>valorization</w:t>
      </w:r>
      <w:proofErr w:type="spellEnd"/>
      <w:r w:rsidRPr="00A05FC8">
        <w:rPr>
          <w:rFonts w:cs="Arial"/>
          <w:sz w:val="20"/>
          <w:szCs w:val="20"/>
        </w:rPr>
        <w:t xml:space="preserve"> of </w:t>
      </w:r>
      <w:proofErr w:type="spellStart"/>
      <w:r w:rsidRPr="00A05FC8">
        <w:rPr>
          <w:rFonts w:cs="Arial"/>
          <w:sz w:val="20"/>
          <w:szCs w:val="20"/>
        </w:rPr>
        <w:t>agro</w:t>
      </w:r>
      <w:proofErr w:type="spellEnd"/>
      <w:r w:rsidRPr="00A05FC8">
        <w:rPr>
          <w:rFonts w:cs="Arial"/>
          <w:sz w:val="20"/>
          <w:szCs w:val="20"/>
        </w:rPr>
        <w:t>-industrial waste.</w:t>
      </w:r>
    </w:p>
    <w:p w14:paraId="01510DA9" w14:textId="77777777" w:rsidR="00EB42D6" w:rsidRPr="005F1A2F" w:rsidRDefault="00EB42D6" w:rsidP="00682264">
      <w:pPr>
        <w:autoSpaceDE w:val="0"/>
        <w:autoSpaceDN w:val="0"/>
        <w:adjustRightInd w:val="0"/>
        <w:spacing w:before="120" w:after="0" w:line="276" w:lineRule="auto"/>
        <w:jc w:val="both"/>
        <w:rPr>
          <w:rFonts w:eastAsia="Microsoft Sans Serif" w:cs="Arial"/>
          <w:b/>
          <w:bCs/>
        </w:rPr>
      </w:pPr>
      <w:r w:rsidRPr="005F1A2F">
        <w:rPr>
          <w:rFonts w:eastAsia="Microsoft Sans Serif" w:cs="Arial"/>
          <w:b/>
          <w:bCs/>
        </w:rPr>
        <w:t>Methods for the Observation and Measurement of Plant Growth Parameters</w:t>
      </w:r>
    </w:p>
    <w:p w14:paraId="29B633AE" w14:textId="3383E97C" w:rsidR="007F0F71" w:rsidRPr="005F1A2F" w:rsidRDefault="007F0F71" w:rsidP="00682264">
      <w:pPr>
        <w:pStyle w:val="ListParagraph"/>
        <w:numPr>
          <w:ilvl w:val="0"/>
          <w:numId w:val="24"/>
        </w:numPr>
        <w:autoSpaceDE w:val="0"/>
        <w:autoSpaceDN w:val="0"/>
        <w:adjustRightInd w:val="0"/>
        <w:spacing w:before="120" w:after="0" w:line="276" w:lineRule="auto"/>
        <w:ind w:left="426" w:hanging="426"/>
        <w:jc w:val="both"/>
        <w:rPr>
          <w:rStyle w:val="Strong"/>
          <w:rFonts w:cs="Arial"/>
        </w:rPr>
      </w:pPr>
      <w:r w:rsidRPr="005F1A2F">
        <w:rPr>
          <w:rStyle w:val="Strong"/>
          <w:rFonts w:cs="Arial"/>
        </w:rPr>
        <w:t>Fresh Weight Measurement</w:t>
      </w:r>
    </w:p>
    <w:p w14:paraId="32538A4C" w14:textId="2CE064B6" w:rsidR="004B5B5D" w:rsidRPr="005F1A2F" w:rsidRDefault="007F0F71" w:rsidP="003A594F">
      <w:pPr>
        <w:autoSpaceDE w:val="0"/>
        <w:autoSpaceDN w:val="0"/>
        <w:adjustRightInd w:val="0"/>
        <w:spacing w:before="120" w:after="0" w:line="276" w:lineRule="auto"/>
        <w:jc w:val="both"/>
        <w:rPr>
          <w:rFonts w:cs="Arial"/>
          <w:color w:val="EE0000"/>
        </w:rPr>
      </w:pPr>
      <w:r w:rsidRPr="00A05FC8">
        <w:rPr>
          <w:rFonts w:cs="Arial"/>
          <w:sz w:val="20"/>
          <w:szCs w:val="20"/>
        </w:rPr>
        <w:t xml:space="preserve">The measurement of fresh weight was conducted by weighing the entire plant, including the roots, after thoroughly removing any remaining soil. The procedure began by gently uprooting the </w:t>
      </w:r>
      <w:proofErr w:type="spellStart"/>
      <w:r w:rsidRPr="00A05FC8">
        <w:rPr>
          <w:rFonts w:cs="Arial"/>
          <w:sz w:val="20"/>
          <w:szCs w:val="20"/>
        </w:rPr>
        <w:t>pakcoy</w:t>
      </w:r>
      <w:proofErr w:type="spellEnd"/>
      <w:r w:rsidRPr="00A05FC8">
        <w:rPr>
          <w:rFonts w:cs="Arial"/>
          <w:sz w:val="20"/>
          <w:szCs w:val="20"/>
        </w:rPr>
        <w:t xml:space="preserve"> plant, rinsing it under clean running water to eliminate debris, and allowing it to drain briefly to remove excess moisture. Observations were carried out at weekly intervals specifically at 1, 2, 3, and 4 weeks after transplanting (WAT). The data collected from each observation were then subjected to statistical analysis and presented in tabular form to facilitate clear and meaningful interpretation of plant growth trends. </w:t>
      </w:r>
      <w:r w:rsidR="00347821" w:rsidRPr="005F1A2F">
        <w:rPr>
          <w:rFonts w:cs="Arial"/>
        </w:rPr>
        <w:fldChar w:fldCharType="begin" w:fldLock="1"/>
      </w:r>
      <w:r w:rsidR="00891E52" w:rsidRPr="005F1A2F">
        <w:rPr>
          <w:rFonts w:cs="Arial"/>
        </w:rPr>
        <w:instrText>ADDIN CSL_CITATION {"citationItems":[{"id":"ITEM-1","itemData":{"ISSN":"0142-9418","author":[{"dropping-particle":"","family":"Bekele","given":"Abera E","non-dropping-particle":"","parse-names":false,"suffix":""},{"dropping-particle":"","family":"Lemu","given":"Hirpa G","non-dropping-particle":"","parse-names":false,"suffix":""},{"dropping-particle":"","family":"Jiru","given":"Moera G","non-dropping-particle":"","parse-names":false,"suffix":""}],"container-title":"Polymer testing","id":"ITEM-1","issued":{"date-parts":[["2022"]]},"page":"107453","publisher":"Elsevier","title":"Experimental study of physical, chemical and mechanical properties of enset and sisal fibers","type":"article-journal","volume":"106"},"uris":["http://www.mendeley.com/documents/?uuid=8cd32380-cedf-49c4-97f1-be8b8ed73446"]}],"mendeley":{"formattedCitation":"(Bekele, Lemu and Jiru, 2022)","plainTextFormattedCitation":"(Bekele, Lemu and Jiru, 2022)","previouslyFormattedCitation":"(Bekele, Lemu and Jiru, 2022)"},"properties":{"noteIndex":0},"schema":"https://github.com/citation-style-language/schema/raw/master/csl-citation.json"}</w:instrText>
      </w:r>
      <w:r w:rsidR="00347821" w:rsidRPr="005F1A2F">
        <w:rPr>
          <w:rFonts w:cs="Arial"/>
        </w:rPr>
        <w:fldChar w:fldCharType="separate"/>
      </w:r>
      <w:r w:rsidR="00347821" w:rsidRPr="005F1A2F">
        <w:rPr>
          <w:rFonts w:cs="Arial"/>
          <w:noProof/>
        </w:rPr>
        <w:t>(Bekele, Lemu and Jiru, 2022)</w:t>
      </w:r>
      <w:r w:rsidR="00347821" w:rsidRPr="005F1A2F">
        <w:rPr>
          <w:rFonts w:cs="Arial"/>
        </w:rPr>
        <w:fldChar w:fldCharType="end"/>
      </w:r>
    </w:p>
    <w:p w14:paraId="0777A0E0" w14:textId="0ED540E3" w:rsidR="00347821" w:rsidRPr="005F1A2F" w:rsidRDefault="00347821" w:rsidP="00EB42D6">
      <w:pPr>
        <w:pStyle w:val="ListParagraph"/>
        <w:numPr>
          <w:ilvl w:val="0"/>
          <w:numId w:val="24"/>
        </w:numPr>
        <w:autoSpaceDE w:val="0"/>
        <w:autoSpaceDN w:val="0"/>
        <w:adjustRightInd w:val="0"/>
        <w:spacing w:before="120" w:after="0" w:line="276" w:lineRule="auto"/>
        <w:ind w:left="426" w:hanging="426"/>
        <w:jc w:val="both"/>
        <w:rPr>
          <w:rFonts w:cs="Arial"/>
          <w:b/>
          <w:bCs/>
        </w:rPr>
      </w:pPr>
      <w:r w:rsidRPr="005F1A2F">
        <w:rPr>
          <w:rFonts w:cs="Arial"/>
          <w:b/>
          <w:bCs/>
        </w:rPr>
        <w:t>Dry Weight Measurement</w:t>
      </w:r>
    </w:p>
    <w:p w14:paraId="58486412" w14:textId="487F403B" w:rsidR="00347821" w:rsidRPr="005F1A2F" w:rsidRDefault="00EB42D6" w:rsidP="009323A2">
      <w:pPr>
        <w:pStyle w:val="ListParagraph"/>
        <w:autoSpaceDE w:val="0"/>
        <w:autoSpaceDN w:val="0"/>
        <w:adjustRightInd w:val="0"/>
        <w:spacing w:before="120" w:after="0" w:line="276" w:lineRule="auto"/>
        <w:ind w:left="0"/>
        <w:jc w:val="both"/>
        <w:rPr>
          <w:rFonts w:cs="Arial"/>
        </w:rPr>
      </w:pPr>
      <w:r w:rsidRPr="00A05FC8">
        <w:rPr>
          <w:rFonts w:cs="Arial"/>
          <w:sz w:val="20"/>
          <w:szCs w:val="20"/>
        </w:rPr>
        <w:lastRenderedPageBreak/>
        <w:t xml:space="preserve">Dry weight measurement was conducted to evaluate total biomass accumulation after the removal of all water content from the plant tissue. This procedure followed the fresh weight assessment and was performed under controlled laboratory conditions. Each plant sample was initially weighed, placed in an </w:t>
      </w:r>
      <w:proofErr w:type="spellStart"/>
      <w:r w:rsidRPr="00A05FC8">
        <w:rPr>
          <w:rFonts w:cs="Arial"/>
          <w:sz w:val="20"/>
          <w:szCs w:val="20"/>
        </w:rPr>
        <w:t>aluminum</w:t>
      </w:r>
      <w:proofErr w:type="spellEnd"/>
      <w:r w:rsidRPr="00A05FC8">
        <w:rPr>
          <w:rFonts w:cs="Arial"/>
          <w:sz w:val="20"/>
          <w:szCs w:val="20"/>
        </w:rPr>
        <w:t xml:space="preserve"> dish, and oven-dried at a constant temperature of approximately 70–80 °C until a stable weight was reached, indicating complete moisture evaporation. To prevent moisture reabsorption, dried samples were cooled in a desiccator (when available) prior to final weighing using a high-precision analytical balance. Observations were conducted weekly at 1, 2, 3, and 4 weeks after transplanting (WAT). This parameter is essential for assessing the effectiveness of tofu wastewater-based liquid organic fertilizer in promoting plant growth </w:t>
      </w:r>
      <w:r w:rsidR="00891E52" w:rsidRPr="005F1A2F">
        <w:rPr>
          <w:rFonts w:cs="Arial"/>
        </w:rPr>
        <w:fldChar w:fldCharType="begin" w:fldLock="1"/>
      </w:r>
      <w:r w:rsidR="00891E52" w:rsidRPr="005F1A2F">
        <w:rPr>
          <w:rFonts w:cs="Arial"/>
        </w:rPr>
        <w:instrText>ADDIN CSL_CITATION {"citationItems":[{"id":"ITEM-1","itemData":{"ISSN":"2304-8158","author":[{"dropping-particle":"","family":"McClements","given":"David Julian","non-dropping-particle":"","parse-names":false,"suffix":""},{"dropping-particle":"","family":"Weiss","given":"Jochen","non-dropping-particle":"","parse-names":false,"suffix":""},{"dropping-particle":"","family":"Kinchla","given":"Amanda J","non-dropping-particle":"","parse-names":false,"suffix":""},{"dropping-particle":"","family":"Nolden","given":"Alissa A","non-dropping-particle":"","parse-names":false,"suffix":""},{"dropping-particle":"","family":"Grossmann","given":"Lutz","non-dropping-particle":"","parse-names":false,"suffix":""}],"container-title":"Foods","id":"ITEM-1","issue":"2","issued":{"date-parts":[["2021"]]},"page":"260","publisher":"MDPI","title":"Methods for testing the quality attributes of plant-based foods: Meat-and processed-meat analogs","type":"article-journal","volume":"10"},"uris":["http://www.mendeley.com/documents/?uuid=143332df-5118-4180-922f-36acdcb8845c"]}],"mendeley":{"formattedCitation":"(McClements &lt;i&gt;et al.&lt;/i&gt;, 2021)","plainTextFormattedCitation":"(McClements et al., 2021)","previouslyFormattedCitation":"(McClements &lt;i&gt;et al.&lt;/i&gt;, 2021)"},"properties":{"noteIndex":0},"schema":"https://github.com/citation-style-language/schema/raw/master/csl-citation.json"}</w:instrText>
      </w:r>
      <w:r w:rsidR="00891E52" w:rsidRPr="005F1A2F">
        <w:rPr>
          <w:rFonts w:cs="Arial"/>
        </w:rPr>
        <w:fldChar w:fldCharType="separate"/>
      </w:r>
      <w:r w:rsidR="00891E52" w:rsidRPr="005F1A2F">
        <w:rPr>
          <w:rFonts w:cs="Arial"/>
          <w:noProof/>
        </w:rPr>
        <w:t xml:space="preserve">(McClements </w:t>
      </w:r>
      <w:r w:rsidR="00891E52" w:rsidRPr="005F1A2F">
        <w:rPr>
          <w:rFonts w:cs="Arial"/>
          <w:i/>
          <w:noProof/>
        </w:rPr>
        <w:t>et al.</w:t>
      </w:r>
      <w:r w:rsidR="00891E52" w:rsidRPr="005F1A2F">
        <w:rPr>
          <w:rFonts w:cs="Arial"/>
          <w:noProof/>
        </w:rPr>
        <w:t>, 2021)</w:t>
      </w:r>
      <w:r w:rsidR="00891E52" w:rsidRPr="005F1A2F">
        <w:rPr>
          <w:rFonts w:cs="Arial"/>
        </w:rPr>
        <w:fldChar w:fldCharType="end"/>
      </w:r>
    </w:p>
    <w:p w14:paraId="4B005037" w14:textId="77777777" w:rsidR="009323A2" w:rsidRPr="005F1A2F" w:rsidRDefault="009323A2" w:rsidP="009323A2">
      <w:pPr>
        <w:pStyle w:val="ListParagraph"/>
        <w:autoSpaceDE w:val="0"/>
        <w:autoSpaceDN w:val="0"/>
        <w:adjustRightInd w:val="0"/>
        <w:spacing w:before="120" w:after="0" w:line="276" w:lineRule="auto"/>
        <w:ind w:left="0"/>
        <w:jc w:val="both"/>
        <w:rPr>
          <w:rFonts w:cs="Arial"/>
        </w:rPr>
      </w:pPr>
    </w:p>
    <w:p w14:paraId="5CBBC1DC" w14:textId="42C01924" w:rsidR="00891E52" w:rsidRPr="005F1A2F" w:rsidRDefault="00891E52" w:rsidP="009323A2">
      <w:pPr>
        <w:pStyle w:val="ListParagraph"/>
        <w:numPr>
          <w:ilvl w:val="0"/>
          <w:numId w:val="24"/>
        </w:numPr>
        <w:autoSpaceDE w:val="0"/>
        <w:autoSpaceDN w:val="0"/>
        <w:adjustRightInd w:val="0"/>
        <w:spacing w:before="120" w:after="0" w:line="276" w:lineRule="auto"/>
        <w:ind w:left="426" w:hanging="426"/>
        <w:jc w:val="both"/>
        <w:rPr>
          <w:rStyle w:val="Strong"/>
          <w:rFonts w:eastAsia="Times New Roman" w:cs="Arial"/>
          <w:lang w:eastAsia="en-ID"/>
        </w:rPr>
      </w:pPr>
      <w:r w:rsidRPr="005F1A2F">
        <w:rPr>
          <w:rStyle w:val="Strong"/>
          <w:rFonts w:eastAsia="Times New Roman" w:cs="Arial"/>
          <w:lang w:eastAsia="en-ID"/>
        </w:rPr>
        <w:t>Plant Height Measurement</w:t>
      </w:r>
    </w:p>
    <w:p w14:paraId="2A0904B7" w14:textId="2ACFA956" w:rsidR="00891E52" w:rsidRPr="005F1A2F" w:rsidRDefault="00EB42D6" w:rsidP="009323A2">
      <w:pPr>
        <w:autoSpaceDE w:val="0"/>
        <w:autoSpaceDN w:val="0"/>
        <w:adjustRightInd w:val="0"/>
        <w:spacing w:before="120" w:after="0" w:line="276" w:lineRule="auto"/>
        <w:jc w:val="both"/>
        <w:rPr>
          <w:rStyle w:val="Strong"/>
          <w:rFonts w:eastAsia="Times New Roman" w:cs="Arial"/>
          <w:b w:val="0"/>
          <w:bCs w:val="0"/>
          <w:lang w:eastAsia="en-ID"/>
        </w:rPr>
      </w:pPr>
      <w:r w:rsidRPr="00A05FC8">
        <w:rPr>
          <w:rStyle w:val="Strong"/>
          <w:rFonts w:eastAsia="Times New Roman" w:cs="Arial"/>
          <w:b w:val="0"/>
          <w:bCs w:val="0"/>
          <w:sz w:val="20"/>
          <w:szCs w:val="20"/>
          <w:lang w:eastAsia="en-ID"/>
        </w:rPr>
        <w:t xml:space="preserve">Plant height was measured as a key morphological indicator to evaluate the vertical growth response of </w:t>
      </w:r>
      <w:proofErr w:type="spellStart"/>
      <w:r w:rsidRPr="00A05FC8">
        <w:rPr>
          <w:rStyle w:val="Strong"/>
          <w:rFonts w:eastAsia="Times New Roman" w:cs="Arial"/>
          <w:b w:val="0"/>
          <w:bCs w:val="0"/>
          <w:sz w:val="20"/>
          <w:szCs w:val="20"/>
          <w:lang w:eastAsia="en-ID"/>
        </w:rPr>
        <w:t>pakcoy</w:t>
      </w:r>
      <w:proofErr w:type="spellEnd"/>
      <w:r w:rsidRPr="00A05FC8">
        <w:rPr>
          <w:rStyle w:val="Strong"/>
          <w:rFonts w:eastAsia="Times New Roman" w:cs="Arial"/>
          <w:b w:val="0"/>
          <w:bCs w:val="0"/>
          <w:sz w:val="20"/>
          <w:szCs w:val="20"/>
          <w:lang w:eastAsia="en-ID"/>
        </w:rPr>
        <w:t xml:space="preserve"> to liquid organic fertilizer application. Observations were conducted weekly at 1, 2, 3, and 4 weeks after transplanting (WAT). Each plant was carefully uprooted from the growing medium, and height was measured using a ruler or measuring tape, from the root collar to the tip of the tallest leaf. This method ensured measurement consistency and provided a reliable estimate of shoot elongation and overall plant development. The collected data were </w:t>
      </w:r>
      <w:proofErr w:type="spellStart"/>
      <w:r w:rsidRPr="00A05FC8">
        <w:rPr>
          <w:rStyle w:val="Strong"/>
          <w:rFonts w:eastAsia="Times New Roman" w:cs="Arial"/>
          <w:b w:val="0"/>
          <w:bCs w:val="0"/>
          <w:sz w:val="20"/>
          <w:szCs w:val="20"/>
          <w:lang w:eastAsia="en-ID"/>
        </w:rPr>
        <w:t>analyzed</w:t>
      </w:r>
      <w:proofErr w:type="spellEnd"/>
      <w:r w:rsidRPr="00A05FC8">
        <w:rPr>
          <w:rStyle w:val="Strong"/>
          <w:rFonts w:eastAsia="Times New Roman" w:cs="Arial"/>
          <w:b w:val="0"/>
          <w:bCs w:val="0"/>
          <w:sz w:val="20"/>
          <w:szCs w:val="20"/>
          <w:lang w:eastAsia="en-ID"/>
        </w:rPr>
        <w:t xml:space="preserve"> using analysis of variance (ANOVA) to determine the effect of treatments, and the results were presented in tabular form to enable clear comparison of growth trends</w:t>
      </w:r>
      <w:r w:rsidR="00891E52" w:rsidRPr="00A05FC8">
        <w:rPr>
          <w:rStyle w:val="Strong"/>
          <w:rFonts w:eastAsia="Times New Roman" w:cs="Arial"/>
          <w:b w:val="0"/>
          <w:bCs w:val="0"/>
          <w:sz w:val="20"/>
          <w:szCs w:val="20"/>
          <w:lang w:eastAsia="en-ID"/>
        </w:rPr>
        <w:t xml:space="preserve"> </w:t>
      </w:r>
      <w:r w:rsidR="00891E52" w:rsidRPr="005F1A2F">
        <w:rPr>
          <w:rStyle w:val="Strong"/>
          <w:rFonts w:eastAsia="Times New Roman" w:cs="Arial"/>
          <w:b w:val="0"/>
          <w:bCs w:val="0"/>
          <w:lang w:eastAsia="en-ID"/>
        </w:rPr>
        <w:fldChar w:fldCharType="begin" w:fldLock="1"/>
      </w:r>
      <w:r w:rsidR="005F41A0" w:rsidRPr="005F1A2F">
        <w:rPr>
          <w:rStyle w:val="Strong"/>
          <w:rFonts w:eastAsia="Times New Roman" w:cs="Arial"/>
          <w:b w:val="0"/>
          <w:bCs w:val="0"/>
          <w:lang w:eastAsia="en-ID"/>
        </w:rPr>
        <w:instrText>ADDIN CSL_CITATION {"citationItems":[{"id":"ITEM-1","itemData":{"ISSN":"1658-077X","author":[{"dropping-particle":"","family":"Gupta","given":"Chanchal","non-dropping-particle":"","parse-names":false,"suffix":""},{"dropping-particle":"","family":"Tewari","given":"V K","non-dropping-particle":"","parse-names":false,"suffix":""},{"dropping-particle":"","family":"Machavaram","given":"Rajendra","non-dropping-particle":"","parse-names":false,"suffix":""},{"dropping-particle":"","family":"Shrivastava","given":"Prateek","non-dropping-particle":"","parse-names":false,"suffix":""}],"container-title":"Journal of the Saudi Society of Agricultural Sciences","id":"ITEM-1","issue":"3","issued":{"date-parts":[["2022"]]},"page":"171-179","publisher":"Elsevier","title":"An image processing approach for measurement of chili plant height and width under field conditions","type":"article-journal","volume":"21"},"uris":["http://www.mendeley.com/documents/?uuid=e9f8e647-0264-4bab-b6b0-74bb4ec1d919"]}],"mendeley":{"formattedCitation":"(Gupta &lt;i&gt;et al.&lt;/i&gt;, 2022)","plainTextFormattedCitation":"(Gupta et al., 2022)","previouslyFormattedCitation":"(Gupta &lt;i&gt;et al.&lt;/i&gt;, 2022)"},"properties":{"noteIndex":0},"schema":"https://github.com/citation-style-language/schema/raw/master/csl-citation.json"}</w:instrText>
      </w:r>
      <w:r w:rsidR="00891E52" w:rsidRPr="005F1A2F">
        <w:rPr>
          <w:rStyle w:val="Strong"/>
          <w:rFonts w:eastAsia="Times New Roman" w:cs="Arial"/>
          <w:b w:val="0"/>
          <w:bCs w:val="0"/>
          <w:lang w:eastAsia="en-ID"/>
        </w:rPr>
        <w:fldChar w:fldCharType="separate"/>
      </w:r>
      <w:r w:rsidR="00891E52" w:rsidRPr="005F1A2F">
        <w:rPr>
          <w:rStyle w:val="Strong"/>
          <w:rFonts w:eastAsia="Times New Roman" w:cs="Arial"/>
          <w:b w:val="0"/>
          <w:bCs w:val="0"/>
          <w:noProof/>
          <w:lang w:eastAsia="en-ID"/>
        </w:rPr>
        <w:t xml:space="preserve">(Gupta </w:t>
      </w:r>
      <w:r w:rsidR="00891E52" w:rsidRPr="005F1A2F">
        <w:rPr>
          <w:rStyle w:val="Strong"/>
          <w:rFonts w:eastAsia="Times New Roman" w:cs="Arial"/>
          <w:b w:val="0"/>
          <w:bCs w:val="0"/>
          <w:i/>
          <w:noProof/>
          <w:lang w:eastAsia="en-ID"/>
        </w:rPr>
        <w:t>et al.</w:t>
      </w:r>
      <w:r w:rsidR="00891E52" w:rsidRPr="005F1A2F">
        <w:rPr>
          <w:rStyle w:val="Strong"/>
          <w:rFonts w:eastAsia="Times New Roman" w:cs="Arial"/>
          <w:b w:val="0"/>
          <w:bCs w:val="0"/>
          <w:noProof/>
          <w:lang w:eastAsia="en-ID"/>
        </w:rPr>
        <w:t>, 2022)</w:t>
      </w:r>
      <w:r w:rsidR="00891E52" w:rsidRPr="005F1A2F">
        <w:rPr>
          <w:rStyle w:val="Strong"/>
          <w:rFonts w:eastAsia="Times New Roman" w:cs="Arial"/>
          <w:b w:val="0"/>
          <w:bCs w:val="0"/>
          <w:lang w:eastAsia="en-ID"/>
        </w:rPr>
        <w:fldChar w:fldCharType="end"/>
      </w:r>
    </w:p>
    <w:p w14:paraId="18322CF2" w14:textId="5C6DD107" w:rsidR="00891E52" w:rsidRPr="005F1A2F" w:rsidRDefault="00891E52" w:rsidP="009323A2">
      <w:pPr>
        <w:pStyle w:val="ListParagraph"/>
        <w:numPr>
          <w:ilvl w:val="0"/>
          <w:numId w:val="24"/>
        </w:numPr>
        <w:autoSpaceDE w:val="0"/>
        <w:autoSpaceDN w:val="0"/>
        <w:adjustRightInd w:val="0"/>
        <w:spacing w:before="120" w:after="0" w:line="276" w:lineRule="auto"/>
        <w:ind w:left="426" w:hanging="426"/>
        <w:jc w:val="both"/>
        <w:rPr>
          <w:rStyle w:val="Strong"/>
          <w:rFonts w:eastAsia="Times New Roman" w:cs="Arial"/>
          <w:lang w:eastAsia="en-ID"/>
        </w:rPr>
      </w:pPr>
      <w:r w:rsidRPr="005F1A2F">
        <w:rPr>
          <w:rStyle w:val="Strong"/>
          <w:rFonts w:eastAsia="Times New Roman" w:cs="Arial"/>
          <w:lang w:eastAsia="en-ID"/>
        </w:rPr>
        <w:t>Leaf Count Assessment</w:t>
      </w:r>
    </w:p>
    <w:p w14:paraId="4A34E0C0" w14:textId="58EDA331" w:rsidR="00891E52" w:rsidRPr="005F1A2F" w:rsidRDefault="00EB42D6" w:rsidP="009323A2">
      <w:pPr>
        <w:autoSpaceDE w:val="0"/>
        <w:autoSpaceDN w:val="0"/>
        <w:adjustRightInd w:val="0"/>
        <w:spacing w:before="120" w:after="0" w:line="276" w:lineRule="auto"/>
        <w:jc w:val="both"/>
        <w:rPr>
          <w:rFonts w:cs="Arial"/>
        </w:rPr>
      </w:pPr>
      <w:r w:rsidRPr="00A05FC8">
        <w:rPr>
          <w:rStyle w:val="Strong"/>
          <w:rFonts w:eastAsia="Times New Roman" w:cs="Arial"/>
          <w:b w:val="0"/>
          <w:bCs w:val="0"/>
          <w:sz w:val="20"/>
          <w:szCs w:val="20"/>
          <w:lang w:eastAsia="en-ID"/>
        </w:rPr>
        <w:t xml:space="preserve">Leaf count was recorded as a key morphological parameter indicative of canopy development and photosynthetic potential. The assessment included only leaves that were fresh, fully expanded, and green, excluding those that were senescent, damaged, or immature. Observations were conducted at 1, 2, 3, and 4 weeks after transplanting (WAT), with consistent counting procedures applied across all samples. The resulting data were statistically </w:t>
      </w:r>
      <w:proofErr w:type="spellStart"/>
      <w:r w:rsidRPr="00A05FC8">
        <w:rPr>
          <w:rStyle w:val="Strong"/>
          <w:rFonts w:eastAsia="Times New Roman" w:cs="Arial"/>
          <w:b w:val="0"/>
          <w:bCs w:val="0"/>
          <w:sz w:val="20"/>
          <w:szCs w:val="20"/>
          <w:lang w:eastAsia="en-ID"/>
        </w:rPr>
        <w:t>analyzed</w:t>
      </w:r>
      <w:proofErr w:type="spellEnd"/>
      <w:r w:rsidRPr="00A05FC8">
        <w:rPr>
          <w:rStyle w:val="Strong"/>
          <w:rFonts w:eastAsia="Times New Roman" w:cs="Arial"/>
          <w:b w:val="0"/>
          <w:bCs w:val="0"/>
          <w:sz w:val="20"/>
          <w:szCs w:val="20"/>
          <w:lang w:eastAsia="en-ID"/>
        </w:rPr>
        <w:t xml:space="preserve"> to evaluate the effects of different fertilizer treatments on leaf production, and the results were presented in tabular form to enable accurate interpretation and comparison. This parameter served as a practical indicator of vegetative </w:t>
      </w:r>
      <w:proofErr w:type="spellStart"/>
      <w:r w:rsidRPr="00A05FC8">
        <w:rPr>
          <w:rStyle w:val="Strong"/>
          <w:rFonts w:eastAsia="Times New Roman" w:cs="Arial"/>
          <w:b w:val="0"/>
          <w:bCs w:val="0"/>
          <w:sz w:val="20"/>
          <w:szCs w:val="20"/>
          <w:lang w:eastAsia="en-ID"/>
        </w:rPr>
        <w:t>vigor</w:t>
      </w:r>
      <w:proofErr w:type="spellEnd"/>
      <w:r w:rsidRPr="00A05FC8">
        <w:rPr>
          <w:rStyle w:val="Strong"/>
          <w:rFonts w:eastAsia="Times New Roman" w:cs="Arial"/>
          <w:b w:val="0"/>
          <w:bCs w:val="0"/>
          <w:sz w:val="20"/>
          <w:szCs w:val="20"/>
          <w:lang w:eastAsia="en-ID"/>
        </w:rPr>
        <w:t xml:space="preserve"> in response to nutrient availability</w:t>
      </w:r>
      <w:r w:rsidR="00891E52" w:rsidRPr="00A05FC8">
        <w:rPr>
          <w:rStyle w:val="Strong"/>
          <w:rFonts w:eastAsia="Times New Roman" w:cs="Arial"/>
          <w:sz w:val="20"/>
          <w:szCs w:val="20"/>
          <w:lang w:eastAsia="en-ID"/>
        </w:rPr>
        <w:t xml:space="preserve"> </w:t>
      </w:r>
      <w:r w:rsidR="00891E52" w:rsidRPr="005F1A2F">
        <w:rPr>
          <w:rStyle w:val="Strong"/>
          <w:rFonts w:eastAsia="Times New Roman" w:cs="Arial"/>
          <w:b w:val="0"/>
          <w:bCs w:val="0"/>
          <w:lang w:eastAsia="en-ID"/>
        </w:rPr>
        <w:fldChar w:fldCharType="begin" w:fldLock="1"/>
      </w:r>
      <w:r w:rsidR="005F41A0" w:rsidRPr="005F1A2F">
        <w:rPr>
          <w:rStyle w:val="Strong"/>
          <w:rFonts w:eastAsia="Times New Roman" w:cs="Arial"/>
          <w:b w:val="0"/>
          <w:bCs w:val="0"/>
          <w:lang w:eastAsia="en-ID"/>
        </w:rPr>
        <w:instrText>ADDIN CSL_CITATION {"citationItems":[{"id":"ITEM-1","itemData":{"ISSN":"1658-077X","author":[{"dropping-particle":"","family":"Gupta","given":"Chanchal","non-dropping-particle":"","parse-names":false,"suffix":""},{"dropping-particle":"","family":"Tewari","given":"V K","non-dropping-particle":"","parse-names":false,"suffix":""},{"dropping-particle":"","family":"Machavaram","given":"Rajendra","non-dropping-particle":"","parse-names":false,"suffix":""},{"dropping-particle":"","family":"Shrivastava","given":"Prateek","non-dropping-particle":"","parse-names":false,"suffix":""}],"container-title":"Journal of the Saudi Society of Agricultural Sciences","id":"ITEM-1","issue":"3","issued":{"date-parts":[["2022"]]},"page":"171-179","publisher":"Elsevier","title":"An image processing approach for measurement of chili plant height and width under field conditions","type":"article-journal","volume":"21"},"uris":["http://www.mendeley.com/documents/?uuid=e9f8e647-0264-4bab-b6b0-74bb4ec1d919"]}],"mendeley":{"formattedCitation":"(Gupta &lt;i&gt;et al.&lt;/i&gt;, 2022)","plainTextFormattedCitation":"(Gupta et al., 2022)","previouslyFormattedCitation":"(Gupta &lt;i&gt;et al.&lt;/i&gt;, 2022)"},"properties":{"noteIndex":0},"schema":"https://github.com/citation-style-language/schema/raw/master/csl-citation.json"}</w:instrText>
      </w:r>
      <w:r w:rsidR="00891E52" w:rsidRPr="005F1A2F">
        <w:rPr>
          <w:rStyle w:val="Strong"/>
          <w:rFonts w:eastAsia="Times New Roman" w:cs="Arial"/>
          <w:b w:val="0"/>
          <w:bCs w:val="0"/>
          <w:lang w:eastAsia="en-ID"/>
        </w:rPr>
        <w:fldChar w:fldCharType="separate"/>
      </w:r>
      <w:r w:rsidR="00891E52" w:rsidRPr="005F1A2F">
        <w:rPr>
          <w:rStyle w:val="Strong"/>
          <w:rFonts w:eastAsia="Times New Roman" w:cs="Arial"/>
          <w:b w:val="0"/>
          <w:bCs w:val="0"/>
          <w:noProof/>
          <w:lang w:eastAsia="en-ID"/>
        </w:rPr>
        <w:t xml:space="preserve">(Gupta </w:t>
      </w:r>
      <w:r w:rsidR="00891E52" w:rsidRPr="005F1A2F">
        <w:rPr>
          <w:rStyle w:val="Strong"/>
          <w:rFonts w:eastAsia="Times New Roman" w:cs="Arial"/>
          <w:b w:val="0"/>
          <w:bCs w:val="0"/>
          <w:i/>
          <w:noProof/>
          <w:lang w:eastAsia="en-ID"/>
        </w:rPr>
        <w:t>et al.</w:t>
      </w:r>
      <w:r w:rsidR="00891E52" w:rsidRPr="005F1A2F">
        <w:rPr>
          <w:rStyle w:val="Strong"/>
          <w:rFonts w:eastAsia="Times New Roman" w:cs="Arial"/>
          <w:b w:val="0"/>
          <w:bCs w:val="0"/>
          <w:noProof/>
          <w:lang w:eastAsia="en-ID"/>
        </w:rPr>
        <w:t>, 2022)</w:t>
      </w:r>
      <w:r w:rsidR="00891E52" w:rsidRPr="005F1A2F">
        <w:rPr>
          <w:rStyle w:val="Strong"/>
          <w:rFonts w:eastAsia="Times New Roman" w:cs="Arial"/>
          <w:b w:val="0"/>
          <w:bCs w:val="0"/>
          <w:lang w:eastAsia="en-ID"/>
        </w:rPr>
        <w:fldChar w:fldCharType="end"/>
      </w:r>
    </w:p>
    <w:p w14:paraId="22AE5645" w14:textId="77777777" w:rsidR="005F41A0" w:rsidRPr="005F1A2F" w:rsidRDefault="005F41A0" w:rsidP="009323A2">
      <w:pPr>
        <w:autoSpaceDE w:val="0"/>
        <w:autoSpaceDN w:val="0"/>
        <w:adjustRightInd w:val="0"/>
        <w:spacing w:before="120" w:after="0" w:line="276" w:lineRule="auto"/>
        <w:jc w:val="both"/>
        <w:rPr>
          <w:rStyle w:val="Strong"/>
          <w:rFonts w:cs="Arial"/>
        </w:rPr>
      </w:pPr>
      <w:r w:rsidRPr="005F1A2F">
        <w:rPr>
          <w:rStyle w:val="Strong"/>
          <w:rFonts w:cs="Arial"/>
        </w:rPr>
        <w:t>Preparation of Liquid Organic Fertilizer</w:t>
      </w:r>
    </w:p>
    <w:p w14:paraId="21EA85F2" w14:textId="78AB62D5" w:rsidR="005F41A0" w:rsidRPr="005F1A2F" w:rsidRDefault="00EB42D6" w:rsidP="009323A2">
      <w:pPr>
        <w:autoSpaceDE w:val="0"/>
        <w:autoSpaceDN w:val="0"/>
        <w:adjustRightInd w:val="0"/>
        <w:spacing w:before="120" w:after="0" w:line="276" w:lineRule="auto"/>
        <w:jc w:val="both"/>
        <w:rPr>
          <w:rStyle w:val="Strong"/>
          <w:rFonts w:cs="Arial"/>
          <w:b w:val="0"/>
          <w:bCs w:val="0"/>
        </w:rPr>
      </w:pPr>
      <w:r w:rsidRPr="00A05FC8">
        <w:rPr>
          <w:rStyle w:val="Strong"/>
          <w:rFonts w:cs="Arial"/>
          <w:b w:val="0"/>
          <w:bCs w:val="0"/>
          <w:sz w:val="20"/>
          <w:szCs w:val="20"/>
        </w:rPr>
        <w:t xml:space="preserve">Liquid organic fertilizer (LOF) was formulated by diluting tofu industry effluent with clean water to obtain three treatment concentrations: P1 (10%), P2 (25%), and P3 (50%). For each treatment, a total solution weight of 3,600 grams was maintained by mixing 360 g, 900 g, and 1,800 g of tofu wastewater with 3,240 g, 2,700 g, and 1,800 g of water, respectively. This standardized formulation ensured consistency across treatments and enabled accurate dose–response analysis in assessing the agronomic potential of tofu wastewater as a sustainable nutrient source for </w:t>
      </w:r>
      <w:r w:rsidRPr="00A05FC8">
        <w:rPr>
          <w:rStyle w:val="Strong"/>
          <w:rFonts w:cs="Arial"/>
          <w:b w:val="0"/>
          <w:bCs w:val="0"/>
          <w:i/>
          <w:iCs/>
          <w:sz w:val="20"/>
          <w:szCs w:val="20"/>
        </w:rPr>
        <w:t xml:space="preserve">Brassica rapa </w:t>
      </w:r>
      <w:r w:rsidRPr="00A05FC8">
        <w:rPr>
          <w:rStyle w:val="Strong"/>
          <w:rFonts w:cs="Arial"/>
          <w:b w:val="0"/>
          <w:bCs w:val="0"/>
          <w:sz w:val="20"/>
          <w:szCs w:val="20"/>
        </w:rPr>
        <w:t xml:space="preserve">L. subsp. </w:t>
      </w:r>
      <w:proofErr w:type="spellStart"/>
      <w:r w:rsidRPr="00A05FC8">
        <w:rPr>
          <w:rStyle w:val="Strong"/>
          <w:rFonts w:cs="Arial"/>
          <w:b w:val="0"/>
          <w:bCs w:val="0"/>
          <w:sz w:val="20"/>
          <w:szCs w:val="20"/>
        </w:rPr>
        <w:t>chinensis</w:t>
      </w:r>
      <w:proofErr w:type="spellEnd"/>
      <w:r w:rsidRPr="00A05FC8">
        <w:rPr>
          <w:rStyle w:val="Strong"/>
          <w:rFonts w:cs="Arial"/>
          <w:b w:val="0"/>
          <w:bCs w:val="0"/>
          <w:sz w:val="20"/>
          <w:szCs w:val="20"/>
        </w:rPr>
        <w:t xml:space="preserve"> (</w:t>
      </w:r>
      <w:proofErr w:type="spellStart"/>
      <w:r w:rsidRPr="00A05FC8">
        <w:rPr>
          <w:rStyle w:val="Strong"/>
          <w:rFonts w:cs="Arial"/>
          <w:b w:val="0"/>
          <w:bCs w:val="0"/>
          <w:sz w:val="20"/>
          <w:szCs w:val="20"/>
        </w:rPr>
        <w:t>pakcoy</w:t>
      </w:r>
      <w:proofErr w:type="spellEnd"/>
      <w:r w:rsidRPr="00A05FC8">
        <w:rPr>
          <w:rStyle w:val="Strong"/>
          <w:rFonts w:cs="Arial"/>
          <w:b w:val="0"/>
          <w:bCs w:val="0"/>
          <w:sz w:val="20"/>
          <w:szCs w:val="20"/>
        </w:rPr>
        <w:t>)</w:t>
      </w:r>
      <w:r w:rsidR="005F41A0" w:rsidRPr="00A05FC8">
        <w:rPr>
          <w:rStyle w:val="Strong"/>
          <w:rFonts w:cs="Arial"/>
          <w:b w:val="0"/>
          <w:bCs w:val="0"/>
          <w:sz w:val="20"/>
          <w:szCs w:val="20"/>
        </w:rPr>
        <w:t xml:space="preserve"> </w:t>
      </w:r>
      <w:r w:rsidR="005F41A0" w:rsidRPr="00A05FC8">
        <w:rPr>
          <w:rStyle w:val="Strong"/>
          <w:rFonts w:cs="Arial"/>
          <w:b w:val="0"/>
          <w:bCs w:val="0"/>
          <w:sz w:val="20"/>
          <w:szCs w:val="20"/>
        </w:rPr>
        <w:fldChar w:fldCharType="begin" w:fldLock="1"/>
      </w:r>
      <w:r w:rsidR="001043CA" w:rsidRPr="00A05FC8">
        <w:rPr>
          <w:rStyle w:val="Strong"/>
          <w:rFonts w:cs="Arial"/>
          <w:b w:val="0"/>
          <w:bCs w:val="0"/>
          <w:sz w:val="20"/>
          <w:szCs w:val="20"/>
        </w:rPr>
        <w:instrText>ADDIN CSL_CITATION {"citationItems":[{"id":"ITEM-1","itemData":{"ISSN":"2460-1500","author":[{"dropping-particle":"","family":"Sugiharti","given":"Intannia Eka Putri","non-dropping-particle":"","parse-names":false,"suffix":""},{"dropping-particle":"","family":"Raksun","given":"Ahmad","non-dropping-particle":"","parse-names":false,"suffix":""},{"dropping-particle":"","family":"Mertha","given":"I Gde","non-dropping-particle":"","parse-names":false,"suffix":""}],"container-title":"Jurnal Pijar Mipa","id":"ITEM-1","issue":"4","issued":{"date-parts":[["2022"]]},"page":"554-559","title":"The effect of liquid organic fertilizer from tofu industrial waste and EM4 on the growth of mustard greens (Brasicajuncea L.)","type":"article-journal","volume":"17"},"uris":["http://www.mendeley.com/documents/?uuid=506c05b3-a067-49ae-bcf9-787c3ca04a0b"]}],"mendeley":{"formattedCitation":"(Sugiharti, Raksun and Mertha, 2022)","plainTextFormattedCitation":"(Sugiharti, Raksun and Mertha, 2022)","previouslyFormattedCitation":"(Sugiharti, Raksun and Mertha, 2022)"},"properties":{"noteIndex":0},"schema":"https://github.com/citation-style-language/schema/raw/master/csl-citation.json"}</w:instrText>
      </w:r>
      <w:r w:rsidR="005F41A0" w:rsidRPr="00A05FC8">
        <w:rPr>
          <w:rStyle w:val="Strong"/>
          <w:rFonts w:cs="Arial"/>
          <w:b w:val="0"/>
          <w:bCs w:val="0"/>
          <w:sz w:val="20"/>
          <w:szCs w:val="20"/>
        </w:rPr>
        <w:fldChar w:fldCharType="separate"/>
      </w:r>
      <w:r w:rsidR="005F41A0" w:rsidRPr="00A05FC8">
        <w:rPr>
          <w:rStyle w:val="Strong"/>
          <w:rFonts w:cs="Arial"/>
          <w:b w:val="0"/>
          <w:bCs w:val="0"/>
          <w:noProof/>
          <w:sz w:val="20"/>
          <w:szCs w:val="20"/>
        </w:rPr>
        <w:t>(Sugiharti, Raksun and Mertha, 2022)</w:t>
      </w:r>
      <w:r w:rsidR="005F41A0" w:rsidRPr="00A05FC8">
        <w:rPr>
          <w:rStyle w:val="Strong"/>
          <w:rFonts w:cs="Arial"/>
          <w:b w:val="0"/>
          <w:bCs w:val="0"/>
          <w:sz w:val="20"/>
          <w:szCs w:val="20"/>
        </w:rPr>
        <w:fldChar w:fldCharType="end"/>
      </w:r>
    </w:p>
    <w:p w14:paraId="6829CC3F" w14:textId="77777777" w:rsidR="001043CA" w:rsidRPr="005F1A2F" w:rsidRDefault="001043CA" w:rsidP="00005676">
      <w:pPr>
        <w:pStyle w:val="ListParagraph"/>
        <w:spacing w:before="120" w:after="0" w:line="276" w:lineRule="auto"/>
        <w:ind w:left="0"/>
        <w:jc w:val="both"/>
        <w:rPr>
          <w:rFonts w:cs="Arial"/>
          <w:b/>
          <w:bCs/>
          <w:color w:val="000000"/>
        </w:rPr>
      </w:pPr>
      <w:r w:rsidRPr="005F1A2F">
        <w:rPr>
          <w:rFonts w:cs="Arial"/>
          <w:b/>
          <w:bCs/>
          <w:color w:val="000000"/>
        </w:rPr>
        <w:t>Data Analysis</w:t>
      </w:r>
    </w:p>
    <w:p w14:paraId="33B2F29A" w14:textId="24B74705" w:rsidR="005F41A0" w:rsidRPr="005F1A2F" w:rsidRDefault="00E32693" w:rsidP="00005676">
      <w:pPr>
        <w:pStyle w:val="ListParagraph"/>
        <w:spacing w:before="120" w:after="0" w:line="276" w:lineRule="auto"/>
        <w:ind w:left="0"/>
        <w:jc w:val="both"/>
        <w:rPr>
          <w:rFonts w:cs="Arial"/>
        </w:rPr>
      </w:pPr>
      <w:r w:rsidRPr="00A05FC8">
        <w:rPr>
          <w:rFonts w:cs="Arial"/>
          <w:sz w:val="20"/>
          <w:szCs w:val="20"/>
        </w:rPr>
        <w:t>This study evaluated the effects of liquid organic fertilizer (LOF) derived from tofu wastewater on the growth performance of Brassica rapa L. (</w:t>
      </w:r>
      <w:proofErr w:type="spellStart"/>
      <w:r w:rsidRPr="00A05FC8">
        <w:rPr>
          <w:rFonts w:cs="Arial"/>
          <w:sz w:val="20"/>
          <w:szCs w:val="20"/>
        </w:rPr>
        <w:t>pakcoy</w:t>
      </w:r>
      <w:proofErr w:type="spellEnd"/>
      <w:r w:rsidRPr="00A05FC8">
        <w:rPr>
          <w:rFonts w:cs="Arial"/>
          <w:sz w:val="20"/>
          <w:szCs w:val="20"/>
        </w:rPr>
        <w:t xml:space="preserve">) by assessing five agronomic parameters: fresh weight, dry weight, protein content, plant height, and number </w:t>
      </w:r>
      <w:r w:rsidRPr="00A05FC8">
        <w:rPr>
          <w:rFonts w:cs="Arial"/>
          <w:sz w:val="20"/>
          <w:szCs w:val="20"/>
        </w:rPr>
        <w:lastRenderedPageBreak/>
        <w:t>of leaves. A multi-tiered statistical approach was employed to ensure robust analysis and interpretation. First, one-way Analysis of Variance (ANOVA) was conducted at a 5% significance level (α = 0.05) to determine whether differences among treatment groups were statistically significant. Second, Tukey’s Honest Significant Difference (HSD) test was applied as a post hoc analysis at a more lenient threshold (α = 0.10) to identify specific pairwise differences between treatments, particularly useful for detecting subtle but biologically meaningful variations. Third, second-order polynomial regression was utilized to model the dose-response relationship between LOF concentration and each growth parameter, revealing a nonlinear trend with an optimal concentration range that maximized growth performance. Beyond this range, higher concentrations exhibited diminishing returns, suggesting possible nutrient toxicity or physiological stress. This integrative approach allowed for both statistical rigor and biological interpretation, thereby enhancing the reliability of the conclusions drawn from the experimental data.</w:t>
      </w:r>
      <w:r w:rsidR="00691DE3" w:rsidRPr="00A05FC8">
        <w:rPr>
          <w:rFonts w:cs="Arial"/>
          <w:sz w:val="20"/>
          <w:szCs w:val="20"/>
        </w:rPr>
        <w:t>.</w:t>
      </w:r>
      <w:r w:rsidR="001043CA" w:rsidRPr="00A05FC8">
        <w:rPr>
          <w:rFonts w:cs="Arial"/>
          <w:sz w:val="20"/>
          <w:szCs w:val="20"/>
        </w:rPr>
        <w:fldChar w:fldCharType="begin" w:fldLock="1"/>
      </w:r>
      <w:r w:rsidR="008922CE" w:rsidRPr="00A05FC8">
        <w:rPr>
          <w:rFonts w:cs="Arial"/>
          <w:sz w:val="20"/>
          <w:szCs w:val="20"/>
        </w:rPr>
        <w:instrText>ADDIN CSL_CITATION {"citationItems":[{"id":"ITEM-1","itemData":{"ISBN":"1755-1315","author":[{"dropping-particle":"","family":"Sebayang","given":"N U W","non-dropping-particle":"","parse-names":false,"suffix":""},{"dropping-particle":"","family":"Sabrina","given":"T","non-dropping-particle":"","parse-names":false,"suffix":""},{"dropping-particle":"","family":"Rahmawati","given":"N","non-dropping-particle":"","parse-names":false,"suffix":""},{"dropping-particle":"","family":"Lubis","given":"N","non-dropping-particle":"","parse-names":false,"suffix":""}],"container-title":"IOP Conference Series: Earth and Environmental Science","id":"ITEM-1","issue":"1","issued":{"date-parts":[["2023"]]},"page":"12028","publisher":"IOP Publishing","title":"Application of Vermicompost, Kasgot (BSF Compost), and Vermigot for growth and production of Pakchoy (Brassica rapa L.) in Ultisol","type":"paper-conference","volume":"1182"},"uris":["http://www.mendeley.com/documents/?uuid=81825e93-9dd4-445a-a09e-39162003b004"]}],"mendeley":{"formattedCitation":"(Sebayang &lt;i&gt;et al.&lt;/i&gt;, 2023)","plainTextFormattedCitation":"(Sebayang et al., 2023)","previouslyFormattedCitation":"(Sebayang &lt;i&gt;et al.&lt;/i&gt;, 2023)"},"properties":{"noteIndex":0},"schema":"https://github.com/citation-style-language/schema/raw/master/csl-citation.json"}</w:instrText>
      </w:r>
      <w:r w:rsidR="001043CA" w:rsidRPr="00A05FC8">
        <w:rPr>
          <w:rFonts w:cs="Arial"/>
          <w:sz w:val="20"/>
          <w:szCs w:val="20"/>
        </w:rPr>
        <w:fldChar w:fldCharType="separate"/>
      </w:r>
      <w:r w:rsidR="001043CA" w:rsidRPr="00A05FC8">
        <w:rPr>
          <w:rFonts w:cs="Arial"/>
          <w:noProof/>
          <w:sz w:val="20"/>
          <w:szCs w:val="20"/>
        </w:rPr>
        <w:t xml:space="preserve">(Sebayang </w:t>
      </w:r>
      <w:r w:rsidR="001043CA" w:rsidRPr="00A05FC8">
        <w:rPr>
          <w:rFonts w:cs="Arial"/>
          <w:i/>
          <w:noProof/>
          <w:sz w:val="20"/>
          <w:szCs w:val="20"/>
        </w:rPr>
        <w:t>et al.</w:t>
      </w:r>
      <w:r w:rsidR="001043CA" w:rsidRPr="00A05FC8">
        <w:rPr>
          <w:rFonts w:cs="Arial"/>
          <w:noProof/>
          <w:sz w:val="20"/>
          <w:szCs w:val="20"/>
        </w:rPr>
        <w:t>, 2023)</w:t>
      </w:r>
      <w:r w:rsidR="001043CA" w:rsidRPr="00A05FC8">
        <w:rPr>
          <w:rFonts w:cs="Arial"/>
          <w:sz w:val="20"/>
          <w:szCs w:val="20"/>
        </w:rPr>
        <w:fldChar w:fldCharType="end"/>
      </w:r>
    </w:p>
    <w:p w14:paraId="29AE6B66" w14:textId="030D9F3D" w:rsidR="00921E74" w:rsidRPr="005F1A2F" w:rsidRDefault="00921E74" w:rsidP="00E32693">
      <w:pPr>
        <w:pStyle w:val="NormalWeb"/>
        <w:spacing w:before="120" w:beforeAutospacing="0" w:after="120" w:afterAutospacing="0" w:line="276" w:lineRule="auto"/>
        <w:jc w:val="both"/>
        <w:rPr>
          <w:rStyle w:val="Strong"/>
          <w:rFonts w:ascii="Arial" w:hAnsi="Arial" w:cs="Arial"/>
          <w:sz w:val="22"/>
          <w:szCs w:val="22"/>
        </w:rPr>
      </w:pPr>
      <w:r w:rsidRPr="005F1A2F">
        <w:rPr>
          <w:rStyle w:val="Strong"/>
          <w:rFonts w:ascii="Arial" w:hAnsi="Arial" w:cs="Arial"/>
          <w:sz w:val="22"/>
          <w:szCs w:val="22"/>
        </w:rPr>
        <w:t>RESULTS AND DISCUSSION</w:t>
      </w:r>
    </w:p>
    <w:p w14:paraId="5A589A93" w14:textId="4A5CFA55" w:rsidR="00691DE3" w:rsidRDefault="007977C5" w:rsidP="00E32693">
      <w:pPr>
        <w:spacing w:before="120" w:after="120" w:line="276" w:lineRule="auto"/>
        <w:jc w:val="both"/>
        <w:rPr>
          <w:rFonts w:eastAsia="Times New Roman" w:cs="Arial"/>
          <w:sz w:val="20"/>
          <w:szCs w:val="20"/>
          <w:lang w:eastAsia="en-ID"/>
        </w:rPr>
      </w:pPr>
      <w:r w:rsidRPr="00A05FC8">
        <w:rPr>
          <w:rFonts w:cs="Arial"/>
          <w:sz w:val="20"/>
          <w:szCs w:val="20"/>
        </w:rPr>
        <w:t xml:space="preserve">This study was conducted to examine the effects of liquid organic fertilizer (LOF) derived from tofu industry effluent on the growth and biomass accumulation of </w:t>
      </w:r>
      <w:proofErr w:type="spellStart"/>
      <w:r w:rsidRPr="00A05FC8">
        <w:rPr>
          <w:rFonts w:cs="Arial"/>
          <w:sz w:val="20"/>
          <w:szCs w:val="20"/>
        </w:rPr>
        <w:t>pakcoy</w:t>
      </w:r>
      <w:proofErr w:type="spellEnd"/>
      <w:r w:rsidRPr="00A05FC8">
        <w:rPr>
          <w:rFonts w:cs="Arial"/>
          <w:sz w:val="20"/>
          <w:szCs w:val="20"/>
        </w:rPr>
        <w:t xml:space="preserve"> (</w:t>
      </w:r>
      <w:r w:rsidRPr="00A05FC8">
        <w:rPr>
          <w:rFonts w:cs="Arial"/>
          <w:i/>
          <w:iCs/>
          <w:sz w:val="20"/>
          <w:szCs w:val="20"/>
        </w:rPr>
        <w:t xml:space="preserve">Brassica </w:t>
      </w:r>
      <w:proofErr w:type="spellStart"/>
      <w:r w:rsidRPr="00A05FC8">
        <w:rPr>
          <w:rFonts w:cs="Arial"/>
          <w:i/>
          <w:iCs/>
          <w:sz w:val="20"/>
          <w:szCs w:val="20"/>
        </w:rPr>
        <w:t>rapa</w:t>
      </w:r>
      <w:proofErr w:type="spellEnd"/>
      <w:r w:rsidRPr="00A05FC8">
        <w:rPr>
          <w:rFonts w:cs="Arial"/>
          <w:sz w:val="20"/>
          <w:szCs w:val="20"/>
        </w:rPr>
        <w:t xml:space="preserve"> L. subsp. chinensis). Five agronomic parameters</w:t>
      </w:r>
      <w:r w:rsidR="00626A6A" w:rsidRPr="00A05FC8">
        <w:rPr>
          <w:rFonts w:cs="Arial"/>
          <w:sz w:val="20"/>
          <w:szCs w:val="20"/>
        </w:rPr>
        <w:t xml:space="preserve"> </w:t>
      </w:r>
      <w:r w:rsidRPr="00A05FC8">
        <w:rPr>
          <w:rFonts w:cs="Arial"/>
          <w:sz w:val="20"/>
          <w:szCs w:val="20"/>
        </w:rPr>
        <w:t>fresh weight, dry weight, protein content, plant height, and number of leaves</w:t>
      </w:r>
      <w:r w:rsidR="00626A6A" w:rsidRPr="00A05FC8">
        <w:rPr>
          <w:rFonts w:cs="Arial"/>
          <w:sz w:val="20"/>
          <w:szCs w:val="20"/>
        </w:rPr>
        <w:t xml:space="preserve"> </w:t>
      </w:r>
      <w:r w:rsidRPr="00A05FC8">
        <w:rPr>
          <w:rFonts w:cs="Arial"/>
          <w:sz w:val="20"/>
          <w:szCs w:val="20"/>
        </w:rPr>
        <w:t>were measured to assess plant performance. Observations were carried out weekly over a four-week cultivation period (Weeks After Transplanting/WAT), under four treatment groups with varying LOF concentrations: 0% (control), 10%, 25%, and 50%, each replicated three times. The collected data for each parameter are presented in Table 1, providing a comprehensive overview of growth dynamics across treatments and time points, and serving as the basis for further statistical analysis and interpretation.</w:t>
      </w:r>
    </w:p>
    <w:p w14:paraId="4DEE0525" w14:textId="2E4F470D" w:rsidR="00A05FC8" w:rsidRDefault="00A05FC8" w:rsidP="00E32693">
      <w:pPr>
        <w:spacing w:before="120" w:after="120" w:line="276" w:lineRule="auto"/>
        <w:jc w:val="both"/>
        <w:rPr>
          <w:rFonts w:eastAsia="Times New Roman" w:cs="Arial"/>
          <w:sz w:val="20"/>
          <w:szCs w:val="20"/>
          <w:lang w:eastAsia="en-ID"/>
        </w:rPr>
      </w:pPr>
      <w:r w:rsidRPr="00A05FC8">
        <w:rPr>
          <w:rFonts w:eastAsia="Times New Roman" w:cs="Arial"/>
          <w:sz w:val="20"/>
          <w:szCs w:val="20"/>
          <w:lang w:eastAsia="en-ID"/>
        </w:rPr>
        <w:t xml:space="preserve">The research findings provide a robust empirical foundation for interpreting the biological mechanisms underlying the effects of varying concentrations of tofu wastewater-based liquid organic fertilizer on the growth dynamics of Brassica rapa </w:t>
      </w:r>
      <w:proofErr w:type="gramStart"/>
      <w:r w:rsidRPr="00A05FC8">
        <w:rPr>
          <w:rFonts w:eastAsia="Times New Roman" w:cs="Arial"/>
          <w:sz w:val="20"/>
          <w:szCs w:val="20"/>
          <w:lang w:eastAsia="en-ID"/>
        </w:rPr>
        <w:t>L..</w:t>
      </w:r>
      <w:proofErr w:type="gramEnd"/>
      <w:r w:rsidRPr="00A05FC8">
        <w:rPr>
          <w:rFonts w:eastAsia="Times New Roman" w:cs="Arial"/>
          <w:sz w:val="20"/>
          <w:szCs w:val="20"/>
          <w:lang w:eastAsia="en-ID"/>
        </w:rPr>
        <w:t xml:space="preserve"> The following discussion elaborates on these results by linking them to nutrient availability, plant physiological responses, and prior empirical studies on organic fertilizer applications, as follows:</w:t>
      </w:r>
    </w:p>
    <w:p w14:paraId="2128B302" w14:textId="77777777" w:rsidR="0009774A" w:rsidRPr="005F1A2F" w:rsidRDefault="0009774A" w:rsidP="0009774A">
      <w:pPr>
        <w:pStyle w:val="NormalWeb"/>
        <w:numPr>
          <w:ilvl w:val="0"/>
          <w:numId w:val="25"/>
        </w:numPr>
        <w:spacing w:before="120" w:beforeAutospacing="0" w:after="120" w:afterAutospacing="0" w:line="276" w:lineRule="auto"/>
        <w:ind w:left="426" w:hanging="426"/>
        <w:jc w:val="both"/>
        <w:rPr>
          <w:rFonts w:ascii="Arial" w:hAnsi="Arial" w:cs="Arial"/>
          <w:b/>
          <w:bCs/>
          <w:sz w:val="22"/>
          <w:szCs w:val="22"/>
        </w:rPr>
      </w:pPr>
      <w:r w:rsidRPr="005F1A2F">
        <w:rPr>
          <w:rFonts w:ascii="Arial" w:hAnsi="Arial" w:cs="Arial"/>
          <w:b/>
          <w:bCs/>
          <w:sz w:val="22"/>
          <w:szCs w:val="22"/>
        </w:rPr>
        <w:t xml:space="preserve">Fresh Weight Analysis of </w:t>
      </w:r>
      <w:proofErr w:type="spellStart"/>
      <w:r w:rsidRPr="005F1A2F">
        <w:rPr>
          <w:rFonts w:ascii="Arial" w:hAnsi="Arial" w:cs="Arial"/>
          <w:b/>
          <w:bCs/>
          <w:sz w:val="22"/>
          <w:szCs w:val="22"/>
        </w:rPr>
        <w:t>Pakcoy</w:t>
      </w:r>
      <w:proofErr w:type="spellEnd"/>
      <w:r w:rsidRPr="005F1A2F">
        <w:rPr>
          <w:rFonts w:ascii="Arial" w:hAnsi="Arial" w:cs="Arial"/>
          <w:b/>
          <w:bCs/>
          <w:sz w:val="22"/>
          <w:szCs w:val="22"/>
        </w:rPr>
        <w:t xml:space="preserve"> (</w:t>
      </w:r>
      <w:r w:rsidRPr="005F1A2F">
        <w:rPr>
          <w:rFonts w:ascii="Arial" w:hAnsi="Arial" w:cs="Arial"/>
          <w:b/>
          <w:bCs/>
          <w:i/>
          <w:iCs/>
          <w:sz w:val="22"/>
          <w:szCs w:val="22"/>
        </w:rPr>
        <w:t xml:space="preserve">Brassica </w:t>
      </w:r>
      <w:proofErr w:type="spellStart"/>
      <w:r w:rsidRPr="005F1A2F">
        <w:rPr>
          <w:rFonts w:ascii="Arial" w:hAnsi="Arial" w:cs="Arial"/>
          <w:b/>
          <w:bCs/>
          <w:i/>
          <w:iCs/>
          <w:sz w:val="22"/>
          <w:szCs w:val="22"/>
        </w:rPr>
        <w:t>rapa</w:t>
      </w:r>
      <w:proofErr w:type="spellEnd"/>
      <w:r w:rsidRPr="005F1A2F">
        <w:rPr>
          <w:rFonts w:ascii="Arial" w:hAnsi="Arial" w:cs="Arial"/>
          <w:b/>
          <w:bCs/>
          <w:i/>
          <w:iCs/>
          <w:sz w:val="22"/>
          <w:szCs w:val="22"/>
        </w:rPr>
        <w:t xml:space="preserve"> </w:t>
      </w:r>
      <w:r w:rsidRPr="005F1A2F">
        <w:rPr>
          <w:rFonts w:ascii="Arial" w:hAnsi="Arial" w:cs="Arial"/>
          <w:b/>
          <w:bCs/>
          <w:sz w:val="22"/>
          <w:szCs w:val="22"/>
        </w:rPr>
        <w:t>L. subsp. chinensis) in Response to Liquid Organic Fertilizer Application</w:t>
      </w:r>
    </w:p>
    <w:p w14:paraId="31682AA5" w14:textId="77777777" w:rsidR="0009774A" w:rsidRPr="005F1A2F" w:rsidRDefault="0009774A" w:rsidP="0009774A">
      <w:pPr>
        <w:pStyle w:val="NormalWeb"/>
        <w:spacing w:before="120" w:beforeAutospacing="0" w:after="120" w:afterAutospacing="0" w:line="276" w:lineRule="auto"/>
        <w:jc w:val="both"/>
        <w:rPr>
          <w:rFonts w:ascii="Arial" w:hAnsi="Arial" w:cs="Arial"/>
          <w:sz w:val="22"/>
          <w:szCs w:val="22"/>
        </w:rPr>
      </w:pPr>
      <w:r w:rsidRPr="005F1A2F">
        <w:rPr>
          <w:rFonts w:ascii="Arial" w:hAnsi="Arial" w:cs="Arial"/>
          <w:sz w:val="22"/>
          <w:szCs w:val="22"/>
        </w:rPr>
        <w:t xml:space="preserve">A one-way ANOVA was performed to evaluate the effect of different concentrations of tofu wastewater-based liquid organic fertilizer (LOF) on </w:t>
      </w:r>
      <w:proofErr w:type="spellStart"/>
      <w:r w:rsidRPr="005F1A2F">
        <w:rPr>
          <w:rFonts w:ascii="Arial" w:hAnsi="Arial" w:cs="Arial"/>
          <w:sz w:val="22"/>
          <w:szCs w:val="22"/>
        </w:rPr>
        <w:t>pakcoy</w:t>
      </w:r>
      <w:proofErr w:type="spellEnd"/>
      <w:r w:rsidRPr="005F1A2F">
        <w:rPr>
          <w:rFonts w:ascii="Arial" w:hAnsi="Arial" w:cs="Arial"/>
          <w:sz w:val="22"/>
          <w:szCs w:val="22"/>
        </w:rPr>
        <w:t xml:space="preserve"> (</w:t>
      </w:r>
      <w:r w:rsidRPr="005F1A2F">
        <w:rPr>
          <w:rFonts w:ascii="Arial" w:hAnsi="Arial" w:cs="Arial"/>
          <w:i/>
          <w:iCs/>
          <w:sz w:val="22"/>
          <w:szCs w:val="22"/>
        </w:rPr>
        <w:t xml:space="preserve">Brassica </w:t>
      </w:r>
      <w:proofErr w:type="spellStart"/>
      <w:r w:rsidRPr="005F1A2F">
        <w:rPr>
          <w:rFonts w:ascii="Arial" w:hAnsi="Arial" w:cs="Arial"/>
          <w:i/>
          <w:iCs/>
          <w:sz w:val="22"/>
          <w:szCs w:val="22"/>
        </w:rPr>
        <w:t>rapa</w:t>
      </w:r>
      <w:proofErr w:type="spellEnd"/>
      <w:r w:rsidRPr="005F1A2F">
        <w:rPr>
          <w:rFonts w:ascii="Arial" w:hAnsi="Arial" w:cs="Arial"/>
          <w:i/>
          <w:iCs/>
          <w:sz w:val="22"/>
          <w:szCs w:val="22"/>
        </w:rPr>
        <w:t xml:space="preserve"> L</w:t>
      </w:r>
      <w:r w:rsidRPr="005F1A2F">
        <w:rPr>
          <w:rFonts w:ascii="Arial" w:hAnsi="Arial" w:cs="Arial"/>
          <w:sz w:val="22"/>
          <w:szCs w:val="22"/>
        </w:rPr>
        <w:t xml:space="preserve">.) fresh weight. The analysis revealed significant differences among treatments (p &lt; 0.05), indicating that LOF concentration had a measurable impact on fresh biomass accumulation. The highest average fresh weights were recorded in the 10% and 25% treatments, particularly at week 4, while the 50% treatment showed lower values likely due to nutrient oversaturation or phytotoxic effects. Detailed ANOVA results and mean comparisons are presented in Table </w:t>
      </w:r>
      <w:r>
        <w:rPr>
          <w:rFonts w:ascii="Arial" w:hAnsi="Arial" w:cs="Arial"/>
          <w:sz w:val="22"/>
          <w:szCs w:val="22"/>
        </w:rPr>
        <w:t>2</w:t>
      </w:r>
      <w:r w:rsidRPr="005F1A2F">
        <w:rPr>
          <w:rFonts w:ascii="Arial" w:hAnsi="Arial" w:cs="Arial"/>
          <w:sz w:val="22"/>
          <w:szCs w:val="22"/>
        </w:rPr>
        <w:t>.</w:t>
      </w:r>
    </w:p>
    <w:p w14:paraId="0438CA65" w14:textId="77777777" w:rsidR="0009774A" w:rsidRPr="005F1A2F" w:rsidRDefault="0009774A" w:rsidP="0009774A">
      <w:pPr>
        <w:pStyle w:val="NormalWeb"/>
        <w:spacing w:before="0" w:beforeAutospacing="0" w:after="0" w:afterAutospacing="0"/>
        <w:jc w:val="both"/>
        <w:rPr>
          <w:rFonts w:ascii="Arial" w:hAnsi="Arial" w:cs="Arial"/>
          <w:sz w:val="22"/>
          <w:szCs w:val="22"/>
        </w:rPr>
      </w:pPr>
      <w:r w:rsidRPr="005F1A2F">
        <w:rPr>
          <w:rFonts w:ascii="Arial" w:hAnsi="Arial" w:cs="Arial"/>
          <w:sz w:val="22"/>
          <w:szCs w:val="22"/>
        </w:rPr>
        <w:t xml:space="preserve">Table 2. Analysis of Variance (ANOVA) for Fresh Weight of </w:t>
      </w:r>
      <w:proofErr w:type="spellStart"/>
      <w:r w:rsidRPr="005F1A2F">
        <w:rPr>
          <w:rFonts w:ascii="Arial" w:hAnsi="Arial" w:cs="Arial"/>
          <w:sz w:val="22"/>
          <w:szCs w:val="22"/>
        </w:rPr>
        <w:t>Pakcoy</w:t>
      </w:r>
      <w:proofErr w:type="spellEnd"/>
      <w:r w:rsidRPr="005F1A2F">
        <w:rPr>
          <w:rFonts w:ascii="Arial" w:hAnsi="Arial" w:cs="Arial"/>
          <w:sz w:val="22"/>
          <w:szCs w:val="22"/>
        </w:rPr>
        <w:t xml:space="preserve"> Plants under LOF Treatments from Week 1 to Week 4 </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847"/>
        <w:gridCol w:w="1016"/>
        <w:gridCol w:w="857"/>
        <w:gridCol w:w="1016"/>
        <w:gridCol w:w="1058"/>
        <w:gridCol w:w="1299"/>
      </w:tblGrid>
      <w:tr w:rsidR="0009774A" w:rsidRPr="005F1A2F" w14:paraId="20D5D624" w14:textId="77777777" w:rsidTr="000C48E2">
        <w:trPr>
          <w:trHeight w:val="285"/>
        </w:trPr>
        <w:tc>
          <w:tcPr>
            <w:tcW w:w="1843" w:type="dxa"/>
            <w:noWrap/>
            <w:hideMark/>
          </w:tcPr>
          <w:p w14:paraId="11B93EFD"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Variations</w:t>
            </w:r>
          </w:p>
        </w:tc>
        <w:tc>
          <w:tcPr>
            <w:tcW w:w="851" w:type="dxa"/>
            <w:noWrap/>
            <w:hideMark/>
          </w:tcPr>
          <w:p w14:paraId="0AB22F87"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Df</w:t>
            </w:r>
          </w:p>
        </w:tc>
        <w:tc>
          <w:tcPr>
            <w:tcW w:w="1020" w:type="dxa"/>
            <w:noWrap/>
            <w:hideMark/>
          </w:tcPr>
          <w:p w14:paraId="70D609AF"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Sum of Squares</w:t>
            </w:r>
          </w:p>
        </w:tc>
        <w:tc>
          <w:tcPr>
            <w:tcW w:w="822" w:type="dxa"/>
            <w:noWrap/>
            <w:hideMark/>
          </w:tcPr>
          <w:p w14:paraId="5E3E6EE4"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Mean Square</w:t>
            </w:r>
          </w:p>
        </w:tc>
        <w:tc>
          <w:tcPr>
            <w:tcW w:w="1020" w:type="dxa"/>
            <w:noWrap/>
            <w:hideMark/>
          </w:tcPr>
          <w:p w14:paraId="1C310576"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F Count</w:t>
            </w:r>
          </w:p>
        </w:tc>
        <w:tc>
          <w:tcPr>
            <w:tcW w:w="1063" w:type="dxa"/>
            <w:noWrap/>
            <w:hideMark/>
          </w:tcPr>
          <w:p w14:paraId="1FAB312C"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p-value (PR(&gt;F))</w:t>
            </w:r>
          </w:p>
        </w:tc>
        <w:tc>
          <w:tcPr>
            <w:tcW w:w="1173" w:type="dxa"/>
            <w:noWrap/>
            <w:hideMark/>
          </w:tcPr>
          <w:p w14:paraId="058A2C65"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cs="Arial"/>
              </w:rPr>
              <w:t>Conclusion</w:t>
            </w:r>
          </w:p>
        </w:tc>
      </w:tr>
      <w:tr w:rsidR="0009774A" w:rsidRPr="005F1A2F" w14:paraId="58F3F466" w14:textId="77777777" w:rsidTr="000C48E2">
        <w:trPr>
          <w:trHeight w:val="40"/>
        </w:trPr>
        <w:tc>
          <w:tcPr>
            <w:tcW w:w="1843" w:type="dxa"/>
            <w:noWrap/>
            <w:vAlign w:val="bottom"/>
            <w:hideMark/>
          </w:tcPr>
          <w:p w14:paraId="4684E670"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Treatment</w:t>
            </w:r>
          </w:p>
        </w:tc>
        <w:tc>
          <w:tcPr>
            <w:tcW w:w="851" w:type="dxa"/>
            <w:noWrap/>
            <w:vAlign w:val="center"/>
            <w:hideMark/>
          </w:tcPr>
          <w:p w14:paraId="73893BD6"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3,00</w:t>
            </w:r>
          </w:p>
        </w:tc>
        <w:tc>
          <w:tcPr>
            <w:tcW w:w="1020" w:type="dxa"/>
            <w:noWrap/>
            <w:vAlign w:val="center"/>
            <w:hideMark/>
          </w:tcPr>
          <w:p w14:paraId="72C9892F"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0,06</w:t>
            </w:r>
          </w:p>
        </w:tc>
        <w:tc>
          <w:tcPr>
            <w:tcW w:w="822" w:type="dxa"/>
            <w:noWrap/>
            <w:vAlign w:val="center"/>
            <w:hideMark/>
          </w:tcPr>
          <w:p w14:paraId="38A0C770"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0,02</w:t>
            </w:r>
          </w:p>
        </w:tc>
        <w:tc>
          <w:tcPr>
            <w:tcW w:w="1020" w:type="dxa"/>
            <w:noWrap/>
            <w:vAlign w:val="center"/>
            <w:hideMark/>
          </w:tcPr>
          <w:p w14:paraId="0B0FD4CE"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194,76</w:t>
            </w:r>
          </w:p>
        </w:tc>
        <w:tc>
          <w:tcPr>
            <w:tcW w:w="1063" w:type="dxa"/>
            <w:noWrap/>
            <w:vAlign w:val="center"/>
            <w:hideMark/>
          </w:tcPr>
          <w:p w14:paraId="79639064"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1173" w:type="dxa"/>
            <w:noWrap/>
            <w:hideMark/>
          </w:tcPr>
          <w:p w14:paraId="7BA736F3"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cs="Arial"/>
              </w:rPr>
              <w:t>Significant</w:t>
            </w:r>
          </w:p>
        </w:tc>
      </w:tr>
      <w:tr w:rsidR="0009774A" w:rsidRPr="005F1A2F" w14:paraId="683DFCF5" w14:textId="77777777" w:rsidTr="000C48E2">
        <w:trPr>
          <w:trHeight w:val="50"/>
        </w:trPr>
        <w:tc>
          <w:tcPr>
            <w:tcW w:w="1843" w:type="dxa"/>
            <w:noWrap/>
            <w:vAlign w:val="bottom"/>
            <w:hideMark/>
          </w:tcPr>
          <w:p w14:paraId="21F3CB18"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lastRenderedPageBreak/>
              <w:t>Week</w:t>
            </w:r>
          </w:p>
        </w:tc>
        <w:tc>
          <w:tcPr>
            <w:tcW w:w="851" w:type="dxa"/>
            <w:noWrap/>
            <w:vAlign w:val="center"/>
            <w:hideMark/>
          </w:tcPr>
          <w:p w14:paraId="20C309A0"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3,00</w:t>
            </w:r>
          </w:p>
        </w:tc>
        <w:tc>
          <w:tcPr>
            <w:tcW w:w="1020" w:type="dxa"/>
            <w:noWrap/>
            <w:vAlign w:val="center"/>
            <w:hideMark/>
          </w:tcPr>
          <w:p w14:paraId="7554F18C"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0,08</w:t>
            </w:r>
          </w:p>
        </w:tc>
        <w:tc>
          <w:tcPr>
            <w:tcW w:w="822" w:type="dxa"/>
            <w:noWrap/>
            <w:vAlign w:val="center"/>
            <w:hideMark/>
          </w:tcPr>
          <w:p w14:paraId="56C3916D"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0,03</w:t>
            </w:r>
          </w:p>
        </w:tc>
        <w:tc>
          <w:tcPr>
            <w:tcW w:w="1020" w:type="dxa"/>
            <w:noWrap/>
            <w:vAlign w:val="center"/>
            <w:hideMark/>
          </w:tcPr>
          <w:p w14:paraId="27AEEF52"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240,53</w:t>
            </w:r>
          </w:p>
        </w:tc>
        <w:tc>
          <w:tcPr>
            <w:tcW w:w="1063" w:type="dxa"/>
            <w:noWrap/>
            <w:vAlign w:val="center"/>
            <w:hideMark/>
          </w:tcPr>
          <w:p w14:paraId="7D1FE5C4"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1173" w:type="dxa"/>
            <w:noWrap/>
            <w:hideMark/>
          </w:tcPr>
          <w:p w14:paraId="4BBE8D42"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cs="Arial"/>
              </w:rPr>
              <w:t>Significant</w:t>
            </w:r>
          </w:p>
        </w:tc>
      </w:tr>
      <w:tr w:rsidR="0009774A" w:rsidRPr="005F1A2F" w14:paraId="3DEFA007" w14:textId="77777777" w:rsidTr="000C48E2">
        <w:trPr>
          <w:trHeight w:val="54"/>
        </w:trPr>
        <w:tc>
          <w:tcPr>
            <w:tcW w:w="1843" w:type="dxa"/>
            <w:noWrap/>
            <w:vAlign w:val="bottom"/>
            <w:hideMark/>
          </w:tcPr>
          <w:p w14:paraId="2D1E36FF"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Treatment × Week</w:t>
            </w:r>
          </w:p>
        </w:tc>
        <w:tc>
          <w:tcPr>
            <w:tcW w:w="851" w:type="dxa"/>
            <w:noWrap/>
            <w:vAlign w:val="center"/>
            <w:hideMark/>
          </w:tcPr>
          <w:p w14:paraId="7B308F01"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9,00</w:t>
            </w:r>
          </w:p>
        </w:tc>
        <w:tc>
          <w:tcPr>
            <w:tcW w:w="1020" w:type="dxa"/>
            <w:noWrap/>
            <w:vAlign w:val="center"/>
            <w:hideMark/>
          </w:tcPr>
          <w:p w14:paraId="10EB0650"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0,14</w:t>
            </w:r>
          </w:p>
        </w:tc>
        <w:tc>
          <w:tcPr>
            <w:tcW w:w="822" w:type="dxa"/>
            <w:noWrap/>
            <w:vAlign w:val="center"/>
            <w:hideMark/>
          </w:tcPr>
          <w:p w14:paraId="235DE2BC"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0,02</w:t>
            </w:r>
          </w:p>
        </w:tc>
        <w:tc>
          <w:tcPr>
            <w:tcW w:w="1020" w:type="dxa"/>
            <w:noWrap/>
            <w:vAlign w:val="center"/>
            <w:hideMark/>
          </w:tcPr>
          <w:p w14:paraId="63D01E8F"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148,24</w:t>
            </w:r>
          </w:p>
        </w:tc>
        <w:tc>
          <w:tcPr>
            <w:tcW w:w="1063" w:type="dxa"/>
            <w:noWrap/>
            <w:vAlign w:val="center"/>
            <w:hideMark/>
          </w:tcPr>
          <w:p w14:paraId="4231531A"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1173" w:type="dxa"/>
            <w:noWrap/>
            <w:hideMark/>
          </w:tcPr>
          <w:p w14:paraId="794DEFA6"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cs="Arial"/>
              </w:rPr>
              <w:t>Significant</w:t>
            </w:r>
          </w:p>
        </w:tc>
      </w:tr>
      <w:tr w:rsidR="0009774A" w:rsidRPr="005F1A2F" w14:paraId="5428A2AB" w14:textId="77777777" w:rsidTr="000C48E2">
        <w:trPr>
          <w:trHeight w:val="54"/>
        </w:trPr>
        <w:tc>
          <w:tcPr>
            <w:tcW w:w="1843" w:type="dxa"/>
            <w:noWrap/>
            <w:vAlign w:val="bottom"/>
            <w:hideMark/>
          </w:tcPr>
          <w:p w14:paraId="2CDAF599"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Residual</w:t>
            </w:r>
          </w:p>
        </w:tc>
        <w:tc>
          <w:tcPr>
            <w:tcW w:w="851" w:type="dxa"/>
            <w:noWrap/>
            <w:vAlign w:val="center"/>
            <w:hideMark/>
          </w:tcPr>
          <w:p w14:paraId="670CCC3E"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32,00</w:t>
            </w:r>
          </w:p>
        </w:tc>
        <w:tc>
          <w:tcPr>
            <w:tcW w:w="1020" w:type="dxa"/>
            <w:noWrap/>
            <w:vAlign w:val="center"/>
            <w:hideMark/>
          </w:tcPr>
          <w:p w14:paraId="7104424F"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822" w:type="dxa"/>
            <w:noWrap/>
            <w:vAlign w:val="center"/>
            <w:hideMark/>
          </w:tcPr>
          <w:p w14:paraId="4B70BE18" w14:textId="77777777" w:rsidR="0009774A" w:rsidRPr="005F1A2F" w:rsidRDefault="0009774A" w:rsidP="000C48E2">
            <w:pPr>
              <w:spacing w:after="0" w:line="240" w:lineRule="auto"/>
              <w:jc w:val="center"/>
              <w:rPr>
                <w:rFonts w:eastAsia="Times New Roman" w:cs="Arial"/>
                <w:color w:val="000000"/>
                <w:sz w:val="20"/>
                <w:szCs w:val="20"/>
                <w:lang w:eastAsia="en-ID"/>
              </w:rPr>
            </w:pPr>
            <w:r w:rsidRPr="005F1A2F">
              <w:rPr>
                <w:rFonts w:cs="Arial"/>
                <w:color w:val="000000"/>
                <w:sz w:val="20"/>
                <w:szCs w:val="20"/>
              </w:rPr>
              <w:t>-</w:t>
            </w:r>
          </w:p>
        </w:tc>
        <w:tc>
          <w:tcPr>
            <w:tcW w:w="1020" w:type="dxa"/>
            <w:noWrap/>
            <w:vAlign w:val="center"/>
            <w:hideMark/>
          </w:tcPr>
          <w:p w14:paraId="3F39800D" w14:textId="77777777" w:rsidR="0009774A" w:rsidRPr="005F1A2F" w:rsidRDefault="0009774A" w:rsidP="000C48E2">
            <w:pPr>
              <w:spacing w:after="0" w:line="240" w:lineRule="auto"/>
              <w:jc w:val="center"/>
              <w:rPr>
                <w:rFonts w:eastAsia="Times New Roman" w:cs="Arial"/>
                <w:color w:val="000000"/>
                <w:sz w:val="20"/>
                <w:szCs w:val="20"/>
                <w:lang w:eastAsia="en-ID"/>
              </w:rPr>
            </w:pPr>
          </w:p>
        </w:tc>
        <w:tc>
          <w:tcPr>
            <w:tcW w:w="1063" w:type="dxa"/>
            <w:noWrap/>
            <w:vAlign w:val="center"/>
            <w:hideMark/>
          </w:tcPr>
          <w:p w14:paraId="1BF24AB1" w14:textId="77777777" w:rsidR="0009774A" w:rsidRPr="005F1A2F" w:rsidRDefault="0009774A" w:rsidP="000C48E2">
            <w:pPr>
              <w:spacing w:after="0" w:line="240" w:lineRule="auto"/>
              <w:jc w:val="center"/>
              <w:rPr>
                <w:rFonts w:eastAsia="Times New Roman" w:cs="Arial"/>
                <w:color w:val="000000"/>
                <w:sz w:val="20"/>
                <w:szCs w:val="20"/>
                <w:lang w:eastAsia="en-ID"/>
              </w:rPr>
            </w:pPr>
          </w:p>
        </w:tc>
        <w:tc>
          <w:tcPr>
            <w:tcW w:w="1173" w:type="dxa"/>
            <w:noWrap/>
            <w:vAlign w:val="bottom"/>
            <w:hideMark/>
          </w:tcPr>
          <w:p w14:paraId="39282538" w14:textId="77777777" w:rsidR="0009774A" w:rsidRPr="005F1A2F" w:rsidRDefault="0009774A" w:rsidP="000C48E2">
            <w:pPr>
              <w:spacing w:after="0" w:line="240" w:lineRule="auto"/>
              <w:rPr>
                <w:rFonts w:eastAsia="Times New Roman" w:cs="Arial"/>
                <w:color w:val="000000"/>
                <w:sz w:val="20"/>
                <w:szCs w:val="20"/>
                <w:lang w:eastAsia="en-ID"/>
              </w:rPr>
            </w:pPr>
            <w:r w:rsidRPr="005F1A2F">
              <w:rPr>
                <w:rFonts w:eastAsia="Times New Roman" w:cs="Arial"/>
                <w:color w:val="000000"/>
                <w:sz w:val="20"/>
                <w:szCs w:val="20"/>
                <w:lang w:eastAsia="en-ID"/>
              </w:rPr>
              <w:t> </w:t>
            </w:r>
          </w:p>
        </w:tc>
      </w:tr>
    </w:tbl>
    <w:p w14:paraId="35F56558" w14:textId="77777777" w:rsidR="0009774A" w:rsidRPr="005F1A2F" w:rsidRDefault="0009774A" w:rsidP="0009774A">
      <w:pPr>
        <w:pStyle w:val="NormalWeb"/>
        <w:spacing w:before="0" w:beforeAutospacing="0" w:after="0" w:afterAutospacing="0" w:line="276" w:lineRule="auto"/>
        <w:jc w:val="both"/>
        <w:rPr>
          <w:rFonts w:ascii="Arial" w:hAnsi="Arial" w:cs="Arial"/>
          <w:sz w:val="22"/>
          <w:szCs w:val="22"/>
        </w:rPr>
      </w:pPr>
    </w:p>
    <w:p w14:paraId="223DB80A" w14:textId="77777777" w:rsidR="0009774A" w:rsidRPr="005F1A2F" w:rsidRDefault="0009774A" w:rsidP="0009774A">
      <w:pPr>
        <w:pStyle w:val="NormalWeb"/>
        <w:spacing w:before="0" w:beforeAutospacing="0" w:after="0" w:afterAutospacing="0" w:line="276" w:lineRule="auto"/>
        <w:jc w:val="both"/>
        <w:rPr>
          <w:rFonts w:ascii="Arial" w:hAnsi="Arial" w:cs="Arial"/>
          <w:sz w:val="22"/>
          <w:szCs w:val="22"/>
        </w:rPr>
      </w:pPr>
      <w:r w:rsidRPr="005F1A2F">
        <w:rPr>
          <w:rFonts w:ascii="Arial" w:hAnsi="Arial" w:cs="Arial"/>
          <w:sz w:val="22"/>
          <w:szCs w:val="22"/>
        </w:rPr>
        <w:t xml:space="preserve">Two-way ANOVA showed highly significant effects (p &lt; 0.001) of LOF (liquid organic fertilizer) concentration (Treatment), observation period (Week), and their interaction on the fresh weight of </w:t>
      </w:r>
      <w:r w:rsidRPr="005F1A2F">
        <w:rPr>
          <w:rFonts w:ascii="Arial" w:hAnsi="Arial" w:cs="Arial"/>
          <w:i/>
          <w:iCs/>
          <w:sz w:val="22"/>
          <w:szCs w:val="22"/>
        </w:rPr>
        <w:t>Brassica rapa L</w:t>
      </w:r>
      <w:r w:rsidRPr="005F1A2F">
        <w:rPr>
          <w:rFonts w:ascii="Arial" w:hAnsi="Arial" w:cs="Arial"/>
          <w:sz w:val="22"/>
          <w:szCs w:val="22"/>
        </w:rPr>
        <w:t>. (</w:t>
      </w:r>
      <w:proofErr w:type="spellStart"/>
      <w:r w:rsidRPr="005F1A2F">
        <w:rPr>
          <w:rFonts w:ascii="Arial" w:hAnsi="Arial" w:cs="Arial"/>
          <w:sz w:val="22"/>
          <w:szCs w:val="22"/>
        </w:rPr>
        <w:t>pakcoy</w:t>
      </w:r>
      <w:proofErr w:type="spellEnd"/>
      <w:r w:rsidRPr="005F1A2F">
        <w:rPr>
          <w:rFonts w:ascii="Arial" w:hAnsi="Arial" w:cs="Arial"/>
          <w:sz w:val="22"/>
          <w:szCs w:val="22"/>
        </w:rPr>
        <w:t xml:space="preserve">). Extremely high F-values F = 1,013,367 (Treatment), F = 503,660 (Week), and F = 321,913 (Interaction) indicate that both factors and their interplay substantially influenced biomass accumulation across four weeks. Biologically, this confirms that the effect of </w:t>
      </w:r>
      <w:r w:rsidRPr="005F1A2F">
        <w:rPr>
          <w:rStyle w:val="Emphasis"/>
          <w:rFonts w:ascii="Arial" w:hAnsi="Arial" w:cs="Arial"/>
          <w:sz w:val="22"/>
          <w:szCs w:val="22"/>
        </w:rPr>
        <w:t>LOF</w:t>
      </w:r>
      <w:r w:rsidRPr="005F1A2F">
        <w:rPr>
          <w:rFonts w:ascii="Arial" w:hAnsi="Arial" w:cs="Arial"/>
          <w:sz w:val="22"/>
          <w:szCs w:val="22"/>
        </w:rPr>
        <w:t xml:space="preserve"> (liquid organic fertilizer) is dynamic and growth-stage dependent. Treatments with 10% and 25% LOF yielded the highest fresh weights, with 10% performing consistently well during early and final weeks, and 50% showing peak performance in week three. These patterns reflect plant adaptation to nutrient availability and absorption efficiency. Overall, 10% LOF was identified as the most effective and stable concentration, promoting optimal biomass without inducing phytotoxicity or nutrient stress. The 10% concentration of tofu wastewater-based liquid organic fertilizer (LOF) was identified as an agronomically optimal dose for promoting biomass accumulation in </w:t>
      </w:r>
      <w:r w:rsidRPr="005F1A2F">
        <w:rPr>
          <w:rFonts w:ascii="Arial" w:hAnsi="Arial" w:cs="Arial"/>
          <w:i/>
          <w:iCs/>
          <w:sz w:val="22"/>
          <w:szCs w:val="22"/>
        </w:rPr>
        <w:t xml:space="preserve">Brassica rapa </w:t>
      </w:r>
      <w:r w:rsidRPr="005F1A2F">
        <w:rPr>
          <w:rFonts w:ascii="Arial" w:hAnsi="Arial" w:cs="Arial"/>
          <w:sz w:val="22"/>
          <w:szCs w:val="22"/>
        </w:rPr>
        <w:t>L. (</w:t>
      </w:r>
      <w:proofErr w:type="spellStart"/>
      <w:r w:rsidRPr="005F1A2F">
        <w:rPr>
          <w:rFonts w:ascii="Arial" w:hAnsi="Arial" w:cs="Arial"/>
          <w:sz w:val="22"/>
          <w:szCs w:val="22"/>
        </w:rPr>
        <w:t>pakcoy</w:t>
      </w:r>
      <w:proofErr w:type="spellEnd"/>
      <w:r w:rsidRPr="005F1A2F">
        <w:rPr>
          <w:rFonts w:ascii="Arial" w:hAnsi="Arial" w:cs="Arial"/>
          <w:sz w:val="22"/>
          <w:szCs w:val="22"/>
        </w:rPr>
        <w:t xml:space="preserve">). This moderate level provided sufficient organic nutrients to support growth without exceeding the root system’s absorption capacity, thereby avoiding physiological stress. </w:t>
      </w:r>
      <w:r w:rsidRPr="005F1A2F">
        <w:rPr>
          <w:rFonts w:ascii="Arial" w:hAnsi="Arial" w:cs="Arial"/>
          <w:sz w:val="22"/>
          <w:szCs w:val="22"/>
        </w:rPr>
        <w:fldChar w:fldCharType="begin" w:fldLock="1"/>
      </w:r>
      <w:r w:rsidRPr="005F1A2F">
        <w:rPr>
          <w:rFonts w:ascii="Arial" w:hAnsi="Arial" w:cs="Arial"/>
          <w:sz w:val="22"/>
          <w:szCs w:val="22"/>
        </w:rPr>
        <w:instrText>ADDIN CSL_CITATION {"citationItems":[{"id":"ITEM-1","itemData":{"ISBN":"1755-1315","author":[{"dropping-particle":"","family":"Rahmi","given":"H","non-dropping-particle":"","parse-names":false,"suffix":""},{"dropping-particle":"","family":"Fardany","given":"H R","non-dropping-particle":"","parse-names":false,"suffix":""},{"dropping-particle":"","family":"Bayfurqon","given":"F M","non-dropping-particle":"","parse-names":false,"suffix":""},{"dropping-particle":"","family":"Jaman","given":"J H","non-dropping-particle":"","parse-names":false,"suffix":""}],"container-title":"IOP Conference Series: Earth and Environmental Science","id":"ITEM-1","issue":"1","issued":{"date-parts":[["2023"]]},"page":"12020","publisher":"IOP Publishing","title":"Effectivity of liquid organic fertilizer on production of pakcoy (Brassica rapa L.)","type":"paper-conference","volume":"1255"},"uris":["http://www.mendeley.com/documents/?uuid=92f9d233-e15c-469b-b5cb-159ea286d88b"]}],"mendeley":{"formattedCitation":"(Rahmi &lt;i&gt;et al.&lt;/i&gt;, 2023)","plainTextFormattedCitation":"(Rahmi et al., 2023)","previouslyFormattedCitation":"(Rahmi &lt;i&gt;et al.&lt;/i&gt;, 2023)"},"properties":{"noteIndex":0},"schema":"https://github.com/citation-style-language/schema/raw/master/csl-citation.json"}</w:instrText>
      </w:r>
      <w:r w:rsidRPr="005F1A2F">
        <w:rPr>
          <w:rFonts w:ascii="Arial" w:hAnsi="Arial" w:cs="Arial"/>
          <w:sz w:val="22"/>
          <w:szCs w:val="22"/>
        </w:rPr>
        <w:fldChar w:fldCharType="separate"/>
      </w:r>
      <w:r w:rsidRPr="005F1A2F">
        <w:rPr>
          <w:rFonts w:ascii="Arial" w:hAnsi="Arial" w:cs="Arial"/>
          <w:noProof/>
          <w:sz w:val="22"/>
          <w:szCs w:val="22"/>
        </w:rPr>
        <w:t xml:space="preserve">(Rahmi </w:t>
      </w:r>
      <w:r w:rsidRPr="005F1A2F">
        <w:rPr>
          <w:rFonts w:ascii="Arial" w:hAnsi="Arial" w:cs="Arial"/>
          <w:i/>
          <w:noProof/>
          <w:sz w:val="22"/>
          <w:szCs w:val="22"/>
        </w:rPr>
        <w:t>et al.</w:t>
      </w:r>
      <w:r w:rsidRPr="005F1A2F">
        <w:rPr>
          <w:rFonts w:ascii="Arial" w:hAnsi="Arial" w:cs="Arial"/>
          <w:noProof/>
          <w:sz w:val="22"/>
          <w:szCs w:val="22"/>
        </w:rPr>
        <w:t>, 2023)</w:t>
      </w:r>
      <w:r w:rsidRPr="005F1A2F">
        <w:rPr>
          <w:rFonts w:ascii="Arial" w:hAnsi="Arial" w:cs="Arial"/>
          <w:sz w:val="22"/>
          <w:szCs w:val="22"/>
        </w:rPr>
        <w:fldChar w:fldCharType="end"/>
      </w:r>
      <w:r w:rsidRPr="005F1A2F">
        <w:rPr>
          <w:rFonts w:ascii="Arial" w:hAnsi="Arial" w:cs="Arial"/>
          <w:sz w:val="22"/>
          <w:szCs w:val="22"/>
        </w:rPr>
        <w:t xml:space="preserve"> This concentration ensures efficient nutrient uptake while minimizing the risk of osmotic stress or nutrient toxicity, which are commonly associated with higher application rates such as 50%. The absence of phytotoxic effects and the consistent improvement in growth parameters across observation periods highlight the 10% LOF treatment as the most balanced and sustainable option for optimizing </w:t>
      </w:r>
      <w:proofErr w:type="spellStart"/>
      <w:r w:rsidRPr="005F1A2F">
        <w:rPr>
          <w:rFonts w:ascii="Arial" w:hAnsi="Arial" w:cs="Arial"/>
          <w:sz w:val="22"/>
          <w:szCs w:val="22"/>
        </w:rPr>
        <w:t>pakcoy</w:t>
      </w:r>
      <w:proofErr w:type="spellEnd"/>
      <w:r w:rsidRPr="005F1A2F">
        <w:rPr>
          <w:rFonts w:ascii="Arial" w:hAnsi="Arial" w:cs="Arial"/>
          <w:sz w:val="22"/>
          <w:szCs w:val="22"/>
        </w:rPr>
        <w:t xml:space="preserve"> cultivation </w:t>
      </w:r>
      <w:r w:rsidRPr="005F1A2F">
        <w:rPr>
          <w:rFonts w:ascii="Arial" w:hAnsi="Arial" w:cs="Arial"/>
          <w:sz w:val="22"/>
          <w:szCs w:val="22"/>
        </w:rPr>
        <w:fldChar w:fldCharType="begin" w:fldLock="1"/>
      </w:r>
      <w:r w:rsidRPr="005F1A2F">
        <w:rPr>
          <w:rFonts w:ascii="Arial" w:hAnsi="Arial" w:cs="Arial"/>
          <w:sz w:val="22"/>
          <w:szCs w:val="22"/>
        </w:rPr>
        <w:instrText>ADDIN CSL_CITATION {"citationItems":[{"id":"ITEM-1","itemData":{"DOI":"10.36706/jlso.12.2.2023.631","author":[{"dropping-particle":"","family":"Ichwan","given":"Budiyati","non-dropping-particle":"","parse-names":false,"suffix":""},{"dropping-particle":"","family":"Irianto","given":"Irianto","non-dropping-particle":"","parse-names":false,"suffix":""},{"dropping-particle":"","family":"Eliyanti","given":"Eliyanti","non-dropping-particle":"","parse-names":false,"suffix":""},{"dropping-particle":"","family":"Mapegau","given":"Mapegau","non-dropping-particle":"","parse-names":false,"suffix":""},{"dropping-particle":"","family":"Zulkarnain","given":"Zul","non-dropping-particle":"","parse-names":false,"suffix":""},{"dropping-particle":"","family":"Ikhbal","given":"Ikhbal","non-dropping-particle":"","parse-names":false,"suffix":""}],"container-title":"Jurnal Lahan Suboptimal : Journal of Suboptimal Lands","id":"ITEM-1","issued":{"date-parts":[["2023","10","2"]]},"page":"121-128","title":"Pakcoy's (Brassica rapa L.) Response to the Provision of Liquid Organic Fertilizer in Polybags","type":"article-journal","volume":"12"},"uris":["http://www.mendeley.com/documents/?uuid=a8c92d86-6346-43a8-86af-dcea0223e9f9"]}],"mendeley":{"formattedCitation":"(Ichwan &lt;i&gt;et al.&lt;/i&gt;, 2023)","plainTextFormattedCitation":"(Ichwan et al., 2023)","previouslyFormattedCitation":"(Ichwan &lt;i&gt;et al.&lt;/i&gt;, 2023)"},"properties":{"noteIndex":0},"schema":"https://github.com/citation-style-language/schema/raw/master/csl-citation.json"}</w:instrText>
      </w:r>
      <w:r w:rsidRPr="005F1A2F">
        <w:rPr>
          <w:rFonts w:ascii="Arial" w:hAnsi="Arial" w:cs="Arial"/>
          <w:sz w:val="22"/>
          <w:szCs w:val="22"/>
        </w:rPr>
        <w:fldChar w:fldCharType="separate"/>
      </w:r>
      <w:r w:rsidRPr="005F1A2F">
        <w:rPr>
          <w:rFonts w:ascii="Arial" w:hAnsi="Arial" w:cs="Arial"/>
          <w:noProof/>
          <w:sz w:val="22"/>
          <w:szCs w:val="22"/>
        </w:rPr>
        <w:t xml:space="preserve">(Ichwan </w:t>
      </w:r>
      <w:r w:rsidRPr="005F1A2F">
        <w:rPr>
          <w:rFonts w:ascii="Arial" w:hAnsi="Arial" w:cs="Arial"/>
          <w:i/>
          <w:noProof/>
          <w:sz w:val="22"/>
          <w:szCs w:val="22"/>
        </w:rPr>
        <w:t>et al.</w:t>
      </w:r>
      <w:r w:rsidRPr="005F1A2F">
        <w:rPr>
          <w:rFonts w:ascii="Arial" w:hAnsi="Arial" w:cs="Arial"/>
          <w:noProof/>
          <w:sz w:val="22"/>
          <w:szCs w:val="22"/>
        </w:rPr>
        <w:t>, 2023)</w:t>
      </w:r>
      <w:r w:rsidRPr="005F1A2F">
        <w:rPr>
          <w:rFonts w:ascii="Arial" w:hAnsi="Arial" w:cs="Arial"/>
          <w:sz w:val="22"/>
          <w:szCs w:val="22"/>
        </w:rPr>
        <w:fldChar w:fldCharType="end"/>
      </w:r>
    </w:p>
    <w:p w14:paraId="5063D67F" w14:textId="77777777" w:rsidR="0009774A" w:rsidRPr="00A05FC8" w:rsidRDefault="0009774A" w:rsidP="00E32693">
      <w:pPr>
        <w:spacing w:before="120" w:after="120" w:line="276" w:lineRule="auto"/>
        <w:jc w:val="both"/>
        <w:rPr>
          <w:rFonts w:eastAsia="Times New Roman" w:cs="Arial"/>
          <w:sz w:val="20"/>
          <w:szCs w:val="20"/>
          <w:lang w:eastAsia="en-ID"/>
        </w:rPr>
      </w:pPr>
    </w:p>
    <w:p w14:paraId="4EBADAF9" w14:textId="77777777" w:rsidR="00870648" w:rsidRPr="005F1A2F" w:rsidRDefault="00870648" w:rsidP="00575E17">
      <w:pPr>
        <w:spacing w:after="0" w:line="240" w:lineRule="auto"/>
        <w:jc w:val="both"/>
        <w:rPr>
          <w:rFonts w:cs="Arial"/>
        </w:rPr>
      </w:pPr>
    </w:p>
    <w:p w14:paraId="5765AA97" w14:textId="77777777" w:rsidR="00870648" w:rsidRPr="005F1A2F" w:rsidRDefault="00870648" w:rsidP="00575E17">
      <w:pPr>
        <w:spacing w:after="0" w:line="240" w:lineRule="auto"/>
        <w:jc w:val="both"/>
        <w:rPr>
          <w:rFonts w:cs="Arial"/>
        </w:rPr>
      </w:pPr>
    </w:p>
    <w:p w14:paraId="42A89A3A" w14:textId="77777777" w:rsidR="00870648" w:rsidRPr="005F1A2F" w:rsidRDefault="00870648" w:rsidP="00575E17">
      <w:pPr>
        <w:spacing w:after="0" w:line="240" w:lineRule="auto"/>
        <w:jc w:val="both"/>
        <w:rPr>
          <w:rFonts w:cs="Arial"/>
        </w:rPr>
      </w:pPr>
    </w:p>
    <w:p w14:paraId="20A7FFAE" w14:textId="77777777" w:rsidR="00870648" w:rsidRPr="005F1A2F" w:rsidRDefault="00870648" w:rsidP="00870648">
      <w:pPr>
        <w:rPr>
          <w:rFonts w:cs="Arial"/>
        </w:rPr>
      </w:pPr>
    </w:p>
    <w:p w14:paraId="68087A05" w14:textId="77777777" w:rsidR="00870648" w:rsidRPr="005F1A2F" w:rsidRDefault="00870648" w:rsidP="00870648">
      <w:pPr>
        <w:spacing w:after="0" w:line="240" w:lineRule="auto"/>
        <w:rPr>
          <w:rFonts w:cs="Arial"/>
        </w:rPr>
        <w:sectPr w:rsidR="00870648" w:rsidRPr="005F1A2F" w:rsidSect="0087064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8" w:footer="708" w:gutter="0"/>
          <w:cols w:space="720"/>
        </w:sectPr>
      </w:pPr>
    </w:p>
    <w:p w14:paraId="283DFA6B" w14:textId="1CB6BE38" w:rsidR="00870648" w:rsidRPr="00A05FC8" w:rsidRDefault="00870648" w:rsidP="00A05FC8">
      <w:pPr>
        <w:spacing w:after="0" w:line="240" w:lineRule="auto"/>
        <w:ind w:left="-993" w:right="-598"/>
        <w:jc w:val="both"/>
        <w:rPr>
          <w:rFonts w:cs="Arial"/>
          <w:sz w:val="20"/>
          <w:szCs w:val="20"/>
        </w:rPr>
      </w:pPr>
      <w:r w:rsidRPr="00A05FC8">
        <w:rPr>
          <w:rFonts w:cs="Arial"/>
          <w:sz w:val="20"/>
          <w:szCs w:val="20"/>
        </w:rPr>
        <w:lastRenderedPageBreak/>
        <w:t xml:space="preserve">Tabel 1.  </w:t>
      </w:r>
      <w:r w:rsidR="00A05FC8" w:rsidRPr="00A05FC8">
        <w:rPr>
          <w:rFonts w:cs="Arial"/>
          <w:sz w:val="20"/>
          <w:szCs w:val="20"/>
        </w:rPr>
        <w:t>Growth and Biomass Response of Brassica rapa to Tofu Wastewater-Based LOF at Different Concentrations (WAT)</w:t>
      </w:r>
    </w:p>
    <w:tbl>
      <w:tblPr>
        <w:tblW w:w="13624" w:type="dxa"/>
        <w:tblInd w:w="-856" w:type="dxa"/>
        <w:tblLook w:val="04A0" w:firstRow="1" w:lastRow="0" w:firstColumn="1" w:lastColumn="0" w:noHBand="0" w:noVBand="1"/>
      </w:tblPr>
      <w:tblGrid>
        <w:gridCol w:w="1276"/>
        <w:gridCol w:w="993"/>
        <w:gridCol w:w="992"/>
        <w:gridCol w:w="851"/>
        <w:gridCol w:w="1134"/>
        <w:gridCol w:w="850"/>
        <w:gridCol w:w="993"/>
        <w:gridCol w:w="1134"/>
        <w:gridCol w:w="1134"/>
        <w:gridCol w:w="1134"/>
        <w:gridCol w:w="992"/>
        <w:gridCol w:w="840"/>
        <w:gridCol w:w="1289"/>
        <w:gridCol w:w="12"/>
      </w:tblGrid>
      <w:tr w:rsidR="00870648" w:rsidRPr="00A05FC8" w14:paraId="077DC64B"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24AFCDFA" w14:textId="77777777" w:rsidR="00870648" w:rsidRPr="00A05FC8" w:rsidRDefault="00870648" w:rsidP="00A05FC8">
            <w:pPr>
              <w:spacing w:after="0" w:line="240" w:lineRule="auto"/>
              <w:jc w:val="center"/>
              <w:rPr>
                <w:rFonts w:eastAsia="Times New Roman" w:cs="Arial"/>
                <w:color w:val="000000"/>
                <w:sz w:val="20"/>
                <w:szCs w:val="20"/>
                <w:lang w:eastAsia="en-ID"/>
              </w:rPr>
            </w:pPr>
            <w:r w:rsidRPr="00A05FC8">
              <w:rPr>
                <w:rFonts w:cs="Arial"/>
                <w:sz w:val="18"/>
                <w:szCs w:val="18"/>
              </w:rPr>
              <w:t>Fresh Weight</w:t>
            </w:r>
          </w:p>
        </w:tc>
      </w:tr>
      <w:tr w:rsidR="00870648" w:rsidRPr="00A05FC8" w14:paraId="1311EB44" w14:textId="77777777" w:rsidTr="00A05FC8">
        <w:trPr>
          <w:gridAfter w:val="1"/>
          <w:wAfter w:w="12" w:type="dxa"/>
          <w:trHeight w:val="285"/>
        </w:trPr>
        <w:tc>
          <w:tcPr>
            <w:tcW w:w="1276" w:type="dxa"/>
            <w:tcBorders>
              <w:top w:val="nil"/>
              <w:left w:val="single" w:sz="4" w:space="0" w:color="auto"/>
              <w:bottom w:val="single" w:sz="4" w:space="0" w:color="auto"/>
              <w:right w:val="single" w:sz="4" w:space="0" w:color="auto"/>
            </w:tcBorders>
            <w:noWrap/>
            <w:hideMark/>
          </w:tcPr>
          <w:p w14:paraId="7F2CCFE2"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75300A7C" w14:textId="0E82842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28132CF8" w14:textId="388F83B1"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4F0F1AC7" w14:textId="513BEA8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11831525" w14:textId="746B2AE7" w:rsidR="00870648" w:rsidRPr="00A05FC8" w:rsidRDefault="00870648" w:rsidP="00A05FC8">
            <w:pPr>
              <w:spacing w:after="0" w:line="240" w:lineRule="auto"/>
              <w:ind w:left="-8"/>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78A98F5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6CCEDF8A" w14:textId="5030BC03"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438E98E3" w14:textId="58CCCB25"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5762ACB0" w14:textId="508C192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7F87CA01" w14:textId="50330F8D"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175D820D" w14:textId="0465E8D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65B60B8C" w14:textId="6D5E616F"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7952DF99" w14:textId="13E5E68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7AECC509" w14:textId="1DBB810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7B58D73B" w14:textId="3C5DF0D4"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6EB65273" w14:textId="1BCEAEC5"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1A45ECF2" w14:textId="6385FF3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050033AA" w14:textId="7E2FCCCA"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4_</w:t>
            </w:r>
          </w:p>
          <w:p w14:paraId="079FB2CB" w14:textId="73CAA924"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6431335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149AD60A" w14:textId="53B1B9C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2A88A24F"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317B5AEF"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645C446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0,072</w:t>
            </w:r>
          </w:p>
        </w:tc>
        <w:tc>
          <w:tcPr>
            <w:tcW w:w="992" w:type="dxa"/>
            <w:tcBorders>
              <w:top w:val="nil"/>
              <w:left w:val="nil"/>
              <w:bottom w:val="single" w:sz="4" w:space="0" w:color="auto"/>
              <w:right w:val="single" w:sz="4" w:space="0" w:color="auto"/>
            </w:tcBorders>
            <w:noWrap/>
            <w:vAlign w:val="bottom"/>
            <w:hideMark/>
          </w:tcPr>
          <w:p w14:paraId="42B8615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0,071</w:t>
            </w:r>
          </w:p>
        </w:tc>
        <w:tc>
          <w:tcPr>
            <w:tcW w:w="851" w:type="dxa"/>
            <w:tcBorders>
              <w:top w:val="nil"/>
              <w:left w:val="nil"/>
              <w:bottom w:val="single" w:sz="4" w:space="0" w:color="auto"/>
              <w:right w:val="single" w:sz="4" w:space="0" w:color="auto"/>
            </w:tcBorders>
            <w:noWrap/>
            <w:vAlign w:val="bottom"/>
            <w:hideMark/>
          </w:tcPr>
          <w:p w14:paraId="367ACBC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0,071</w:t>
            </w:r>
          </w:p>
        </w:tc>
        <w:tc>
          <w:tcPr>
            <w:tcW w:w="1134" w:type="dxa"/>
            <w:tcBorders>
              <w:top w:val="nil"/>
              <w:left w:val="nil"/>
              <w:bottom w:val="single" w:sz="4" w:space="0" w:color="auto"/>
              <w:right w:val="single" w:sz="4" w:space="0" w:color="auto"/>
            </w:tcBorders>
            <w:noWrap/>
            <w:vAlign w:val="bottom"/>
            <w:hideMark/>
          </w:tcPr>
          <w:p w14:paraId="1FE8593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0,382</w:t>
            </w:r>
          </w:p>
        </w:tc>
        <w:tc>
          <w:tcPr>
            <w:tcW w:w="850" w:type="dxa"/>
            <w:tcBorders>
              <w:top w:val="nil"/>
              <w:left w:val="nil"/>
              <w:bottom w:val="single" w:sz="4" w:space="0" w:color="auto"/>
              <w:right w:val="single" w:sz="4" w:space="0" w:color="auto"/>
            </w:tcBorders>
            <w:noWrap/>
            <w:vAlign w:val="bottom"/>
            <w:hideMark/>
          </w:tcPr>
          <w:p w14:paraId="2FB3C7E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0,381</w:t>
            </w:r>
          </w:p>
        </w:tc>
        <w:tc>
          <w:tcPr>
            <w:tcW w:w="993" w:type="dxa"/>
            <w:tcBorders>
              <w:top w:val="nil"/>
              <w:left w:val="nil"/>
              <w:bottom w:val="single" w:sz="4" w:space="0" w:color="auto"/>
              <w:right w:val="single" w:sz="4" w:space="0" w:color="auto"/>
            </w:tcBorders>
            <w:noWrap/>
            <w:vAlign w:val="bottom"/>
            <w:hideMark/>
          </w:tcPr>
          <w:p w14:paraId="1F09E8B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0,381</w:t>
            </w:r>
          </w:p>
        </w:tc>
        <w:tc>
          <w:tcPr>
            <w:tcW w:w="1134" w:type="dxa"/>
            <w:tcBorders>
              <w:top w:val="nil"/>
              <w:left w:val="nil"/>
              <w:bottom w:val="single" w:sz="4" w:space="0" w:color="auto"/>
              <w:right w:val="single" w:sz="4" w:space="0" w:color="auto"/>
            </w:tcBorders>
            <w:noWrap/>
            <w:vAlign w:val="bottom"/>
            <w:hideMark/>
          </w:tcPr>
          <w:p w14:paraId="5A3102C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3,200</w:t>
            </w:r>
          </w:p>
        </w:tc>
        <w:tc>
          <w:tcPr>
            <w:tcW w:w="1134" w:type="dxa"/>
            <w:tcBorders>
              <w:top w:val="nil"/>
              <w:left w:val="nil"/>
              <w:bottom w:val="single" w:sz="4" w:space="0" w:color="auto"/>
              <w:right w:val="single" w:sz="4" w:space="0" w:color="auto"/>
            </w:tcBorders>
            <w:noWrap/>
            <w:vAlign w:val="bottom"/>
            <w:hideMark/>
          </w:tcPr>
          <w:p w14:paraId="2545624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3,180</w:t>
            </w:r>
          </w:p>
        </w:tc>
        <w:tc>
          <w:tcPr>
            <w:tcW w:w="1134" w:type="dxa"/>
            <w:tcBorders>
              <w:top w:val="nil"/>
              <w:left w:val="nil"/>
              <w:bottom w:val="single" w:sz="4" w:space="0" w:color="auto"/>
              <w:right w:val="single" w:sz="4" w:space="0" w:color="auto"/>
            </w:tcBorders>
            <w:noWrap/>
            <w:vAlign w:val="bottom"/>
            <w:hideMark/>
          </w:tcPr>
          <w:p w14:paraId="71D7A4D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3,220</w:t>
            </w:r>
          </w:p>
        </w:tc>
        <w:tc>
          <w:tcPr>
            <w:tcW w:w="992" w:type="dxa"/>
            <w:tcBorders>
              <w:top w:val="nil"/>
              <w:left w:val="nil"/>
              <w:bottom w:val="single" w:sz="4" w:space="0" w:color="auto"/>
              <w:right w:val="single" w:sz="4" w:space="0" w:color="auto"/>
            </w:tcBorders>
            <w:noWrap/>
            <w:vAlign w:val="bottom"/>
            <w:hideMark/>
          </w:tcPr>
          <w:p w14:paraId="78DBB9A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7,489</w:t>
            </w:r>
          </w:p>
        </w:tc>
        <w:tc>
          <w:tcPr>
            <w:tcW w:w="840" w:type="dxa"/>
            <w:tcBorders>
              <w:top w:val="nil"/>
              <w:left w:val="nil"/>
              <w:bottom w:val="single" w:sz="4" w:space="0" w:color="auto"/>
              <w:right w:val="single" w:sz="4" w:space="0" w:color="auto"/>
            </w:tcBorders>
            <w:noWrap/>
            <w:vAlign w:val="bottom"/>
            <w:hideMark/>
          </w:tcPr>
          <w:p w14:paraId="206E04B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7,488</w:t>
            </w:r>
          </w:p>
        </w:tc>
        <w:tc>
          <w:tcPr>
            <w:tcW w:w="1289" w:type="dxa"/>
            <w:tcBorders>
              <w:top w:val="nil"/>
              <w:left w:val="nil"/>
              <w:bottom w:val="single" w:sz="4" w:space="0" w:color="auto"/>
              <w:right w:val="single" w:sz="4" w:space="0" w:color="auto"/>
            </w:tcBorders>
            <w:noWrap/>
            <w:vAlign w:val="bottom"/>
            <w:hideMark/>
          </w:tcPr>
          <w:p w14:paraId="37B80AF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7,492</w:t>
            </w:r>
          </w:p>
        </w:tc>
      </w:tr>
      <w:tr w:rsidR="00870648" w:rsidRPr="00A05FC8" w14:paraId="2F617B66"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56C7739C"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3CAB096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0,114</w:t>
            </w:r>
          </w:p>
        </w:tc>
        <w:tc>
          <w:tcPr>
            <w:tcW w:w="992" w:type="dxa"/>
            <w:tcBorders>
              <w:top w:val="nil"/>
              <w:left w:val="nil"/>
              <w:bottom w:val="single" w:sz="4" w:space="0" w:color="auto"/>
              <w:right w:val="single" w:sz="4" w:space="0" w:color="auto"/>
            </w:tcBorders>
            <w:noWrap/>
            <w:vAlign w:val="bottom"/>
            <w:hideMark/>
          </w:tcPr>
          <w:p w14:paraId="0893A2B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0,114</w:t>
            </w:r>
          </w:p>
        </w:tc>
        <w:tc>
          <w:tcPr>
            <w:tcW w:w="851" w:type="dxa"/>
            <w:tcBorders>
              <w:top w:val="nil"/>
              <w:left w:val="nil"/>
              <w:bottom w:val="single" w:sz="4" w:space="0" w:color="auto"/>
              <w:right w:val="single" w:sz="4" w:space="0" w:color="auto"/>
            </w:tcBorders>
            <w:noWrap/>
            <w:vAlign w:val="bottom"/>
            <w:hideMark/>
          </w:tcPr>
          <w:p w14:paraId="22D4E24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0,115</w:t>
            </w:r>
          </w:p>
        </w:tc>
        <w:tc>
          <w:tcPr>
            <w:tcW w:w="1134" w:type="dxa"/>
            <w:tcBorders>
              <w:top w:val="nil"/>
              <w:left w:val="nil"/>
              <w:bottom w:val="single" w:sz="4" w:space="0" w:color="auto"/>
              <w:right w:val="single" w:sz="4" w:space="0" w:color="auto"/>
            </w:tcBorders>
            <w:noWrap/>
            <w:vAlign w:val="bottom"/>
            <w:hideMark/>
          </w:tcPr>
          <w:p w14:paraId="5BF8807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0,329</w:t>
            </w:r>
          </w:p>
        </w:tc>
        <w:tc>
          <w:tcPr>
            <w:tcW w:w="850" w:type="dxa"/>
            <w:tcBorders>
              <w:top w:val="nil"/>
              <w:left w:val="nil"/>
              <w:bottom w:val="single" w:sz="4" w:space="0" w:color="auto"/>
              <w:right w:val="single" w:sz="4" w:space="0" w:color="auto"/>
            </w:tcBorders>
            <w:noWrap/>
            <w:vAlign w:val="bottom"/>
            <w:hideMark/>
          </w:tcPr>
          <w:p w14:paraId="6764956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0,329</w:t>
            </w:r>
          </w:p>
        </w:tc>
        <w:tc>
          <w:tcPr>
            <w:tcW w:w="993" w:type="dxa"/>
            <w:tcBorders>
              <w:top w:val="nil"/>
              <w:left w:val="nil"/>
              <w:bottom w:val="single" w:sz="4" w:space="0" w:color="auto"/>
              <w:right w:val="single" w:sz="4" w:space="0" w:color="auto"/>
            </w:tcBorders>
            <w:noWrap/>
            <w:vAlign w:val="bottom"/>
            <w:hideMark/>
          </w:tcPr>
          <w:p w14:paraId="18C4007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0,329</w:t>
            </w:r>
          </w:p>
        </w:tc>
        <w:tc>
          <w:tcPr>
            <w:tcW w:w="1134" w:type="dxa"/>
            <w:tcBorders>
              <w:top w:val="nil"/>
              <w:left w:val="nil"/>
              <w:bottom w:val="single" w:sz="4" w:space="0" w:color="auto"/>
              <w:right w:val="single" w:sz="4" w:space="0" w:color="auto"/>
            </w:tcBorders>
            <w:noWrap/>
            <w:vAlign w:val="bottom"/>
            <w:hideMark/>
          </w:tcPr>
          <w:p w14:paraId="32526E4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3,902</w:t>
            </w:r>
          </w:p>
        </w:tc>
        <w:tc>
          <w:tcPr>
            <w:tcW w:w="1134" w:type="dxa"/>
            <w:tcBorders>
              <w:top w:val="nil"/>
              <w:left w:val="nil"/>
              <w:bottom w:val="single" w:sz="4" w:space="0" w:color="auto"/>
              <w:right w:val="single" w:sz="4" w:space="0" w:color="auto"/>
            </w:tcBorders>
            <w:noWrap/>
            <w:vAlign w:val="bottom"/>
            <w:hideMark/>
          </w:tcPr>
          <w:p w14:paraId="1F5CA71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3,902</w:t>
            </w:r>
          </w:p>
        </w:tc>
        <w:tc>
          <w:tcPr>
            <w:tcW w:w="1134" w:type="dxa"/>
            <w:tcBorders>
              <w:top w:val="nil"/>
              <w:left w:val="nil"/>
              <w:bottom w:val="single" w:sz="4" w:space="0" w:color="auto"/>
              <w:right w:val="single" w:sz="4" w:space="0" w:color="auto"/>
            </w:tcBorders>
            <w:noWrap/>
            <w:vAlign w:val="bottom"/>
            <w:hideMark/>
          </w:tcPr>
          <w:p w14:paraId="4082809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3,901</w:t>
            </w:r>
          </w:p>
        </w:tc>
        <w:tc>
          <w:tcPr>
            <w:tcW w:w="992" w:type="dxa"/>
            <w:tcBorders>
              <w:top w:val="nil"/>
              <w:left w:val="nil"/>
              <w:bottom w:val="single" w:sz="4" w:space="0" w:color="auto"/>
              <w:right w:val="single" w:sz="4" w:space="0" w:color="auto"/>
            </w:tcBorders>
            <w:noWrap/>
            <w:vAlign w:val="bottom"/>
            <w:hideMark/>
          </w:tcPr>
          <w:p w14:paraId="698BB78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11,015</w:t>
            </w:r>
          </w:p>
        </w:tc>
        <w:tc>
          <w:tcPr>
            <w:tcW w:w="840" w:type="dxa"/>
            <w:tcBorders>
              <w:top w:val="nil"/>
              <w:left w:val="nil"/>
              <w:bottom w:val="single" w:sz="4" w:space="0" w:color="auto"/>
              <w:right w:val="single" w:sz="4" w:space="0" w:color="auto"/>
            </w:tcBorders>
            <w:noWrap/>
            <w:vAlign w:val="bottom"/>
            <w:hideMark/>
          </w:tcPr>
          <w:p w14:paraId="300DC43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11,000</w:t>
            </w:r>
          </w:p>
        </w:tc>
        <w:tc>
          <w:tcPr>
            <w:tcW w:w="1289" w:type="dxa"/>
            <w:tcBorders>
              <w:top w:val="nil"/>
              <w:left w:val="nil"/>
              <w:bottom w:val="single" w:sz="4" w:space="0" w:color="auto"/>
              <w:right w:val="single" w:sz="4" w:space="0" w:color="auto"/>
            </w:tcBorders>
            <w:noWrap/>
            <w:vAlign w:val="bottom"/>
            <w:hideMark/>
          </w:tcPr>
          <w:p w14:paraId="1B2D2E9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11,010</w:t>
            </w:r>
          </w:p>
        </w:tc>
      </w:tr>
      <w:tr w:rsidR="00870648" w:rsidRPr="00A05FC8" w14:paraId="1426C444"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49C7CD66"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111F97A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0,068</w:t>
            </w:r>
          </w:p>
        </w:tc>
        <w:tc>
          <w:tcPr>
            <w:tcW w:w="992" w:type="dxa"/>
            <w:tcBorders>
              <w:top w:val="nil"/>
              <w:left w:val="nil"/>
              <w:bottom w:val="single" w:sz="4" w:space="0" w:color="auto"/>
              <w:right w:val="single" w:sz="4" w:space="0" w:color="auto"/>
            </w:tcBorders>
            <w:noWrap/>
            <w:vAlign w:val="bottom"/>
            <w:hideMark/>
          </w:tcPr>
          <w:p w14:paraId="0408993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0,068</w:t>
            </w:r>
          </w:p>
        </w:tc>
        <w:tc>
          <w:tcPr>
            <w:tcW w:w="851" w:type="dxa"/>
            <w:tcBorders>
              <w:top w:val="nil"/>
              <w:left w:val="nil"/>
              <w:bottom w:val="single" w:sz="4" w:space="0" w:color="auto"/>
              <w:right w:val="single" w:sz="4" w:space="0" w:color="auto"/>
            </w:tcBorders>
            <w:noWrap/>
            <w:vAlign w:val="bottom"/>
            <w:hideMark/>
          </w:tcPr>
          <w:p w14:paraId="58EB70E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0,069</w:t>
            </w:r>
          </w:p>
        </w:tc>
        <w:tc>
          <w:tcPr>
            <w:tcW w:w="1134" w:type="dxa"/>
            <w:tcBorders>
              <w:top w:val="nil"/>
              <w:left w:val="nil"/>
              <w:bottom w:val="single" w:sz="4" w:space="0" w:color="auto"/>
              <w:right w:val="single" w:sz="4" w:space="0" w:color="auto"/>
            </w:tcBorders>
            <w:noWrap/>
            <w:vAlign w:val="bottom"/>
            <w:hideMark/>
          </w:tcPr>
          <w:p w14:paraId="5B57538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0,385</w:t>
            </w:r>
          </w:p>
        </w:tc>
        <w:tc>
          <w:tcPr>
            <w:tcW w:w="850" w:type="dxa"/>
            <w:tcBorders>
              <w:top w:val="nil"/>
              <w:left w:val="nil"/>
              <w:bottom w:val="single" w:sz="4" w:space="0" w:color="auto"/>
              <w:right w:val="single" w:sz="4" w:space="0" w:color="auto"/>
            </w:tcBorders>
            <w:noWrap/>
            <w:vAlign w:val="bottom"/>
            <w:hideMark/>
          </w:tcPr>
          <w:p w14:paraId="402BC39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0,384</w:t>
            </w:r>
          </w:p>
        </w:tc>
        <w:tc>
          <w:tcPr>
            <w:tcW w:w="993" w:type="dxa"/>
            <w:tcBorders>
              <w:top w:val="nil"/>
              <w:left w:val="nil"/>
              <w:bottom w:val="single" w:sz="4" w:space="0" w:color="auto"/>
              <w:right w:val="single" w:sz="4" w:space="0" w:color="auto"/>
            </w:tcBorders>
            <w:noWrap/>
            <w:vAlign w:val="bottom"/>
            <w:hideMark/>
          </w:tcPr>
          <w:p w14:paraId="69FC8E5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0,384</w:t>
            </w:r>
          </w:p>
        </w:tc>
        <w:tc>
          <w:tcPr>
            <w:tcW w:w="1134" w:type="dxa"/>
            <w:tcBorders>
              <w:top w:val="nil"/>
              <w:left w:val="nil"/>
              <w:bottom w:val="single" w:sz="4" w:space="0" w:color="auto"/>
              <w:right w:val="single" w:sz="4" w:space="0" w:color="auto"/>
            </w:tcBorders>
            <w:noWrap/>
            <w:vAlign w:val="bottom"/>
            <w:hideMark/>
          </w:tcPr>
          <w:p w14:paraId="18ED88C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3,703</w:t>
            </w:r>
          </w:p>
        </w:tc>
        <w:tc>
          <w:tcPr>
            <w:tcW w:w="1134" w:type="dxa"/>
            <w:tcBorders>
              <w:top w:val="nil"/>
              <w:left w:val="nil"/>
              <w:bottom w:val="single" w:sz="4" w:space="0" w:color="auto"/>
              <w:right w:val="single" w:sz="4" w:space="0" w:color="auto"/>
            </w:tcBorders>
            <w:noWrap/>
            <w:vAlign w:val="bottom"/>
            <w:hideMark/>
          </w:tcPr>
          <w:p w14:paraId="6BA6219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3,701</w:t>
            </w:r>
          </w:p>
        </w:tc>
        <w:tc>
          <w:tcPr>
            <w:tcW w:w="1134" w:type="dxa"/>
            <w:tcBorders>
              <w:top w:val="nil"/>
              <w:left w:val="nil"/>
              <w:bottom w:val="single" w:sz="4" w:space="0" w:color="auto"/>
              <w:right w:val="single" w:sz="4" w:space="0" w:color="auto"/>
            </w:tcBorders>
            <w:noWrap/>
            <w:vAlign w:val="bottom"/>
            <w:hideMark/>
          </w:tcPr>
          <w:p w14:paraId="5F62DCF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3,702</w:t>
            </w:r>
          </w:p>
        </w:tc>
        <w:tc>
          <w:tcPr>
            <w:tcW w:w="992" w:type="dxa"/>
            <w:tcBorders>
              <w:top w:val="nil"/>
              <w:left w:val="nil"/>
              <w:bottom w:val="single" w:sz="4" w:space="0" w:color="auto"/>
              <w:right w:val="single" w:sz="4" w:space="0" w:color="auto"/>
            </w:tcBorders>
            <w:noWrap/>
            <w:vAlign w:val="bottom"/>
            <w:hideMark/>
          </w:tcPr>
          <w:p w14:paraId="6EC3E48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9,314</w:t>
            </w:r>
          </w:p>
        </w:tc>
        <w:tc>
          <w:tcPr>
            <w:tcW w:w="840" w:type="dxa"/>
            <w:tcBorders>
              <w:top w:val="nil"/>
              <w:left w:val="nil"/>
              <w:bottom w:val="single" w:sz="4" w:space="0" w:color="auto"/>
              <w:right w:val="single" w:sz="4" w:space="0" w:color="auto"/>
            </w:tcBorders>
            <w:noWrap/>
            <w:vAlign w:val="bottom"/>
            <w:hideMark/>
          </w:tcPr>
          <w:p w14:paraId="6C23892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9,316</w:t>
            </w:r>
          </w:p>
        </w:tc>
        <w:tc>
          <w:tcPr>
            <w:tcW w:w="1289" w:type="dxa"/>
            <w:tcBorders>
              <w:top w:val="nil"/>
              <w:left w:val="nil"/>
              <w:bottom w:val="single" w:sz="4" w:space="0" w:color="auto"/>
              <w:right w:val="single" w:sz="4" w:space="0" w:color="auto"/>
            </w:tcBorders>
            <w:noWrap/>
            <w:vAlign w:val="bottom"/>
            <w:hideMark/>
          </w:tcPr>
          <w:p w14:paraId="2A51834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9,314</w:t>
            </w:r>
          </w:p>
        </w:tc>
      </w:tr>
      <w:tr w:rsidR="00870648" w:rsidRPr="00A05FC8" w14:paraId="1A0A7235"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2E442D63"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088DE9C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0,074</w:t>
            </w:r>
          </w:p>
        </w:tc>
        <w:tc>
          <w:tcPr>
            <w:tcW w:w="992" w:type="dxa"/>
            <w:tcBorders>
              <w:top w:val="nil"/>
              <w:left w:val="nil"/>
              <w:bottom w:val="single" w:sz="4" w:space="0" w:color="auto"/>
              <w:right w:val="single" w:sz="4" w:space="0" w:color="auto"/>
            </w:tcBorders>
            <w:noWrap/>
            <w:vAlign w:val="bottom"/>
            <w:hideMark/>
          </w:tcPr>
          <w:p w14:paraId="474E8E0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0,075</w:t>
            </w:r>
          </w:p>
        </w:tc>
        <w:tc>
          <w:tcPr>
            <w:tcW w:w="851" w:type="dxa"/>
            <w:tcBorders>
              <w:top w:val="nil"/>
              <w:left w:val="nil"/>
              <w:bottom w:val="single" w:sz="4" w:space="0" w:color="auto"/>
              <w:right w:val="single" w:sz="4" w:space="0" w:color="auto"/>
            </w:tcBorders>
            <w:noWrap/>
            <w:vAlign w:val="bottom"/>
            <w:hideMark/>
          </w:tcPr>
          <w:p w14:paraId="2BAC4DE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0,074</w:t>
            </w:r>
          </w:p>
        </w:tc>
        <w:tc>
          <w:tcPr>
            <w:tcW w:w="1134" w:type="dxa"/>
            <w:tcBorders>
              <w:top w:val="nil"/>
              <w:left w:val="nil"/>
              <w:bottom w:val="single" w:sz="4" w:space="0" w:color="auto"/>
              <w:right w:val="single" w:sz="4" w:space="0" w:color="auto"/>
            </w:tcBorders>
            <w:noWrap/>
            <w:vAlign w:val="bottom"/>
            <w:hideMark/>
          </w:tcPr>
          <w:p w14:paraId="0C34A3A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0,381</w:t>
            </w:r>
          </w:p>
        </w:tc>
        <w:tc>
          <w:tcPr>
            <w:tcW w:w="850" w:type="dxa"/>
            <w:tcBorders>
              <w:top w:val="nil"/>
              <w:left w:val="nil"/>
              <w:bottom w:val="single" w:sz="4" w:space="0" w:color="auto"/>
              <w:right w:val="single" w:sz="4" w:space="0" w:color="auto"/>
            </w:tcBorders>
            <w:noWrap/>
            <w:vAlign w:val="bottom"/>
            <w:hideMark/>
          </w:tcPr>
          <w:p w14:paraId="5A78161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0,380</w:t>
            </w:r>
          </w:p>
        </w:tc>
        <w:tc>
          <w:tcPr>
            <w:tcW w:w="993" w:type="dxa"/>
            <w:tcBorders>
              <w:top w:val="nil"/>
              <w:left w:val="nil"/>
              <w:bottom w:val="single" w:sz="4" w:space="0" w:color="auto"/>
              <w:right w:val="single" w:sz="4" w:space="0" w:color="auto"/>
            </w:tcBorders>
            <w:noWrap/>
            <w:vAlign w:val="bottom"/>
            <w:hideMark/>
          </w:tcPr>
          <w:p w14:paraId="4BF5307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0,380</w:t>
            </w:r>
          </w:p>
        </w:tc>
        <w:tc>
          <w:tcPr>
            <w:tcW w:w="1134" w:type="dxa"/>
            <w:tcBorders>
              <w:top w:val="nil"/>
              <w:left w:val="nil"/>
              <w:bottom w:val="single" w:sz="4" w:space="0" w:color="auto"/>
              <w:right w:val="single" w:sz="4" w:space="0" w:color="auto"/>
            </w:tcBorders>
            <w:noWrap/>
            <w:vAlign w:val="bottom"/>
            <w:hideMark/>
          </w:tcPr>
          <w:p w14:paraId="1850846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5,517</w:t>
            </w:r>
          </w:p>
        </w:tc>
        <w:tc>
          <w:tcPr>
            <w:tcW w:w="1134" w:type="dxa"/>
            <w:tcBorders>
              <w:top w:val="nil"/>
              <w:left w:val="nil"/>
              <w:bottom w:val="single" w:sz="4" w:space="0" w:color="auto"/>
              <w:right w:val="single" w:sz="4" w:space="0" w:color="auto"/>
            </w:tcBorders>
            <w:noWrap/>
            <w:vAlign w:val="bottom"/>
            <w:hideMark/>
          </w:tcPr>
          <w:p w14:paraId="63F4D22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5,495</w:t>
            </w:r>
          </w:p>
        </w:tc>
        <w:tc>
          <w:tcPr>
            <w:tcW w:w="1134" w:type="dxa"/>
            <w:tcBorders>
              <w:top w:val="nil"/>
              <w:left w:val="nil"/>
              <w:bottom w:val="single" w:sz="4" w:space="0" w:color="auto"/>
              <w:right w:val="single" w:sz="4" w:space="0" w:color="auto"/>
            </w:tcBorders>
            <w:noWrap/>
            <w:vAlign w:val="bottom"/>
            <w:hideMark/>
          </w:tcPr>
          <w:p w14:paraId="422E7DA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5,488</w:t>
            </w:r>
          </w:p>
        </w:tc>
        <w:tc>
          <w:tcPr>
            <w:tcW w:w="992" w:type="dxa"/>
            <w:tcBorders>
              <w:top w:val="nil"/>
              <w:left w:val="nil"/>
              <w:bottom w:val="single" w:sz="4" w:space="0" w:color="auto"/>
              <w:right w:val="single" w:sz="4" w:space="0" w:color="auto"/>
            </w:tcBorders>
            <w:noWrap/>
            <w:vAlign w:val="bottom"/>
            <w:hideMark/>
          </w:tcPr>
          <w:p w14:paraId="0C98447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7,181</w:t>
            </w:r>
          </w:p>
        </w:tc>
        <w:tc>
          <w:tcPr>
            <w:tcW w:w="840" w:type="dxa"/>
            <w:tcBorders>
              <w:top w:val="nil"/>
              <w:left w:val="nil"/>
              <w:bottom w:val="single" w:sz="4" w:space="0" w:color="auto"/>
              <w:right w:val="single" w:sz="4" w:space="0" w:color="auto"/>
            </w:tcBorders>
            <w:noWrap/>
            <w:vAlign w:val="bottom"/>
            <w:hideMark/>
          </w:tcPr>
          <w:p w14:paraId="488680C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7,182</w:t>
            </w:r>
          </w:p>
        </w:tc>
        <w:tc>
          <w:tcPr>
            <w:tcW w:w="1289" w:type="dxa"/>
            <w:tcBorders>
              <w:top w:val="nil"/>
              <w:left w:val="nil"/>
              <w:bottom w:val="single" w:sz="4" w:space="0" w:color="auto"/>
              <w:right w:val="single" w:sz="4" w:space="0" w:color="auto"/>
            </w:tcBorders>
            <w:noWrap/>
            <w:vAlign w:val="bottom"/>
            <w:hideMark/>
          </w:tcPr>
          <w:p w14:paraId="6B0781C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7,182</w:t>
            </w:r>
          </w:p>
        </w:tc>
      </w:tr>
      <w:tr w:rsidR="00870648" w:rsidRPr="00A05FC8" w14:paraId="398E9FE6"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1DCC16AD" w14:textId="77777777" w:rsidR="00870648" w:rsidRPr="00A05FC8" w:rsidRDefault="00870648" w:rsidP="00A05FC8">
            <w:pPr>
              <w:spacing w:after="0" w:line="240" w:lineRule="auto"/>
              <w:jc w:val="center"/>
              <w:rPr>
                <w:rFonts w:eastAsia="Times New Roman" w:cs="Arial"/>
                <w:color w:val="000000"/>
                <w:sz w:val="18"/>
                <w:szCs w:val="18"/>
                <w:lang w:eastAsia="en-ID"/>
              </w:rPr>
            </w:pPr>
            <w:proofErr w:type="gramStart"/>
            <w:r w:rsidRPr="00A05FC8">
              <w:rPr>
                <w:rFonts w:eastAsia="Times New Roman" w:cs="Arial"/>
                <w:color w:val="000000"/>
                <w:sz w:val="18"/>
                <w:szCs w:val="18"/>
                <w:lang w:eastAsia="en-ID"/>
              </w:rPr>
              <w:t xml:space="preserve">Dry  </w:t>
            </w:r>
            <w:r w:rsidRPr="00A05FC8">
              <w:rPr>
                <w:rFonts w:cs="Arial"/>
                <w:sz w:val="18"/>
                <w:szCs w:val="18"/>
              </w:rPr>
              <w:t>Weight</w:t>
            </w:r>
            <w:proofErr w:type="gramEnd"/>
          </w:p>
        </w:tc>
      </w:tr>
      <w:tr w:rsidR="00870648" w:rsidRPr="00A05FC8" w14:paraId="24F7167E" w14:textId="77777777" w:rsidTr="00A05FC8">
        <w:trPr>
          <w:gridAfter w:val="1"/>
          <w:wAfter w:w="12" w:type="dxa"/>
          <w:trHeight w:val="285"/>
        </w:trPr>
        <w:tc>
          <w:tcPr>
            <w:tcW w:w="1276" w:type="dxa"/>
            <w:tcBorders>
              <w:top w:val="nil"/>
              <w:left w:val="single" w:sz="4" w:space="0" w:color="auto"/>
              <w:bottom w:val="single" w:sz="4" w:space="0" w:color="auto"/>
              <w:right w:val="single" w:sz="4" w:space="0" w:color="auto"/>
            </w:tcBorders>
            <w:noWrap/>
            <w:hideMark/>
          </w:tcPr>
          <w:p w14:paraId="2F99051C"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1C65D2C0" w14:textId="64FAC4F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233A249E" w14:textId="74BBE049"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0952BF7C" w14:textId="089B952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4688A035" w14:textId="18D8F7A1"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680F719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0276F8E2" w14:textId="33864D0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372605A4" w14:textId="624D98BF"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2936B199" w14:textId="48B3282A"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3247F69A" w14:textId="78C9B45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0DCC4F62" w14:textId="730D748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3CD86CA8" w14:textId="77777777"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3_</w:t>
            </w:r>
          </w:p>
          <w:p w14:paraId="720E297B" w14:textId="55CD4CF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24DF883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245A4D72" w14:textId="2E790D55"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49FDE9D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3759C856" w14:textId="2D0014F3"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1C589345" w14:textId="1E4543FA"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0A674E62" w14:textId="0D168806"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5680693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3836AF7D" w14:textId="17510826"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0255257A"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3626AF93"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052A5F0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3,661</w:t>
            </w:r>
          </w:p>
        </w:tc>
        <w:tc>
          <w:tcPr>
            <w:tcW w:w="992" w:type="dxa"/>
            <w:tcBorders>
              <w:top w:val="nil"/>
              <w:left w:val="nil"/>
              <w:bottom w:val="single" w:sz="4" w:space="0" w:color="auto"/>
              <w:right w:val="single" w:sz="4" w:space="0" w:color="auto"/>
            </w:tcBorders>
            <w:noWrap/>
            <w:vAlign w:val="bottom"/>
            <w:hideMark/>
          </w:tcPr>
          <w:p w14:paraId="458CC4C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3,662</w:t>
            </w:r>
          </w:p>
        </w:tc>
        <w:tc>
          <w:tcPr>
            <w:tcW w:w="851" w:type="dxa"/>
            <w:tcBorders>
              <w:top w:val="nil"/>
              <w:left w:val="nil"/>
              <w:bottom w:val="single" w:sz="4" w:space="0" w:color="auto"/>
              <w:right w:val="single" w:sz="4" w:space="0" w:color="auto"/>
            </w:tcBorders>
            <w:noWrap/>
            <w:vAlign w:val="bottom"/>
            <w:hideMark/>
          </w:tcPr>
          <w:p w14:paraId="4466887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3,663</w:t>
            </w:r>
          </w:p>
        </w:tc>
        <w:tc>
          <w:tcPr>
            <w:tcW w:w="1134" w:type="dxa"/>
            <w:tcBorders>
              <w:top w:val="nil"/>
              <w:left w:val="nil"/>
              <w:bottom w:val="single" w:sz="4" w:space="0" w:color="auto"/>
              <w:right w:val="single" w:sz="4" w:space="0" w:color="auto"/>
            </w:tcBorders>
            <w:noWrap/>
            <w:vAlign w:val="bottom"/>
            <w:hideMark/>
          </w:tcPr>
          <w:p w14:paraId="2C8F476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4,713</w:t>
            </w:r>
          </w:p>
        </w:tc>
        <w:tc>
          <w:tcPr>
            <w:tcW w:w="850" w:type="dxa"/>
            <w:tcBorders>
              <w:top w:val="nil"/>
              <w:left w:val="nil"/>
              <w:bottom w:val="single" w:sz="4" w:space="0" w:color="auto"/>
              <w:right w:val="single" w:sz="4" w:space="0" w:color="auto"/>
            </w:tcBorders>
            <w:noWrap/>
            <w:vAlign w:val="bottom"/>
            <w:hideMark/>
          </w:tcPr>
          <w:p w14:paraId="0FB411E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4,711</w:t>
            </w:r>
          </w:p>
        </w:tc>
        <w:tc>
          <w:tcPr>
            <w:tcW w:w="993" w:type="dxa"/>
            <w:tcBorders>
              <w:top w:val="nil"/>
              <w:left w:val="nil"/>
              <w:bottom w:val="single" w:sz="4" w:space="0" w:color="auto"/>
              <w:right w:val="single" w:sz="4" w:space="0" w:color="auto"/>
            </w:tcBorders>
            <w:noWrap/>
            <w:vAlign w:val="bottom"/>
            <w:hideMark/>
          </w:tcPr>
          <w:p w14:paraId="0A1F23E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4,709</w:t>
            </w:r>
          </w:p>
        </w:tc>
        <w:tc>
          <w:tcPr>
            <w:tcW w:w="1134" w:type="dxa"/>
            <w:tcBorders>
              <w:top w:val="nil"/>
              <w:left w:val="nil"/>
              <w:bottom w:val="single" w:sz="4" w:space="0" w:color="auto"/>
              <w:right w:val="single" w:sz="4" w:space="0" w:color="auto"/>
            </w:tcBorders>
            <w:noWrap/>
            <w:vAlign w:val="bottom"/>
            <w:hideMark/>
          </w:tcPr>
          <w:p w14:paraId="67B0569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6,014</w:t>
            </w:r>
          </w:p>
        </w:tc>
        <w:tc>
          <w:tcPr>
            <w:tcW w:w="1134" w:type="dxa"/>
            <w:tcBorders>
              <w:top w:val="nil"/>
              <w:left w:val="nil"/>
              <w:bottom w:val="single" w:sz="4" w:space="0" w:color="auto"/>
              <w:right w:val="single" w:sz="4" w:space="0" w:color="auto"/>
            </w:tcBorders>
            <w:noWrap/>
            <w:vAlign w:val="bottom"/>
            <w:hideMark/>
          </w:tcPr>
          <w:p w14:paraId="72F6AF4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6,016</w:t>
            </w:r>
          </w:p>
        </w:tc>
        <w:tc>
          <w:tcPr>
            <w:tcW w:w="1134" w:type="dxa"/>
            <w:tcBorders>
              <w:top w:val="nil"/>
              <w:left w:val="nil"/>
              <w:bottom w:val="single" w:sz="4" w:space="0" w:color="auto"/>
              <w:right w:val="single" w:sz="4" w:space="0" w:color="auto"/>
            </w:tcBorders>
            <w:noWrap/>
            <w:vAlign w:val="bottom"/>
            <w:hideMark/>
          </w:tcPr>
          <w:p w14:paraId="7CAE26A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6,018</w:t>
            </w:r>
          </w:p>
        </w:tc>
        <w:tc>
          <w:tcPr>
            <w:tcW w:w="992" w:type="dxa"/>
            <w:tcBorders>
              <w:top w:val="nil"/>
              <w:left w:val="nil"/>
              <w:bottom w:val="single" w:sz="4" w:space="0" w:color="auto"/>
              <w:right w:val="single" w:sz="4" w:space="0" w:color="auto"/>
            </w:tcBorders>
            <w:noWrap/>
            <w:vAlign w:val="bottom"/>
            <w:hideMark/>
          </w:tcPr>
          <w:p w14:paraId="400CDC6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4,868</w:t>
            </w:r>
          </w:p>
        </w:tc>
        <w:tc>
          <w:tcPr>
            <w:tcW w:w="840" w:type="dxa"/>
            <w:tcBorders>
              <w:top w:val="nil"/>
              <w:left w:val="nil"/>
              <w:bottom w:val="single" w:sz="4" w:space="0" w:color="auto"/>
              <w:right w:val="single" w:sz="4" w:space="0" w:color="auto"/>
            </w:tcBorders>
            <w:noWrap/>
            <w:vAlign w:val="bottom"/>
            <w:hideMark/>
          </w:tcPr>
          <w:p w14:paraId="48706D9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4,867</w:t>
            </w:r>
          </w:p>
        </w:tc>
        <w:tc>
          <w:tcPr>
            <w:tcW w:w="1289" w:type="dxa"/>
            <w:tcBorders>
              <w:top w:val="nil"/>
              <w:left w:val="nil"/>
              <w:bottom w:val="single" w:sz="4" w:space="0" w:color="auto"/>
              <w:right w:val="single" w:sz="4" w:space="0" w:color="auto"/>
            </w:tcBorders>
            <w:noWrap/>
            <w:vAlign w:val="bottom"/>
            <w:hideMark/>
          </w:tcPr>
          <w:p w14:paraId="1C29956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4,866</w:t>
            </w:r>
          </w:p>
        </w:tc>
      </w:tr>
      <w:tr w:rsidR="00870648" w:rsidRPr="00A05FC8" w14:paraId="20D6D926"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78B6E5F"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5B15FD1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6,783</w:t>
            </w:r>
          </w:p>
        </w:tc>
        <w:tc>
          <w:tcPr>
            <w:tcW w:w="992" w:type="dxa"/>
            <w:tcBorders>
              <w:top w:val="nil"/>
              <w:left w:val="nil"/>
              <w:bottom w:val="single" w:sz="4" w:space="0" w:color="auto"/>
              <w:right w:val="single" w:sz="4" w:space="0" w:color="auto"/>
            </w:tcBorders>
            <w:noWrap/>
            <w:vAlign w:val="bottom"/>
            <w:hideMark/>
          </w:tcPr>
          <w:p w14:paraId="759A5BC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6,785</w:t>
            </w:r>
          </w:p>
        </w:tc>
        <w:tc>
          <w:tcPr>
            <w:tcW w:w="851" w:type="dxa"/>
            <w:tcBorders>
              <w:top w:val="nil"/>
              <w:left w:val="nil"/>
              <w:bottom w:val="single" w:sz="4" w:space="0" w:color="auto"/>
              <w:right w:val="single" w:sz="4" w:space="0" w:color="auto"/>
            </w:tcBorders>
            <w:noWrap/>
            <w:vAlign w:val="bottom"/>
            <w:hideMark/>
          </w:tcPr>
          <w:p w14:paraId="3DBEC82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6,787</w:t>
            </w:r>
          </w:p>
        </w:tc>
        <w:tc>
          <w:tcPr>
            <w:tcW w:w="1134" w:type="dxa"/>
            <w:tcBorders>
              <w:top w:val="nil"/>
              <w:left w:val="nil"/>
              <w:bottom w:val="single" w:sz="4" w:space="0" w:color="auto"/>
              <w:right w:val="single" w:sz="4" w:space="0" w:color="auto"/>
            </w:tcBorders>
            <w:noWrap/>
            <w:vAlign w:val="bottom"/>
            <w:hideMark/>
          </w:tcPr>
          <w:p w14:paraId="5B10DC6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7,665</w:t>
            </w:r>
          </w:p>
        </w:tc>
        <w:tc>
          <w:tcPr>
            <w:tcW w:w="850" w:type="dxa"/>
            <w:tcBorders>
              <w:top w:val="nil"/>
              <w:left w:val="nil"/>
              <w:bottom w:val="single" w:sz="4" w:space="0" w:color="auto"/>
              <w:right w:val="single" w:sz="4" w:space="0" w:color="auto"/>
            </w:tcBorders>
            <w:noWrap/>
            <w:vAlign w:val="bottom"/>
            <w:hideMark/>
          </w:tcPr>
          <w:p w14:paraId="30E5292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7,669</w:t>
            </w:r>
          </w:p>
        </w:tc>
        <w:tc>
          <w:tcPr>
            <w:tcW w:w="993" w:type="dxa"/>
            <w:tcBorders>
              <w:top w:val="nil"/>
              <w:left w:val="nil"/>
              <w:bottom w:val="single" w:sz="4" w:space="0" w:color="auto"/>
              <w:right w:val="single" w:sz="4" w:space="0" w:color="auto"/>
            </w:tcBorders>
            <w:noWrap/>
            <w:vAlign w:val="bottom"/>
            <w:hideMark/>
          </w:tcPr>
          <w:p w14:paraId="626871B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7,672</w:t>
            </w:r>
          </w:p>
        </w:tc>
        <w:tc>
          <w:tcPr>
            <w:tcW w:w="1134" w:type="dxa"/>
            <w:tcBorders>
              <w:top w:val="nil"/>
              <w:left w:val="nil"/>
              <w:bottom w:val="single" w:sz="4" w:space="0" w:color="auto"/>
              <w:right w:val="single" w:sz="4" w:space="0" w:color="auto"/>
            </w:tcBorders>
            <w:noWrap/>
            <w:vAlign w:val="bottom"/>
            <w:hideMark/>
          </w:tcPr>
          <w:p w14:paraId="5BDE79C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6,015</w:t>
            </w:r>
          </w:p>
        </w:tc>
        <w:tc>
          <w:tcPr>
            <w:tcW w:w="1134" w:type="dxa"/>
            <w:tcBorders>
              <w:top w:val="nil"/>
              <w:left w:val="nil"/>
              <w:bottom w:val="single" w:sz="4" w:space="0" w:color="auto"/>
              <w:right w:val="single" w:sz="4" w:space="0" w:color="auto"/>
            </w:tcBorders>
            <w:noWrap/>
            <w:vAlign w:val="bottom"/>
            <w:hideMark/>
          </w:tcPr>
          <w:p w14:paraId="00F399E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6,018</w:t>
            </w:r>
          </w:p>
        </w:tc>
        <w:tc>
          <w:tcPr>
            <w:tcW w:w="1134" w:type="dxa"/>
            <w:tcBorders>
              <w:top w:val="nil"/>
              <w:left w:val="nil"/>
              <w:bottom w:val="single" w:sz="4" w:space="0" w:color="auto"/>
              <w:right w:val="single" w:sz="4" w:space="0" w:color="auto"/>
            </w:tcBorders>
            <w:noWrap/>
            <w:vAlign w:val="bottom"/>
            <w:hideMark/>
          </w:tcPr>
          <w:p w14:paraId="1C63B9A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6,021</w:t>
            </w:r>
          </w:p>
        </w:tc>
        <w:tc>
          <w:tcPr>
            <w:tcW w:w="992" w:type="dxa"/>
            <w:tcBorders>
              <w:top w:val="nil"/>
              <w:left w:val="nil"/>
              <w:bottom w:val="single" w:sz="4" w:space="0" w:color="auto"/>
              <w:right w:val="single" w:sz="4" w:space="0" w:color="auto"/>
            </w:tcBorders>
            <w:noWrap/>
            <w:vAlign w:val="bottom"/>
            <w:hideMark/>
          </w:tcPr>
          <w:p w14:paraId="38D66F9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5,470</w:t>
            </w:r>
          </w:p>
        </w:tc>
        <w:tc>
          <w:tcPr>
            <w:tcW w:w="840" w:type="dxa"/>
            <w:tcBorders>
              <w:top w:val="nil"/>
              <w:left w:val="nil"/>
              <w:bottom w:val="single" w:sz="4" w:space="0" w:color="auto"/>
              <w:right w:val="single" w:sz="4" w:space="0" w:color="auto"/>
            </w:tcBorders>
            <w:noWrap/>
            <w:vAlign w:val="bottom"/>
            <w:hideMark/>
          </w:tcPr>
          <w:p w14:paraId="15831DF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5,473</w:t>
            </w:r>
          </w:p>
        </w:tc>
        <w:tc>
          <w:tcPr>
            <w:tcW w:w="1289" w:type="dxa"/>
            <w:tcBorders>
              <w:top w:val="nil"/>
              <w:left w:val="nil"/>
              <w:bottom w:val="single" w:sz="4" w:space="0" w:color="auto"/>
              <w:right w:val="single" w:sz="4" w:space="0" w:color="auto"/>
            </w:tcBorders>
            <w:noWrap/>
            <w:vAlign w:val="bottom"/>
            <w:hideMark/>
          </w:tcPr>
          <w:p w14:paraId="6220D6A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5,476</w:t>
            </w:r>
          </w:p>
        </w:tc>
      </w:tr>
      <w:tr w:rsidR="00870648" w:rsidRPr="00A05FC8" w14:paraId="6E9F4014"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6D55478A"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7BA676E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4,725</w:t>
            </w:r>
          </w:p>
        </w:tc>
        <w:tc>
          <w:tcPr>
            <w:tcW w:w="992" w:type="dxa"/>
            <w:tcBorders>
              <w:top w:val="nil"/>
              <w:left w:val="nil"/>
              <w:bottom w:val="single" w:sz="4" w:space="0" w:color="auto"/>
              <w:right w:val="single" w:sz="4" w:space="0" w:color="auto"/>
            </w:tcBorders>
            <w:noWrap/>
            <w:vAlign w:val="bottom"/>
            <w:hideMark/>
          </w:tcPr>
          <w:p w14:paraId="3C2DAE2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4,727</w:t>
            </w:r>
          </w:p>
        </w:tc>
        <w:tc>
          <w:tcPr>
            <w:tcW w:w="851" w:type="dxa"/>
            <w:tcBorders>
              <w:top w:val="nil"/>
              <w:left w:val="nil"/>
              <w:bottom w:val="single" w:sz="4" w:space="0" w:color="auto"/>
              <w:right w:val="single" w:sz="4" w:space="0" w:color="auto"/>
            </w:tcBorders>
            <w:noWrap/>
            <w:vAlign w:val="bottom"/>
            <w:hideMark/>
          </w:tcPr>
          <w:p w14:paraId="3F7DF2D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4,729</w:t>
            </w:r>
          </w:p>
        </w:tc>
        <w:tc>
          <w:tcPr>
            <w:tcW w:w="1134" w:type="dxa"/>
            <w:tcBorders>
              <w:top w:val="nil"/>
              <w:left w:val="nil"/>
              <w:bottom w:val="single" w:sz="4" w:space="0" w:color="auto"/>
              <w:right w:val="single" w:sz="4" w:space="0" w:color="auto"/>
            </w:tcBorders>
            <w:noWrap/>
            <w:vAlign w:val="bottom"/>
            <w:hideMark/>
          </w:tcPr>
          <w:p w14:paraId="5DDA0D8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4,917</w:t>
            </w:r>
          </w:p>
        </w:tc>
        <w:tc>
          <w:tcPr>
            <w:tcW w:w="850" w:type="dxa"/>
            <w:tcBorders>
              <w:top w:val="nil"/>
              <w:left w:val="nil"/>
              <w:bottom w:val="single" w:sz="4" w:space="0" w:color="auto"/>
              <w:right w:val="single" w:sz="4" w:space="0" w:color="auto"/>
            </w:tcBorders>
            <w:noWrap/>
            <w:vAlign w:val="bottom"/>
            <w:hideMark/>
          </w:tcPr>
          <w:p w14:paraId="1146C63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4,914</w:t>
            </w:r>
          </w:p>
        </w:tc>
        <w:tc>
          <w:tcPr>
            <w:tcW w:w="993" w:type="dxa"/>
            <w:tcBorders>
              <w:top w:val="nil"/>
              <w:left w:val="nil"/>
              <w:bottom w:val="single" w:sz="4" w:space="0" w:color="auto"/>
              <w:right w:val="single" w:sz="4" w:space="0" w:color="auto"/>
            </w:tcBorders>
            <w:noWrap/>
            <w:vAlign w:val="bottom"/>
            <w:hideMark/>
          </w:tcPr>
          <w:p w14:paraId="632E3C3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4,911</w:t>
            </w:r>
          </w:p>
        </w:tc>
        <w:tc>
          <w:tcPr>
            <w:tcW w:w="1134" w:type="dxa"/>
            <w:tcBorders>
              <w:top w:val="nil"/>
              <w:left w:val="nil"/>
              <w:bottom w:val="single" w:sz="4" w:space="0" w:color="auto"/>
              <w:right w:val="single" w:sz="4" w:space="0" w:color="auto"/>
            </w:tcBorders>
            <w:noWrap/>
            <w:vAlign w:val="bottom"/>
            <w:hideMark/>
          </w:tcPr>
          <w:p w14:paraId="7FC7D6F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6,362</w:t>
            </w:r>
          </w:p>
        </w:tc>
        <w:tc>
          <w:tcPr>
            <w:tcW w:w="1134" w:type="dxa"/>
            <w:tcBorders>
              <w:top w:val="nil"/>
              <w:left w:val="nil"/>
              <w:bottom w:val="single" w:sz="4" w:space="0" w:color="auto"/>
              <w:right w:val="single" w:sz="4" w:space="0" w:color="auto"/>
            </w:tcBorders>
            <w:noWrap/>
            <w:vAlign w:val="bottom"/>
            <w:hideMark/>
          </w:tcPr>
          <w:p w14:paraId="308F10F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6,360</w:t>
            </w:r>
          </w:p>
        </w:tc>
        <w:tc>
          <w:tcPr>
            <w:tcW w:w="1134" w:type="dxa"/>
            <w:tcBorders>
              <w:top w:val="nil"/>
              <w:left w:val="nil"/>
              <w:bottom w:val="single" w:sz="4" w:space="0" w:color="auto"/>
              <w:right w:val="single" w:sz="4" w:space="0" w:color="auto"/>
            </w:tcBorders>
            <w:noWrap/>
            <w:vAlign w:val="bottom"/>
            <w:hideMark/>
          </w:tcPr>
          <w:p w14:paraId="7B8B573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6,359</w:t>
            </w:r>
          </w:p>
        </w:tc>
        <w:tc>
          <w:tcPr>
            <w:tcW w:w="992" w:type="dxa"/>
            <w:tcBorders>
              <w:top w:val="nil"/>
              <w:left w:val="nil"/>
              <w:bottom w:val="single" w:sz="4" w:space="0" w:color="auto"/>
              <w:right w:val="single" w:sz="4" w:space="0" w:color="auto"/>
            </w:tcBorders>
            <w:noWrap/>
            <w:vAlign w:val="bottom"/>
            <w:hideMark/>
          </w:tcPr>
          <w:p w14:paraId="2B9D66E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6,025</w:t>
            </w:r>
          </w:p>
        </w:tc>
        <w:tc>
          <w:tcPr>
            <w:tcW w:w="840" w:type="dxa"/>
            <w:tcBorders>
              <w:top w:val="nil"/>
              <w:left w:val="nil"/>
              <w:bottom w:val="single" w:sz="4" w:space="0" w:color="auto"/>
              <w:right w:val="single" w:sz="4" w:space="0" w:color="auto"/>
            </w:tcBorders>
            <w:noWrap/>
            <w:vAlign w:val="bottom"/>
            <w:hideMark/>
          </w:tcPr>
          <w:p w14:paraId="5082171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6,027</w:t>
            </w:r>
          </w:p>
        </w:tc>
        <w:tc>
          <w:tcPr>
            <w:tcW w:w="1289" w:type="dxa"/>
            <w:tcBorders>
              <w:top w:val="nil"/>
              <w:left w:val="nil"/>
              <w:bottom w:val="single" w:sz="4" w:space="0" w:color="auto"/>
              <w:right w:val="single" w:sz="4" w:space="0" w:color="auto"/>
            </w:tcBorders>
            <w:noWrap/>
            <w:vAlign w:val="bottom"/>
            <w:hideMark/>
          </w:tcPr>
          <w:p w14:paraId="29BDBA4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6,029</w:t>
            </w:r>
          </w:p>
        </w:tc>
      </w:tr>
      <w:tr w:rsidR="00870648" w:rsidRPr="00A05FC8" w14:paraId="5A6A4222"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6E6A31C1"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7B03A7E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4,223</w:t>
            </w:r>
          </w:p>
        </w:tc>
        <w:tc>
          <w:tcPr>
            <w:tcW w:w="992" w:type="dxa"/>
            <w:tcBorders>
              <w:top w:val="nil"/>
              <w:left w:val="nil"/>
              <w:bottom w:val="single" w:sz="4" w:space="0" w:color="auto"/>
              <w:right w:val="single" w:sz="4" w:space="0" w:color="auto"/>
            </w:tcBorders>
            <w:noWrap/>
            <w:vAlign w:val="bottom"/>
            <w:hideMark/>
          </w:tcPr>
          <w:p w14:paraId="564E482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4,225</w:t>
            </w:r>
          </w:p>
        </w:tc>
        <w:tc>
          <w:tcPr>
            <w:tcW w:w="851" w:type="dxa"/>
            <w:tcBorders>
              <w:top w:val="nil"/>
              <w:left w:val="nil"/>
              <w:bottom w:val="single" w:sz="4" w:space="0" w:color="auto"/>
              <w:right w:val="single" w:sz="4" w:space="0" w:color="auto"/>
            </w:tcBorders>
            <w:noWrap/>
            <w:vAlign w:val="bottom"/>
            <w:hideMark/>
          </w:tcPr>
          <w:p w14:paraId="1433C3C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4,227</w:t>
            </w:r>
          </w:p>
        </w:tc>
        <w:tc>
          <w:tcPr>
            <w:tcW w:w="1134" w:type="dxa"/>
            <w:tcBorders>
              <w:top w:val="nil"/>
              <w:left w:val="nil"/>
              <w:bottom w:val="single" w:sz="4" w:space="0" w:color="auto"/>
              <w:right w:val="single" w:sz="4" w:space="0" w:color="auto"/>
            </w:tcBorders>
            <w:noWrap/>
            <w:vAlign w:val="bottom"/>
            <w:hideMark/>
          </w:tcPr>
          <w:p w14:paraId="20EABCE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5,645</w:t>
            </w:r>
          </w:p>
        </w:tc>
        <w:tc>
          <w:tcPr>
            <w:tcW w:w="850" w:type="dxa"/>
            <w:tcBorders>
              <w:top w:val="nil"/>
              <w:left w:val="nil"/>
              <w:bottom w:val="single" w:sz="4" w:space="0" w:color="auto"/>
              <w:right w:val="single" w:sz="4" w:space="0" w:color="auto"/>
            </w:tcBorders>
            <w:noWrap/>
            <w:vAlign w:val="bottom"/>
            <w:hideMark/>
          </w:tcPr>
          <w:p w14:paraId="685DBD5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5,649</w:t>
            </w:r>
          </w:p>
        </w:tc>
        <w:tc>
          <w:tcPr>
            <w:tcW w:w="993" w:type="dxa"/>
            <w:tcBorders>
              <w:top w:val="nil"/>
              <w:left w:val="nil"/>
              <w:bottom w:val="single" w:sz="4" w:space="0" w:color="auto"/>
              <w:right w:val="single" w:sz="4" w:space="0" w:color="auto"/>
            </w:tcBorders>
            <w:noWrap/>
            <w:vAlign w:val="bottom"/>
            <w:hideMark/>
          </w:tcPr>
          <w:p w14:paraId="6F34864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5,653</w:t>
            </w:r>
          </w:p>
        </w:tc>
        <w:tc>
          <w:tcPr>
            <w:tcW w:w="1134" w:type="dxa"/>
            <w:tcBorders>
              <w:top w:val="nil"/>
              <w:left w:val="nil"/>
              <w:bottom w:val="single" w:sz="4" w:space="0" w:color="auto"/>
              <w:right w:val="single" w:sz="4" w:space="0" w:color="auto"/>
            </w:tcBorders>
            <w:noWrap/>
            <w:vAlign w:val="bottom"/>
            <w:hideMark/>
          </w:tcPr>
          <w:p w14:paraId="4D0FE79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5,693</w:t>
            </w:r>
          </w:p>
        </w:tc>
        <w:tc>
          <w:tcPr>
            <w:tcW w:w="1134" w:type="dxa"/>
            <w:tcBorders>
              <w:top w:val="nil"/>
              <w:left w:val="nil"/>
              <w:bottom w:val="single" w:sz="4" w:space="0" w:color="auto"/>
              <w:right w:val="single" w:sz="4" w:space="0" w:color="auto"/>
            </w:tcBorders>
            <w:noWrap/>
            <w:vAlign w:val="bottom"/>
            <w:hideMark/>
          </w:tcPr>
          <w:p w14:paraId="7634AD0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5,696</w:t>
            </w:r>
          </w:p>
        </w:tc>
        <w:tc>
          <w:tcPr>
            <w:tcW w:w="1134" w:type="dxa"/>
            <w:tcBorders>
              <w:top w:val="nil"/>
              <w:left w:val="nil"/>
              <w:bottom w:val="single" w:sz="4" w:space="0" w:color="auto"/>
              <w:right w:val="single" w:sz="4" w:space="0" w:color="auto"/>
            </w:tcBorders>
            <w:noWrap/>
            <w:vAlign w:val="bottom"/>
            <w:hideMark/>
          </w:tcPr>
          <w:p w14:paraId="5DDEB43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5,699</w:t>
            </w:r>
          </w:p>
        </w:tc>
        <w:tc>
          <w:tcPr>
            <w:tcW w:w="992" w:type="dxa"/>
            <w:tcBorders>
              <w:top w:val="nil"/>
              <w:left w:val="nil"/>
              <w:bottom w:val="single" w:sz="4" w:space="0" w:color="auto"/>
              <w:right w:val="single" w:sz="4" w:space="0" w:color="auto"/>
            </w:tcBorders>
            <w:noWrap/>
            <w:vAlign w:val="bottom"/>
            <w:hideMark/>
          </w:tcPr>
          <w:p w14:paraId="43B497B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5,245</w:t>
            </w:r>
          </w:p>
        </w:tc>
        <w:tc>
          <w:tcPr>
            <w:tcW w:w="840" w:type="dxa"/>
            <w:tcBorders>
              <w:top w:val="nil"/>
              <w:left w:val="nil"/>
              <w:bottom w:val="single" w:sz="4" w:space="0" w:color="auto"/>
              <w:right w:val="single" w:sz="4" w:space="0" w:color="auto"/>
            </w:tcBorders>
            <w:noWrap/>
            <w:vAlign w:val="bottom"/>
            <w:hideMark/>
          </w:tcPr>
          <w:p w14:paraId="022C48D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5,247</w:t>
            </w:r>
          </w:p>
        </w:tc>
        <w:tc>
          <w:tcPr>
            <w:tcW w:w="1289" w:type="dxa"/>
            <w:tcBorders>
              <w:top w:val="nil"/>
              <w:left w:val="nil"/>
              <w:bottom w:val="single" w:sz="4" w:space="0" w:color="auto"/>
              <w:right w:val="single" w:sz="4" w:space="0" w:color="auto"/>
            </w:tcBorders>
            <w:noWrap/>
            <w:vAlign w:val="bottom"/>
            <w:hideMark/>
          </w:tcPr>
          <w:p w14:paraId="77F3AE1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5,249</w:t>
            </w:r>
          </w:p>
        </w:tc>
      </w:tr>
      <w:tr w:rsidR="00870648" w:rsidRPr="00A05FC8" w14:paraId="492B5FC8"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3977EF7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Protein</w:t>
            </w:r>
          </w:p>
        </w:tc>
      </w:tr>
      <w:tr w:rsidR="00870648" w:rsidRPr="00A05FC8" w14:paraId="61AEAAC9" w14:textId="77777777" w:rsidTr="00A05FC8">
        <w:trPr>
          <w:gridAfter w:val="1"/>
          <w:wAfter w:w="12" w:type="dxa"/>
          <w:trHeight w:val="285"/>
        </w:trPr>
        <w:tc>
          <w:tcPr>
            <w:tcW w:w="1276" w:type="dxa"/>
            <w:tcBorders>
              <w:top w:val="nil"/>
              <w:left w:val="single" w:sz="4" w:space="0" w:color="auto"/>
              <w:bottom w:val="single" w:sz="4" w:space="0" w:color="auto"/>
              <w:right w:val="single" w:sz="4" w:space="0" w:color="auto"/>
            </w:tcBorders>
            <w:noWrap/>
            <w:hideMark/>
          </w:tcPr>
          <w:p w14:paraId="20065F8A"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2F8BE97B" w14:textId="24F7C80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588F9BCC" w14:textId="66983931"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2588DDF1" w14:textId="1858CCC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0EB71A41" w14:textId="35482EA5"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7D64EDE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2176EFD4" w14:textId="2407AFB4"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67FB4409" w14:textId="43CC7181"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6ADB650A" w14:textId="2D6E032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7DC02657" w14:textId="398160F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4F8BE598" w14:textId="2F87C46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1C7E63F4" w14:textId="6BB08154"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44F3DA26" w14:textId="37CD3F50"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7B66474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5A04CD27" w14:textId="1DCA5E8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60885A8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053F39D9" w14:textId="6A0636F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104B5AC1" w14:textId="0DA2167C"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659AE3CA" w14:textId="35E55D5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67F6084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0221B1CD" w14:textId="64A7FB6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2ED0A14A"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04DACC66"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58E0145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2,010</w:t>
            </w:r>
          </w:p>
        </w:tc>
        <w:tc>
          <w:tcPr>
            <w:tcW w:w="992" w:type="dxa"/>
            <w:tcBorders>
              <w:top w:val="nil"/>
              <w:left w:val="nil"/>
              <w:bottom w:val="single" w:sz="4" w:space="0" w:color="auto"/>
              <w:right w:val="single" w:sz="4" w:space="0" w:color="auto"/>
            </w:tcBorders>
            <w:noWrap/>
            <w:vAlign w:val="bottom"/>
            <w:hideMark/>
          </w:tcPr>
          <w:p w14:paraId="2778F25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2,013</w:t>
            </w:r>
          </w:p>
        </w:tc>
        <w:tc>
          <w:tcPr>
            <w:tcW w:w="851" w:type="dxa"/>
            <w:tcBorders>
              <w:top w:val="nil"/>
              <w:left w:val="nil"/>
              <w:bottom w:val="single" w:sz="4" w:space="0" w:color="auto"/>
              <w:right w:val="single" w:sz="4" w:space="0" w:color="auto"/>
            </w:tcBorders>
            <w:noWrap/>
            <w:vAlign w:val="bottom"/>
            <w:hideMark/>
          </w:tcPr>
          <w:p w14:paraId="65F50DC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2,016</w:t>
            </w:r>
          </w:p>
        </w:tc>
        <w:tc>
          <w:tcPr>
            <w:tcW w:w="1134" w:type="dxa"/>
            <w:tcBorders>
              <w:top w:val="nil"/>
              <w:left w:val="nil"/>
              <w:bottom w:val="single" w:sz="4" w:space="0" w:color="auto"/>
              <w:right w:val="single" w:sz="4" w:space="0" w:color="auto"/>
            </w:tcBorders>
            <w:noWrap/>
            <w:vAlign w:val="bottom"/>
            <w:hideMark/>
          </w:tcPr>
          <w:p w14:paraId="051E6AE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2,100</w:t>
            </w:r>
          </w:p>
        </w:tc>
        <w:tc>
          <w:tcPr>
            <w:tcW w:w="850" w:type="dxa"/>
            <w:tcBorders>
              <w:top w:val="nil"/>
              <w:left w:val="nil"/>
              <w:bottom w:val="single" w:sz="4" w:space="0" w:color="auto"/>
              <w:right w:val="single" w:sz="4" w:space="0" w:color="auto"/>
            </w:tcBorders>
            <w:noWrap/>
            <w:vAlign w:val="bottom"/>
            <w:hideMark/>
          </w:tcPr>
          <w:p w14:paraId="7AF7F11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2,110</w:t>
            </w:r>
          </w:p>
        </w:tc>
        <w:tc>
          <w:tcPr>
            <w:tcW w:w="993" w:type="dxa"/>
            <w:tcBorders>
              <w:top w:val="nil"/>
              <w:left w:val="nil"/>
              <w:bottom w:val="single" w:sz="4" w:space="0" w:color="auto"/>
              <w:right w:val="single" w:sz="4" w:space="0" w:color="auto"/>
            </w:tcBorders>
            <w:noWrap/>
            <w:vAlign w:val="bottom"/>
            <w:hideMark/>
          </w:tcPr>
          <w:p w14:paraId="14E7E82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2,120</w:t>
            </w:r>
          </w:p>
        </w:tc>
        <w:tc>
          <w:tcPr>
            <w:tcW w:w="1134" w:type="dxa"/>
            <w:tcBorders>
              <w:top w:val="nil"/>
              <w:left w:val="nil"/>
              <w:bottom w:val="single" w:sz="4" w:space="0" w:color="auto"/>
              <w:right w:val="single" w:sz="4" w:space="0" w:color="auto"/>
            </w:tcBorders>
            <w:noWrap/>
            <w:vAlign w:val="bottom"/>
            <w:hideMark/>
          </w:tcPr>
          <w:p w14:paraId="1FC1E50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2,206</w:t>
            </w:r>
          </w:p>
        </w:tc>
        <w:tc>
          <w:tcPr>
            <w:tcW w:w="1134" w:type="dxa"/>
            <w:tcBorders>
              <w:top w:val="nil"/>
              <w:left w:val="nil"/>
              <w:bottom w:val="single" w:sz="4" w:space="0" w:color="auto"/>
              <w:right w:val="single" w:sz="4" w:space="0" w:color="auto"/>
            </w:tcBorders>
            <w:noWrap/>
            <w:vAlign w:val="bottom"/>
            <w:hideMark/>
          </w:tcPr>
          <w:p w14:paraId="6C7C149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2,207</w:t>
            </w:r>
          </w:p>
        </w:tc>
        <w:tc>
          <w:tcPr>
            <w:tcW w:w="1134" w:type="dxa"/>
            <w:tcBorders>
              <w:top w:val="nil"/>
              <w:left w:val="nil"/>
              <w:bottom w:val="single" w:sz="4" w:space="0" w:color="auto"/>
              <w:right w:val="single" w:sz="4" w:space="0" w:color="auto"/>
            </w:tcBorders>
            <w:noWrap/>
            <w:vAlign w:val="bottom"/>
            <w:hideMark/>
          </w:tcPr>
          <w:p w14:paraId="6F2F810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2,208</w:t>
            </w:r>
          </w:p>
        </w:tc>
        <w:tc>
          <w:tcPr>
            <w:tcW w:w="992" w:type="dxa"/>
            <w:tcBorders>
              <w:top w:val="nil"/>
              <w:left w:val="nil"/>
              <w:bottom w:val="single" w:sz="4" w:space="0" w:color="auto"/>
              <w:right w:val="single" w:sz="4" w:space="0" w:color="auto"/>
            </w:tcBorders>
            <w:noWrap/>
            <w:vAlign w:val="bottom"/>
            <w:hideMark/>
          </w:tcPr>
          <w:p w14:paraId="0C76F4F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2,304</w:t>
            </w:r>
          </w:p>
        </w:tc>
        <w:tc>
          <w:tcPr>
            <w:tcW w:w="840" w:type="dxa"/>
            <w:tcBorders>
              <w:top w:val="nil"/>
              <w:left w:val="nil"/>
              <w:bottom w:val="single" w:sz="4" w:space="0" w:color="auto"/>
              <w:right w:val="single" w:sz="4" w:space="0" w:color="auto"/>
            </w:tcBorders>
            <w:noWrap/>
            <w:vAlign w:val="bottom"/>
            <w:hideMark/>
          </w:tcPr>
          <w:p w14:paraId="4A9F88F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2,304</w:t>
            </w:r>
          </w:p>
        </w:tc>
        <w:tc>
          <w:tcPr>
            <w:tcW w:w="1289" w:type="dxa"/>
            <w:tcBorders>
              <w:top w:val="nil"/>
              <w:left w:val="nil"/>
              <w:bottom w:val="single" w:sz="4" w:space="0" w:color="auto"/>
              <w:right w:val="single" w:sz="4" w:space="0" w:color="auto"/>
            </w:tcBorders>
            <w:noWrap/>
            <w:vAlign w:val="bottom"/>
            <w:hideMark/>
          </w:tcPr>
          <w:p w14:paraId="6555FCD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2,304</w:t>
            </w:r>
          </w:p>
        </w:tc>
      </w:tr>
      <w:tr w:rsidR="00870648" w:rsidRPr="00A05FC8" w14:paraId="4EEF9BAC"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4C852AD"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6418729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2,098</w:t>
            </w:r>
          </w:p>
        </w:tc>
        <w:tc>
          <w:tcPr>
            <w:tcW w:w="992" w:type="dxa"/>
            <w:tcBorders>
              <w:top w:val="nil"/>
              <w:left w:val="nil"/>
              <w:bottom w:val="single" w:sz="4" w:space="0" w:color="auto"/>
              <w:right w:val="single" w:sz="4" w:space="0" w:color="auto"/>
            </w:tcBorders>
            <w:noWrap/>
            <w:vAlign w:val="bottom"/>
            <w:hideMark/>
          </w:tcPr>
          <w:p w14:paraId="18EFF59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2,099</w:t>
            </w:r>
          </w:p>
        </w:tc>
        <w:tc>
          <w:tcPr>
            <w:tcW w:w="851" w:type="dxa"/>
            <w:tcBorders>
              <w:top w:val="nil"/>
              <w:left w:val="nil"/>
              <w:bottom w:val="single" w:sz="4" w:space="0" w:color="auto"/>
              <w:right w:val="single" w:sz="4" w:space="0" w:color="auto"/>
            </w:tcBorders>
            <w:noWrap/>
            <w:vAlign w:val="bottom"/>
            <w:hideMark/>
          </w:tcPr>
          <w:p w14:paraId="48ADCF0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2,101</w:t>
            </w:r>
          </w:p>
        </w:tc>
        <w:tc>
          <w:tcPr>
            <w:tcW w:w="1134" w:type="dxa"/>
            <w:tcBorders>
              <w:top w:val="nil"/>
              <w:left w:val="nil"/>
              <w:bottom w:val="single" w:sz="4" w:space="0" w:color="auto"/>
              <w:right w:val="single" w:sz="4" w:space="0" w:color="auto"/>
            </w:tcBorders>
            <w:noWrap/>
            <w:vAlign w:val="bottom"/>
            <w:hideMark/>
          </w:tcPr>
          <w:p w14:paraId="4EEB9D8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2,260</w:t>
            </w:r>
          </w:p>
        </w:tc>
        <w:tc>
          <w:tcPr>
            <w:tcW w:w="850" w:type="dxa"/>
            <w:tcBorders>
              <w:top w:val="nil"/>
              <w:left w:val="nil"/>
              <w:bottom w:val="single" w:sz="4" w:space="0" w:color="auto"/>
              <w:right w:val="single" w:sz="4" w:space="0" w:color="auto"/>
            </w:tcBorders>
            <w:noWrap/>
            <w:vAlign w:val="bottom"/>
            <w:hideMark/>
          </w:tcPr>
          <w:p w14:paraId="40070C0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2,261</w:t>
            </w:r>
          </w:p>
        </w:tc>
        <w:tc>
          <w:tcPr>
            <w:tcW w:w="993" w:type="dxa"/>
            <w:tcBorders>
              <w:top w:val="nil"/>
              <w:left w:val="nil"/>
              <w:bottom w:val="single" w:sz="4" w:space="0" w:color="auto"/>
              <w:right w:val="single" w:sz="4" w:space="0" w:color="auto"/>
            </w:tcBorders>
            <w:noWrap/>
            <w:vAlign w:val="bottom"/>
            <w:hideMark/>
          </w:tcPr>
          <w:p w14:paraId="6966178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2,262</w:t>
            </w:r>
          </w:p>
        </w:tc>
        <w:tc>
          <w:tcPr>
            <w:tcW w:w="1134" w:type="dxa"/>
            <w:tcBorders>
              <w:top w:val="nil"/>
              <w:left w:val="nil"/>
              <w:bottom w:val="single" w:sz="4" w:space="0" w:color="auto"/>
              <w:right w:val="single" w:sz="4" w:space="0" w:color="auto"/>
            </w:tcBorders>
            <w:noWrap/>
            <w:vAlign w:val="bottom"/>
            <w:hideMark/>
          </w:tcPr>
          <w:p w14:paraId="0CA26B5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2,421</w:t>
            </w:r>
          </w:p>
        </w:tc>
        <w:tc>
          <w:tcPr>
            <w:tcW w:w="1134" w:type="dxa"/>
            <w:tcBorders>
              <w:top w:val="nil"/>
              <w:left w:val="nil"/>
              <w:bottom w:val="single" w:sz="4" w:space="0" w:color="auto"/>
              <w:right w:val="single" w:sz="4" w:space="0" w:color="auto"/>
            </w:tcBorders>
            <w:noWrap/>
            <w:vAlign w:val="bottom"/>
            <w:hideMark/>
          </w:tcPr>
          <w:p w14:paraId="4DFCD0C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2,423</w:t>
            </w:r>
          </w:p>
        </w:tc>
        <w:tc>
          <w:tcPr>
            <w:tcW w:w="1134" w:type="dxa"/>
            <w:tcBorders>
              <w:top w:val="nil"/>
              <w:left w:val="nil"/>
              <w:bottom w:val="single" w:sz="4" w:space="0" w:color="auto"/>
              <w:right w:val="single" w:sz="4" w:space="0" w:color="auto"/>
            </w:tcBorders>
            <w:noWrap/>
            <w:vAlign w:val="bottom"/>
            <w:hideMark/>
          </w:tcPr>
          <w:p w14:paraId="76E1686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2,425</w:t>
            </w:r>
          </w:p>
        </w:tc>
        <w:tc>
          <w:tcPr>
            <w:tcW w:w="992" w:type="dxa"/>
            <w:tcBorders>
              <w:top w:val="nil"/>
              <w:left w:val="nil"/>
              <w:bottom w:val="single" w:sz="4" w:space="0" w:color="auto"/>
              <w:right w:val="single" w:sz="4" w:space="0" w:color="auto"/>
            </w:tcBorders>
            <w:noWrap/>
            <w:vAlign w:val="bottom"/>
            <w:hideMark/>
          </w:tcPr>
          <w:p w14:paraId="406E638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2,587</w:t>
            </w:r>
          </w:p>
        </w:tc>
        <w:tc>
          <w:tcPr>
            <w:tcW w:w="840" w:type="dxa"/>
            <w:tcBorders>
              <w:top w:val="nil"/>
              <w:left w:val="nil"/>
              <w:bottom w:val="single" w:sz="4" w:space="0" w:color="auto"/>
              <w:right w:val="single" w:sz="4" w:space="0" w:color="auto"/>
            </w:tcBorders>
            <w:noWrap/>
            <w:vAlign w:val="bottom"/>
            <w:hideMark/>
          </w:tcPr>
          <w:p w14:paraId="65EBEE8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2,585</w:t>
            </w:r>
          </w:p>
        </w:tc>
        <w:tc>
          <w:tcPr>
            <w:tcW w:w="1289" w:type="dxa"/>
            <w:tcBorders>
              <w:top w:val="nil"/>
              <w:left w:val="nil"/>
              <w:bottom w:val="single" w:sz="4" w:space="0" w:color="auto"/>
              <w:right w:val="single" w:sz="4" w:space="0" w:color="auto"/>
            </w:tcBorders>
            <w:noWrap/>
            <w:vAlign w:val="bottom"/>
            <w:hideMark/>
          </w:tcPr>
          <w:p w14:paraId="272B9B4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2,583</w:t>
            </w:r>
          </w:p>
        </w:tc>
      </w:tr>
      <w:tr w:rsidR="00870648" w:rsidRPr="00A05FC8" w14:paraId="1FD75F70"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593402E1"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3B5F531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2,240</w:t>
            </w:r>
          </w:p>
        </w:tc>
        <w:tc>
          <w:tcPr>
            <w:tcW w:w="992" w:type="dxa"/>
            <w:tcBorders>
              <w:top w:val="nil"/>
              <w:left w:val="nil"/>
              <w:bottom w:val="single" w:sz="4" w:space="0" w:color="auto"/>
              <w:right w:val="single" w:sz="4" w:space="0" w:color="auto"/>
            </w:tcBorders>
            <w:noWrap/>
            <w:vAlign w:val="bottom"/>
            <w:hideMark/>
          </w:tcPr>
          <w:p w14:paraId="5302B18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2,242</w:t>
            </w:r>
          </w:p>
        </w:tc>
        <w:tc>
          <w:tcPr>
            <w:tcW w:w="851" w:type="dxa"/>
            <w:tcBorders>
              <w:top w:val="nil"/>
              <w:left w:val="nil"/>
              <w:bottom w:val="single" w:sz="4" w:space="0" w:color="auto"/>
              <w:right w:val="single" w:sz="4" w:space="0" w:color="auto"/>
            </w:tcBorders>
            <w:noWrap/>
            <w:vAlign w:val="bottom"/>
            <w:hideMark/>
          </w:tcPr>
          <w:p w14:paraId="2960852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2,244</w:t>
            </w:r>
          </w:p>
        </w:tc>
        <w:tc>
          <w:tcPr>
            <w:tcW w:w="1134" w:type="dxa"/>
            <w:tcBorders>
              <w:top w:val="nil"/>
              <w:left w:val="nil"/>
              <w:bottom w:val="single" w:sz="4" w:space="0" w:color="auto"/>
              <w:right w:val="single" w:sz="4" w:space="0" w:color="auto"/>
            </w:tcBorders>
            <w:noWrap/>
            <w:vAlign w:val="bottom"/>
            <w:hideMark/>
          </w:tcPr>
          <w:p w14:paraId="76E0A9C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2,524</w:t>
            </w:r>
          </w:p>
        </w:tc>
        <w:tc>
          <w:tcPr>
            <w:tcW w:w="850" w:type="dxa"/>
            <w:tcBorders>
              <w:top w:val="nil"/>
              <w:left w:val="nil"/>
              <w:bottom w:val="single" w:sz="4" w:space="0" w:color="auto"/>
              <w:right w:val="single" w:sz="4" w:space="0" w:color="auto"/>
            </w:tcBorders>
            <w:noWrap/>
            <w:vAlign w:val="bottom"/>
            <w:hideMark/>
          </w:tcPr>
          <w:p w14:paraId="23DDAF6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2,526</w:t>
            </w:r>
          </w:p>
        </w:tc>
        <w:tc>
          <w:tcPr>
            <w:tcW w:w="993" w:type="dxa"/>
            <w:tcBorders>
              <w:top w:val="nil"/>
              <w:left w:val="nil"/>
              <w:bottom w:val="single" w:sz="4" w:space="0" w:color="auto"/>
              <w:right w:val="single" w:sz="4" w:space="0" w:color="auto"/>
            </w:tcBorders>
            <w:noWrap/>
            <w:vAlign w:val="bottom"/>
            <w:hideMark/>
          </w:tcPr>
          <w:p w14:paraId="0A9FBFB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2,528</w:t>
            </w:r>
          </w:p>
        </w:tc>
        <w:tc>
          <w:tcPr>
            <w:tcW w:w="1134" w:type="dxa"/>
            <w:tcBorders>
              <w:top w:val="nil"/>
              <w:left w:val="nil"/>
              <w:bottom w:val="single" w:sz="4" w:space="0" w:color="auto"/>
              <w:right w:val="single" w:sz="4" w:space="0" w:color="auto"/>
            </w:tcBorders>
            <w:noWrap/>
            <w:vAlign w:val="bottom"/>
            <w:hideMark/>
          </w:tcPr>
          <w:p w14:paraId="2D8B990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2,815</w:t>
            </w:r>
          </w:p>
        </w:tc>
        <w:tc>
          <w:tcPr>
            <w:tcW w:w="1134" w:type="dxa"/>
            <w:tcBorders>
              <w:top w:val="nil"/>
              <w:left w:val="nil"/>
              <w:bottom w:val="single" w:sz="4" w:space="0" w:color="auto"/>
              <w:right w:val="single" w:sz="4" w:space="0" w:color="auto"/>
            </w:tcBorders>
            <w:noWrap/>
            <w:vAlign w:val="bottom"/>
            <w:hideMark/>
          </w:tcPr>
          <w:p w14:paraId="5F7A02B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2,810</w:t>
            </w:r>
          </w:p>
        </w:tc>
        <w:tc>
          <w:tcPr>
            <w:tcW w:w="1134" w:type="dxa"/>
            <w:tcBorders>
              <w:top w:val="nil"/>
              <w:left w:val="nil"/>
              <w:bottom w:val="single" w:sz="4" w:space="0" w:color="auto"/>
              <w:right w:val="single" w:sz="4" w:space="0" w:color="auto"/>
            </w:tcBorders>
            <w:noWrap/>
            <w:vAlign w:val="bottom"/>
            <w:hideMark/>
          </w:tcPr>
          <w:p w14:paraId="66C8407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2,811</w:t>
            </w:r>
          </w:p>
        </w:tc>
        <w:tc>
          <w:tcPr>
            <w:tcW w:w="992" w:type="dxa"/>
            <w:tcBorders>
              <w:top w:val="nil"/>
              <w:left w:val="nil"/>
              <w:bottom w:val="single" w:sz="4" w:space="0" w:color="auto"/>
              <w:right w:val="single" w:sz="4" w:space="0" w:color="auto"/>
            </w:tcBorders>
            <w:noWrap/>
            <w:vAlign w:val="bottom"/>
            <w:hideMark/>
          </w:tcPr>
          <w:p w14:paraId="2B5ED2D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3,091</w:t>
            </w:r>
          </w:p>
        </w:tc>
        <w:tc>
          <w:tcPr>
            <w:tcW w:w="840" w:type="dxa"/>
            <w:tcBorders>
              <w:top w:val="nil"/>
              <w:left w:val="nil"/>
              <w:bottom w:val="single" w:sz="4" w:space="0" w:color="auto"/>
              <w:right w:val="single" w:sz="4" w:space="0" w:color="auto"/>
            </w:tcBorders>
            <w:noWrap/>
            <w:vAlign w:val="bottom"/>
            <w:hideMark/>
          </w:tcPr>
          <w:p w14:paraId="6FCBCE0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3,095</w:t>
            </w:r>
          </w:p>
        </w:tc>
        <w:tc>
          <w:tcPr>
            <w:tcW w:w="1289" w:type="dxa"/>
            <w:tcBorders>
              <w:top w:val="nil"/>
              <w:left w:val="nil"/>
              <w:bottom w:val="single" w:sz="4" w:space="0" w:color="auto"/>
              <w:right w:val="single" w:sz="4" w:space="0" w:color="auto"/>
            </w:tcBorders>
            <w:noWrap/>
            <w:vAlign w:val="bottom"/>
            <w:hideMark/>
          </w:tcPr>
          <w:p w14:paraId="78ACFF9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3,095</w:t>
            </w:r>
          </w:p>
        </w:tc>
      </w:tr>
      <w:tr w:rsidR="00870648" w:rsidRPr="00A05FC8" w14:paraId="39CD8B2B"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24751C16"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3BC34E0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2,191</w:t>
            </w:r>
          </w:p>
        </w:tc>
        <w:tc>
          <w:tcPr>
            <w:tcW w:w="992" w:type="dxa"/>
            <w:tcBorders>
              <w:top w:val="nil"/>
              <w:left w:val="nil"/>
              <w:bottom w:val="single" w:sz="4" w:space="0" w:color="auto"/>
              <w:right w:val="single" w:sz="4" w:space="0" w:color="auto"/>
            </w:tcBorders>
            <w:noWrap/>
            <w:vAlign w:val="bottom"/>
            <w:hideMark/>
          </w:tcPr>
          <w:p w14:paraId="4E9490A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2,190</w:t>
            </w:r>
          </w:p>
        </w:tc>
        <w:tc>
          <w:tcPr>
            <w:tcW w:w="851" w:type="dxa"/>
            <w:tcBorders>
              <w:top w:val="nil"/>
              <w:left w:val="nil"/>
              <w:bottom w:val="single" w:sz="4" w:space="0" w:color="auto"/>
              <w:right w:val="single" w:sz="4" w:space="0" w:color="auto"/>
            </w:tcBorders>
            <w:noWrap/>
            <w:vAlign w:val="bottom"/>
            <w:hideMark/>
          </w:tcPr>
          <w:p w14:paraId="347DF5B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2,191</w:t>
            </w:r>
          </w:p>
        </w:tc>
        <w:tc>
          <w:tcPr>
            <w:tcW w:w="1134" w:type="dxa"/>
            <w:tcBorders>
              <w:top w:val="nil"/>
              <w:left w:val="nil"/>
              <w:bottom w:val="single" w:sz="4" w:space="0" w:color="auto"/>
              <w:right w:val="single" w:sz="4" w:space="0" w:color="auto"/>
            </w:tcBorders>
            <w:noWrap/>
            <w:vAlign w:val="bottom"/>
            <w:hideMark/>
          </w:tcPr>
          <w:p w14:paraId="5F47426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2,285</w:t>
            </w:r>
          </w:p>
        </w:tc>
        <w:tc>
          <w:tcPr>
            <w:tcW w:w="850" w:type="dxa"/>
            <w:tcBorders>
              <w:top w:val="nil"/>
              <w:left w:val="nil"/>
              <w:bottom w:val="single" w:sz="4" w:space="0" w:color="auto"/>
              <w:right w:val="single" w:sz="4" w:space="0" w:color="auto"/>
            </w:tcBorders>
            <w:noWrap/>
            <w:vAlign w:val="bottom"/>
            <w:hideMark/>
          </w:tcPr>
          <w:p w14:paraId="4BCBE8C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2,290</w:t>
            </w:r>
          </w:p>
        </w:tc>
        <w:tc>
          <w:tcPr>
            <w:tcW w:w="993" w:type="dxa"/>
            <w:tcBorders>
              <w:top w:val="nil"/>
              <w:left w:val="nil"/>
              <w:bottom w:val="single" w:sz="4" w:space="0" w:color="auto"/>
              <w:right w:val="single" w:sz="4" w:space="0" w:color="auto"/>
            </w:tcBorders>
            <w:noWrap/>
            <w:vAlign w:val="bottom"/>
            <w:hideMark/>
          </w:tcPr>
          <w:p w14:paraId="68ADCEF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2,295</w:t>
            </w:r>
          </w:p>
        </w:tc>
        <w:tc>
          <w:tcPr>
            <w:tcW w:w="1134" w:type="dxa"/>
            <w:tcBorders>
              <w:top w:val="nil"/>
              <w:left w:val="nil"/>
              <w:bottom w:val="single" w:sz="4" w:space="0" w:color="auto"/>
              <w:right w:val="single" w:sz="4" w:space="0" w:color="auto"/>
            </w:tcBorders>
            <w:noWrap/>
            <w:vAlign w:val="bottom"/>
            <w:hideMark/>
          </w:tcPr>
          <w:p w14:paraId="6EE9CE2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2,388</w:t>
            </w:r>
          </w:p>
        </w:tc>
        <w:tc>
          <w:tcPr>
            <w:tcW w:w="1134" w:type="dxa"/>
            <w:tcBorders>
              <w:top w:val="nil"/>
              <w:left w:val="nil"/>
              <w:bottom w:val="single" w:sz="4" w:space="0" w:color="auto"/>
              <w:right w:val="single" w:sz="4" w:space="0" w:color="auto"/>
            </w:tcBorders>
            <w:noWrap/>
            <w:vAlign w:val="bottom"/>
            <w:hideMark/>
          </w:tcPr>
          <w:p w14:paraId="1A972BC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2,390</w:t>
            </w:r>
          </w:p>
        </w:tc>
        <w:tc>
          <w:tcPr>
            <w:tcW w:w="1134" w:type="dxa"/>
            <w:tcBorders>
              <w:top w:val="nil"/>
              <w:left w:val="nil"/>
              <w:bottom w:val="single" w:sz="4" w:space="0" w:color="auto"/>
              <w:right w:val="single" w:sz="4" w:space="0" w:color="auto"/>
            </w:tcBorders>
            <w:noWrap/>
            <w:vAlign w:val="bottom"/>
            <w:hideMark/>
          </w:tcPr>
          <w:p w14:paraId="34782BC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2,392</w:t>
            </w:r>
          </w:p>
        </w:tc>
        <w:tc>
          <w:tcPr>
            <w:tcW w:w="992" w:type="dxa"/>
            <w:tcBorders>
              <w:top w:val="nil"/>
              <w:left w:val="nil"/>
              <w:bottom w:val="single" w:sz="4" w:space="0" w:color="auto"/>
              <w:right w:val="single" w:sz="4" w:space="0" w:color="auto"/>
            </w:tcBorders>
            <w:noWrap/>
            <w:vAlign w:val="bottom"/>
            <w:hideMark/>
          </w:tcPr>
          <w:p w14:paraId="0133E54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2,485</w:t>
            </w:r>
          </w:p>
        </w:tc>
        <w:tc>
          <w:tcPr>
            <w:tcW w:w="840" w:type="dxa"/>
            <w:tcBorders>
              <w:top w:val="nil"/>
              <w:left w:val="nil"/>
              <w:bottom w:val="single" w:sz="4" w:space="0" w:color="auto"/>
              <w:right w:val="single" w:sz="4" w:space="0" w:color="auto"/>
            </w:tcBorders>
            <w:noWrap/>
            <w:vAlign w:val="bottom"/>
            <w:hideMark/>
          </w:tcPr>
          <w:p w14:paraId="3EF0B8C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2,489</w:t>
            </w:r>
          </w:p>
        </w:tc>
        <w:tc>
          <w:tcPr>
            <w:tcW w:w="1289" w:type="dxa"/>
            <w:tcBorders>
              <w:top w:val="nil"/>
              <w:left w:val="nil"/>
              <w:bottom w:val="single" w:sz="4" w:space="0" w:color="auto"/>
              <w:right w:val="single" w:sz="4" w:space="0" w:color="auto"/>
            </w:tcBorders>
            <w:noWrap/>
            <w:vAlign w:val="bottom"/>
            <w:hideMark/>
          </w:tcPr>
          <w:p w14:paraId="33ED832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2,493</w:t>
            </w:r>
          </w:p>
        </w:tc>
      </w:tr>
      <w:tr w:rsidR="00870648" w:rsidRPr="00A05FC8" w14:paraId="264696E7"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1D60D13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Plant Height</w:t>
            </w:r>
          </w:p>
        </w:tc>
      </w:tr>
      <w:tr w:rsidR="00870648" w:rsidRPr="00A05FC8" w14:paraId="2758C9C2"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hideMark/>
          </w:tcPr>
          <w:p w14:paraId="7D17DBAE"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17539228" w14:textId="73A304B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4405A543" w14:textId="78D7038F"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7C1ACA64" w14:textId="27A1C406"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2AD35192" w14:textId="3C9D2B0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371833C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07ED0F9B" w14:textId="36863F2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37870092" w14:textId="55E9C9CD"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2C7C5E50" w14:textId="512DB70E"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3A3AF4F6" w14:textId="308C4C1D"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02D4494D" w14:textId="5F6F7F92"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1EE3D058" w14:textId="439A32F7"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250CD0D6" w14:textId="24BC7DC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1D09704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77B46E9E" w14:textId="0E25C8E3"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237D088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6004A22D" w14:textId="0EBCD3E6"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6513B220" w14:textId="152B48AB"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2CCE7F13" w14:textId="3FA55D40"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39AFE83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08EDD6DE" w14:textId="2C6B663C"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2550DA74"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440D96B"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16E18B5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10,100</w:t>
            </w:r>
          </w:p>
        </w:tc>
        <w:tc>
          <w:tcPr>
            <w:tcW w:w="992" w:type="dxa"/>
            <w:tcBorders>
              <w:top w:val="nil"/>
              <w:left w:val="nil"/>
              <w:bottom w:val="single" w:sz="4" w:space="0" w:color="auto"/>
              <w:right w:val="single" w:sz="4" w:space="0" w:color="auto"/>
            </w:tcBorders>
            <w:noWrap/>
            <w:vAlign w:val="bottom"/>
            <w:hideMark/>
          </w:tcPr>
          <w:p w14:paraId="65ABDF5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10,000</w:t>
            </w:r>
          </w:p>
        </w:tc>
        <w:tc>
          <w:tcPr>
            <w:tcW w:w="851" w:type="dxa"/>
            <w:tcBorders>
              <w:top w:val="nil"/>
              <w:left w:val="nil"/>
              <w:bottom w:val="single" w:sz="4" w:space="0" w:color="auto"/>
              <w:right w:val="single" w:sz="4" w:space="0" w:color="auto"/>
            </w:tcBorders>
            <w:noWrap/>
            <w:vAlign w:val="bottom"/>
            <w:hideMark/>
          </w:tcPr>
          <w:p w14:paraId="0DA4498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9,990</w:t>
            </w:r>
          </w:p>
        </w:tc>
        <w:tc>
          <w:tcPr>
            <w:tcW w:w="1134" w:type="dxa"/>
            <w:tcBorders>
              <w:top w:val="nil"/>
              <w:left w:val="nil"/>
              <w:bottom w:val="single" w:sz="4" w:space="0" w:color="auto"/>
              <w:right w:val="single" w:sz="4" w:space="0" w:color="auto"/>
            </w:tcBorders>
            <w:noWrap/>
            <w:vAlign w:val="bottom"/>
            <w:hideMark/>
          </w:tcPr>
          <w:p w14:paraId="72A48A1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10,310</w:t>
            </w:r>
          </w:p>
        </w:tc>
        <w:tc>
          <w:tcPr>
            <w:tcW w:w="850" w:type="dxa"/>
            <w:tcBorders>
              <w:top w:val="nil"/>
              <w:left w:val="nil"/>
              <w:bottom w:val="single" w:sz="4" w:space="0" w:color="auto"/>
              <w:right w:val="single" w:sz="4" w:space="0" w:color="auto"/>
            </w:tcBorders>
            <w:noWrap/>
            <w:vAlign w:val="bottom"/>
            <w:hideMark/>
          </w:tcPr>
          <w:p w14:paraId="2D5379D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10,300</w:t>
            </w:r>
          </w:p>
        </w:tc>
        <w:tc>
          <w:tcPr>
            <w:tcW w:w="993" w:type="dxa"/>
            <w:tcBorders>
              <w:top w:val="nil"/>
              <w:left w:val="nil"/>
              <w:bottom w:val="single" w:sz="4" w:space="0" w:color="auto"/>
              <w:right w:val="single" w:sz="4" w:space="0" w:color="auto"/>
            </w:tcBorders>
            <w:noWrap/>
            <w:vAlign w:val="bottom"/>
            <w:hideMark/>
          </w:tcPr>
          <w:p w14:paraId="7675F7F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10,299</w:t>
            </w:r>
          </w:p>
        </w:tc>
        <w:tc>
          <w:tcPr>
            <w:tcW w:w="1134" w:type="dxa"/>
            <w:tcBorders>
              <w:top w:val="nil"/>
              <w:left w:val="nil"/>
              <w:bottom w:val="single" w:sz="4" w:space="0" w:color="auto"/>
              <w:right w:val="single" w:sz="4" w:space="0" w:color="auto"/>
            </w:tcBorders>
            <w:noWrap/>
            <w:vAlign w:val="bottom"/>
            <w:hideMark/>
          </w:tcPr>
          <w:p w14:paraId="26B65D7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23,070</w:t>
            </w:r>
          </w:p>
        </w:tc>
        <w:tc>
          <w:tcPr>
            <w:tcW w:w="1134" w:type="dxa"/>
            <w:tcBorders>
              <w:top w:val="nil"/>
              <w:left w:val="nil"/>
              <w:bottom w:val="single" w:sz="4" w:space="0" w:color="auto"/>
              <w:right w:val="single" w:sz="4" w:space="0" w:color="auto"/>
            </w:tcBorders>
            <w:noWrap/>
            <w:vAlign w:val="bottom"/>
            <w:hideMark/>
          </w:tcPr>
          <w:p w14:paraId="3D2BF0E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23,000</w:t>
            </w:r>
          </w:p>
        </w:tc>
        <w:tc>
          <w:tcPr>
            <w:tcW w:w="1134" w:type="dxa"/>
            <w:tcBorders>
              <w:top w:val="nil"/>
              <w:left w:val="nil"/>
              <w:bottom w:val="single" w:sz="4" w:space="0" w:color="auto"/>
              <w:right w:val="single" w:sz="4" w:space="0" w:color="auto"/>
            </w:tcBorders>
            <w:noWrap/>
            <w:vAlign w:val="bottom"/>
            <w:hideMark/>
          </w:tcPr>
          <w:p w14:paraId="59C5858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23,020</w:t>
            </w:r>
          </w:p>
        </w:tc>
        <w:tc>
          <w:tcPr>
            <w:tcW w:w="992" w:type="dxa"/>
            <w:tcBorders>
              <w:top w:val="nil"/>
              <w:left w:val="nil"/>
              <w:bottom w:val="single" w:sz="4" w:space="0" w:color="auto"/>
              <w:right w:val="single" w:sz="4" w:space="0" w:color="auto"/>
            </w:tcBorders>
            <w:noWrap/>
            <w:vAlign w:val="bottom"/>
            <w:hideMark/>
          </w:tcPr>
          <w:p w14:paraId="099FEA4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29,410</w:t>
            </w:r>
          </w:p>
        </w:tc>
        <w:tc>
          <w:tcPr>
            <w:tcW w:w="840" w:type="dxa"/>
            <w:tcBorders>
              <w:top w:val="nil"/>
              <w:left w:val="nil"/>
              <w:bottom w:val="single" w:sz="4" w:space="0" w:color="auto"/>
              <w:right w:val="single" w:sz="4" w:space="0" w:color="auto"/>
            </w:tcBorders>
            <w:noWrap/>
            <w:vAlign w:val="bottom"/>
            <w:hideMark/>
          </w:tcPr>
          <w:p w14:paraId="56EA762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29,400</w:t>
            </w:r>
          </w:p>
        </w:tc>
        <w:tc>
          <w:tcPr>
            <w:tcW w:w="1289" w:type="dxa"/>
            <w:tcBorders>
              <w:top w:val="nil"/>
              <w:left w:val="nil"/>
              <w:bottom w:val="single" w:sz="4" w:space="0" w:color="auto"/>
              <w:right w:val="single" w:sz="4" w:space="0" w:color="auto"/>
            </w:tcBorders>
            <w:noWrap/>
            <w:vAlign w:val="bottom"/>
            <w:hideMark/>
          </w:tcPr>
          <w:p w14:paraId="7BC3E5B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29,399</w:t>
            </w:r>
          </w:p>
        </w:tc>
      </w:tr>
      <w:tr w:rsidR="00870648" w:rsidRPr="00A05FC8" w14:paraId="6E2F0D04"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29D94B84"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1032C35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11,600</w:t>
            </w:r>
          </w:p>
        </w:tc>
        <w:tc>
          <w:tcPr>
            <w:tcW w:w="992" w:type="dxa"/>
            <w:tcBorders>
              <w:top w:val="nil"/>
              <w:left w:val="nil"/>
              <w:bottom w:val="single" w:sz="4" w:space="0" w:color="auto"/>
              <w:right w:val="single" w:sz="4" w:space="0" w:color="auto"/>
            </w:tcBorders>
            <w:noWrap/>
            <w:vAlign w:val="bottom"/>
            <w:hideMark/>
          </w:tcPr>
          <w:p w14:paraId="067CF03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11,700</w:t>
            </w:r>
          </w:p>
        </w:tc>
        <w:tc>
          <w:tcPr>
            <w:tcW w:w="851" w:type="dxa"/>
            <w:tcBorders>
              <w:top w:val="nil"/>
              <w:left w:val="nil"/>
              <w:bottom w:val="single" w:sz="4" w:space="0" w:color="auto"/>
              <w:right w:val="single" w:sz="4" w:space="0" w:color="auto"/>
            </w:tcBorders>
            <w:noWrap/>
            <w:vAlign w:val="bottom"/>
            <w:hideMark/>
          </w:tcPr>
          <w:p w14:paraId="02195C3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11,690</w:t>
            </w:r>
          </w:p>
        </w:tc>
        <w:tc>
          <w:tcPr>
            <w:tcW w:w="1134" w:type="dxa"/>
            <w:tcBorders>
              <w:top w:val="nil"/>
              <w:left w:val="nil"/>
              <w:bottom w:val="single" w:sz="4" w:space="0" w:color="auto"/>
              <w:right w:val="single" w:sz="4" w:space="0" w:color="auto"/>
            </w:tcBorders>
            <w:noWrap/>
            <w:vAlign w:val="bottom"/>
            <w:hideMark/>
          </w:tcPr>
          <w:p w14:paraId="21F417E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12,720</w:t>
            </w:r>
          </w:p>
        </w:tc>
        <w:tc>
          <w:tcPr>
            <w:tcW w:w="850" w:type="dxa"/>
            <w:tcBorders>
              <w:top w:val="nil"/>
              <w:left w:val="nil"/>
              <w:bottom w:val="single" w:sz="4" w:space="0" w:color="auto"/>
              <w:right w:val="single" w:sz="4" w:space="0" w:color="auto"/>
            </w:tcBorders>
            <w:noWrap/>
            <w:vAlign w:val="bottom"/>
            <w:hideMark/>
          </w:tcPr>
          <w:p w14:paraId="2C44E16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12,700</w:t>
            </w:r>
          </w:p>
        </w:tc>
        <w:tc>
          <w:tcPr>
            <w:tcW w:w="993" w:type="dxa"/>
            <w:tcBorders>
              <w:top w:val="nil"/>
              <w:left w:val="nil"/>
              <w:bottom w:val="single" w:sz="4" w:space="0" w:color="auto"/>
              <w:right w:val="single" w:sz="4" w:space="0" w:color="auto"/>
            </w:tcBorders>
            <w:noWrap/>
            <w:vAlign w:val="bottom"/>
            <w:hideMark/>
          </w:tcPr>
          <w:p w14:paraId="698885B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12,690</w:t>
            </w:r>
          </w:p>
        </w:tc>
        <w:tc>
          <w:tcPr>
            <w:tcW w:w="1134" w:type="dxa"/>
            <w:tcBorders>
              <w:top w:val="nil"/>
              <w:left w:val="nil"/>
              <w:bottom w:val="single" w:sz="4" w:space="0" w:color="auto"/>
              <w:right w:val="single" w:sz="4" w:space="0" w:color="auto"/>
            </w:tcBorders>
            <w:noWrap/>
            <w:vAlign w:val="bottom"/>
            <w:hideMark/>
          </w:tcPr>
          <w:p w14:paraId="357E67A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22,610</w:t>
            </w:r>
          </w:p>
        </w:tc>
        <w:tc>
          <w:tcPr>
            <w:tcW w:w="1134" w:type="dxa"/>
            <w:tcBorders>
              <w:top w:val="nil"/>
              <w:left w:val="nil"/>
              <w:bottom w:val="single" w:sz="4" w:space="0" w:color="auto"/>
              <w:right w:val="single" w:sz="4" w:space="0" w:color="auto"/>
            </w:tcBorders>
            <w:noWrap/>
            <w:vAlign w:val="bottom"/>
            <w:hideMark/>
          </w:tcPr>
          <w:p w14:paraId="4D5BC8B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22,600</w:t>
            </w:r>
          </w:p>
        </w:tc>
        <w:tc>
          <w:tcPr>
            <w:tcW w:w="1134" w:type="dxa"/>
            <w:tcBorders>
              <w:top w:val="nil"/>
              <w:left w:val="nil"/>
              <w:bottom w:val="single" w:sz="4" w:space="0" w:color="auto"/>
              <w:right w:val="single" w:sz="4" w:space="0" w:color="auto"/>
            </w:tcBorders>
            <w:noWrap/>
            <w:vAlign w:val="bottom"/>
            <w:hideMark/>
          </w:tcPr>
          <w:p w14:paraId="552FD3C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22,590</w:t>
            </w:r>
          </w:p>
        </w:tc>
        <w:tc>
          <w:tcPr>
            <w:tcW w:w="992" w:type="dxa"/>
            <w:tcBorders>
              <w:top w:val="nil"/>
              <w:left w:val="nil"/>
              <w:bottom w:val="single" w:sz="4" w:space="0" w:color="auto"/>
              <w:right w:val="single" w:sz="4" w:space="0" w:color="auto"/>
            </w:tcBorders>
            <w:noWrap/>
            <w:vAlign w:val="bottom"/>
            <w:hideMark/>
          </w:tcPr>
          <w:p w14:paraId="26DCFF3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29,510</w:t>
            </w:r>
          </w:p>
        </w:tc>
        <w:tc>
          <w:tcPr>
            <w:tcW w:w="840" w:type="dxa"/>
            <w:tcBorders>
              <w:top w:val="nil"/>
              <w:left w:val="nil"/>
              <w:bottom w:val="single" w:sz="4" w:space="0" w:color="auto"/>
              <w:right w:val="single" w:sz="4" w:space="0" w:color="auto"/>
            </w:tcBorders>
            <w:noWrap/>
            <w:vAlign w:val="bottom"/>
            <w:hideMark/>
          </w:tcPr>
          <w:p w14:paraId="0738C7F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29,500</w:t>
            </w:r>
          </w:p>
        </w:tc>
        <w:tc>
          <w:tcPr>
            <w:tcW w:w="1289" w:type="dxa"/>
            <w:tcBorders>
              <w:top w:val="nil"/>
              <w:left w:val="nil"/>
              <w:bottom w:val="single" w:sz="4" w:space="0" w:color="auto"/>
              <w:right w:val="single" w:sz="4" w:space="0" w:color="auto"/>
            </w:tcBorders>
            <w:noWrap/>
            <w:vAlign w:val="bottom"/>
            <w:hideMark/>
          </w:tcPr>
          <w:p w14:paraId="285C0B6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29,499</w:t>
            </w:r>
          </w:p>
        </w:tc>
      </w:tr>
      <w:tr w:rsidR="00870648" w:rsidRPr="00A05FC8" w14:paraId="43EDB8D5"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E134A0B"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650C379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10,250</w:t>
            </w:r>
          </w:p>
        </w:tc>
        <w:tc>
          <w:tcPr>
            <w:tcW w:w="992" w:type="dxa"/>
            <w:tcBorders>
              <w:top w:val="nil"/>
              <w:left w:val="nil"/>
              <w:bottom w:val="single" w:sz="4" w:space="0" w:color="auto"/>
              <w:right w:val="single" w:sz="4" w:space="0" w:color="auto"/>
            </w:tcBorders>
            <w:noWrap/>
            <w:vAlign w:val="bottom"/>
            <w:hideMark/>
          </w:tcPr>
          <w:p w14:paraId="20BCE95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10,300</w:t>
            </w:r>
          </w:p>
        </w:tc>
        <w:tc>
          <w:tcPr>
            <w:tcW w:w="851" w:type="dxa"/>
            <w:tcBorders>
              <w:top w:val="nil"/>
              <w:left w:val="nil"/>
              <w:bottom w:val="single" w:sz="4" w:space="0" w:color="auto"/>
              <w:right w:val="single" w:sz="4" w:space="0" w:color="auto"/>
            </w:tcBorders>
            <w:noWrap/>
            <w:vAlign w:val="bottom"/>
            <w:hideMark/>
          </w:tcPr>
          <w:p w14:paraId="0A51119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10,280</w:t>
            </w:r>
          </w:p>
        </w:tc>
        <w:tc>
          <w:tcPr>
            <w:tcW w:w="1134" w:type="dxa"/>
            <w:tcBorders>
              <w:top w:val="nil"/>
              <w:left w:val="nil"/>
              <w:bottom w:val="single" w:sz="4" w:space="0" w:color="auto"/>
              <w:right w:val="single" w:sz="4" w:space="0" w:color="auto"/>
            </w:tcBorders>
            <w:noWrap/>
            <w:vAlign w:val="bottom"/>
            <w:hideMark/>
          </w:tcPr>
          <w:p w14:paraId="631BA26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13,010</w:t>
            </w:r>
          </w:p>
        </w:tc>
        <w:tc>
          <w:tcPr>
            <w:tcW w:w="850" w:type="dxa"/>
            <w:tcBorders>
              <w:top w:val="nil"/>
              <w:left w:val="nil"/>
              <w:bottom w:val="single" w:sz="4" w:space="0" w:color="auto"/>
              <w:right w:val="single" w:sz="4" w:space="0" w:color="auto"/>
            </w:tcBorders>
            <w:noWrap/>
            <w:vAlign w:val="bottom"/>
            <w:hideMark/>
          </w:tcPr>
          <w:p w14:paraId="3632CC4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13,000</w:t>
            </w:r>
          </w:p>
        </w:tc>
        <w:tc>
          <w:tcPr>
            <w:tcW w:w="993" w:type="dxa"/>
            <w:tcBorders>
              <w:top w:val="nil"/>
              <w:left w:val="nil"/>
              <w:bottom w:val="single" w:sz="4" w:space="0" w:color="auto"/>
              <w:right w:val="single" w:sz="4" w:space="0" w:color="auto"/>
            </w:tcBorders>
            <w:noWrap/>
            <w:vAlign w:val="bottom"/>
            <w:hideMark/>
          </w:tcPr>
          <w:p w14:paraId="55D448E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12,990</w:t>
            </w:r>
          </w:p>
        </w:tc>
        <w:tc>
          <w:tcPr>
            <w:tcW w:w="1134" w:type="dxa"/>
            <w:tcBorders>
              <w:top w:val="nil"/>
              <w:left w:val="nil"/>
              <w:bottom w:val="single" w:sz="4" w:space="0" w:color="auto"/>
              <w:right w:val="single" w:sz="4" w:space="0" w:color="auto"/>
            </w:tcBorders>
            <w:noWrap/>
            <w:vAlign w:val="bottom"/>
            <w:hideMark/>
          </w:tcPr>
          <w:p w14:paraId="4BFD1F0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23,710</w:t>
            </w:r>
          </w:p>
        </w:tc>
        <w:tc>
          <w:tcPr>
            <w:tcW w:w="1134" w:type="dxa"/>
            <w:tcBorders>
              <w:top w:val="nil"/>
              <w:left w:val="nil"/>
              <w:bottom w:val="single" w:sz="4" w:space="0" w:color="auto"/>
              <w:right w:val="single" w:sz="4" w:space="0" w:color="auto"/>
            </w:tcBorders>
            <w:noWrap/>
            <w:vAlign w:val="bottom"/>
            <w:hideMark/>
          </w:tcPr>
          <w:p w14:paraId="489C455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23,700</w:t>
            </w:r>
          </w:p>
        </w:tc>
        <w:tc>
          <w:tcPr>
            <w:tcW w:w="1134" w:type="dxa"/>
            <w:tcBorders>
              <w:top w:val="nil"/>
              <w:left w:val="nil"/>
              <w:bottom w:val="single" w:sz="4" w:space="0" w:color="auto"/>
              <w:right w:val="single" w:sz="4" w:space="0" w:color="auto"/>
            </w:tcBorders>
            <w:noWrap/>
            <w:vAlign w:val="bottom"/>
            <w:hideMark/>
          </w:tcPr>
          <w:p w14:paraId="2E1C960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23,720</w:t>
            </w:r>
          </w:p>
        </w:tc>
        <w:tc>
          <w:tcPr>
            <w:tcW w:w="992" w:type="dxa"/>
            <w:tcBorders>
              <w:top w:val="nil"/>
              <w:left w:val="nil"/>
              <w:bottom w:val="single" w:sz="4" w:space="0" w:color="auto"/>
              <w:right w:val="single" w:sz="4" w:space="0" w:color="auto"/>
            </w:tcBorders>
            <w:noWrap/>
            <w:vAlign w:val="bottom"/>
            <w:hideMark/>
          </w:tcPr>
          <w:p w14:paraId="19B4AE0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27,710</w:t>
            </w:r>
          </w:p>
        </w:tc>
        <w:tc>
          <w:tcPr>
            <w:tcW w:w="840" w:type="dxa"/>
            <w:tcBorders>
              <w:top w:val="nil"/>
              <w:left w:val="nil"/>
              <w:bottom w:val="single" w:sz="4" w:space="0" w:color="auto"/>
              <w:right w:val="single" w:sz="4" w:space="0" w:color="auto"/>
            </w:tcBorders>
            <w:noWrap/>
            <w:vAlign w:val="bottom"/>
            <w:hideMark/>
          </w:tcPr>
          <w:p w14:paraId="4385762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27,700</w:t>
            </w:r>
          </w:p>
        </w:tc>
        <w:tc>
          <w:tcPr>
            <w:tcW w:w="1289" w:type="dxa"/>
            <w:tcBorders>
              <w:top w:val="nil"/>
              <w:left w:val="nil"/>
              <w:bottom w:val="single" w:sz="4" w:space="0" w:color="auto"/>
              <w:right w:val="single" w:sz="4" w:space="0" w:color="auto"/>
            </w:tcBorders>
            <w:noWrap/>
            <w:vAlign w:val="bottom"/>
            <w:hideMark/>
          </w:tcPr>
          <w:p w14:paraId="7212525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27,699</w:t>
            </w:r>
          </w:p>
        </w:tc>
      </w:tr>
      <w:tr w:rsidR="00870648" w:rsidRPr="00A05FC8" w14:paraId="7ABE95FC"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1D8AC82"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405EA4A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8,010</w:t>
            </w:r>
          </w:p>
        </w:tc>
        <w:tc>
          <w:tcPr>
            <w:tcW w:w="992" w:type="dxa"/>
            <w:tcBorders>
              <w:top w:val="nil"/>
              <w:left w:val="nil"/>
              <w:bottom w:val="single" w:sz="4" w:space="0" w:color="auto"/>
              <w:right w:val="single" w:sz="4" w:space="0" w:color="auto"/>
            </w:tcBorders>
            <w:noWrap/>
            <w:vAlign w:val="bottom"/>
            <w:hideMark/>
          </w:tcPr>
          <w:p w14:paraId="09DEB78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8,000</w:t>
            </w:r>
          </w:p>
        </w:tc>
        <w:tc>
          <w:tcPr>
            <w:tcW w:w="851" w:type="dxa"/>
            <w:tcBorders>
              <w:top w:val="nil"/>
              <w:left w:val="nil"/>
              <w:bottom w:val="single" w:sz="4" w:space="0" w:color="auto"/>
              <w:right w:val="single" w:sz="4" w:space="0" w:color="auto"/>
            </w:tcBorders>
            <w:noWrap/>
            <w:vAlign w:val="bottom"/>
            <w:hideMark/>
          </w:tcPr>
          <w:p w14:paraId="4033F70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7,980</w:t>
            </w:r>
          </w:p>
        </w:tc>
        <w:tc>
          <w:tcPr>
            <w:tcW w:w="1134" w:type="dxa"/>
            <w:tcBorders>
              <w:top w:val="nil"/>
              <w:left w:val="nil"/>
              <w:bottom w:val="single" w:sz="4" w:space="0" w:color="auto"/>
              <w:right w:val="single" w:sz="4" w:space="0" w:color="auto"/>
            </w:tcBorders>
            <w:noWrap/>
            <w:vAlign w:val="bottom"/>
            <w:hideMark/>
          </w:tcPr>
          <w:p w14:paraId="2499D0B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8,213</w:t>
            </w:r>
          </w:p>
        </w:tc>
        <w:tc>
          <w:tcPr>
            <w:tcW w:w="850" w:type="dxa"/>
            <w:tcBorders>
              <w:top w:val="nil"/>
              <w:left w:val="nil"/>
              <w:bottom w:val="single" w:sz="4" w:space="0" w:color="auto"/>
              <w:right w:val="single" w:sz="4" w:space="0" w:color="auto"/>
            </w:tcBorders>
            <w:noWrap/>
            <w:vAlign w:val="bottom"/>
            <w:hideMark/>
          </w:tcPr>
          <w:p w14:paraId="3BE7F2C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8,200</w:t>
            </w:r>
          </w:p>
        </w:tc>
        <w:tc>
          <w:tcPr>
            <w:tcW w:w="993" w:type="dxa"/>
            <w:tcBorders>
              <w:top w:val="nil"/>
              <w:left w:val="nil"/>
              <w:bottom w:val="single" w:sz="4" w:space="0" w:color="auto"/>
              <w:right w:val="single" w:sz="4" w:space="0" w:color="auto"/>
            </w:tcBorders>
            <w:noWrap/>
            <w:vAlign w:val="bottom"/>
            <w:hideMark/>
          </w:tcPr>
          <w:p w14:paraId="4C59023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8,199</w:t>
            </w:r>
          </w:p>
        </w:tc>
        <w:tc>
          <w:tcPr>
            <w:tcW w:w="1134" w:type="dxa"/>
            <w:tcBorders>
              <w:top w:val="nil"/>
              <w:left w:val="nil"/>
              <w:bottom w:val="single" w:sz="4" w:space="0" w:color="auto"/>
              <w:right w:val="single" w:sz="4" w:space="0" w:color="auto"/>
            </w:tcBorders>
            <w:noWrap/>
            <w:vAlign w:val="bottom"/>
            <w:hideMark/>
          </w:tcPr>
          <w:p w14:paraId="0DB7275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28,030</w:t>
            </w:r>
          </w:p>
        </w:tc>
        <w:tc>
          <w:tcPr>
            <w:tcW w:w="1134" w:type="dxa"/>
            <w:tcBorders>
              <w:top w:val="nil"/>
              <w:left w:val="nil"/>
              <w:bottom w:val="single" w:sz="4" w:space="0" w:color="auto"/>
              <w:right w:val="single" w:sz="4" w:space="0" w:color="auto"/>
            </w:tcBorders>
            <w:noWrap/>
            <w:vAlign w:val="bottom"/>
            <w:hideMark/>
          </w:tcPr>
          <w:p w14:paraId="466C036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28,000</w:t>
            </w:r>
          </w:p>
        </w:tc>
        <w:tc>
          <w:tcPr>
            <w:tcW w:w="1134" w:type="dxa"/>
            <w:tcBorders>
              <w:top w:val="nil"/>
              <w:left w:val="nil"/>
              <w:bottom w:val="single" w:sz="4" w:space="0" w:color="auto"/>
              <w:right w:val="single" w:sz="4" w:space="0" w:color="auto"/>
            </w:tcBorders>
            <w:noWrap/>
            <w:vAlign w:val="bottom"/>
            <w:hideMark/>
          </w:tcPr>
          <w:p w14:paraId="38CB4A0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28,010</w:t>
            </w:r>
          </w:p>
        </w:tc>
        <w:tc>
          <w:tcPr>
            <w:tcW w:w="992" w:type="dxa"/>
            <w:tcBorders>
              <w:top w:val="nil"/>
              <w:left w:val="nil"/>
              <w:bottom w:val="single" w:sz="4" w:space="0" w:color="auto"/>
              <w:right w:val="single" w:sz="4" w:space="0" w:color="auto"/>
            </w:tcBorders>
            <w:noWrap/>
            <w:vAlign w:val="bottom"/>
            <w:hideMark/>
          </w:tcPr>
          <w:p w14:paraId="69E2DC0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28,010</w:t>
            </w:r>
          </w:p>
        </w:tc>
        <w:tc>
          <w:tcPr>
            <w:tcW w:w="840" w:type="dxa"/>
            <w:tcBorders>
              <w:top w:val="nil"/>
              <w:left w:val="nil"/>
              <w:bottom w:val="single" w:sz="4" w:space="0" w:color="auto"/>
              <w:right w:val="single" w:sz="4" w:space="0" w:color="auto"/>
            </w:tcBorders>
            <w:noWrap/>
            <w:vAlign w:val="bottom"/>
            <w:hideMark/>
          </w:tcPr>
          <w:p w14:paraId="3F21012B"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28,000</w:t>
            </w:r>
          </w:p>
        </w:tc>
        <w:tc>
          <w:tcPr>
            <w:tcW w:w="1289" w:type="dxa"/>
            <w:tcBorders>
              <w:top w:val="nil"/>
              <w:left w:val="nil"/>
              <w:bottom w:val="single" w:sz="4" w:space="0" w:color="auto"/>
              <w:right w:val="single" w:sz="4" w:space="0" w:color="auto"/>
            </w:tcBorders>
            <w:noWrap/>
            <w:vAlign w:val="bottom"/>
            <w:hideMark/>
          </w:tcPr>
          <w:p w14:paraId="7036A0A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28,020</w:t>
            </w:r>
          </w:p>
        </w:tc>
      </w:tr>
      <w:tr w:rsidR="00870648" w:rsidRPr="00A05FC8" w14:paraId="4521E0A2" w14:textId="77777777" w:rsidTr="00A05FC8">
        <w:trPr>
          <w:trHeight w:val="44"/>
        </w:trPr>
        <w:tc>
          <w:tcPr>
            <w:tcW w:w="13624" w:type="dxa"/>
            <w:gridSpan w:val="14"/>
            <w:tcBorders>
              <w:top w:val="single" w:sz="4" w:space="0" w:color="auto"/>
              <w:left w:val="single" w:sz="4" w:space="0" w:color="auto"/>
              <w:bottom w:val="single" w:sz="4" w:space="0" w:color="auto"/>
              <w:right w:val="single" w:sz="4" w:space="0" w:color="000000"/>
            </w:tcBorders>
            <w:noWrap/>
            <w:vAlign w:val="bottom"/>
            <w:hideMark/>
          </w:tcPr>
          <w:p w14:paraId="7C8CEB0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Number of leaves</w:t>
            </w:r>
          </w:p>
        </w:tc>
      </w:tr>
      <w:tr w:rsidR="00870648" w:rsidRPr="00A05FC8" w14:paraId="0274313A" w14:textId="77777777" w:rsidTr="00A05FC8">
        <w:trPr>
          <w:gridAfter w:val="1"/>
          <w:wAfter w:w="12" w:type="dxa"/>
          <w:trHeight w:val="285"/>
        </w:trPr>
        <w:tc>
          <w:tcPr>
            <w:tcW w:w="1276" w:type="dxa"/>
            <w:tcBorders>
              <w:top w:val="nil"/>
              <w:left w:val="single" w:sz="4" w:space="0" w:color="auto"/>
              <w:bottom w:val="single" w:sz="4" w:space="0" w:color="auto"/>
              <w:right w:val="single" w:sz="4" w:space="0" w:color="auto"/>
            </w:tcBorders>
            <w:noWrap/>
            <w:hideMark/>
          </w:tcPr>
          <w:p w14:paraId="3FB38663"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Treatment</w:t>
            </w:r>
          </w:p>
        </w:tc>
        <w:tc>
          <w:tcPr>
            <w:tcW w:w="993" w:type="dxa"/>
            <w:tcBorders>
              <w:top w:val="nil"/>
              <w:left w:val="nil"/>
              <w:bottom w:val="single" w:sz="4" w:space="0" w:color="auto"/>
              <w:right w:val="single" w:sz="4" w:space="0" w:color="auto"/>
            </w:tcBorders>
            <w:noWrap/>
            <w:hideMark/>
          </w:tcPr>
          <w:p w14:paraId="65374E24" w14:textId="63FCDEDE"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1 Rep 1</w:t>
            </w:r>
          </w:p>
        </w:tc>
        <w:tc>
          <w:tcPr>
            <w:tcW w:w="992" w:type="dxa"/>
            <w:tcBorders>
              <w:top w:val="nil"/>
              <w:left w:val="nil"/>
              <w:bottom w:val="single" w:sz="4" w:space="0" w:color="auto"/>
              <w:right w:val="single" w:sz="4" w:space="0" w:color="auto"/>
            </w:tcBorders>
            <w:noWrap/>
            <w:hideMark/>
          </w:tcPr>
          <w:p w14:paraId="28F827BC" w14:textId="78A6318C"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1</w:t>
            </w:r>
          </w:p>
          <w:p w14:paraId="15BDB48A" w14:textId="53192EBD"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851" w:type="dxa"/>
            <w:tcBorders>
              <w:top w:val="nil"/>
              <w:left w:val="nil"/>
              <w:bottom w:val="single" w:sz="4" w:space="0" w:color="auto"/>
              <w:right w:val="single" w:sz="4" w:space="0" w:color="auto"/>
            </w:tcBorders>
            <w:noWrap/>
            <w:hideMark/>
          </w:tcPr>
          <w:p w14:paraId="29C3D678" w14:textId="3D32BBD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1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446F957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2</w:t>
            </w:r>
          </w:p>
          <w:p w14:paraId="5907863F" w14:textId="07C5C96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50" w:type="dxa"/>
            <w:tcBorders>
              <w:top w:val="nil"/>
              <w:left w:val="nil"/>
              <w:bottom w:val="single" w:sz="4" w:space="0" w:color="auto"/>
              <w:right w:val="single" w:sz="4" w:space="0" w:color="auto"/>
            </w:tcBorders>
            <w:noWrap/>
            <w:hideMark/>
          </w:tcPr>
          <w:p w14:paraId="3BB564BD" w14:textId="77777777"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2_</w:t>
            </w:r>
          </w:p>
          <w:p w14:paraId="10B5F1C3" w14:textId="38E679E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993" w:type="dxa"/>
            <w:tcBorders>
              <w:top w:val="nil"/>
              <w:left w:val="nil"/>
              <w:bottom w:val="single" w:sz="4" w:space="0" w:color="auto"/>
              <w:right w:val="single" w:sz="4" w:space="0" w:color="auto"/>
            </w:tcBorders>
            <w:noWrap/>
            <w:hideMark/>
          </w:tcPr>
          <w:p w14:paraId="2F087545" w14:textId="26F98AFF"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 xml:space="preserve">Week 2 </w:t>
            </w:r>
            <w:r w:rsidRPr="00A05FC8">
              <w:rPr>
                <w:rFonts w:cs="Arial"/>
                <w:sz w:val="18"/>
                <w:szCs w:val="18"/>
              </w:rPr>
              <w:t>Rep 3</w:t>
            </w:r>
          </w:p>
        </w:tc>
        <w:tc>
          <w:tcPr>
            <w:tcW w:w="1134" w:type="dxa"/>
            <w:tcBorders>
              <w:top w:val="nil"/>
              <w:left w:val="nil"/>
              <w:bottom w:val="single" w:sz="4" w:space="0" w:color="auto"/>
              <w:right w:val="single" w:sz="4" w:space="0" w:color="auto"/>
            </w:tcBorders>
            <w:noWrap/>
            <w:hideMark/>
          </w:tcPr>
          <w:p w14:paraId="7287B114" w14:textId="5AEF8E9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 Rep 1</w:t>
            </w:r>
          </w:p>
        </w:tc>
        <w:tc>
          <w:tcPr>
            <w:tcW w:w="1134" w:type="dxa"/>
            <w:tcBorders>
              <w:top w:val="nil"/>
              <w:left w:val="nil"/>
              <w:bottom w:val="single" w:sz="4" w:space="0" w:color="auto"/>
              <w:right w:val="single" w:sz="4" w:space="0" w:color="auto"/>
            </w:tcBorders>
            <w:noWrap/>
            <w:hideMark/>
          </w:tcPr>
          <w:p w14:paraId="7967D75A" w14:textId="04EFA554"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5AA14460" w14:textId="1FBD9E0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134" w:type="dxa"/>
            <w:tcBorders>
              <w:top w:val="nil"/>
              <w:left w:val="nil"/>
              <w:bottom w:val="single" w:sz="4" w:space="0" w:color="auto"/>
              <w:right w:val="single" w:sz="4" w:space="0" w:color="auto"/>
            </w:tcBorders>
            <w:noWrap/>
            <w:hideMark/>
          </w:tcPr>
          <w:p w14:paraId="6000695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3</w:t>
            </w:r>
          </w:p>
          <w:p w14:paraId="77C8F74E" w14:textId="0AD6FD9D"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c>
          <w:tcPr>
            <w:tcW w:w="992" w:type="dxa"/>
            <w:tcBorders>
              <w:top w:val="nil"/>
              <w:left w:val="nil"/>
              <w:bottom w:val="single" w:sz="4" w:space="0" w:color="auto"/>
              <w:right w:val="single" w:sz="4" w:space="0" w:color="auto"/>
            </w:tcBorders>
            <w:noWrap/>
            <w:hideMark/>
          </w:tcPr>
          <w:p w14:paraId="5724C2A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73C462C5" w14:textId="384B8D5B"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Rep 1</w:t>
            </w:r>
          </w:p>
        </w:tc>
        <w:tc>
          <w:tcPr>
            <w:tcW w:w="840" w:type="dxa"/>
            <w:tcBorders>
              <w:top w:val="nil"/>
              <w:left w:val="nil"/>
              <w:bottom w:val="single" w:sz="4" w:space="0" w:color="auto"/>
              <w:right w:val="single" w:sz="4" w:space="0" w:color="auto"/>
            </w:tcBorders>
            <w:noWrap/>
            <w:hideMark/>
          </w:tcPr>
          <w:p w14:paraId="0C7F0E50" w14:textId="1AC7C43E" w:rsidR="00870648" w:rsidRPr="00A05FC8" w:rsidRDefault="00870648" w:rsidP="00A05FC8">
            <w:pPr>
              <w:spacing w:after="0" w:line="240" w:lineRule="auto"/>
              <w:ind w:left="-109" w:right="-106"/>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500E0E16" w14:textId="0154C4F8"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2</w:t>
            </w:r>
          </w:p>
        </w:tc>
        <w:tc>
          <w:tcPr>
            <w:tcW w:w="1289" w:type="dxa"/>
            <w:tcBorders>
              <w:top w:val="nil"/>
              <w:left w:val="nil"/>
              <w:bottom w:val="single" w:sz="4" w:space="0" w:color="auto"/>
              <w:right w:val="single" w:sz="4" w:space="0" w:color="auto"/>
            </w:tcBorders>
            <w:noWrap/>
            <w:hideMark/>
          </w:tcPr>
          <w:p w14:paraId="3F27A18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Week 4</w:t>
            </w:r>
          </w:p>
          <w:p w14:paraId="463F38D6" w14:textId="6E6C6389"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cs="Arial"/>
                <w:sz w:val="18"/>
                <w:szCs w:val="18"/>
              </w:rPr>
              <w:t>Rep 3</w:t>
            </w:r>
          </w:p>
        </w:tc>
      </w:tr>
      <w:tr w:rsidR="00870648" w:rsidRPr="00A05FC8" w14:paraId="4A7231DF"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3E913C7C"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Control (P)</w:t>
            </w:r>
          </w:p>
        </w:tc>
        <w:tc>
          <w:tcPr>
            <w:tcW w:w="993" w:type="dxa"/>
            <w:tcBorders>
              <w:top w:val="nil"/>
              <w:left w:val="nil"/>
              <w:bottom w:val="single" w:sz="4" w:space="0" w:color="auto"/>
              <w:right w:val="single" w:sz="4" w:space="0" w:color="auto"/>
            </w:tcBorders>
            <w:noWrap/>
            <w:vAlign w:val="bottom"/>
            <w:hideMark/>
          </w:tcPr>
          <w:p w14:paraId="64CA46A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4,020</w:t>
            </w:r>
          </w:p>
        </w:tc>
        <w:tc>
          <w:tcPr>
            <w:tcW w:w="992" w:type="dxa"/>
            <w:tcBorders>
              <w:top w:val="nil"/>
              <w:left w:val="nil"/>
              <w:bottom w:val="single" w:sz="4" w:space="0" w:color="auto"/>
              <w:right w:val="single" w:sz="4" w:space="0" w:color="auto"/>
            </w:tcBorders>
            <w:noWrap/>
            <w:vAlign w:val="bottom"/>
            <w:hideMark/>
          </w:tcPr>
          <w:p w14:paraId="3F054AD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4,000</w:t>
            </w:r>
          </w:p>
        </w:tc>
        <w:tc>
          <w:tcPr>
            <w:tcW w:w="851" w:type="dxa"/>
            <w:tcBorders>
              <w:top w:val="nil"/>
              <w:left w:val="nil"/>
              <w:bottom w:val="single" w:sz="4" w:space="0" w:color="auto"/>
              <w:right w:val="single" w:sz="4" w:space="0" w:color="auto"/>
            </w:tcBorders>
            <w:noWrap/>
            <w:vAlign w:val="bottom"/>
            <w:hideMark/>
          </w:tcPr>
          <w:p w14:paraId="4914C93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4,012</w:t>
            </w:r>
          </w:p>
        </w:tc>
        <w:tc>
          <w:tcPr>
            <w:tcW w:w="1134" w:type="dxa"/>
            <w:tcBorders>
              <w:top w:val="nil"/>
              <w:left w:val="nil"/>
              <w:bottom w:val="single" w:sz="4" w:space="0" w:color="auto"/>
              <w:right w:val="single" w:sz="4" w:space="0" w:color="auto"/>
            </w:tcBorders>
            <w:noWrap/>
            <w:vAlign w:val="bottom"/>
            <w:hideMark/>
          </w:tcPr>
          <w:p w14:paraId="3D78E64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5,510</w:t>
            </w:r>
          </w:p>
        </w:tc>
        <w:tc>
          <w:tcPr>
            <w:tcW w:w="850" w:type="dxa"/>
            <w:tcBorders>
              <w:top w:val="nil"/>
              <w:left w:val="nil"/>
              <w:bottom w:val="single" w:sz="4" w:space="0" w:color="auto"/>
              <w:right w:val="single" w:sz="4" w:space="0" w:color="auto"/>
            </w:tcBorders>
            <w:noWrap/>
            <w:vAlign w:val="bottom"/>
            <w:hideMark/>
          </w:tcPr>
          <w:p w14:paraId="6227FA3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5,500</w:t>
            </w:r>
          </w:p>
        </w:tc>
        <w:tc>
          <w:tcPr>
            <w:tcW w:w="993" w:type="dxa"/>
            <w:tcBorders>
              <w:top w:val="nil"/>
              <w:left w:val="nil"/>
              <w:bottom w:val="single" w:sz="4" w:space="0" w:color="auto"/>
              <w:right w:val="single" w:sz="4" w:space="0" w:color="auto"/>
            </w:tcBorders>
            <w:noWrap/>
            <w:vAlign w:val="bottom"/>
            <w:hideMark/>
          </w:tcPr>
          <w:p w14:paraId="32B67BC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5,501</w:t>
            </w:r>
          </w:p>
        </w:tc>
        <w:tc>
          <w:tcPr>
            <w:tcW w:w="1134" w:type="dxa"/>
            <w:tcBorders>
              <w:top w:val="nil"/>
              <w:left w:val="nil"/>
              <w:bottom w:val="single" w:sz="4" w:space="0" w:color="auto"/>
              <w:right w:val="single" w:sz="4" w:space="0" w:color="auto"/>
            </w:tcBorders>
            <w:noWrap/>
            <w:vAlign w:val="bottom"/>
            <w:hideMark/>
          </w:tcPr>
          <w:p w14:paraId="1DB64CF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8,090</w:t>
            </w:r>
          </w:p>
        </w:tc>
        <w:tc>
          <w:tcPr>
            <w:tcW w:w="1134" w:type="dxa"/>
            <w:tcBorders>
              <w:top w:val="nil"/>
              <w:left w:val="nil"/>
              <w:bottom w:val="single" w:sz="4" w:space="0" w:color="auto"/>
              <w:right w:val="single" w:sz="4" w:space="0" w:color="auto"/>
            </w:tcBorders>
            <w:noWrap/>
            <w:vAlign w:val="bottom"/>
            <w:hideMark/>
          </w:tcPr>
          <w:p w14:paraId="75B28B5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8,000</w:t>
            </w:r>
          </w:p>
        </w:tc>
        <w:tc>
          <w:tcPr>
            <w:tcW w:w="1134" w:type="dxa"/>
            <w:tcBorders>
              <w:top w:val="nil"/>
              <w:left w:val="nil"/>
              <w:bottom w:val="single" w:sz="4" w:space="0" w:color="auto"/>
              <w:right w:val="single" w:sz="4" w:space="0" w:color="auto"/>
            </w:tcBorders>
            <w:noWrap/>
            <w:vAlign w:val="bottom"/>
            <w:hideMark/>
          </w:tcPr>
          <w:p w14:paraId="5D99A2D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8,091</w:t>
            </w:r>
          </w:p>
        </w:tc>
        <w:tc>
          <w:tcPr>
            <w:tcW w:w="992" w:type="dxa"/>
            <w:tcBorders>
              <w:top w:val="nil"/>
              <w:left w:val="nil"/>
              <w:bottom w:val="single" w:sz="4" w:space="0" w:color="auto"/>
              <w:right w:val="single" w:sz="4" w:space="0" w:color="auto"/>
            </w:tcBorders>
            <w:noWrap/>
            <w:vAlign w:val="bottom"/>
            <w:hideMark/>
          </w:tcPr>
          <w:p w14:paraId="6A08D82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9,010</w:t>
            </w:r>
          </w:p>
        </w:tc>
        <w:tc>
          <w:tcPr>
            <w:tcW w:w="840" w:type="dxa"/>
            <w:tcBorders>
              <w:top w:val="nil"/>
              <w:left w:val="nil"/>
              <w:bottom w:val="single" w:sz="4" w:space="0" w:color="auto"/>
              <w:right w:val="single" w:sz="4" w:space="0" w:color="auto"/>
            </w:tcBorders>
            <w:noWrap/>
            <w:vAlign w:val="bottom"/>
            <w:hideMark/>
          </w:tcPr>
          <w:p w14:paraId="705996B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9,000</w:t>
            </w:r>
          </w:p>
        </w:tc>
        <w:tc>
          <w:tcPr>
            <w:tcW w:w="1289" w:type="dxa"/>
            <w:tcBorders>
              <w:top w:val="nil"/>
              <w:left w:val="nil"/>
              <w:bottom w:val="single" w:sz="4" w:space="0" w:color="auto"/>
              <w:right w:val="single" w:sz="4" w:space="0" w:color="auto"/>
            </w:tcBorders>
            <w:noWrap/>
            <w:vAlign w:val="bottom"/>
            <w:hideMark/>
          </w:tcPr>
          <w:p w14:paraId="37F844BF"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9,010</w:t>
            </w:r>
          </w:p>
        </w:tc>
      </w:tr>
      <w:tr w:rsidR="00870648" w:rsidRPr="00A05FC8" w14:paraId="191BC21D"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19F013BA"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10% (P1)</w:t>
            </w:r>
          </w:p>
        </w:tc>
        <w:tc>
          <w:tcPr>
            <w:tcW w:w="993" w:type="dxa"/>
            <w:tcBorders>
              <w:top w:val="nil"/>
              <w:left w:val="nil"/>
              <w:bottom w:val="single" w:sz="4" w:space="0" w:color="auto"/>
              <w:right w:val="single" w:sz="4" w:space="0" w:color="auto"/>
            </w:tcBorders>
            <w:noWrap/>
            <w:vAlign w:val="bottom"/>
            <w:hideMark/>
          </w:tcPr>
          <w:p w14:paraId="2A3186A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4,010</w:t>
            </w:r>
          </w:p>
        </w:tc>
        <w:tc>
          <w:tcPr>
            <w:tcW w:w="992" w:type="dxa"/>
            <w:tcBorders>
              <w:top w:val="nil"/>
              <w:left w:val="nil"/>
              <w:bottom w:val="single" w:sz="4" w:space="0" w:color="auto"/>
              <w:right w:val="single" w:sz="4" w:space="0" w:color="auto"/>
            </w:tcBorders>
            <w:noWrap/>
            <w:vAlign w:val="bottom"/>
            <w:hideMark/>
          </w:tcPr>
          <w:p w14:paraId="4906DA4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4,000</w:t>
            </w:r>
          </w:p>
        </w:tc>
        <w:tc>
          <w:tcPr>
            <w:tcW w:w="851" w:type="dxa"/>
            <w:tcBorders>
              <w:top w:val="nil"/>
              <w:left w:val="nil"/>
              <w:bottom w:val="single" w:sz="4" w:space="0" w:color="auto"/>
              <w:right w:val="single" w:sz="4" w:space="0" w:color="auto"/>
            </w:tcBorders>
            <w:noWrap/>
            <w:vAlign w:val="bottom"/>
            <w:hideMark/>
          </w:tcPr>
          <w:p w14:paraId="26F1B9E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4,011</w:t>
            </w:r>
          </w:p>
        </w:tc>
        <w:tc>
          <w:tcPr>
            <w:tcW w:w="1134" w:type="dxa"/>
            <w:tcBorders>
              <w:top w:val="nil"/>
              <w:left w:val="nil"/>
              <w:bottom w:val="single" w:sz="4" w:space="0" w:color="auto"/>
              <w:right w:val="single" w:sz="4" w:space="0" w:color="auto"/>
            </w:tcBorders>
            <w:noWrap/>
            <w:vAlign w:val="bottom"/>
            <w:hideMark/>
          </w:tcPr>
          <w:p w14:paraId="22769FE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5,501</w:t>
            </w:r>
          </w:p>
        </w:tc>
        <w:tc>
          <w:tcPr>
            <w:tcW w:w="850" w:type="dxa"/>
            <w:tcBorders>
              <w:top w:val="nil"/>
              <w:left w:val="nil"/>
              <w:bottom w:val="single" w:sz="4" w:space="0" w:color="auto"/>
              <w:right w:val="single" w:sz="4" w:space="0" w:color="auto"/>
            </w:tcBorders>
            <w:noWrap/>
            <w:vAlign w:val="bottom"/>
            <w:hideMark/>
          </w:tcPr>
          <w:p w14:paraId="3BE11C7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5,500</w:t>
            </w:r>
          </w:p>
        </w:tc>
        <w:tc>
          <w:tcPr>
            <w:tcW w:w="993" w:type="dxa"/>
            <w:tcBorders>
              <w:top w:val="nil"/>
              <w:left w:val="nil"/>
              <w:bottom w:val="single" w:sz="4" w:space="0" w:color="auto"/>
              <w:right w:val="single" w:sz="4" w:space="0" w:color="auto"/>
            </w:tcBorders>
            <w:noWrap/>
            <w:vAlign w:val="bottom"/>
            <w:hideMark/>
          </w:tcPr>
          <w:p w14:paraId="460EAA6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5,502</w:t>
            </w:r>
          </w:p>
        </w:tc>
        <w:tc>
          <w:tcPr>
            <w:tcW w:w="1134" w:type="dxa"/>
            <w:tcBorders>
              <w:top w:val="nil"/>
              <w:left w:val="nil"/>
              <w:bottom w:val="single" w:sz="4" w:space="0" w:color="auto"/>
              <w:right w:val="single" w:sz="4" w:space="0" w:color="auto"/>
            </w:tcBorders>
            <w:noWrap/>
            <w:vAlign w:val="bottom"/>
            <w:hideMark/>
          </w:tcPr>
          <w:p w14:paraId="3BABCD5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9,090</w:t>
            </w:r>
          </w:p>
        </w:tc>
        <w:tc>
          <w:tcPr>
            <w:tcW w:w="1134" w:type="dxa"/>
            <w:tcBorders>
              <w:top w:val="nil"/>
              <w:left w:val="nil"/>
              <w:bottom w:val="single" w:sz="4" w:space="0" w:color="auto"/>
              <w:right w:val="single" w:sz="4" w:space="0" w:color="auto"/>
            </w:tcBorders>
            <w:noWrap/>
            <w:vAlign w:val="bottom"/>
            <w:hideMark/>
          </w:tcPr>
          <w:p w14:paraId="48F25F7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9,000</w:t>
            </w:r>
          </w:p>
        </w:tc>
        <w:tc>
          <w:tcPr>
            <w:tcW w:w="1134" w:type="dxa"/>
            <w:tcBorders>
              <w:top w:val="nil"/>
              <w:left w:val="nil"/>
              <w:bottom w:val="single" w:sz="4" w:space="0" w:color="auto"/>
              <w:right w:val="single" w:sz="4" w:space="0" w:color="auto"/>
            </w:tcBorders>
            <w:noWrap/>
            <w:vAlign w:val="bottom"/>
            <w:hideMark/>
          </w:tcPr>
          <w:p w14:paraId="1545740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9,091</w:t>
            </w:r>
          </w:p>
        </w:tc>
        <w:tc>
          <w:tcPr>
            <w:tcW w:w="992" w:type="dxa"/>
            <w:tcBorders>
              <w:top w:val="nil"/>
              <w:left w:val="nil"/>
              <w:bottom w:val="single" w:sz="4" w:space="0" w:color="auto"/>
              <w:right w:val="single" w:sz="4" w:space="0" w:color="auto"/>
            </w:tcBorders>
            <w:noWrap/>
            <w:vAlign w:val="bottom"/>
            <w:hideMark/>
          </w:tcPr>
          <w:p w14:paraId="24803C6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12,000</w:t>
            </w:r>
          </w:p>
        </w:tc>
        <w:tc>
          <w:tcPr>
            <w:tcW w:w="840" w:type="dxa"/>
            <w:tcBorders>
              <w:top w:val="nil"/>
              <w:left w:val="nil"/>
              <w:bottom w:val="single" w:sz="4" w:space="0" w:color="auto"/>
              <w:right w:val="single" w:sz="4" w:space="0" w:color="auto"/>
            </w:tcBorders>
            <w:noWrap/>
            <w:vAlign w:val="bottom"/>
            <w:hideMark/>
          </w:tcPr>
          <w:p w14:paraId="669A26C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12,000</w:t>
            </w:r>
          </w:p>
        </w:tc>
        <w:tc>
          <w:tcPr>
            <w:tcW w:w="1289" w:type="dxa"/>
            <w:tcBorders>
              <w:top w:val="nil"/>
              <w:left w:val="nil"/>
              <w:bottom w:val="single" w:sz="4" w:space="0" w:color="auto"/>
              <w:right w:val="single" w:sz="4" w:space="0" w:color="auto"/>
            </w:tcBorders>
            <w:noWrap/>
            <w:vAlign w:val="bottom"/>
            <w:hideMark/>
          </w:tcPr>
          <w:p w14:paraId="42CEF86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12,010</w:t>
            </w:r>
          </w:p>
        </w:tc>
      </w:tr>
      <w:tr w:rsidR="00870648" w:rsidRPr="00A05FC8" w14:paraId="026A8BBF"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58F28556"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25% (P2)</w:t>
            </w:r>
          </w:p>
        </w:tc>
        <w:tc>
          <w:tcPr>
            <w:tcW w:w="993" w:type="dxa"/>
            <w:tcBorders>
              <w:top w:val="nil"/>
              <w:left w:val="nil"/>
              <w:bottom w:val="single" w:sz="4" w:space="0" w:color="auto"/>
              <w:right w:val="single" w:sz="4" w:space="0" w:color="auto"/>
            </w:tcBorders>
            <w:noWrap/>
            <w:vAlign w:val="bottom"/>
            <w:hideMark/>
          </w:tcPr>
          <w:p w14:paraId="6AF213E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4,013</w:t>
            </w:r>
          </w:p>
        </w:tc>
        <w:tc>
          <w:tcPr>
            <w:tcW w:w="992" w:type="dxa"/>
            <w:tcBorders>
              <w:top w:val="nil"/>
              <w:left w:val="nil"/>
              <w:bottom w:val="single" w:sz="4" w:space="0" w:color="auto"/>
              <w:right w:val="single" w:sz="4" w:space="0" w:color="auto"/>
            </w:tcBorders>
            <w:noWrap/>
            <w:vAlign w:val="bottom"/>
            <w:hideMark/>
          </w:tcPr>
          <w:p w14:paraId="63F3433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4,000</w:t>
            </w:r>
          </w:p>
        </w:tc>
        <w:tc>
          <w:tcPr>
            <w:tcW w:w="851" w:type="dxa"/>
            <w:tcBorders>
              <w:top w:val="nil"/>
              <w:left w:val="nil"/>
              <w:bottom w:val="single" w:sz="4" w:space="0" w:color="auto"/>
              <w:right w:val="single" w:sz="4" w:space="0" w:color="auto"/>
            </w:tcBorders>
            <w:noWrap/>
            <w:vAlign w:val="bottom"/>
            <w:hideMark/>
          </w:tcPr>
          <w:p w14:paraId="06665FD6"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4,013</w:t>
            </w:r>
          </w:p>
        </w:tc>
        <w:tc>
          <w:tcPr>
            <w:tcW w:w="1134" w:type="dxa"/>
            <w:tcBorders>
              <w:top w:val="nil"/>
              <w:left w:val="nil"/>
              <w:bottom w:val="single" w:sz="4" w:space="0" w:color="auto"/>
              <w:right w:val="single" w:sz="4" w:space="0" w:color="auto"/>
            </w:tcBorders>
            <w:noWrap/>
            <w:vAlign w:val="bottom"/>
            <w:hideMark/>
          </w:tcPr>
          <w:p w14:paraId="207759D4"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5,101</w:t>
            </w:r>
          </w:p>
        </w:tc>
        <w:tc>
          <w:tcPr>
            <w:tcW w:w="850" w:type="dxa"/>
            <w:tcBorders>
              <w:top w:val="nil"/>
              <w:left w:val="nil"/>
              <w:bottom w:val="single" w:sz="4" w:space="0" w:color="auto"/>
              <w:right w:val="single" w:sz="4" w:space="0" w:color="auto"/>
            </w:tcBorders>
            <w:noWrap/>
            <w:vAlign w:val="bottom"/>
            <w:hideMark/>
          </w:tcPr>
          <w:p w14:paraId="1DBDDFA0"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5,000</w:t>
            </w:r>
          </w:p>
        </w:tc>
        <w:tc>
          <w:tcPr>
            <w:tcW w:w="993" w:type="dxa"/>
            <w:tcBorders>
              <w:top w:val="nil"/>
              <w:left w:val="nil"/>
              <w:bottom w:val="single" w:sz="4" w:space="0" w:color="auto"/>
              <w:right w:val="single" w:sz="4" w:space="0" w:color="auto"/>
            </w:tcBorders>
            <w:noWrap/>
            <w:vAlign w:val="bottom"/>
            <w:hideMark/>
          </w:tcPr>
          <w:p w14:paraId="1838CD2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5,100</w:t>
            </w:r>
          </w:p>
        </w:tc>
        <w:tc>
          <w:tcPr>
            <w:tcW w:w="1134" w:type="dxa"/>
            <w:tcBorders>
              <w:top w:val="nil"/>
              <w:left w:val="nil"/>
              <w:bottom w:val="single" w:sz="4" w:space="0" w:color="auto"/>
              <w:right w:val="single" w:sz="4" w:space="0" w:color="auto"/>
            </w:tcBorders>
            <w:noWrap/>
            <w:vAlign w:val="bottom"/>
            <w:hideMark/>
          </w:tcPr>
          <w:p w14:paraId="56230458"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10,509</w:t>
            </w:r>
          </w:p>
        </w:tc>
        <w:tc>
          <w:tcPr>
            <w:tcW w:w="1134" w:type="dxa"/>
            <w:tcBorders>
              <w:top w:val="nil"/>
              <w:left w:val="nil"/>
              <w:bottom w:val="single" w:sz="4" w:space="0" w:color="auto"/>
              <w:right w:val="single" w:sz="4" w:space="0" w:color="auto"/>
            </w:tcBorders>
            <w:noWrap/>
            <w:vAlign w:val="bottom"/>
            <w:hideMark/>
          </w:tcPr>
          <w:p w14:paraId="186A802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10,500</w:t>
            </w:r>
          </w:p>
        </w:tc>
        <w:tc>
          <w:tcPr>
            <w:tcW w:w="1134" w:type="dxa"/>
            <w:tcBorders>
              <w:top w:val="nil"/>
              <w:left w:val="nil"/>
              <w:bottom w:val="single" w:sz="4" w:space="0" w:color="auto"/>
              <w:right w:val="single" w:sz="4" w:space="0" w:color="auto"/>
            </w:tcBorders>
            <w:noWrap/>
            <w:vAlign w:val="bottom"/>
            <w:hideMark/>
          </w:tcPr>
          <w:p w14:paraId="48C25BD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10,510</w:t>
            </w:r>
          </w:p>
        </w:tc>
        <w:tc>
          <w:tcPr>
            <w:tcW w:w="992" w:type="dxa"/>
            <w:tcBorders>
              <w:top w:val="nil"/>
              <w:left w:val="nil"/>
              <w:bottom w:val="single" w:sz="4" w:space="0" w:color="auto"/>
              <w:right w:val="single" w:sz="4" w:space="0" w:color="auto"/>
            </w:tcBorders>
            <w:noWrap/>
            <w:vAlign w:val="bottom"/>
            <w:hideMark/>
          </w:tcPr>
          <w:p w14:paraId="634AFA03"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12,500</w:t>
            </w:r>
          </w:p>
        </w:tc>
        <w:tc>
          <w:tcPr>
            <w:tcW w:w="840" w:type="dxa"/>
            <w:tcBorders>
              <w:top w:val="nil"/>
              <w:left w:val="nil"/>
              <w:bottom w:val="single" w:sz="4" w:space="0" w:color="auto"/>
              <w:right w:val="single" w:sz="4" w:space="0" w:color="auto"/>
            </w:tcBorders>
            <w:noWrap/>
            <w:vAlign w:val="bottom"/>
            <w:hideMark/>
          </w:tcPr>
          <w:p w14:paraId="4E661EE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12,500</w:t>
            </w:r>
          </w:p>
        </w:tc>
        <w:tc>
          <w:tcPr>
            <w:tcW w:w="1289" w:type="dxa"/>
            <w:tcBorders>
              <w:top w:val="nil"/>
              <w:left w:val="nil"/>
              <w:bottom w:val="single" w:sz="4" w:space="0" w:color="auto"/>
              <w:right w:val="single" w:sz="4" w:space="0" w:color="auto"/>
            </w:tcBorders>
            <w:noWrap/>
            <w:vAlign w:val="bottom"/>
            <w:hideMark/>
          </w:tcPr>
          <w:p w14:paraId="3EBD6222"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12,510</w:t>
            </w:r>
          </w:p>
        </w:tc>
      </w:tr>
      <w:tr w:rsidR="00870648" w:rsidRPr="00A05FC8" w14:paraId="0BF788EF" w14:textId="77777777" w:rsidTr="00A05FC8">
        <w:trPr>
          <w:gridAfter w:val="1"/>
          <w:wAfter w:w="12" w:type="dxa"/>
          <w:trHeight w:val="44"/>
        </w:trPr>
        <w:tc>
          <w:tcPr>
            <w:tcW w:w="1276" w:type="dxa"/>
            <w:tcBorders>
              <w:top w:val="nil"/>
              <w:left w:val="single" w:sz="4" w:space="0" w:color="auto"/>
              <w:bottom w:val="single" w:sz="4" w:space="0" w:color="auto"/>
              <w:right w:val="single" w:sz="4" w:space="0" w:color="auto"/>
            </w:tcBorders>
            <w:noWrap/>
            <w:vAlign w:val="bottom"/>
            <w:hideMark/>
          </w:tcPr>
          <w:p w14:paraId="4C7FC640" w14:textId="77777777" w:rsidR="00870648" w:rsidRPr="00A05FC8" w:rsidRDefault="00870648" w:rsidP="00A05FC8">
            <w:pPr>
              <w:spacing w:after="0" w:line="240" w:lineRule="auto"/>
              <w:rPr>
                <w:rFonts w:eastAsia="Times New Roman" w:cs="Arial"/>
                <w:color w:val="000000"/>
                <w:sz w:val="18"/>
                <w:szCs w:val="18"/>
                <w:lang w:eastAsia="en-ID"/>
              </w:rPr>
            </w:pPr>
            <w:r w:rsidRPr="00A05FC8">
              <w:rPr>
                <w:rFonts w:eastAsia="Times New Roman" w:cs="Arial"/>
                <w:color w:val="000000"/>
                <w:sz w:val="18"/>
                <w:szCs w:val="18"/>
                <w:lang w:eastAsia="en-ID"/>
              </w:rPr>
              <w:t>50% (P3)</w:t>
            </w:r>
          </w:p>
        </w:tc>
        <w:tc>
          <w:tcPr>
            <w:tcW w:w="993" w:type="dxa"/>
            <w:tcBorders>
              <w:top w:val="nil"/>
              <w:left w:val="nil"/>
              <w:bottom w:val="single" w:sz="4" w:space="0" w:color="auto"/>
              <w:right w:val="single" w:sz="4" w:space="0" w:color="auto"/>
            </w:tcBorders>
            <w:noWrap/>
            <w:vAlign w:val="bottom"/>
            <w:hideMark/>
          </w:tcPr>
          <w:p w14:paraId="5CE55101"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4,010</w:t>
            </w:r>
          </w:p>
        </w:tc>
        <w:tc>
          <w:tcPr>
            <w:tcW w:w="992" w:type="dxa"/>
            <w:tcBorders>
              <w:top w:val="nil"/>
              <w:left w:val="nil"/>
              <w:bottom w:val="single" w:sz="4" w:space="0" w:color="auto"/>
              <w:right w:val="single" w:sz="4" w:space="0" w:color="auto"/>
            </w:tcBorders>
            <w:noWrap/>
            <w:vAlign w:val="bottom"/>
            <w:hideMark/>
          </w:tcPr>
          <w:p w14:paraId="64617657"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4,000</w:t>
            </w:r>
          </w:p>
        </w:tc>
        <w:tc>
          <w:tcPr>
            <w:tcW w:w="851" w:type="dxa"/>
            <w:tcBorders>
              <w:top w:val="nil"/>
              <w:left w:val="nil"/>
              <w:bottom w:val="single" w:sz="4" w:space="0" w:color="auto"/>
              <w:right w:val="single" w:sz="4" w:space="0" w:color="auto"/>
            </w:tcBorders>
            <w:noWrap/>
            <w:vAlign w:val="bottom"/>
            <w:hideMark/>
          </w:tcPr>
          <w:p w14:paraId="0A05E5C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4,012</w:t>
            </w:r>
          </w:p>
        </w:tc>
        <w:tc>
          <w:tcPr>
            <w:tcW w:w="1134" w:type="dxa"/>
            <w:tcBorders>
              <w:top w:val="nil"/>
              <w:left w:val="nil"/>
              <w:bottom w:val="single" w:sz="4" w:space="0" w:color="auto"/>
              <w:right w:val="single" w:sz="4" w:space="0" w:color="auto"/>
            </w:tcBorders>
            <w:noWrap/>
            <w:vAlign w:val="bottom"/>
            <w:hideMark/>
          </w:tcPr>
          <w:p w14:paraId="1F4D255D"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5,990</w:t>
            </w:r>
          </w:p>
        </w:tc>
        <w:tc>
          <w:tcPr>
            <w:tcW w:w="850" w:type="dxa"/>
            <w:tcBorders>
              <w:top w:val="nil"/>
              <w:left w:val="nil"/>
              <w:bottom w:val="single" w:sz="4" w:space="0" w:color="auto"/>
              <w:right w:val="single" w:sz="4" w:space="0" w:color="auto"/>
            </w:tcBorders>
            <w:noWrap/>
            <w:vAlign w:val="bottom"/>
            <w:hideMark/>
          </w:tcPr>
          <w:p w14:paraId="6D9F365A"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6,000</w:t>
            </w:r>
          </w:p>
        </w:tc>
        <w:tc>
          <w:tcPr>
            <w:tcW w:w="993" w:type="dxa"/>
            <w:tcBorders>
              <w:top w:val="nil"/>
              <w:left w:val="nil"/>
              <w:bottom w:val="single" w:sz="4" w:space="0" w:color="auto"/>
              <w:right w:val="single" w:sz="4" w:space="0" w:color="auto"/>
            </w:tcBorders>
            <w:noWrap/>
            <w:vAlign w:val="bottom"/>
            <w:hideMark/>
          </w:tcPr>
          <w:p w14:paraId="0FF5052C"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5,998</w:t>
            </w:r>
          </w:p>
        </w:tc>
        <w:tc>
          <w:tcPr>
            <w:tcW w:w="1134" w:type="dxa"/>
            <w:tcBorders>
              <w:top w:val="nil"/>
              <w:left w:val="nil"/>
              <w:bottom w:val="single" w:sz="4" w:space="0" w:color="auto"/>
              <w:right w:val="single" w:sz="4" w:space="0" w:color="auto"/>
            </w:tcBorders>
            <w:noWrap/>
            <w:vAlign w:val="bottom"/>
            <w:hideMark/>
          </w:tcPr>
          <w:p w14:paraId="45D420C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10,090</w:t>
            </w:r>
          </w:p>
        </w:tc>
        <w:tc>
          <w:tcPr>
            <w:tcW w:w="1134" w:type="dxa"/>
            <w:tcBorders>
              <w:top w:val="nil"/>
              <w:left w:val="nil"/>
              <w:bottom w:val="single" w:sz="4" w:space="0" w:color="auto"/>
              <w:right w:val="single" w:sz="4" w:space="0" w:color="auto"/>
            </w:tcBorders>
            <w:noWrap/>
            <w:vAlign w:val="bottom"/>
            <w:hideMark/>
          </w:tcPr>
          <w:p w14:paraId="75FB6509"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10,000</w:t>
            </w:r>
          </w:p>
        </w:tc>
        <w:tc>
          <w:tcPr>
            <w:tcW w:w="1134" w:type="dxa"/>
            <w:tcBorders>
              <w:top w:val="nil"/>
              <w:left w:val="nil"/>
              <w:bottom w:val="single" w:sz="4" w:space="0" w:color="auto"/>
              <w:right w:val="single" w:sz="4" w:space="0" w:color="auto"/>
            </w:tcBorders>
            <w:noWrap/>
            <w:vAlign w:val="bottom"/>
            <w:hideMark/>
          </w:tcPr>
          <w:p w14:paraId="4860012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10,080</w:t>
            </w:r>
          </w:p>
        </w:tc>
        <w:tc>
          <w:tcPr>
            <w:tcW w:w="992" w:type="dxa"/>
            <w:tcBorders>
              <w:top w:val="nil"/>
              <w:left w:val="nil"/>
              <w:bottom w:val="single" w:sz="4" w:space="0" w:color="auto"/>
              <w:right w:val="single" w:sz="4" w:space="0" w:color="auto"/>
            </w:tcBorders>
            <w:noWrap/>
            <w:vAlign w:val="bottom"/>
            <w:hideMark/>
          </w:tcPr>
          <w:p w14:paraId="261A25B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11,090</w:t>
            </w:r>
          </w:p>
        </w:tc>
        <w:tc>
          <w:tcPr>
            <w:tcW w:w="840" w:type="dxa"/>
            <w:tcBorders>
              <w:top w:val="nil"/>
              <w:left w:val="nil"/>
              <w:bottom w:val="single" w:sz="4" w:space="0" w:color="auto"/>
              <w:right w:val="single" w:sz="4" w:space="0" w:color="auto"/>
            </w:tcBorders>
            <w:noWrap/>
            <w:vAlign w:val="bottom"/>
            <w:hideMark/>
          </w:tcPr>
          <w:p w14:paraId="5426B04E"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11,000</w:t>
            </w:r>
          </w:p>
        </w:tc>
        <w:tc>
          <w:tcPr>
            <w:tcW w:w="1289" w:type="dxa"/>
            <w:tcBorders>
              <w:top w:val="nil"/>
              <w:left w:val="nil"/>
              <w:bottom w:val="single" w:sz="4" w:space="0" w:color="auto"/>
              <w:right w:val="single" w:sz="4" w:space="0" w:color="auto"/>
            </w:tcBorders>
            <w:noWrap/>
            <w:vAlign w:val="bottom"/>
            <w:hideMark/>
          </w:tcPr>
          <w:p w14:paraId="6B4688B5" w14:textId="77777777" w:rsidR="00870648" w:rsidRPr="00A05FC8" w:rsidRDefault="00870648" w:rsidP="00A05FC8">
            <w:pPr>
              <w:spacing w:after="0" w:line="240" w:lineRule="auto"/>
              <w:jc w:val="center"/>
              <w:rPr>
                <w:rFonts w:eastAsia="Times New Roman" w:cs="Arial"/>
                <w:color w:val="000000"/>
                <w:sz w:val="18"/>
                <w:szCs w:val="18"/>
                <w:lang w:eastAsia="en-ID"/>
              </w:rPr>
            </w:pPr>
            <w:r w:rsidRPr="00A05FC8">
              <w:rPr>
                <w:rFonts w:eastAsia="Times New Roman" w:cs="Arial"/>
                <w:color w:val="000000"/>
                <w:sz w:val="18"/>
                <w:szCs w:val="18"/>
                <w:lang w:eastAsia="en-ID"/>
              </w:rPr>
              <w:t>11,010</w:t>
            </w:r>
          </w:p>
        </w:tc>
      </w:tr>
    </w:tbl>
    <w:p w14:paraId="4CEC8DD1" w14:textId="77777777" w:rsidR="00870648" w:rsidRPr="005F1A2F" w:rsidRDefault="00870648" w:rsidP="00870648">
      <w:pPr>
        <w:spacing w:after="0" w:line="276" w:lineRule="auto"/>
        <w:rPr>
          <w:rFonts w:eastAsia="Times New Roman" w:cs="Arial"/>
          <w:sz w:val="20"/>
          <w:szCs w:val="20"/>
          <w:highlight w:val="yellow"/>
          <w:lang w:eastAsia="en-ID"/>
        </w:rPr>
        <w:sectPr w:rsidR="00870648" w:rsidRPr="005F1A2F" w:rsidSect="00870648">
          <w:pgSz w:w="16838" w:h="11906" w:orient="landscape"/>
          <w:pgMar w:top="1701" w:right="1701" w:bottom="2268" w:left="2268" w:header="709" w:footer="709" w:gutter="0"/>
          <w:cols w:space="720"/>
        </w:sectPr>
      </w:pPr>
    </w:p>
    <w:p w14:paraId="322448F0" w14:textId="77777777" w:rsidR="002C6927" w:rsidRPr="0009774A" w:rsidRDefault="002C6927" w:rsidP="003B0714">
      <w:pPr>
        <w:pStyle w:val="NormalWeb"/>
        <w:spacing w:before="0" w:beforeAutospacing="0" w:after="0" w:afterAutospacing="0" w:line="276" w:lineRule="auto"/>
        <w:jc w:val="both"/>
        <w:rPr>
          <w:rFonts w:ascii="Arial" w:hAnsi="Arial" w:cs="Arial"/>
          <w:sz w:val="20"/>
          <w:szCs w:val="20"/>
        </w:rPr>
      </w:pPr>
    </w:p>
    <w:p w14:paraId="7D9C7864" w14:textId="0911C2D0" w:rsidR="003B0714" w:rsidRPr="0009774A" w:rsidRDefault="006E3184" w:rsidP="00575E17">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Table 3. Results of the Tukey Honestly Significant Difference (HSD) Post-Hoc Test at a Significance Level of α = 0.1</w:t>
      </w:r>
    </w:p>
    <w:tbl>
      <w:tblPr>
        <w:tblW w:w="8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90"/>
        <w:gridCol w:w="984"/>
        <w:gridCol w:w="766"/>
        <w:gridCol w:w="1020"/>
        <w:gridCol w:w="1020"/>
        <w:gridCol w:w="850"/>
        <w:gridCol w:w="772"/>
      </w:tblGrid>
      <w:tr w:rsidR="007B264B" w:rsidRPr="0009774A" w14:paraId="3CEBB780" w14:textId="77777777" w:rsidTr="0056577A">
        <w:trPr>
          <w:trHeight w:val="40"/>
        </w:trPr>
        <w:tc>
          <w:tcPr>
            <w:tcW w:w="1413" w:type="dxa"/>
            <w:noWrap/>
            <w:hideMark/>
          </w:tcPr>
          <w:p w14:paraId="365045DE" w14:textId="63692B86"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Group1</w:t>
            </w:r>
          </w:p>
        </w:tc>
        <w:tc>
          <w:tcPr>
            <w:tcW w:w="1390" w:type="dxa"/>
            <w:noWrap/>
            <w:hideMark/>
          </w:tcPr>
          <w:p w14:paraId="40951F14" w14:textId="20C5989A"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Group2</w:t>
            </w:r>
          </w:p>
        </w:tc>
        <w:tc>
          <w:tcPr>
            <w:tcW w:w="984" w:type="dxa"/>
            <w:noWrap/>
            <w:hideMark/>
          </w:tcPr>
          <w:p w14:paraId="33D61C68" w14:textId="4ED6D7CE" w:rsidR="007B264B" w:rsidRPr="0009774A" w:rsidRDefault="006E3184" w:rsidP="007B264B">
            <w:pPr>
              <w:spacing w:after="0" w:line="240" w:lineRule="auto"/>
              <w:rPr>
                <w:rFonts w:eastAsia="Times New Roman" w:cs="Arial"/>
                <w:color w:val="000000"/>
                <w:sz w:val="20"/>
                <w:szCs w:val="20"/>
                <w:lang w:eastAsia="en-ID"/>
              </w:rPr>
            </w:pPr>
            <w:proofErr w:type="spellStart"/>
            <w:r w:rsidRPr="0009774A">
              <w:rPr>
                <w:rFonts w:eastAsia="Times New Roman" w:cs="Arial"/>
                <w:color w:val="000000"/>
                <w:sz w:val="20"/>
                <w:szCs w:val="20"/>
                <w:lang w:eastAsia="en-ID"/>
              </w:rPr>
              <w:t>Meandiff</w:t>
            </w:r>
            <w:proofErr w:type="spellEnd"/>
          </w:p>
        </w:tc>
        <w:tc>
          <w:tcPr>
            <w:tcW w:w="766" w:type="dxa"/>
            <w:noWrap/>
            <w:hideMark/>
          </w:tcPr>
          <w:p w14:paraId="380C88F7" w14:textId="65D06DDA"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w:t>
            </w:r>
            <w:proofErr w:type="spellStart"/>
            <w:r w:rsidRPr="0009774A">
              <w:rPr>
                <w:rFonts w:eastAsia="Times New Roman" w:cs="Arial"/>
                <w:color w:val="000000"/>
                <w:sz w:val="20"/>
                <w:szCs w:val="20"/>
                <w:lang w:eastAsia="en-ID"/>
              </w:rPr>
              <w:t>Adj</w:t>
            </w:r>
            <w:proofErr w:type="spellEnd"/>
          </w:p>
        </w:tc>
        <w:tc>
          <w:tcPr>
            <w:tcW w:w="1020" w:type="dxa"/>
            <w:noWrap/>
            <w:hideMark/>
          </w:tcPr>
          <w:p w14:paraId="53EF34A3" w14:textId="6259DB15"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Lower</w:t>
            </w:r>
          </w:p>
        </w:tc>
        <w:tc>
          <w:tcPr>
            <w:tcW w:w="1020" w:type="dxa"/>
            <w:noWrap/>
            <w:hideMark/>
          </w:tcPr>
          <w:p w14:paraId="1AC320F1" w14:textId="48CFCC0B"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Upper</w:t>
            </w:r>
          </w:p>
        </w:tc>
        <w:tc>
          <w:tcPr>
            <w:tcW w:w="850" w:type="dxa"/>
            <w:noWrap/>
            <w:hideMark/>
          </w:tcPr>
          <w:p w14:paraId="4AD37B37" w14:textId="5FBD8A86"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Reject</w:t>
            </w:r>
          </w:p>
        </w:tc>
        <w:tc>
          <w:tcPr>
            <w:tcW w:w="772" w:type="dxa"/>
            <w:noWrap/>
            <w:hideMark/>
          </w:tcPr>
          <w:p w14:paraId="2E2AD9A1" w14:textId="6C9F9325" w:rsidR="007B264B" w:rsidRPr="0009774A" w:rsidRDefault="006E3184" w:rsidP="007B264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Week</w:t>
            </w:r>
          </w:p>
        </w:tc>
      </w:tr>
      <w:tr w:rsidR="00FB02B6" w:rsidRPr="0009774A" w14:paraId="0ADD9929" w14:textId="77777777" w:rsidTr="0056577A">
        <w:trPr>
          <w:trHeight w:val="40"/>
        </w:trPr>
        <w:tc>
          <w:tcPr>
            <w:tcW w:w="1413" w:type="dxa"/>
            <w:noWrap/>
            <w:vAlign w:val="bottom"/>
            <w:hideMark/>
          </w:tcPr>
          <w:p w14:paraId="39EB845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1B3FD09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984" w:type="dxa"/>
            <w:noWrap/>
            <w:vAlign w:val="center"/>
            <w:hideMark/>
          </w:tcPr>
          <w:p w14:paraId="7A3247C2" w14:textId="30037D6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-0,046</w:t>
            </w:r>
          </w:p>
        </w:tc>
        <w:tc>
          <w:tcPr>
            <w:tcW w:w="766" w:type="dxa"/>
            <w:noWrap/>
            <w:vAlign w:val="center"/>
            <w:hideMark/>
          </w:tcPr>
          <w:p w14:paraId="75F7D6EF" w14:textId="351607A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FFD7999" w14:textId="3E93EEB0"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-0,048</w:t>
            </w:r>
          </w:p>
        </w:tc>
        <w:tc>
          <w:tcPr>
            <w:tcW w:w="1020" w:type="dxa"/>
            <w:noWrap/>
            <w:vAlign w:val="center"/>
            <w:hideMark/>
          </w:tcPr>
          <w:p w14:paraId="7A2EB646" w14:textId="35129E9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-0,045</w:t>
            </w:r>
          </w:p>
        </w:tc>
        <w:tc>
          <w:tcPr>
            <w:tcW w:w="850" w:type="dxa"/>
            <w:noWrap/>
            <w:vAlign w:val="bottom"/>
            <w:hideMark/>
          </w:tcPr>
          <w:p w14:paraId="6D139782"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23A84EA3"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6C1D8BF1" w14:textId="77777777" w:rsidTr="0056577A">
        <w:trPr>
          <w:trHeight w:val="47"/>
        </w:trPr>
        <w:tc>
          <w:tcPr>
            <w:tcW w:w="1413" w:type="dxa"/>
            <w:noWrap/>
            <w:vAlign w:val="bottom"/>
            <w:hideMark/>
          </w:tcPr>
          <w:p w14:paraId="72497A7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07ECB08E"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1E3DF268" w14:textId="0F0AA68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-0,040</w:t>
            </w:r>
          </w:p>
        </w:tc>
        <w:tc>
          <w:tcPr>
            <w:tcW w:w="766" w:type="dxa"/>
            <w:noWrap/>
            <w:vAlign w:val="center"/>
            <w:hideMark/>
          </w:tcPr>
          <w:p w14:paraId="498949CF" w14:textId="5F9D68C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2E175B9" w14:textId="0EB82745"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-0,042</w:t>
            </w:r>
          </w:p>
        </w:tc>
        <w:tc>
          <w:tcPr>
            <w:tcW w:w="1020" w:type="dxa"/>
            <w:noWrap/>
            <w:vAlign w:val="center"/>
            <w:hideMark/>
          </w:tcPr>
          <w:p w14:paraId="0E6E06C9" w14:textId="7C4F30C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-0,039</w:t>
            </w:r>
          </w:p>
        </w:tc>
        <w:tc>
          <w:tcPr>
            <w:tcW w:w="850" w:type="dxa"/>
            <w:noWrap/>
            <w:vAlign w:val="bottom"/>
            <w:hideMark/>
          </w:tcPr>
          <w:p w14:paraId="2E0718EC"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6153EFA6"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745A33DF" w14:textId="77777777" w:rsidTr="0056577A">
        <w:trPr>
          <w:trHeight w:val="47"/>
        </w:trPr>
        <w:tc>
          <w:tcPr>
            <w:tcW w:w="1413" w:type="dxa"/>
            <w:noWrap/>
            <w:vAlign w:val="bottom"/>
            <w:hideMark/>
          </w:tcPr>
          <w:p w14:paraId="448E982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2D7111D3"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65C5A1D1" w14:textId="4909128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-0,043</w:t>
            </w:r>
          </w:p>
        </w:tc>
        <w:tc>
          <w:tcPr>
            <w:tcW w:w="766" w:type="dxa"/>
            <w:noWrap/>
            <w:vAlign w:val="center"/>
            <w:hideMark/>
          </w:tcPr>
          <w:p w14:paraId="69DDCAC8" w14:textId="6F3CA54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7CB93E28" w14:textId="3029E13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-0,045</w:t>
            </w:r>
          </w:p>
        </w:tc>
        <w:tc>
          <w:tcPr>
            <w:tcW w:w="1020" w:type="dxa"/>
            <w:noWrap/>
            <w:vAlign w:val="center"/>
            <w:hideMark/>
          </w:tcPr>
          <w:p w14:paraId="69928D20" w14:textId="07AC6A33"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-0,042</w:t>
            </w:r>
          </w:p>
        </w:tc>
        <w:tc>
          <w:tcPr>
            <w:tcW w:w="850" w:type="dxa"/>
            <w:noWrap/>
            <w:vAlign w:val="bottom"/>
            <w:hideMark/>
          </w:tcPr>
          <w:p w14:paraId="363CE38F"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58F2C41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571BD07E" w14:textId="77777777" w:rsidTr="0056577A">
        <w:trPr>
          <w:trHeight w:val="47"/>
        </w:trPr>
        <w:tc>
          <w:tcPr>
            <w:tcW w:w="1413" w:type="dxa"/>
            <w:noWrap/>
            <w:vAlign w:val="bottom"/>
            <w:hideMark/>
          </w:tcPr>
          <w:p w14:paraId="4384D9B6"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5AA103F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6E2112CF" w14:textId="5D084B33"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0,006</w:t>
            </w:r>
          </w:p>
        </w:tc>
        <w:tc>
          <w:tcPr>
            <w:tcW w:w="766" w:type="dxa"/>
            <w:noWrap/>
            <w:vAlign w:val="center"/>
            <w:hideMark/>
          </w:tcPr>
          <w:p w14:paraId="05DB7C60" w14:textId="1BE353A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503F1503" w14:textId="512A79F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0,005</w:t>
            </w:r>
          </w:p>
        </w:tc>
        <w:tc>
          <w:tcPr>
            <w:tcW w:w="1020" w:type="dxa"/>
            <w:noWrap/>
            <w:vAlign w:val="center"/>
            <w:hideMark/>
          </w:tcPr>
          <w:p w14:paraId="1F15FF64" w14:textId="4F014CD4"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0,008</w:t>
            </w:r>
          </w:p>
        </w:tc>
        <w:tc>
          <w:tcPr>
            <w:tcW w:w="850" w:type="dxa"/>
            <w:noWrap/>
            <w:vAlign w:val="bottom"/>
            <w:hideMark/>
          </w:tcPr>
          <w:p w14:paraId="29F35700"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775D7343"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79B1C4A2" w14:textId="77777777" w:rsidTr="0056577A">
        <w:trPr>
          <w:trHeight w:val="47"/>
        </w:trPr>
        <w:tc>
          <w:tcPr>
            <w:tcW w:w="1413" w:type="dxa"/>
            <w:noWrap/>
            <w:vAlign w:val="bottom"/>
            <w:hideMark/>
          </w:tcPr>
          <w:p w14:paraId="611A550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4A3DC76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3F17F25E" w14:textId="4A5C7C3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0,003</w:t>
            </w:r>
          </w:p>
        </w:tc>
        <w:tc>
          <w:tcPr>
            <w:tcW w:w="766" w:type="dxa"/>
            <w:noWrap/>
            <w:vAlign w:val="center"/>
            <w:hideMark/>
          </w:tcPr>
          <w:p w14:paraId="14B9D738" w14:textId="40328EE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0,001</w:t>
            </w:r>
          </w:p>
        </w:tc>
        <w:tc>
          <w:tcPr>
            <w:tcW w:w="1020" w:type="dxa"/>
            <w:noWrap/>
            <w:vAlign w:val="center"/>
            <w:hideMark/>
          </w:tcPr>
          <w:p w14:paraId="3882355E" w14:textId="597C28C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0,002</w:t>
            </w:r>
          </w:p>
        </w:tc>
        <w:tc>
          <w:tcPr>
            <w:tcW w:w="1020" w:type="dxa"/>
            <w:noWrap/>
            <w:vAlign w:val="center"/>
            <w:hideMark/>
          </w:tcPr>
          <w:p w14:paraId="76462F90" w14:textId="38C11C8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0,005</w:t>
            </w:r>
          </w:p>
        </w:tc>
        <w:tc>
          <w:tcPr>
            <w:tcW w:w="850" w:type="dxa"/>
            <w:noWrap/>
            <w:vAlign w:val="bottom"/>
            <w:hideMark/>
          </w:tcPr>
          <w:p w14:paraId="7D9B8E09"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53A4F0A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09873B0B" w14:textId="77777777" w:rsidTr="0056577A">
        <w:trPr>
          <w:trHeight w:val="47"/>
        </w:trPr>
        <w:tc>
          <w:tcPr>
            <w:tcW w:w="1413" w:type="dxa"/>
            <w:noWrap/>
            <w:vAlign w:val="bottom"/>
            <w:hideMark/>
          </w:tcPr>
          <w:p w14:paraId="33D1660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1390" w:type="dxa"/>
            <w:noWrap/>
            <w:vAlign w:val="bottom"/>
            <w:hideMark/>
          </w:tcPr>
          <w:p w14:paraId="0342DE4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37550555" w14:textId="5E31F7F0"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-0,003</w:t>
            </w:r>
          </w:p>
        </w:tc>
        <w:tc>
          <w:tcPr>
            <w:tcW w:w="766" w:type="dxa"/>
            <w:noWrap/>
            <w:vAlign w:val="center"/>
            <w:hideMark/>
          </w:tcPr>
          <w:p w14:paraId="53BA5DAE" w14:textId="5BFE3ED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0,001</w:t>
            </w:r>
          </w:p>
        </w:tc>
        <w:tc>
          <w:tcPr>
            <w:tcW w:w="1020" w:type="dxa"/>
            <w:noWrap/>
            <w:vAlign w:val="center"/>
            <w:hideMark/>
          </w:tcPr>
          <w:p w14:paraId="2FA8B7D9" w14:textId="08A4287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-0,005</w:t>
            </w:r>
          </w:p>
        </w:tc>
        <w:tc>
          <w:tcPr>
            <w:tcW w:w="1020" w:type="dxa"/>
            <w:noWrap/>
            <w:vAlign w:val="center"/>
            <w:hideMark/>
          </w:tcPr>
          <w:p w14:paraId="76A1DF4A" w14:textId="2D0052D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-0,002</w:t>
            </w:r>
          </w:p>
        </w:tc>
        <w:tc>
          <w:tcPr>
            <w:tcW w:w="850" w:type="dxa"/>
            <w:noWrap/>
            <w:vAlign w:val="bottom"/>
            <w:hideMark/>
          </w:tcPr>
          <w:p w14:paraId="3B000375"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0A9176C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1WAT</w:t>
            </w:r>
          </w:p>
        </w:tc>
      </w:tr>
      <w:tr w:rsidR="00FB02B6" w:rsidRPr="0009774A" w14:paraId="07EAC5BA" w14:textId="77777777" w:rsidTr="0056577A">
        <w:trPr>
          <w:trHeight w:val="47"/>
        </w:trPr>
        <w:tc>
          <w:tcPr>
            <w:tcW w:w="1413" w:type="dxa"/>
            <w:noWrap/>
            <w:vAlign w:val="bottom"/>
            <w:hideMark/>
          </w:tcPr>
          <w:p w14:paraId="23F0BAB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6536B36C"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984" w:type="dxa"/>
            <w:noWrap/>
            <w:vAlign w:val="center"/>
            <w:hideMark/>
          </w:tcPr>
          <w:p w14:paraId="7E8E2CFE" w14:textId="7E9281B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0,055</w:t>
            </w:r>
          </w:p>
        </w:tc>
        <w:tc>
          <w:tcPr>
            <w:tcW w:w="766" w:type="dxa"/>
            <w:noWrap/>
            <w:vAlign w:val="center"/>
            <w:hideMark/>
          </w:tcPr>
          <w:p w14:paraId="2F6108A8" w14:textId="6DA8269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895DC97" w14:textId="56AFD2F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0,054</w:t>
            </w:r>
          </w:p>
        </w:tc>
        <w:tc>
          <w:tcPr>
            <w:tcW w:w="1020" w:type="dxa"/>
            <w:noWrap/>
            <w:vAlign w:val="center"/>
            <w:hideMark/>
          </w:tcPr>
          <w:p w14:paraId="683C523D" w14:textId="19591794"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0,057</w:t>
            </w:r>
          </w:p>
        </w:tc>
        <w:tc>
          <w:tcPr>
            <w:tcW w:w="850" w:type="dxa"/>
            <w:noWrap/>
            <w:vAlign w:val="bottom"/>
            <w:hideMark/>
          </w:tcPr>
          <w:p w14:paraId="6D2BCFA4"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44C9AC7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4D50E7FE" w14:textId="77777777" w:rsidTr="0056577A">
        <w:trPr>
          <w:trHeight w:val="47"/>
        </w:trPr>
        <w:tc>
          <w:tcPr>
            <w:tcW w:w="1413" w:type="dxa"/>
            <w:noWrap/>
            <w:vAlign w:val="bottom"/>
            <w:hideMark/>
          </w:tcPr>
          <w:p w14:paraId="54B0184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02A06657"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5E82C576" w14:textId="7B2CBBA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0,051</w:t>
            </w:r>
          </w:p>
        </w:tc>
        <w:tc>
          <w:tcPr>
            <w:tcW w:w="766" w:type="dxa"/>
            <w:noWrap/>
            <w:vAlign w:val="center"/>
            <w:hideMark/>
          </w:tcPr>
          <w:p w14:paraId="59DE2000" w14:textId="55D53CA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97E9291" w14:textId="0AE64FF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0,050</w:t>
            </w:r>
          </w:p>
        </w:tc>
        <w:tc>
          <w:tcPr>
            <w:tcW w:w="1020" w:type="dxa"/>
            <w:noWrap/>
            <w:vAlign w:val="center"/>
            <w:hideMark/>
          </w:tcPr>
          <w:p w14:paraId="47C9941A" w14:textId="014284B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0,053</w:t>
            </w:r>
          </w:p>
        </w:tc>
        <w:tc>
          <w:tcPr>
            <w:tcW w:w="850" w:type="dxa"/>
            <w:noWrap/>
            <w:vAlign w:val="bottom"/>
            <w:hideMark/>
          </w:tcPr>
          <w:p w14:paraId="1B43719B"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0569F7B7"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7D46B106" w14:textId="77777777" w:rsidTr="0056577A">
        <w:trPr>
          <w:trHeight w:val="47"/>
        </w:trPr>
        <w:tc>
          <w:tcPr>
            <w:tcW w:w="1413" w:type="dxa"/>
            <w:noWrap/>
            <w:vAlign w:val="bottom"/>
            <w:hideMark/>
          </w:tcPr>
          <w:p w14:paraId="33E0E42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559E5136"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359E6DAB" w14:textId="07DD6CB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0,052</w:t>
            </w:r>
          </w:p>
        </w:tc>
        <w:tc>
          <w:tcPr>
            <w:tcW w:w="766" w:type="dxa"/>
            <w:noWrap/>
            <w:vAlign w:val="center"/>
            <w:hideMark/>
          </w:tcPr>
          <w:p w14:paraId="19E205ED" w14:textId="026AFC82"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F0A0F8C" w14:textId="2011FB9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0,051</w:t>
            </w:r>
          </w:p>
        </w:tc>
        <w:tc>
          <w:tcPr>
            <w:tcW w:w="1020" w:type="dxa"/>
            <w:noWrap/>
            <w:vAlign w:val="center"/>
            <w:hideMark/>
          </w:tcPr>
          <w:p w14:paraId="1003150D" w14:textId="6E7B098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0,054</w:t>
            </w:r>
          </w:p>
        </w:tc>
        <w:tc>
          <w:tcPr>
            <w:tcW w:w="850" w:type="dxa"/>
            <w:noWrap/>
            <w:vAlign w:val="bottom"/>
            <w:hideMark/>
          </w:tcPr>
          <w:p w14:paraId="614B471F"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1FF4615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32DF9212" w14:textId="77777777" w:rsidTr="0056577A">
        <w:trPr>
          <w:trHeight w:val="47"/>
        </w:trPr>
        <w:tc>
          <w:tcPr>
            <w:tcW w:w="1413" w:type="dxa"/>
            <w:noWrap/>
            <w:vAlign w:val="bottom"/>
            <w:hideMark/>
          </w:tcPr>
          <w:p w14:paraId="1C02276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19AE1D0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479CF02F" w14:textId="5A3F5DE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-0,004</w:t>
            </w:r>
          </w:p>
        </w:tc>
        <w:tc>
          <w:tcPr>
            <w:tcW w:w="766" w:type="dxa"/>
            <w:noWrap/>
            <w:vAlign w:val="center"/>
            <w:hideMark/>
          </w:tcPr>
          <w:p w14:paraId="6AB715F6" w14:textId="27A7A22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CD264DF" w14:textId="7CA9A14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-0,005</w:t>
            </w:r>
          </w:p>
        </w:tc>
        <w:tc>
          <w:tcPr>
            <w:tcW w:w="1020" w:type="dxa"/>
            <w:noWrap/>
            <w:vAlign w:val="center"/>
            <w:hideMark/>
          </w:tcPr>
          <w:p w14:paraId="7E748511" w14:textId="5A204F0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-0,003</w:t>
            </w:r>
          </w:p>
        </w:tc>
        <w:tc>
          <w:tcPr>
            <w:tcW w:w="850" w:type="dxa"/>
            <w:noWrap/>
            <w:vAlign w:val="bottom"/>
            <w:hideMark/>
          </w:tcPr>
          <w:p w14:paraId="5721D702"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48424F0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7DC3ACAA" w14:textId="77777777" w:rsidTr="0056577A">
        <w:trPr>
          <w:trHeight w:val="47"/>
        </w:trPr>
        <w:tc>
          <w:tcPr>
            <w:tcW w:w="1413" w:type="dxa"/>
            <w:noWrap/>
            <w:vAlign w:val="bottom"/>
            <w:hideMark/>
          </w:tcPr>
          <w:p w14:paraId="45F3890A"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2ADD2FE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02849B80" w14:textId="3084289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-0,003</w:t>
            </w:r>
          </w:p>
        </w:tc>
        <w:tc>
          <w:tcPr>
            <w:tcW w:w="766" w:type="dxa"/>
            <w:noWrap/>
            <w:vAlign w:val="center"/>
            <w:hideMark/>
          </w:tcPr>
          <w:p w14:paraId="344E2F67" w14:textId="46062A05"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367D5B36" w14:textId="53B3960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-0,004</w:t>
            </w:r>
          </w:p>
        </w:tc>
        <w:tc>
          <w:tcPr>
            <w:tcW w:w="1020" w:type="dxa"/>
            <w:noWrap/>
            <w:vAlign w:val="center"/>
            <w:hideMark/>
          </w:tcPr>
          <w:p w14:paraId="0220FA77" w14:textId="4472FAD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-0,002</w:t>
            </w:r>
          </w:p>
        </w:tc>
        <w:tc>
          <w:tcPr>
            <w:tcW w:w="850" w:type="dxa"/>
            <w:noWrap/>
            <w:vAlign w:val="bottom"/>
            <w:hideMark/>
          </w:tcPr>
          <w:p w14:paraId="46356486"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095E327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1131FAE0" w14:textId="77777777" w:rsidTr="0056577A">
        <w:trPr>
          <w:trHeight w:val="47"/>
        </w:trPr>
        <w:tc>
          <w:tcPr>
            <w:tcW w:w="1413" w:type="dxa"/>
            <w:noWrap/>
            <w:vAlign w:val="bottom"/>
            <w:hideMark/>
          </w:tcPr>
          <w:p w14:paraId="56C3EBFE"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1390" w:type="dxa"/>
            <w:noWrap/>
            <w:vAlign w:val="bottom"/>
            <w:hideMark/>
          </w:tcPr>
          <w:p w14:paraId="3541616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2842054F" w14:textId="6D1AD39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0,001</w:t>
            </w:r>
          </w:p>
        </w:tc>
        <w:tc>
          <w:tcPr>
            <w:tcW w:w="766" w:type="dxa"/>
            <w:noWrap/>
            <w:vAlign w:val="center"/>
            <w:hideMark/>
          </w:tcPr>
          <w:p w14:paraId="07D26239" w14:textId="4863EA1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0,144</w:t>
            </w:r>
          </w:p>
        </w:tc>
        <w:tc>
          <w:tcPr>
            <w:tcW w:w="1020" w:type="dxa"/>
            <w:noWrap/>
            <w:vAlign w:val="center"/>
            <w:hideMark/>
          </w:tcPr>
          <w:p w14:paraId="2D0ED2DD" w14:textId="1510978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2CBC3DEE" w14:textId="483B0F8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0,002</w:t>
            </w:r>
          </w:p>
        </w:tc>
        <w:tc>
          <w:tcPr>
            <w:tcW w:w="850" w:type="dxa"/>
            <w:noWrap/>
            <w:vAlign w:val="bottom"/>
            <w:hideMark/>
          </w:tcPr>
          <w:p w14:paraId="4CA09E8A"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FALSE</w:t>
            </w:r>
          </w:p>
        </w:tc>
        <w:tc>
          <w:tcPr>
            <w:tcW w:w="772" w:type="dxa"/>
            <w:noWrap/>
            <w:vAlign w:val="bottom"/>
            <w:hideMark/>
          </w:tcPr>
          <w:p w14:paraId="48EEEE1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2WAT</w:t>
            </w:r>
          </w:p>
        </w:tc>
      </w:tr>
      <w:tr w:rsidR="00FB02B6" w:rsidRPr="0009774A" w14:paraId="0851C6EA" w14:textId="77777777" w:rsidTr="0056577A">
        <w:trPr>
          <w:trHeight w:val="47"/>
        </w:trPr>
        <w:tc>
          <w:tcPr>
            <w:tcW w:w="1413" w:type="dxa"/>
            <w:noWrap/>
            <w:vAlign w:val="bottom"/>
            <w:hideMark/>
          </w:tcPr>
          <w:p w14:paraId="45720E2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439609DE"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984" w:type="dxa"/>
            <w:noWrap/>
            <w:vAlign w:val="center"/>
            <w:hideMark/>
          </w:tcPr>
          <w:p w14:paraId="6E0574B8" w14:textId="6E02007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-0,200</w:t>
            </w:r>
          </w:p>
        </w:tc>
        <w:tc>
          <w:tcPr>
            <w:tcW w:w="766" w:type="dxa"/>
            <w:noWrap/>
            <w:vAlign w:val="center"/>
            <w:hideMark/>
          </w:tcPr>
          <w:p w14:paraId="625BA656" w14:textId="7E4B3510"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710915DE" w14:textId="6FFD588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-0,233</w:t>
            </w:r>
          </w:p>
        </w:tc>
        <w:tc>
          <w:tcPr>
            <w:tcW w:w="1020" w:type="dxa"/>
            <w:noWrap/>
            <w:vAlign w:val="center"/>
            <w:hideMark/>
          </w:tcPr>
          <w:p w14:paraId="0498E3AF" w14:textId="1AC06CE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-0,167</w:t>
            </w:r>
          </w:p>
        </w:tc>
        <w:tc>
          <w:tcPr>
            <w:tcW w:w="850" w:type="dxa"/>
            <w:noWrap/>
            <w:vAlign w:val="bottom"/>
            <w:hideMark/>
          </w:tcPr>
          <w:p w14:paraId="786351C4"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1544B7F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139787C5" w14:textId="77777777" w:rsidTr="0056577A">
        <w:trPr>
          <w:trHeight w:val="47"/>
        </w:trPr>
        <w:tc>
          <w:tcPr>
            <w:tcW w:w="1413" w:type="dxa"/>
            <w:noWrap/>
            <w:vAlign w:val="bottom"/>
            <w:hideMark/>
          </w:tcPr>
          <w:p w14:paraId="4448A61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3219C60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21CFFC47" w14:textId="059BC40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1,598</w:t>
            </w:r>
          </w:p>
        </w:tc>
        <w:tc>
          <w:tcPr>
            <w:tcW w:w="766" w:type="dxa"/>
            <w:noWrap/>
            <w:vAlign w:val="center"/>
            <w:hideMark/>
          </w:tcPr>
          <w:p w14:paraId="430DE691" w14:textId="17E44B2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7531A0D" w14:textId="02E5E38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1,566</w:t>
            </w:r>
          </w:p>
        </w:tc>
        <w:tc>
          <w:tcPr>
            <w:tcW w:w="1020" w:type="dxa"/>
            <w:noWrap/>
            <w:vAlign w:val="center"/>
            <w:hideMark/>
          </w:tcPr>
          <w:p w14:paraId="1A1B223E" w14:textId="5C301376"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1,631</w:t>
            </w:r>
          </w:p>
        </w:tc>
        <w:tc>
          <w:tcPr>
            <w:tcW w:w="850" w:type="dxa"/>
            <w:noWrap/>
            <w:vAlign w:val="bottom"/>
            <w:hideMark/>
          </w:tcPr>
          <w:p w14:paraId="1DFD5CDF"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1BE0A14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116270FA" w14:textId="77777777" w:rsidTr="0056577A">
        <w:trPr>
          <w:trHeight w:val="47"/>
        </w:trPr>
        <w:tc>
          <w:tcPr>
            <w:tcW w:w="1413" w:type="dxa"/>
            <w:noWrap/>
            <w:vAlign w:val="bottom"/>
            <w:hideMark/>
          </w:tcPr>
          <w:p w14:paraId="374050C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3967D5A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5F7D69EC" w14:textId="0D31E20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-0,702</w:t>
            </w:r>
          </w:p>
        </w:tc>
        <w:tc>
          <w:tcPr>
            <w:tcW w:w="766" w:type="dxa"/>
            <w:noWrap/>
            <w:vAlign w:val="center"/>
            <w:hideMark/>
          </w:tcPr>
          <w:p w14:paraId="69556A48" w14:textId="49F22812"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CDB4D69" w14:textId="6E6ED0A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-0,735</w:t>
            </w:r>
          </w:p>
        </w:tc>
        <w:tc>
          <w:tcPr>
            <w:tcW w:w="1020" w:type="dxa"/>
            <w:noWrap/>
            <w:vAlign w:val="center"/>
            <w:hideMark/>
          </w:tcPr>
          <w:p w14:paraId="54357548" w14:textId="7AAEDFD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-0,669</w:t>
            </w:r>
          </w:p>
        </w:tc>
        <w:tc>
          <w:tcPr>
            <w:tcW w:w="850" w:type="dxa"/>
            <w:noWrap/>
            <w:vAlign w:val="bottom"/>
            <w:hideMark/>
          </w:tcPr>
          <w:p w14:paraId="21E13794"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581DFC3C"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5266EFE3" w14:textId="77777777" w:rsidTr="0056577A">
        <w:trPr>
          <w:trHeight w:val="47"/>
        </w:trPr>
        <w:tc>
          <w:tcPr>
            <w:tcW w:w="1413" w:type="dxa"/>
            <w:noWrap/>
            <w:vAlign w:val="bottom"/>
            <w:hideMark/>
          </w:tcPr>
          <w:p w14:paraId="0894DED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5236BF6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195949E1" w14:textId="2C23388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1,798</w:t>
            </w:r>
          </w:p>
        </w:tc>
        <w:tc>
          <w:tcPr>
            <w:tcW w:w="766" w:type="dxa"/>
            <w:noWrap/>
            <w:vAlign w:val="center"/>
            <w:hideMark/>
          </w:tcPr>
          <w:p w14:paraId="1173FB75" w14:textId="76FDC10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29826C41" w14:textId="6B0D2B3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1,765</w:t>
            </w:r>
          </w:p>
        </w:tc>
        <w:tc>
          <w:tcPr>
            <w:tcW w:w="1020" w:type="dxa"/>
            <w:noWrap/>
            <w:vAlign w:val="center"/>
            <w:hideMark/>
          </w:tcPr>
          <w:p w14:paraId="0B7FCEA9" w14:textId="7FC29F52"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1,831</w:t>
            </w:r>
          </w:p>
        </w:tc>
        <w:tc>
          <w:tcPr>
            <w:tcW w:w="850" w:type="dxa"/>
            <w:noWrap/>
            <w:vAlign w:val="bottom"/>
            <w:hideMark/>
          </w:tcPr>
          <w:p w14:paraId="4127E317"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323FBDF3"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216526B7" w14:textId="77777777" w:rsidTr="0056577A">
        <w:trPr>
          <w:trHeight w:val="47"/>
        </w:trPr>
        <w:tc>
          <w:tcPr>
            <w:tcW w:w="1413" w:type="dxa"/>
            <w:noWrap/>
            <w:vAlign w:val="bottom"/>
            <w:hideMark/>
          </w:tcPr>
          <w:p w14:paraId="520DC4C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75432D6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2D30E4B1" w14:textId="5145623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-0,502</w:t>
            </w:r>
          </w:p>
        </w:tc>
        <w:tc>
          <w:tcPr>
            <w:tcW w:w="766" w:type="dxa"/>
            <w:noWrap/>
            <w:vAlign w:val="center"/>
            <w:hideMark/>
          </w:tcPr>
          <w:p w14:paraId="47C216EB" w14:textId="527F9DA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7BF60D2F" w14:textId="5BBC0D9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-0,535</w:t>
            </w:r>
          </w:p>
        </w:tc>
        <w:tc>
          <w:tcPr>
            <w:tcW w:w="1020" w:type="dxa"/>
            <w:noWrap/>
            <w:vAlign w:val="center"/>
            <w:hideMark/>
          </w:tcPr>
          <w:p w14:paraId="2964BFC8" w14:textId="49A28E21"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-0,469</w:t>
            </w:r>
          </w:p>
        </w:tc>
        <w:tc>
          <w:tcPr>
            <w:tcW w:w="850" w:type="dxa"/>
            <w:noWrap/>
            <w:vAlign w:val="bottom"/>
            <w:hideMark/>
          </w:tcPr>
          <w:p w14:paraId="191E314D"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3656220D"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774F41F0" w14:textId="77777777" w:rsidTr="0056577A">
        <w:trPr>
          <w:trHeight w:val="47"/>
        </w:trPr>
        <w:tc>
          <w:tcPr>
            <w:tcW w:w="1413" w:type="dxa"/>
            <w:noWrap/>
            <w:vAlign w:val="bottom"/>
            <w:hideMark/>
          </w:tcPr>
          <w:p w14:paraId="408AF3BA"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1390" w:type="dxa"/>
            <w:noWrap/>
            <w:vAlign w:val="bottom"/>
            <w:hideMark/>
          </w:tcPr>
          <w:p w14:paraId="2DB4F7B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12901CD2" w14:textId="5BEC004A"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-2,300</w:t>
            </w:r>
          </w:p>
        </w:tc>
        <w:tc>
          <w:tcPr>
            <w:tcW w:w="766" w:type="dxa"/>
            <w:noWrap/>
            <w:vAlign w:val="center"/>
            <w:hideMark/>
          </w:tcPr>
          <w:p w14:paraId="3DAE6900" w14:textId="680EC32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66FEEE21" w14:textId="52C86A3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-2,333</w:t>
            </w:r>
          </w:p>
        </w:tc>
        <w:tc>
          <w:tcPr>
            <w:tcW w:w="1020" w:type="dxa"/>
            <w:noWrap/>
            <w:vAlign w:val="center"/>
            <w:hideMark/>
          </w:tcPr>
          <w:p w14:paraId="5D024C9E" w14:textId="3E86F243"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-2,267</w:t>
            </w:r>
          </w:p>
        </w:tc>
        <w:tc>
          <w:tcPr>
            <w:tcW w:w="850" w:type="dxa"/>
            <w:noWrap/>
            <w:vAlign w:val="bottom"/>
            <w:hideMark/>
          </w:tcPr>
          <w:p w14:paraId="3C422111"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4FFB509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3WAT</w:t>
            </w:r>
          </w:p>
        </w:tc>
      </w:tr>
      <w:tr w:rsidR="00FB02B6" w:rsidRPr="0009774A" w14:paraId="27413613" w14:textId="77777777" w:rsidTr="0056577A">
        <w:trPr>
          <w:trHeight w:val="47"/>
        </w:trPr>
        <w:tc>
          <w:tcPr>
            <w:tcW w:w="1413" w:type="dxa"/>
            <w:noWrap/>
            <w:vAlign w:val="bottom"/>
            <w:hideMark/>
          </w:tcPr>
          <w:p w14:paraId="36A17DEA"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6C6838DF"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984" w:type="dxa"/>
            <w:noWrap/>
            <w:vAlign w:val="center"/>
            <w:hideMark/>
          </w:tcPr>
          <w:p w14:paraId="755AAC0F" w14:textId="1F36883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-1,694</w:t>
            </w:r>
          </w:p>
        </w:tc>
        <w:tc>
          <w:tcPr>
            <w:tcW w:w="766" w:type="dxa"/>
            <w:noWrap/>
            <w:vAlign w:val="center"/>
            <w:hideMark/>
          </w:tcPr>
          <w:p w14:paraId="3287AEC4" w14:textId="7AE138F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1A485DA9" w14:textId="0CF8FAA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-1,704</w:t>
            </w:r>
          </w:p>
        </w:tc>
        <w:tc>
          <w:tcPr>
            <w:tcW w:w="1020" w:type="dxa"/>
            <w:noWrap/>
            <w:vAlign w:val="center"/>
            <w:hideMark/>
          </w:tcPr>
          <w:p w14:paraId="653DE8AB" w14:textId="3985509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-1,683</w:t>
            </w:r>
          </w:p>
        </w:tc>
        <w:tc>
          <w:tcPr>
            <w:tcW w:w="850" w:type="dxa"/>
            <w:noWrap/>
            <w:vAlign w:val="bottom"/>
            <w:hideMark/>
          </w:tcPr>
          <w:p w14:paraId="1313E4E1"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7D404FC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3FC084BD" w14:textId="77777777" w:rsidTr="0056577A">
        <w:trPr>
          <w:trHeight w:val="47"/>
        </w:trPr>
        <w:tc>
          <w:tcPr>
            <w:tcW w:w="1413" w:type="dxa"/>
            <w:noWrap/>
            <w:vAlign w:val="bottom"/>
            <w:hideMark/>
          </w:tcPr>
          <w:p w14:paraId="0BC433F9"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010A8C5C"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0CB7620B" w14:textId="1D6AB7B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-3,827</w:t>
            </w:r>
          </w:p>
        </w:tc>
        <w:tc>
          <w:tcPr>
            <w:tcW w:w="766" w:type="dxa"/>
            <w:noWrap/>
            <w:vAlign w:val="center"/>
            <w:hideMark/>
          </w:tcPr>
          <w:p w14:paraId="7238F172" w14:textId="63EE144E"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D93A9A0" w14:textId="40562D0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-3,837</w:t>
            </w:r>
          </w:p>
        </w:tc>
        <w:tc>
          <w:tcPr>
            <w:tcW w:w="1020" w:type="dxa"/>
            <w:noWrap/>
            <w:vAlign w:val="center"/>
            <w:hideMark/>
          </w:tcPr>
          <w:p w14:paraId="74DF1D16" w14:textId="64A4E19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-3,816</w:t>
            </w:r>
          </w:p>
        </w:tc>
        <w:tc>
          <w:tcPr>
            <w:tcW w:w="850" w:type="dxa"/>
            <w:noWrap/>
            <w:vAlign w:val="bottom"/>
            <w:hideMark/>
          </w:tcPr>
          <w:p w14:paraId="2E6BDD83"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7B1DC2A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64899945" w14:textId="77777777" w:rsidTr="0056577A">
        <w:trPr>
          <w:trHeight w:val="47"/>
        </w:trPr>
        <w:tc>
          <w:tcPr>
            <w:tcW w:w="1413" w:type="dxa"/>
            <w:noWrap/>
            <w:vAlign w:val="bottom"/>
            <w:hideMark/>
          </w:tcPr>
          <w:p w14:paraId="57B1100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w:t>
            </w:r>
          </w:p>
        </w:tc>
        <w:tc>
          <w:tcPr>
            <w:tcW w:w="1390" w:type="dxa"/>
            <w:noWrap/>
            <w:vAlign w:val="bottom"/>
            <w:hideMark/>
          </w:tcPr>
          <w:p w14:paraId="3EC03CA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6FE2916D" w14:textId="7BBB519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-3,519</w:t>
            </w:r>
          </w:p>
        </w:tc>
        <w:tc>
          <w:tcPr>
            <w:tcW w:w="766" w:type="dxa"/>
            <w:noWrap/>
            <w:vAlign w:val="center"/>
            <w:hideMark/>
          </w:tcPr>
          <w:p w14:paraId="61F1F17D" w14:textId="3583586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19CA4205" w14:textId="50B7B42F"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-3,529</w:t>
            </w:r>
          </w:p>
        </w:tc>
        <w:tc>
          <w:tcPr>
            <w:tcW w:w="1020" w:type="dxa"/>
            <w:noWrap/>
            <w:vAlign w:val="center"/>
            <w:hideMark/>
          </w:tcPr>
          <w:p w14:paraId="7F538C16" w14:textId="31FA63D4"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-3,508</w:t>
            </w:r>
          </w:p>
        </w:tc>
        <w:tc>
          <w:tcPr>
            <w:tcW w:w="850" w:type="dxa"/>
            <w:noWrap/>
            <w:vAlign w:val="bottom"/>
            <w:hideMark/>
          </w:tcPr>
          <w:p w14:paraId="433212C4"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7306BCE5"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15EE890D" w14:textId="77777777" w:rsidTr="0056577A">
        <w:trPr>
          <w:trHeight w:val="47"/>
        </w:trPr>
        <w:tc>
          <w:tcPr>
            <w:tcW w:w="1413" w:type="dxa"/>
            <w:noWrap/>
            <w:vAlign w:val="bottom"/>
            <w:hideMark/>
          </w:tcPr>
          <w:p w14:paraId="0DC9E47B"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154EF231"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984" w:type="dxa"/>
            <w:noWrap/>
            <w:vAlign w:val="center"/>
            <w:hideMark/>
          </w:tcPr>
          <w:p w14:paraId="10ADFB6D" w14:textId="0B7812E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-2,133</w:t>
            </w:r>
          </w:p>
        </w:tc>
        <w:tc>
          <w:tcPr>
            <w:tcW w:w="766" w:type="dxa"/>
            <w:noWrap/>
            <w:vAlign w:val="center"/>
            <w:hideMark/>
          </w:tcPr>
          <w:p w14:paraId="7D932BDB" w14:textId="314E078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120677A8" w14:textId="0A297BBB"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-2,144</w:t>
            </w:r>
          </w:p>
        </w:tc>
        <w:tc>
          <w:tcPr>
            <w:tcW w:w="1020" w:type="dxa"/>
            <w:noWrap/>
            <w:vAlign w:val="center"/>
            <w:hideMark/>
          </w:tcPr>
          <w:p w14:paraId="1D292EB1" w14:textId="666A770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-2,123</w:t>
            </w:r>
          </w:p>
        </w:tc>
        <w:tc>
          <w:tcPr>
            <w:tcW w:w="850" w:type="dxa"/>
            <w:noWrap/>
            <w:vAlign w:val="bottom"/>
            <w:hideMark/>
          </w:tcPr>
          <w:p w14:paraId="4FF0FACA"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6AD203F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2BE1A1EF" w14:textId="77777777" w:rsidTr="0056577A">
        <w:trPr>
          <w:trHeight w:val="47"/>
        </w:trPr>
        <w:tc>
          <w:tcPr>
            <w:tcW w:w="1413" w:type="dxa"/>
            <w:noWrap/>
            <w:vAlign w:val="bottom"/>
            <w:hideMark/>
          </w:tcPr>
          <w:p w14:paraId="7B0C704A"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w:t>
            </w:r>
          </w:p>
        </w:tc>
        <w:tc>
          <w:tcPr>
            <w:tcW w:w="1390" w:type="dxa"/>
            <w:noWrap/>
            <w:vAlign w:val="bottom"/>
            <w:hideMark/>
          </w:tcPr>
          <w:p w14:paraId="273CCC6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627A7FA1" w14:textId="59AADDE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-1,825</w:t>
            </w:r>
          </w:p>
        </w:tc>
        <w:tc>
          <w:tcPr>
            <w:tcW w:w="766" w:type="dxa"/>
            <w:noWrap/>
            <w:vAlign w:val="center"/>
            <w:hideMark/>
          </w:tcPr>
          <w:p w14:paraId="107F3921" w14:textId="00A5EDF3"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7BBF6134" w14:textId="1A6FE8B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-1,836</w:t>
            </w:r>
          </w:p>
        </w:tc>
        <w:tc>
          <w:tcPr>
            <w:tcW w:w="1020" w:type="dxa"/>
            <w:noWrap/>
            <w:vAlign w:val="center"/>
            <w:hideMark/>
          </w:tcPr>
          <w:p w14:paraId="78010D43" w14:textId="71316D2D"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-1,815</w:t>
            </w:r>
          </w:p>
        </w:tc>
        <w:tc>
          <w:tcPr>
            <w:tcW w:w="850" w:type="dxa"/>
            <w:noWrap/>
            <w:vAlign w:val="bottom"/>
            <w:hideMark/>
          </w:tcPr>
          <w:p w14:paraId="5B66A977"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0C802A40"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r w:rsidR="00FB02B6" w:rsidRPr="0009774A" w14:paraId="2F93D63E" w14:textId="77777777" w:rsidTr="0056577A">
        <w:trPr>
          <w:trHeight w:val="47"/>
        </w:trPr>
        <w:tc>
          <w:tcPr>
            <w:tcW w:w="1413" w:type="dxa"/>
            <w:noWrap/>
            <w:vAlign w:val="bottom"/>
            <w:hideMark/>
          </w:tcPr>
          <w:p w14:paraId="0A0E08A6"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w:t>
            </w:r>
          </w:p>
        </w:tc>
        <w:tc>
          <w:tcPr>
            <w:tcW w:w="1390" w:type="dxa"/>
            <w:noWrap/>
            <w:vAlign w:val="bottom"/>
            <w:hideMark/>
          </w:tcPr>
          <w:p w14:paraId="576E6BF8"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w:t>
            </w:r>
          </w:p>
        </w:tc>
        <w:tc>
          <w:tcPr>
            <w:tcW w:w="984" w:type="dxa"/>
            <w:noWrap/>
            <w:vAlign w:val="center"/>
            <w:hideMark/>
          </w:tcPr>
          <w:p w14:paraId="4230F49E" w14:textId="0B967E57"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0,308</w:t>
            </w:r>
          </w:p>
        </w:tc>
        <w:tc>
          <w:tcPr>
            <w:tcW w:w="766" w:type="dxa"/>
            <w:noWrap/>
            <w:vAlign w:val="center"/>
            <w:hideMark/>
          </w:tcPr>
          <w:p w14:paraId="6B251DF9" w14:textId="7DA35768"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0,000</w:t>
            </w:r>
          </w:p>
        </w:tc>
        <w:tc>
          <w:tcPr>
            <w:tcW w:w="1020" w:type="dxa"/>
            <w:noWrap/>
            <w:vAlign w:val="center"/>
            <w:hideMark/>
          </w:tcPr>
          <w:p w14:paraId="09FBCBBA" w14:textId="5807A70C"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0,298</w:t>
            </w:r>
          </w:p>
        </w:tc>
        <w:tc>
          <w:tcPr>
            <w:tcW w:w="1020" w:type="dxa"/>
            <w:noWrap/>
            <w:vAlign w:val="center"/>
            <w:hideMark/>
          </w:tcPr>
          <w:p w14:paraId="1BC35233" w14:textId="7DA7B189" w:rsidR="00FB02B6" w:rsidRPr="0009774A" w:rsidRDefault="00FB02B6" w:rsidP="00FB02B6">
            <w:pPr>
              <w:spacing w:after="0" w:line="240" w:lineRule="auto"/>
              <w:jc w:val="right"/>
              <w:rPr>
                <w:rFonts w:eastAsia="Times New Roman" w:cs="Arial"/>
                <w:color w:val="000000"/>
                <w:sz w:val="20"/>
                <w:szCs w:val="20"/>
                <w:lang w:eastAsia="en-ID"/>
              </w:rPr>
            </w:pPr>
            <w:r w:rsidRPr="0009774A">
              <w:rPr>
                <w:rFonts w:cs="Arial"/>
                <w:color w:val="000000"/>
                <w:sz w:val="20"/>
                <w:szCs w:val="20"/>
              </w:rPr>
              <w:t>0,319</w:t>
            </w:r>
          </w:p>
        </w:tc>
        <w:tc>
          <w:tcPr>
            <w:tcW w:w="850" w:type="dxa"/>
            <w:noWrap/>
            <w:vAlign w:val="bottom"/>
            <w:hideMark/>
          </w:tcPr>
          <w:p w14:paraId="2F3527C6" w14:textId="77777777" w:rsidR="00FB02B6" w:rsidRPr="0009774A" w:rsidRDefault="00FB02B6" w:rsidP="00FB02B6">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TRUE</w:t>
            </w:r>
          </w:p>
        </w:tc>
        <w:tc>
          <w:tcPr>
            <w:tcW w:w="772" w:type="dxa"/>
            <w:noWrap/>
            <w:vAlign w:val="bottom"/>
            <w:hideMark/>
          </w:tcPr>
          <w:p w14:paraId="2543A814" w14:textId="77777777" w:rsidR="00FB02B6" w:rsidRPr="0009774A" w:rsidRDefault="00FB02B6" w:rsidP="00FB02B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4WAT</w:t>
            </w:r>
          </w:p>
        </w:tc>
      </w:tr>
    </w:tbl>
    <w:p w14:paraId="2275848A" w14:textId="77777777" w:rsidR="007B264B" w:rsidRPr="005F1A2F" w:rsidRDefault="007B264B" w:rsidP="003B0714">
      <w:pPr>
        <w:pStyle w:val="NormalWeb"/>
        <w:spacing w:before="0" w:beforeAutospacing="0" w:after="0" w:afterAutospacing="0" w:line="276" w:lineRule="auto"/>
        <w:jc w:val="both"/>
        <w:rPr>
          <w:rFonts w:ascii="Arial" w:hAnsi="Arial" w:cs="Arial"/>
          <w:b/>
          <w:bCs/>
          <w:sz w:val="22"/>
          <w:szCs w:val="22"/>
        </w:rPr>
      </w:pPr>
    </w:p>
    <w:p w14:paraId="1DD621F5" w14:textId="5C064BEB" w:rsidR="002C6927" w:rsidRPr="005F1A2F" w:rsidRDefault="006E3184" w:rsidP="002C6927">
      <w:pPr>
        <w:pStyle w:val="NormalWeb"/>
        <w:spacing w:before="0" w:beforeAutospacing="0" w:after="0" w:afterAutospacing="0" w:line="276" w:lineRule="auto"/>
        <w:jc w:val="both"/>
        <w:rPr>
          <w:rFonts w:ascii="Arial" w:hAnsi="Arial" w:cs="Arial"/>
          <w:sz w:val="22"/>
          <w:szCs w:val="22"/>
        </w:rPr>
      </w:pPr>
      <w:r w:rsidRPr="0009774A">
        <w:rPr>
          <w:rFonts w:ascii="Arial" w:hAnsi="Arial" w:cs="Arial"/>
          <w:sz w:val="20"/>
          <w:szCs w:val="20"/>
        </w:rPr>
        <w:t xml:space="preserve">Based on the results of the post-hoc Tukey HSD test at a significance level of α = 0.1, most pairwise comparisons revealed statistically significant differences in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w:t>
      </w:r>
      <w:r w:rsidRPr="0009774A">
        <w:rPr>
          <w:rFonts w:ascii="Arial" w:hAnsi="Arial" w:cs="Arial"/>
          <w:i/>
          <w:iCs/>
          <w:sz w:val="20"/>
          <w:szCs w:val="20"/>
        </w:rPr>
        <w:t xml:space="preserve">Brassica </w:t>
      </w:r>
      <w:proofErr w:type="spellStart"/>
      <w:r w:rsidRPr="0009774A">
        <w:rPr>
          <w:rFonts w:ascii="Arial" w:hAnsi="Arial" w:cs="Arial"/>
          <w:i/>
          <w:iCs/>
          <w:sz w:val="20"/>
          <w:szCs w:val="20"/>
        </w:rPr>
        <w:t>rapa</w:t>
      </w:r>
      <w:proofErr w:type="spellEnd"/>
      <w:r w:rsidRPr="0009774A">
        <w:rPr>
          <w:rFonts w:ascii="Arial" w:hAnsi="Arial" w:cs="Arial"/>
          <w:i/>
          <w:iCs/>
          <w:sz w:val="20"/>
          <w:szCs w:val="20"/>
        </w:rPr>
        <w:t xml:space="preserve"> </w:t>
      </w:r>
      <w:r w:rsidRPr="0009774A">
        <w:rPr>
          <w:rFonts w:ascii="Arial" w:hAnsi="Arial" w:cs="Arial"/>
          <w:sz w:val="20"/>
          <w:szCs w:val="20"/>
        </w:rPr>
        <w:t xml:space="preserve">L.) fresh weight across treatments during the four-week observation period. In weeks 1 and 2 (1WAT and 2WAT), the 10% </w:t>
      </w:r>
      <w:r w:rsidR="00396E5D" w:rsidRPr="0009774A">
        <w:rPr>
          <w:rFonts w:ascii="Arial" w:hAnsi="Arial" w:cs="Arial"/>
          <w:sz w:val="20"/>
          <w:szCs w:val="20"/>
        </w:rPr>
        <w:t>LOF</w:t>
      </w:r>
      <w:r w:rsidRPr="0009774A">
        <w:rPr>
          <w:rFonts w:ascii="Arial" w:hAnsi="Arial" w:cs="Arial"/>
          <w:sz w:val="20"/>
          <w:szCs w:val="20"/>
        </w:rPr>
        <w:t xml:space="preserve"> treatment showed the most </w:t>
      </w:r>
      <w:proofErr w:type="spellStart"/>
      <w:r w:rsidRPr="0009774A">
        <w:rPr>
          <w:rFonts w:ascii="Arial" w:hAnsi="Arial" w:cs="Arial"/>
          <w:sz w:val="20"/>
          <w:szCs w:val="20"/>
        </w:rPr>
        <w:t>favorable</w:t>
      </w:r>
      <w:proofErr w:type="spellEnd"/>
      <w:r w:rsidRPr="0009774A">
        <w:rPr>
          <w:rFonts w:ascii="Arial" w:hAnsi="Arial" w:cs="Arial"/>
          <w:sz w:val="20"/>
          <w:szCs w:val="20"/>
        </w:rPr>
        <w:t xml:space="preserve"> early response, while no significant difference was observed between the 50% treatment and control in week 2. The 50% treatment yielded the highest biomass in week 3 (3WAT), but this effect declined by week 4 (4WAT), where the 10% treatment consistently outperformed others. These trends suggest that while higher </w:t>
      </w:r>
      <w:r w:rsidR="00396E5D" w:rsidRPr="0009774A">
        <w:rPr>
          <w:rFonts w:ascii="Arial" w:hAnsi="Arial" w:cs="Arial"/>
          <w:sz w:val="20"/>
          <w:szCs w:val="20"/>
        </w:rPr>
        <w:t>LOF</w:t>
      </w:r>
      <w:r w:rsidRPr="0009774A">
        <w:rPr>
          <w:rFonts w:ascii="Arial" w:hAnsi="Arial" w:cs="Arial"/>
          <w:sz w:val="20"/>
          <w:szCs w:val="20"/>
        </w:rPr>
        <w:t xml:space="preserve"> concentrations may promote short-term growth, they can inhibit development when applied excessively, likely due to nutrient oversaturation. Overall, the 10% and 25% concentrations were both statistically and biologically effective, reinforcing their suitability as sustainable application rates for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cultivation</w:t>
      </w:r>
      <w:r w:rsidR="0073492F" w:rsidRPr="0009774A">
        <w:rPr>
          <w:rFonts w:ascii="Arial" w:hAnsi="Arial" w:cs="Arial"/>
          <w:sz w:val="20"/>
          <w:szCs w:val="20"/>
        </w:rPr>
        <w:t xml:space="preserve"> </w:t>
      </w:r>
      <w:r w:rsidR="002C6927" w:rsidRPr="0009774A">
        <w:rPr>
          <w:rFonts w:ascii="Arial" w:hAnsi="Arial" w:cs="Arial"/>
          <w:sz w:val="20"/>
          <w:szCs w:val="20"/>
        </w:rPr>
        <w:fldChar w:fldCharType="begin" w:fldLock="1"/>
      </w:r>
      <w:r w:rsidR="00DB5C95" w:rsidRPr="0009774A">
        <w:rPr>
          <w:rFonts w:ascii="Arial" w:hAnsi="Arial" w:cs="Arial"/>
          <w:sz w:val="20"/>
          <w:szCs w:val="20"/>
        </w:rPr>
        <w:instrText>ADDIN CSL_CITATION {"citationItems":[{"id":"ITEM-1","itemData":{"ISSN":"2773-8752","author":[{"dropping-particle":"","family":"Ibañez","given":"Roger Y","non-dropping-particle":"","parse-names":false,"suffix":""},{"dropping-particle":"","family":"Balansag","given":"Goram C","non-dropping-particle":"","parse-names":false,"suffix":""},{"dropping-particle":"","family":"Puod","given":"Nova Grace D","non-dropping-particle":"","parse-names":false,"suffix":""}],"container-title":"ASEAN Journal of Scientific and Technological Reports","id":"ITEM-1","issue":"1","issued":{"date-parts":[["2025"]]},"page":"e255634-e255634","title":"Effects of Different Manures on the Growth Performance of Pechay (Brassica rapa L.) Under Visayas State University Condition","type":"article-journal","volume":"28"},"uris":["http://www.mendeley.com/documents/?uuid=b2f9eb64-4ba6-4ea5-9146-66cb78e94cb7"]}],"mendeley":{"formattedCitation":"(Ibañez, Balansag and Puod, 2025)","plainTextFormattedCitation":"(Ibañez, Balansag and Puod, 2025)","previouslyFormattedCitation":"(Ibañez, Balansag and Puod, 2025)"},"properties":{"noteIndex":0},"schema":"https://github.com/citation-style-language/schema/raw/master/csl-citation.json"}</w:instrText>
      </w:r>
      <w:r w:rsidR="002C6927" w:rsidRPr="0009774A">
        <w:rPr>
          <w:rFonts w:ascii="Arial" w:hAnsi="Arial" w:cs="Arial"/>
          <w:sz w:val="20"/>
          <w:szCs w:val="20"/>
        </w:rPr>
        <w:fldChar w:fldCharType="separate"/>
      </w:r>
      <w:r w:rsidR="002C6927" w:rsidRPr="0009774A">
        <w:rPr>
          <w:rFonts w:ascii="Arial" w:hAnsi="Arial" w:cs="Arial"/>
          <w:noProof/>
          <w:sz w:val="20"/>
          <w:szCs w:val="20"/>
        </w:rPr>
        <w:t>(Ibañez, Balansag and Puod, 2025)</w:t>
      </w:r>
      <w:r w:rsidR="002C6927" w:rsidRPr="0009774A">
        <w:rPr>
          <w:rFonts w:ascii="Arial" w:hAnsi="Arial" w:cs="Arial"/>
          <w:sz w:val="20"/>
          <w:szCs w:val="20"/>
        </w:rPr>
        <w:fldChar w:fldCharType="end"/>
      </w:r>
      <w:r w:rsidR="002C6927" w:rsidRPr="005F1A2F">
        <w:rPr>
          <w:rFonts w:ascii="Arial" w:hAnsi="Arial" w:cs="Arial"/>
          <w:sz w:val="22"/>
          <w:szCs w:val="22"/>
        </w:rPr>
        <w:t xml:space="preserve"> </w:t>
      </w:r>
    </w:p>
    <w:p w14:paraId="3AA03F30" w14:textId="77777777" w:rsidR="001F4A40" w:rsidRPr="005F1A2F" w:rsidRDefault="001F4A40" w:rsidP="001F4A40">
      <w:pPr>
        <w:pStyle w:val="NormalWeb"/>
        <w:jc w:val="center"/>
        <w:rPr>
          <w:rFonts w:ascii="Arial" w:hAnsi="Arial" w:cs="Arial"/>
        </w:rPr>
      </w:pPr>
      <w:r w:rsidRPr="005F1A2F">
        <w:rPr>
          <w:rFonts w:ascii="Arial" w:hAnsi="Arial" w:cs="Arial"/>
          <w:noProof/>
        </w:rPr>
        <w:lastRenderedPageBreak/>
        <w:drawing>
          <wp:inline distT="0" distB="0" distL="0" distR="0" wp14:anchorId="30A4E882" wp14:editId="1450EC94">
            <wp:extent cx="3352800" cy="2134235"/>
            <wp:effectExtent l="0" t="0" r="0" b="0"/>
            <wp:docPr id="1564179432" name="Picture 1564179432" descr="A graph of a number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79432" name="Picture 1564179432" descr="A graph of a number of different colored lin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67115" cy="2143347"/>
                    </a:xfrm>
                    <a:prstGeom prst="rect">
                      <a:avLst/>
                    </a:prstGeom>
                    <a:noFill/>
                    <a:ln>
                      <a:noFill/>
                    </a:ln>
                  </pic:spPr>
                </pic:pic>
              </a:graphicData>
            </a:graphic>
          </wp:inline>
        </w:drawing>
      </w:r>
    </w:p>
    <w:p w14:paraId="08F8FD14" w14:textId="66007A46" w:rsidR="006225E3" w:rsidRPr="0009774A" w:rsidRDefault="006E3184" w:rsidP="00F7012E">
      <w:pPr>
        <w:pStyle w:val="NormalWeb"/>
        <w:spacing w:before="0" w:beforeAutospacing="0" w:after="0" w:afterAutospacing="0"/>
        <w:rPr>
          <w:rFonts w:ascii="Arial" w:hAnsi="Arial" w:cs="Arial"/>
          <w:sz w:val="20"/>
          <w:szCs w:val="20"/>
        </w:rPr>
      </w:pPr>
      <w:r w:rsidRPr="0009774A">
        <w:rPr>
          <w:rFonts w:ascii="Arial" w:hAnsi="Arial" w:cs="Arial"/>
          <w:sz w:val="20"/>
          <w:szCs w:val="20"/>
        </w:rPr>
        <w:t xml:space="preserve">Figure 1. Polynomial Regression of Fresh Weight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under Different Liquid Organic Fertilizer Concentrations</w:t>
      </w:r>
    </w:p>
    <w:p w14:paraId="61325F1F" w14:textId="77777777" w:rsidR="006E3184" w:rsidRPr="0009774A" w:rsidRDefault="006E3184" w:rsidP="006225E3">
      <w:pPr>
        <w:pStyle w:val="NormalWeb"/>
        <w:spacing w:before="0" w:beforeAutospacing="0" w:after="0" w:afterAutospacing="0"/>
        <w:jc w:val="center"/>
        <w:rPr>
          <w:rFonts w:ascii="Arial" w:hAnsi="Arial" w:cs="Arial"/>
          <w:sz w:val="20"/>
          <w:szCs w:val="20"/>
        </w:rPr>
      </w:pPr>
    </w:p>
    <w:p w14:paraId="0825F3CC" w14:textId="617F1033" w:rsidR="002C6927" w:rsidRPr="0009774A" w:rsidRDefault="001F4A40" w:rsidP="002C6927">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Polynomial regression illustrates the dynamic response of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w:t>
      </w:r>
      <w:r w:rsidRPr="0009774A">
        <w:rPr>
          <w:rStyle w:val="Emphasis"/>
          <w:rFonts w:ascii="Arial" w:hAnsi="Arial" w:cs="Arial"/>
          <w:sz w:val="20"/>
          <w:szCs w:val="20"/>
        </w:rPr>
        <w:t xml:space="preserve">Brassica </w:t>
      </w:r>
      <w:proofErr w:type="spellStart"/>
      <w:r w:rsidRPr="0009774A">
        <w:rPr>
          <w:rStyle w:val="Emphasis"/>
          <w:rFonts w:ascii="Arial" w:hAnsi="Arial" w:cs="Arial"/>
          <w:sz w:val="20"/>
          <w:szCs w:val="20"/>
        </w:rPr>
        <w:t>rapa</w:t>
      </w:r>
      <w:proofErr w:type="spellEnd"/>
      <w:r w:rsidRPr="0009774A">
        <w:rPr>
          <w:rFonts w:ascii="Arial" w:hAnsi="Arial" w:cs="Arial"/>
          <w:sz w:val="20"/>
          <w:szCs w:val="20"/>
        </w:rPr>
        <w:t xml:space="preserve"> L.) fresh weight to varying concentrations of tofu wastewater-based liquid organic fertilizer (LOF) over a four-week growth period. The 10% LOF treatment (P1) exhibited the most pronounced upward trajectory, </w:t>
      </w:r>
      <w:proofErr w:type="spellStart"/>
      <w:r w:rsidRPr="0009774A">
        <w:rPr>
          <w:rFonts w:ascii="Arial" w:hAnsi="Arial" w:cs="Arial"/>
          <w:sz w:val="20"/>
          <w:szCs w:val="20"/>
        </w:rPr>
        <w:t>modeled</w:t>
      </w:r>
      <w:proofErr w:type="spellEnd"/>
      <w:r w:rsidRPr="0009774A">
        <w:rPr>
          <w:rFonts w:ascii="Arial" w:hAnsi="Arial" w:cs="Arial"/>
          <w:sz w:val="20"/>
          <w:szCs w:val="20"/>
        </w:rPr>
        <w:t xml:space="preserve"> by the equation </w:t>
      </w:r>
      <w:r w:rsidRPr="0009774A">
        <w:rPr>
          <w:rStyle w:val="Strong"/>
          <w:rFonts w:ascii="Arial" w:hAnsi="Arial" w:cs="Arial"/>
          <w:b w:val="0"/>
          <w:bCs w:val="0"/>
          <w:sz w:val="20"/>
          <w:szCs w:val="20"/>
        </w:rPr>
        <w:t>y = 1.723x² − 4.990x + 3.390</w:t>
      </w:r>
      <w:r w:rsidRPr="0009774A">
        <w:rPr>
          <w:rFonts w:ascii="Arial" w:hAnsi="Arial" w:cs="Arial"/>
          <w:b/>
          <w:bCs/>
          <w:sz w:val="20"/>
          <w:szCs w:val="20"/>
        </w:rPr>
        <w:t>,</w:t>
      </w:r>
      <w:r w:rsidRPr="0009774A">
        <w:rPr>
          <w:rFonts w:ascii="Arial" w:hAnsi="Arial" w:cs="Arial"/>
          <w:sz w:val="20"/>
          <w:szCs w:val="20"/>
        </w:rPr>
        <w:t xml:space="preserve"> indicating strong biomass accumulation. The 25% treatment (P2) followed a similar but slightly lower trend </w:t>
      </w:r>
      <w:r w:rsidRPr="0009774A">
        <w:rPr>
          <w:rFonts w:ascii="Arial" w:hAnsi="Arial" w:cs="Arial"/>
          <w:b/>
          <w:bCs/>
          <w:sz w:val="20"/>
          <w:szCs w:val="20"/>
        </w:rPr>
        <w:t>(</w:t>
      </w:r>
      <w:r w:rsidRPr="0009774A">
        <w:rPr>
          <w:rStyle w:val="Strong"/>
          <w:rFonts w:ascii="Arial" w:hAnsi="Arial" w:cs="Arial"/>
          <w:b w:val="0"/>
          <w:bCs w:val="0"/>
          <w:sz w:val="20"/>
          <w:szCs w:val="20"/>
        </w:rPr>
        <w:t>y = 1.324x² − 3.515x + 2.224</w:t>
      </w:r>
      <w:r w:rsidRPr="0009774A">
        <w:rPr>
          <w:rFonts w:ascii="Arial" w:hAnsi="Arial" w:cs="Arial"/>
          <w:b/>
          <w:bCs/>
          <w:sz w:val="20"/>
          <w:szCs w:val="20"/>
        </w:rPr>
        <w:t>),</w:t>
      </w:r>
      <w:r w:rsidRPr="0009774A">
        <w:rPr>
          <w:rFonts w:ascii="Arial" w:hAnsi="Arial" w:cs="Arial"/>
          <w:sz w:val="20"/>
          <w:szCs w:val="20"/>
        </w:rPr>
        <w:t xml:space="preserve"> while the 50% treatment (P3) showed a more gradual increase </w:t>
      </w:r>
      <w:r w:rsidRPr="0009774A">
        <w:rPr>
          <w:rFonts w:ascii="Arial" w:hAnsi="Arial" w:cs="Arial"/>
          <w:b/>
          <w:bCs/>
          <w:sz w:val="20"/>
          <w:szCs w:val="20"/>
        </w:rPr>
        <w:t>(</w:t>
      </w:r>
      <w:r w:rsidRPr="0009774A">
        <w:rPr>
          <w:rStyle w:val="Strong"/>
          <w:rFonts w:ascii="Arial" w:hAnsi="Arial" w:cs="Arial"/>
          <w:b w:val="0"/>
          <w:bCs w:val="0"/>
          <w:sz w:val="20"/>
          <w:szCs w:val="20"/>
        </w:rPr>
        <w:t>y = 0.344x² + 0.925x − 1.607</w:t>
      </w:r>
      <w:r w:rsidRPr="0009774A">
        <w:rPr>
          <w:rFonts w:ascii="Arial" w:hAnsi="Arial" w:cs="Arial"/>
          <w:b/>
          <w:bCs/>
          <w:sz w:val="20"/>
          <w:szCs w:val="20"/>
        </w:rPr>
        <w:t>),</w:t>
      </w:r>
      <w:r w:rsidRPr="0009774A">
        <w:rPr>
          <w:rFonts w:ascii="Arial" w:hAnsi="Arial" w:cs="Arial"/>
          <w:sz w:val="20"/>
          <w:szCs w:val="20"/>
        </w:rPr>
        <w:t xml:space="preserve"> suggesting possible nutrient saturation or suboptimal nutrient uptake. Meanwhile, the control group (P0) displayed a moderate growth pattern </w:t>
      </w:r>
      <w:r w:rsidRPr="0009774A">
        <w:rPr>
          <w:rFonts w:ascii="Arial" w:hAnsi="Arial" w:cs="Arial"/>
          <w:b/>
          <w:bCs/>
          <w:sz w:val="20"/>
          <w:szCs w:val="20"/>
        </w:rPr>
        <w:t>(</w:t>
      </w:r>
      <w:r w:rsidRPr="0009774A">
        <w:rPr>
          <w:rStyle w:val="Strong"/>
          <w:rFonts w:ascii="Arial" w:hAnsi="Arial" w:cs="Arial"/>
          <w:b w:val="0"/>
          <w:bCs w:val="0"/>
          <w:sz w:val="20"/>
          <w:szCs w:val="20"/>
        </w:rPr>
        <w:t>y = 0.995x² − 2.467x + 1.492</w:t>
      </w:r>
      <w:r w:rsidRPr="0009774A">
        <w:rPr>
          <w:rFonts w:ascii="Arial" w:hAnsi="Arial" w:cs="Arial"/>
          <w:b/>
          <w:bCs/>
          <w:sz w:val="20"/>
          <w:szCs w:val="20"/>
        </w:rPr>
        <w:t>),</w:t>
      </w:r>
      <w:r w:rsidRPr="0009774A">
        <w:rPr>
          <w:rFonts w:ascii="Arial" w:hAnsi="Arial" w:cs="Arial"/>
          <w:sz w:val="20"/>
          <w:szCs w:val="20"/>
        </w:rPr>
        <w:t xml:space="preserve"> indicating limited biomass development in the absence of LOF. These polynomial trends confirm a quadratic relationship between LOF concentration and fresh weight gain, in alignment with the two-way ANOVA and Tukey HSD tests that revealed significant treatment effects during later stages. Collectively, the findings suggest that the optimal LOF concentration lies between 10% and 25%, highlighting the importance of stage-specific nutrient management to optimize plant growth while avoiding phytotoxicity. This supports the potential of tofu wastewater-based LOF as a sustainable and efficient input for leafy vegetable cultivation.</w:t>
      </w:r>
      <w:r w:rsidR="00DB5C95" w:rsidRPr="0009774A">
        <w:rPr>
          <w:rFonts w:ascii="Arial" w:hAnsi="Arial" w:cs="Arial"/>
          <w:sz w:val="20"/>
          <w:szCs w:val="20"/>
        </w:rPr>
        <w:t xml:space="preserve"> </w:t>
      </w:r>
      <w:r w:rsidR="00DB5C95" w:rsidRPr="0009774A">
        <w:rPr>
          <w:rFonts w:ascii="Arial" w:hAnsi="Arial" w:cs="Arial"/>
          <w:sz w:val="20"/>
          <w:szCs w:val="20"/>
        </w:rPr>
        <w:fldChar w:fldCharType="begin" w:fldLock="1"/>
      </w:r>
      <w:r w:rsidR="007F2D5F" w:rsidRPr="0009774A">
        <w:rPr>
          <w:rFonts w:ascii="Arial" w:hAnsi="Arial" w:cs="Arial"/>
          <w:sz w:val="20"/>
          <w:szCs w:val="20"/>
        </w:rPr>
        <w:instrText>ADDIN CSL_CITATION {"citationItems":[{"id":"ITEM-1","itemData":{"ISSN":"2228-4907","author":[{"dropping-particle":"","family":"Fadilah","given":"L N","non-dropping-particle":"","parse-names":false,"suffix":""},{"dropping-particle":"","family":"Lakitan","given":"B","non-dropping-particle":"","parse-names":false,"suffix":""},{"dropping-particle":"","family":"Marlina","given":"M","non-dropping-particle":"","parse-names":false,"suffix":""}],"id":"ITEM-1","issued":{"date-parts":[["2022"]]},"publisher":"Estonian University of Life Sciences","title":"Effects of shading on the growth of the purple pakchoy (Brassica rapa var. Chinensis) in the urban ecosystem","type":"article-journal"},"uris":["http://www.mendeley.com/documents/?uuid=d4c51719-b6a1-4ac0-9d38-264a0819eb18"]}],"mendeley":{"formattedCitation":"(Fadilah, Lakitan and Marlina, 2022)","plainTextFormattedCitation":"(Fadilah, Lakitan and Marlina, 2022)","previouslyFormattedCitation":"(Fadilah, Lakitan and Marlina, 2022)"},"properties":{"noteIndex":0},"schema":"https://github.com/citation-style-language/schema/raw/master/csl-citation.json"}</w:instrText>
      </w:r>
      <w:r w:rsidR="00DB5C95" w:rsidRPr="0009774A">
        <w:rPr>
          <w:rFonts w:ascii="Arial" w:hAnsi="Arial" w:cs="Arial"/>
          <w:sz w:val="20"/>
          <w:szCs w:val="20"/>
        </w:rPr>
        <w:fldChar w:fldCharType="separate"/>
      </w:r>
      <w:r w:rsidR="00DB5C95" w:rsidRPr="0009774A">
        <w:rPr>
          <w:rFonts w:ascii="Arial" w:hAnsi="Arial" w:cs="Arial"/>
          <w:noProof/>
          <w:sz w:val="20"/>
          <w:szCs w:val="20"/>
        </w:rPr>
        <w:t>(Fadilah, Lakitan and Marlina, 2022)</w:t>
      </w:r>
      <w:r w:rsidR="00DB5C95" w:rsidRPr="0009774A">
        <w:rPr>
          <w:rFonts w:ascii="Arial" w:hAnsi="Arial" w:cs="Arial"/>
          <w:sz w:val="20"/>
          <w:szCs w:val="20"/>
        </w:rPr>
        <w:fldChar w:fldCharType="end"/>
      </w:r>
      <w:r w:rsidR="00CE36BD" w:rsidRPr="0009774A">
        <w:rPr>
          <w:rFonts w:ascii="Arial" w:hAnsi="Arial" w:cs="Arial"/>
          <w:sz w:val="20"/>
          <w:szCs w:val="20"/>
        </w:rPr>
        <w:t>.</w:t>
      </w:r>
      <w:r w:rsidR="002C6927" w:rsidRPr="0009774A">
        <w:rPr>
          <w:rFonts w:ascii="Arial" w:hAnsi="Arial" w:cs="Arial"/>
          <w:sz w:val="20"/>
          <w:szCs w:val="20"/>
        </w:rPr>
        <w:t xml:space="preserve"> </w:t>
      </w:r>
    </w:p>
    <w:p w14:paraId="7FF83813" w14:textId="77777777" w:rsidR="003A594F" w:rsidRPr="0009774A" w:rsidRDefault="003A594F" w:rsidP="003A594F">
      <w:pPr>
        <w:pStyle w:val="ListParagraph"/>
        <w:spacing w:after="120" w:line="276" w:lineRule="auto"/>
        <w:ind w:left="0"/>
        <w:jc w:val="both"/>
        <w:rPr>
          <w:rFonts w:eastAsia="Times New Roman" w:cs="Arial"/>
          <w:b/>
          <w:bCs/>
          <w:sz w:val="20"/>
          <w:szCs w:val="20"/>
          <w:lang w:eastAsia="en-ID"/>
        </w:rPr>
      </w:pPr>
    </w:p>
    <w:p w14:paraId="24193FCD" w14:textId="7A1EB0C0" w:rsidR="006E3184" w:rsidRPr="005F1A2F" w:rsidRDefault="006E3184" w:rsidP="006E3184">
      <w:pPr>
        <w:pStyle w:val="ListParagraph"/>
        <w:numPr>
          <w:ilvl w:val="0"/>
          <w:numId w:val="25"/>
        </w:numPr>
        <w:spacing w:after="120" w:line="240" w:lineRule="auto"/>
        <w:ind w:left="284" w:hanging="284"/>
        <w:jc w:val="both"/>
        <w:rPr>
          <w:rFonts w:eastAsia="Times New Roman" w:cs="Arial"/>
          <w:b/>
          <w:bCs/>
          <w:lang w:eastAsia="en-ID"/>
        </w:rPr>
      </w:pPr>
      <w:r w:rsidRPr="005F1A2F">
        <w:rPr>
          <w:rFonts w:eastAsia="Times New Roman" w:cs="Arial"/>
          <w:b/>
          <w:bCs/>
          <w:lang w:eastAsia="en-ID"/>
        </w:rPr>
        <w:t xml:space="preserve">Analysis of Dry Weight Growth of </w:t>
      </w:r>
      <w:proofErr w:type="spellStart"/>
      <w:r w:rsidRPr="005F1A2F">
        <w:rPr>
          <w:rFonts w:eastAsia="Times New Roman" w:cs="Arial"/>
          <w:b/>
          <w:bCs/>
          <w:lang w:eastAsia="en-ID"/>
        </w:rPr>
        <w:t>Pakcoy</w:t>
      </w:r>
      <w:proofErr w:type="spellEnd"/>
      <w:r w:rsidRPr="005F1A2F">
        <w:rPr>
          <w:rFonts w:eastAsia="Times New Roman" w:cs="Arial"/>
          <w:b/>
          <w:bCs/>
          <w:lang w:eastAsia="en-ID"/>
        </w:rPr>
        <w:t xml:space="preserve"> (</w:t>
      </w:r>
      <w:r w:rsidRPr="005F1A2F">
        <w:rPr>
          <w:rFonts w:eastAsia="Times New Roman" w:cs="Arial"/>
          <w:b/>
          <w:bCs/>
          <w:i/>
          <w:iCs/>
          <w:lang w:eastAsia="en-ID"/>
        </w:rPr>
        <w:t xml:space="preserve">Brassica </w:t>
      </w:r>
      <w:proofErr w:type="spellStart"/>
      <w:r w:rsidRPr="005F1A2F">
        <w:rPr>
          <w:rFonts w:eastAsia="Times New Roman" w:cs="Arial"/>
          <w:b/>
          <w:bCs/>
          <w:i/>
          <w:iCs/>
          <w:lang w:eastAsia="en-ID"/>
        </w:rPr>
        <w:t>rapa</w:t>
      </w:r>
      <w:proofErr w:type="spellEnd"/>
      <w:r w:rsidRPr="005F1A2F">
        <w:rPr>
          <w:rFonts w:eastAsia="Times New Roman" w:cs="Arial"/>
          <w:b/>
          <w:bCs/>
          <w:i/>
          <w:iCs/>
          <w:lang w:eastAsia="en-ID"/>
        </w:rPr>
        <w:t xml:space="preserve"> </w:t>
      </w:r>
      <w:r w:rsidRPr="005F1A2F">
        <w:rPr>
          <w:rFonts w:eastAsia="Times New Roman" w:cs="Arial"/>
          <w:b/>
          <w:bCs/>
          <w:lang w:eastAsia="en-ID"/>
        </w:rPr>
        <w:t>L.) in Response to Liquid Organic Fertilizer (</w:t>
      </w:r>
      <w:r w:rsidR="00396E5D" w:rsidRPr="005F1A2F">
        <w:rPr>
          <w:rFonts w:cs="Arial"/>
        </w:rPr>
        <w:t>LOF</w:t>
      </w:r>
      <w:r w:rsidRPr="005F1A2F">
        <w:rPr>
          <w:rFonts w:eastAsia="Times New Roman" w:cs="Arial"/>
          <w:b/>
          <w:bCs/>
          <w:lang w:eastAsia="en-ID"/>
        </w:rPr>
        <w:t>) Treatment</w:t>
      </w:r>
    </w:p>
    <w:p w14:paraId="7D119938" w14:textId="0F177A25" w:rsidR="006E3184" w:rsidRPr="0009774A" w:rsidRDefault="006E3184" w:rsidP="00DE2778">
      <w:pPr>
        <w:spacing w:before="100" w:beforeAutospacing="1" w:after="100" w:afterAutospacing="1" w:line="240" w:lineRule="auto"/>
        <w:jc w:val="both"/>
        <w:rPr>
          <w:rFonts w:eastAsia="Times New Roman" w:cs="Arial"/>
          <w:sz w:val="20"/>
          <w:szCs w:val="20"/>
          <w:lang w:eastAsia="en-ID"/>
        </w:rPr>
      </w:pPr>
      <w:r w:rsidRPr="0009774A">
        <w:rPr>
          <w:rFonts w:eastAsia="Times New Roman" w:cs="Arial"/>
          <w:sz w:val="20"/>
          <w:szCs w:val="20"/>
          <w:lang w:eastAsia="en-ID"/>
        </w:rPr>
        <w:t xml:space="preserve">Two-way ANOVA revealed that both </w:t>
      </w:r>
      <w:r w:rsidR="00396E5D" w:rsidRPr="0009774A">
        <w:rPr>
          <w:rFonts w:cs="Arial"/>
          <w:sz w:val="20"/>
          <w:szCs w:val="20"/>
        </w:rPr>
        <w:t>LOF</w:t>
      </w:r>
      <w:r w:rsidRPr="0009774A">
        <w:rPr>
          <w:rFonts w:eastAsia="Times New Roman" w:cs="Arial"/>
          <w:sz w:val="20"/>
          <w:szCs w:val="20"/>
          <w:lang w:eastAsia="en-ID"/>
        </w:rPr>
        <w:t xml:space="preserve"> concentration and observation time had significant effects on plant dry weight (p &lt; 0.05), with a notable interaction between the two factors. Post-hoc analysis using Tukey’s HSD test confirmed significant differences among treatment–week combinations, particularly during weeks three and four. These findings indicate that the effectiveness of </w:t>
      </w:r>
      <w:r w:rsidR="00396E5D" w:rsidRPr="0009774A">
        <w:rPr>
          <w:rFonts w:cs="Arial"/>
          <w:sz w:val="20"/>
          <w:szCs w:val="20"/>
        </w:rPr>
        <w:t>LOF</w:t>
      </w:r>
      <w:r w:rsidRPr="0009774A">
        <w:rPr>
          <w:rFonts w:eastAsia="Times New Roman" w:cs="Arial"/>
          <w:sz w:val="20"/>
          <w:szCs w:val="20"/>
          <w:lang w:eastAsia="en-ID"/>
        </w:rPr>
        <w:t xml:space="preserve"> application is growth-stage dependent, highlighting the importance of aligning dosage and timing to achieve optimal and sustainable dry biomass production using liquid organic fertilizers</w:t>
      </w:r>
    </w:p>
    <w:p w14:paraId="05A638DA" w14:textId="1ABFB5E4" w:rsidR="00385D91" w:rsidRPr="0009774A" w:rsidRDefault="006E3184" w:rsidP="0009774A">
      <w:pPr>
        <w:spacing w:after="120" w:line="240" w:lineRule="auto"/>
        <w:jc w:val="both"/>
        <w:rPr>
          <w:rFonts w:cs="Arial"/>
          <w:sz w:val="20"/>
          <w:szCs w:val="20"/>
        </w:rPr>
      </w:pPr>
      <w:r w:rsidRPr="0009774A">
        <w:rPr>
          <w:rFonts w:cs="Arial"/>
          <w:sz w:val="20"/>
          <w:szCs w:val="20"/>
        </w:rPr>
        <w:t xml:space="preserve">Table 4. Interaction Effect of Tofu Waste-Based Liquid Organic Fertilizer and Growth Stage on Dry Weight of </w:t>
      </w:r>
      <w:proofErr w:type="spellStart"/>
      <w:r w:rsidRPr="0009774A">
        <w:rPr>
          <w:rFonts w:cs="Arial"/>
          <w:sz w:val="20"/>
          <w:szCs w:val="20"/>
        </w:rPr>
        <w:t>Pakcoy</w:t>
      </w:r>
      <w:proofErr w:type="spellEnd"/>
      <w:r w:rsidRPr="0009774A">
        <w:rPr>
          <w:rFonts w:cs="Arial"/>
          <w:sz w:val="20"/>
          <w:szCs w:val="20"/>
        </w:rPr>
        <w:t xml:space="preserve"> </w:t>
      </w:r>
      <w:r w:rsidRPr="0009774A">
        <w:rPr>
          <w:rFonts w:cs="Arial"/>
          <w:i/>
          <w:iCs/>
          <w:sz w:val="20"/>
          <w:szCs w:val="20"/>
        </w:rPr>
        <w:t xml:space="preserve">(Brassica </w:t>
      </w:r>
      <w:proofErr w:type="spellStart"/>
      <w:r w:rsidRPr="0009774A">
        <w:rPr>
          <w:rFonts w:cs="Arial"/>
          <w:i/>
          <w:iCs/>
          <w:sz w:val="20"/>
          <w:szCs w:val="20"/>
        </w:rPr>
        <w:t>rapa</w:t>
      </w:r>
      <w:proofErr w:type="spellEnd"/>
      <w:r w:rsidRPr="0009774A">
        <w:rPr>
          <w:rFonts w:cs="Arial"/>
          <w:i/>
          <w:iCs/>
          <w:sz w:val="20"/>
          <w:szCs w:val="20"/>
        </w:rPr>
        <w:t xml:space="preserve"> L</w:t>
      </w:r>
      <w:r w:rsidRPr="0009774A">
        <w:rPr>
          <w:rFonts w:cs="Arial"/>
          <w:sz w:val="20"/>
          <w:szCs w:val="20"/>
        </w:rPr>
        <w:t>.)</w:t>
      </w:r>
    </w:p>
    <w:tbl>
      <w:tblPr>
        <w:tblW w:w="7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60"/>
        <w:gridCol w:w="1199"/>
        <w:gridCol w:w="67"/>
        <w:gridCol w:w="1596"/>
        <w:gridCol w:w="67"/>
        <w:gridCol w:w="2376"/>
        <w:gridCol w:w="24"/>
      </w:tblGrid>
      <w:tr w:rsidR="00DB5C95" w:rsidRPr="0009774A" w14:paraId="0CBB0D91" w14:textId="77777777" w:rsidTr="00921E74">
        <w:trPr>
          <w:trHeight w:val="25"/>
        </w:trPr>
        <w:tc>
          <w:tcPr>
            <w:tcW w:w="2487" w:type="dxa"/>
            <w:gridSpan w:val="2"/>
            <w:hideMark/>
          </w:tcPr>
          <w:p w14:paraId="3AEA7A7D" w14:textId="4681935F" w:rsidR="00DB5C95" w:rsidRPr="0009774A" w:rsidRDefault="00DB5C95" w:rsidP="00DB5C95">
            <w:pPr>
              <w:spacing w:after="0" w:line="240" w:lineRule="auto"/>
              <w:rPr>
                <w:rFonts w:eastAsia="Times New Roman" w:cs="Arial"/>
                <w:color w:val="000000"/>
                <w:sz w:val="20"/>
                <w:szCs w:val="20"/>
                <w:lang w:eastAsia="en-ID"/>
              </w:rPr>
            </w:pPr>
            <w:r w:rsidRPr="0009774A">
              <w:rPr>
                <w:rFonts w:cs="Arial"/>
                <w:sz w:val="20"/>
                <w:szCs w:val="20"/>
              </w:rPr>
              <w:t>Variation</w:t>
            </w:r>
          </w:p>
        </w:tc>
        <w:tc>
          <w:tcPr>
            <w:tcW w:w="1266" w:type="dxa"/>
            <w:gridSpan w:val="2"/>
            <w:vAlign w:val="center"/>
            <w:hideMark/>
          </w:tcPr>
          <w:p w14:paraId="5069D4AB" w14:textId="585DF357" w:rsidR="00DB5C95" w:rsidRPr="0009774A" w:rsidRDefault="00DB5C95" w:rsidP="00DB5C95">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F Count</w:t>
            </w:r>
          </w:p>
        </w:tc>
        <w:tc>
          <w:tcPr>
            <w:tcW w:w="1663" w:type="dxa"/>
            <w:gridSpan w:val="2"/>
            <w:vAlign w:val="center"/>
            <w:hideMark/>
          </w:tcPr>
          <w:p w14:paraId="07107400" w14:textId="77777777" w:rsidR="00DB5C95" w:rsidRPr="0009774A" w:rsidRDefault="00DB5C95" w:rsidP="00575E17">
            <w:pPr>
              <w:spacing w:after="0" w:line="240" w:lineRule="auto"/>
              <w:ind w:right="-144"/>
              <w:rPr>
                <w:rFonts w:eastAsia="Times New Roman" w:cs="Arial"/>
                <w:color w:val="000000"/>
                <w:sz w:val="20"/>
                <w:szCs w:val="20"/>
                <w:lang w:eastAsia="en-ID"/>
              </w:rPr>
            </w:pPr>
            <w:r w:rsidRPr="0009774A">
              <w:rPr>
                <w:rFonts w:eastAsia="Times New Roman" w:cs="Arial"/>
                <w:color w:val="000000"/>
                <w:sz w:val="20"/>
                <w:szCs w:val="20"/>
                <w:lang w:eastAsia="en-ID"/>
              </w:rPr>
              <w:t>p-value (PR(&gt;F))</w:t>
            </w:r>
          </w:p>
        </w:tc>
        <w:tc>
          <w:tcPr>
            <w:tcW w:w="2400" w:type="dxa"/>
            <w:gridSpan w:val="2"/>
            <w:hideMark/>
          </w:tcPr>
          <w:p w14:paraId="1D3EC93E" w14:textId="6DF7A24B" w:rsidR="00DB5C95" w:rsidRPr="0009774A" w:rsidRDefault="00DB5C95" w:rsidP="00DB5C95">
            <w:pPr>
              <w:tabs>
                <w:tab w:val="left" w:pos="0"/>
              </w:tabs>
              <w:spacing w:after="0" w:line="240" w:lineRule="auto"/>
              <w:rPr>
                <w:rFonts w:eastAsia="Times New Roman" w:cs="Arial"/>
                <w:color w:val="000000"/>
                <w:sz w:val="20"/>
                <w:szCs w:val="20"/>
                <w:lang w:eastAsia="en-ID"/>
              </w:rPr>
            </w:pPr>
            <w:r w:rsidRPr="0009774A">
              <w:rPr>
                <w:rFonts w:cs="Arial"/>
                <w:sz w:val="20"/>
                <w:szCs w:val="20"/>
              </w:rPr>
              <w:t>Conclusion</w:t>
            </w:r>
          </w:p>
        </w:tc>
      </w:tr>
      <w:tr w:rsidR="00FB02B6" w:rsidRPr="0009774A" w14:paraId="439169BE" w14:textId="77777777" w:rsidTr="00921E74">
        <w:trPr>
          <w:gridAfter w:val="1"/>
          <w:wAfter w:w="24" w:type="dxa"/>
          <w:trHeight w:val="27"/>
        </w:trPr>
        <w:tc>
          <w:tcPr>
            <w:tcW w:w="2127" w:type="dxa"/>
            <w:hideMark/>
          </w:tcPr>
          <w:p w14:paraId="7F04366F" w14:textId="2DBD5D3F" w:rsidR="00FB02B6" w:rsidRPr="0009774A" w:rsidRDefault="00FB02B6" w:rsidP="00FB02B6">
            <w:pPr>
              <w:spacing w:after="0" w:line="240" w:lineRule="auto"/>
              <w:rPr>
                <w:rFonts w:eastAsia="Times New Roman" w:cs="Arial"/>
                <w:color w:val="000000"/>
                <w:sz w:val="20"/>
                <w:szCs w:val="20"/>
                <w:lang w:eastAsia="en-ID"/>
              </w:rPr>
            </w:pPr>
            <w:r w:rsidRPr="0009774A">
              <w:rPr>
                <w:rFonts w:cs="Arial"/>
                <w:sz w:val="20"/>
                <w:szCs w:val="20"/>
              </w:rPr>
              <w:t>Treatment</w:t>
            </w:r>
          </w:p>
        </w:tc>
        <w:tc>
          <w:tcPr>
            <w:tcW w:w="1559" w:type="dxa"/>
            <w:gridSpan w:val="2"/>
            <w:vAlign w:val="center"/>
            <w:hideMark/>
          </w:tcPr>
          <w:p w14:paraId="5FA93A75" w14:textId="30B3ED93"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1.013.367,00 </w:t>
            </w:r>
          </w:p>
        </w:tc>
        <w:tc>
          <w:tcPr>
            <w:tcW w:w="1663" w:type="dxa"/>
            <w:gridSpan w:val="2"/>
            <w:vAlign w:val="center"/>
            <w:hideMark/>
          </w:tcPr>
          <w:p w14:paraId="7A347756" w14:textId="06E5168C"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1.05 × 10</w:t>
            </w:r>
            <w:r w:rsidRPr="0009774A">
              <w:rPr>
                <w:rFonts w:ascii="Cambria Math" w:hAnsi="Cambria Math" w:cs="Cambria Math"/>
                <w:color w:val="000000"/>
                <w:sz w:val="20"/>
                <w:szCs w:val="20"/>
              </w:rPr>
              <w:t>⁻</w:t>
            </w:r>
            <w:r w:rsidRPr="0009774A">
              <w:rPr>
                <w:rFonts w:cs="Arial"/>
                <w:color w:val="000000"/>
                <w:sz w:val="20"/>
                <w:szCs w:val="20"/>
              </w:rPr>
              <w:t xml:space="preserve">⁷⁹ </w:t>
            </w:r>
          </w:p>
        </w:tc>
        <w:tc>
          <w:tcPr>
            <w:tcW w:w="2443" w:type="dxa"/>
            <w:gridSpan w:val="2"/>
            <w:hideMark/>
          </w:tcPr>
          <w:p w14:paraId="49D32078" w14:textId="0F14813A" w:rsidR="00FB02B6" w:rsidRPr="0009774A" w:rsidRDefault="00FB02B6" w:rsidP="00FB02B6">
            <w:pPr>
              <w:tabs>
                <w:tab w:val="left" w:pos="0"/>
              </w:tabs>
              <w:spacing w:after="0" w:line="240" w:lineRule="auto"/>
              <w:rPr>
                <w:rFonts w:eastAsia="Times New Roman" w:cs="Arial"/>
                <w:color w:val="000000"/>
                <w:sz w:val="20"/>
                <w:szCs w:val="20"/>
                <w:lang w:eastAsia="en-ID"/>
              </w:rPr>
            </w:pPr>
            <w:r w:rsidRPr="0009774A">
              <w:rPr>
                <w:rFonts w:cs="Arial"/>
                <w:sz w:val="20"/>
                <w:szCs w:val="20"/>
              </w:rPr>
              <w:t>Significant (real effect)</w:t>
            </w:r>
          </w:p>
        </w:tc>
      </w:tr>
      <w:tr w:rsidR="00FB02B6" w:rsidRPr="0009774A" w14:paraId="1F646B5D" w14:textId="77777777" w:rsidTr="00921E74">
        <w:trPr>
          <w:gridAfter w:val="1"/>
          <w:wAfter w:w="24" w:type="dxa"/>
          <w:trHeight w:val="47"/>
        </w:trPr>
        <w:tc>
          <w:tcPr>
            <w:tcW w:w="2127" w:type="dxa"/>
            <w:hideMark/>
          </w:tcPr>
          <w:p w14:paraId="3C92892C" w14:textId="26888C94" w:rsidR="00FB02B6" w:rsidRPr="0009774A" w:rsidRDefault="00FB02B6" w:rsidP="00FB02B6">
            <w:pPr>
              <w:spacing w:after="0" w:line="240" w:lineRule="auto"/>
              <w:rPr>
                <w:rFonts w:eastAsia="Times New Roman" w:cs="Arial"/>
                <w:color w:val="000000"/>
                <w:sz w:val="20"/>
                <w:szCs w:val="20"/>
                <w:lang w:eastAsia="en-ID"/>
              </w:rPr>
            </w:pPr>
            <w:r w:rsidRPr="0009774A">
              <w:rPr>
                <w:rFonts w:cs="Arial"/>
                <w:sz w:val="20"/>
                <w:szCs w:val="20"/>
              </w:rPr>
              <w:lastRenderedPageBreak/>
              <w:t>Week (Observation Time)</w:t>
            </w:r>
          </w:p>
        </w:tc>
        <w:tc>
          <w:tcPr>
            <w:tcW w:w="1559" w:type="dxa"/>
            <w:gridSpan w:val="2"/>
            <w:vAlign w:val="center"/>
            <w:hideMark/>
          </w:tcPr>
          <w:p w14:paraId="5CA52D15" w14:textId="6E2BE68A"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503.660,00 </w:t>
            </w:r>
          </w:p>
        </w:tc>
        <w:tc>
          <w:tcPr>
            <w:tcW w:w="1663" w:type="dxa"/>
            <w:gridSpan w:val="2"/>
            <w:vAlign w:val="center"/>
            <w:hideMark/>
          </w:tcPr>
          <w:p w14:paraId="47BF5F23" w14:textId="775D28E2"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7.56 × 10</w:t>
            </w:r>
            <w:r w:rsidRPr="0009774A">
              <w:rPr>
                <w:rFonts w:ascii="Cambria Math" w:hAnsi="Cambria Math" w:cs="Cambria Math"/>
                <w:color w:val="000000"/>
                <w:sz w:val="20"/>
                <w:szCs w:val="20"/>
              </w:rPr>
              <w:t>⁻</w:t>
            </w:r>
            <w:r w:rsidRPr="0009774A">
              <w:rPr>
                <w:rFonts w:cs="Arial"/>
                <w:color w:val="000000"/>
                <w:sz w:val="20"/>
                <w:szCs w:val="20"/>
              </w:rPr>
              <w:t xml:space="preserve">⁷⁵ </w:t>
            </w:r>
          </w:p>
        </w:tc>
        <w:tc>
          <w:tcPr>
            <w:tcW w:w="2443" w:type="dxa"/>
            <w:gridSpan w:val="2"/>
            <w:hideMark/>
          </w:tcPr>
          <w:p w14:paraId="13B199C2" w14:textId="58ECFFD5" w:rsidR="00FB02B6" w:rsidRPr="0009774A" w:rsidRDefault="00FB02B6" w:rsidP="00FB02B6">
            <w:pPr>
              <w:tabs>
                <w:tab w:val="left" w:pos="0"/>
              </w:tabs>
              <w:spacing w:after="0" w:line="240" w:lineRule="auto"/>
              <w:rPr>
                <w:rFonts w:eastAsia="Times New Roman" w:cs="Arial"/>
                <w:color w:val="000000"/>
                <w:sz w:val="20"/>
                <w:szCs w:val="20"/>
                <w:lang w:eastAsia="en-ID"/>
              </w:rPr>
            </w:pPr>
            <w:r w:rsidRPr="0009774A">
              <w:rPr>
                <w:rFonts w:cs="Arial"/>
                <w:sz w:val="20"/>
                <w:szCs w:val="20"/>
              </w:rPr>
              <w:t>Significant (real effect)</w:t>
            </w:r>
          </w:p>
        </w:tc>
      </w:tr>
      <w:tr w:rsidR="00FB02B6" w:rsidRPr="0009774A" w14:paraId="55629568" w14:textId="77777777" w:rsidTr="00921E74">
        <w:trPr>
          <w:gridAfter w:val="1"/>
          <w:wAfter w:w="24" w:type="dxa"/>
          <w:trHeight w:val="47"/>
        </w:trPr>
        <w:tc>
          <w:tcPr>
            <w:tcW w:w="2127" w:type="dxa"/>
            <w:hideMark/>
          </w:tcPr>
          <w:p w14:paraId="6A7797FD" w14:textId="2BEB9C42" w:rsidR="00FB02B6" w:rsidRPr="0009774A" w:rsidRDefault="00FB02B6" w:rsidP="00FB02B6">
            <w:pPr>
              <w:spacing w:after="0" w:line="240" w:lineRule="auto"/>
              <w:rPr>
                <w:rFonts w:eastAsia="Times New Roman" w:cs="Arial"/>
                <w:color w:val="000000"/>
                <w:sz w:val="20"/>
                <w:szCs w:val="20"/>
                <w:lang w:eastAsia="en-ID"/>
              </w:rPr>
            </w:pPr>
            <w:r w:rsidRPr="0009774A">
              <w:rPr>
                <w:rFonts w:cs="Arial"/>
                <w:sz w:val="20"/>
                <w:szCs w:val="20"/>
              </w:rPr>
              <w:t>Treatment × Week (Interaction)</w:t>
            </w:r>
          </w:p>
        </w:tc>
        <w:tc>
          <w:tcPr>
            <w:tcW w:w="1559" w:type="dxa"/>
            <w:gridSpan w:val="2"/>
            <w:vAlign w:val="center"/>
            <w:hideMark/>
          </w:tcPr>
          <w:p w14:paraId="090EB083" w14:textId="47356AB5"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321.913,00 </w:t>
            </w:r>
          </w:p>
        </w:tc>
        <w:tc>
          <w:tcPr>
            <w:tcW w:w="1663" w:type="dxa"/>
            <w:gridSpan w:val="2"/>
            <w:vAlign w:val="center"/>
            <w:hideMark/>
          </w:tcPr>
          <w:p w14:paraId="13963EC6" w14:textId="536D0370" w:rsidR="00FB02B6" w:rsidRPr="0009774A" w:rsidRDefault="00FB02B6" w:rsidP="00FB02B6">
            <w:pPr>
              <w:spacing w:after="0" w:line="240" w:lineRule="auto"/>
              <w:rPr>
                <w:rFonts w:eastAsia="Times New Roman" w:cs="Arial"/>
                <w:color w:val="000000"/>
                <w:sz w:val="20"/>
                <w:szCs w:val="20"/>
                <w:lang w:eastAsia="en-ID"/>
              </w:rPr>
            </w:pPr>
            <w:r w:rsidRPr="0009774A">
              <w:rPr>
                <w:rFonts w:cs="Arial"/>
                <w:color w:val="000000"/>
                <w:sz w:val="20"/>
                <w:szCs w:val="20"/>
              </w:rPr>
              <w:t xml:space="preserve"> 1.09 × 10</w:t>
            </w:r>
            <w:r w:rsidRPr="0009774A">
              <w:rPr>
                <w:rFonts w:ascii="Cambria Math" w:hAnsi="Cambria Math" w:cs="Cambria Math"/>
                <w:color w:val="000000"/>
                <w:sz w:val="20"/>
                <w:szCs w:val="20"/>
              </w:rPr>
              <w:t>⁻</w:t>
            </w:r>
            <w:r w:rsidRPr="0009774A">
              <w:rPr>
                <w:rFonts w:cs="Arial"/>
                <w:color w:val="000000"/>
                <w:sz w:val="20"/>
                <w:szCs w:val="20"/>
              </w:rPr>
              <w:t xml:space="preserve">⁷⁶ </w:t>
            </w:r>
          </w:p>
        </w:tc>
        <w:tc>
          <w:tcPr>
            <w:tcW w:w="2443" w:type="dxa"/>
            <w:gridSpan w:val="2"/>
            <w:hideMark/>
          </w:tcPr>
          <w:p w14:paraId="05F2F9B7" w14:textId="2A89628B" w:rsidR="00FB02B6" w:rsidRPr="0009774A" w:rsidRDefault="00FB02B6" w:rsidP="00FB02B6">
            <w:pPr>
              <w:tabs>
                <w:tab w:val="left" w:pos="0"/>
              </w:tabs>
              <w:spacing w:after="0" w:line="240" w:lineRule="auto"/>
              <w:rPr>
                <w:rFonts w:eastAsia="Times New Roman" w:cs="Arial"/>
                <w:color w:val="000000"/>
                <w:sz w:val="20"/>
                <w:szCs w:val="20"/>
                <w:lang w:eastAsia="en-ID"/>
              </w:rPr>
            </w:pPr>
            <w:r w:rsidRPr="0009774A">
              <w:rPr>
                <w:rFonts w:cs="Arial"/>
                <w:sz w:val="20"/>
                <w:szCs w:val="20"/>
              </w:rPr>
              <w:t>Significant (significant interaction)</w:t>
            </w:r>
          </w:p>
        </w:tc>
      </w:tr>
    </w:tbl>
    <w:p w14:paraId="71C30BE6" w14:textId="77777777" w:rsidR="00575E17" w:rsidRPr="005F1A2F" w:rsidRDefault="00575E17" w:rsidP="00575E17">
      <w:pPr>
        <w:pStyle w:val="NormalWeb"/>
        <w:spacing w:before="0" w:beforeAutospacing="0" w:after="0" w:afterAutospacing="0"/>
        <w:jc w:val="both"/>
        <w:rPr>
          <w:rFonts w:ascii="Arial" w:hAnsi="Arial" w:cs="Arial"/>
          <w:sz w:val="22"/>
          <w:szCs w:val="22"/>
        </w:rPr>
      </w:pPr>
    </w:p>
    <w:p w14:paraId="0DF41FA2" w14:textId="0675D6EE" w:rsidR="00AB49E0" w:rsidRPr="0009774A" w:rsidRDefault="00F7012E" w:rsidP="00575E17">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Two-way ANOVA revealed highly significant effects (p &lt; 0.05) of liquid organic fertilizer (LOF) concentration, observation week, and their interaction on the dry weight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The F-values were exceptionally high</w:t>
      </w:r>
      <w:r w:rsidR="006B4A0F" w:rsidRPr="0009774A">
        <w:rPr>
          <w:rFonts w:ascii="Arial" w:hAnsi="Arial" w:cs="Arial"/>
          <w:sz w:val="20"/>
          <w:szCs w:val="20"/>
        </w:rPr>
        <w:t xml:space="preserve"> </w:t>
      </w:r>
      <w:r w:rsidRPr="0009774A">
        <w:rPr>
          <w:rFonts w:ascii="Arial" w:hAnsi="Arial" w:cs="Arial"/>
          <w:sz w:val="20"/>
          <w:szCs w:val="20"/>
        </w:rPr>
        <w:t>1,013.367 for treatment, 503.660 for week, and 321.913 for the interaction</w:t>
      </w:r>
      <w:r w:rsidR="006B4A0F" w:rsidRPr="0009774A">
        <w:rPr>
          <w:rFonts w:ascii="Arial" w:hAnsi="Arial" w:cs="Arial"/>
          <w:sz w:val="20"/>
          <w:szCs w:val="20"/>
        </w:rPr>
        <w:t xml:space="preserve"> </w:t>
      </w:r>
      <w:r w:rsidRPr="0009774A">
        <w:rPr>
          <w:rFonts w:ascii="Arial" w:hAnsi="Arial" w:cs="Arial"/>
          <w:sz w:val="20"/>
          <w:szCs w:val="20"/>
        </w:rPr>
        <w:t xml:space="preserve">with corresponding p-values far below 0.05, confirming strong statistical significance. These results indicate that LOF effectiveness varies with plant growth stage. The 25% treatment showed the most stable dry weight accumulation, while the 10% concentration was most effective during early growth (week 2), suggesting both as optimal formulations.  A follow-up Tukey HSD test identified specific treatment–week combinations with significant differences, enabling more precise conclusions about the most effective concentrations and application timing. This post-hoc analysis is essential to complement ANOVA, which alone cannot determine which groups differ significantly. Without such comparisons, the interpretation of treatment effects would remain incomplete and potentially </w:t>
      </w:r>
      <w:proofErr w:type="spellStart"/>
      <w:r w:rsidRPr="0009774A">
        <w:rPr>
          <w:rFonts w:ascii="Arial" w:hAnsi="Arial" w:cs="Arial"/>
          <w:sz w:val="20"/>
          <w:szCs w:val="20"/>
        </w:rPr>
        <w:t>misleadin</w:t>
      </w:r>
      <w:proofErr w:type="spellEnd"/>
    </w:p>
    <w:p w14:paraId="60CA83D7" w14:textId="77777777" w:rsidR="00575E17" w:rsidRPr="0009774A" w:rsidRDefault="00575E17" w:rsidP="00575E17">
      <w:pPr>
        <w:pStyle w:val="NormalWeb"/>
        <w:spacing w:before="0" w:beforeAutospacing="0" w:after="0" w:afterAutospacing="0"/>
        <w:jc w:val="both"/>
        <w:rPr>
          <w:rFonts w:ascii="Arial" w:hAnsi="Arial" w:cs="Arial"/>
          <w:sz w:val="20"/>
          <w:szCs w:val="20"/>
        </w:rPr>
      </w:pPr>
    </w:p>
    <w:p w14:paraId="639A1C77" w14:textId="21F126D0" w:rsidR="00453597" w:rsidRPr="0009774A" w:rsidRDefault="00AB49E0" w:rsidP="0056577A">
      <w:pPr>
        <w:pStyle w:val="NormalWeb"/>
        <w:spacing w:before="0" w:beforeAutospacing="0" w:after="120" w:afterAutospacing="0"/>
        <w:jc w:val="both"/>
        <w:rPr>
          <w:rFonts w:ascii="Arial" w:hAnsi="Arial" w:cs="Arial"/>
          <w:sz w:val="20"/>
          <w:szCs w:val="20"/>
        </w:rPr>
      </w:pPr>
      <w:r w:rsidRPr="0009774A">
        <w:rPr>
          <w:rFonts w:ascii="Arial" w:hAnsi="Arial" w:cs="Arial"/>
          <w:sz w:val="20"/>
          <w:szCs w:val="20"/>
        </w:rPr>
        <w:t>Table 5. Tukey HSD Post-Hoc Comparison of Significant Differences in Plant Dry Weight Among Treatment Groups</w:t>
      </w:r>
    </w:p>
    <w:tbl>
      <w:tblPr>
        <w:tblW w:w="7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837"/>
        <w:gridCol w:w="987"/>
        <w:gridCol w:w="767"/>
        <w:gridCol w:w="610"/>
        <w:gridCol w:w="1936"/>
      </w:tblGrid>
      <w:tr w:rsidR="00453597" w:rsidRPr="0009774A" w14:paraId="7522BCEA" w14:textId="77777777" w:rsidTr="0056577A">
        <w:trPr>
          <w:trHeight w:val="40"/>
        </w:trPr>
        <w:tc>
          <w:tcPr>
            <w:tcW w:w="1838" w:type="dxa"/>
            <w:noWrap/>
            <w:hideMark/>
          </w:tcPr>
          <w:p w14:paraId="2A42DDFE" w14:textId="5FBC6751" w:rsidR="00453597" w:rsidRPr="0056577A" w:rsidRDefault="00AB49E0"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Group 1</w:t>
            </w:r>
          </w:p>
        </w:tc>
        <w:tc>
          <w:tcPr>
            <w:tcW w:w="1837" w:type="dxa"/>
            <w:noWrap/>
            <w:hideMark/>
          </w:tcPr>
          <w:p w14:paraId="624B2E2A" w14:textId="4ABD9640" w:rsidR="00453597" w:rsidRPr="0056577A" w:rsidRDefault="00AB49E0"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Group 2</w:t>
            </w:r>
          </w:p>
        </w:tc>
        <w:tc>
          <w:tcPr>
            <w:tcW w:w="987" w:type="dxa"/>
            <w:noWrap/>
            <w:hideMark/>
          </w:tcPr>
          <w:p w14:paraId="7936F9BD" w14:textId="48935602" w:rsidR="00453597" w:rsidRPr="0056577A" w:rsidRDefault="00AB49E0" w:rsidP="0056577A">
            <w:pPr>
              <w:spacing w:after="0" w:line="240" w:lineRule="auto"/>
              <w:jc w:val="center"/>
              <w:rPr>
                <w:rFonts w:eastAsia="Times New Roman" w:cs="Arial"/>
                <w:color w:val="000000"/>
                <w:sz w:val="18"/>
                <w:szCs w:val="18"/>
                <w:lang w:eastAsia="en-ID"/>
              </w:rPr>
            </w:pPr>
            <w:proofErr w:type="spellStart"/>
            <w:r w:rsidRPr="0056577A">
              <w:rPr>
                <w:rFonts w:eastAsia="Times New Roman" w:cs="Arial"/>
                <w:color w:val="000000"/>
                <w:sz w:val="18"/>
                <w:szCs w:val="18"/>
                <w:lang w:eastAsia="en-ID"/>
              </w:rPr>
              <w:t>Diff</w:t>
            </w:r>
            <w:r w:rsidR="008D306A" w:rsidRPr="0056577A">
              <w:rPr>
                <w:rFonts w:eastAsia="Times New Roman" w:cs="Arial"/>
                <w:color w:val="000000"/>
                <w:sz w:val="18"/>
                <w:szCs w:val="18"/>
                <w:lang w:eastAsia="en-ID"/>
              </w:rPr>
              <w:t>n</w:t>
            </w:r>
            <w:r w:rsidRPr="0056577A">
              <w:rPr>
                <w:rFonts w:eastAsia="Times New Roman" w:cs="Arial"/>
                <w:color w:val="000000"/>
                <w:sz w:val="18"/>
                <w:szCs w:val="18"/>
                <w:lang w:eastAsia="en-ID"/>
              </w:rPr>
              <w:t>in</w:t>
            </w:r>
            <w:proofErr w:type="spellEnd"/>
            <w:r w:rsidRPr="0056577A">
              <w:rPr>
                <w:rFonts w:eastAsia="Times New Roman" w:cs="Arial"/>
                <w:color w:val="000000"/>
                <w:sz w:val="18"/>
                <w:szCs w:val="18"/>
                <w:lang w:eastAsia="en-ID"/>
              </w:rPr>
              <w:t xml:space="preserve"> mean</w:t>
            </w:r>
          </w:p>
        </w:tc>
        <w:tc>
          <w:tcPr>
            <w:tcW w:w="767" w:type="dxa"/>
            <w:noWrap/>
            <w:hideMark/>
          </w:tcPr>
          <w:p w14:paraId="4D17CADC" w14:textId="77777777" w:rsidR="00453597" w:rsidRPr="0056577A" w:rsidRDefault="00453597"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p-</w:t>
            </w:r>
            <w:proofErr w:type="spellStart"/>
            <w:r w:rsidRPr="0056577A">
              <w:rPr>
                <w:rFonts w:eastAsia="Times New Roman" w:cs="Arial"/>
                <w:color w:val="000000"/>
                <w:sz w:val="18"/>
                <w:szCs w:val="18"/>
                <w:lang w:eastAsia="en-ID"/>
              </w:rPr>
              <w:t>adj</w:t>
            </w:r>
            <w:proofErr w:type="spellEnd"/>
          </w:p>
        </w:tc>
        <w:tc>
          <w:tcPr>
            <w:tcW w:w="610" w:type="dxa"/>
            <w:noWrap/>
            <w:hideMark/>
          </w:tcPr>
          <w:p w14:paraId="24CE35DC" w14:textId="59F02B11" w:rsidR="00453597" w:rsidRPr="0056577A" w:rsidRDefault="00AB49E0"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Sig</w:t>
            </w:r>
            <w:r w:rsidR="008D306A" w:rsidRPr="0056577A">
              <w:rPr>
                <w:rFonts w:eastAsia="Times New Roman" w:cs="Arial"/>
                <w:color w:val="000000"/>
                <w:sz w:val="18"/>
                <w:szCs w:val="18"/>
                <w:lang w:eastAsia="en-ID"/>
              </w:rPr>
              <w:t>.</w:t>
            </w:r>
          </w:p>
        </w:tc>
        <w:tc>
          <w:tcPr>
            <w:tcW w:w="1936" w:type="dxa"/>
            <w:noWrap/>
            <w:hideMark/>
          </w:tcPr>
          <w:p w14:paraId="15F50DE5" w14:textId="3949348F" w:rsidR="00453597" w:rsidRPr="0056577A" w:rsidRDefault="00AB49E0"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Conclusion</w:t>
            </w:r>
          </w:p>
        </w:tc>
      </w:tr>
      <w:tr w:rsidR="00FB02B6" w:rsidRPr="0009774A" w14:paraId="6D13CA7F" w14:textId="77777777" w:rsidTr="0056577A">
        <w:trPr>
          <w:trHeight w:val="285"/>
        </w:trPr>
        <w:tc>
          <w:tcPr>
            <w:tcW w:w="1838" w:type="dxa"/>
            <w:noWrap/>
            <w:vAlign w:val="bottom"/>
            <w:hideMark/>
          </w:tcPr>
          <w:p w14:paraId="50B65C16"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10% (P1) - 1 WAT</w:t>
            </w:r>
          </w:p>
        </w:tc>
        <w:tc>
          <w:tcPr>
            <w:tcW w:w="1837" w:type="dxa"/>
            <w:noWrap/>
            <w:vAlign w:val="bottom"/>
            <w:hideMark/>
          </w:tcPr>
          <w:p w14:paraId="7EF7943A"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25% (P2) - 1 WAT</w:t>
            </w:r>
          </w:p>
        </w:tc>
        <w:tc>
          <w:tcPr>
            <w:tcW w:w="987" w:type="dxa"/>
            <w:noWrap/>
            <w:vAlign w:val="center"/>
            <w:hideMark/>
          </w:tcPr>
          <w:p w14:paraId="7AFE65E9" w14:textId="319CC48C"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1,4389</w:t>
            </w:r>
          </w:p>
        </w:tc>
        <w:tc>
          <w:tcPr>
            <w:tcW w:w="767" w:type="dxa"/>
            <w:noWrap/>
            <w:vAlign w:val="center"/>
            <w:hideMark/>
          </w:tcPr>
          <w:p w14:paraId="0C988AC4" w14:textId="681E136C"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53104310"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31E9B00E"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25% (P2) - 1 WAT &gt; 10% (P1) - 1 WAT</w:t>
            </w:r>
          </w:p>
        </w:tc>
      </w:tr>
      <w:tr w:rsidR="00FB02B6" w:rsidRPr="0009774A" w14:paraId="336922CF" w14:textId="77777777" w:rsidTr="0056577A">
        <w:trPr>
          <w:trHeight w:val="285"/>
        </w:trPr>
        <w:tc>
          <w:tcPr>
            <w:tcW w:w="1838" w:type="dxa"/>
            <w:noWrap/>
            <w:vAlign w:val="bottom"/>
            <w:hideMark/>
          </w:tcPr>
          <w:p w14:paraId="2B4C59EE"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10% (P1) - 1 WAT</w:t>
            </w:r>
          </w:p>
        </w:tc>
        <w:tc>
          <w:tcPr>
            <w:tcW w:w="1837" w:type="dxa"/>
            <w:noWrap/>
            <w:vAlign w:val="bottom"/>
            <w:hideMark/>
          </w:tcPr>
          <w:p w14:paraId="2B22D99A"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50% (P3) - 1 WAT</w:t>
            </w:r>
          </w:p>
        </w:tc>
        <w:tc>
          <w:tcPr>
            <w:tcW w:w="987" w:type="dxa"/>
            <w:noWrap/>
            <w:vAlign w:val="center"/>
            <w:hideMark/>
          </w:tcPr>
          <w:p w14:paraId="7302B020" w14:textId="67E2F48D"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1,6568</w:t>
            </w:r>
          </w:p>
        </w:tc>
        <w:tc>
          <w:tcPr>
            <w:tcW w:w="767" w:type="dxa"/>
            <w:noWrap/>
            <w:vAlign w:val="center"/>
            <w:hideMark/>
          </w:tcPr>
          <w:p w14:paraId="492BAAE5" w14:textId="2F54DF96"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2B47E2FE"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7FDBEEE7"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50% (P3) - 1 WAT &gt; 10% (P1) - 1 WAT</w:t>
            </w:r>
          </w:p>
        </w:tc>
      </w:tr>
      <w:tr w:rsidR="00FB02B6" w:rsidRPr="0009774A" w14:paraId="785C69E6" w14:textId="77777777" w:rsidTr="0056577A">
        <w:trPr>
          <w:trHeight w:val="285"/>
        </w:trPr>
        <w:tc>
          <w:tcPr>
            <w:tcW w:w="1838" w:type="dxa"/>
            <w:noWrap/>
            <w:vAlign w:val="bottom"/>
            <w:hideMark/>
          </w:tcPr>
          <w:p w14:paraId="636921A9"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10% (P1) - 1 WAT</w:t>
            </w:r>
          </w:p>
        </w:tc>
        <w:tc>
          <w:tcPr>
            <w:tcW w:w="1837" w:type="dxa"/>
            <w:noWrap/>
            <w:vAlign w:val="bottom"/>
            <w:hideMark/>
          </w:tcPr>
          <w:p w14:paraId="533D2EA7"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- 1 WAT</w:t>
            </w:r>
          </w:p>
        </w:tc>
        <w:tc>
          <w:tcPr>
            <w:tcW w:w="987" w:type="dxa"/>
            <w:noWrap/>
            <w:vAlign w:val="center"/>
            <w:hideMark/>
          </w:tcPr>
          <w:p w14:paraId="6D33A9D6" w14:textId="66A20116"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1,6408</w:t>
            </w:r>
          </w:p>
        </w:tc>
        <w:tc>
          <w:tcPr>
            <w:tcW w:w="767" w:type="dxa"/>
            <w:noWrap/>
            <w:vAlign w:val="center"/>
            <w:hideMark/>
          </w:tcPr>
          <w:p w14:paraId="72076988" w14:textId="4791535B"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21686ABD"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3DD39087"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- 1 WAT &gt; 10% (P1) - 1 WAT</w:t>
            </w:r>
          </w:p>
        </w:tc>
      </w:tr>
      <w:tr w:rsidR="00FB02B6" w:rsidRPr="0009774A" w14:paraId="3B700076" w14:textId="77777777" w:rsidTr="0056577A">
        <w:trPr>
          <w:trHeight w:val="285"/>
        </w:trPr>
        <w:tc>
          <w:tcPr>
            <w:tcW w:w="1838" w:type="dxa"/>
            <w:noWrap/>
            <w:vAlign w:val="bottom"/>
            <w:hideMark/>
          </w:tcPr>
          <w:p w14:paraId="0C579B1D"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25% (P2) - 1 WAT</w:t>
            </w:r>
          </w:p>
        </w:tc>
        <w:tc>
          <w:tcPr>
            <w:tcW w:w="1837" w:type="dxa"/>
            <w:noWrap/>
            <w:vAlign w:val="bottom"/>
            <w:hideMark/>
          </w:tcPr>
          <w:p w14:paraId="17E65312"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50% (P3) - 1 WAT</w:t>
            </w:r>
          </w:p>
        </w:tc>
        <w:tc>
          <w:tcPr>
            <w:tcW w:w="987" w:type="dxa"/>
            <w:noWrap/>
            <w:vAlign w:val="center"/>
            <w:hideMark/>
          </w:tcPr>
          <w:p w14:paraId="7A0DA178" w14:textId="4C916977"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0,2180</w:t>
            </w:r>
          </w:p>
        </w:tc>
        <w:tc>
          <w:tcPr>
            <w:tcW w:w="767" w:type="dxa"/>
            <w:noWrap/>
            <w:vAlign w:val="center"/>
            <w:hideMark/>
          </w:tcPr>
          <w:p w14:paraId="77F860D1" w14:textId="535842C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0,0035</w:t>
            </w:r>
          </w:p>
        </w:tc>
        <w:tc>
          <w:tcPr>
            <w:tcW w:w="610" w:type="dxa"/>
            <w:noWrap/>
            <w:vAlign w:val="bottom"/>
            <w:hideMark/>
          </w:tcPr>
          <w:p w14:paraId="0EA7253E"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3D4C83FB"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50% (P3) - 1 WAT &gt; 25% (P2) - 1 WAT</w:t>
            </w:r>
          </w:p>
        </w:tc>
      </w:tr>
      <w:tr w:rsidR="00FB02B6" w:rsidRPr="0009774A" w14:paraId="355FEAD1" w14:textId="77777777" w:rsidTr="0056577A">
        <w:trPr>
          <w:trHeight w:val="285"/>
        </w:trPr>
        <w:tc>
          <w:tcPr>
            <w:tcW w:w="1838" w:type="dxa"/>
            <w:noWrap/>
            <w:vAlign w:val="bottom"/>
            <w:hideMark/>
          </w:tcPr>
          <w:p w14:paraId="52CE8542"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25% (P2) - 1 WAT</w:t>
            </w:r>
          </w:p>
        </w:tc>
        <w:tc>
          <w:tcPr>
            <w:tcW w:w="1837" w:type="dxa"/>
            <w:noWrap/>
            <w:vAlign w:val="bottom"/>
            <w:hideMark/>
          </w:tcPr>
          <w:p w14:paraId="57DB1F60"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- 1 WAT</w:t>
            </w:r>
          </w:p>
        </w:tc>
        <w:tc>
          <w:tcPr>
            <w:tcW w:w="987" w:type="dxa"/>
            <w:noWrap/>
            <w:vAlign w:val="center"/>
            <w:hideMark/>
          </w:tcPr>
          <w:p w14:paraId="0C4F7D05" w14:textId="28DDA3EF"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0,2019</w:t>
            </w:r>
          </w:p>
        </w:tc>
        <w:tc>
          <w:tcPr>
            <w:tcW w:w="767" w:type="dxa"/>
            <w:noWrap/>
            <w:vAlign w:val="center"/>
            <w:hideMark/>
          </w:tcPr>
          <w:p w14:paraId="607BE5CE" w14:textId="06F3A4E3"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0,0042</w:t>
            </w:r>
          </w:p>
        </w:tc>
        <w:tc>
          <w:tcPr>
            <w:tcW w:w="610" w:type="dxa"/>
            <w:noWrap/>
            <w:vAlign w:val="bottom"/>
            <w:hideMark/>
          </w:tcPr>
          <w:p w14:paraId="0C2C0A7F"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109B6AE1"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- 1 WAT &gt; 25% (P2) - 1 WAT</w:t>
            </w:r>
          </w:p>
        </w:tc>
      </w:tr>
      <w:tr w:rsidR="00FB02B6" w:rsidRPr="0009774A" w14:paraId="5F44CA97" w14:textId="77777777" w:rsidTr="0056577A">
        <w:trPr>
          <w:trHeight w:val="285"/>
        </w:trPr>
        <w:tc>
          <w:tcPr>
            <w:tcW w:w="1838" w:type="dxa"/>
            <w:noWrap/>
            <w:vAlign w:val="bottom"/>
            <w:hideMark/>
          </w:tcPr>
          <w:p w14:paraId="3BC02CCB"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50% (P3) - 1 WAT</w:t>
            </w:r>
          </w:p>
        </w:tc>
        <w:tc>
          <w:tcPr>
            <w:tcW w:w="1837" w:type="dxa"/>
            <w:noWrap/>
            <w:vAlign w:val="bottom"/>
            <w:hideMark/>
          </w:tcPr>
          <w:p w14:paraId="56832B8E"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- 1 WAT</w:t>
            </w:r>
          </w:p>
        </w:tc>
        <w:tc>
          <w:tcPr>
            <w:tcW w:w="987" w:type="dxa"/>
            <w:noWrap/>
            <w:vAlign w:val="center"/>
            <w:hideMark/>
          </w:tcPr>
          <w:p w14:paraId="012ACF31" w14:textId="4C093D67"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    0,0161</w:t>
            </w:r>
          </w:p>
        </w:tc>
        <w:tc>
          <w:tcPr>
            <w:tcW w:w="767" w:type="dxa"/>
            <w:noWrap/>
            <w:vAlign w:val="center"/>
            <w:hideMark/>
          </w:tcPr>
          <w:p w14:paraId="625B2DCA" w14:textId="32A4DB4F"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0,9990</w:t>
            </w:r>
          </w:p>
        </w:tc>
        <w:tc>
          <w:tcPr>
            <w:tcW w:w="610" w:type="dxa"/>
            <w:noWrap/>
            <w:vAlign w:val="bottom"/>
            <w:hideMark/>
          </w:tcPr>
          <w:p w14:paraId="5EF897EB"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01E8E924" w14:textId="65FB6948" w:rsidR="00FB02B6" w:rsidRPr="0056577A" w:rsidRDefault="00FB02B6" w:rsidP="0056577A">
            <w:pPr>
              <w:spacing w:after="0" w:line="240" w:lineRule="auto"/>
              <w:jc w:val="center"/>
              <w:rPr>
                <w:rFonts w:eastAsia="Times New Roman" w:cs="Arial"/>
                <w:color w:val="000000"/>
                <w:sz w:val="18"/>
                <w:szCs w:val="18"/>
                <w:lang w:eastAsia="en-ID"/>
              </w:rPr>
            </w:pPr>
            <w:proofErr w:type="spellStart"/>
            <w:proofErr w:type="gramStart"/>
            <w:r w:rsidRPr="0056577A">
              <w:rPr>
                <w:rFonts w:eastAsia="Times New Roman" w:cs="Arial"/>
                <w:color w:val="000000"/>
                <w:sz w:val="18"/>
                <w:szCs w:val="18"/>
                <w:lang w:eastAsia="en-ID"/>
              </w:rPr>
              <w:t>Non</w:t>
            </w:r>
            <w:r w:rsidR="005F0096" w:rsidRPr="0056577A">
              <w:rPr>
                <w:rFonts w:eastAsia="Times New Roman" w:cs="Arial"/>
                <w:color w:val="000000"/>
                <w:sz w:val="18"/>
                <w:szCs w:val="18"/>
                <w:lang w:eastAsia="en-ID"/>
              </w:rPr>
              <w:t xml:space="preserve">  </w:t>
            </w:r>
            <w:r w:rsidRPr="0056577A">
              <w:rPr>
                <w:rFonts w:eastAsia="Times New Roman" w:cs="Arial"/>
                <w:color w:val="000000"/>
                <w:sz w:val="18"/>
                <w:szCs w:val="18"/>
                <w:lang w:eastAsia="en-ID"/>
              </w:rPr>
              <w:t>Significant</w:t>
            </w:r>
            <w:proofErr w:type="spellEnd"/>
            <w:proofErr w:type="gramEnd"/>
          </w:p>
        </w:tc>
      </w:tr>
      <w:tr w:rsidR="00FB02B6" w:rsidRPr="0009774A" w14:paraId="4A9DFFB0" w14:textId="77777777" w:rsidTr="0056577A">
        <w:trPr>
          <w:trHeight w:val="285"/>
        </w:trPr>
        <w:tc>
          <w:tcPr>
            <w:tcW w:w="1838" w:type="dxa"/>
            <w:noWrap/>
            <w:vAlign w:val="bottom"/>
            <w:hideMark/>
          </w:tcPr>
          <w:p w14:paraId="6D1CEBC1"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10% (P1) - 3 WAT</w:t>
            </w:r>
          </w:p>
        </w:tc>
        <w:tc>
          <w:tcPr>
            <w:tcW w:w="1837" w:type="dxa"/>
            <w:noWrap/>
            <w:vAlign w:val="bottom"/>
            <w:hideMark/>
          </w:tcPr>
          <w:p w14:paraId="098D4759"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- 3 WAT</w:t>
            </w:r>
          </w:p>
        </w:tc>
        <w:tc>
          <w:tcPr>
            <w:tcW w:w="987" w:type="dxa"/>
            <w:noWrap/>
            <w:vAlign w:val="center"/>
            <w:hideMark/>
          </w:tcPr>
          <w:p w14:paraId="0BF6DB1B" w14:textId="7A360FDD"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1,0146</w:t>
            </w:r>
          </w:p>
        </w:tc>
        <w:tc>
          <w:tcPr>
            <w:tcW w:w="767" w:type="dxa"/>
            <w:noWrap/>
            <w:vAlign w:val="center"/>
            <w:hideMark/>
          </w:tcPr>
          <w:p w14:paraId="18405003" w14:textId="60ED84C3"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764A3537"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17E86CAE"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- 3 WAT &gt; 10% (P1) - 3 WAT</w:t>
            </w:r>
          </w:p>
        </w:tc>
      </w:tr>
      <w:tr w:rsidR="00FB02B6" w:rsidRPr="0009774A" w14:paraId="0947B0EC" w14:textId="77777777" w:rsidTr="0056577A">
        <w:trPr>
          <w:trHeight w:val="285"/>
        </w:trPr>
        <w:tc>
          <w:tcPr>
            <w:tcW w:w="1838" w:type="dxa"/>
            <w:noWrap/>
            <w:vAlign w:val="bottom"/>
            <w:hideMark/>
          </w:tcPr>
          <w:p w14:paraId="2A66F0C9"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10% (P1) - 4 WAT</w:t>
            </w:r>
          </w:p>
        </w:tc>
        <w:tc>
          <w:tcPr>
            <w:tcW w:w="1837" w:type="dxa"/>
            <w:noWrap/>
            <w:vAlign w:val="bottom"/>
            <w:hideMark/>
          </w:tcPr>
          <w:p w14:paraId="4A300D6F"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- 4 WAT</w:t>
            </w:r>
          </w:p>
        </w:tc>
        <w:tc>
          <w:tcPr>
            <w:tcW w:w="987" w:type="dxa"/>
            <w:noWrap/>
            <w:vAlign w:val="center"/>
            <w:hideMark/>
          </w:tcPr>
          <w:p w14:paraId="308040EE" w14:textId="28EC744F"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1,2124</w:t>
            </w:r>
          </w:p>
        </w:tc>
        <w:tc>
          <w:tcPr>
            <w:tcW w:w="767" w:type="dxa"/>
            <w:noWrap/>
            <w:vAlign w:val="center"/>
            <w:hideMark/>
          </w:tcPr>
          <w:p w14:paraId="4347A9A0" w14:textId="57BEDAC4"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2F433DB0"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41A24541"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- 4 WAT &gt; 10% (P1) - 4 WAT</w:t>
            </w:r>
          </w:p>
        </w:tc>
      </w:tr>
      <w:tr w:rsidR="00FB02B6" w:rsidRPr="0009774A" w14:paraId="29B81F62" w14:textId="77777777" w:rsidTr="0056577A">
        <w:trPr>
          <w:trHeight w:val="285"/>
        </w:trPr>
        <w:tc>
          <w:tcPr>
            <w:tcW w:w="1838" w:type="dxa"/>
            <w:noWrap/>
            <w:vAlign w:val="bottom"/>
            <w:hideMark/>
          </w:tcPr>
          <w:p w14:paraId="1E5B0D33"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25% (P2) - 4 WAT</w:t>
            </w:r>
          </w:p>
        </w:tc>
        <w:tc>
          <w:tcPr>
            <w:tcW w:w="1837" w:type="dxa"/>
            <w:noWrap/>
            <w:vAlign w:val="bottom"/>
            <w:hideMark/>
          </w:tcPr>
          <w:p w14:paraId="26163199"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- 4 WAT</w:t>
            </w:r>
          </w:p>
        </w:tc>
        <w:tc>
          <w:tcPr>
            <w:tcW w:w="987" w:type="dxa"/>
            <w:noWrap/>
            <w:vAlign w:val="center"/>
            <w:hideMark/>
          </w:tcPr>
          <w:p w14:paraId="3C798CC7" w14:textId="33580C1F"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1,0564</w:t>
            </w:r>
          </w:p>
        </w:tc>
        <w:tc>
          <w:tcPr>
            <w:tcW w:w="767" w:type="dxa"/>
            <w:noWrap/>
            <w:vAlign w:val="center"/>
            <w:hideMark/>
          </w:tcPr>
          <w:p w14:paraId="1E1A921A" w14:textId="4C3AFD86"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7C63A0D2"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151D8D08"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- 4 WAT &gt; 25% (P2) - 4 WAT</w:t>
            </w:r>
          </w:p>
        </w:tc>
      </w:tr>
      <w:tr w:rsidR="00FB02B6" w:rsidRPr="0009774A" w14:paraId="69006855" w14:textId="77777777" w:rsidTr="0056577A">
        <w:trPr>
          <w:trHeight w:val="50"/>
        </w:trPr>
        <w:tc>
          <w:tcPr>
            <w:tcW w:w="1838" w:type="dxa"/>
            <w:noWrap/>
            <w:vAlign w:val="bottom"/>
            <w:hideMark/>
          </w:tcPr>
          <w:p w14:paraId="1798C447"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50% (P3) - 4 WAT</w:t>
            </w:r>
          </w:p>
        </w:tc>
        <w:tc>
          <w:tcPr>
            <w:tcW w:w="1837" w:type="dxa"/>
            <w:noWrap/>
            <w:vAlign w:val="bottom"/>
            <w:hideMark/>
          </w:tcPr>
          <w:p w14:paraId="5AAE8AD1" w14:textId="77777777" w:rsidR="00FB02B6" w:rsidRPr="0056577A" w:rsidRDefault="00FB02B6" w:rsidP="0056577A">
            <w:pPr>
              <w:spacing w:after="0" w:line="240" w:lineRule="auto"/>
              <w:ind w:left="31"/>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- 4 WAT</w:t>
            </w:r>
          </w:p>
        </w:tc>
        <w:tc>
          <w:tcPr>
            <w:tcW w:w="987" w:type="dxa"/>
            <w:noWrap/>
            <w:vAlign w:val="center"/>
            <w:hideMark/>
          </w:tcPr>
          <w:p w14:paraId="75106883" w14:textId="06001E69" w:rsidR="00FB02B6" w:rsidRPr="0056577A" w:rsidRDefault="00FB02B6" w:rsidP="0056577A">
            <w:pPr>
              <w:spacing w:after="0" w:line="240" w:lineRule="auto"/>
              <w:ind w:left="-131"/>
              <w:jc w:val="center"/>
              <w:rPr>
                <w:rFonts w:eastAsia="Times New Roman" w:cs="Arial"/>
                <w:color w:val="000000"/>
                <w:sz w:val="18"/>
                <w:szCs w:val="18"/>
                <w:lang w:eastAsia="en-ID"/>
              </w:rPr>
            </w:pPr>
            <w:r w:rsidRPr="0056577A">
              <w:rPr>
                <w:rFonts w:cs="Arial"/>
                <w:color w:val="000000"/>
                <w:sz w:val="18"/>
                <w:szCs w:val="18"/>
              </w:rPr>
              <w:t>1,1312</w:t>
            </w:r>
          </w:p>
        </w:tc>
        <w:tc>
          <w:tcPr>
            <w:tcW w:w="767" w:type="dxa"/>
            <w:noWrap/>
            <w:vAlign w:val="center"/>
            <w:hideMark/>
          </w:tcPr>
          <w:p w14:paraId="11865BB5" w14:textId="5C9D9602"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cs="Arial"/>
                <w:color w:val="000000"/>
                <w:sz w:val="18"/>
                <w:szCs w:val="18"/>
              </w:rPr>
              <w:t>0,0001</w:t>
            </w:r>
          </w:p>
        </w:tc>
        <w:tc>
          <w:tcPr>
            <w:tcW w:w="610" w:type="dxa"/>
            <w:noWrap/>
            <w:vAlign w:val="bottom"/>
            <w:hideMark/>
          </w:tcPr>
          <w:p w14:paraId="6A78FACE"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ascii="Segoe UI Symbol" w:eastAsia="Times New Roman" w:hAnsi="Segoe UI Symbol" w:cs="Segoe UI Symbol"/>
                <w:color w:val="000000"/>
                <w:sz w:val="18"/>
                <w:szCs w:val="18"/>
                <w:lang w:eastAsia="en-ID"/>
              </w:rPr>
              <w:t>✓</w:t>
            </w:r>
          </w:p>
        </w:tc>
        <w:tc>
          <w:tcPr>
            <w:tcW w:w="1936" w:type="dxa"/>
            <w:noWrap/>
            <w:vAlign w:val="bottom"/>
            <w:hideMark/>
          </w:tcPr>
          <w:p w14:paraId="3E3A98B0" w14:textId="77777777" w:rsidR="00FB02B6" w:rsidRPr="0056577A" w:rsidRDefault="00FB02B6" w:rsidP="0056577A">
            <w:pPr>
              <w:spacing w:after="0" w:line="240" w:lineRule="auto"/>
              <w:jc w:val="center"/>
              <w:rPr>
                <w:rFonts w:eastAsia="Times New Roman" w:cs="Arial"/>
                <w:color w:val="000000"/>
                <w:sz w:val="18"/>
                <w:szCs w:val="18"/>
                <w:lang w:eastAsia="en-ID"/>
              </w:rPr>
            </w:pPr>
            <w:r w:rsidRPr="0056577A">
              <w:rPr>
                <w:rFonts w:eastAsia="Times New Roman" w:cs="Arial"/>
                <w:color w:val="000000"/>
                <w:sz w:val="18"/>
                <w:szCs w:val="18"/>
                <w:lang w:eastAsia="en-ID"/>
              </w:rPr>
              <w:t>Control (P) - 4 WAT &gt; 50% (P3) - 4 WAT</w:t>
            </w:r>
          </w:p>
        </w:tc>
      </w:tr>
    </w:tbl>
    <w:p w14:paraId="755ADC6B" w14:textId="77777777" w:rsidR="008D4478" w:rsidRPr="0009774A" w:rsidRDefault="008D4478" w:rsidP="00575E17">
      <w:pPr>
        <w:pStyle w:val="NormalWeb"/>
        <w:spacing w:before="0" w:beforeAutospacing="0" w:after="0" w:afterAutospacing="0"/>
        <w:jc w:val="both"/>
        <w:rPr>
          <w:rFonts w:ascii="Arial" w:hAnsi="Arial" w:cs="Arial"/>
          <w:sz w:val="20"/>
          <w:szCs w:val="20"/>
        </w:rPr>
      </w:pPr>
    </w:p>
    <w:p w14:paraId="6465F7C9" w14:textId="2269CCFC" w:rsidR="0073492F" w:rsidRPr="0009774A" w:rsidRDefault="007B5604" w:rsidP="00F7012E">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Tukey HSD post-hoc analysis indicated that the control treatment (P) resulted in significantly higher dry weight during the third and fourth weeks of observation compared to all LOF treatments (10%, 25%, and 50%), with adjusted </w:t>
      </w:r>
      <w:r w:rsidRPr="0009774A">
        <w:rPr>
          <w:rStyle w:val="Emphasis"/>
          <w:rFonts w:ascii="Arial" w:hAnsi="Arial" w:cs="Arial"/>
          <w:sz w:val="20"/>
          <w:szCs w:val="20"/>
        </w:rPr>
        <w:t>p</w:t>
      </w:r>
      <w:r w:rsidRPr="0009774A">
        <w:rPr>
          <w:rFonts w:ascii="Arial" w:hAnsi="Arial" w:cs="Arial"/>
          <w:sz w:val="20"/>
          <w:szCs w:val="20"/>
        </w:rPr>
        <w:t xml:space="preserve">-values &lt; 0.0001. This suggests that, in the absence of exogenous nutrient inputs,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may exhibit compensatory growth through physiological adaptation to microenvironmental conditions. Nevertheless, when broader agronomic metrics such as temporal stability and inter-phase consistency are considered, the 25% LOF treatment (P2) emerges as the most agronomically viable, consistently supporting sustained biomass accumulation. In contrast, the 10% LOF treatment (P1) displayed an early growth peak followed by rapid decline, while the 50% treatment (P3) demonstrated fluctuating and less predictable growth dynamics. These findings were corroborated by second-order polynomial regression </w:t>
      </w:r>
      <w:r w:rsidRPr="0009774A">
        <w:rPr>
          <w:rFonts w:ascii="Arial" w:hAnsi="Arial" w:cs="Arial"/>
          <w:sz w:val="20"/>
          <w:szCs w:val="20"/>
        </w:rPr>
        <w:lastRenderedPageBreak/>
        <w:t>analyses, which revealed distinct growth trajectories across treatments, further confirming the critical role of both dosage and timing in LOF efficacy. Collectively, the results underscore the importance of precision fertilization strategies that optimize nutrient delivery across developmental stages to enhance productivity and ensure sustainable crop performance</w:t>
      </w:r>
      <w:r w:rsidR="0073492F" w:rsidRPr="0009774A">
        <w:rPr>
          <w:rFonts w:ascii="Arial" w:hAnsi="Arial" w:cs="Arial"/>
          <w:sz w:val="20"/>
          <w:szCs w:val="20"/>
        </w:rPr>
        <w:t xml:space="preserve">. </w:t>
      </w:r>
      <w:r w:rsidR="0073492F" w:rsidRPr="0009774A">
        <w:rPr>
          <w:rFonts w:ascii="Arial" w:hAnsi="Arial" w:cs="Arial"/>
          <w:sz w:val="20"/>
          <w:szCs w:val="20"/>
        </w:rPr>
        <w:fldChar w:fldCharType="begin" w:fldLock="1"/>
      </w:r>
      <w:r w:rsidR="0073492F" w:rsidRPr="0009774A">
        <w:rPr>
          <w:rFonts w:ascii="Arial" w:hAnsi="Arial" w:cs="Arial"/>
          <w:sz w:val="20"/>
          <w:szCs w:val="20"/>
        </w:rPr>
        <w:instrText>ADDIN CSL_CITATION {"citationItems":[{"id":"ITEM-1","itemData":{"ISSN":"2773-8752","author":[{"dropping-particle":"","family":"Ibañez","given":"Roger Y","non-dropping-particle":"","parse-names":false,"suffix":""},{"dropping-particle":"","family":"Balansag","given":"Goram C","non-dropping-particle":"","parse-names":false,"suffix":""},{"dropping-particle":"","family":"Puod","given":"Nova Grace D","non-dropping-particle":"","parse-names":false,"suffix":""}],"container-title":"ASEAN Journal of Scientific and Technological Reports","id":"ITEM-1","issue":"1","issued":{"date-parts":[["2025"]]},"page":"e255634-e255634","title":"Effects of Different Manures on the Growth Performance of Pechay (Brassica rapa L.) Under Visayas State University Condition","type":"article-journal","volume":"28"},"uris":["http://www.mendeley.com/documents/?uuid=b2f9eb64-4ba6-4ea5-9146-66cb78e94cb7"]}],"mendeley":{"formattedCitation":"(Ibañez, Balansag and Puod, 2025)","plainTextFormattedCitation":"(Ibañez, Balansag and Puod, 2025)","previouslyFormattedCitation":"(Ibañez, Balansag and Puod, 2025)"},"properties":{"noteIndex":0},"schema":"https://github.com/citation-style-language/schema/raw/master/csl-citation.json"}</w:instrText>
      </w:r>
      <w:r w:rsidR="0073492F" w:rsidRPr="0009774A">
        <w:rPr>
          <w:rFonts w:ascii="Arial" w:hAnsi="Arial" w:cs="Arial"/>
          <w:sz w:val="20"/>
          <w:szCs w:val="20"/>
        </w:rPr>
        <w:fldChar w:fldCharType="separate"/>
      </w:r>
      <w:r w:rsidR="0073492F" w:rsidRPr="0009774A">
        <w:rPr>
          <w:rFonts w:ascii="Arial" w:hAnsi="Arial" w:cs="Arial"/>
          <w:noProof/>
          <w:sz w:val="20"/>
          <w:szCs w:val="20"/>
        </w:rPr>
        <w:t>(Ibañez, Balansag and Puod, 2025)</w:t>
      </w:r>
      <w:r w:rsidR="0073492F" w:rsidRPr="0009774A">
        <w:rPr>
          <w:rFonts w:ascii="Arial" w:hAnsi="Arial" w:cs="Arial"/>
          <w:sz w:val="20"/>
          <w:szCs w:val="20"/>
        </w:rPr>
        <w:fldChar w:fldCharType="end"/>
      </w:r>
      <w:r w:rsidR="0073492F" w:rsidRPr="0009774A">
        <w:rPr>
          <w:rFonts w:ascii="Arial" w:hAnsi="Arial" w:cs="Arial"/>
          <w:sz w:val="20"/>
          <w:szCs w:val="20"/>
        </w:rPr>
        <w:t xml:space="preserve"> </w:t>
      </w:r>
      <w:r w:rsidR="007F2D5F" w:rsidRPr="0009774A">
        <w:rPr>
          <w:rFonts w:ascii="Arial" w:hAnsi="Arial" w:cs="Arial"/>
          <w:sz w:val="20"/>
          <w:szCs w:val="20"/>
        </w:rPr>
        <w:fldChar w:fldCharType="begin" w:fldLock="1"/>
      </w:r>
      <w:r w:rsidR="007A2037" w:rsidRPr="0009774A">
        <w:rPr>
          <w:rFonts w:ascii="Arial" w:hAnsi="Arial" w:cs="Arial"/>
          <w:sz w:val="20"/>
          <w:szCs w:val="20"/>
        </w:rPr>
        <w:instrText>ADDIN CSL_CITATION {"citationItems":[{"id":"ITEM-1","itemData":{"ISSN":"0929-1393","author":[{"dropping-particle":"","family":"Lebel","given":"Rebecca","non-dropping-particle":"","parse-names":false,"suffix":""},{"dropping-particle":"","family":"Farow","given":"Deqa","non-dropping-particle":"","parse-names":false,"suffix":""},{"dropping-particle":"","family":"Crossman","given":"Jill","non-dropping-particle":"","parse-names":false,"suffix":""},{"dropping-particle":"","family":"Proctor","given":"Cameron","non-dropping-particle":"","parse-names":false,"suffix":""}],"container-title":"Applied Soil Ecology","id":"ITEM-1","issued":{"date-parts":[["2025"]]},"page":"105851","publisher":"Elsevier","title":"The effects of biosolid microplastics on rhizosphere respiration of root exudates in Glycine max","type":"article-journal","volume":"206"},"uris":["http://www.mendeley.com/documents/?uuid=7459447e-0fda-4dae-a1d2-f87f8ae8875f"]}],"mendeley":{"formattedCitation":"(Lebel &lt;i&gt;et al.&lt;/i&gt;, 2025)","plainTextFormattedCitation":"(Lebel et al., 2025)","previouslyFormattedCitation":"(Lebel &lt;i&gt;et al.&lt;/i&gt;, 2025)"},"properties":{"noteIndex":0},"schema":"https://github.com/citation-style-language/schema/raw/master/csl-citation.json"}</w:instrText>
      </w:r>
      <w:r w:rsidR="007F2D5F" w:rsidRPr="0009774A">
        <w:rPr>
          <w:rFonts w:ascii="Arial" w:hAnsi="Arial" w:cs="Arial"/>
          <w:sz w:val="20"/>
          <w:szCs w:val="20"/>
        </w:rPr>
        <w:fldChar w:fldCharType="separate"/>
      </w:r>
      <w:r w:rsidR="007F2D5F" w:rsidRPr="0009774A">
        <w:rPr>
          <w:rFonts w:ascii="Arial" w:hAnsi="Arial" w:cs="Arial"/>
          <w:noProof/>
          <w:sz w:val="20"/>
          <w:szCs w:val="20"/>
        </w:rPr>
        <w:t xml:space="preserve">(Lebel </w:t>
      </w:r>
      <w:r w:rsidR="007F2D5F" w:rsidRPr="0009774A">
        <w:rPr>
          <w:rFonts w:ascii="Arial" w:hAnsi="Arial" w:cs="Arial"/>
          <w:i/>
          <w:noProof/>
          <w:sz w:val="20"/>
          <w:szCs w:val="20"/>
        </w:rPr>
        <w:t>et al.</w:t>
      </w:r>
      <w:r w:rsidR="007F2D5F" w:rsidRPr="0009774A">
        <w:rPr>
          <w:rFonts w:ascii="Arial" w:hAnsi="Arial" w:cs="Arial"/>
          <w:noProof/>
          <w:sz w:val="20"/>
          <w:szCs w:val="20"/>
        </w:rPr>
        <w:t>, 2025)</w:t>
      </w:r>
      <w:r w:rsidR="007F2D5F" w:rsidRPr="0009774A">
        <w:rPr>
          <w:rFonts w:ascii="Arial" w:hAnsi="Arial" w:cs="Arial"/>
          <w:sz w:val="20"/>
          <w:szCs w:val="20"/>
        </w:rPr>
        <w:fldChar w:fldCharType="end"/>
      </w:r>
    </w:p>
    <w:p w14:paraId="5B3E6B12" w14:textId="77777777" w:rsidR="007F2D53" w:rsidRPr="005F1A2F" w:rsidRDefault="007F2D53" w:rsidP="007F2D53">
      <w:pPr>
        <w:pStyle w:val="NormalWeb"/>
        <w:jc w:val="center"/>
        <w:rPr>
          <w:rFonts w:ascii="Arial" w:hAnsi="Arial" w:cs="Arial"/>
        </w:rPr>
      </w:pPr>
      <w:r w:rsidRPr="005F1A2F">
        <w:rPr>
          <w:rFonts w:ascii="Arial" w:hAnsi="Arial" w:cs="Arial"/>
          <w:noProof/>
        </w:rPr>
        <w:drawing>
          <wp:inline distT="0" distB="0" distL="0" distR="0" wp14:anchorId="049E87C8" wp14:editId="0A47D6C6">
            <wp:extent cx="2817506" cy="1546529"/>
            <wp:effectExtent l="0" t="0" r="1905" b="0"/>
            <wp:docPr id="776960134" name="Picture 776960134"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60134" name="Picture 776960134" descr="A graph of different colored lin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65839" cy="1573059"/>
                    </a:xfrm>
                    <a:prstGeom prst="rect">
                      <a:avLst/>
                    </a:prstGeom>
                    <a:noFill/>
                    <a:ln>
                      <a:noFill/>
                    </a:ln>
                  </pic:spPr>
                </pic:pic>
              </a:graphicData>
            </a:graphic>
          </wp:inline>
        </w:drawing>
      </w:r>
    </w:p>
    <w:p w14:paraId="4E4899AE" w14:textId="5C8D08CC" w:rsidR="006225E3" w:rsidRPr="0009774A" w:rsidRDefault="00F7012E" w:rsidP="007B5604">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Figure 2. Second-Order Polynomial Regression of Dry Weight Accumulation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under Different Liquid Organic Fertilizer Concentrations</w:t>
      </w:r>
    </w:p>
    <w:p w14:paraId="2F096B42" w14:textId="77777777" w:rsidR="00417A08" w:rsidRPr="0009774A" w:rsidRDefault="00417A08" w:rsidP="0055405D">
      <w:pPr>
        <w:pStyle w:val="NormalWeb"/>
        <w:spacing w:before="0" w:beforeAutospacing="0" w:after="0" w:afterAutospacing="0" w:line="276" w:lineRule="auto"/>
        <w:jc w:val="both"/>
        <w:rPr>
          <w:rFonts w:ascii="Arial" w:hAnsi="Arial" w:cs="Arial"/>
          <w:sz w:val="20"/>
          <w:szCs w:val="20"/>
        </w:rPr>
      </w:pPr>
    </w:p>
    <w:p w14:paraId="3095BF42" w14:textId="3C75FC24" w:rsidR="00F7012E" w:rsidRPr="0009774A" w:rsidRDefault="007B5604" w:rsidP="009323A2">
      <w:pPr>
        <w:pStyle w:val="NormalWeb"/>
        <w:spacing w:before="120" w:beforeAutospacing="0" w:after="120" w:afterAutospacing="0" w:line="276" w:lineRule="auto"/>
        <w:jc w:val="both"/>
        <w:rPr>
          <w:rFonts w:ascii="Arial" w:hAnsi="Arial" w:cs="Arial"/>
          <w:sz w:val="20"/>
          <w:szCs w:val="20"/>
        </w:rPr>
      </w:pPr>
      <w:r w:rsidRPr="0009774A">
        <w:rPr>
          <w:rFonts w:ascii="Arial" w:hAnsi="Arial" w:cs="Arial"/>
          <w:sz w:val="20"/>
          <w:szCs w:val="20"/>
        </w:rPr>
        <w:t xml:space="preserve">Second-order polynomial regression revealed distinct quadratic growth patterns in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dry weight across treatments, highlighting the time- and dose-dependent nature of liquid organic fertilizer (LOF) response. The 25% LOF treatment (</w:t>
      </w:r>
      <w:r w:rsidRPr="0009774A">
        <w:rPr>
          <w:rStyle w:val="katex-mathml"/>
          <w:rFonts w:ascii="Arial" w:hAnsi="Arial" w:cs="Arial"/>
          <w:sz w:val="20"/>
          <w:szCs w:val="20"/>
        </w:rPr>
        <w:t xml:space="preserve">y=−0.208x2+1.039x+2.953 </w:t>
      </w:r>
      <w:r w:rsidRPr="0009774A">
        <w:rPr>
          <w:rFonts w:ascii="Arial" w:hAnsi="Arial" w:cs="Arial"/>
          <w:sz w:val="20"/>
          <w:szCs w:val="20"/>
        </w:rPr>
        <w:t>demonstrated the most stable and sustained biomass accumulation, while the 10% (</w:t>
      </w:r>
      <w:r w:rsidRPr="0009774A">
        <w:rPr>
          <w:rStyle w:val="katex-mathml"/>
          <w:rFonts w:ascii="Arial" w:hAnsi="Arial" w:cs="Arial"/>
          <w:sz w:val="20"/>
          <w:szCs w:val="20"/>
        </w:rPr>
        <w:t>y=−0.654x2+3.406x−0.251</w:t>
      </w:r>
      <w:r w:rsidRPr="0009774A">
        <w:rPr>
          <w:rFonts w:ascii="Arial" w:hAnsi="Arial" w:cs="Arial"/>
          <w:sz w:val="20"/>
          <w:szCs w:val="20"/>
        </w:rPr>
        <w:t>) and 50% (</w:t>
      </w:r>
      <w:r w:rsidRPr="0009774A">
        <w:rPr>
          <w:rStyle w:val="katex-mathml"/>
          <w:rFonts w:ascii="Arial" w:hAnsi="Arial" w:cs="Arial"/>
          <w:sz w:val="20"/>
          <w:szCs w:val="20"/>
        </w:rPr>
        <w:t>y=−0.326x2+2.093x+0.091</w:t>
      </w:r>
      <w:r w:rsidRPr="0009774A">
        <w:rPr>
          <w:rFonts w:ascii="Arial" w:hAnsi="Arial" w:cs="Arial"/>
          <w:sz w:val="20"/>
          <w:szCs w:val="20"/>
        </w:rPr>
        <w:t>) treatments showed early peaks or fluctuating trends. The control (</w:t>
      </w:r>
      <w:r w:rsidRPr="0009774A">
        <w:rPr>
          <w:rStyle w:val="katex-mathml"/>
          <w:rFonts w:ascii="Arial" w:hAnsi="Arial" w:cs="Arial"/>
          <w:sz w:val="20"/>
          <w:szCs w:val="20"/>
        </w:rPr>
        <w:t>y=−0.282x2+1.584x+1.627</w:t>
      </w:r>
      <w:r w:rsidRPr="0009774A">
        <w:rPr>
          <w:rFonts w:ascii="Arial" w:hAnsi="Arial" w:cs="Arial"/>
          <w:sz w:val="20"/>
          <w:szCs w:val="20"/>
        </w:rPr>
        <w:t>) exhibited moderate, continuous growth, suggesting adaptive responses in the absence of external inputs. These patterns underscore the importance of precise LOF management—balancing concentration and timing—to ensure efficient, resilient, and environmentally responsible vegetable cultivation</w:t>
      </w:r>
      <w:r w:rsidR="0015738E" w:rsidRPr="0009774A">
        <w:rPr>
          <w:rFonts w:ascii="Arial" w:hAnsi="Arial" w:cs="Arial"/>
          <w:sz w:val="20"/>
          <w:szCs w:val="20"/>
        </w:rPr>
        <w:t xml:space="preserve">  </w:t>
      </w:r>
      <w:r w:rsidRPr="0009774A">
        <w:rPr>
          <w:rFonts w:ascii="Arial" w:hAnsi="Arial" w:cs="Arial"/>
          <w:sz w:val="20"/>
          <w:szCs w:val="20"/>
        </w:rPr>
        <w:t>.</w:t>
      </w:r>
      <w:r w:rsidR="0015738E" w:rsidRPr="0009774A">
        <w:rPr>
          <w:rFonts w:ascii="Arial" w:hAnsi="Arial" w:cs="Arial"/>
          <w:sz w:val="20"/>
          <w:szCs w:val="20"/>
        </w:rPr>
        <w:fldChar w:fldCharType="begin" w:fldLock="1"/>
      </w:r>
      <w:r w:rsidR="0015738E" w:rsidRPr="0009774A">
        <w:rPr>
          <w:rFonts w:ascii="Arial" w:hAnsi="Arial" w:cs="Arial"/>
          <w:sz w:val="20"/>
          <w:szCs w:val="20"/>
        </w:rPr>
        <w:instrText>ADDIN CSL_CITATION {"citationItems":[{"id":"ITEM-1","itemData":{"ISSN":"2615-7136","author":[{"dropping-particle":"","family":"Hardiansyah","given":"Peri","non-dropping-particle":"","parse-names":false,"suffix":""},{"dropping-particle":"","family":"Nurjanah","given":"Uswatun","non-dropping-particle":"","parse-names":false,"suffix":""},{"dropping-particle":"","family":"Widodo","given":"Widodo","non-dropping-particle":"","parse-names":false,"suffix":""}],"container-title":"Akta Agrosia","id":"ITEM-1","issue":"2","issued":{"date-parts":[["2019"]]},"page":"43-49","title":"Growth response and yield of Pakcoy (Brassica rapa L.) on various concentrations liquid organic fertilizer of Jiringa hulls [Phithecellobium jiringa (Jack) Prain Ex King]","type":"article-journal","volume":"22"},"uris":["http://www.mendeley.com/documents/?uuid=7a34e94b-bcb7-42b9-bfd1-57e47cd793c4"]}],"mendeley":{"formattedCitation":"(Hardiansyah, Nurjanah and Widodo, 2019)","plainTextFormattedCitation":"(Hardiansyah, Nurjanah and Widodo, 2019)"},"properties":{"noteIndex":0},"schema":"https://github.com/citation-style-language/schema/raw/master/csl-citation.json"}</w:instrText>
      </w:r>
      <w:r w:rsidR="0015738E" w:rsidRPr="0009774A">
        <w:rPr>
          <w:rFonts w:ascii="Arial" w:hAnsi="Arial" w:cs="Arial"/>
          <w:sz w:val="20"/>
          <w:szCs w:val="20"/>
        </w:rPr>
        <w:fldChar w:fldCharType="separate"/>
      </w:r>
      <w:r w:rsidR="0015738E" w:rsidRPr="0009774A">
        <w:rPr>
          <w:rFonts w:ascii="Arial" w:hAnsi="Arial" w:cs="Arial"/>
          <w:noProof/>
          <w:sz w:val="20"/>
          <w:szCs w:val="20"/>
        </w:rPr>
        <w:t>(Hardiansyah, Nurjanah and Widodo, 2019)</w:t>
      </w:r>
      <w:r w:rsidR="0015738E" w:rsidRPr="0009774A">
        <w:rPr>
          <w:rFonts w:ascii="Arial" w:hAnsi="Arial" w:cs="Arial"/>
          <w:sz w:val="20"/>
          <w:szCs w:val="20"/>
        </w:rPr>
        <w:fldChar w:fldCharType="end"/>
      </w:r>
    </w:p>
    <w:p w14:paraId="5D6F0E88" w14:textId="236DEC9C" w:rsidR="007F2D5F" w:rsidRPr="005F1A2F" w:rsidRDefault="007F2D5F" w:rsidP="009323A2">
      <w:pPr>
        <w:pStyle w:val="NormalWeb"/>
        <w:numPr>
          <w:ilvl w:val="0"/>
          <w:numId w:val="25"/>
        </w:numPr>
        <w:spacing w:before="120" w:beforeAutospacing="0" w:after="120" w:afterAutospacing="0" w:line="276" w:lineRule="auto"/>
        <w:ind w:left="426" w:hanging="426"/>
        <w:jc w:val="both"/>
        <w:rPr>
          <w:rFonts w:ascii="Arial" w:hAnsi="Arial" w:cs="Arial"/>
          <w:b/>
          <w:bCs/>
          <w:sz w:val="22"/>
          <w:szCs w:val="22"/>
        </w:rPr>
      </w:pPr>
      <w:r w:rsidRPr="005F1A2F">
        <w:rPr>
          <w:rFonts w:ascii="Arial" w:hAnsi="Arial" w:cs="Arial"/>
          <w:b/>
          <w:bCs/>
          <w:sz w:val="22"/>
          <w:szCs w:val="22"/>
        </w:rPr>
        <w:t xml:space="preserve">Protein Content Analysis in </w:t>
      </w:r>
      <w:r w:rsidRPr="005F1A2F">
        <w:rPr>
          <w:rFonts w:ascii="Arial" w:hAnsi="Arial" w:cs="Arial"/>
          <w:b/>
          <w:bCs/>
          <w:i/>
          <w:iCs/>
          <w:sz w:val="22"/>
          <w:szCs w:val="22"/>
        </w:rPr>
        <w:t>Brassica rapa</w:t>
      </w:r>
      <w:r w:rsidRPr="005F1A2F">
        <w:rPr>
          <w:rFonts w:ascii="Arial" w:hAnsi="Arial" w:cs="Arial"/>
          <w:b/>
          <w:bCs/>
          <w:sz w:val="22"/>
          <w:szCs w:val="22"/>
        </w:rPr>
        <w:t xml:space="preserve"> L. (</w:t>
      </w:r>
      <w:proofErr w:type="spellStart"/>
      <w:r w:rsidRPr="005F1A2F">
        <w:rPr>
          <w:rFonts w:ascii="Arial" w:hAnsi="Arial" w:cs="Arial"/>
          <w:b/>
          <w:bCs/>
          <w:sz w:val="22"/>
          <w:szCs w:val="22"/>
        </w:rPr>
        <w:t>Pakcoy</w:t>
      </w:r>
      <w:proofErr w:type="spellEnd"/>
      <w:r w:rsidRPr="005F1A2F">
        <w:rPr>
          <w:rFonts w:ascii="Arial" w:hAnsi="Arial" w:cs="Arial"/>
          <w:b/>
          <w:bCs/>
          <w:sz w:val="22"/>
          <w:szCs w:val="22"/>
        </w:rPr>
        <w:t>) under Different Concentrations of Liquid Organic Fertilizer (LOF)</w:t>
      </w:r>
    </w:p>
    <w:p w14:paraId="32D316F0" w14:textId="4642656C" w:rsidR="0055405D" w:rsidRPr="005F1A2F" w:rsidRDefault="00095227" w:rsidP="009323A2">
      <w:pPr>
        <w:pStyle w:val="NormalWeb"/>
        <w:spacing w:before="120" w:beforeAutospacing="0" w:after="120" w:afterAutospacing="0" w:line="276" w:lineRule="auto"/>
        <w:jc w:val="both"/>
        <w:rPr>
          <w:rFonts w:ascii="Arial" w:hAnsi="Arial" w:cs="Arial"/>
          <w:sz w:val="22"/>
          <w:szCs w:val="22"/>
        </w:rPr>
      </w:pPr>
      <w:r w:rsidRPr="0009774A">
        <w:rPr>
          <w:rFonts w:ascii="Arial" w:hAnsi="Arial" w:cs="Arial"/>
          <w:sz w:val="20"/>
          <w:szCs w:val="20"/>
        </w:rPr>
        <w:t xml:space="preserve">Protein content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was evaluated across varying concentrations of liquid organic fertilizer (LOF) over a four-week period to assess the effects of treatment intensity and growth stage on nitrogen assimilation and protein accumulation. This analysis highlights the physiological responses to organic nutrient availability and the temporal dynamics of plant development. Comparative results across treatments and time points offer valuable insight into the effectiveness of LOF in enhancing the protein profile of leafy vegetables under sustainable cultivation systems</w:t>
      </w:r>
      <w:r w:rsidR="007A2037" w:rsidRPr="0009774A">
        <w:rPr>
          <w:rFonts w:ascii="Arial" w:hAnsi="Arial" w:cs="Arial"/>
          <w:sz w:val="20"/>
          <w:szCs w:val="20"/>
        </w:rPr>
        <w:t xml:space="preserve"> </w:t>
      </w:r>
      <w:r w:rsidR="007A2037" w:rsidRPr="005F1A2F">
        <w:rPr>
          <w:rFonts w:ascii="Arial" w:hAnsi="Arial" w:cs="Arial"/>
          <w:sz w:val="22"/>
          <w:szCs w:val="22"/>
        </w:rPr>
        <w:fldChar w:fldCharType="begin" w:fldLock="1"/>
      </w:r>
      <w:r w:rsidR="009F2F44" w:rsidRPr="005F1A2F">
        <w:rPr>
          <w:rFonts w:ascii="Arial" w:hAnsi="Arial" w:cs="Arial"/>
          <w:sz w:val="22"/>
          <w:szCs w:val="22"/>
        </w:rPr>
        <w:instrText>ADDIN CSL_CITATION {"citationItems":[{"id":"ITEM-1","itemData":{"ISSN":"0168-9452","author":[{"dropping-particle":"","family":"Nkoa","given":"Roger","non-dropping-particle":"","parse-names":false,"suffix":""},{"dropping-particle":"","family":"Desjardins","given":"Yves","non-dropping-particle":"","parse-names":false,"suffix":""},{"dropping-particle":"","family":"Tremblay","given":"Nicolas","non-dropping-particle":"","parse-names":false,"suffix":""},{"dropping-particle":"","family":"Querrec","given":"Lydia","non-dropping-particle":"","parse-names":false,"suffix":""},{"dropping-particle":"","family":"Baana","given":"Murielle","non-dropping-particle":"","parse-names":false,"suffix":""},{"dropping-particle":"","family":"Nkoa","given":"Boris","non-dropping-particle":"","parse-names":false,"suffix":""}],"container-title":"Plant Science","id":"ITEM-1","issue":"3","issued":{"date-parts":[["2003"]]},"page":"483-496","publisher":"Elsevier","title":"A mathematical model for nitrogen demand quantification and a link to broccoli (Brassica oleracea var. italica) glutamine synthetase activity","type":"article-journal","volume":"165"},"uris":["http://www.mendeley.com/documents/?uuid=f894977c-5e5c-4f1d-9b20-9a33a4a8a163"]}],"mendeley":{"formattedCitation":"(Nkoa &lt;i&gt;et al.&lt;/i&gt;, 2003)","plainTextFormattedCitation":"(Nkoa et al., 2003)","previouslyFormattedCitation":"(Nkoa &lt;i&gt;et al.&lt;/i&gt;, 2003)"},"properties":{"noteIndex":0},"schema":"https://github.com/citation-style-language/schema/raw/master/csl-citation.json"}</w:instrText>
      </w:r>
      <w:r w:rsidR="007A2037" w:rsidRPr="005F1A2F">
        <w:rPr>
          <w:rFonts w:ascii="Arial" w:hAnsi="Arial" w:cs="Arial"/>
          <w:sz w:val="22"/>
          <w:szCs w:val="22"/>
        </w:rPr>
        <w:fldChar w:fldCharType="separate"/>
      </w:r>
      <w:r w:rsidR="007A2037" w:rsidRPr="005F1A2F">
        <w:rPr>
          <w:rFonts w:ascii="Arial" w:hAnsi="Arial" w:cs="Arial"/>
          <w:noProof/>
          <w:sz w:val="22"/>
          <w:szCs w:val="22"/>
        </w:rPr>
        <w:t xml:space="preserve">(Nkoa </w:t>
      </w:r>
      <w:r w:rsidR="007A2037" w:rsidRPr="005F1A2F">
        <w:rPr>
          <w:rFonts w:ascii="Arial" w:hAnsi="Arial" w:cs="Arial"/>
          <w:i/>
          <w:noProof/>
          <w:sz w:val="22"/>
          <w:szCs w:val="22"/>
        </w:rPr>
        <w:t>et al.</w:t>
      </w:r>
      <w:r w:rsidR="007A2037" w:rsidRPr="005F1A2F">
        <w:rPr>
          <w:rFonts w:ascii="Arial" w:hAnsi="Arial" w:cs="Arial"/>
          <w:noProof/>
          <w:sz w:val="22"/>
          <w:szCs w:val="22"/>
        </w:rPr>
        <w:t>, 2003)</w:t>
      </w:r>
      <w:r w:rsidR="007A2037" w:rsidRPr="005F1A2F">
        <w:rPr>
          <w:rFonts w:ascii="Arial" w:hAnsi="Arial" w:cs="Arial"/>
          <w:sz w:val="22"/>
          <w:szCs w:val="22"/>
        </w:rPr>
        <w:fldChar w:fldCharType="end"/>
      </w:r>
      <w:r w:rsidR="0015738E" w:rsidRPr="005F1A2F">
        <w:rPr>
          <w:rFonts w:ascii="Arial" w:hAnsi="Arial" w:cs="Arial"/>
          <w:sz w:val="22"/>
          <w:szCs w:val="22"/>
        </w:rPr>
        <w:t xml:space="preserve">   </w:t>
      </w:r>
    </w:p>
    <w:p w14:paraId="43E54396" w14:textId="79201324" w:rsidR="00EB743D" w:rsidRPr="0009774A" w:rsidRDefault="007F2D5F" w:rsidP="006225E3">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Table 6. Analysis of Variance (ANOVA) of Protein Content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Based on Liquid Organic Fertilizer (LOF) Concentration and Observation Week</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1471"/>
        <w:gridCol w:w="1415"/>
        <w:gridCol w:w="1051"/>
        <w:gridCol w:w="1313"/>
      </w:tblGrid>
      <w:tr w:rsidR="007F2D5F" w:rsidRPr="0009774A" w14:paraId="5D4840EE" w14:textId="77777777" w:rsidTr="00921E74">
        <w:trPr>
          <w:trHeight w:val="285"/>
        </w:trPr>
        <w:tc>
          <w:tcPr>
            <w:tcW w:w="2694" w:type="dxa"/>
            <w:hideMark/>
          </w:tcPr>
          <w:p w14:paraId="1C6CDC1E" w14:textId="6D0FDA13" w:rsidR="007F2D5F" w:rsidRPr="0009774A" w:rsidRDefault="007F2D5F" w:rsidP="007F2D5F">
            <w:pPr>
              <w:spacing w:after="0" w:line="240" w:lineRule="auto"/>
              <w:rPr>
                <w:rFonts w:eastAsia="Times New Roman" w:cs="Arial"/>
                <w:color w:val="000000"/>
                <w:sz w:val="20"/>
                <w:szCs w:val="20"/>
                <w:lang w:eastAsia="en-ID"/>
              </w:rPr>
            </w:pPr>
            <w:r w:rsidRPr="0009774A">
              <w:rPr>
                <w:rFonts w:cs="Arial"/>
                <w:sz w:val="20"/>
                <w:szCs w:val="20"/>
              </w:rPr>
              <w:t>Variation</w:t>
            </w:r>
          </w:p>
        </w:tc>
        <w:tc>
          <w:tcPr>
            <w:tcW w:w="1473" w:type="dxa"/>
            <w:vAlign w:val="center"/>
            <w:hideMark/>
          </w:tcPr>
          <w:p w14:paraId="174519E2" w14:textId="6ED61953" w:rsidR="007F2D5F" w:rsidRPr="0009774A" w:rsidRDefault="007F2D5F"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Sum of Squares (SS)</w:t>
            </w:r>
          </w:p>
        </w:tc>
        <w:tc>
          <w:tcPr>
            <w:tcW w:w="1417" w:type="dxa"/>
            <w:vAlign w:val="center"/>
            <w:hideMark/>
          </w:tcPr>
          <w:p w14:paraId="50FEA24E" w14:textId="6653CC0A" w:rsidR="007F2D5F" w:rsidRPr="0009774A" w:rsidRDefault="007F2D5F"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Degrees of Freedom (df)</w:t>
            </w:r>
          </w:p>
        </w:tc>
        <w:tc>
          <w:tcPr>
            <w:tcW w:w="1041" w:type="dxa"/>
            <w:vAlign w:val="center"/>
            <w:hideMark/>
          </w:tcPr>
          <w:p w14:paraId="53A574CF" w14:textId="424FE52C" w:rsidR="007F2D5F" w:rsidRPr="0009774A" w:rsidRDefault="007F2D5F"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F-value</w:t>
            </w:r>
          </w:p>
        </w:tc>
        <w:tc>
          <w:tcPr>
            <w:tcW w:w="1313" w:type="dxa"/>
            <w:vAlign w:val="center"/>
            <w:hideMark/>
          </w:tcPr>
          <w:p w14:paraId="0D7F0750" w14:textId="765367A7" w:rsidR="007F2D5F" w:rsidRPr="0009774A" w:rsidRDefault="007F2D5F" w:rsidP="009323A2">
            <w:pPr>
              <w:spacing w:after="0" w:line="240" w:lineRule="auto"/>
              <w:rPr>
                <w:rFonts w:eastAsia="Times New Roman" w:cs="Arial"/>
                <w:color w:val="000000"/>
                <w:sz w:val="20"/>
                <w:szCs w:val="20"/>
                <w:lang w:eastAsia="en-ID"/>
              </w:rPr>
            </w:pPr>
            <w:r w:rsidRPr="0009774A">
              <w:rPr>
                <w:rFonts w:cs="Arial"/>
                <w:sz w:val="20"/>
                <w:szCs w:val="20"/>
              </w:rPr>
              <w:t>p-value</w:t>
            </w:r>
          </w:p>
        </w:tc>
      </w:tr>
      <w:tr w:rsidR="00FB02B6" w:rsidRPr="0009774A" w14:paraId="7CC903D7" w14:textId="77777777" w:rsidTr="00921E74">
        <w:trPr>
          <w:trHeight w:val="37"/>
        </w:trPr>
        <w:tc>
          <w:tcPr>
            <w:tcW w:w="2694" w:type="dxa"/>
            <w:hideMark/>
          </w:tcPr>
          <w:p w14:paraId="37EFE57E" w14:textId="42538040" w:rsidR="00FB02B6" w:rsidRPr="0009774A" w:rsidRDefault="00FB02B6" w:rsidP="00FB02B6">
            <w:pPr>
              <w:spacing w:after="0" w:line="240" w:lineRule="auto"/>
              <w:jc w:val="both"/>
              <w:rPr>
                <w:rFonts w:eastAsia="Times New Roman" w:cs="Arial"/>
                <w:color w:val="000000"/>
                <w:sz w:val="20"/>
                <w:szCs w:val="20"/>
                <w:lang w:eastAsia="en-ID"/>
              </w:rPr>
            </w:pPr>
            <w:r w:rsidRPr="0009774A">
              <w:rPr>
                <w:rFonts w:cs="Arial"/>
                <w:sz w:val="20"/>
                <w:szCs w:val="20"/>
              </w:rPr>
              <w:t>Treatment</w:t>
            </w:r>
          </w:p>
        </w:tc>
        <w:tc>
          <w:tcPr>
            <w:tcW w:w="1473" w:type="dxa"/>
            <w:vAlign w:val="center"/>
            <w:hideMark/>
          </w:tcPr>
          <w:p w14:paraId="0943F65B" w14:textId="6B883116"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16.231,00</w:t>
            </w:r>
          </w:p>
        </w:tc>
        <w:tc>
          <w:tcPr>
            <w:tcW w:w="1417" w:type="dxa"/>
            <w:vAlign w:val="center"/>
            <w:hideMark/>
          </w:tcPr>
          <w:p w14:paraId="0F4EC3E6" w14:textId="142E48FE"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3,00</w:t>
            </w:r>
          </w:p>
        </w:tc>
        <w:tc>
          <w:tcPr>
            <w:tcW w:w="1041" w:type="dxa"/>
            <w:vAlign w:val="center"/>
            <w:hideMark/>
          </w:tcPr>
          <w:p w14:paraId="5BBE02EE" w14:textId="6072723A"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46297.78</w:t>
            </w:r>
          </w:p>
        </w:tc>
        <w:tc>
          <w:tcPr>
            <w:tcW w:w="1313" w:type="dxa"/>
            <w:vAlign w:val="center"/>
            <w:hideMark/>
          </w:tcPr>
          <w:p w14:paraId="23833D07" w14:textId="77777777" w:rsidR="00FB02B6" w:rsidRPr="0009774A" w:rsidRDefault="00FB02B6"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2.90 × 10</w:t>
            </w:r>
            <w:r w:rsidRPr="0009774A">
              <w:rPr>
                <w:rFonts w:ascii="Cambria Math" w:eastAsia="Times New Roman" w:hAnsi="Cambria Math" w:cs="Cambria Math"/>
                <w:color w:val="000000"/>
                <w:sz w:val="20"/>
                <w:szCs w:val="20"/>
                <w:lang w:eastAsia="en-ID"/>
              </w:rPr>
              <w:t>⁻</w:t>
            </w:r>
            <w:r w:rsidRPr="0009774A">
              <w:rPr>
                <w:rFonts w:eastAsia="Times New Roman" w:cs="Arial"/>
                <w:color w:val="000000"/>
                <w:sz w:val="20"/>
                <w:szCs w:val="20"/>
                <w:lang w:eastAsia="en-ID"/>
              </w:rPr>
              <w:t>⁵⁸</w:t>
            </w:r>
          </w:p>
        </w:tc>
      </w:tr>
      <w:tr w:rsidR="00FB02B6" w:rsidRPr="0009774A" w14:paraId="43639108" w14:textId="77777777" w:rsidTr="00921E74">
        <w:trPr>
          <w:trHeight w:val="47"/>
        </w:trPr>
        <w:tc>
          <w:tcPr>
            <w:tcW w:w="2694" w:type="dxa"/>
            <w:hideMark/>
          </w:tcPr>
          <w:p w14:paraId="46A54831" w14:textId="7F017D0D" w:rsidR="00FB02B6" w:rsidRPr="0009774A" w:rsidRDefault="00FB02B6" w:rsidP="00FB02B6">
            <w:pPr>
              <w:spacing w:after="0" w:line="240" w:lineRule="auto"/>
              <w:jc w:val="both"/>
              <w:rPr>
                <w:rFonts w:eastAsia="Times New Roman" w:cs="Arial"/>
                <w:color w:val="000000"/>
                <w:sz w:val="20"/>
                <w:szCs w:val="20"/>
                <w:lang w:eastAsia="en-ID"/>
              </w:rPr>
            </w:pPr>
            <w:r w:rsidRPr="0009774A">
              <w:rPr>
                <w:rFonts w:cs="Arial"/>
                <w:sz w:val="20"/>
                <w:szCs w:val="20"/>
              </w:rPr>
              <w:t>Week</w:t>
            </w:r>
          </w:p>
        </w:tc>
        <w:tc>
          <w:tcPr>
            <w:tcW w:w="1473" w:type="dxa"/>
            <w:vAlign w:val="center"/>
            <w:hideMark/>
          </w:tcPr>
          <w:p w14:paraId="4DCF47A8" w14:textId="6E80D267"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15.480,00</w:t>
            </w:r>
          </w:p>
        </w:tc>
        <w:tc>
          <w:tcPr>
            <w:tcW w:w="1417" w:type="dxa"/>
            <w:vAlign w:val="center"/>
            <w:hideMark/>
          </w:tcPr>
          <w:p w14:paraId="23FCD94A" w14:textId="448EADF1"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3,00</w:t>
            </w:r>
          </w:p>
        </w:tc>
        <w:tc>
          <w:tcPr>
            <w:tcW w:w="1041" w:type="dxa"/>
            <w:vAlign w:val="center"/>
            <w:hideMark/>
          </w:tcPr>
          <w:p w14:paraId="3628BCE2" w14:textId="384A4422"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44154.64</w:t>
            </w:r>
          </w:p>
        </w:tc>
        <w:tc>
          <w:tcPr>
            <w:tcW w:w="1313" w:type="dxa"/>
            <w:vAlign w:val="center"/>
            <w:hideMark/>
          </w:tcPr>
          <w:p w14:paraId="53E2EB23" w14:textId="77777777" w:rsidR="00FB02B6" w:rsidRPr="0009774A" w:rsidRDefault="00FB02B6"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6.19 × 10</w:t>
            </w:r>
            <w:r w:rsidRPr="0009774A">
              <w:rPr>
                <w:rFonts w:ascii="Cambria Math" w:eastAsia="Times New Roman" w:hAnsi="Cambria Math" w:cs="Cambria Math"/>
                <w:color w:val="000000"/>
                <w:sz w:val="20"/>
                <w:szCs w:val="20"/>
                <w:lang w:eastAsia="en-ID"/>
              </w:rPr>
              <w:t>⁻</w:t>
            </w:r>
            <w:r w:rsidRPr="0009774A">
              <w:rPr>
                <w:rFonts w:eastAsia="Times New Roman" w:cs="Arial"/>
                <w:color w:val="000000"/>
                <w:sz w:val="20"/>
                <w:szCs w:val="20"/>
                <w:lang w:eastAsia="en-ID"/>
              </w:rPr>
              <w:t>⁵⁸</w:t>
            </w:r>
          </w:p>
        </w:tc>
      </w:tr>
      <w:tr w:rsidR="00FB02B6" w:rsidRPr="0009774A" w14:paraId="4E052980" w14:textId="77777777" w:rsidTr="00921E74">
        <w:trPr>
          <w:trHeight w:val="47"/>
        </w:trPr>
        <w:tc>
          <w:tcPr>
            <w:tcW w:w="2694" w:type="dxa"/>
            <w:hideMark/>
          </w:tcPr>
          <w:p w14:paraId="5DBFA849" w14:textId="3BDEC631" w:rsidR="00FB02B6" w:rsidRPr="0009774A" w:rsidRDefault="00FB02B6" w:rsidP="00FB02B6">
            <w:pPr>
              <w:spacing w:after="0" w:line="240" w:lineRule="auto"/>
              <w:jc w:val="both"/>
              <w:rPr>
                <w:rFonts w:eastAsia="Times New Roman" w:cs="Arial"/>
                <w:color w:val="000000"/>
                <w:sz w:val="20"/>
                <w:szCs w:val="20"/>
                <w:lang w:eastAsia="en-ID"/>
              </w:rPr>
            </w:pPr>
            <w:r w:rsidRPr="0009774A">
              <w:rPr>
                <w:rFonts w:cs="Arial"/>
                <w:sz w:val="20"/>
                <w:szCs w:val="20"/>
              </w:rPr>
              <w:t>Treatment × Week Interaction</w:t>
            </w:r>
          </w:p>
        </w:tc>
        <w:tc>
          <w:tcPr>
            <w:tcW w:w="1473" w:type="dxa"/>
            <w:vAlign w:val="center"/>
            <w:hideMark/>
          </w:tcPr>
          <w:p w14:paraId="1CA7E432" w14:textId="5D4A947F"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0.3455</w:t>
            </w:r>
          </w:p>
        </w:tc>
        <w:tc>
          <w:tcPr>
            <w:tcW w:w="1417" w:type="dxa"/>
            <w:vAlign w:val="center"/>
            <w:hideMark/>
          </w:tcPr>
          <w:p w14:paraId="6FEA0650" w14:textId="7F67E5D0"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9,00</w:t>
            </w:r>
          </w:p>
        </w:tc>
        <w:tc>
          <w:tcPr>
            <w:tcW w:w="1041" w:type="dxa"/>
            <w:vAlign w:val="center"/>
            <w:hideMark/>
          </w:tcPr>
          <w:p w14:paraId="00011517" w14:textId="6EF8F738"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3285.09</w:t>
            </w:r>
          </w:p>
        </w:tc>
        <w:tc>
          <w:tcPr>
            <w:tcW w:w="1313" w:type="dxa"/>
            <w:vAlign w:val="center"/>
            <w:hideMark/>
          </w:tcPr>
          <w:p w14:paraId="4492C7BB" w14:textId="77777777" w:rsidR="00FB02B6" w:rsidRPr="0009774A" w:rsidRDefault="00FB02B6" w:rsidP="009323A2">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7.71 × 10</w:t>
            </w:r>
            <w:r w:rsidRPr="0009774A">
              <w:rPr>
                <w:rFonts w:ascii="Cambria Math" w:eastAsia="Times New Roman" w:hAnsi="Cambria Math" w:cs="Cambria Math"/>
                <w:color w:val="000000"/>
                <w:sz w:val="20"/>
                <w:szCs w:val="20"/>
                <w:lang w:eastAsia="en-ID"/>
              </w:rPr>
              <w:t>⁻</w:t>
            </w:r>
            <w:r w:rsidRPr="0009774A">
              <w:rPr>
                <w:rFonts w:eastAsia="Times New Roman" w:cs="Arial"/>
                <w:color w:val="000000"/>
                <w:sz w:val="20"/>
                <w:szCs w:val="20"/>
                <w:lang w:eastAsia="en-ID"/>
              </w:rPr>
              <w:t>⁴⁵</w:t>
            </w:r>
          </w:p>
        </w:tc>
      </w:tr>
      <w:tr w:rsidR="00FB02B6" w:rsidRPr="0009774A" w14:paraId="2378ACA6" w14:textId="77777777" w:rsidTr="00921E74">
        <w:trPr>
          <w:trHeight w:val="47"/>
        </w:trPr>
        <w:tc>
          <w:tcPr>
            <w:tcW w:w="2694" w:type="dxa"/>
            <w:hideMark/>
          </w:tcPr>
          <w:p w14:paraId="3715EFAA" w14:textId="25D59CDF" w:rsidR="00FB02B6" w:rsidRPr="0009774A" w:rsidRDefault="00FB02B6" w:rsidP="00FB02B6">
            <w:pPr>
              <w:spacing w:after="0" w:line="240" w:lineRule="auto"/>
              <w:jc w:val="both"/>
              <w:rPr>
                <w:rFonts w:eastAsia="Times New Roman" w:cs="Arial"/>
                <w:color w:val="000000"/>
                <w:sz w:val="20"/>
                <w:szCs w:val="20"/>
                <w:lang w:eastAsia="en-ID"/>
              </w:rPr>
            </w:pPr>
            <w:r w:rsidRPr="0009774A">
              <w:rPr>
                <w:rFonts w:cs="Arial"/>
                <w:sz w:val="20"/>
                <w:szCs w:val="20"/>
              </w:rPr>
              <w:t>Error (Residual)</w:t>
            </w:r>
          </w:p>
        </w:tc>
        <w:tc>
          <w:tcPr>
            <w:tcW w:w="1473" w:type="dxa"/>
            <w:vAlign w:val="center"/>
            <w:hideMark/>
          </w:tcPr>
          <w:p w14:paraId="5F981044" w14:textId="54D3CF5D"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0.0004</w:t>
            </w:r>
          </w:p>
        </w:tc>
        <w:tc>
          <w:tcPr>
            <w:tcW w:w="1417" w:type="dxa"/>
            <w:vAlign w:val="center"/>
            <w:hideMark/>
          </w:tcPr>
          <w:p w14:paraId="67B4F3CA" w14:textId="1FA90379"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32,00</w:t>
            </w:r>
          </w:p>
        </w:tc>
        <w:tc>
          <w:tcPr>
            <w:tcW w:w="1041" w:type="dxa"/>
            <w:vAlign w:val="center"/>
            <w:hideMark/>
          </w:tcPr>
          <w:p w14:paraId="23F98C96" w14:textId="5CB04B70" w:rsidR="00FB02B6" w:rsidRPr="0009774A" w:rsidRDefault="00FB02B6" w:rsidP="009323A2">
            <w:pPr>
              <w:spacing w:after="0" w:line="240" w:lineRule="auto"/>
              <w:rPr>
                <w:rFonts w:eastAsia="Times New Roman" w:cs="Arial"/>
                <w:color w:val="000000"/>
                <w:sz w:val="20"/>
                <w:szCs w:val="20"/>
                <w:lang w:eastAsia="en-ID"/>
              </w:rPr>
            </w:pPr>
            <w:r w:rsidRPr="0009774A">
              <w:rPr>
                <w:rFonts w:cs="Arial"/>
                <w:color w:val="000000"/>
                <w:sz w:val="20"/>
                <w:szCs w:val="20"/>
              </w:rPr>
              <w:t>–</w:t>
            </w:r>
          </w:p>
        </w:tc>
        <w:tc>
          <w:tcPr>
            <w:tcW w:w="1313" w:type="dxa"/>
            <w:noWrap/>
            <w:vAlign w:val="bottom"/>
            <w:hideMark/>
          </w:tcPr>
          <w:p w14:paraId="3793282A" w14:textId="724AE6FE" w:rsidR="00FB02B6" w:rsidRPr="0009774A" w:rsidRDefault="00FB02B6" w:rsidP="009323A2">
            <w:pPr>
              <w:spacing w:after="0" w:line="240" w:lineRule="auto"/>
              <w:rPr>
                <w:rFonts w:eastAsia="Times New Roman" w:cs="Arial"/>
                <w:color w:val="000000"/>
                <w:sz w:val="20"/>
                <w:szCs w:val="20"/>
                <w:lang w:eastAsia="en-ID"/>
              </w:rPr>
            </w:pPr>
          </w:p>
        </w:tc>
      </w:tr>
    </w:tbl>
    <w:p w14:paraId="6163E6F3" w14:textId="06A03E12" w:rsidR="0049799F" w:rsidRPr="0009774A" w:rsidRDefault="00095227" w:rsidP="007F2D5F">
      <w:pPr>
        <w:pStyle w:val="NormalWeb"/>
        <w:spacing w:after="0" w:line="276" w:lineRule="auto"/>
        <w:jc w:val="both"/>
        <w:rPr>
          <w:rFonts w:ascii="Arial" w:hAnsi="Arial" w:cs="Arial"/>
          <w:sz w:val="20"/>
          <w:szCs w:val="20"/>
        </w:rPr>
      </w:pPr>
      <w:r w:rsidRPr="0009774A">
        <w:rPr>
          <w:rFonts w:ascii="Arial" w:hAnsi="Arial" w:cs="Arial"/>
          <w:sz w:val="20"/>
          <w:szCs w:val="20"/>
        </w:rPr>
        <w:lastRenderedPageBreak/>
        <w:t xml:space="preserve">Two-way ANOVA revealed that LOF concentration, observation week, and their interaction significantly affected the protein content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with p-values &lt; 0.0001 for all factors. Exceptionally high F-values 46,297.78 for treatment, 44,154.64 for week, and 3,285.09 for the interaction underscore the strong independent and combined effects on protein accumulation. These results indicate that both increasing LOF concentration and prolonged growth enhance protein synthesis, while treatment efficacy is modulated by plant developmental stage. Post-hoc Tukey HSD analysis confirmed significant differences across nearly all treatment-week combinations. The highest protein content (3.095 g) was observed in the 25% LOF treatment (P2) during week four, significantly surpassing all other treatments. Overall, these findings highlight the importance of optimizing both concentration and timing of tofu-based LOF application to sustainably improve the nutritional quality of leafy vegetables</w:t>
      </w:r>
      <w:r w:rsidR="007F2D5F" w:rsidRPr="0009774A">
        <w:rPr>
          <w:rFonts w:ascii="Arial" w:hAnsi="Arial" w:cs="Arial"/>
          <w:sz w:val="20"/>
          <w:szCs w:val="20"/>
        </w:rPr>
        <w:t>.</w:t>
      </w:r>
      <w:r w:rsidR="007A2037" w:rsidRPr="0009774A">
        <w:rPr>
          <w:rFonts w:ascii="Arial" w:hAnsi="Arial" w:cs="Arial"/>
          <w:sz w:val="20"/>
          <w:szCs w:val="20"/>
        </w:rPr>
        <w:t xml:space="preserve"> </w:t>
      </w:r>
      <w:r w:rsidR="007A2037" w:rsidRPr="0009774A">
        <w:rPr>
          <w:rFonts w:ascii="Arial" w:hAnsi="Arial" w:cs="Arial"/>
          <w:sz w:val="20"/>
          <w:szCs w:val="20"/>
        </w:rPr>
        <w:fldChar w:fldCharType="begin" w:fldLock="1"/>
      </w:r>
      <w:r w:rsidR="007A2037" w:rsidRPr="0009774A">
        <w:rPr>
          <w:rFonts w:ascii="Arial" w:hAnsi="Arial" w:cs="Arial"/>
          <w:sz w:val="20"/>
          <w:szCs w:val="20"/>
        </w:rPr>
        <w:instrText>ADDIN CSL_CITATION {"citationItems":[{"id":"ITEM-1","itemData":{"ISSN":"1429-7426","author":[{"dropping-particle":"","family":"Idris","given":"Muhammad","non-dropping-particle":"","parse-names":false,"suffix":""},{"dropping-particle":"","family":"Bangun","given":"Imam H","non-dropping-particle":"","parse-names":false,"suffix":""},{"dropping-particle":"","family":"Ani","given":"Nurma","non-dropping-particle":"","parse-names":false,"suffix":""},{"dropping-particle":"","family":"Hutagaol","given":"Dermawan","non-dropping-particle":"","parse-names":false,"suffix":""},{"dropping-particle":"","family":"Siddik","given":"Fajar","non-dropping-particle":"","parse-names":false,"suffix":""}],"container-title":"Journal of Water and Land Development","id":"ITEM-1","issued":{"date-parts":[["2023"]]},"title":"The effect of fish waste and duck manure on the growth and yield of pak choi","type":"article-journal"},"uris":["http://www.mendeley.com/documents/?uuid=c9ec4b5b-360b-4949-a704-3a5897f16434"]}],"mendeley":{"formattedCitation":"(Idris &lt;i&gt;et al.&lt;/i&gt;, 2023)","plainTextFormattedCitation":"(Idris et al., 2023)","previouslyFormattedCitation":"(Idris &lt;i&gt;et al.&lt;/i&gt;, 2023)"},"properties":{"noteIndex":0},"schema":"https://github.com/citation-style-language/schema/raw/master/csl-citation.json"}</w:instrText>
      </w:r>
      <w:r w:rsidR="007A2037" w:rsidRPr="0009774A">
        <w:rPr>
          <w:rFonts w:ascii="Arial" w:hAnsi="Arial" w:cs="Arial"/>
          <w:sz w:val="20"/>
          <w:szCs w:val="20"/>
        </w:rPr>
        <w:fldChar w:fldCharType="separate"/>
      </w:r>
      <w:r w:rsidR="007A2037" w:rsidRPr="0009774A">
        <w:rPr>
          <w:rFonts w:ascii="Arial" w:hAnsi="Arial" w:cs="Arial"/>
          <w:noProof/>
          <w:sz w:val="20"/>
          <w:szCs w:val="20"/>
        </w:rPr>
        <w:t xml:space="preserve">(Idris </w:t>
      </w:r>
      <w:r w:rsidR="007A2037" w:rsidRPr="0009774A">
        <w:rPr>
          <w:rFonts w:ascii="Arial" w:hAnsi="Arial" w:cs="Arial"/>
          <w:i/>
          <w:noProof/>
          <w:sz w:val="20"/>
          <w:szCs w:val="20"/>
        </w:rPr>
        <w:t>et al.</w:t>
      </w:r>
      <w:r w:rsidR="007A2037" w:rsidRPr="0009774A">
        <w:rPr>
          <w:rFonts w:ascii="Arial" w:hAnsi="Arial" w:cs="Arial"/>
          <w:noProof/>
          <w:sz w:val="20"/>
          <w:szCs w:val="20"/>
        </w:rPr>
        <w:t>, 2023)</w:t>
      </w:r>
      <w:r w:rsidR="007A2037" w:rsidRPr="0009774A">
        <w:rPr>
          <w:rFonts w:ascii="Arial" w:hAnsi="Arial" w:cs="Arial"/>
          <w:sz w:val="20"/>
          <w:szCs w:val="20"/>
        </w:rPr>
        <w:fldChar w:fldCharType="end"/>
      </w:r>
    </w:p>
    <w:p w14:paraId="153474B6" w14:textId="6502F51E" w:rsidR="0049799F" w:rsidRPr="0009774A" w:rsidRDefault="007F2D5F" w:rsidP="0009774A">
      <w:pPr>
        <w:pStyle w:val="NormalWeb"/>
        <w:spacing w:before="0" w:beforeAutospacing="0" w:after="0" w:afterAutospacing="0" w:line="276" w:lineRule="auto"/>
        <w:rPr>
          <w:rFonts w:ascii="Arial" w:hAnsi="Arial" w:cs="Arial"/>
          <w:sz w:val="20"/>
          <w:szCs w:val="20"/>
        </w:rPr>
      </w:pPr>
      <w:r w:rsidRPr="0009774A">
        <w:rPr>
          <w:rFonts w:ascii="Arial" w:hAnsi="Arial" w:cs="Arial"/>
          <w:sz w:val="20"/>
          <w:szCs w:val="20"/>
        </w:rPr>
        <w:t xml:space="preserve">Table 7. Significant Differences in Protein Content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Based on LOF Treatment and Observation Week (Tukey HSD Test)</w:t>
      </w:r>
    </w:p>
    <w:tbl>
      <w:tblPr>
        <w:tblW w:w="7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984"/>
        <w:gridCol w:w="2126"/>
        <w:gridCol w:w="1020"/>
      </w:tblGrid>
      <w:tr w:rsidR="007A2037" w:rsidRPr="0009774A" w14:paraId="7D3E6E3F" w14:textId="77777777" w:rsidTr="0056577A">
        <w:trPr>
          <w:trHeight w:val="37"/>
        </w:trPr>
        <w:tc>
          <w:tcPr>
            <w:tcW w:w="2122" w:type="dxa"/>
            <w:noWrap/>
            <w:hideMark/>
          </w:tcPr>
          <w:p w14:paraId="1EED14BF" w14:textId="61DC5462" w:rsidR="007A2037" w:rsidRPr="0009774A" w:rsidRDefault="007A2037"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 1</w:t>
            </w:r>
          </w:p>
        </w:tc>
        <w:tc>
          <w:tcPr>
            <w:tcW w:w="1984" w:type="dxa"/>
            <w:noWrap/>
            <w:hideMark/>
          </w:tcPr>
          <w:p w14:paraId="08419FDC" w14:textId="3B058538" w:rsidR="007A2037" w:rsidRPr="0009774A" w:rsidRDefault="007A2037"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 2</w:t>
            </w:r>
          </w:p>
        </w:tc>
        <w:tc>
          <w:tcPr>
            <w:tcW w:w="2126" w:type="dxa"/>
            <w:noWrap/>
            <w:hideMark/>
          </w:tcPr>
          <w:p w14:paraId="589E5E70" w14:textId="3AEDF922" w:rsidR="007A2037" w:rsidRPr="0009774A" w:rsidRDefault="007A2037"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Difference in mean</w:t>
            </w:r>
          </w:p>
        </w:tc>
        <w:tc>
          <w:tcPr>
            <w:tcW w:w="1020" w:type="dxa"/>
            <w:noWrap/>
            <w:hideMark/>
          </w:tcPr>
          <w:p w14:paraId="4E99CC46" w14:textId="53897EA2" w:rsidR="007A2037" w:rsidRPr="0009774A" w:rsidRDefault="007A2037"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w:t>
            </w:r>
            <w:proofErr w:type="spellStart"/>
            <w:r w:rsidRPr="0009774A">
              <w:rPr>
                <w:rFonts w:eastAsia="Times New Roman" w:cs="Arial"/>
                <w:color w:val="000000"/>
                <w:sz w:val="20"/>
                <w:szCs w:val="20"/>
                <w:lang w:eastAsia="en-ID"/>
              </w:rPr>
              <w:t>adj</w:t>
            </w:r>
            <w:proofErr w:type="spellEnd"/>
          </w:p>
        </w:tc>
      </w:tr>
      <w:tr w:rsidR="004E1988" w:rsidRPr="0009774A" w14:paraId="1B42256F" w14:textId="77777777" w:rsidTr="0056577A">
        <w:trPr>
          <w:trHeight w:val="35"/>
        </w:trPr>
        <w:tc>
          <w:tcPr>
            <w:tcW w:w="2122" w:type="dxa"/>
            <w:noWrap/>
            <w:vAlign w:val="bottom"/>
            <w:hideMark/>
          </w:tcPr>
          <w:p w14:paraId="5F185867"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1984" w:type="dxa"/>
            <w:noWrap/>
            <w:vAlign w:val="bottom"/>
            <w:hideMark/>
          </w:tcPr>
          <w:p w14:paraId="44044873"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735C463B" w14:textId="08C7D05C"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0,994</w:t>
            </w:r>
          </w:p>
        </w:tc>
        <w:tc>
          <w:tcPr>
            <w:tcW w:w="1020" w:type="dxa"/>
            <w:noWrap/>
            <w:vAlign w:val="center"/>
            <w:hideMark/>
          </w:tcPr>
          <w:p w14:paraId="35FF3933" w14:textId="7C329F04"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64F5EE81" w14:textId="77777777" w:rsidTr="0056577A">
        <w:trPr>
          <w:trHeight w:val="47"/>
        </w:trPr>
        <w:tc>
          <w:tcPr>
            <w:tcW w:w="2122" w:type="dxa"/>
            <w:noWrap/>
            <w:vAlign w:val="bottom"/>
            <w:hideMark/>
          </w:tcPr>
          <w:p w14:paraId="53A2C6E0"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1</w:t>
            </w:r>
          </w:p>
        </w:tc>
        <w:tc>
          <w:tcPr>
            <w:tcW w:w="1984" w:type="dxa"/>
            <w:noWrap/>
            <w:vAlign w:val="bottom"/>
            <w:hideMark/>
          </w:tcPr>
          <w:p w14:paraId="26B45804"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6FA166B8" w14:textId="76FCF5A3"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0,852</w:t>
            </w:r>
          </w:p>
        </w:tc>
        <w:tc>
          <w:tcPr>
            <w:tcW w:w="1020" w:type="dxa"/>
            <w:noWrap/>
            <w:vAlign w:val="center"/>
            <w:hideMark/>
          </w:tcPr>
          <w:p w14:paraId="1DEE95CF" w14:textId="7F7D63E3"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60742E3B" w14:textId="77777777" w:rsidTr="0056577A">
        <w:trPr>
          <w:trHeight w:val="47"/>
        </w:trPr>
        <w:tc>
          <w:tcPr>
            <w:tcW w:w="2122" w:type="dxa"/>
            <w:noWrap/>
            <w:vAlign w:val="bottom"/>
            <w:hideMark/>
          </w:tcPr>
          <w:p w14:paraId="49CBAF91"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2</w:t>
            </w:r>
          </w:p>
        </w:tc>
        <w:tc>
          <w:tcPr>
            <w:tcW w:w="1984" w:type="dxa"/>
            <w:noWrap/>
            <w:vAlign w:val="bottom"/>
            <w:hideMark/>
          </w:tcPr>
          <w:p w14:paraId="261B2C50"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7B7FBC58" w14:textId="7CBBD3B1"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0,833</w:t>
            </w:r>
          </w:p>
        </w:tc>
        <w:tc>
          <w:tcPr>
            <w:tcW w:w="1020" w:type="dxa"/>
            <w:noWrap/>
            <w:vAlign w:val="center"/>
            <w:hideMark/>
          </w:tcPr>
          <w:p w14:paraId="6E698084" w14:textId="5D352478"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6D9D6BA5" w14:textId="77777777" w:rsidTr="0056577A">
        <w:trPr>
          <w:trHeight w:val="47"/>
        </w:trPr>
        <w:tc>
          <w:tcPr>
            <w:tcW w:w="2122" w:type="dxa"/>
            <w:noWrap/>
            <w:vAlign w:val="bottom"/>
            <w:hideMark/>
          </w:tcPr>
          <w:p w14:paraId="641E6506"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1984" w:type="dxa"/>
            <w:noWrap/>
            <w:vAlign w:val="bottom"/>
            <w:hideMark/>
          </w:tcPr>
          <w:p w14:paraId="7D167DFA"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2126" w:type="dxa"/>
            <w:noWrap/>
            <w:vAlign w:val="center"/>
            <w:hideMark/>
          </w:tcPr>
          <w:p w14:paraId="62EBE81D" w14:textId="511C2366"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0,713</w:t>
            </w:r>
          </w:p>
        </w:tc>
        <w:tc>
          <w:tcPr>
            <w:tcW w:w="1020" w:type="dxa"/>
            <w:noWrap/>
            <w:vAlign w:val="center"/>
            <w:hideMark/>
          </w:tcPr>
          <w:p w14:paraId="0F3489F6" w14:textId="33A9D4A2"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63696BF3" w14:textId="77777777" w:rsidTr="0056577A">
        <w:trPr>
          <w:trHeight w:val="47"/>
        </w:trPr>
        <w:tc>
          <w:tcPr>
            <w:tcW w:w="2122" w:type="dxa"/>
            <w:noWrap/>
            <w:vAlign w:val="bottom"/>
            <w:hideMark/>
          </w:tcPr>
          <w:p w14:paraId="4B378B82"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3</w:t>
            </w:r>
          </w:p>
        </w:tc>
        <w:tc>
          <w:tcPr>
            <w:tcW w:w="1984" w:type="dxa"/>
            <w:noWrap/>
            <w:vAlign w:val="bottom"/>
            <w:hideMark/>
          </w:tcPr>
          <w:p w14:paraId="2CEFC9BA"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061AB3B3" w14:textId="143D3A25"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0,671</w:t>
            </w:r>
          </w:p>
        </w:tc>
        <w:tc>
          <w:tcPr>
            <w:tcW w:w="1020" w:type="dxa"/>
            <w:noWrap/>
            <w:vAlign w:val="center"/>
            <w:hideMark/>
          </w:tcPr>
          <w:p w14:paraId="496C864F" w14:textId="05DA62AC"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32A29B04" w14:textId="77777777" w:rsidTr="0056577A">
        <w:trPr>
          <w:trHeight w:val="47"/>
        </w:trPr>
        <w:tc>
          <w:tcPr>
            <w:tcW w:w="2122" w:type="dxa"/>
            <w:noWrap/>
            <w:vAlign w:val="bottom"/>
            <w:hideMark/>
          </w:tcPr>
          <w:p w14:paraId="5E5F2EA7"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1</w:t>
            </w:r>
          </w:p>
        </w:tc>
        <w:tc>
          <w:tcPr>
            <w:tcW w:w="1984" w:type="dxa"/>
            <w:noWrap/>
            <w:vAlign w:val="bottom"/>
            <w:hideMark/>
          </w:tcPr>
          <w:p w14:paraId="048DB3A8"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2126" w:type="dxa"/>
            <w:noWrap/>
            <w:vAlign w:val="center"/>
            <w:hideMark/>
          </w:tcPr>
          <w:p w14:paraId="4B31F897" w14:textId="21459B45"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0,570</w:t>
            </w:r>
          </w:p>
        </w:tc>
        <w:tc>
          <w:tcPr>
            <w:tcW w:w="1020" w:type="dxa"/>
            <w:noWrap/>
            <w:vAlign w:val="center"/>
            <w:hideMark/>
          </w:tcPr>
          <w:p w14:paraId="571A9A69" w14:textId="0A64A962"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586F4B9C" w14:textId="77777777" w:rsidTr="0056577A">
        <w:trPr>
          <w:trHeight w:val="47"/>
        </w:trPr>
        <w:tc>
          <w:tcPr>
            <w:tcW w:w="2122" w:type="dxa"/>
            <w:noWrap/>
            <w:vAlign w:val="bottom"/>
            <w:hideMark/>
          </w:tcPr>
          <w:p w14:paraId="2321BF5F"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2</w:t>
            </w:r>
          </w:p>
        </w:tc>
        <w:tc>
          <w:tcPr>
            <w:tcW w:w="1984" w:type="dxa"/>
            <w:noWrap/>
            <w:vAlign w:val="bottom"/>
            <w:hideMark/>
          </w:tcPr>
          <w:p w14:paraId="60B76DF6"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78025706" w14:textId="13633162"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0,568</w:t>
            </w:r>
          </w:p>
        </w:tc>
        <w:tc>
          <w:tcPr>
            <w:tcW w:w="1020" w:type="dxa"/>
            <w:noWrap/>
            <w:vAlign w:val="center"/>
            <w:hideMark/>
          </w:tcPr>
          <w:p w14:paraId="0CD16729" w14:textId="096F8DAC"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775F9767" w14:textId="77777777" w:rsidTr="0056577A">
        <w:trPr>
          <w:trHeight w:val="47"/>
        </w:trPr>
        <w:tc>
          <w:tcPr>
            <w:tcW w:w="2122" w:type="dxa"/>
            <w:noWrap/>
            <w:vAlign w:val="bottom"/>
            <w:hideMark/>
          </w:tcPr>
          <w:p w14:paraId="40B496F5"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2</w:t>
            </w:r>
          </w:p>
        </w:tc>
        <w:tc>
          <w:tcPr>
            <w:tcW w:w="1984" w:type="dxa"/>
            <w:noWrap/>
            <w:vAlign w:val="bottom"/>
            <w:hideMark/>
          </w:tcPr>
          <w:p w14:paraId="6B10156F"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2126" w:type="dxa"/>
            <w:noWrap/>
            <w:vAlign w:val="center"/>
            <w:hideMark/>
          </w:tcPr>
          <w:p w14:paraId="63133AC2" w14:textId="24B67A34"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0,551</w:t>
            </w:r>
          </w:p>
        </w:tc>
        <w:tc>
          <w:tcPr>
            <w:tcW w:w="1020" w:type="dxa"/>
            <w:noWrap/>
            <w:vAlign w:val="center"/>
            <w:hideMark/>
          </w:tcPr>
          <w:p w14:paraId="73C212FE" w14:textId="13161895"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0768D7BB" w14:textId="77777777" w:rsidTr="0056577A">
        <w:trPr>
          <w:trHeight w:val="47"/>
        </w:trPr>
        <w:tc>
          <w:tcPr>
            <w:tcW w:w="2122" w:type="dxa"/>
            <w:noWrap/>
            <w:vAlign w:val="bottom"/>
            <w:hideMark/>
          </w:tcPr>
          <w:p w14:paraId="29403172"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1984" w:type="dxa"/>
            <w:noWrap/>
            <w:vAlign w:val="bottom"/>
            <w:hideMark/>
          </w:tcPr>
          <w:p w14:paraId="1EB5B2F7"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2126" w:type="dxa"/>
            <w:noWrap/>
            <w:vAlign w:val="center"/>
            <w:hideMark/>
          </w:tcPr>
          <w:p w14:paraId="3B9F6B52" w14:textId="609BF096"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0,509</w:t>
            </w:r>
          </w:p>
        </w:tc>
        <w:tc>
          <w:tcPr>
            <w:tcW w:w="1020" w:type="dxa"/>
            <w:noWrap/>
            <w:vAlign w:val="center"/>
            <w:hideMark/>
          </w:tcPr>
          <w:p w14:paraId="6DE50E77" w14:textId="444DB147"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r w:rsidR="004E1988" w:rsidRPr="0009774A" w14:paraId="19C6B260" w14:textId="77777777" w:rsidTr="0056577A">
        <w:trPr>
          <w:trHeight w:val="47"/>
        </w:trPr>
        <w:tc>
          <w:tcPr>
            <w:tcW w:w="2122" w:type="dxa"/>
            <w:noWrap/>
            <w:vAlign w:val="bottom"/>
            <w:hideMark/>
          </w:tcPr>
          <w:p w14:paraId="5C28D502"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1984" w:type="dxa"/>
            <w:noWrap/>
            <w:vAlign w:val="bottom"/>
            <w:hideMark/>
          </w:tcPr>
          <w:p w14:paraId="258090C9" w14:textId="77777777" w:rsidR="004E1988" w:rsidRPr="0009774A" w:rsidRDefault="004E1988" w:rsidP="0009774A">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center"/>
            <w:hideMark/>
          </w:tcPr>
          <w:p w14:paraId="503F2771" w14:textId="7B419683"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0,486</w:t>
            </w:r>
          </w:p>
        </w:tc>
        <w:tc>
          <w:tcPr>
            <w:tcW w:w="1020" w:type="dxa"/>
            <w:noWrap/>
            <w:vAlign w:val="center"/>
            <w:hideMark/>
          </w:tcPr>
          <w:p w14:paraId="21D8EB46" w14:textId="683456FE" w:rsidR="004E1988" w:rsidRPr="0009774A" w:rsidRDefault="004E1988" w:rsidP="0009774A">
            <w:pPr>
              <w:spacing w:after="0" w:line="240" w:lineRule="auto"/>
              <w:rPr>
                <w:rFonts w:eastAsia="Times New Roman" w:cs="Arial"/>
                <w:color w:val="000000"/>
                <w:sz w:val="20"/>
                <w:szCs w:val="20"/>
                <w:lang w:eastAsia="en-ID"/>
              </w:rPr>
            </w:pPr>
            <w:r w:rsidRPr="0009774A">
              <w:rPr>
                <w:rFonts w:cs="Arial"/>
                <w:color w:val="000000"/>
                <w:sz w:val="20"/>
                <w:szCs w:val="20"/>
              </w:rPr>
              <w:t>0,000</w:t>
            </w:r>
          </w:p>
        </w:tc>
      </w:tr>
    </w:tbl>
    <w:p w14:paraId="400C54D2" w14:textId="77777777" w:rsidR="00DA25A0" w:rsidRPr="0009774A" w:rsidRDefault="00DA25A0" w:rsidP="00DA25A0">
      <w:pPr>
        <w:pStyle w:val="NormalWeb"/>
        <w:spacing w:before="0" w:beforeAutospacing="0" w:after="0" w:afterAutospacing="0" w:line="276" w:lineRule="auto"/>
        <w:jc w:val="both"/>
        <w:rPr>
          <w:rFonts w:ascii="Arial" w:hAnsi="Arial" w:cs="Arial"/>
          <w:sz w:val="20"/>
          <w:szCs w:val="20"/>
        </w:rPr>
      </w:pPr>
    </w:p>
    <w:p w14:paraId="46D44EB6" w14:textId="2FE067DF" w:rsidR="007A2037" w:rsidRPr="0009774A" w:rsidRDefault="00923FCD" w:rsidP="007A2037">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Tukey HSD post-hoc analysis showed statistically significant differences in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protein content across nearly all combinations of liquid organic fertilizer (LOF) concentrations and observation weeks (p = 0). The greatest difference—0.9943 g—occurred between 10% LOF at week 1 and 25% LOF at week 4, highlighting the synergistic effect of increased fertilizer dosage and growth duration on protein accumulation. Within-treatment comparisons over time, such as 25% LOF (0.8517 g increase) and 10% LOF (0.4857 g increase), further confirmed the significant impact of growth stage on LOF efficacy. Overall, protein content progressively increased over time, particularly under the optimal 25% LOF treatment at week 4, which consistently produced the highest protein levels. These findings corroborate ANOVA results and emphasize the importance of precise LOF dosing and timing to enhance the nutritional quality of leafy vegetables sustainably</w:t>
      </w:r>
      <w:r w:rsidR="009F2F44" w:rsidRPr="0009774A">
        <w:rPr>
          <w:rFonts w:ascii="Arial" w:hAnsi="Arial" w:cs="Arial"/>
          <w:sz w:val="20"/>
          <w:szCs w:val="20"/>
        </w:rPr>
        <w:fldChar w:fldCharType="begin" w:fldLock="1"/>
      </w:r>
      <w:r w:rsidR="009F2F44" w:rsidRPr="0009774A">
        <w:rPr>
          <w:rFonts w:ascii="Arial" w:hAnsi="Arial" w:cs="Arial"/>
          <w:sz w:val="20"/>
          <w:szCs w:val="20"/>
        </w:rPr>
        <w:instrText>ADDIN CSL_CITATION {"citationItems":[{"id":"ITEM-1","itemData":{"author":[{"dropping-particle":"","family":"Budiman","given":"Maman","non-dropping-particle":"","parse-names":false,"suffix":""},{"dropping-particle":"","family":"Partogi","given":"Efraim","non-dropping-particle":"","parse-names":false,"suffix":""},{"dropping-particle":"","family":"Kristi","given":"Ant Ardath","non-dropping-particle":"","parse-names":false,"suffix":""},{"dropping-particle":"","family":"Anggara","given":"Prianka","non-dropping-particle":"","parse-names":false,"suffix":""},{"dropping-particle":"","family":"Aminah","given":"Nina Siti","non-dropping-particle":"","parse-names":false,"suffix":""}],"container-title":"Journal of Mathematical and Fundamental Sciences","id":"ITEM-1","issue":"2","issued":{"date-parts":[["2022"]]},"title":"Study of the Effect of Physical Parameters on Commercial Hydroponics Based on Internet of Things (IoT): A Case Study of Bok Coy Plants (Brassica rapa) and Water Spinach (Ipomoea Aquatica)","type":"article-journal","volume":"54"},"uris":["http://www.mendeley.com/documents/?uuid=a1572634-50aa-4ed8-b5e5-aac992f45f78"]}],"mendeley":{"formattedCitation":"(Budiman &lt;i&gt;et al.&lt;/i&gt;, 2022)","plainTextFormattedCitation":"(Budiman et al., 2022)","previouslyFormattedCitation":"(Budiman &lt;i&gt;et al.&lt;/i&gt;, 2022)"},"properties":{"noteIndex":0},"schema":"https://github.com/citation-style-language/schema/raw/master/csl-citation.json"}</w:instrText>
      </w:r>
      <w:r w:rsidR="009F2F44" w:rsidRPr="0009774A">
        <w:rPr>
          <w:rFonts w:ascii="Arial" w:hAnsi="Arial" w:cs="Arial"/>
          <w:sz w:val="20"/>
          <w:szCs w:val="20"/>
        </w:rPr>
        <w:fldChar w:fldCharType="separate"/>
      </w:r>
      <w:r w:rsidR="009F2F44" w:rsidRPr="0009774A">
        <w:rPr>
          <w:rFonts w:ascii="Arial" w:hAnsi="Arial" w:cs="Arial"/>
          <w:noProof/>
          <w:sz w:val="20"/>
          <w:szCs w:val="20"/>
        </w:rPr>
        <w:t xml:space="preserve">(Budiman </w:t>
      </w:r>
      <w:r w:rsidR="009F2F44" w:rsidRPr="0009774A">
        <w:rPr>
          <w:rFonts w:ascii="Arial" w:hAnsi="Arial" w:cs="Arial"/>
          <w:i/>
          <w:noProof/>
          <w:sz w:val="20"/>
          <w:szCs w:val="20"/>
        </w:rPr>
        <w:t>et al.</w:t>
      </w:r>
      <w:r w:rsidR="009F2F44" w:rsidRPr="0009774A">
        <w:rPr>
          <w:rFonts w:ascii="Arial" w:hAnsi="Arial" w:cs="Arial"/>
          <w:noProof/>
          <w:sz w:val="20"/>
          <w:szCs w:val="20"/>
        </w:rPr>
        <w:t>, 2022)</w:t>
      </w:r>
      <w:r w:rsidR="009F2F44" w:rsidRPr="0009774A">
        <w:rPr>
          <w:rFonts w:ascii="Arial" w:hAnsi="Arial" w:cs="Arial"/>
          <w:sz w:val="20"/>
          <w:szCs w:val="20"/>
        </w:rPr>
        <w:fldChar w:fldCharType="end"/>
      </w:r>
      <w:r w:rsidR="009F2F44" w:rsidRPr="0009774A">
        <w:rPr>
          <w:rFonts w:ascii="Arial" w:hAnsi="Arial" w:cs="Arial"/>
          <w:sz w:val="20"/>
          <w:szCs w:val="20"/>
        </w:rPr>
        <w:t xml:space="preserve"> </w:t>
      </w:r>
    </w:p>
    <w:p w14:paraId="5C391EF6" w14:textId="77777777" w:rsidR="00923FCD" w:rsidRPr="0009774A" w:rsidRDefault="00923FCD" w:rsidP="00923FCD">
      <w:pPr>
        <w:pStyle w:val="NormalWeb"/>
        <w:jc w:val="center"/>
        <w:rPr>
          <w:rFonts w:ascii="Arial" w:hAnsi="Arial" w:cs="Arial"/>
          <w:sz w:val="20"/>
          <w:szCs w:val="20"/>
        </w:rPr>
      </w:pPr>
      <w:r w:rsidRPr="0009774A">
        <w:rPr>
          <w:rFonts w:ascii="Arial" w:hAnsi="Arial" w:cs="Arial"/>
          <w:noProof/>
          <w:sz w:val="20"/>
          <w:szCs w:val="20"/>
        </w:rPr>
        <w:lastRenderedPageBreak/>
        <w:drawing>
          <wp:inline distT="0" distB="0" distL="0" distR="0" wp14:anchorId="1665B0FD" wp14:editId="01F21576">
            <wp:extent cx="3052196" cy="2153045"/>
            <wp:effectExtent l="0" t="0" r="0" b="0"/>
            <wp:docPr id="1536895046" name="Picture 1536895046" descr="A graph of different colored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95046" name="Picture 1536895046" descr="A graph of different colored lin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1835" cy="2188060"/>
                    </a:xfrm>
                    <a:prstGeom prst="rect">
                      <a:avLst/>
                    </a:prstGeom>
                    <a:noFill/>
                    <a:ln>
                      <a:noFill/>
                    </a:ln>
                  </pic:spPr>
                </pic:pic>
              </a:graphicData>
            </a:graphic>
          </wp:inline>
        </w:drawing>
      </w:r>
    </w:p>
    <w:p w14:paraId="40E576A1" w14:textId="5E2E6EE2" w:rsidR="00BE2886" w:rsidRPr="0009774A" w:rsidRDefault="009F2F44" w:rsidP="00BE2886">
      <w:pPr>
        <w:pStyle w:val="NormalWeb"/>
        <w:jc w:val="both"/>
        <w:rPr>
          <w:rFonts w:ascii="Arial" w:hAnsi="Arial" w:cs="Arial"/>
          <w:b/>
          <w:bCs/>
          <w:sz w:val="20"/>
          <w:szCs w:val="20"/>
        </w:rPr>
      </w:pPr>
      <w:r w:rsidRPr="0009774A">
        <w:rPr>
          <w:rFonts w:ascii="Arial" w:hAnsi="Arial" w:cs="Arial"/>
          <w:sz w:val="20"/>
          <w:szCs w:val="20"/>
        </w:rPr>
        <w:t>Fig</w:t>
      </w:r>
      <w:r w:rsidR="008D306A" w:rsidRPr="0009774A">
        <w:rPr>
          <w:rFonts w:ascii="Arial" w:hAnsi="Arial" w:cs="Arial"/>
          <w:sz w:val="20"/>
          <w:szCs w:val="20"/>
        </w:rPr>
        <w:t>ure</w:t>
      </w:r>
      <w:r w:rsidRPr="0009774A">
        <w:rPr>
          <w:rFonts w:ascii="Arial" w:hAnsi="Arial" w:cs="Arial"/>
          <w:sz w:val="20"/>
          <w:szCs w:val="20"/>
        </w:rPr>
        <w:t xml:space="preserve"> 3</w:t>
      </w:r>
      <w:r w:rsidR="00552B62" w:rsidRPr="0009774A">
        <w:rPr>
          <w:rFonts w:ascii="Arial" w:hAnsi="Arial" w:cs="Arial"/>
          <w:sz w:val="20"/>
          <w:szCs w:val="20"/>
        </w:rPr>
        <w:t xml:space="preserve">. </w:t>
      </w:r>
      <w:proofErr w:type="spellStart"/>
      <w:r w:rsidR="00552B62" w:rsidRPr="0009774A">
        <w:rPr>
          <w:rFonts w:ascii="Arial" w:hAnsi="Arial" w:cs="Arial"/>
          <w:sz w:val="20"/>
          <w:szCs w:val="20"/>
        </w:rPr>
        <w:t>Modeling</w:t>
      </w:r>
      <w:proofErr w:type="spellEnd"/>
      <w:r w:rsidR="00552B62" w:rsidRPr="0009774A">
        <w:rPr>
          <w:rFonts w:ascii="Arial" w:hAnsi="Arial" w:cs="Arial"/>
          <w:sz w:val="20"/>
          <w:szCs w:val="20"/>
        </w:rPr>
        <w:t xml:space="preserve"> Protein Accumulation in </w:t>
      </w:r>
      <w:proofErr w:type="spellStart"/>
      <w:r w:rsidR="00552B62" w:rsidRPr="0009774A">
        <w:rPr>
          <w:rFonts w:ascii="Arial" w:hAnsi="Arial" w:cs="Arial"/>
          <w:sz w:val="20"/>
          <w:szCs w:val="20"/>
        </w:rPr>
        <w:t>Pakcoy</w:t>
      </w:r>
      <w:proofErr w:type="spellEnd"/>
      <w:r w:rsidR="00552B62" w:rsidRPr="0009774A">
        <w:rPr>
          <w:rFonts w:ascii="Arial" w:hAnsi="Arial" w:cs="Arial"/>
          <w:sz w:val="20"/>
          <w:szCs w:val="20"/>
        </w:rPr>
        <w:t xml:space="preserve"> with Polynomial Regression across Varying </w:t>
      </w:r>
      <w:r w:rsidR="00396E5D" w:rsidRPr="0009774A">
        <w:rPr>
          <w:rFonts w:ascii="Arial" w:hAnsi="Arial" w:cs="Arial"/>
          <w:sz w:val="20"/>
          <w:szCs w:val="20"/>
        </w:rPr>
        <w:t>LOF</w:t>
      </w:r>
      <w:r w:rsidR="00552B62" w:rsidRPr="0009774A">
        <w:rPr>
          <w:rFonts w:ascii="Arial" w:hAnsi="Arial" w:cs="Arial"/>
          <w:sz w:val="20"/>
          <w:szCs w:val="20"/>
        </w:rPr>
        <w:t xml:space="preserve"> Treatments</w:t>
      </w:r>
    </w:p>
    <w:p w14:paraId="0C5A2671" w14:textId="5682D072" w:rsidR="003006A8" w:rsidRPr="0009774A" w:rsidRDefault="00D524B4" w:rsidP="009323A2">
      <w:pPr>
        <w:pStyle w:val="NormalWeb"/>
        <w:spacing w:before="120" w:beforeAutospacing="0" w:after="0" w:afterAutospacing="0" w:line="276" w:lineRule="auto"/>
        <w:jc w:val="both"/>
        <w:rPr>
          <w:rFonts w:ascii="Arial" w:hAnsi="Arial" w:cs="Arial"/>
          <w:sz w:val="20"/>
          <w:szCs w:val="20"/>
        </w:rPr>
      </w:pPr>
      <w:r w:rsidRPr="0009774A">
        <w:rPr>
          <w:rFonts w:ascii="Arial" w:hAnsi="Arial" w:cs="Arial"/>
          <w:sz w:val="20"/>
          <w:szCs w:val="20"/>
        </w:rPr>
        <w:t xml:space="preserve">Polynomial regression analysis demonstrated that protein content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under all liquid organic fertilizer (LOF) treatments followed a quadratic model with a perfect fit (R² = 1.0000). The regression equations were as follows: Control (P): y = </w:t>
      </w:r>
      <w:r w:rsidR="00923FCD" w:rsidRPr="0009774A">
        <w:rPr>
          <w:rFonts w:ascii="Arial" w:hAnsi="Arial" w:cs="Arial"/>
          <w:sz w:val="20"/>
          <w:szCs w:val="20"/>
        </w:rPr>
        <w:t xml:space="preserve">y=−0.0000x </w:t>
      </w:r>
      <w:r w:rsidR="00923FCD" w:rsidRPr="0009774A">
        <w:rPr>
          <w:rFonts w:ascii="Arial" w:hAnsi="Arial" w:cs="Arial"/>
          <w:sz w:val="20"/>
          <w:szCs w:val="20"/>
          <w:vertAlign w:val="superscript"/>
        </w:rPr>
        <w:t>2</w:t>
      </w:r>
      <w:r w:rsidR="00923FCD" w:rsidRPr="0009774A">
        <w:rPr>
          <w:rFonts w:ascii="Arial" w:hAnsi="Arial" w:cs="Arial"/>
          <w:sz w:val="20"/>
          <w:szCs w:val="20"/>
        </w:rPr>
        <w:t xml:space="preserve"> +0.0970x+1.9160</w:t>
      </w:r>
      <w:r w:rsidRPr="0009774A">
        <w:rPr>
          <w:rFonts w:ascii="Arial" w:hAnsi="Arial" w:cs="Arial"/>
          <w:sz w:val="20"/>
          <w:szCs w:val="20"/>
        </w:rPr>
        <w:t>; 10</w:t>
      </w:r>
      <w:proofErr w:type="gramStart"/>
      <w:r w:rsidRPr="0009774A">
        <w:rPr>
          <w:rFonts w:ascii="Arial" w:hAnsi="Arial" w:cs="Arial"/>
          <w:sz w:val="20"/>
          <w:szCs w:val="20"/>
        </w:rPr>
        <w:t>%</w:t>
      </w:r>
      <w:r w:rsidR="009323A2" w:rsidRPr="0009774A">
        <w:rPr>
          <w:rFonts w:ascii="Arial" w:hAnsi="Arial" w:cs="Arial"/>
          <w:sz w:val="20"/>
          <w:szCs w:val="20"/>
        </w:rPr>
        <w:t xml:space="preserve"> </w:t>
      </w:r>
      <w:r w:rsidRPr="0009774A">
        <w:rPr>
          <w:rFonts w:ascii="Arial" w:hAnsi="Arial" w:cs="Arial"/>
          <w:sz w:val="20"/>
          <w:szCs w:val="20"/>
        </w:rPr>
        <w:t xml:space="preserve"> LOF</w:t>
      </w:r>
      <w:proofErr w:type="gramEnd"/>
      <w:r w:rsidRPr="0009774A">
        <w:rPr>
          <w:rFonts w:ascii="Arial" w:hAnsi="Arial" w:cs="Arial"/>
          <w:sz w:val="20"/>
          <w:szCs w:val="20"/>
        </w:rPr>
        <w:t xml:space="preserve"> (P1): </w:t>
      </w:r>
      <w:r w:rsidR="00923FCD" w:rsidRPr="0009774A">
        <w:rPr>
          <w:rStyle w:val="mord"/>
          <w:rFonts w:ascii="Arial" w:hAnsi="Arial" w:cs="Arial"/>
          <w:sz w:val="20"/>
          <w:szCs w:val="20"/>
        </w:rPr>
        <w:t>y</w:t>
      </w:r>
      <w:r w:rsidR="00923FCD" w:rsidRPr="0009774A">
        <w:rPr>
          <w:rStyle w:val="mrel"/>
          <w:rFonts w:ascii="Arial" w:hAnsi="Arial" w:cs="Arial"/>
          <w:sz w:val="20"/>
          <w:szCs w:val="20"/>
        </w:rPr>
        <w:t>=</w:t>
      </w:r>
      <w:r w:rsidR="00923FCD" w:rsidRPr="0009774A">
        <w:rPr>
          <w:rStyle w:val="mord"/>
          <w:rFonts w:ascii="Arial" w:hAnsi="Arial" w:cs="Arial"/>
          <w:sz w:val="20"/>
          <w:szCs w:val="20"/>
        </w:rPr>
        <w:t>0.0001x</w:t>
      </w:r>
      <w:r w:rsidR="00923FCD" w:rsidRPr="0009774A">
        <w:rPr>
          <w:rStyle w:val="mord"/>
          <w:rFonts w:ascii="Arial" w:hAnsi="Arial" w:cs="Arial"/>
          <w:sz w:val="20"/>
          <w:szCs w:val="20"/>
          <w:vertAlign w:val="superscript"/>
        </w:rPr>
        <w:t>2</w:t>
      </w:r>
      <w:r w:rsidR="00923FCD" w:rsidRPr="0009774A">
        <w:rPr>
          <w:rStyle w:val="mbin"/>
          <w:rFonts w:ascii="Arial" w:hAnsi="Arial" w:cs="Arial"/>
          <w:sz w:val="20"/>
          <w:szCs w:val="20"/>
        </w:rPr>
        <w:t>+</w:t>
      </w:r>
      <w:r w:rsidR="00923FCD" w:rsidRPr="0009774A">
        <w:rPr>
          <w:rStyle w:val="mord"/>
          <w:rFonts w:ascii="Arial" w:hAnsi="Arial" w:cs="Arial"/>
          <w:sz w:val="20"/>
          <w:szCs w:val="20"/>
        </w:rPr>
        <w:t>0.1615x</w:t>
      </w:r>
      <w:r w:rsidR="00923FCD" w:rsidRPr="0009774A">
        <w:rPr>
          <w:rStyle w:val="mbin"/>
          <w:rFonts w:ascii="Arial" w:hAnsi="Arial" w:cs="Arial"/>
          <w:sz w:val="20"/>
          <w:szCs w:val="20"/>
        </w:rPr>
        <w:t>+</w:t>
      </w:r>
      <w:r w:rsidR="00923FCD" w:rsidRPr="0009774A">
        <w:rPr>
          <w:rStyle w:val="mord"/>
          <w:rFonts w:ascii="Arial" w:hAnsi="Arial" w:cs="Arial"/>
          <w:sz w:val="20"/>
          <w:szCs w:val="20"/>
        </w:rPr>
        <w:t xml:space="preserve">1.9378, </w:t>
      </w:r>
      <w:r w:rsidRPr="0009774A">
        <w:rPr>
          <w:rFonts w:ascii="Arial" w:hAnsi="Arial" w:cs="Arial"/>
          <w:sz w:val="20"/>
          <w:szCs w:val="20"/>
        </w:rPr>
        <w:t xml:space="preserve">25% LOF (P2): </w:t>
      </w:r>
      <w:r w:rsidR="00923FCD" w:rsidRPr="0009774A">
        <w:rPr>
          <w:rFonts w:ascii="Arial" w:hAnsi="Arial" w:cs="Arial"/>
          <w:sz w:val="20"/>
          <w:szCs w:val="20"/>
        </w:rPr>
        <w:t>y</w:t>
      </w:r>
      <w:r w:rsidR="00005676" w:rsidRPr="0009774A">
        <w:rPr>
          <w:rFonts w:ascii="Arial" w:hAnsi="Arial" w:cs="Arial"/>
          <w:sz w:val="20"/>
          <w:szCs w:val="20"/>
        </w:rPr>
        <w:t xml:space="preserve"> </w:t>
      </w:r>
      <w:r w:rsidR="00923FCD" w:rsidRPr="0009774A">
        <w:rPr>
          <w:rFonts w:ascii="Arial" w:hAnsi="Arial" w:cs="Arial"/>
          <w:sz w:val="20"/>
          <w:szCs w:val="20"/>
        </w:rPr>
        <w:t>=</w:t>
      </w:r>
      <w:r w:rsidR="00005676" w:rsidRPr="0009774A">
        <w:rPr>
          <w:rFonts w:ascii="Arial" w:hAnsi="Arial" w:cs="Arial"/>
          <w:sz w:val="20"/>
          <w:szCs w:val="20"/>
        </w:rPr>
        <w:t xml:space="preserve"> </w:t>
      </w:r>
      <w:r w:rsidR="00923FCD" w:rsidRPr="0009774A">
        <w:rPr>
          <w:rStyle w:val="mord"/>
          <w:rFonts w:ascii="Arial" w:hAnsi="Arial" w:cs="Arial"/>
          <w:sz w:val="20"/>
          <w:szCs w:val="20"/>
        </w:rPr>
        <w:t>−0.0006</w:t>
      </w:r>
      <w:r w:rsidR="009323A2" w:rsidRPr="0009774A">
        <w:rPr>
          <w:rStyle w:val="mord"/>
          <w:rFonts w:ascii="Arial" w:hAnsi="Arial" w:cs="Arial"/>
          <w:sz w:val="20"/>
          <w:szCs w:val="20"/>
        </w:rPr>
        <w:t xml:space="preserve"> </w:t>
      </w:r>
      <w:r w:rsidR="00923FCD" w:rsidRPr="0009774A">
        <w:rPr>
          <w:rStyle w:val="mord"/>
          <w:rFonts w:ascii="Arial" w:hAnsi="Arial" w:cs="Arial"/>
          <w:sz w:val="20"/>
          <w:szCs w:val="20"/>
        </w:rPr>
        <w:t>x</w:t>
      </w:r>
      <w:r w:rsidR="00923FCD" w:rsidRPr="0009774A">
        <w:rPr>
          <w:rStyle w:val="mord"/>
          <w:rFonts w:ascii="Arial" w:hAnsi="Arial" w:cs="Arial"/>
          <w:sz w:val="20"/>
          <w:szCs w:val="20"/>
          <w:vertAlign w:val="superscript"/>
        </w:rPr>
        <w:t>2</w:t>
      </w:r>
      <w:r w:rsidR="009323A2" w:rsidRPr="0009774A">
        <w:rPr>
          <w:rStyle w:val="mord"/>
          <w:rFonts w:ascii="Arial" w:hAnsi="Arial" w:cs="Arial"/>
          <w:sz w:val="20"/>
          <w:szCs w:val="20"/>
          <w:vertAlign w:val="superscript"/>
        </w:rPr>
        <w:t xml:space="preserve"> </w:t>
      </w:r>
      <w:r w:rsidR="00923FCD" w:rsidRPr="0009774A">
        <w:rPr>
          <w:rStyle w:val="mbin"/>
          <w:rFonts w:ascii="Arial" w:eastAsiaTheme="majorEastAsia" w:hAnsi="Arial" w:cs="Arial"/>
          <w:sz w:val="20"/>
          <w:szCs w:val="20"/>
        </w:rPr>
        <w:t>+</w:t>
      </w:r>
      <w:r w:rsidR="009323A2" w:rsidRPr="0009774A">
        <w:rPr>
          <w:rStyle w:val="mbin"/>
          <w:rFonts w:ascii="Arial" w:eastAsiaTheme="majorEastAsia" w:hAnsi="Arial" w:cs="Arial"/>
          <w:sz w:val="20"/>
          <w:szCs w:val="20"/>
        </w:rPr>
        <w:t xml:space="preserve"> </w:t>
      </w:r>
      <w:r w:rsidR="00923FCD" w:rsidRPr="0009774A">
        <w:rPr>
          <w:rStyle w:val="mord"/>
          <w:rFonts w:ascii="Arial" w:hAnsi="Arial" w:cs="Arial"/>
          <w:sz w:val="20"/>
          <w:szCs w:val="20"/>
        </w:rPr>
        <w:t>0.2870</w:t>
      </w:r>
      <w:r w:rsidR="009323A2" w:rsidRPr="0009774A">
        <w:rPr>
          <w:rStyle w:val="mord"/>
          <w:rFonts w:ascii="Arial" w:hAnsi="Arial" w:cs="Arial"/>
          <w:sz w:val="20"/>
          <w:szCs w:val="20"/>
        </w:rPr>
        <w:t xml:space="preserve"> </w:t>
      </w:r>
      <w:r w:rsidR="00923FCD" w:rsidRPr="0009774A">
        <w:rPr>
          <w:rStyle w:val="mord"/>
          <w:rFonts w:ascii="Arial" w:hAnsi="Arial" w:cs="Arial"/>
          <w:sz w:val="20"/>
          <w:szCs w:val="20"/>
        </w:rPr>
        <w:t>x</w:t>
      </w:r>
      <w:r w:rsidR="00923FCD" w:rsidRPr="0009774A">
        <w:rPr>
          <w:rStyle w:val="mbin"/>
          <w:rFonts w:ascii="Arial" w:eastAsiaTheme="majorEastAsia" w:hAnsi="Arial" w:cs="Arial"/>
          <w:sz w:val="20"/>
          <w:szCs w:val="20"/>
        </w:rPr>
        <w:t>+</w:t>
      </w:r>
      <w:r w:rsidR="00923FCD" w:rsidRPr="0009774A">
        <w:rPr>
          <w:rStyle w:val="mord"/>
          <w:rFonts w:ascii="Arial" w:hAnsi="Arial" w:cs="Arial"/>
          <w:sz w:val="20"/>
          <w:szCs w:val="20"/>
        </w:rPr>
        <w:t xml:space="preserve">1.9553, </w:t>
      </w:r>
      <w:r w:rsidRPr="0009774A">
        <w:rPr>
          <w:rFonts w:ascii="Arial" w:hAnsi="Arial" w:cs="Arial"/>
          <w:sz w:val="20"/>
          <w:szCs w:val="20"/>
        </w:rPr>
        <w:t xml:space="preserve">and 50% LOF (P3): </w:t>
      </w:r>
      <w:r w:rsidR="00923FCD" w:rsidRPr="0009774A">
        <w:rPr>
          <w:rStyle w:val="mord"/>
          <w:rFonts w:ascii="Arial" w:hAnsi="Arial" w:cs="Arial"/>
          <w:sz w:val="20"/>
          <w:szCs w:val="20"/>
        </w:rPr>
        <w:t>y</w:t>
      </w:r>
      <w:r w:rsidR="00923FCD" w:rsidRPr="0009774A">
        <w:rPr>
          <w:rStyle w:val="mrel"/>
          <w:rFonts w:ascii="Arial" w:hAnsi="Arial" w:cs="Arial"/>
          <w:sz w:val="20"/>
          <w:szCs w:val="20"/>
        </w:rPr>
        <w:t xml:space="preserve">= </w:t>
      </w:r>
      <w:r w:rsidR="00923FCD" w:rsidRPr="0009774A">
        <w:rPr>
          <w:rStyle w:val="mord"/>
          <w:rFonts w:ascii="Arial" w:hAnsi="Arial" w:cs="Arial"/>
          <w:sz w:val="20"/>
          <w:szCs w:val="20"/>
        </w:rPr>
        <w:t>− 0.0001</w:t>
      </w:r>
      <w:r w:rsidR="009323A2" w:rsidRPr="0009774A">
        <w:rPr>
          <w:rStyle w:val="mord"/>
          <w:rFonts w:ascii="Arial" w:hAnsi="Arial" w:cs="Arial"/>
          <w:sz w:val="20"/>
          <w:szCs w:val="20"/>
        </w:rPr>
        <w:t xml:space="preserve"> </w:t>
      </w:r>
      <w:r w:rsidR="00923FCD" w:rsidRPr="0009774A">
        <w:rPr>
          <w:rStyle w:val="mord"/>
          <w:rFonts w:ascii="Arial" w:hAnsi="Arial" w:cs="Arial"/>
          <w:sz w:val="20"/>
          <w:szCs w:val="20"/>
        </w:rPr>
        <w:t>x</w:t>
      </w:r>
      <w:r w:rsidR="00923FCD" w:rsidRPr="0009774A">
        <w:rPr>
          <w:rStyle w:val="mord"/>
          <w:rFonts w:ascii="Arial" w:hAnsi="Arial" w:cs="Arial"/>
          <w:sz w:val="20"/>
          <w:szCs w:val="20"/>
          <w:vertAlign w:val="superscript"/>
        </w:rPr>
        <w:t>2</w:t>
      </w:r>
      <w:r w:rsidR="009323A2" w:rsidRPr="0009774A">
        <w:rPr>
          <w:rStyle w:val="mord"/>
          <w:rFonts w:ascii="Arial" w:hAnsi="Arial" w:cs="Arial"/>
          <w:sz w:val="20"/>
          <w:szCs w:val="20"/>
          <w:vertAlign w:val="superscript"/>
        </w:rPr>
        <w:t xml:space="preserve"> </w:t>
      </w:r>
      <w:r w:rsidR="00923FCD" w:rsidRPr="0009774A">
        <w:rPr>
          <w:rStyle w:val="mbin"/>
          <w:rFonts w:ascii="Arial" w:hAnsi="Arial" w:cs="Arial"/>
          <w:sz w:val="20"/>
          <w:szCs w:val="20"/>
        </w:rPr>
        <w:t>+</w:t>
      </w:r>
      <w:r w:rsidR="009323A2" w:rsidRPr="0009774A">
        <w:rPr>
          <w:rStyle w:val="mbin"/>
          <w:rFonts w:ascii="Arial" w:hAnsi="Arial" w:cs="Arial"/>
          <w:sz w:val="20"/>
          <w:szCs w:val="20"/>
        </w:rPr>
        <w:t xml:space="preserve"> </w:t>
      </w:r>
      <w:r w:rsidR="00923FCD" w:rsidRPr="0009774A">
        <w:rPr>
          <w:rStyle w:val="mord"/>
          <w:rFonts w:ascii="Arial" w:hAnsi="Arial" w:cs="Arial"/>
          <w:sz w:val="20"/>
          <w:szCs w:val="20"/>
        </w:rPr>
        <w:t>0.0999</w:t>
      </w:r>
      <w:r w:rsidR="009323A2" w:rsidRPr="0009774A">
        <w:rPr>
          <w:rStyle w:val="mord"/>
          <w:rFonts w:ascii="Arial" w:hAnsi="Arial" w:cs="Arial"/>
          <w:sz w:val="20"/>
          <w:szCs w:val="20"/>
        </w:rPr>
        <w:t xml:space="preserve"> </w:t>
      </w:r>
      <w:r w:rsidR="00923FCD" w:rsidRPr="0009774A">
        <w:rPr>
          <w:rStyle w:val="mord"/>
          <w:rFonts w:ascii="Arial" w:hAnsi="Arial" w:cs="Arial"/>
          <w:sz w:val="20"/>
          <w:szCs w:val="20"/>
        </w:rPr>
        <w:t>x</w:t>
      </w:r>
      <w:r w:rsidR="00923FCD" w:rsidRPr="0009774A">
        <w:rPr>
          <w:rStyle w:val="mbin"/>
          <w:rFonts w:ascii="Arial" w:hAnsi="Arial" w:cs="Arial"/>
          <w:sz w:val="20"/>
          <w:szCs w:val="20"/>
        </w:rPr>
        <w:t>+</w:t>
      </w:r>
      <w:r w:rsidR="00923FCD" w:rsidRPr="0009774A">
        <w:rPr>
          <w:rStyle w:val="mord"/>
          <w:rFonts w:ascii="Arial" w:hAnsi="Arial" w:cs="Arial"/>
          <w:sz w:val="20"/>
          <w:szCs w:val="20"/>
        </w:rPr>
        <w:t>2.0908</w:t>
      </w:r>
      <w:r w:rsidRPr="0009774A">
        <w:rPr>
          <w:rFonts w:ascii="Arial" w:hAnsi="Arial" w:cs="Arial"/>
          <w:sz w:val="20"/>
          <w:szCs w:val="20"/>
        </w:rPr>
        <w:t xml:space="preserve">. Among all treatments, the 25% LOF (P2) showed the most consistent and substantial increase in protein content, reaching a peak mean of 3.095 g in the fourth week. Although a slight deceleration was observed at the final time point, this treatment remained the most effective for promoting protein accumulation. These findings highlight 25% LOF as the optimal concentration for enhancing protein levels in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and underscore the importance of combining appropriate dosage with precise timing to maximize nutritional outcomes through sustainable tofu-waste-based fertilization </w:t>
      </w:r>
      <w:r w:rsidR="009F2F44" w:rsidRPr="0009774A">
        <w:rPr>
          <w:rFonts w:ascii="Arial" w:hAnsi="Arial" w:cs="Arial"/>
          <w:sz w:val="20"/>
          <w:szCs w:val="20"/>
        </w:rPr>
        <w:fldChar w:fldCharType="begin" w:fldLock="1"/>
      </w:r>
      <w:r w:rsidR="009F2F44" w:rsidRPr="0009774A">
        <w:rPr>
          <w:rFonts w:ascii="Arial" w:hAnsi="Arial" w:cs="Arial"/>
          <w:sz w:val="20"/>
          <w:szCs w:val="20"/>
        </w:rPr>
        <w:instrText>ADDIN CSL_CITATION {"citationItems":[{"id":"ITEM-1","itemData":{"ISSN":"2223-7747","author":[{"dropping-particle":"","family":"Lin","given":"Shudong","non-dropping-particle":"","parse-names":false,"suffix":""},{"dropping-particle":"","family":"Wei","given":"Kai","non-dropping-particle":"","parse-names":false,"suffix":""},{"dropping-particle":"","family":"Wang","given":"Quanjiu","non-dropping-particle":"","parse-names":false,"suffix":""},{"dropping-particle":"","family":"Sun","given":"Yan","non-dropping-particle":"","parse-names":false,"suffix":""},{"dropping-particle":"","family":"Deng","given":"Mingjiang","non-dropping-particle":"","parse-names":false,"suffix":""},{"dropping-particle":"","family":"Tao","given":"Wanghai","non-dropping-particle":"","parse-names":false,"suffix":""}],"container-title":"Plants","id":"ITEM-1","issue":"10","issued":{"date-parts":[["2024"]]},"page":"1308","publisher":"MDPI","title":"Effects of organic fertilizer on photosynthesis, yield, and quality of pakchoi under different irrigation conditions","type":"article-journal","volume":"13"},"uris":["http://www.mendeley.com/documents/?uuid=b592b362-4533-48c0-b77b-6a4ba7804ba8"]}],"mendeley":{"formattedCitation":"(Lin &lt;i&gt;et al.&lt;/i&gt;, 2024)","plainTextFormattedCitation":"(Lin et al., 2024)","previouslyFormattedCitation":"(Lin &lt;i&gt;et al.&lt;/i&gt;, 2024)"},"properties":{"noteIndex":0},"schema":"https://github.com/citation-style-language/schema/raw/master/csl-citation.json"}</w:instrText>
      </w:r>
      <w:r w:rsidR="009F2F44" w:rsidRPr="0009774A">
        <w:rPr>
          <w:rFonts w:ascii="Arial" w:hAnsi="Arial" w:cs="Arial"/>
          <w:sz w:val="20"/>
          <w:szCs w:val="20"/>
        </w:rPr>
        <w:fldChar w:fldCharType="separate"/>
      </w:r>
      <w:r w:rsidR="009F2F44" w:rsidRPr="0009774A">
        <w:rPr>
          <w:rFonts w:ascii="Arial" w:hAnsi="Arial" w:cs="Arial"/>
          <w:noProof/>
          <w:sz w:val="20"/>
          <w:szCs w:val="20"/>
        </w:rPr>
        <w:t xml:space="preserve">(Lin </w:t>
      </w:r>
      <w:r w:rsidR="009F2F44" w:rsidRPr="0009774A">
        <w:rPr>
          <w:rFonts w:ascii="Arial" w:hAnsi="Arial" w:cs="Arial"/>
          <w:i/>
          <w:noProof/>
          <w:sz w:val="20"/>
          <w:szCs w:val="20"/>
        </w:rPr>
        <w:t>et al.</w:t>
      </w:r>
      <w:r w:rsidR="009F2F44" w:rsidRPr="0009774A">
        <w:rPr>
          <w:rFonts w:ascii="Arial" w:hAnsi="Arial" w:cs="Arial"/>
          <w:noProof/>
          <w:sz w:val="20"/>
          <w:szCs w:val="20"/>
        </w:rPr>
        <w:t>, 2024)</w:t>
      </w:r>
      <w:r w:rsidR="009F2F44" w:rsidRPr="0009774A">
        <w:rPr>
          <w:rFonts w:ascii="Arial" w:hAnsi="Arial" w:cs="Arial"/>
          <w:sz w:val="20"/>
          <w:szCs w:val="20"/>
        </w:rPr>
        <w:fldChar w:fldCharType="end"/>
      </w:r>
    </w:p>
    <w:p w14:paraId="61DB3A85" w14:textId="325B255F" w:rsidR="00D524B4" w:rsidRPr="0009774A" w:rsidRDefault="00D524B4" w:rsidP="009323A2">
      <w:pPr>
        <w:pStyle w:val="NormalWeb"/>
        <w:numPr>
          <w:ilvl w:val="0"/>
          <w:numId w:val="25"/>
        </w:numPr>
        <w:spacing w:before="120" w:beforeAutospacing="0" w:after="0" w:afterAutospacing="0" w:line="276" w:lineRule="auto"/>
        <w:ind w:left="284" w:hanging="284"/>
        <w:jc w:val="both"/>
        <w:rPr>
          <w:rFonts w:ascii="Arial" w:hAnsi="Arial" w:cs="Arial"/>
          <w:b/>
          <w:bCs/>
          <w:sz w:val="20"/>
          <w:szCs w:val="20"/>
        </w:rPr>
      </w:pPr>
      <w:r w:rsidRPr="0009774A">
        <w:rPr>
          <w:rFonts w:ascii="Arial" w:hAnsi="Arial" w:cs="Arial"/>
          <w:b/>
          <w:bCs/>
          <w:sz w:val="20"/>
          <w:szCs w:val="20"/>
        </w:rPr>
        <w:t xml:space="preserve">Analysis of Plant Height in </w:t>
      </w:r>
      <w:r w:rsidRPr="0009774A">
        <w:rPr>
          <w:rFonts w:ascii="Arial" w:hAnsi="Arial" w:cs="Arial"/>
          <w:b/>
          <w:bCs/>
          <w:i/>
          <w:iCs/>
          <w:sz w:val="20"/>
          <w:szCs w:val="20"/>
        </w:rPr>
        <w:t xml:space="preserve">Brassica rapa </w:t>
      </w:r>
      <w:r w:rsidRPr="0009774A">
        <w:rPr>
          <w:rFonts w:ascii="Arial" w:hAnsi="Arial" w:cs="Arial"/>
          <w:b/>
          <w:bCs/>
          <w:sz w:val="20"/>
          <w:szCs w:val="20"/>
        </w:rPr>
        <w:t>L. (</w:t>
      </w:r>
      <w:proofErr w:type="spellStart"/>
      <w:r w:rsidRPr="0009774A">
        <w:rPr>
          <w:rFonts w:ascii="Arial" w:hAnsi="Arial" w:cs="Arial"/>
          <w:b/>
          <w:bCs/>
          <w:sz w:val="20"/>
          <w:szCs w:val="20"/>
        </w:rPr>
        <w:t>Pakcoy</w:t>
      </w:r>
      <w:proofErr w:type="spellEnd"/>
      <w:r w:rsidRPr="0009774A">
        <w:rPr>
          <w:rFonts w:ascii="Arial" w:hAnsi="Arial" w:cs="Arial"/>
          <w:b/>
          <w:bCs/>
          <w:sz w:val="20"/>
          <w:szCs w:val="20"/>
        </w:rPr>
        <w:t>) under Different Liquid Organic Fertilizer (LOF) Concentrations</w:t>
      </w:r>
    </w:p>
    <w:p w14:paraId="0C5F781F" w14:textId="77777777" w:rsidR="00D524B4" w:rsidRPr="0009774A" w:rsidRDefault="00D524B4" w:rsidP="009323A2">
      <w:pPr>
        <w:pStyle w:val="NormalWeb"/>
        <w:spacing w:before="120" w:beforeAutospacing="0" w:after="0" w:afterAutospacing="0" w:line="276" w:lineRule="auto"/>
        <w:jc w:val="both"/>
        <w:rPr>
          <w:rFonts w:ascii="Arial" w:hAnsi="Arial" w:cs="Arial"/>
          <w:sz w:val="20"/>
          <w:szCs w:val="20"/>
        </w:rPr>
      </w:pPr>
      <w:r w:rsidRPr="0009774A">
        <w:rPr>
          <w:rFonts w:ascii="Arial" w:hAnsi="Arial" w:cs="Arial"/>
          <w:sz w:val="20"/>
          <w:szCs w:val="20"/>
        </w:rPr>
        <w:t xml:space="preserve">Plant height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was measured weekly over a four-week period to evaluate the effects of tofu wastewater-based liquid organic fertilizer (LOF) on vegetative growth. The experiment included four treatment groups: a control (0%) and LOF concentrations of 10%, 25%, and 50%, each with three replicates. Measurements were taken to monitor treatment effects across time and identify optimal concentrations for plant height development</w:t>
      </w:r>
    </w:p>
    <w:p w14:paraId="40E4D3DF" w14:textId="77777777" w:rsidR="00D524B4" w:rsidRPr="0009774A" w:rsidRDefault="00D524B4" w:rsidP="008D4478">
      <w:pPr>
        <w:pStyle w:val="NormalWeb"/>
        <w:spacing w:before="0" w:beforeAutospacing="0" w:after="0" w:afterAutospacing="0"/>
        <w:jc w:val="both"/>
        <w:rPr>
          <w:rFonts w:ascii="Arial" w:hAnsi="Arial" w:cs="Arial"/>
          <w:sz w:val="20"/>
          <w:szCs w:val="20"/>
        </w:rPr>
      </w:pPr>
    </w:p>
    <w:p w14:paraId="0BE7909D" w14:textId="4E9414AC" w:rsidR="008D4478" w:rsidRPr="0009774A" w:rsidRDefault="00D524B4" w:rsidP="00921E74">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Table 8. Two-Way ANOVA of Liquid Organic Fertilizer (LOF) Concentration and Observation Time on Plant Height of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w:t>
      </w:r>
      <w:r w:rsidRPr="0009774A">
        <w:rPr>
          <w:rFonts w:ascii="Arial" w:hAnsi="Arial" w:cs="Arial"/>
          <w:i/>
          <w:iCs/>
          <w:sz w:val="20"/>
          <w:szCs w:val="20"/>
        </w:rPr>
        <w:t xml:space="preserve">Brassica </w:t>
      </w:r>
      <w:proofErr w:type="spellStart"/>
      <w:r w:rsidRPr="0009774A">
        <w:rPr>
          <w:rFonts w:ascii="Arial" w:hAnsi="Arial" w:cs="Arial"/>
          <w:i/>
          <w:iCs/>
          <w:sz w:val="20"/>
          <w:szCs w:val="20"/>
        </w:rPr>
        <w:t>rapa</w:t>
      </w:r>
      <w:proofErr w:type="spellEnd"/>
      <w:r w:rsidRPr="0009774A">
        <w:rPr>
          <w:rFonts w:ascii="Arial" w:hAnsi="Arial" w:cs="Arial"/>
          <w:i/>
          <w:iCs/>
          <w:sz w:val="20"/>
          <w:szCs w:val="20"/>
        </w:rPr>
        <w:t xml:space="preserve"> </w:t>
      </w:r>
      <w:r w:rsidRPr="0009774A">
        <w:rPr>
          <w:rFonts w:ascii="Arial" w:hAnsi="Arial" w:cs="Arial"/>
          <w:sz w:val="20"/>
          <w:szCs w:val="20"/>
        </w:rPr>
        <w:t>L.)</w:t>
      </w:r>
    </w:p>
    <w:tbl>
      <w:tblPr>
        <w:tblW w:w="6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384"/>
        <w:gridCol w:w="1020"/>
        <w:gridCol w:w="1774"/>
        <w:gridCol w:w="1020"/>
      </w:tblGrid>
      <w:tr w:rsidR="00396E5D" w:rsidRPr="0009774A" w14:paraId="56C8FD97" w14:textId="77777777" w:rsidTr="00921E74">
        <w:trPr>
          <w:trHeight w:val="285"/>
        </w:trPr>
        <w:tc>
          <w:tcPr>
            <w:tcW w:w="2281" w:type="dxa"/>
            <w:noWrap/>
            <w:vAlign w:val="center"/>
            <w:hideMark/>
          </w:tcPr>
          <w:p w14:paraId="0344F92B" w14:textId="57A30A5F" w:rsidR="00396E5D" w:rsidRPr="0009774A" w:rsidRDefault="00396E5D" w:rsidP="00396E5D">
            <w:pPr>
              <w:spacing w:after="0" w:line="240" w:lineRule="auto"/>
              <w:rPr>
                <w:rFonts w:eastAsia="Times New Roman" w:cs="Arial"/>
                <w:color w:val="000000"/>
                <w:sz w:val="20"/>
                <w:szCs w:val="20"/>
                <w:lang w:eastAsia="en-ID"/>
              </w:rPr>
            </w:pPr>
            <w:r w:rsidRPr="0009774A">
              <w:rPr>
                <w:rFonts w:cs="Arial"/>
                <w:sz w:val="20"/>
                <w:szCs w:val="20"/>
              </w:rPr>
              <w:t>Variation</w:t>
            </w:r>
          </w:p>
        </w:tc>
        <w:tc>
          <w:tcPr>
            <w:tcW w:w="1151" w:type="dxa"/>
            <w:noWrap/>
            <w:vAlign w:val="center"/>
            <w:hideMark/>
          </w:tcPr>
          <w:p w14:paraId="08179515" w14:textId="1F54A6F1" w:rsidR="00396E5D" w:rsidRPr="0009774A" w:rsidRDefault="00396E5D" w:rsidP="00396E5D">
            <w:pPr>
              <w:spacing w:after="0" w:line="240" w:lineRule="auto"/>
              <w:jc w:val="center"/>
              <w:rPr>
                <w:rFonts w:eastAsia="Times New Roman" w:cs="Arial"/>
                <w:color w:val="000000"/>
                <w:sz w:val="20"/>
                <w:szCs w:val="20"/>
                <w:lang w:eastAsia="en-ID"/>
              </w:rPr>
            </w:pPr>
            <w:r w:rsidRPr="0009774A">
              <w:rPr>
                <w:rFonts w:cs="Arial"/>
                <w:sz w:val="20"/>
                <w:szCs w:val="20"/>
              </w:rPr>
              <w:t xml:space="preserve">Sum </w:t>
            </w:r>
            <w:proofErr w:type="spellStart"/>
            <w:r w:rsidRPr="0009774A">
              <w:rPr>
                <w:rFonts w:cs="Arial"/>
                <w:sz w:val="20"/>
                <w:szCs w:val="20"/>
              </w:rPr>
              <w:t>Sq</w:t>
            </w:r>
            <w:proofErr w:type="spellEnd"/>
          </w:p>
        </w:tc>
        <w:tc>
          <w:tcPr>
            <w:tcW w:w="1020" w:type="dxa"/>
            <w:noWrap/>
            <w:vAlign w:val="center"/>
            <w:hideMark/>
          </w:tcPr>
          <w:p w14:paraId="0BBEEB6D" w14:textId="31EA46A2" w:rsidR="00396E5D" w:rsidRPr="0009774A" w:rsidRDefault="00396E5D" w:rsidP="00396E5D">
            <w:pPr>
              <w:spacing w:after="0" w:line="240" w:lineRule="auto"/>
              <w:jc w:val="center"/>
              <w:rPr>
                <w:rFonts w:eastAsia="Times New Roman" w:cs="Arial"/>
                <w:color w:val="000000"/>
                <w:sz w:val="20"/>
                <w:szCs w:val="20"/>
                <w:lang w:eastAsia="en-ID"/>
              </w:rPr>
            </w:pPr>
            <w:r w:rsidRPr="0009774A">
              <w:rPr>
                <w:rFonts w:cs="Arial"/>
                <w:sz w:val="20"/>
                <w:szCs w:val="20"/>
              </w:rPr>
              <w:t>Df</w:t>
            </w:r>
          </w:p>
        </w:tc>
        <w:tc>
          <w:tcPr>
            <w:tcW w:w="1371" w:type="dxa"/>
            <w:noWrap/>
            <w:vAlign w:val="center"/>
            <w:hideMark/>
          </w:tcPr>
          <w:p w14:paraId="365A5FD3" w14:textId="57233A97" w:rsidR="00396E5D" w:rsidRPr="0009774A" w:rsidRDefault="00396E5D" w:rsidP="00396E5D">
            <w:pPr>
              <w:spacing w:after="0" w:line="240" w:lineRule="auto"/>
              <w:jc w:val="center"/>
              <w:rPr>
                <w:rFonts w:eastAsia="Times New Roman" w:cs="Arial"/>
                <w:color w:val="000000"/>
                <w:sz w:val="20"/>
                <w:szCs w:val="20"/>
                <w:lang w:eastAsia="en-ID"/>
              </w:rPr>
            </w:pPr>
            <w:r w:rsidRPr="0009774A">
              <w:rPr>
                <w:rFonts w:cs="Arial"/>
                <w:sz w:val="20"/>
                <w:szCs w:val="20"/>
              </w:rPr>
              <w:t>F</w:t>
            </w:r>
          </w:p>
        </w:tc>
        <w:tc>
          <w:tcPr>
            <w:tcW w:w="1020" w:type="dxa"/>
            <w:noWrap/>
            <w:vAlign w:val="center"/>
            <w:hideMark/>
          </w:tcPr>
          <w:p w14:paraId="441AE4D1" w14:textId="6DE9371A" w:rsidR="00396E5D" w:rsidRPr="0009774A" w:rsidRDefault="00396E5D" w:rsidP="00396E5D">
            <w:pPr>
              <w:spacing w:after="0" w:line="240" w:lineRule="auto"/>
              <w:jc w:val="center"/>
              <w:rPr>
                <w:rFonts w:eastAsia="Times New Roman" w:cs="Arial"/>
                <w:color w:val="000000"/>
                <w:sz w:val="20"/>
                <w:szCs w:val="20"/>
                <w:lang w:eastAsia="en-ID"/>
              </w:rPr>
            </w:pPr>
            <w:r w:rsidRPr="0009774A">
              <w:rPr>
                <w:rFonts w:cs="Arial"/>
                <w:sz w:val="20"/>
                <w:szCs w:val="20"/>
              </w:rPr>
              <w:t>p-value</w:t>
            </w:r>
          </w:p>
        </w:tc>
      </w:tr>
      <w:tr w:rsidR="004E1988" w:rsidRPr="0009774A" w14:paraId="14BD7DE9" w14:textId="77777777" w:rsidTr="009323A2">
        <w:trPr>
          <w:trHeight w:val="43"/>
        </w:trPr>
        <w:tc>
          <w:tcPr>
            <w:tcW w:w="2281" w:type="dxa"/>
            <w:noWrap/>
            <w:vAlign w:val="center"/>
            <w:hideMark/>
          </w:tcPr>
          <w:p w14:paraId="77B5779F" w14:textId="70FEC017"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C(Treatment)</w:t>
            </w:r>
          </w:p>
        </w:tc>
        <w:tc>
          <w:tcPr>
            <w:tcW w:w="1151" w:type="dxa"/>
            <w:noWrap/>
            <w:vAlign w:val="center"/>
            <w:hideMark/>
          </w:tcPr>
          <w:p w14:paraId="07BB12F0" w14:textId="058FCBE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8.435,00</w:t>
            </w:r>
          </w:p>
        </w:tc>
        <w:tc>
          <w:tcPr>
            <w:tcW w:w="1020" w:type="dxa"/>
            <w:noWrap/>
            <w:vAlign w:val="center"/>
            <w:hideMark/>
          </w:tcPr>
          <w:p w14:paraId="2ED2448D" w14:textId="5CC138D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3,00</w:t>
            </w:r>
          </w:p>
        </w:tc>
        <w:tc>
          <w:tcPr>
            <w:tcW w:w="1371" w:type="dxa"/>
            <w:noWrap/>
            <w:vAlign w:val="center"/>
            <w:hideMark/>
          </w:tcPr>
          <w:p w14:paraId="539C9403" w14:textId="5280ED5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4.509.473,00</w:t>
            </w:r>
          </w:p>
        </w:tc>
        <w:tc>
          <w:tcPr>
            <w:tcW w:w="1020" w:type="dxa"/>
            <w:noWrap/>
            <w:vAlign w:val="center"/>
            <w:hideMark/>
          </w:tcPr>
          <w:p w14:paraId="38E7192C" w14:textId="137BE580"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0.000</w:t>
            </w:r>
          </w:p>
        </w:tc>
      </w:tr>
      <w:tr w:rsidR="004E1988" w:rsidRPr="0009774A" w14:paraId="1720BA5D" w14:textId="77777777" w:rsidTr="00921E74">
        <w:trPr>
          <w:trHeight w:val="50"/>
        </w:trPr>
        <w:tc>
          <w:tcPr>
            <w:tcW w:w="2281" w:type="dxa"/>
            <w:noWrap/>
            <w:vAlign w:val="center"/>
            <w:hideMark/>
          </w:tcPr>
          <w:p w14:paraId="44940DB7" w14:textId="52A6F9EB"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C(Week)</w:t>
            </w:r>
          </w:p>
        </w:tc>
        <w:tc>
          <w:tcPr>
            <w:tcW w:w="1151" w:type="dxa"/>
            <w:noWrap/>
            <w:vAlign w:val="center"/>
            <w:hideMark/>
          </w:tcPr>
          <w:p w14:paraId="7EDEF68D" w14:textId="1EBEFC1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3.180.726,00</w:t>
            </w:r>
          </w:p>
        </w:tc>
        <w:tc>
          <w:tcPr>
            <w:tcW w:w="1020" w:type="dxa"/>
            <w:noWrap/>
            <w:vAlign w:val="center"/>
            <w:hideMark/>
          </w:tcPr>
          <w:p w14:paraId="4AA56D97" w14:textId="1B327460"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3,00</w:t>
            </w:r>
          </w:p>
        </w:tc>
        <w:tc>
          <w:tcPr>
            <w:tcW w:w="1371" w:type="dxa"/>
            <w:noWrap/>
            <w:vAlign w:val="center"/>
            <w:hideMark/>
          </w:tcPr>
          <w:p w14:paraId="476A2920" w14:textId="207ED47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1.700.525.100,00</w:t>
            </w:r>
          </w:p>
        </w:tc>
        <w:tc>
          <w:tcPr>
            <w:tcW w:w="1020" w:type="dxa"/>
            <w:noWrap/>
            <w:vAlign w:val="center"/>
            <w:hideMark/>
          </w:tcPr>
          <w:p w14:paraId="4EB88059" w14:textId="743850E2"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0.000</w:t>
            </w:r>
          </w:p>
        </w:tc>
      </w:tr>
      <w:tr w:rsidR="004E1988" w:rsidRPr="0009774A" w14:paraId="7A7C89D8" w14:textId="77777777" w:rsidTr="00921E74">
        <w:trPr>
          <w:trHeight w:val="50"/>
        </w:trPr>
        <w:tc>
          <w:tcPr>
            <w:tcW w:w="2281" w:type="dxa"/>
            <w:noWrap/>
            <w:vAlign w:val="center"/>
            <w:hideMark/>
          </w:tcPr>
          <w:p w14:paraId="5D9A4811" w14:textId="73BBB3AF"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C(Treatment):C(Week)</w:t>
            </w:r>
          </w:p>
        </w:tc>
        <w:tc>
          <w:tcPr>
            <w:tcW w:w="1151" w:type="dxa"/>
            <w:noWrap/>
            <w:vAlign w:val="center"/>
            <w:hideMark/>
          </w:tcPr>
          <w:p w14:paraId="02CB9C8E" w14:textId="5BA841C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121.423,00</w:t>
            </w:r>
          </w:p>
        </w:tc>
        <w:tc>
          <w:tcPr>
            <w:tcW w:w="1020" w:type="dxa"/>
            <w:noWrap/>
            <w:vAlign w:val="center"/>
            <w:hideMark/>
          </w:tcPr>
          <w:p w14:paraId="5841A809" w14:textId="5A8BBE1F"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9,00</w:t>
            </w:r>
          </w:p>
        </w:tc>
        <w:tc>
          <w:tcPr>
            <w:tcW w:w="1371" w:type="dxa"/>
            <w:noWrap/>
            <w:vAlign w:val="center"/>
            <w:hideMark/>
          </w:tcPr>
          <w:p w14:paraId="69D840CE" w14:textId="11186788"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21.638.916,00</w:t>
            </w:r>
          </w:p>
        </w:tc>
        <w:tc>
          <w:tcPr>
            <w:tcW w:w="1020" w:type="dxa"/>
            <w:noWrap/>
            <w:vAlign w:val="center"/>
            <w:hideMark/>
          </w:tcPr>
          <w:p w14:paraId="283B0005" w14:textId="5B525501"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0.000</w:t>
            </w:r>
          </w:p>
        </w:tc>
      </w:tr>
      <w:tr w:rsidR="004E1988" w:rsidRPr="0009774A" w14:paraId="27A5006F" w14:textId="77777777" w:rsidTr="00921E74">
        <w:trPr>
          <w:trHeight w:val="50"/>
        </w:trPr>
        <w:tc>
          <w:tcPr>
            <w:tcW w:w="2281" w:type="dxa"/>
            <w:noWrap/>
            <w:vAlign w:val="center"/>
            <w:hideMark/>
          </w:tcPr>
          <w:p w14:paraId="16C10EFE" w14:textId="461643D6"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Residual</w:t>
            </w:r>
          </w:p>
        </w:tc>
        <w:tc>
          <w:tcPr>
            <w:tcW w:w="1151" w:type="dxa"/>
            <w:noWrap/>
            <w:vAlign w:val="center"/>
            <w:hideMark/>
          </w:tcPr>
          <w:p w14:paraId="0768F2EE" w14:textId="27E6183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0.020</w:t>
            </w:r>
          </w:p>
        </w:tc>
        <w:tc>
          <w:tcPr>
            <w:tcW w:w="1020" w:type="dxa"/>
            <w:noWrap/>
            <w:vAlign w:val="center"/>
            <w:hideMark/>
          </w:tcPr>
          <w:p w14:paraId="603C40F7" w14:textId="20412280"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32,00</w:t>
            </w:r>
          </w:p>
        </w:tc>
        <w:tc>
          <w:tcPr>
            <w:tcW w:w="1371" w:type="dxa"/>
            <w:noWrap/>
            <w:vAlign w:val="center"/>
            <w:hideMark/>
          </w:tcPr>
          <w:p w14:paraId="02953FE4" w14:textId="7B395728"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w:t>
            </w:r>
          </w:p>
        </w:tc>
        <w:tc>
          <w:tcPr>
            <w:tcW w:w="1020" w:type="dxa"/>
            <w:noWrap/>
            <w:vAlign w:val="center"/>
            <w:hideMark/>
          </w:tcPr>
          <w:p w14:paraId="32C0C07B" w14:textId="03EB3292"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w:t>
            </w:r>
          </w:p>
        </w:tc>
      </w:tr>
    </w:tbl>
    <w:p w14:paraId="6153E9EC" w14:textId="77777777" w:rsidR="006C243E" w:rsidRPr="0009774A" w:rsidRDefault="006C243E" w:rsidP="00D85E84">
      <w:pPr>
        <w:pStyle w:val="NormalWeb"/>
        <w:spacing w:before="0" w:beforeAutospacing="0" w:after="0" w:afterAutospacing="0" w:line="276" w:lineRule="auto"/>
        <w:jc w:val="both"/>
        <w:rPr>
          <w:rFonts w:ascii="Arial" w:hAnsi="Arial" w:cs="Arial"/>
          <w:b/>
          <w:bCs/>
          <w:sz w:val="20"/>
          <w:szCs w:val="20"/>
        </w:rPr>
      </w:pPr>
    </w:p>
    <w:p w14:paraId="31AB7ACD" w14:textId="5FDAE5E0" w:rsidR="00847943" w:rsidRPr="0009774A" w:rsidRDefault="00D524B4" w:rsidP="00D524B4">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Two-way ANOVA revealed that LOF concentration, observation week, and their interaction had highly significant effects on the plant height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with p-values </w:t>
      </w:r>
      <w:r w:rsidRPr="0009774A">
        <w:rPr>
          <w:rFonts w:ascii="Arial" w:hAnsi="Arial" w:cs="Arial"/>
          <w:sz w:val="20"/>
          <w:szCs w:val="20"/>
        </w:rPr>
        <w:lastRenderedPageBreak/>
        <w:t xml:space="preserve">&lt; 0.0001. The F-values were 4,509.47 for treatment, 1,700,525.10 for week, and 21,638.92 for the interaction, indicating strong effects from both independent and combined factors. The dominant influence of observation time reflects the plant’s inherent growth progression, while the significant treatment effect highlights the role of LOF dosage in modulating growth rate. The interaction effect further suggests that treatment efficacy varies with developmental stage. Moderate LOF concentrations (10–25%) supported optimal plant height, whereas the 50% concentration showed potential phytotoxic effects. The extremely low residual error (SS = 0.02) underscores the model’s robustness and reinforces the conclusion that precise timing and dosing are critical for sustainable and optimal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growth </w:t>
      </w:r>
      <w:r w:rsidR="009F2F44" w:rsidRPr="0009774A">
        <w:rPr>
          <w:rFonts w:ascii="Arial" w:hAnsi="Arial" w:cs="Arial"/>
          <w:sz w:val="20"/>
          <w:szCs w:val="20"/>
        </w:rPr>
        <w:fldChar w:fldCharType="begin" w:fldLock="1"/>
      </w:r>
      <w:r w:rsidR="00D332B7" w:rsidRPr="0009774A">
        <w:rPr>
          <w:rFonts w:ascii="Arial" w:hAnsi="Arial" w:cs="Arial"/>
          <w:sz w:val="20"/>
          <w:szCs w:val="20"/>
        </w:rPr>
        <w:instrText>ADDIN CSL_CITATION {"citationItems":[{"id":"ITEM-1","itemData":{"author":[{"dropping-particle":"","family":"Budiman","given":"Maman","non-dropping-particle":"","parse-names":false,"suffix":""},{"dropping-particle":"","family":"Partogi","given":"Efraim","non-dropping-particle":"","parse-names":false,"suffix":""},{"dropping-particle":"","family":"Kristi","given":"Ant Ardath","non-dropping-particle":"","parse-names":false,"suffix":""},{"dropping-particle":"","family":"Anggara","given":"Prianka","non-dropping-particle":"","parse-names":false,"suffix":""},{"dropping-particle":"","family":"Aminah","given":"Nina Siti","non-dropping-particle":"","parse-names":false,"suffix":""}],"container-title":"Journal of Mathematical and Fundamental Sciences","id":"ITEM-1","issue":"2","issued":{"date-parts":[["2022"]]},"title":"Study of the Effect of Physical Parameters on Commercial Hydroponics Based on Internet of Things (IoT): A Case Study of Bok Coy Plants (Brassica rapa) and Water Spinach (Ipomoea Aquatica)","type":"article-journal","volume":"54"},"uris":["http://www.mendeley.com/documents/?uuid=a1572634-50aa-4ed8-b5e5-aac992f45f78"]}],"mendeley":{"formattedCitation":"(Budiman &lt;i&gt;et al.&lt;/i&gt;, 2022)","plainTextFormattedCitation":"(Budiman et al., 2022)","previouslyFormattedCitation":"(Budiman &lt;i&gt;et al.&lt;/i&gt;, 2022)"},"properties":{"noteIndex":0},"schema":"https://github.com/citation-style-language/schema/raw/master/csl-citation.json"}</w:instrText>
      </w:r>
      <w:r w:rsidR="009F2F44" w:rsidRPr="0009774A">
        <w:rPr>
          <w:rFonts w:ascii="Arial" w:hAnsi="Arial" w:cs="Arial"/>
          <w:sz w:val="20"/>
          <w:szCs w:val="20"/>
        </w:rPr>
        <w:fldChar w:fldCharType="separate"/>
      </w:r>
      <w:r w:rsidR="009F2F44" w:rsidRPr="0009774A">
        <w:rPr>
          <w:rFonts w:ascii="Arial" w:hAnsi="Arial" w:cs="Arial"/>
          <w:noProof/>
          <w:sz w:val="20"/>
          <w:szCs w:val="20"/>
        </w:rPr>
        <w:t xml:space="preserve">(Budiman </w:t>
      </w:r>
      <w:r w:rsidR="009F2F44" w:rsidRPr="0009774A">
        <w:rPr>
          <w:rFonts w:ascii="Arial" w:hAnsi="Arial" w:cs="Arial"/>
          <w:i/>
          <w:noProof/>
          <w:sz w:val="20"/>
          <w:szCs w:val="20"/>
        </w:rPr>
        <w:t>et al.</w:t>
      </w:r>
      <w:r w:rsidR="009F2F44" w:rsidRPr="0009774A">
        <w:rPr>
          <w:rFonts w:ascii="Arial" w:hAnsi="Arial" w:cs="Arial"/>
          <w:noProof/>
          <w:sz w:val="20"/>
          <w:szCs w:val="20"/>
        </w:rPr>
        <w:t>, 2022)</w:t>
      </w:r>
      <w:r w:rsidR="009F2F44" w:rsidRPr="0009774A">
        <w:rPr>
          <w:rFonts w:ascii="Arial" w:hAnsi="Arial" w:cs="Arial"/>
          <w:sz w:val="20"/>
          <w:szCs w:val="20"/>
        </w:rPr>
        <w:fldChar w:fldCharType="end"/>
      </w:r>
    </w:p>
    <w:p w14:paraId="7C81A3CA" w14:textId="337340A4" w:rsidR="007B7E81" w:rsidRPr="0009774A" w:rsidRDefault="00D524B4" w:rsidP="00D524B4">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Tukey’s Honestly Significant Difference (HSD) test was conducted as a post-hoc analysis following ANOVA to identify specific treatment pairs with statistically significant differences. By comparing mean values across groups while controlling for Type I error, the Tukey HSD test offers a robust interpretation of treatment effects. In this study, it was used to assess differences in the plant height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at each weekly observation, attributable to varying concentrations of tofu wastewater-based liquid organic fertilizer</w:t>
      </w:r>
      <w:r w:rsidR="00736118" w:rsidRPr="0009774A">
        <w:rPr>
          <w:rFonts w:ascii="Arial" w:hAnsi="Arial" w:cs="Arial"/>
          <w:sz w:val="20"/>
          <w:szCs w:val="20"/>
        </w:rPr>
        <w:t>.</w:t>
      </w:r>
    </w:p>
    <w:p w14:paraId="31E58A9B" w14:textId="77777777" w:rsidR="00385D91" w:rsidRPr="0009774A" w:rsidRDefault="00385D91" w:rsidP="00C1038F">
      <w:pPr>
        <w:pStyle w:val="NormalWeb"/>
        <w:spacing w:before="0" w:beforeAutospacing="0" w:after="0" w:afterAutospacing="0" w:line="276" w:lineRule="auto"/>
        <w:jc w:val="both"/>
        <w:rPr>
          <w:rFonts w:ascii="Arial" w:hAnsi="Arial" w:cs="Arial"/>
          <w:sz w:val="20"/>
          <w:szCs w:val="20"/>
        </w:rPr>
      </w:pPr>
    </w:p>
    <w:p w14:paraId="27EAEAF6" w14:textId="466F0B25" w:rsidR="00847943" w:rsidRPr="0009774A" w:rsidRDefault="00D524B4" w:rsidP="00C1038F">
      <w:pPr>
        <w:pStyle w:val="NormalWeb"/>
        <w:spacing w:before="0" w:beforeAutospacing="0" w:after="0" w:afterAutospacing="0" w:line="276" w:lineRule="auto"/>
        <w:jc w:val="both"/>
        <w:rPr>
          <w:rFonts w:ascii="Arial" w:hAnsi="Arial" w:cs="Arial"/>
          <w:b/>
          <w:bCs/>
          <w:sz w:val="20"/>
          <w:szCs w:val="20"/>
        </w:rPr>
      </w:pPr>
      <w:r w:rsidRPr="0009774A">
        <w:rPr>
          <w:rFonts w:ascii="Arial" w:hAnsi="Arial" w:cs="Arial"/>
          <w:sz w:val="20"/>
          <w:szCs w:val="20"/>
        </w:rPr>
        <w:t xml:space="preserve">Table 9. Tukey HSD Test Results for Plant Height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across Treatment and Observation Week Combinations</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1035"/>
        <w:gridCol w:w="808"/>
        <w:gridCol w:w="1020"/>
      </w:tblGrid>
      <w:tr w:rsidR="00847943" w:rsidRPr="0009774A" w14:paraId="744D4A1E" w14:textId="77777777" w:rsidTr="00921E74">
        <w:trPr>
          <w:trHeight w:val="285"/>
        </w:trPr>
        <w:tc>
          <w:tcPr>
            <w:tcW w:w="2127" w:type="dxa"/>
            <w:noWrap/>
            <w:hideMark/>
          </w:tcPr>
          <w:p w14:paraId="1F254095" w14:textId="78650632" w:rsidR="00847943" w:rsidRPr="0009774A" w:rsidRDefault="004E1988" w:rsidP="00847943">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Group1</w:t>
            </w:r>
          </w:p>
        </w:tc>
        <w:tc>
          <w:tcPr>
            <w:tcW w:w="2126" w:type="dxa"/>
            <w:noWrap/>
            <w:hideMark/>
          </w:tcPr>
          <w:p w14:paraId="732B4C3F" w14:textId="146D738C" w:rsidR="00847943" w:rsidRPr="0009774A" w:rsidRDefault="004E1988" w:rsidP="00847943">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Group2</w:t>
            </w:r>
          </w:p>
        </w:tc>
        <w:tc>
          <w:tcPr>
            <w:tcW w:w="1035" w:type="dxa"/>
            <w:noWrap/>
            <w:hideMark/>
          </w:tcPr>
          <w:p w14:paraId="5F190EF6" w14:textId="1F13A6F9" w:rsidR="00847943" w:rsidRPr="0009774A" w:rsidRDefault="004E1988" w:rsidP="00847943">
            <w:pPr>
              <w:spacing w:after="0" w:line="240" w:lineRule="auto"/>
              <w:rPr>
                <w:rFonts w:eastAsia="Times New Roman" w:cs="Arial"/>
                <w:color w:val="000000"/>
                <w:sz w:val="20"/>
                <w:szCs w:val="20"/>
                <w:lang w:eastAsia="en-ID"/>
              </w:rPr>
            </w:pPr>
            <w:proofErr w:type="spellStart"/>
            <w:r w:rsidRPr="0009774A">
              <w:rPr>
                <w:rFonts w:eastAsia="Times New Roman" w:cs="Arial"/>
                <w:color w:val="000000"/>
                <w:sz w:val="20"/>
                <w:szCs w:val="20"/>
                <w:lang w:eastAsia="en-ID"/>
              </w:rPr>
              <w:t>Meandiff</w:t>
            </w:r>
            <w:proofErr w:type="spellEnd"/>
          </w:p>
        </w:tc>
        <w:tc>
          <w:tcPr>
            <w:tcW w:w="808" w:type="dxa"/>
            <w:noWrap/>
            <w:hideMark/>
          </w:tcPr>
          <w:p w14:paraId="5F5FD9CB" w14:textId="79893107" w:rsidR="00847943" w:rsidRPr="0009774A" w:rsidRDefault="004E1988" w:rsidP="00847943">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w:t>
            </w:r>
            <w:proofErr w:type="spellStart"/>
            <w:r w:rsidRPr="0009774A">
              <w:rPr>
                <w:rFonts w:eastAsia="Times New Roman" w:cs="Arial"/>
                <w:color w:val="000000"/>
                <w:sz w:val="20"/>
                <w:szCs w:val="20"/>
                <w:lang w:eastAsia="en-ID"/>
              </w:rPr>
              <w:t>adj</w:t>
            </w:r>
            <w:proofErr w:type="spellEnd"/>
          </w:p>
        </w:tc>
        <w:tc>
          <w:tcPr>
            <w:tcW w:w="1020" w:type="dxa"/>
            <w:noWrap/>
            <w:hideMark/>
          </w:tcPr>
          <w:p w14:paraId="7B332632" w14:textId="60269CA8" w:rsidR="00847943" w:rsidRPr="0009774A" w:rsidRDefault="004E1988" w:rsidP="00847943">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Reject</w:t>
            </w:r>
          </w:p>
        </w:tc>
      </w:tr>
      <w:tr w:rsidR="004E1988" w:rsidRPr="0009774A" w14:paraId="4CDA7311" w14:textId="77777777" w:rsidTr="00921E74">
        <w:trPr>
          <w:trHeight w:val="35"/>
        </w:trPr>
        <w:tc>
          <w:tcPr>
            <w:tcW w:w="2127" w:type="dxa"/>
            <w:noWrap/>
            <w:vAlign w:val="bottom"/>
            <w:hideMark/>
          </w:tcPr>
          <w:p w14:paraId="542147C6"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1BCB5FE8"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2</w:t>
            </w:r>
          </w:p>
        </w:tc>
        <w:tc>
          <w:tcPr>
            <w:tcW w:w="1035" w:type="dxa"/>
            <w:noWrap/>
            <w:vAlign w:val="center"/>
            <w:hideMark/>
          </w:tcPr>
          <w:p w14:paraId="642B0D1D" w14:textId="6CA74E54"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1,040</w:t>
            </w:r>
          </w:p>
        </w:tc>
        <w:tc>
          <w:tcPr>
            <w:tcW w:w="808" w:type="dxa"/>
            <w:noWrap/>
            <w:vAlign w:val="center"/>
            <w:hideMark/>
          </w:tcPr>
          <w:p w14:paraId="62A2F676" w14:textId="461FFB37"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20D60069"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7A7AF614" w14:textId="77777777" w:rsidTr="00921E74">
        <w:trPr>
          <w:trHeight w:val="50"/>
        </w:trPr>
        <w:tc>
          <w:tcPr>
            <w:tcW w:w="2127" w:type="dxa"/>
            <w:noWrap/>
            <w:vAlign w:val="bottom"/>
            <w:hideMark/>
          </w:tcPr>
          <w:p w14:paraId="737D327B"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5069AB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3</w:t>
            </w:r>
          </w:p>
        </w:tc>
        <w:tc>
          <w:tcPr>
            <w:tcW w:w="1035" w:type="dxa"/>
            <w:noWrap/>
            <w:vAlign w:val="center"/>
            <w:hideMark/>
          </w:tcPr>
          <w:p w14:paraId="09690B1D" w14:textId="01467383"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10,937</w:t>
            </w:r>
          </w:p>
        </w:tc>
        <w:tc>
          <w:tcPr>
            <w:tcW w:w="808" w:type="dxa"/>
            <w:noWrap/>
            <w:vAlign w:val="center"/>
            <w:hideMark/>
          </w:tcPr>
          <w:p w14:paraId="1DDBFB5A" w14:textId="11E2F284"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1B467ECB"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328C74EF" w14:textId="77777777" w:rsidTr="00921E74">
        <w:trPr>
          <w:trHeight w:val="50"/>
        </w:trPr>
        <w:tc>
          <w:tcPr>
            <w:tcW w:w="2127" w:type="dxa"/>
            <w:noWrap/>
            <w:vAlign w:val="bottom"/>
            <w:hideMark/>
          </w:tcPr>
          <w:p w14:paraId="5A3F5047"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49F7AD1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1035" w:type="dxa"/>
            <w:noWrap/>
            <w:vAlign w:val="center"/>
            <w:hideMark/>
          </w:tcPr>
          <w:p w14:paraId="3DB89B35" w14:textId="70D04E7E"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17,840</w:t>
            </w:r>
          </w:p>
        </w:tc>
        <w:tc>
          <w:tcPr>
            <w:tcW w:w="808" w:type="dxa"/>
            <w:noWrap/>
            <w:vAlign w:val="center"/>
            <w:hideMark/>
          </w:tcPr>
          <w:p w14:paraId="6E271525" w14:textId="3F22713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6C6324EC"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2D7171C5" w14:textId="77777777" w:rsidTr="00921E74">
        <w:trPr>
          <w:trHeight w:val="50"/>
        </w:trPr>
        <w:tc>
          <w:tcPr>
            <w:tcW w:w="2127" w:type="dxa"/>
            <w:noWrap/>
            <w:vAlign w:val="bottom"/>
            <w:hideMark/>
          </w:tcPr>
          <w:p w14:paraId="516ED0C3"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34B9DD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1</w:t>
            </w:r>
          </w:p>
        </w:tc>
        <w:tc>
          <w:tcPr>
            <w:tcW w:w="1035" w:type="dxa"/>
            <w:noWrap/>
            <w:vAlign w:val="center"/>
            <w:hideMark/>
          </w:tcPr>
          <w:p w14:paraId="26F1E74A" w14:textId="6B17A8F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-1,387</w:t>
            </w:r>
          </w:p>
        </w:tc>
        <w:tc>
          <w:tcPr>
            <w:tcW w:w="808" w:type="dxa"/>
            <w:noWrap/>
            <w:vAlign w:val="center"/>
            <w:hideMark/>
          </w:tcPr>
          <w:p w14:paraId="2942DA9A" w14:textId="5938998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04C8FBD3"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15A0FEB3" w14:textId="77777777" w:rsidTr="00921E74">
        <w:trPr>
          <w:trHeight w:val="50"/>
        </w:trPr>
        <w:tc>
          <w:tcPr>
            <w:tcW w:w="2127" w:type="dxa"/>
            <w:noWrap/>
            <w:vAlign w:val="bottom"/>
            <w:hideMark/>
          </w:tcPr>
          <w:p w14:paraId="74265B2B"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7E848132"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2</w:t>
            </w:r>
          </w:p>
        </w:tc>
        <w:tc>
          <w:tcPr>
            <w:tcW w:w="1035" w:type="dxa"/>
            <w:noWrap/>
            <w:vAlign w:val="center"/>
            <w:hideMark/>
          </w:tcPr>
          <w:p w14:paraId="3C5D4FAE" w14:textId="51FF2E78"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1,337</w:t>
            </w:r>
          </w:p>
        </w:tc>
        <w:tc>
          <w:tcPr>
            <w:tcW w:w="808" w:type="dxa"/>
            <w:noWrap/>
            <w:vAlign w:val="center"/>
            <w:hideMark/>
          </w:tcPr>
          <w:p w14:paraId="62C68B11" w14:textId="21AD2E1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75D2089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7E505B9D" w14:textId="77777777" w:rsidTr="00921E74">
        <w:trPr>
          <w:trHeight w:val="50"/>
        </w:trPr>
        <w:tc>
          <w:tcPr>
            <w:tcW w:w="2127" w:type="dxa"/>
            <w:noWrap/>
            <w:vAlign w:val="bottom"/>
            <w:hideMark/>
          </w:tcPr>
          <w:p w14:paraId="5C57CB27"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F1984DD"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1035" w:type="dxa"/>
            <w:noWrap/>
            <w:vAlign w:val="center"/>
            <w:hideMark/>
          </w:tcPr>
          <w:p w14:paraId="010AE922" w14:textId="6D2D947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12,047</w:t>
            </w:r>
          </w:p>
        </w:tc>
        <w:tc>
          <w:tcPr>
            <w:tcW w:w="808" w:type="dxa"/>
            <w:noWrap/>
            <w:vAlign w:val="center"/>
            <w:hideMark/>
          </w:tcPr>
          <w:p w14:paraId="1A9E5E79" w14:textId="5A907D4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489B066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28FAC27C" w14:textId="77777777" w:rsidTr="00921E74">
        <w:trPr>
          <w:trHeight w:val="50"/>
        </w:trPr>
        <w:tc>
          <w:tcPr>
            <w:tcW w:w="2127" w:type="dxa"/>
            <w:noWrap/>
            <w:vAlign w:val="bottom"/>
            <w:hideMark/>
          </w:tcPr>
          <w:p w14:paraId="6BD78A2C"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46DCA8CE"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1035" w:type="dxa"/>
            <w:noWrap/>
            <w:vAlign w:val="center"/>
            <w:hideMark/>
          </w:tcPr>
          <w:p w14:paraId="1A44B331" w14:textId="06BAF37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16,040</w:t>
            </w:r>
          </w:p>
        </w:tc>
        <w:tc>
          <w:tcPr>
            <w:tcW w:w="808" w:type="dxa"/>
            <w:noWrap/>
            <w:vAlign w:val="center"/>
            <w:hideMark/>
          </w:tcPr>
          <w:p w14:paraId="589B15CC" w14:textId="3483632E"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50A01963"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6BBA5BA6" w14:textId="77777777" w:rsidTr="00921E74">
        <w:trPr>
          <w:trHeight w:val="50"/>
        </w:trPr>
        <w:tc>
          <w:tcPr>
            <w:tcW w:w="2127" w:type="dxa"/>
            <w:noWrap/>
            <w:vAlign w:val="bottom"/>
            <w:hideMark/>
          </w:tcPr>
          <w:p w14:paraId="3703C885"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7305602"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1</w:t>
            </w:r>
          </w:p>
        </w:tc>
        <w:tc>
          <w:tcPr>
            <w:tcW w:w="1035" w:type="dxa"/>
            <w:noWrap/>
            <w:vAlign w:val="center"/>
            <w:hideMark/>
          </w:tcPr>
          <w:p w14:paraId="04604D57" w14:textId="78A1E9CE"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-3,667</w:t>
            </w:r>
          </w:p>
        </w:tc>
        <w:tc>
          <w:tcPr>
            <w:tcW w:w="808" w:type="dxa"/>
            <w:noWrap/>
            <w:vAlign w:val="center"/>
            <w:hideMark/>
          </w:tcPr>
          <w:p w14:paraId="7D83C86F" w14:textId="11FE5F3F"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43AD559E"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310D5AFE" w14:textId="77777777" w:rsidTr="00921E74">
        <w:trPr>
          <w:trHeight w:val="45"/>
        </w:trPr>
        <w:tc>
          <w:tcPr>
            <w:tcW w:w="2127" w:type="dxa"/>
            <w:noWrap/>
            <w:vAlign w:val="bottom"/>
            <w:hideMark/>
          </w:tcPr>
          <w:p w14:paraId="675AD38F"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2272F04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2</w:t>
            </w:r>
          </w:p>
        </w:tc>
        <w:tc>
          <w:tcPr>
            <w:tcW w:w="1035" w:type="dxa"/>
            <w:noWrap/>
            <w:vAlign w:val="center"/>
            <w:hideMark/>
          </w:tcPr>
          <w:p w14:paraId="2E790A78" w14:textId="0D1F410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-3,459</w:t>
            </w:r>
          </w:p>
        </w:tc>
        <w:tc>
          <w:tcPr>
            <w:tcW w:w="808" w:type="dxa"/>
            <w:noWrap/>
            <w:vAlign w:val="center"/>
            <w:hideMark/>
          </w:tcPr>
          <w:p w14:paraId="74937149" w14:textId="3BB96C8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576DF99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r w:rsidR="004E1988" w:rsidRPr="0009774A" w14:paraId="5463EDF6" w14:textId="77777777" w:rsidTr="00921E74">
        <w:trPr>
          <w:trHeight w:val="50"/>
        </w:trPr>
        <w:tc>
          <w:tcPr>
            <w:tcW w:w="2127" w:type="dxa"/>
            <w:noWrap/>
            <w:vAlign w:val="bottom"/>
            <w:hideMark/>
          </w:tcPr>
          <w:p w14:paraId="68689824"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0FA17D11"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3</w:t>
            </w:r>
          </w:p>
        </w:tc>
        <w:tc>
          <w:tcPr>
            <w:tcW w:w="1035" w:type="dxa"/>
            <w:noWrap/>
            <w:vAlign w:val="center"/>
            <w:hideMark/>
          </w:tcPr>
          <w:p w14:paraId="41479C70" w14:textId="580519AB"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16,350</w:t>
            </w:r>
          </w:p>
        </w:tc>
        <w:tc>
          <w:tcPr>
            <w:tcW w:w="808" w:type="dxa"/>
            <w:noWrap/>
            <w:vAlign w:val="center"/>
            <w:hideMark/>
          </w:tcPr>
          <w:p w14:paraId="7349556B" w14:textId="369F8DA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0,000</w:t>
            </w:r>
          </w:p>
        </w:tc>
        <w:tc>
          <w:tcPr>
            <w:tcW w:w="1020" w:type="dxa"/>
            <w:noWrap/>
            <w:vAlign w:val="bottom"/>
            <w:hideMark/>
          </w:tcPr>
          <w:p w14:paraId="5F5ED6D1"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TRUE</w:t>
            </w:r>
          </w:p>
        </w:tc>
      </w:tr>
    </w:tbl>
    <w:p w14:paraId="555B4093" w14:textId="77777777" w:rsidR="008D4478" w:rsidRPr="0009774A" w:rsidRDefault="008D4478" w:rsidP="007B7E81">
      <w:pPr>
        <w:pStyle w:val="NormalWeb"/>
        <w:spacing w:before="0" w:beforeAutospacing="0" w:after="0" w:afterAutospacing="0" w:line="276" w:lineRule="auto"/>
        <w:jc w:val="center"/>
        <w:rPr>
          <w:rFonts w:ascii="Arial" w:hAnsi="Arial" w:cs="Arial"/>
          <w:b/>
          <w:bCs/>
          <w:sz w:val="20"/>
          <w:szCs w:val="20"/>
        </w:rPr>
      </w:pPr>
    </w:p>
    <w:p w14:paraId="49407FD9" w14:textId="77777777" w:rsidR="008D4478" w:rsidRPr="0009774A" w:rsidRDefault="008D4478" w:rsidP="007B7E81">
      <w:pPr>
        <w:pStyle w:val="NormalWeb"/>
        <w:spacing w:before="0" w:beforeAutospacing="0" w:after="0" w:afterAutospacing="0" w:line="276" w:lineRule="auto"/>
        <w:jc w:val="center"/>
        <w:rPr>
          <w:rFonts w:ascii="Arial" w:hAnsi="Arial" w:cs="Arial"/>
          <w:b/>
          <w:bCs/>
          <w:sz w:val="20"/>
          <w:szCs w:val="20"/>
        </w:rPr>
      </w:pPr>
    </w:p>
    <w:p w14:paraId="72A1F307" w14:textId="28C92FEE" w:rsidR="00847943" w:rsidRPr="0009774A" w:rsidRDefault="007B7E81" w:rsidP="007B7E81">
      <w:pPr>
        <w:pStyle w:val="NormalWeb"/>
        <w:spacing w:before="0" w:beforeAutospacing="0" w:after="0" w:afterAutospacing="0" w:line="276" w:lineRule="auto"/>
        <w:jc w:val="center"/>
        <w:rPr>
          <w:rFonts w:ascii="Arial" w:hAnsi="Arial" w:cs="Arial"/>
          <w:b/>
          <w:bCs/>
          <w:sz w:val="20"/>
          <w:szCs w:val="20"/>
        </w:rPr>
      </w:pPr>
      <w:r w:rsidRPr="0009774A">
        <w:rPr>
          <w:rFonts w:ascii="Arial" w:hAnsi="Arial" w:cs="Arial"/>
          <w:noProof/>
          <w:sz w:val="20"/>
          <w:szCs w:val="20"/>
        </w:rPr>
        <w:drawing>
          <wp:inline distT="0" distB="0" distL="0" distR="0" wp14:anchorId="56632FFF" wp14:editId="5DD9DEDE">
            <wp:extent cx="3700772" cy="2297724"/>
            <wp:effectExtent l="0" t="0" r="0" b="7620"/>
            <wp:docPr id="1" name="Picture 1" descr="Keluaran gam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luaran gamba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17148" cy="2307891"/>
                    </a:xfrm>
                    <a:prstGeom prst="rect">
                      <a:avLst/>
                    </a:prstGeom>
                    <a:noFill/>
                    <a:ln>
                      <a:noFill/>
                    </a:ln>
                  </pic:spPr>
                </pic:pic>
              </a:graphicData>
            </a:graphic>
          </wp:inline>
        </w:drawing>
      </w:r>
    </w:p>
    <w:p w14:paraId="2A6EAA5A" w14:textId="49864CE0" w:rsidR="00385D91" w:rsidRPr="0009774A" w:rsidRDefault="00D524B4" w:rsidP="00921E74">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Figure 4. Polynomial Regression of Plant Height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under Different Liquid Organic Fertilizer (LOF) Concentrations</w:t>
      </w:r>
    </w:p>
    <w:p w14:paraId="04793B28" w14:textId="257553F9" w:rsidR="004547CB" w:rsidRPr="0009774A" w:rsidRDefault="00B82919" w:rsidP="009323A2">
      <w:pPr>
        <w:pStyle w:val="NormalWeb"/>
        <w:tabs>
          <w:tab w:val="left" w:pos="5103"/>
        </w:tabs>
        <w:spacing w:before="120" w:beforeAutospacing="0" w:after="120" w:afterAutospacing="0" w:line="276" w:lineRule="auto"/>
        <w:jc w:val="both"/>
        <w:rPr>
          <w:rFonts w:ascii="Arial" w:hAnsi="Arial" w:cs="Arial"/>
          <w:sz w:val="20"/>
          <w:szCs w:val="20"/>
        </w:rPr>
      </w:pPr>
      <w:r w:rsidRPr="0009774A">
        <w:rPr>
          <w:rFonts w:ascii="Arial" w:hAnsi="Arial" w:cs="Arial"/>
          <w:sz w:val="20"/>
          <w:szCs w:val="20"/>
        </w:rPr>
        <w:lastRenderedPageBreak/>
        <w:t xml:space="preserve">The polynomial regression analysis illustrates the growth dynamics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plant height over a four-week period under varying concentrations of tofu wastewater-based liquid organic fertilizer (LOF). All treatments followed second-order polynomial trends with high R² values, indicating excellent model fit and capturing the non-linear nature of vertical growth. Each data point represents the mean of three replicates, ensuring statistical reliability. The control (P) exhibited steady but slow growth, while the 10% LOF treatment (P1) showed consistent gains throughout. The 25% treatment (P2) demonstrated the most optimal trajectory, with significant height increases in weeks 2 and 3, as reflected in the regression equation y = 0.3174x² + 4.7118x + 4.5122. In contrast, the 50% treatment (P3) showed rapid early growth but stagnated in week 4, indicated by its negative quadratic coefficient (–</w:t>
      </w:r>
      <w:r w:rsidR="007F2D53" w:rsidRPr="0009774A">
        <w:rPr>
          <w:rFonts w:ascii="Arial" w:hAnsi="Arial" w:cs="Arial"/>
          <w:sz w:val="20"/>
          <w:szCs w:val="20"/>
        </w:rPr>
        <w:t xml:space="preserve"> </w:t>
      </w:r>
      <w:r w:rsidRPr="0009774A">
        <w:rPr>
          <w:rFonts w:ascii="Arial" w:hAnsi="Arial" w:cs="Arial"/>
          <w:sz w:val="20"/>
          <w:szCs w:val="20"/>
        </w:rPr>
        <w:t xml:space="preserve">0.0527), suggesting possible phytotoxic effects from nutrient oversaturation. These trends highlight the interaction between nutrient availability and growth stage, reinforcing the importance of timing and dosage in fertilization strategies. Physiological responses across treatments underscore that moderate LOF concentrations stimulate vegetative development, whereas excessive doses may hinder growth. Based on growth curves, physiological consistency, and absence of stress symptoms, the 25% LOF treatment (P2) is identified as the most effective, sustainable, and growth-adaptive option for enhancing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height, supporting its application in circular agriculture systems</w:t>
      </w:r>
    </w:p>
    <w:p w14:paraId="087E2B0F" w14:textId="21FAE9C9" w:rsidR="003C784C" w:rsidRPr="0009774A" w:rsidRDefault="00B82919" w:rsidP="009323A2">
      <w:pPr>
        <w:pStyle w:val="NormalWeb"/>
        <w:numPr>
          <w:ilvl w:val="0"/>
          <w:numId w:val="25"/>
        </w:numPr>
        <w:tabs>
          <w:tab w:val="left" w:pos="5103"/>
        </w:tabs>
        <w:spacing w:before="120" w:beforeAutospacing="0" w:after="120" w:afterAutospacing="0" w:line="276" w:lineRule="auto"/>
        <w:ind w:left="426" w:hanging="426"/>
        <w:jc w:val="both"/>
        <w:rPr>
          <w:rFonts w:ascii="Arial" w:hAnsi="Arial" w:cs="Arial"/>
          <w:b/>
          <w:bCs/>
          <w:sz w:val="20"/>
          <w:szCs w:val="20"/>
        </w:rPr>
      </w:pPr>
      <w:r w:rsidRPr="0009774A">
        <w:rPr>
          <w:rFonts w:ascii="Arial" w:hAnsi="Arial" w:cs="Arial"/>
          <w:b/>
          <w:bCs/>
          <w:sz w:val="20"/>
          <w:szCs w:val="20"/>
        </w:rPr>
        <w:t xml:space="preserve">Analysis of Leaf Number in </w:t>
      </w:r>
      <w:r w:rsidRPr="0009774A">
        <w:rPr>
          <w:rFonts w:ascii="Arial" w:hAnsi="Arial" w:cs="Arial"/>
          <w:b/>
          <w:bCs/>
          <w:i/>
          <w:iCs/>
          <w:sz w:val="20"/>
          <w:szCs w:val="20"/>
        </w:rPr>
        <w:t xml:space="preserve">Brassica rapa </w:t>
      </w:r>
      <w:r w:rsidRPr="0009774A">
        <w:rPr>
          <w:rFonts w:ascii="Arial" w:hAnsi="Arial" w:cs="Arial"/>
          <w:b/>
          <w:bCs/>
          <w:sz w:val="20"/>
          <w:szCs w:val="20"/>
        </w:rPr>
        <w:t>L. (</w:t>
      </w:r>
      <w:proofErr w:type="spellStart"/>
      <w:r w:rsidRPr="0009774A">
        <w:rPr>
          <w:rFonts w:ascii="Arial" w:hAnsi="Arial" w:cs="Arial"/>
          <w:b/>
          <w:bCs/>
          <w:sz w:val="20"/>
          <w:szCs w:val="20"/>
        </w:rPr>
        <w:t>Pakcoy</w:t>
      </w:r>
      <w:proofErr w:type="spellEnd"/>
      <w:r w:rsidRPr="0009774A">
        <w:rPr>
          <w:rFonts w:ascii="Arial" w:hAnsi="Arial" w:cs="Arial"/>
          <w:b/>
          <w:bCs/>
          <w:sz w:val="20"/>
          <w:szCs w:val="20"/>
        </w:rPr>
        <w:t>) under Different Liquid Organic Fertilizer (LOF) Concentrations</w:t>
      </w:r>
      <w:r w:rsidR="00736118" w:rsidRPr="0009774A">
        <w:rPr>
          <w:rFonts w:ascii="Arial" w:hAnsi="Arial" w:cs="Arial"/>
          <w:b/>
          <w:bCs/>
          <w:sz w:val="20"/>
          <w:szCs w:val="20"/>
        </w:rPr>
        <w:t>)</w:t>
      </w:r>
    </w:p>
    <w:p w14:paraId="3FCF67BE" w14:textId="70A04253" w:rsidR="00F04C56" w:rsidRPr="0009774A" w:rsidRDefault="00B82919" w:rsidP="009323A2">
      <w:pPr>
        <w:pStyle w:val="NormalWeb"/>
        <w:spacing w:before="120" w:beforeAutospacing="0" w:after="120" w:afterAutospacing="0" w:line="276" w:lineRule="auto"/>
        <w:jc w:val="both"/>
        <w:rPr>
          <w:rStyle w:val="Strong"/>
          <w:rFonts w:ascii="Arial" w:hAnsi="Arial" w:cs="Arial"/>
          <w:sz w:val="20"/>
          <w:szCs w:val="20"/>
        </w:rPr>
      </w:pPr>
      <w:r w:rsidRPr="0009774A">
        <w:rPr>
          <w:rStyle w:val="Strong"/>
          <w:rFonts w:ascii="Arial" w:hAnsi="Arial" w:cs="Arial"/>
          <w:b w:val="0"/>
          <w:bCs w:val="0"/>
          <w:sz w:val="20"/>
          <w:szCs w:val="20"/>
        </w:rPr>
        <w:t xml:space="preserve">Leaf number is a key morphological indicator of vegetative growth in leafy crops such as </w:t>
      </w:r>
      <w:r w:rsidRPr="0009774A">
        <w:rPr>
          <w:rStyle w:val="Strong"/>
          <w:rFonts w:ascii="Arial" w:hAnsi="Arial" w:cs="Arial"/>
          <w:b w:val="0"/>
          <w:bCs w:val="0"/>
          <w:i/>
          <w:iCs/>
          <w:sz w:val="20"/>
          <w:szCs w:val="20"/>
        </w:rPr>
        <w:t>Brassica rapa L.</w:t>
      </w:r>
      <w:r w:rsidRPr="0009774A">
        <w:rPr>
          <w:rStyle w:val="Strong"/>
          <w:rFonts w:ascii="Arial" w:hAnsi="Arial" w:cs="Arial"/>
          <w:b w:val="0"/>
          <w:bCs w:val="0"/>
          <w:sz w:val="20"/>
          <w:szCs w:val="20"/>
        </w:rPr>
        <w:t xml:space="preserve"> (</w:t>
      </w:r>
      <w:proofErr w:type="spellStart"/>
      <w:r w:rsidRPr="0009774A">
        <w:rPr>
          <w:rStyle w:val="Strong"/>
          <w:rFonts w:ascii="Arial" w:hAnsi="Arial" w:cs="Arial"/>
          <w:b w:val="0"/>
          <w:bCs w:val="0"/>
          <w:sz w:val="20"/>
          <w:szCs w:val="20"/>
        </w:rPr>
        <w:t>pakcoy</w:t>
      </w:r>
      <w:proofErr w:type="spellEnd"/>
      <w:r w:rsidRPr="0009774A">
        <w:rPr>
          <w:rStyle w:val="Strong"/>
          <w:rFonts w:ascii="Arial" w:hAnsi="Arial" w:cs="Arial"/>
          <w:b w:val="0"/>
          <w:bCs w:val="0"/>
          <w:sz w:val="20"/>
          <w:szCs w:val="20"/>
        </w:rPr>
        <w:t>). This study evaluated the effects of tofu wastewater-based liquid organic fertilizer (LOF) applied at varying concentrations over a four-week period. The aim was to assess the plant’s physiological and morphological responses to differential nutrient input during early growth. Weekly observations were conducted to quantify changes in leaf number, providing empirical insights for optimizing organic fertilization strategies in sustainable horticultural practices</w:t>
      </w:r>
    </w:p>
    <w:p w14:paraId="53DBC9EE" w14:textId="2A3BA31C" w:rsidR="00D4277B" w:rsidRPr="0009774A" w:rsidRDefault="00F04C56" w:rsidP="00921E74">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Table 10. Effects of Liquid Organic Fertilizer Concentration and Observation Time on Leaf Number in </w:t>
      </w:r>
      <w:r w:rsidRPr="0009774A">
        <w:rPr>
          <w:rFonts w:ascii="Arial" w:hAnsi="Arial" w:cs="Arial"/>
          <w:i/>
          <w:iCs/>
          <w:sz w:val="20"/>
          <w:szCs w:val="20"/>
        </w:rPr>
        <w:t>Brassica rapa</w:t>
      </w:r>
      <w:r w:rsidRPr="0009774A">
        <w:rPr>
          <w:rFonts w:ascii="Arial" w:hAnsi="Arial" w:cs="Arial"/>
          <w:sz w:val="20"/>
          <w:szCs w:val="20"/>
        </w:rPr>
        <w:t xml:space="preserve"> L. (</w:t>
      </w:r>
      <w:proofErr w:type="spellStart"/>
      <w:r w:rsidRPr="0009774A">
        <w:rPr>
          <w:rFonts w:ascii="Arial" w:hAnsi="Arial" w:cs="Arial"/>
          <w:sz w:val="20"/>
          <w:szCs w:val="20"/>
        </w:rPr>
        <w:t>Pakcoy</w:t>
      </w:r>
      <w:proofErr w:type="spellEnd"/>
      <w:r w:rsidRPr="0009774A">
        <w:rPr>
          <w:rFonts w:ascii="Arial" w:hAnsi="Arial" w:cs="Arial"/>
          <w:sz w:val="20"/>
          <w:szCs w:val="20"/>
        </w:rPr>
        <w:t>): Two-Way ANOVA Results</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118"/>
        <w:gridCol w:w="606"/>
        <w:gridCol w:w="1662"/>
        <w:gridCol w:w="965"/>
      </w:tblGrid>
      <w:tr w:rsidR="00F04C56" w:rsidRPr="0009774A" w14:paraId="7803094E" w14:textId="77777777" w:rsidTr="008B74DC">
        <w:trPr>
          <w:trHeight w:val="119"/>
          <w:jc w:val="center"/>
        </w:trPr>
        <w:tc>
          <w:tcPr>
            <w:tcW w:w="2835" w:type="dxa"/>
            <w:hideMark/>
          </w:tcPr>
          <w:p w14:paraId="0948B13F" w14:textId="0DF63795" w:rsidR="00F04C56" w:rsidRPr="0009774A" w:rsidRDefault="00F04C56" w:rsidP="00F04C56">
            <w:pPr>
              <w:spacing w:after="0" w:line="240" w:lineRule="auto"/>
              <w:rPr>
                <w:rFonts w:eastAsia="Times New Roman" w:cs="Arial"/>
                <w:color w:val="000000"/>
                <w:sz w:val="20"/>
                <w:szCs w:val="20"/>
                <w:lang w:eastAsia="en-ID"/>
              </w:rPr>
            </w:pPr>
            <w:r w:rsidRPr="0009774A">
              <w:rPr>
                <w:rFonts w:cs="Arial"/>
                <w:sz w:val="20"/>
                <w:szCs w:val="20"/>
              </w:rPr>
              <w:t>Variation</w:t>
            </w:r>
          </w:p>
        </w:tc>
        <w:tc>
          <w:tcPr>
            <w:tcW w:w="2127" w:type="dxa"/>
            <w:vAlign w:val="center"/>
            <w:hideMark/>
          </w:tcPr>
          <w:p w14:paraId="44C46A65" w14:textId="2E6EA329" w:rsidR="00F04C56" w:rsidRPr="0009774A" w:rsidRDefault="00F04C56" w:rsidP="00F04C5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Sum of Squares (SS)</w:t>
            </w:r>
          </w:p>
        </w:tc>
        <w:tc>
          <w:tcPr>
            <w:tcW w:w="601" w:type="dxa"/>
            <w:vAlign w:val="center"/>
            <w:hideMark/>
          </w:tcPr>
          <w:p w14:paraId="3E327A7C" w14:textId="77777777" w:rsidR="00F04C56" w:rsidRPr="0009774A" w:rsidRDefault="00F04C56" w:rsidP="00F04C5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df</w:t>
            </w:r>
          </w:p>
        </w:tc>
        <w:tc>
          <w:tcPr>
            <w:tcW w:w="1646" w:type="dxa"/>
            <w:vAlign w:val="center"/>
            <w:hideMark/>
          </w:tcPr>
          <w:p w14:paraId="3191C010" w14:textId="37990AE6" w:rsidR="00F04C56" w:rsidRPr="0009774A" w:rsidRDefault="00F04C56"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F-value</w:t>
            </w:r>
          </w:p>
        </w:tc>
        <w:tc>
          <w:tcPr>
            <w:tcW w:w="966" w:type="dxa"/>
            <w:vAlign w:val="center"/>
            <w:hideMark/>
          </w:tcPr>
          <w:p w14:paraId="3F81F78F" w14:textId="77777777" w:rsidR="00F04C56" w:rsidRPr="0009774A" w:rsidRDefault="00F04C56" w:rsidP="00F04C56">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p-value</w:t>
            </w:r>
          </w:p>
        </w:tc>
      </w:tr>
      <w:tr w:rsidR="004E1988" w:rsidRPr="0009774A" w14:paraId="1C0572A7" w14:textId="77777777" w:rsidTr="008B74DC">
        <w:trPr>
          <w:trHeight w:val="42"/>
          <w:jc w:val="center"/>
        </w:trPr>
        <w:tc>
          <w:tcPr>
            <w:tcW w:w="2835" w:type="dxa"/>
            <w:hideMark/>
          </w:tcPr>
          <w:p w14:paraId="2788E5CE" w14:textId="70E7B990"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Treatment</w:t>
            </w:r>
          </w:p>
        </w:tc>
        <w:tc>
          <w:tcPr>
            <w:tcW w:w="2127" w:type="dxa"/>
            <w:vAlign w:val="center"/>
            <w:hideMark/>
          </w:tcPr>
          <w:p w14:paraId="49E4DC0A" w14:textId="0DC700A0"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131.478,0</w:t>
            </w:r>
          </w:p>
        </w:tc>
        <w:tc>
          <w:tcPr>
            <w:tcW w:w="601" w:type="dxa"/>
            <w:vAlign w:val="center"/>
            <w:hideMark/>
          </w:tcPr>
          <w:p w14:paraId="6BDA3B0E" w14:textId="23C5D13E"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3,0</w:t>
            </w:r>
          </w:p>
        </w:tc>
        <w:tc>
          <w:tcPr>
            <w:tcW w:w="1646" w:type="dxa"/>
            <w:vAlign w:val="center"/>
            <w:hideMark/>
          </w:tcPr>
          <w:p w14:paraId="2E18769B" w14:textId="48FCD26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49.672.910,0</w:t>
            </w:r>
          </w:p>
        </w:tc>
        <w:tc>
          <w:tcPr>
            <w:tcW w:w="966" w:type="dxa"/>
            <w:vAlign w:val="center"/>
            <w:hideMark/>
          </w:tcPr>
          <w:p w14:paraId="7B8AEF26" w14:textId="5563220C"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0.0000</w:t>
            </w:r>
          </w:p>
        </w:tc>
      </w:tr>
      <w:tr w:rsidR="004E1988" w:rsidRPr="0009774A" w14:paraId="5C694569" w14:textId="77777777" w:rsidTr="008B74DC">
        <w:trPr>
          <w:trHeight w:val="45"/>
          <w:jc w:val="center"/>
        </w:trPr>
        <w:tc>
          <w:tcPr>
            <w:tcW w:w="2835" w:type="dxa"/>
            <w:hideMark/>
          </w:tcPr>
          <w:p w14:paraId="180C2F3C" w14:textId="5750742B"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Time (Week)</w:t>
            </w:r>
          </w:p>
        </w:tc>
        <w:tc>
          <w:tcPr>
            <w:tcW w:w="2127" w:type="dxa"/>
            <w:vAlign w:val="center"/>
            <w:hideMark/>
          </w:tcPr>
          <w:p w14:paraId="267CDDFA" w14:textId="35DAAC1D"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3.964.482,0</w:t>
            </w:r>
          </w:p>
        </w:tc>
        <w:tc>
          <w:tcPr>
            <w:tcW w:w="601" w:type="dxa"/>
            <w:vAlign w:val="center"/>
            <w:hideMark/>
          </w:tcPr>
          <w:p w14:paraId="1F5C76BF" w14:textId="0934846A"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3,0</w:t>
            </w:r>
          </w:p>
        </w:tc>
        <w:tc>
          <w:tcPr>
            <w:tcW w:w="1646" w:type="dxa"/>
            <w:vAlign w:val="center"/>
            <w:hideMark/>
          </w:tcPr>
          <w:p w14:paraId="39443655" w14:textId="3119FAE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1.497.793.485,0</w:t>
            </w:r>
          </w:p>
        </w:tc>
        <w:tc>
          <w:tcPr>
            <w:tcW w:w="966" w:type="dxa"/>
            <w:vAlign w:val="center"/>
            <w:hideMark/>
          </w:tcPr>
          <w:p w14:paraId="08E53685" w14:textId="64BC9E97"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0.0000</w:t>
            </w:r>
          </w:p>
        </w:tc>
      </w:tr>
      <w:tr w:rsidR="004E1988" w:rsidRPr="0009774A" w14:paraId="1BC3C86B" w14:textId="77777777" w:rsidTr="008B74DC">
        <w:trPr>
          <w:trHeight w:val="52"/>
          <w:jc w:val="center"/>
        </w:trPr>
        <w:tc>
          <w:tcPr>
            <w:tcW w:w="2835" w:type="dxa"/>
            <w:hideMark/>
          </w:tcPr>
          <w:p w14:paraId="4D98B6B8" w14:textId="4E14B369" w:rsidR="004E1988" w:rsidRPr="0009774A" w:rsidRDefault="004E1988" w:rsidP="004E1988">
            <w:pPr>
              <w:spacing w:after="0" w:line="240" w:lineRule="auto"/>
              <w:rPr>
                <w:rFonts w:eastAsia="Times New Roman" w:cs="Arial"/>
                <w:color w:val="000000"/>
                <w:sz w:val="20"/>
                <w:szCs w:val="20"/>
                <w:lang w:eastAsia="en-ID"/>
              </w:rPr>
            </w:pPr>
            <w:proofErr w:type="spellStart"/>
            <w:r w:rsidRPr="0009774A">
              <w:rPr>
                <w:rFonts w:cs="Arial"/>
                <w:sz w:val="20"/>
                <w:szCs w:val="20"/>
              </w:rPr>
              <w:t>Treatment×Week</w:t>
            </w:r>
            <w:proofErr w:type="spellEnd"/>
            <w:r w:rsidRPr="0009774A">
              <w:rPr>
                <w:rFonts w:cs="Arial"/>
                <w:sz w:val="20"/>
                <w:szCs w:val="20"/>
              </w:rPr>
              <w:t xml:space="preserve"> Interaction</w:t>
            </w:r>
          </w:p>
        </w:tc>
        <w:tc>
          <w:tcPr>
            <w:tcW w:w="2127" w:type="dxa"/>
            <w:vAlign w:val="center"/>
            <w:hideMark/>
          </w:tcPr>
          <w:p w14:paraId="76A6880F" w14:textId="784C02A8"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203.394,0</w:t>
            </w:r>
          </w:p>
        </w:tc>
        <w:tc>
          <w:tcPr>
            <w:tcW w:w="601" w:type="dxa"/>
            <w:vAlign w:val="center"/>
            <w:hideMark/>
          </w:tcPr>
          <w:p w14:paraId="6DBE91C5" w14:textId="31C9BA8B"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9,0</w:t>
            </w:r>
          </w:p>
        </w:tc>
        <w:tc>
          <w:tcPr>
            <w:tcW w:w="1646" w:type="dxa"/>
            <w:vAlign w:val="center"/>
            <w:hideMark/>
          </w:tcPr>
          <w:p w14:paraId="42EB292E" w14:textId="42D909AA"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25.614.228,0</w:t>
            </w:r>
          </w:p>
        </w:tc>
        <w:tc>
          <w:tcPr>
            <w:tcW w:w="966" w:type="dxa"/>
            <w:vAlign w:val="center"/>
            <w:hideMark/>
          </w:tcPr>
          <w:p w14:paraId="529791DE" w14:textId="1560EEEC"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0.0000</w:t>
            </w:r>
          </w:p>
        </w:tc>
      </w:tr>
      <w:tr w:rsidR="004E1988" w:rsidRPr="0009774A" w14:paraId="14E5B11F" w14:textId="77777777" w:rsidTr="008B74DC">
        <w:trPr>
          <w:trHeight w:val="50"/>
          <w:jc w:val="center"/>
        </w:trPr>
        <w:tc>
          <w:tcPr>
            <w:tcW w:w="2835" w:type="dxa"/>
            <w:hideMark/>
          </w:tcPr>
          <w:p w14:paraId="40EC7162" w14:textId="556AE91B" w:rsidR="004E1988" w:rsidRPr="0009774A" w:rsidRDefault="004E1988" w:rsidP="004E1988">
            <w:pPr>
              <w:spacing w:after="0" w:line="240" w:lineRule="auto"/>
              <w:rPr>
                <w:rFonts w:eastAsia="Times New Roman" w:cs="Arial"/>
                <w:color w:val="000000"/>
                <w:sz w:val="20"/>
                <w:szCs w:val="20"/>
                <w:lang w:eastAsia="en-ID"/>
              </w:rPr>
            </w:pPr>
            <w:r w:rsidRPr="0009774A">
              <w:rPr>
                <w:rFonts w:cs="Arial"/>
                <w:sz w:val="20"/>
                <w:szCs w:val="20"/>
              </w:rPr>
              <w:t>Residual (Error)</w:t>
            </w:r>
          </w:p>
        </w:tc>
        <w:tc>
          <w:tcPr>
            <w:tcW w:w="2127" w:type="dxa"/>
            <w:vAlign w:val="center"/>
            <w:hideMark/>
          </w:tcPr>
          <w:p w14:paraId="49C6A580" w14:textId="0C99697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0.0282</w:t>
            </w:r>
          </w:p>
        </w:tc>
        <w:tc>
          <w:tcPr>
            <w:tcW w:w="601" w:type="dxa"/>
            <w:vAlign w:val="center"/>
            <w:hideMark/>
          </w:tcPr>
          <w:p w14:paraId="64C804BA" w14:textId="1AA1C2C6"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32,0</w:t>
            </w:r>
          </w:p>
        </w:tc>
        <w:tc>
          <w:tcPr>
            <w:tcW w:w="1646" w:type="dxa"/>
            <w:vAlign w:val="center"/>
            <w:hideMark/>
          </w:tcPr>
          <w:p w14:paraId="686A3C9E" w14:textId="58462BE6"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w:t>
            </w:r>
          </w:p>
        </w:tc>
        <w:tc>
          <w:tcPr>
            <w:tcW w:w="966" w:type="dxa"/>
            <w:vAlign w:val="center"/>
            <w:hideMark/>
          </w:tcPr>
          <w:p w14:paraId="4EA46C90" w14:textId="3487D496" w:rsidR="004E1988" w:rsidRPr="0009774A" w:rsidRDefault="004E1988" w:rsidP="004E1988">
            <w:pPr>
              <w:spacing w:after="0" w:line="240" w:lineRule="auto"/>
              <w:jc w:val="center"/>
              <w:rPr>
                <w:rFonts w:eastAsia="Times New Roman" w:cs="Arial"/>
                <w:color w:val="000000"/>
                <w:sz w:val="20"/>
                <w:szCs w:val="20"/>
                <w:lang w:eastAsia="en-ID"/>
              </w:rPr>
            </w:pPr>
            <w:r w:rsidRPr="0009774A">
              <w:rPr>
                <w:rFonts w:cs="Arial"/>
                <w:color w:val="000000"/>
                <w:sz w:val="20"/>
                <w:szCs w:val="20"/>
              </w:rPr>
              <w:t>–</w:t>
            </w:r>
          </w:p>
        </w:tc>
      </w:tr>
    </w:tbl>
    <w:p w14:paraId="4482623C" w14:textId="77777777" w:rsidR="00D4277B" w:rsidRPr="0009774A" w:rsidRDefault="00D4277B" w:rsidP="00D85E84">
      <w:pPr>
        <w:pStyle w:val="NormalWeb"/>
        <w:spacing w:before="0" w:beforeAutospacing="0" w:after="0" w:afterAutospacing="0" w:line="276" w:lineRule="auto"/>
        <w:jc w:val="both"/>
        <w:rPr>
          <w:rFonts w:ascii="Arial" w:hAnsi="Arial" w:cs="Arial"/>
          <w:sz w:val="20"/>
          <w:szCs w:val="20"/>
        </w:rPr>
      </w:pPr>
    </w:p>
    <w:p w14:paraId="51EC502D" w14:textId="23AA9530" w:rsidR="00B82919" w:rsidRPr="0009774A" w:rsidRDefault="00B82919" w:rsidP="00B82919">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Two-way ANOVA revealed that both LOF concentration and observation time, along with their interaction, had highly significant effects on leaf number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with all p-values &lt; 0.0001. The treatment effect (F = 49,672.910) confirmed that variation in LOF concentrations significantly influenced vegetative growth, particularly leaf proliferation. Moderate concentrations (10–25%) resulted in the highest mean leaf counts, indicating a physiological threshold beyond which additional nutrient input yielded diminishing returns. Observation time was the dominant source of variation (F= 1,497,793.485), reflecting cumulative leaf development over the four-week period. While leaf number generally increased across all treatments, a deceleration trend by week 4 suggested physiological stabilization as plants neared maturity.</w:t>
      </w:r>
      <w:r w:rsidR="0015738E" w:rsidRPr="0009774A">
        <w:rPr>
          <w:rFonts w:ascii="Arial" w:hAnsi="Arial" w:cs="Arial"/>
          <w:sz w:val="20"/>
          <w:szCs w:val="20"/>
        </w:rPr>
        <w:fldChar w:fldCharType="begin" w:fldLock="1"/>
      </w:r>
      <w:r w:rsidR="0015738E" w:rsidRPr="0009774A">
        <w:rPr>
          <w:rFonts w:ascii="Arial" w:hAnsi="Arial" w:cs="Arial"/>
          <w:sz w:val="20"/>
          <w:szCs w:val="20"/>
        </w:rPr>
        <w:instrText>ADDIN CSL_CITATION {"citationItems":[{"id":"ITEM-1","itemData":{"ISBN":"1755-1315","author":[{"dropping-particle":"","family":"Mustofa","given":"Muchammad Joko","non-dropping-particle":"","parse-names":false,"suffix":""},{"dropping-particle":"","family":"Prihatiningrum","given":"Andriani Eko","non-dropping-particle":"","parse-names":false,"suffix":""},{"dropping-particle":"","family":"Nurmalasari","given":"Intan Rohma","non-dropping-particle":"","parse-names":false,"suffix":""}],"container-title":"IOP Conference Series: Earth and Environmental Science","id":"ITEM-1","issue":"1","issued":{"date-parts":[["2022"]]},"page":"12010","publisher":"IOP Publishing","title":"Effect of types and concentration of liquid organic fertilizer on the growth and production of pakcoy plants (Brassica rapa L.)","type":"paper-conference","volume":"1104"},"uris":["http://www.mendeley.com/documents/?uuid=5b1f89cf-3530-4620-983f-227cef19220b"]}],"mendeley":{"formattedCitation":"(Mustofa, Prihatiningrum and Nurmalasari, 2022)","plainTextFormattedCitation":"(Mustofa, Prihatiningrum and Nurmalasari, 2022)","previouslyFormattedCitation":"(Mustofa, Prihatiningrum and Nurmalasari, 2022)"},"properties":{"noteIndex":0},"schema":"https://github.com/citation-style-language/schema/raw/master/csl-citation.json"}</w:instrText>
      </w:r>
      <w:r w:rsidR="0015738E" w:rsidRPr="0009774A">
        <w:rPr>
          <w:rFonts w:ascii="Arial" w:hAnsi="Arial" w:cs="Arial"/>
          <w:sz w:val="20"/>
          <w:szCs w:val="20"/>
        </w:rPr>
        <w:fldChar w:fldCharType="separate"/>
      </w:r>
      <w:r w:rsidR="0015738E" w:rsidRPr="0009774A">
        <w:rPr>
          <w:rFonts w:ascii="Arial" w:hAnsi="Arial" w:cs="Arial"/>
          <w:noProof/>
          <w:sz w:val="20"/>
          <w:szCs w:val="20"/>
        </w:rPr>
        <w:t>(Mustofa, Prihatiningrum and Nurmalasari, 2022)</w:t>
      </w:r>
      <w:r w:rsidR="0015738E" w:rsidRPr="0009774A">
        <w:rPr>
          <w:rFonts w:ascii="Arial" w:hAnsi="Arial" w:cs="Arial"/>
          <w:sz w:val="20"/>
          <w:szCs w:val="20"/>
        </w:rPr>
        <w:fldChar w:fldCharType="end"/>
      </w:r>
      <w:r w:rsidR="009323A2" w:rsidRPr="0009774A">
        <w:rPr>
          <w:rFonts w:ascii="Arial" w:hAnsi="Arial" w:cs="Arial"/>
          <w:sz w:val="20"/>
          <w:szCs w:val="20"/>
        </w:rPr>
        <w:t xml:space="preserve">.  </w:t>
      </w:r>
      <w:r w:rsidRPr="0009774A">
        <w:rPr>
          <w:rFonts w:ascii="Arial" w:hAnsi="Arial" w:cs="Arial"/>
          <w:sz w:val="20"/>
          <w:szCs w:val="20"/>
        </w:rPr>
        <w:t xml:space="preserve">A strong interaction effect (F = 25,614.228) indicated that the influence of LOF was growth-stage dependent, with treatment differences becoming more pronounced in weeks 3 and 4. This underscores the importance of synchronizing nutrient </w:t>
      </w:r>
      <w:r w:rsidRPr="0009774A">
        <w:rPr>
          <w:rFonts w:ascii="Arial" w:hAnsi="Arial" w:cs="Arial"/>
          <w:sz w:val="20"/>
          <w:szCs w:val="20"/>
        </w:rPr>
        <w:lastRenderedPageBreak/>
        <w:t>input with plant developmental stages. The 10% and 25% treatments produced the highest leaf numbers by week 4, a result corroborated by Tukey HSD analysis. Overall, these findings highlight the synergistic role of optimized dosage and timing in maximizing vegetative growth, and demonstrate the agronomic value of tofu-waste-derived LOF as a sustainable and stage-responsive fertilization strategy</w:t>
      </w:r>
      <w:r w:rsidR="008B74DC" w:rsidRPr="0009774A">
        <w:rPr>
          <w:rFonts w:ascii="Arial" w:hAnsi="Arial" w:cs="Arial"/>
          <w:sz w:val="20"/>
          <w:szCs w:val="20"/>
        </w:rPr>
        <w:t xml:space="preserve">  </w:t>
      </w:r>
      <w:r w:rsidR="008B74DC" w:rsidRPr="0009774A">
        <w:rPr>
          <w:rFonts w:ascii="Arial" w:hAnsi="Arial" w:cs="Arial"/>
          <w:sz w:val="20"/>
          <w:szCs w:val="20"/>
        </w:rPr>
        <w:fldChar w:fldCharType="begin" w:fldLock="1"/>
      </w:r>
      <w:r w:rsidR="0015738E" w:rsidRPr="0009774A">
        <w:rPr>
          <w:rFonts w:ascii="Arial" w:hAnsi="Arial" w:cs="Arial"/>
          <w:sz w:val="20"/>
          <w:szCs w:val="20"/>
        </w:rPr>
        <w:instrText>ADDIN CSL_CITATION {"citationItems":[{"id":"ITEM-1","itemData":{"ISSN":"2223-7747","author":[{"dropping-particle":"","family":"Lin","given":"Shudong","non-dropping-particle":"","parse-names":false,"suffix":""},{"dropping-particle":"","family":"Wei","given":"Kai","non-dropping-particle":"","parse-names":false,"suffix":""},{"dropping-particle":"","family":"Wang","given":"Quanjiu","non-dropping-particle":"","parse-names":false,"suffix":""},{"dropping-particle":"","family":"Sun","given":"Yan","non-dropping-particle":"","parse-names":false,"suffix":""},{"dropping-particle":"","family":"Deng","given":"Mingjiang","non-dropping-particle":"","parse-names":false,"suffix":""},{"dropping-particle":"","family":"Tao","given":"Wanghai","non-dropping-particle":"","parse-names":false,"suffix":""}],"container-title":"Plants","id":"ITEM-1","issue":"10","issued":{"date-parts":[["2024"]]},"page":"1308","publisher":"MDPI","title":"Effects of organic fertilizer on photosynthesis, yield, and quality of pakchoi under different irrigation conditions","type":"article-journal","volume":"13"},"uris":["http://www.mendeley.com/documents/?uuid=b592b362-4533-48c0-b77b-6a4ba7804ba8"]}],"mendeley":{"formattedCitation":"(Lin &lt;i&gt;et al.&lt;/i&gt;, 2024)","plainTextFormattedCitation":"(Lin et al., 2024)","previouslyFormattedCitation":"(Lin &lt;i&gt;et al.&lt;/i&gt;, 2024)"},"properties":{"noteIndex":0},"schema":"https://github.com/citation-style-language/schema/raw/master/csl-citation.json"}</w:instrText>
      </w:r>
      <w:r w:rsidR="008B74DC" w:rsidRPr="0009774A">
        <w:rPr>
          <w:rFonts w:ascii="Arial" w:hAnsi="Arial" w:cs="Arial"/>
          <w:sz w:val="20"/>
          <w:szCs w:val="20"/>
        </w:rPr>
        <w:fldChar w:fldCharType="separate"/>
      </w:r>
      <w:r w:rsidR="008B74DC" w:rsidRPr="0009774A">
        <w:rPr>
          <w:rFonts w:ascii="Arial" w:hAnsi="Arial" w:cs="Arial"/>
          <w:noProof/>
          <w:sz w:val="20"/>
          <w:szCs w:val="20"/>
        </w:rPr>
        <w:t xml:space="preserve">(Lin </w:t>
      </w:r>
      <w:r w:rsidR="008B74DC" w:rsidRPr="0009774A">
        <w:rPr>
          <w:rFonts w:ascii="Arial" w:hAnsi="Arial" w:cs="Arial"/>
          <w:i/>
          <w:noProof/>
          <w:sz w:val="20"/>
          <w:szCs w:val="20"/>
        </w:rPr>
        <w:t>et al.</w:t>
      </w:r>
      <w:r w:rsidR="008B74DC" w:rsidRPr="0009774A">
        <w:rPr>
          <w:rFonts w:ascii="Arial" w:hAnsi="Arial" w:cs="Arial"/>
          <w:noProof/>
          <w:sz w:val="20"/>
          <w:szCs w:val="20"/>
        </w:rPr>
        <w:t>, 2024)</w:t>
      </w:r>
      <w:r w:rsidR="008B74DC" w:rsidRPr="0009774A">
        <w:rPr>
          <w:rFonts w:ascii="Arial" w:hAnsi="Arial" w:cs="Arial"/>
          <w:sz w:val="20"/>
          <w:szCs w:val="20"/>
        </w:rPr>
        <w:fldChar w:fldCharType="end"/>
      </w:r>
    </w:p>
    <w:p w14:paraId="772AC73F" w14:textId="464B4D96" w:rsidR="003344B6" w:rsidRPr="0009774A" w:rsidRDefault="00D332B7" w:rsidP="00B82919">
      <w:pPr>
        <w:pStyle w:val="NormalWeb"/>
        <w:jc w:val="both"/>
        <w:rPr>
          <w:rFonts w:ascii="Arial" w:hAnsi="Arial" w:cs="Arial"/>
          <w:sz w:val="20"/>
          <w:szCs w:val="20"/>
        </w:rPr>
      </w:pPr>
      <w:r w:rsidRPr="0009774A">
        <w:rPr>
          <w:rFonts w:ascii="Arial" w:hAnsi="Arial" w:cs="Arial"/>
          <w:sz w:val="20"/>
          <w:szCs w:val="20"/>
        </w:rPr>
        <w:t xml:space="preserve">Table 11. Tukey HSD Analysis of Leaf Number Response in </w:t>
      </w:r>
      <w:r w:rsidRPr="0009774A">
        <w:rPr>
          <w:rFonts w:ascii="Arial" w:hAnsi="Arial" w:cs="Arial"/>
          <w:i/>
          <w:iCs/>
          <w:sz w:val="20"/>
          <w:szCs w:val="20"/>
        </w:rPr>
        <w:t xml:space="preserve">Brassica rapa </w:t>
      </w:r>
      <w:r w:rsidRPr="0009774A">
        <w:rPr>
          <w:rFonts w:ascii="Arial" w:hAnsi="Arial" w:cs="Arial"/>
          <w:sz w:val="20"/>
          <w:szCs w:val="20"/>
        </w:rPr>
        <w:t>L. under Varying LOF Concentrations and Observation Periods</w:t>
      </w:r>
    </w:p>
    <w:tbl>
      <w:tblPr>
        <w:tblW w:w="6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126"/>
        <w:gridCol w:w="1770"/>
        <w:gridCol w:w="1020"/>
      </w:tblGrid>
      <w:tr w:rsidR="00D4277B" w:rsidRPr="0009774A" w14:paraId="7135D823" w14:textId="77777777" w:rsidTr="00921E74">
        <w:trPr>
          <w:trHeight w:val="35"/>
        </w:trPr>
        <w:tc>
          <w:tcPr>
            <w:tcW w:w="1985" w:type="dxa"/>
            <w:noWrap/>
            <w:hideMark/>
          </w:tcPr>
          <w:p w14:paraId="7C949BD5" w14:textId="4D4B9A18" w:rsidR="00D4277B" w:rsidRPr="0009774A" w:rsidRDefault="00D332B7" w:rsidP="00D4277B">
            <w:pPr>
              <w:spacing w:after="0" w:line="240" w:lineRule="auto"/>
              <w:rPr>
                <w:rFonts w:eastAsia="Times New Roman" w:cs="Arial"/>
                <w:color w:val="000000"/>
                <w:sz w:val="20"/>
                <w:szCs w:val="20"/>
                <w:lang w:eastAsia="en-ID"/>
              </w:rPr>
            </w:pPr>
            <w:r w:rsidRPr="0009774A">
              <w:rPr>
                <w:rFonts w:cs="Arial"/>
                <w:sz w:val="20"/>
                <w:szCs w:val="20"/>
              </w:rPr>
              <w:t>Group 1</w:t>
            </w:r>
          </w:p>
        </w:tc>
        <w:tc>
          <w:tcPr>
            <w:tcW w:w="2126" w:type="dxa"/>
            <w:noWrap/>
            <w:hideMark/>
          </w:tcPr>
          <w:p w14:paraId="6C2B2EAA" w14:textId="1787B8E3" w:rsidR="00D4277B" w:rsidRPr="0009774A" w:rsidRDefault="00D332B7" w:rsidP="00D4277B">
            <w:pPr>
              <w:spacing w:after="0" w:line="240" w:lineRule="auto"/>
              <w:rPr>
                <w:rFonts w:eastAsia="Times New Roman" w:cs="Arial"/>
                <w:color w:val="000000"/>
                <w:sz w:val="20"/>
                <w:szCs w:val="20"/>
                <w:lang w:eastAsia="en-ID"/>
              </w:rPr>
            </w:pPr>
            <w:r w:rsidRPr="0009774A">
              <w:rPr>
                <w:rFonts w:cs="Arial"/>
                <w:sz w:val="20"/>
                <w:szCs w:val="20"/>
              </w:rPr>
              <w:t>Group 2</w:t>
            </w:r>
          </w:p>
        </w:tc>
        <w:tc>
          <w:tcPr>
            <w:tcW w:w="1770" w:type="dxa"/>
            <w:noWrap/>
            <w:hideMark/>
          </w:tcPr>
          <w:p w14:paraId="4FAA2C5D" w14:textId="14171038" w:rsidR="00D4277B" w:rsidRPr="0009774A" w:rsidRDefault="00D332B7" w:rsidP="008D306A">
            <w:pPr>
              <w:spacing w:after="0" w:line="240" w:lineRule="auto"/>
              <w:jc w:val="center"/>
              <w:rPr>
                <w:rFonts w:eastAsia="Times New Roman" w:cs="Arial"/>
                <w:color w:val="000000"/>
                <w:sz w:val="20"/>
                <w:szCs w:val="20"/>
                <w:lang w:eastAsia="en-ID"/>
              </w:rPr>
            </w:pPr>
            <w:r w:rsidRPr="0009774A">
              <w:rPr>
                <w:rFonts w:eastAsia="Times New Roman" w:cs="Arial"/>
                <w:color w:val="000000"/>
                <w:sz w:val="20"/>
                <w:szCs w:val="20"/>
                <w:lang w:eastAsia="en-ID"/>
              </w:rPr>
              <w:t>Mean Difference</w:t>
            </w:r>
          </w:p>
        </w:tc>
        <w:tc>
          <w:tcPr>
            <w:tcW w:w="1020" w:type="dxa"/>
            <w:noWrap/>
            <w:hideMark/>
          </w:tcPr>
          <w:p w14:paraId="4E74C852" w14:textId="77777777" w:rsidR="00D4277B" w:rsidRPr="0009774A" w:rsidRDefault="00D4277B" w:rsidP="00D4277B">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p-value</w:t>
            </w:r>
          </w:p>
        </w:tc>
      </w:tr>
      <w:tr w:rsidR="004E1988" w:rsidRPr="0009774A" w14:paraId="3423AAA3" w14:textId="77777777" w:rsidTr="00921E74">
        <w:trPr>
          <w:trHeight w:val="35"/>
        </w:trPr>
        <w:tc>
          <w:tcPr>
            <w:tcW w:w="1985" w:type="dxa"/>
            <w:noWrap/>
            <w:vAlign w:val="bottom"/>
            <w:hideMark/>
          </w:tcPr>
          <w:p w14:paraId="39B1BB9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bottom"/>
            <w:hideMark/>
          </w:tcPr>
          <w:p w14:paraId="72755F19"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4</w:t>
            </w:r>
          </w:p>
        </w:tc>
        <w:tc>
          <w:tcPr>
            <w:tcW w:w="1770" w:type="dxa"/>
            <w:noWrap/>
            <w:vAlign w:val="center"/>
            <w:hideMark/>
          </w:tcPr>
          <w:p w14:paraId="1BCE2F7B" w14:textId="6460743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0,50</w:t>
            </w:r>
          </w:p>
        </w:tc>
        <w:tc>
          <w:tcPr>
            <w:tcW w:w="1020" w:type="dxa"/>
            <w:noWrap/>
            <w:vAlign w:val="center"/>
            <w:hideMark/>
          </w:tcPr>
          <w:p w14:paraId="50003CA7" w14:textId="7263714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057198B3" w14:textId="77777777" w:rsidTr="00921E74">
        <w:trPr>
          <w:trHeight w:val="45"/>
        </w:trPr>
        <w:tc>
          <w:tcPr>
            <w:tcW w:w="1985" w:type="dxa"/>
            <w:noWrap/>
            <w:vAlign w:val="bottom"/>
            <w:hideMark/>
          </w:tcPr>
          <w:p w14:paraId="5755EC21"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2</w:t>
            </w:r>
          </w:p>
        </w:tc>
        <w:tc>
          <w:tcPr>
            <w:tcW w:w="2126" w:type="dxa"/>
            <w:noWrap/>
            <w:vAlign w:val="bottom"/>
            <w:hideMark/>
          </w:tcPr>
          <w:p w14:paraId="1650A1AE"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 - Week 2</w:t>
            </w:r>
          </w:p>
        </w:tc>
        <w:tc>
          <w:tcPr>
            <w:tcW w:w="1770" w:type="dxa"/>
            <w:noWrap/>
            <w:vAlign w:val="center"/>
            <w:hideMark/>
          </w:tcPr>
          <w:p w14:paraId="2E575512" w14:textId="07280C5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0,44</w:t>
            </w:r>
          </w:p>
        </w:tc>
        <w:tc>
          <w:tcPr>
            <w:tcW w:w="1020" w:type="dxa"/>
            <w:noWrap/>
            <w:vAlign w:val="center"/>
            <w:hideMark/>
          </w:tcPr>
          <w:p w14:paraId="67676A9B" w14:textId="24190FA6"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11772AE6" w14:textId="77777777" w:rsidTr="00921E74">
        <w:trPr>
          <w:trHeight w:val="45"/>
        </w:trPr>
        <w:tc>
          <w:tcPr>
            <w:tcW w:w="1985" w:type="dxa"/>
            <w:noWrap/>
            <w:vAlign w:val="bottom"/>
            <w:hideMark/>
          </w:tcPr>
          <w:p w14:paraId="71FBBD14"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61918EFE"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1770" w:type="dxa"/>
            <w:noWrap/>
            <w:vAlign w:val="center"/>
            <w:hideMark/>
          </w:tcPr>
          <w:p w14:paraId="28278150" w14:textId="457D62A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6,50</w:t>
            </w:r>
          </w:p>
        </w:tc>
        <w:tc>
          <w:tcPr>
            <w:tcW w:w="1020" w:type="dxa"/>
            <w:noWrap/>
            <w:vAlign w:val="center"/>
            <w:hideMark/>
          </w:tcPr>
          <w:p w14:paraId="0E98A824" w14:textId="489D5397"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3A317D0E" w14:textId="77777777" w:rsidTr="00921E74">
        <w:trPr>
          <w:trHeight w:val="45"/>
        </w:trPr>
        <w:tc>
          <w:tcPr>
            <w:tcW w:w="1985" w:type="dxa"/>
            <w:noWrap/>
            <w:vAlign w:val="bottom"/>
            <w:hideMark/>
          </w:tcPr>
          <w:p w14:paraId="23B5676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bottom"/>
            <w:hideMark/>
          </w:tcPr>
          <w:p w14:paraId="014D0748"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 - Week 3</w:t>
            </w:r>
          </w:p>
        </w:tc>
        <w:tc>
          <w:tcPr>
            <w:tcW w:w="1770" w:type="dxa"/>
            <w:noWrap/>
            <w:vAlign w:val="center"/>
            <w:hideMark/>
          </w:tcPr>
          <w:p w14:paraId="031D0A5C" w14:textId="73DB993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- 3,94</w:t>
            </w:r>
          </w:p>
        </w:tc>
        <w:tc>
          <w:tcPr>
            <w:tcW w:w="1020" w:type="dxa"/>
            <w:noWrap/>
            <w:vAlign w:val="center"/>
            <w:hideMark/>
          </w:tcPr>
          <w:p w14:paraId="0C231D8E" w14:textId="4D400104"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193DD2AF" w14:textId="77777777" w:rsidTr="00921E74">
        <w:trPr>
          <w:trHeight w:val="45"/>
        </w:trPr>
        <w:tc>
          <w:tcPr>
            <w:tcW w:w="1985" w:type="dxa"/>
            <w:noWrap/>
            <w:vAlign w:val="bottom"/>
            <w:hideMark/>
          </w:tcPr>
          <w:p w14:paraId="17975096"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bottom"/>
            <w:hideMark/>
          </w:tcPr>
          <w:p w14:paraId="22FB4457"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2</w:t>
            </w:r>
          </w:p>
        </w:tc>
        <w:tc>
          <w:tcPr>
            <w:tcW w:w="1770" w:type="dxa"/>
            <w:noWrap/>
            <w:vAlign w:val="center"/>
            <w:hideMark/>
          </w:tcPr>
          <w:p w14:paraId="1C7979C6" w14:textId="4FFA6931"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- 6,01</w:t>
            </w:r>
          </w:p>
        </w:tc>
        <w:tc>
          <w:tcPr>
            <w:tcW w:w="1020" w:type="dxa"/>
            <w:noWrap/>
            <w:vAlign w:val="center"/>
            <w:hideMark/>
          </w:tcPr>
          <w:p w14:paraId="7B41754C" w14:textId="15EDE03D"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1B072194" w14:textId="77777777" w:rsidTr="00921E74">
        <w:trPr>
          <w:trHeight w:val="45"/>
        </w:trPr>
        <w:tc>
          <w:tcPr>
            <w:tcW w:w="1985" w:type="dxa"/>
            <w:noWrap/>
            <w:vAlign w:val="bottom"/>
            <w:hideMark/>
          </w:tcPr>
          <w:p w14:paraId="73C8309A"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3</w:t>
            </w:r>
          </w:p>
        </w:tc>
        <w:tc>
          <w:tcPr>
            <w:tcW w:w="2126" w:type="dxa"/>
            <w:noWrap/>
            <w:vAlign w:val="bottom"/>
            <w:hideMark/>
          </w:tcPr>
          <w:p w14:paraId="61FD8A84"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1</w:t>
            </w:r>
          </w:p>
        </w:tc>
        <w:tc>
          <w:tcPr>
            <w:tcW w:w="1770" w:type="dxa"/>
            <w:noWrap/>
            <w:vAlign w:val="center"/>
            <w:hideMark/>
          </w:tcPr>
          <w:p w14:paraId="56B7CC7C" w14:textId="50290039"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- 6,50</w:t>
            </w:r>
          </w:p>
        </w:tc>
        <w:tc>
          <w:tcPr>
            <w:tcW w:w="1020" w:type="dxa"/>
            <w:noWrap/>
            <w:vAlign w:val="center"/>
            <w:hideMark/>
          </w:tcPr>
          <w:p w14:paraId="642C856A" w14:textId="1A6BEC42"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064FA708" w14:textId="77777777" w:rsidTr="00921E74">
        <w:trPr>
          <w:trHeight w:val="45"/>
        </w:trPr>
        <w:tc>
          <w:tcPr>
            <w:tcW w:w="1985" w:type="dxa"/>
            <w:noWrap/>
            <w:vAlign w:val="bottom"/>
            <w:hideMark/>
          </w:tcPr>
          <w:p w14:paraId="7B9FFE15"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3</w:t>
            </w:r>
          </w:p>
        </w:tc>
        <w:tc>
          <w:tcPr>
            <w:tcW w:w="2126" w:type="dxa"/>
            <w:noWrap/>
            <w:vAlign w:val="bottom"/>
            <w:hideMark/>
          </w:tcPr>
          <w:p w14:paraId="43E36B3B"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25% (P2) - Week 1</w:t>
            </w:r>
          </w:p>
        </w:tc>
        <w:tc>
          <w:tcPr>
            <w:tcW w:w="1770" w:type="dxa"/>
            <w:noWrap/>
            <w:vAlign w:val="center"/>
            <w:hideMark/>
          </w:tcPr>
          <w:p w14:paraId="06959D2A" w14:textId="2039456C"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- 5,05</w:t>
            </w:r>
          </w:p>
        </w:tc>
        <w:tc>
          <w:tcPr>
            <w:tcW w:w="1020" w:type="dxa"/>
            <w:noWrap/>
            <w:vAlign w:val="center"/>
            <w:hideMark/>
          </w:tcPr>
          <w:p w14:paraId="34BB08DC" w14:textId="7B61801B"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5342CBEC" w14:textId="77777777" w:rsidTr="00921E74">
        <w:trPr>
          <w:trHeight w:val="45"/>
        </w:trPr>
        <w:tc>
          <w:tcPr>
            <w:tcW w:w="1985" w:type="dxa"/>
            <w:noWrap/>
            <w:vAlign w:val="bottom"/>
            <w:hideMark/>
          </w:tcPr>
          <w:p w14:paraId="38C79FD8"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5D4BF55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 - Week 4</w:t>
            </w:r>
          </w:p>
        </w:tc>
        <w:tc>
          <w:tcPr>
            <w:tcW w:w="1770" w:type="dxa"/>
            <w:noWrap/>
            <w:vAlign w:val="center"/>
            <w:hideMark/>
          </w:tcPr>
          <w:p w14:paraId="460EE1B8" w14:textId="2669FB2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5,00</w:t>
            </w:r>
          </w:p>
        </w:tc>
        <w:tc>
          <w:tcPr>
            <w:tcW w:w="1020" w:type="dxa"/>
            <w:noWrap/>
            <w:vAlign w:val="center"/>
            <w:hideMark/>
          </w:tcPr>
          <w:p w14:paraId="43F619A6" w14:textId="31C80A95"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094DA949" w14:textId="77777777" w:rsidTr="00921E74">
        <w:trPr>
          <w:trHeight w:val="45"/>
        </w:trPr>
        <w:tc>
          <w:tcPr>
            <w:tcW w:w="1985" w:type="dxa"/>
            <w:noWrap/>
            <w:vAlign w:val="bottom"/>
            <w:hideMark/>
          </w:tcPr>
          <w:p w14:paraId="4495F5AD"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1</w:t>
            </w:r>
          </w:p>
        </w:tc>
        <w:tc>
          <w:tcPr>
            <w:tcW w:w="2126" w:type="dxa"/>
            <w:noWrap/>
            <w:vAlign w:val="bottom"/>
            <w:hideMark/>
          </w:tcPr>
          <w:p w14:paraId="47FEB8A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Control (P) - Week 3</w:t>
            </w:r>
          </w:p>
        </w:tc>
        <w:tc>
          <w:tcPr>
            <w:tcW w:w="1770" w:type="dxa"/>
            <w:noWrap/>
            <w:vAlign w:val="center"/>
            <w:hideMark/>
          </w:tcPr>
          <w:p w14:paraId="11FDB69B" w14:textId="5688F400"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4,05</w:t>
            </w:r>
          </w:p>
        </w:tc>
        <w:tc>
          <w:tcPr>
            <w:tcW w:w="1020" w:type="dxa"/>
            <w:noWrap/>
            <w:vAlign w:val="center"/>
            <w:hideMark/>
          </w:tcPr>
          <w:p w14:paraId="4D53220A" w14:textId="4D62648D"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r w:rsidR="004E1988" w:rsidRPr="0009774A" w14:paraId="49026CBF" w14:textId="77777777" w:rsidTr="00921E74">
        <w:trPr>
          <w:trHeight w:val="45"/>
        </w:trPr>
        <w:tc>
          <w:tcPr>
            <w:tcW w:w="1985" w:type="dxa"/>
            <w:noWrap/>
            <w:vAlign w:val="bottom"/>
            <w:hideMark/>
          </w:tcPr>
          <w:p w14:paraId="03640C39"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10% (P1) - Week 4</w:t>
            </w:r>
          </w:p>
        </w:tc>
        <w:tc>
          <w:tcPr>
            <w:tcW w:w="2126" w:type="dxa"/>
            <w:noWrap/>
            <w:vAlign w:val="bottom"/>
            <w:hideMark/>
          </w:tcPr>
          <w:p w14:paraId="30358AC0" w14:textId="77777777" w:rsidR="004E1988" w:rsidRPr="0009774A" w:rsidRDefault="004E1988" w:rsidP="004E1988">
            <w:pPr>
              <w:spacing w:after="0" w:line="240" w:lineRule="auto"/>
              <w:rPr>
                <w:rFonts w:eastAsia="Times New Roman" w:cs="Arial"/>
                <w:color w:val="000000"/>
                <w:sz w:val="20"/>
                <w:szCs w:val="20"/>
                <w:lang w:eastAsia="en-ID"/>
              </w:rPr>
            </w:pPr>
            <w:r w:rsidRPr="0009774A">
              <w:rPr>
                <w:rFonts w:eastAsia="Times New Roman" w:cs="Arial"/>
                <w:color w:val="000000"/>
                <w:sz w:val="20"/>
                <w:szCs w:val="20"/>
                <w:lang w:eastAsia="en-ID"/>
              </w:rPr>
              <w:t>50% (P3) - Week 4</w:t>
            </w:r>
          </w:p>
        </w:tc>
        <w:tc>
          <w:tcPr>
            <w:tcW w:w="1770" w:type="dxa"/>
            <w:noWrap/>
            <w:vAlign w:val="center"/>
            <w:hideMark/>
          </w:tcPr>
          <w:p w14:paraId="1118A964" w14:textId="732A8004" w:rsidR="004E1988" w:rsidRPr="0009774A" w:rsidRDefault="004E1988" w:rsidP="004E1988">
            <w:pPr>
              <w:spacing w:after="0" w:line="240" w:lineRule="auto"/>
              <w:jc w:val="both"/>
              <w:rPr>
                <w:rFonts w:eastAsia="Times New Roman" w:cs="Arial"/>
                <w:color w:val="000000"/>
                <w:sz w:val="20"/>
                <w:szCs w:val="20"/>
                <w:lang w:eastAsia="en-ID"/>
              </w:rPr>
            </w:pPr>
            <w:r w:rsidRPr="0009774A">
              <w:rPr>
                <w:rFonts w:cs="Arial"/>
                <w:color w:val="000000"/>
                <w:sz w:val="20"/>
                <w:szCs w:val="20"/>
              </w:rPr>
              <w:t>-0,97</w:t>
            </w:r>
          </w:p>
        </w:tc>
        <w:tc>
          <w:tcPr>
            <w:tcW w:w="1020" w:type="dxa"/>
            <w:noWrap/>
            <w:vAlign w:val="center"/>
            <w:hideMark/>
          </w:tcPr>
          <w:p w14:paraId="7A27194C" w14:textId="3C2BCD5E" w:rsidR="004E1988" w:rsidRPr="0009774A" w:rsidRDefault="004E1988" w:rsidP="004E1988">
            <w:pPr>
              <w:spacing w:after="0" w:line="240" w:lineRule="auto"/>
              <w:rPr>
                <w:rFonts w:eastAsia="Times New Roman" w:cs="Arial"/>
                <w:color w:val="000000"/>
                <w:sz w:val="20"/>
                <w:szCs w:val="20"/>
                <w:lang w:eastAsia="en-ID"/>
              </w:rPr>
            </w:pPr>
            <w:r w:rsidRPr="0009774A">
              <w:rPr>
                <w:rFonts w:cs="Arial"/>
                <w:color w:val="000000"/>
                <w:sz w:val="20"/>
                <w:szCs w:val="20"/>
              </w:rPr>
              <w:t>0,00</w:t>
            </w:r>
          </w:p>
        </w:tc>
      </w:tr>
    </w:tbl>
    <w:p w14:paraId="73BED60D" w14:textId="05E6F794" w:rsidR="003C784C" w:rsidRPr="0009774A" w:rsidRDefault="00B82919" w:rsidP="00B82919">
      <w:pPr>
        <w:pStyle w:val="NormalWeb"/>
        <w:spacing w:after="0" w:line="276" w:lineRule="auto"/>
        <w:jc w:val="both"/>
        <w:rPr>
          <w:rFonts w:ascii="Arial" w:hAnsi="Arial" w:cs="Arial"/>
          <w:sz w:val="20"/>
          <w:szCs w:val="20"/>
        </w:rPr>
      </w:pPr>
      <w:r w:rsidRPr="0009774A">
        <w:rPr>
          <w:rFonts w:ascii="Arial" w:hAnsi="Arial" w:cs="Arial"/>
          <w:sz w:val="20"/>
          <w:szCs w:val="20"/>
        </w:rPr>
        <w:t xml:space="preserve">Tukey HSD post-hoc analysis revealed highly significant differences (p-value = 0.0000) in leaf number across treatment-week combinations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The interaction between LOF concentration and observation time strongly influenced vegetative outcomes. The 10% LOF treatment at week 4 yielded the highest mean leaf count, significantly surpassing the 25% LOF treatment in the same week (mean difference = 0.5 leaves), indicating that moderate concentrations </w:t>
      </w:r>
      <w:proofErr w:type="spellStart"/>
      <w:r w:rsidRPr="0009774A">
        <w:rPr>
          <w:rFonts w:ascii="Arial" w:hAnsi="Arial" w:cs="Arial"/>
          <w:sz w:val="20"/>
          <w:szCs w:val="20"/>
        </w:rPr>
        <w:t>favor</w:t>
      </w:r>
      <w:proofErr w:type="spellEnd"/>
      <w:r w:rsidRPr="0009774A">
        <w:rPr>
          <w:rFonts w:ascii="Arial" w:hAnsi="Arial" w:cs="Arial"/>
          <w:sz w:val="20"/>
          <w:szCs w:val="20"/>
        </w:rPr>
        <w:t xml:space="preserve"> later-stage growth through more efficient nutrient uptake. However, this treatment was outperformed in earlier stages by the control (week 3) and 50% LOF (week 2), with negative differences of –3.943 and –6.007 leaves, respectively. Such results suggest that higher nutrient levels may stimulate early growth, while lower concentrations sustain vegetative development over time. Significant differences were also observed as early as week 2, indicating rapid physiological responses to organic inputs. Notably, the 10% LOF treatment at week 1 exceeded the leaf number of the untreated control at week 4 by five leaves, underscoring the long-term benefits of early application. These findings align with two-way ANOVA results, which confirmed a significant interaction between treatment and growth stage. Overall, the 10% LOF applied by week 4 emerged as the most agronomically effective strategy, while higher concentrations (e.g., 50%) may induce suboptimal responses due to nutrient oversaturation.</w:t>
      </w:r>
      <w:r w:rsidR="00D332B7" w:rsidRPr="0009774A">
        <w:rPr>
          <w:rFonts w:ascii="Arial" w:hAnsi="Arial" w:cs="Arial"/>
          <w:sz w:val="20"/>
          <w:szCs w:val="20"/>
        </w:rPr>
        <w:t xml:space="preserve">  </w:t>
      </w:r>
      <w:r w:rsidR="00D332B7" w:rsidRPr="0009774A">
        <w:rPr>
          <w:rFonts w:ascii="Arial" w:hAnsi="Arial" w:cs="Arial"/>
          <w:sz w:val="20"/>
          <w:szCs w:val="20"/>
        </w:rPr>
        <w:fldChar w:fldCharType="begin" w:fldLock="1"/>
      </w:r>
      <w:r w:rsidR="008B74DC" w:rsidRPr="0009774A">
        <w:rPr>
          <w:rFonts w:ascii="Arial" w:hAnsi="Arial" w:cs="Arial"/>
          <w:sz w:val="20"/>
          <w:szCs w:val="20"/>
        </w:rPr>
        <w:instrText>ADDIN CSL_CITATION {"citationItems":[{"id":"ITEM-1","itemData":{"ISSN":"2549-7863","author":[{"dropping-particle":"","family":"Manu","given":"Charisal Matsen","non-dropping-particle":"","parse-names":false,"suffix":""},{"dropping-particle":"","family":"Bunyani","given":"Nur Aini","non-dropping-particle":"","parse-names":false,"suffix":""},{"dropping-particle":"","family":"Tay","given":"Ratnasari Renggi","non-dropping-particle":"","parse-names":false,"suffix":""},{"dropping-particle":"","family":"Kerihi","given":"Eka Citra Gayatri","non-dropping-particle":"","parse-names":false,"suffix":""}],"container-title":"Jurnal Biologi Tropis","id":"ITEM-1","issue":"1","issued":{"date-parts":[["2025"]]},"page":"852-855","title":"Response of Growth and Yield of Pakcoy Mustard Plants (Brassica rapa L.) to the Application of Growth Regulatory Substances","type":"article-journal","volume":"25"},"uris":["http://www.mendeley.com/documents/?uuid=983a98cc-cdae-4542-855f-fd435ed6a22f"]}],"mendeley":{"formattedCitation":"(Manu &lt;i&gt;et al.&lt;/i&gt;, 2025)","plainTextFormattedCitation":"(Manu et al., 2025)","previouslyFormattedCitation":"(Manu &lt;i&gt;et al.&lt;/i&gt;, 2025)"},"properties":{"noteIndex":0},"schema":"https://github.com/citation-style-language/schema/raw/master/csl-citation.json"}</w:instrText>
      </w:r>
      <w:r w:rsidR="00D332B7" w:rsidRPr="0009774A">
        <w:rPr>
          <w:rFonts w:ascii="Arial" w:hAnsi="Arial" w:cs="Arial"/>
          <w:sz w:val="20"/>
          <w:szCs w:val="20"/>
        </w:rPr>
        <w:fldChar w:fldCharType="separate"/>
      </w:r>
      <w:r w:rsidR="00D332B7" w:rsidRPr="0009774A">
        <w:rPr>
          <w:rFonts w:ascii="Arial" w:hAnsi="Arial" w:cs="Arial"/>
          <w:noProof/>
          <w:sz w:val="20"/>
          <w:szCs w:val="20"/>
        </w:rPr>
        <w:t xml:space="preserve">(Manu </w:t>
      </w:r>
      <w:r w:rsidR="00D332B7" w:rsidRPr="0009774A">
        <w:rPr>
          <w:rFonts w:ascii="Arial" w:hAnsi="Arial" w:cs="Arial"/>
          <w:i/>
          <w:noProof/>
          <w:sz w:val="20"/>
          <w:szCs w:val="20"/>
        </w:rPr>
        <w:t>et al.</w:t>
      </w:r>
      <w:r w:rsidR="00D332B7" w:rsidRPr="0009774A">
        <w:rPr>
          <w:rFonts w:ascii="Arial" w:hAnsi="Arial" w:cs="Arial"/>
          <w:noProof/>
          <w:sz w:val="20"/>
          <w:szCs w:val="20"/>
        </w:rPr>
        <w:t>, 2025)</w:t>
      </w:r>
      <w:r w:rsidR="00D332B7" w:rsidRPr="0009774A">
        <w:rPr>
          <w:rFonts w:ascii="Arial" w:hAnsi="Arial" w:cs="Arial"/>
          <w:sz w:val="20"/>
          <w:szCs w:val="20"/>
        </w:rPr>
        <w:fldChar w:fldCharType="end"/>
      </w:r>
    </w:p>
    <w:p w14:paraId="72BA7336" w14:textId="6F286B0F" w:rsidR="00D4277B" w:rsidRPr="0009774A" w:rsidRDefault="0093767D" w:rsidP="00D4277B">
      <w:pPr>
        <w:pStyle w:val="NormalWeb"/>
        <w:jc w:val="center"/>
        <w:rPr>
          <w:rFonts w:ascii="Arial" w:hAnsi="Arial" w:cs="Arial"/>
          <w:sz w:val="20"/>
          <w:szCs w:val="20"/>
        </w:rPr>
      </w:pPr>
      <w:r w:rsidRPr="0009774A">
        <w:rPr>
          <w:rFonts w:ascii="Arial" w:hAnsi="Arial" w:cs="Arial"/>
          <w:noProof/>
          <w:sz w:val="20"/>
          <w:szCs w:val="20"/>
        </w:rPr>
        <w:lastRenderedPageBreak/>
        <w:t>\</w:t>
      </w:r>
      <w:r w:rsidR="00D4277B" w:rsidRPr="0009774A">
        <w:rPr>
          <w:rFonts w:ascii="Arial" w:hAnsi="Arial" w:cs="Arial"/>
          <w:noProof/>
          <w:sz w:val="20"/>
          <w:szCs w:val="20"/>
        </w:rPr>
        <w:drawing>
          <wp:inline distT="0" distB="0" distL="0" distR="0" wp14:anchorId="75E2CE1C" wp14:editId="755F234B">
            <wp:extent cx="3085111" cy="1733384"/>
            <wp:effectExtent l="0" t="0" r="1270" b="635"/>
            <wp:docPr id="302491851" name="Picture 302491851" descr="A graph with red and orange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91851" name="Picture 302491851" descr="A graph with red and orange lin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26937" cy="1756884"/>
                    </a:xfrm>
                    <a:prstGeom prst="rect">
                      <a:avLst/>
                    </a:prstGeom>
                    <a:noFill/>
                    <a:ln>
                      <a:noFill/>
                    </a:ln>
                  </pic:spPr>
                </pic:pic>
              </a:graphicData>
            </a:graphic>
          </wp:inline>
        </w:drawing>
      </w:r>
    </w:p>
    <w:p w14:paraId="08A9109E" w14:textId="53DCBB9A" w:rsidR="00EA03BA" w:rsidRPr="0009774A" w:rsidRDefault="0039543B" w:rsidP="00575E17">
      <w:pPr>
        <w:pStyle w:val="NormalWeb"/>
        <w:spacing w:before="0" w:beforeAutospacing="0" w:after="0" w:afterAutospacing="0"/>
        <w:jc w:val="both"/>
        <w:rPr>
          <w:rFonts w:ascii="Arial" w:hAnsi="Arial" w:cs="Arial"/>
          <w:sz w:val="20"/>
          <w:szCs w:val="20"/>
        </w:rPr>
      </w:pPr>
      <w:r w:rsidRPr="0009774A">
        <w:rPr>
          <w:rFonts w:ascii="Arial" w:hAnsi="Arial" w:cs="Arial"/>
          <w:sz w:val="20"/>
          <w:szCs w:val="20"/>
        </w:rPr>
        <w:t xml:space="preserve">Figure 5. Polynomial Regression of Leaf Number in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Across Observation Weeks</w:t>
      </w:r>
    </w:p>
    <w:p w14:paraId="1DD018A0" w14:textId="77777777" w:rsidR="00921E74" w:rsidRPr="0009774A" w:rsidRDefault="00921E74" w:rsidP="00575E17">
      <w:pPr>
        <w:pStyle w:val="NormalWeb"/>
        <w:spacing w:before="0" w:beforeAutospacing="0" w:after="0" w:afterAutospacing="0"/>
        <w:jc w:val="both"/>
        <w:rPr>
          <w:rFonts w:ascii="Arial" w:hAnsi="Arial" w:cs="Arial"/>
          <w:sz w:val="20"/>
          <w:szCs w:val="20"/>
        </w:rPr>
      </w:pPr>
    </w:p>
    <w:p w14:paraId="694E72E8" w14:textId="3E6A0282" w:rsidR="00B82919" w:rsidRPr="0009774A" w:rsidRDefault="00B82919" w:rsidP="00B82919">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Figure 5 illustrates the polynomial regression curves representing leaf number development in </w:t>
      </w:r>
      <w:r w:rsidRPr="0009774A">
        <w:rPr>
          <w:rStyle w:val="Emphasis"/>
          <w:rFonts w:ascii="Arial" w:hAnsi="Arial" w:cs="Arial"/>
          <w:sz w:val="20"/>
          <w:szCs w:val="20"/>
        </w:rPr>
        <w:t xml:space="preserve">Brassica </w:t>
      </w:r>
      <w:proofErr w:type="spellStart"/>
      <w:r w:rsidRPr="0009774A">
        <w:rPr>
          <w:rStyle w:val="Emphasis"/>
          <w:rFonts w:ascii="Arial" w:hAnsi="Arial" w:cs="Arial"/>
          <w:sz w:val="20"/>
          <w:szCs w:val="20"/>
        </w:rPr>
        <w:t>rapa</w:t>
      </w:r>
      <w:proofErr w:type="spellEnd"/>
      <w:r w:rsidRPr="0009774A">
        <w:rPr>
          <w:rFonts w:ascii="Arial" w:hAnsi="Arial" w:cs="Arial"/>
          <w:sz w:val="20"/>
          <w:szCs w:val="20"/>
        </w:rPr>
        <w:t xml:space="preserve"> L</w:t>
      </w:r>
      <w:r w:rsidR="00F85DB8" w:rsidRPr="0009774A">
        <w:rPr>
          <w:rFonts w:ascii="Arial" w:hAnsi="Arial" w:cs="Arial"/>
          <w:sz w:val="20"/>
          <w:szCs w:val="20"/>
        </w:rPr>
        <w:t>3</w:t>
      </w:r>
      <w:r w:rsidRPr="0009774A">
        <w:rPr>
          <w:rFonts w:ascii="Arial" w:hAnsi="Arial" w:cs="Arial"/>
          <w:sz w:val="20"/>
          <w:szCs w:val="20"/>
        </w:rPr>
        <w:t xml:space="preserve"> (</w:t>
      </w:r>
      <w:proofErr w:type="spellStart"/>
      <w:r w:rsidRPr="0009774A">
        <w:rPr>
          <w:rFonts w:ascii="Arial" w:hAnsi="Arial" w:cs="Arial"/>
          <w:sz w:val="20"/>
          <w:szCs w:val="20"/>
        </w:rPr>
        <w:t>pakcoy</w:t>
      </w:r>
      <w:proofErr w:type="spellEnd"/>
      <w:r w:rsidRPr="0009774A">
        <w:rPr>
          <w:rFonts w:ascii="Arial" w:hAnsi="Arial" w:cs="Arial"/>
          <w:sz w:val="20"/>
          <w:szCs w:val="20"/>
        </w:rPr>
        <w:t>) over four weeks under different concentrations of liquid organic fertilizer (LOF). Each treatment followed a second-order polynomial trend, highlighting the interaction between nutrient dose and plant growth stage. The control group (y = –0.1367x² + 2.4378x + 1.5758) showed initial growth followed by a decline, indicating nutrient limitations in the absence of fertilization. In contrast, both 10% (y = 0.3622x² + 0.9436x + 2.5671) and 25% LOF (y = 0.2347x² + 1.9190x + 1.4639) exhibited steadily increasing leaf numbers, with the 25% treatment yielding the highest final values and the most balanced growth. The 50% LOF treatment (y = –</w:t>
      </w:r>
      <w:r w:rsidR="007F2D53" w:rsidRPr="0009774A">
        <w:rPr>
          <w:rFonts w:ascii="Arial" w:hAnsi="Arial" w:cs="Arial"/>
          <w:sz w:val="20"/>
          <w:szCs w:val="20"/>
        </w:rPr>
        <w:t xml:space="preserve"> </w:t>
      </w:r>
      <w:r w:rsidRPr="0009774A">
        <w:rPr>
          <w:rFonts w:ascii="Arial" w:hAnsi="Arial" w:cs="Arial"/>
          <w:sz w:val="20"/>
          <w:szCs w:val="20"/>
        </w:rPr>
        <w:t xml:space="preserve">0.2530x² + 3.7789x + 0.2237) demonstrated a sharp early rise but declined afterward, suggesting possible nutrient oversaturation or phytotoxicity. These patterns align with ANOVA and Tukey HSD results, reinforcing that 25% LOF provides the optimal balance between nutrient availability and physiological tolerance, supporting its use in sustainable </w:t>
      </w:r>
      <w:proofErr w:type="spellStart"/>
      <w:r w:rsidRPr="0009774A">
        <w:rPr>
          <w:rFonts w:ascii="Arial" w:hAnsi="Arial" w:cs="Arial"/>
          <w:sz w:val="20"/>
          <w:szCs w:val="20"/>
        </w:rPr>
        <w:t>pakcoy</w:t>
      </w:r>
      <w:proofErr w:type="spellEnd"/>
      <w:r w:rsidRPr="0009774A">
        <w:rPr>
          <w:rFonts w:ascii="Arial" w:hAnsi="Arial" w:cs="Arial"/>
          <w:sz w:val="20"/>
          <w:szCs w:val="20"/>
        </w:rPr>
        <w:t xml:space="preserve"> cultivation</w:t>
      </w:r>
    </w:p>
    <w:p w14:paraId="4AAC593F" w14:textId="6342AD9B" w:rsidR="00C237DB" w:rsidRPr="0009774A" w:rsidRDefault="00C237DB" w:rsidP="00C237DB">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Overall, the results of this study demonstrate that the application of liquid organic fertilizer (LOF) derived from tofu-processing wastewater had a highly significant effect on all measured growth parameters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including fresh weight, dry weight, protein content, plant height, and leaf number. Two-way ANOVA revealed that LOF concentration, observation time, and their interaction significantly influenced plant performance (p &lt; 0.0001). The subsequent Tukey HSD test provided a more detailed understanding of which specific treatment–week combinations were significantly different, with 10% LOF proving optimal during the early growth phase, and 25% LOF most effective at Week 4. Polynomial regression analysis further supported these findings, revealing consistent non-linear growth patterns. Treatments with 10–25% LOF demonstrated stable and progressive trends, while the 50% concentration showed signs of phytotoxicity. Meanwhile, the control group exhibited stable but suboptimal growth. The integration of the three analytical approaches</w:t>
      </w:r>
      <w:r w:rsidR="006B4A0F" w:rsidRPr="0009774A">
        <w:rPr>
          <w:rFonts w:ascii="Arial" w:hAnsi="Arial" w:cs="Arial"/>
          <w:sz w:val="20"/>
          <w:szCs w:val="20"/>
        </w:rPr>
        <w:t xml:space="preserve"> </w:t>
      </w:r>
      <w:r w:rsidRPr="0009774A">
        <w:rPr>
          <w:rFonts w:ascii="Arial" w:hAnsi="Arial" w:cs="Arial"/>
          <w:sz w:val="20"/>
          <w:szCs w:val="20"/>
        </w:rPr>
        <w:t>ANOVA, Tukey HSD, and polynomial regression</w:t>
      </w:r>
      <w:r w:rsidR="006B4A0F" w:rsidRPr="0009774A">
        <w:rPr>
          <w:rFonts w:ascii="Arial" w:hAnsi="Arial" w:cs="Arial"/>
          <w:sz w:val="20"/>
          <w:szCs w:val="20"/>
        </w:rPr>
        <w:t xml:space="preserve"> </w:t>
      </w:r>
      <w:r w:rsidRPr="0009774A">
        <w:rPr>
          <w:rFonts w:ascii="Arial" w:hAnsi="Arial" w:cs="Arial"/>
          <w:sz w:val="20"/>
          <w:szCs w:val="20"/>
        </w:rPr>
        <w:t>offers mutually reinforcing evidence from statistical, visual, and biological perspectives.</w:t>
      </w:r>
      <w:r w:rsidR="008B74DC" w:rsidRPr="0009774A">
        <w:rPr>
          <w:rFonts w:ascii="Arial" w:hAnsi="Arial" w:cs="Arial"/>
          <w:sz w:val="20"/>
          <w:szCs w:val="20"/>
        </w:rPr>
        <w:fldChar w:fldCharType="begin" w:fldLock="1"/>
      </w:r>
      <w:r w:rsidR="008B74DC" w:rsidRPr="0009774A">
        <w:rPr>
          <w:rFonts w:ascii="Arial" w:hAnsi="Arial" w:cs="Arial"/>
          <w:sz w:val="20"/>
          <w:szCs w:val="20"/>
        </w:rPr>
        <w:instrText>ADDIN CSL_CITATION {"citationItems":[{"id":"ITEM-1","itemData":{"ISSN":"2223-7747","author":[{"dropping-particle":"","family":"Lin","given":"Shudong","non-dropping-particle":"","parse-names":false,"suffix":""},{"dropping-particle":"","family":"Wei","given":"Kai","non-dropping-particle":"","parse-names":false,"suffix":""},{"dropping-particle":"","family":"Wang","given":"Quanjiu","non-dropping-particle":"","parse-names":false,"suffix":""},{"dropping-particle":"","family":"Sun","given":"Yan","non-dropping-particle":"","parse-names":false,"suffix":""},{"dropping-particle":"","family":"Deng","given":"Mingjiang","non-dropping-particle":"","parse-names":false,"suffix":""},{"dropping-particle":"","family":"Tao","given":"Wanghai","non-dropping-particle":"","parse-names":false,"suffix":""}],"container-title":"Plants","id":"ITEM-1","issue":"10","issued":{"date-parts":[["2024"]]},"page":"1308","publisher":"MDPI","title":"Effects of organic fertilizer on photosynthesis, yield, and quality of pakchoi under different irrigation conditions","type":"article-journal","volume":"13"},"uris":["http://www.mendeley.com/documents/?uuid=b592b362-4533-48c0-b77b-6a4ba7804ba8"]}],"mendeley":{"formattedCitation":"(Lin &lt;i&gt;et al.&lt;/i&gt;, 2024)","plainTextFormattedCitation":"(Lin et al., 2024)","previouslyFormattedCitation":"(Lin &lt;i&gt;et al.&lt;/i&gt;, 2024)"},"properties":{"noteIndex":0},"schema":"https://github.com/citation-style-language/schema/raw/master/csl-citation.json"}</w:instrText>
      </w:r>
      <w:r w:rsidR="008B74DC" w:rsidRPr="0009774A">
        <w:rPr>
          <w:rFonts w:ascii="Arial" w:hAnsi="Arial" w:cs="Arial"/>
          <w:sz w:val="20"/>
          <w:szCs w:val="20"/>
        </w:rPr>
        <w:fldChar w:fldCharType="separate"/>
      </w:r>
      <w:r w:rsidR="008B74DC" w:rsidRPr="0009774A">
        <w:rPr>
          <w:rFonts w:ascii="Arial" w:hAnsi="Arial" w:cs="Arial"/>
          <w:noProof/>
          <w:sz w:val="20"/>
          <w:szCs w:val="20"/>
        </w:rPr>
        <w:t xml:space="preserve">(Lin </w:t>
      </w:r>
      <w:r w:rsidR="008B74DC" w:rsidRPr="0009774A">
        <w:rPr>
          <w:rFonts w:ascii="Arial" w:hAnsi="Arial" w:cs="Arial"/>
          <w:i/>
          <w:noProof/>
          <w:sz w:val="20"/>
          <w:szCs w:val="20"/>
        </w:rPr>
        <w:t>et al.</w:t>
      </w:r>
      <w:r w:rsidR="008B74DC" w:rsidRPr="0009774A">
        <w:rPr>
          <w:rFonts w:ascii="Arial" w:hAnsi="Arial" w:cs="Arial"/>
          <w:noProof/>
          <w:sz w:val="20"/>
          <w:szCs w:val="20"/>
        </w:rPr>
        <w:t>, 2024)</w:t>
      </w:r>
      <w:r w:rsidR="008B74DC" w:rsidRPr="0009774A">
        <w:rPr>
          <w:rFonts w:ascii="Arial" w:hAnsi="Arial" w:cs="Arial"/>
          <w:sz w:val="20"/>
          <w:szCs w:val="20"/>
        </w:rPr>
        <w:fldChar w:fldCharType="end"/>
      </w:r>
      <w:r w:rsidR="008B74DC" w:rsidRPr="0009774A">
        <w:rPr>
          <w:rFonts w:ascii="Arial" w:hAnsi="Arial" w:cs="Arial"/>
          <w:sz w:val="20"/>
          <w:szCs w:val="20"/>
        </w:rPr>
        <w:t xml:space="preserve"> </w:t>
      </w:r>
      <w:r w:rsidR="008B74DC" w:rsidRPr="0009774A">
        <w:rPr>
          <w:rFonts w:ascii="Arial" w:hAnsi="Arial" w:cs="Arial"/>
          <w:sz w:val="20"/>
          <w:szCs w:val="20"/>
        </w:rPr>
        <w:fldChar w:fldCharType="begin" w:fldLock="1"/>
      </w:r>
      <w:r w:rsidR="008B74DC" w:rsidRPr="0009774A">
        <w:rPr>
          <w:rFonts w:ascii="Arial" w:hAnsi="Arial" w:cs="Arial"/>
          <w:sz w:val="20"/>
          <w:szCs w:val="20"/>
        </w:rPr>
        <w:instrText>ADDIN CSL_CITATION {"citationItems":[{"id":"ITEM-1","itemData":{"ISSN":"2405-8440","author":[{"dropping-particle":"","family":"Karim","given":"Ahasanul","non-dropping-particle":"","parse-names":false,"suffix":""},{"dropping-particle":"","family":"Osse","given":"Emmanuel Freddy","non-dropping-particle":"","parse-names":false,"suffix":""},{"dropping-particle":"","family":"Khalloufi","given":"Seddik","non-dropping-particle":"","parse-names":false,"suffix":""}],"container-title":"Heliyon","id":"ITEM-1","issued":{"date-parts":[["2025"]]},"publisher":"Elsevier","title":"Innovative strategies for valorization of byproducts from soybean industry: A review on status, challenges, and sustainable approaches towards zero-waste processing systems","type":"article-journal"},"uris":["http://www.mendeley.com/documents/?uuid=0433b5cb-d68f-49e1-a386-adfc57524c20"]}],"mendeley":{"formattedCitation":"(Karim, Osse and Khalloufi, 2025)","plainTextFormattedCitation":"(Karim, Osse and Khalloufi, 2025)","previouslyFormattedCitation":"(Karim, Osse and Khalloufi, 2025)"},"properties":{"noteIndex":0},"schema":"https://github.com/citation-style-language/schema/raw/master/csl-citation.json"}</w:instrText>
      </w:r>
      <w:r w:rsidR="008B74DC" w:rsidRPr="0009774A">
        <w:rPr>
          <w:rFonts w:ascii="Arial" w:hAnsi="Arial" w:cs="Arial"/>
          <w:sz w:val="20"/>
          <w:szCs w:val="20"/>
        </w:rPr>
        <w:fldChar w:fldCharType="separate"/>
      </w:r>
      <w:r w:rsidR="008B74DC" w:rsidRPr="0009774A">
        <w:rPr>
          <w:rFonts w:ascii="Arial" w:hAnsi="Arial" w:cs="Arial"/>
          <w:noProof/>
          <w:sz w:val="20"/>
          <w:szCs w:val="20"/>
        </w:rPr>
        <w:t>(Karim, Osse and Khalloufi, 2025)</w:t>
      </w:r>
      <w:r w:rsidR="008B74DC" w:rsidRPr="0009774A">
        <w:rPr>
          <w:rFonts w:ascii="Arial" w:hAnsi="Arial" w:cs="Arial"/>
          <w:sz w:val="20"/>
          <w:szCs w:val="20"/>
        </w:rPr>
        <w:fldChar w:fldCharType="end"/>
      </w:r>
    </w:p>
    <w:p w14:paraId="483AED88" w14:textId="5891A96F" w:rsidR="00C237DB" w:rsidRPr="0009774A" w:rsidRDefault="00C237DB" w:rsidP="00C237DB">
      <w:pPr>
        <w:pStyle w:val="NormalWeb"/>
        <w:spacing w:before="0" w:beforeAutospacing="0" w:after="0" w:afterAutospacing="0" w:line="276" w:lineRule="auto"/>
        <w:jc w:val="both"/>
        <w:rPr>
          <w:rFonts w:ascii="Arial" w:hAnsi="Arial" w:cs="Arial"/>
          <w:sz w:val="20"/>
          <w:szCs w:val="20"/>
        </w:rPr>
      </w:pPr>
      <w:r w:rsidRPr="0009774A">
        <w:rPr>
          <w:rFonts w:ascii="Arial" w:hAnsi="Arial" w:cs="Arial"/>
          <w:sz w:val="20"/>
          <w:szCs w:val="20"/>
        </w:rPr>
        <w:t xml:space="preserve">The novelty of this study lies in its comprehensive quantitative evaluation of tofu wastewater-derived LOF using a triangulated analytical framework that integrates advanced inferential statistics and predictive </w:t>
      </w:r>
      <w:proofErr w:type="spellStart"/>
      <w:r w:rsidRPr="0009774A">
        <w:rPr>
          <w:rFonts w:ascii="Arial" w:hAnsi="Arial" w:cs="Arial"/>
          <w:sz w:val="20"/>
          <w:szCs w:val="20"/>
        </w:rPr>
        <w:t>modeling</w:t>
      </w:r>
      <w:proofErr w:type="spellEnd"/>
      <w:r w:rsidRPr="0009774A">
        <w:rPr>
          <w:rFonts w:ascii="Arial" w:hAnsi="Arial" w:cs="Arial"/>
          <w:sz w:val="20"/>
          <w:szCs w:val="20"/>
        </w:rPr>
        <w:t xml:space="preserve">. Unlike prior studies, this research provides an in-depth, time-resolved analysis of multiple physiological growth parameters simultaneously, establishing a dose-response profile that can inform precision fertilization practices. The findings collectively suggest that a 25% LOF concentration is the most </w:t>
      </w:r>
      <w:r w:rsidRPr="0009774A">
        <w:rPr>
          <w:rFonts w:ascii="Arial" w:hAnsi="Arial" w:cs="Arial"/>
          <w:sz w:val="20"/>
          <w:szCs w:val="20"/>
        </w:rPr>
        <w:lastRenderedPageBreak/>
        <w:t>agronomically effective and sustainable dosage for later growth stages, while a 10% concentration is better suited for early vegetative development. This highlights the importance of tailored fertilization strategies based on dosage and timing, contributing to more efficient, evidence-based, and environmentally responsible organic farming practices</w:t>
      </w:r>
      <w:r w:rsidR="008B74DC" w:rsidRPr="0009774A">
        <w:rPr>
          <w:rFonts w:ascii="Arial" w:hAnsi="Arial" w:cs="Arial"/>
          <w:sz w:val="20"/>
          <w:szCs w:val="20"/>
        </w:rPr>
        <w:t xml:space="preserve"> </w:t>
      </w:r>
    </w:p>
    <w:p w14:paraId="6345F985" w14:textId="35405D06" w:rsidR="0039543B" w:rsidRPr="0009774A" w:rsidRDefault="0039543B" w:rsidP="00927CD7">
      <w:pPr>
        <w:pStyle w:val="NormalWeb"/>
        <w:spacing w:before="120" w:beforeAutospacing="0" w:after="0" w:afterAutospacing="0" w:line="276" w:lineRule="auto"/>
        <w:jc w:val="both"/>
        <w:rPr>
          <w:rFonts w:ascii="Arial" w:hAnsi="Arial" w:cs="Arial"/>
          <w:b/>
          <w:bCs/>
          <w:sz w:val="20"/>
          <w:szCs w:val="20"/>
        </w:rPr>
      </w:pPr>
      <w:r w:rsidRPr="0009774A">
        <w:rPr>
          <w:rFonts w:ascii="Arial" w:hAnsi="Arial" w:cs="Arial"/>
          <w:b/>
          <w:bCs/>
          <w:sz w:val="20"/>
          <w:szCs w:val="20"/>
        </w:rPr>
        <w:t>CONCLUSION</w:t>
      </w:r>
    </w:p>
    <w:p w14:paraId="0E4BEB2A" w14:textId="5EBA1453" w:rsidR="00CA66F5" w:rsidRPr="0009774A" w:rsidRDefault="0039543B" w:rsidP="007F493F">
      <w:pPr>
        <w:pStyle w:val="NormalWeb"/>
        <w:spacing w:before="0" w:beforeAutospacing="0" w:after="0" w:afterAutospacing="0" w:line="276" w:lineRule="auto"/>
        <w:jc w:val="both"/>
        <w:rPr>
          <w:rFonts w:ascii="Arial" w:hAnsi="Arial" w:cs="Arial"/>
          <w:b/>
          <w:bCs/>
          <w:sz w:val="20"/>
          <w:szCs w:val="20"/>
        </w:rPr>
      </w:pPr>
      <w:r w:rsidRPr="0009774A">
        <w:rPr>
          <w:rFonts w:ascii="Arial" w:hAnsi="Arial" w:cs="Arial"/>
          <w:sz w:val="20"/>
          <w:szCs w:val="20"/>
        </w:rPr>
        <w:t xml:space="preserve">This study confirms that liquid organic fertilizer (LOF) derived from tofu wastewater has a statistically significant impact on the growth performance of </w:t>
      </w:r>
      <w:r w:rsidRPr="0009774A">
        <w:rPr>
          <w:rFonts w:ascii="Arial" w:hAnsi="Arial" w:cs="Arial"/>
          <w:i/>
          <w:iCs/>
          <w:sz w:val="20"/>
          <w:szCs w:val="20"/>
        </w:rPr>
        <w:t xml:space="preserve">Brassica rapa </w:t>
      </w:r>
      <w:r w:rsidRPr="0009774A">
        <w:rPr>
          <w:rFonts w:ascii="Arial" w:hAnsi="Arial" w:cs="Arial"/>
          <w:sz w:val="20"/>
          <w:szCs w:val="20"/>
        </w:rPr>
        <w:t>L. (</w:t>
      </w:r>
      <w:proofErr w:type="spellStart"/>
      <w:r w:rsidRPr="0009774A">
        <w:rPr>
          <w:rFonts w:ascii="Arial" w:hAnsi="Arial" w:cs="Arial"/>
          <w:sz w:val="20"/>
          <w:szCs w:val="20"/>
        </w:rPr>
        <w:t>pakcoy</w:t>
      </w:r>
      <w:proofErr w:type="spellEnd"/>
      <w:r w:rsidRPr="0009774A">
        <w:rPr>
          <w:rFonts w:ascii="Arial" w:hAnsi="Arial" w:cs="Arial"/>
          <w:sz w:val="20"/>
          <w:szCs w:val="20"/>
        </w:rPr>
        <w:t>), as measured by five key parameters: fresh weight, dry weight, protein content, plant height, and leaf number. The combination of two-way ANOVA, Tukey HSD, and polynomial regression consistently identified 25% LOF as the most effective treatment overall, particularly at Week 4, resulting in stable and significant improvements across all variables. The 10% LOF concentration was beneficial during the early growth phase, whereas 50% LOF was associated with decreased effectiveness likely due to nutrient oversaturation.</w:t>
      </w:r>
      <w:r w:rsidR="005F0096" w:rsidRPr="0009774A">
        <w:rPr>
          <w:rFonts w:ascii="Arial" w:hAnsi="Arial" w:cs="Arial"/>
          <w:sz w:val="20"/>
          <w:szCs w:val="20"/>
        </w:rPr>
        <w:t xml:space="preserve">  </w:t>
      </w:r>
      <w:r w:rsidRPr="0009774A">
        <w:rPr>
          <w:rFonts w:ascii="Arial" w:hAnsi="Arial" w:cs="Arial"/>
          <w:sz w:val="20"/>
          <w:szCs w:val="20"/>
        </w:rPr>
        <w:t>These findings underscore the importance of precision nutrient management strategies based on optimal dosage and application timing, offering practical insights for advancing sustainable, organic vegetable production systems.</w:t>
      </w:r>
    </w:p>
    <w:p w14:paraId="4717089E" w14:textId="77777777" w:rsidR="00B82919" w:rsidRPr="0009774A" w:rsidRDefault="00B82919" w:rsidP="007F493F">
      <w:pPr>
        <w:pStyle w:val="NormalWeb"/>
        <w:spacing w:before="0" w:beforeAutospacing="0" w:after="0" w:afterAutospacing="0" w:line="276" w:lineRule="auto"/>
        <w:jc w:val="both"/>
        <w:rPr>
          <w:rFonts w:ascii="Arial" w:hAnsi="Arial" w:cs="Arial"/>
          <w:b/>
          <w:bCs/>
          <w:sz w:val="20"/>
          <w:szCs w:val="20"/>
        </w:rPr>
      </w:pPr>
    </w:p>
    <w:p w14:paraId="6BA60DFB" w14:textId="77777777" w:rsidR="0009774A" w:rsidRPr="0009774A" w:rsidRDefault="0009774A" w:rsidP="0009774A">
      <w:pPr>
        <w:spacing w:before="120" w:after="0" w:line="276" w:lineRule="auto"/>
        <w:jc w:val="both"/>
        <w:outlineLvl w:val="2"/>
        <w:rPr>
          <w:rFonts w:cs="Arial"/>
          <w:b/>
          <w:bCs/>
          <w:sz w:val="20"/>
          <w:szCs w:val="20"/>
          <w:lang w:eastAsia="en-ID"/>
        </w:rPr>
      </w:pPr>
      <w:bookmarkStart w:id="1" w:name="_GoBack"/>
      <w:bookmarkEnd w:id="1"/>
      <w:r w:rsidRPr="0009774A">
        <w:rPr>
          <w:rFonts w:cs="Arial"/>
          <w:b/>
          <w:bCs/>
          <w:sz w:val="20"/>
          <w:szCs w:val="20"/>
          <w:lang w:eastAsia="en-ID"/>
        </w:rPr>
        <w:t>COMPETING INTERESTS</w:t>
      </w:r>
    </w:p>
    <w:p w14:paraId="5C7357A9" w14:textId="77777777" w:rsidR="0009774A" w:rsidRPr="0009774A" w:rsidRDefault="0009774A" w:rsidP="0009774A">
      <w:pPr>
        <w:spacing w:before="120" w:after="0" w:line="276" w:lineRule="auto"/>
        <w:jc w:val="both"/>
        <w:rPr>
          <w:rFonts w:cs="Arial"/>
          <w:sz w:val="20"/>
          <w:szCs w:val="20"/>
          <w:lang w:eastAsia="en-ID"/>
        </w:rPr>
      </w:pPr>
      <w:r w:rsidRPr="0009774A">
        <w:rPr>
          <w:rFonts w:cs="Arial"/>
          <w:sz w:val="20"/>
          <w:szCs w:val="20"/>
          <w:lang w:eastAsia="en-ID"/>
        </w:rPr>
        <w:t>The authors declare no competing interests regarding the publication of this manuscript.</w:t>
      </w:r>
    </w:p>
    <w:p w14:paraId="4FF6C370" w14:textId="77777777" w:rsidR="0009774A" w:rsidRPr="0009774A" w:rsidRDefault="0009774A" w:rsidP="0009774A">
      <w:pPr>
        <w:spacing w:before="120" w:after="0" w:line="276" w:lineRule="auto"/>
        <w:jc w:val="both"/>
        <w:outlineLvl w:val="2"/>
        <w:rPr>
          <w:rFonts w:cs="Arial"/>
          <w:b/>
          <w:bCs/>
          <w:sz w:val="20"/>
          <w:szCs w:val="20"/>
          <w:lang w:eastAsia="en-ID"/>
        </w:rPr>
      </w:pPr>
      <w:r w:rsidRPr="0009774A">
        <w:rPr>
          <w:rFonts w:cs="Arial"/>
          <w:b/>
          <w:bCs/>
          <w:sz w:val="20"/>
          <w:szCs w:val="20"/>
          <w:lang w:eastAsia="en-ID"/>
        </w:rPr>
        <w:t>ETHICAL ISSUES</w:t>
      </w:r>
    </w:p>
    <w:p w14:paraId="48B47FBF" w14:textId="77777777" w:rsidR="0009774A" w:rsidRPr="0009774A" w:rsidRDefault="0009774A" w:rsidP="0009774A">
      <w:pPr>
        <w:spacing w:before="120" w:after="0" w:line="276" w:lineRule="auto"/>
        <w:jc w:val="both"/>
        <w:rPr>
          <w:rFonts w:cs="Arial"/>
          <w:sz w:val="20"/>
          <w:szCs w:val="20"/>
          <w:lang w:eastAsia="en-ID"/>
        </w:rPr>
      </w:pPr>
      <w:r w:rsidRPr="0009774A">
        <w:rPr>
          <w:rFonts w:cs="Arial"/>
          <w:sz w:val="20"/>
          <w:szCs w:val="20"/>
          <w:lang w:eastAsia="en-ID"/>
        </w:rPr>
        <w:t>This study was conducted in accordance with institutional and ethical standards. All data are original, obtained directly from the research process, and have not been previously published or submitted elsewhere.</w:t>
      </w:r>
    </w:p>
    <w:p w14:paraId="4E108FE4" w14:textId="77777777" w:rsidR="0009774A" w:rsidRPr="0009774A" w:rsidRDefault="0009774A" w:rsidP="008D306A">
      <w:pPr>
        <w:pStyle w:val="NormalWeb"/>
        <w:spacing w:before="0" w:beforeAutospacing="0" w:after="120" w:afterAutospacing="0" w:line="276" w:lineRule="auto"/>
        <w:jc w:val="both"/>
        <w:rPr>
          <w:rFonts w:ascii="Arial" w:hAnsi="Arial" w:cs="Arial"/>
          <w:sz w:val="20"/>
          <w:szCs w:val="20"/>
        </w:rPr>
      </w:pPr>
    </w:p>
    <w:p w14:paraId="76CE4027" w14:textId="77777777" w:rsidR="007F493F" w:rsidRPr="0009774A" w:rsidRDefault="007F493F" w:rsidP="00C00428">
      <w:pPr>
        <w:pStyle w:val="NormalWeb"/>
        <w:spacing w:before="0" w:beforeAutospacing="0" w:after="0" w:afterAutospacing="0" w:line="276" w:lineRule="auto"/>
        <w:jc w:val="both"/>
        <w:rPr>
          <w:rFonts w:ascii="Arial" w:hAnsi="Arial" w:cs="Arial"/>
          <w:sz w:val="20"/>
          <w:szCs w:val="20"/>
        </w:rPr>
      </w:pPr>
    </w:p>
    <w:p w14:paraId="65B4F536" w14:textId="3643F13E" w:rsidR="00E33EF7" w:rsidRPr="0009774A" w:rsidRDefault="00E33EF7" w:rsidP="00C00428">
      <w:pPr>
        <w:pStyle w:val="NormalWeb"/>
        <w:spacing w:before="0" w:beforeAutospacing="0" w:after="0" w:afterAutospacing="0" w:line="276" w:lineRule="auto"/>
        <w:jc w:val="both"/>
        <w:rPr>
          <w:rFonts w:ascii="Arial" w:hAnsi="Arial" w:cs="Arial"/>
          <w:b/>
          <w:bCs/>
          <w:sz w:val="20"/>
          <w:szCs w:val="20"/>
        </w:rPr>
      </w:pPr>
      <w:r w:rsidRPr="0009774A">
        <w:rPr>
          <w:rFonts w:ascii="Arial" w:hAnsi="Arial" w:cs="Arial"/>
          <w:b/>
          <w:bCs/>
          <w:sz w:val="20"/>
          <w:szCs w:val="20"/>
        </w:rPr>
        <w:t>REFERENCE</w:t>
      </w:r>
    </w:p>
    <w:p w14:paraId="0DC29EBF" w14:textId="77777777" w:rsidR="008B74DC" w:rsidRPr="0009774A" w:rsidRDefault="008B74DC" w:rsidP="00C00428">
      <w:pPr>
        <w:pStyle w:val="NormalWeb"/>
        <w:spacing w:before="0" w:beforeAutospacing="0" w:after="0" w:afterAutospacing="0" w:line="276" w:lineRule="auto"/>
        <w:jc w:val="both"/>
        <w:rPr>
          <w:rFonts w:ascii="Arial" w:hAnsi="Arial" w:cs="Arial"/>
          <w:b/>
          <w:bCs/>
          <w:sz w:val="20"/>
          <w:szCs w:val="20"/>
        </w:rPr>
      </w:pPr>
    </w:p>
    <w:p w14:paraId="2122046E" w14:textId="7DBFDD5B" w:rsidR="0015738E" w:rsidRPr="0009774A" w:rsidRDefault="002215E6"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b/>
          <w:bCs/>
          <w:sz w:val="20"/>
          <w:szCs w:val="20"/>
        </w:rPr>
        <w:fldChar w:fldCharType="begin" w:fldLock="1"/>
      </w:r>
      <w:r w:rsidRPr="0009774A">
        <w:rPr>
          <w:rFonts w:cs="Arial"/>
          <w:b/>
          <w:bCs/>
          <w:sz w:val="20"/>
          <w:szCs w:val="20"/>
        </w:rPr>
        <w:instrText xml:space="preserve">ADDIN Mendeley Bibliography CSL_BIBLIOGRAPHY </w:instrText>
      </w:r>
      <w:r w:rsidRPr="0009774A">
        <w:rPr>
          <w:rFonts w:cs="Arial"/>
          <w:b/>
          <w:bCs/>
          <w:sz w:val="20"/>
          <w:szCs w:val="20"/>
        </w:rPr>
        <w:fldChar w:fldCharType="separate"/>
      </w:r>
      <w:r w:rsidR="0015738E" w:rsidRPr="0009774A">
        <w:rPr>
          <w:rFonts w:cs="Arial"/>
          <w:noProof/>
          <w:sz w:val="20"/>
          <w:szCs w:val="20"/>
        </w:rPr>
        <w:t xml:space="preserve">Afifah, R.N., Setyono, P. and Rachmawati, S. (2024) ‘Utilization of WWTP Output into Liquid Organic Fertilizer on the Growth of Pak Choi (Brassica rapa L.).’, </w:t>
      </w:r>
      <w:r w:rsidR="0015738E" w:rsidRPr="0009774A">
        <w:rPr>
          <w:rFonts w:cs="Arial"/>
          <w:i/>
          <w:iCs/>
          <w:noProof/>
          <w:sz w:val="20"/>
          <w:szCs w:val="20"/>
        </w:rPr>
        <w:t>Journal of Ecological Engineering</w:t>
      </w:r>
      <w:r w:rsidR="0015738E" w:rsidRPr="0009774A">
        <w:rPr>
          <w:rFonts w:cs="Arial"/>
          <w:noProof/>
          <w:sz w:val="20"/>
          <w:szCs w:val="20"/>
        </w:rPr>
        <w:t>, 25(10).</w:t>
      </w:r>
    </w:p>
    <w:p w14:paraId="3110C707"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Bekele, A.E., Lemu, H.G. and Jiru, M.G. (2022) ‘Experimental study of physical, chemical and mechanical properties of enset and sisal fibers’, </w:t>
      </w:r>
      <w:r w:rsidRPr="0009774A">
        <w:rPr>
          <w:rFonts w:cs="Arial"/>
          <w:i/>
          <w:iCs/>
          <w:noProof/>
          <w:sz w:val="20"/>
          <w:szCs w:val="20"/>
        </w:rPr>
        <w:t>Polymer testing</w:t>
      </w:r>
      <w:r w:rsidRPr="0009774A">
        <w:rPr>
          <w:rFonts w:cs="Arial"/>
          <w:noProof/>
          <w:sz w:val="20"/>
          <w:szCs w:val="20"/>
        </w:rPr>
        <w:t>, 106, p. 107453.</w:t>
      </w:r>
    </w:p>
    <w:p w14:paraId="6BB033ED"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Budiman, M. </w:t>
      </w:r>
      <w:r w:rsidRPr="0009774A">
        <w:rPr>
          <w:rFonts w:cs="Arial"/>
          <w:i/>
          <w:iCs/>
          <w:noProof/>
          <w:sz w:val="20"/>
          <w:szCs w:val="20"/>
        </w:rPr>
        <w:t>et al.</w:t>
      </w:r>
      <w:r w:rsidRPr="0009774A">
        <w:rPr>
          <w:rFonts w:cs="Arial"/>
          <w:noProof/>
          <w:sz w:val="20"/>
          <w:szCs w:val="20"/>
        </w:rPr>
        <w:t xml:space="preserve"> (2022) ‘Study of the Effect of Physical Parameters on Commercial Hydroponics Based on Internet of Things (IoT): A Case Study of Bok Coy Plants (Brassica rapa) and Water Spinach (Ipomoea Aquatica)’, </w:t>
      </w:r>
      <w:r w:rsidRPr="0009774A">
        <w:rPr>
          <w:rFonts w:cs="Arial"/>
          <w:i/>
          <w:iCs/>
          <w:noProof/>
          <w:sz w:val="20"/>
          <w:szCs w:val="20"/>
        </w:rPr>
        <w:t>Journal of Mathematical and Fundamental Sciences</w:t>
      </w:r>
      <w:r w:rsidRPr="0009774A">
        <w:rPr>
          <w:rFonts w:cs="Arial"/>
          <w:noProof/>
          <w:sz w:val="20"/>
          <w:szCs w:val="20"/>
        </w:rPr>
        <w:t>, 54(2).</w:t>
      </w:r>
    </w:p>
    <w:p w14:paraId="61C509E0"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Chaorlina, A., Setyaningsih, M. and Faruq, H. (2021) ‘The utilization of tofu waste water as an addition of nutrition in hydroponic media to lettuce growth (Lactuca sativa L.)’, in </w:t>
      </w:r>
      <w:r w:rsidRPr="0009774A">
        <w:rPr>
          <w:rFonts w:cs="Arial"/>
          <w:i/>
          <w:iCs/>
          <w:noProof/>
          <w:sz w:val="20"/>
          <w:szCs w:val="20"/>
        </w:rPr>
        <w:t>IOP Conference Series: Earth and Environmental Science</w:t>
      </w:r>
      <w:r w:rsidRPr="0009774A">
        <w:rPr>
          <w:rFonts w:cs="Arial"/>
          <w:noProof/>
          <w:sz w:val="20"/>
          <w:szCs w:val="20"/>
        </w:rPr>
        <w:t>. IOP Publishing, p. 12049.</w:t>
      </w:r>
    </w:p>
    <w:p w14:paraId="5F18BD1A"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Fadilah, L.N., Lakitan, B. and Marlina, M. (2022) ‘Effects of shading on the growth of the purple pakchoy (Brassica rapa var. Chinensis) in the urban ecosystem’.</w:t>
      </w:r>
    </w:p>
    <w:p w14:paraId="531B6968"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Faisal, M. </w:t>
      </w:r>
      <w:r w:rsidRPr="0009774A">
        <w:rPr>
          <w:rFonts w:cs="Arial"/>
          <w:i/>
          <w:iCs/>
          <w:noProof/>
          <w:sz w:val="20"/>
          <w:szCs w:val="20"/>
        </w:rPr>
        <w:t>et al.</w:t>
      </w:r>
      <w:r w:rsidRPr="0009774A">
        <w:rPr>
          <w:rFonts w:cs="Arial"/>
          <w:noProof/>
          <w:sz w:val="20"/>
          <w:szCs w:val="20"/>
        </w:rPr>
        <w:t xml:space="preserve"> (2016) ‘Treatment and utilization of industrial tofu waste in Indonesia.’, </w:t>
      </w:r>
      <w:r w:rsidRPr="0009774A">
        <w:rPr>
          <w:rFonts w:cs="Arial"/>
          <w:i/>
          <w:iCs/>
          <w:noProof/>
          <w:sz w:val="20"/>
          <w:szCs w:val="20"/>
        </w:rPr>
        <w:t>Asian Journal of Chemistry</w:t>
      </w:r>
      <w:r w:rsidRPr="0009774A">
        <w:rPr>
          <w:rFonts w:cs="Arial"/>
          <w:noProof/>
          <w:sz w:val="20"/>
          <w:szCs w:val="20"/>
        </w:rPr>
        <w:t>, 28(3).</w:t>
      </w:r>
    </w:p>
    <w:p w14:paraId="5DA7A840"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Gupta, C. </w:t>
      </w:r>
      <w:r w:rsidRPr="0009774A">
        <w:rPr>
          <w:rFonts w:cs="Arial"/>
          <w:i/>
          <w:iCs/>
          <w:noProof/>
          <w:sz w:val="20"/>
          <w:szCs w:val="20"/>
        </w:rPr>
        <w:t>et al.</w:t>
      </w:r>
      <w:r w:rsidRPr="0009774A">
        <w:rPr>
          <w:rFonts w:cs="Arial"/>
          <w:noProof/>
          <w:sz w:val="20"/>
          <w:szCs w:val="20"/>
        </w:rPr>
        <w:t xml:space="preserve"> (2022) ‘An image processing approach for measurement of chili plant height </w:t>
      </w:r>
      <w:r w:rsidRPr="0009774A">
        <w:rPr>
          <w:rFonts w:cs="Arial"/>
          <w:noProof/>
          <w:sz w:val="20"/>
          <w:szCs w:val="20"/>
        </w:rPr>
        <w:lastRenderedPageBreak/>
        <w:t xml:space="preserve">and width under field conditions’, </w:t>
      </w:r>
      <w:r w:rsidRPr="0009774A">
        <w:rPr>
          <w:rFonts w:cs="Arial"/>
          <w:i/>
          <w:iCs/>
          <w:noProof/>
          <w:sz w:val="20"/>
          <w:szCs w:val="20"/>
        </w:rPr>
        <w:t>Journal of the Saudi Society of Agricultural Sciences</w:t>
      </w:r>
      <w:r w:rsidRPr="0009774A">
        <w:rPr>
          <w:rFonts w:cs="Arial"/>
          <w:noProof/>
          <w:sz w:val="20"/>
          <w:szCs w:val="20"/>
        </w:rPr>
        <w:t>, 21(3), pp. 171–179.</w:t>
      </w:r>
    </w:p>
    <w:p w14:paraId="03EE878E"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Harahap, J., Nasution, N.H.A. and Angraeni, R. (2023) ‘The Role of Home Industry in Improving Family Welfare of Tofu Home Industry Employees According to Islamic Economics in Aek Lancat Village, Lubuk Barumun District.’, </w:t>
      </w:r>
      <w:r w:rsidRPr="0009774A">
        <w:rPr>
          <w:rFonts w:cs="Arial"/>
          <w:i/>
          <w:iCs/>
          <w:noProof/>
          <w:sz w:val="20"/>
          <w:szCs w:val="20"/>
        </w:rPr>
        <w:t>International Journal of Economics (IJEC)</w:t>
      </w:r>
      <w:r w:rsidRPr="0009774A">
        <w:rPr>
          <w:rFonts w:cs="Arial"/>
          <w:noProof/>
          <w:sz w:val="20"/>
          <w:szCs w:val="20"/>
        </w:rPr>
        <w:t>, 2(1).</w:t>
      </w:r>
    </w:p>
    <w:p w14:paraId="70D30011"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Hardiansyah, P., Nurjanah, U. and Widodo, W. (2019) ‘Growth response and yield of Pakcoy (Brassica rapa L.) on various concentrations liquid organic fertilizer of Jiringa hulls [Phithecellobium jiringa (Jack) Prain Ex King]’, </w:t>
      </w:r>
      <w:r w:rsidRPr="0009774A">
        <w:rPr>
          <w:rFonts w:cs="Arial"/>
          <w:i/>
          <w:iCs/>
          <w:noProof/>
          <w:sz w:val="20"/>
          <w:szCs w:val="20"/>
        </w:rPr>
        <w:t>Akta Agrosia</w:t>
      </w:r>
      <w:r w:rsidRPr="0009774A">
        <w:rPr>
          <w:rFonts w:cs="Arial"/>
          <w:noProof/>
          <w:sz w:val="20"/>
          <w:szCs w:val="20"/>
        </w:rPr>
        <w:t>, 22(2), pp. 43–49.</w:t>
      </w:r>
    </w:p>
    <w:p w14:paraId="69B66FD4"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Ibañez, R.Y., Balansag, G.C. and Puod, N.G.D. (2025) ‘Effects of Different Manures on the Growth Performance of Pechay (Brassica rapa L.) Under Visayas State University Condition’, </w:t>
      </w:r>
      <w:r w:rsidRPr="0009774A">
        <w:rPr>
          <w:rFonts w:cs="Arial"/>
          <w:i/>
          <w:iCs/>
          <w:noProof/>
          <w:sz w:val="20"/>
          <w:szCs w:val="20"/>
        </w:rPr>
        <w:t>ASEAN Journal of Scientific and Technological Reports</w:t>
      </w:r>
      <w:r w:rsidRPr="0009774A">
        <w:rPr>
          <w:rFonts w:cs="Arial"/>
          <w:noProof/>
          <w:sz w:val="20"/>
          <w:szCs w:val="20"/>
        </w:rPr>
        <w:t>, 28(1), pp. e255634–e255634.</w:t>
      </w:r>
    </w:p>
    <w:p w14:paraId="16ED0856"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Ichwan, B. </w:t>
      </w:r>
      <w:r w:rsidRPr="0009774A">
        <w:rPr>
          <w:rFonts w:cs="Arial"/>
          <w:i/>
          <w:iCs/>
          <w:noProof/>
          <w:sz w:val="20"/>
          <w:szCs w:val="20"/>
        </w:rPr>
        <w:t>et al.</w:t>
      </w:r>
      <w:r w:rsidRPr="0009774A">
        <w:rPr>
          <w:rFonts w:cs="Arial"/>
          <w:noProof/>
          <w:sz w:val="20"/>
          <w:szCs w:val="20"/>
        </w:rPr>
        <w:t xml:space="preserve"> (2023) ‘Pakcoy’s (Brassica rapa L.) Response to the Provision of Liquid Organic Fertilizer in Polybags’, </w:t>
      </w:r>
      <w:r w:rsidRPr="0009774A">
        <w:rPr>
          <w:rFonts w:cs="Arial"/>
          <w:i/>
          <w:iCs/>
          <w:noProof/>
          <w:sz w:val="20"/>
          <w:szCs w:val="20"/>
        </w:rPr>
        <w:t>Jurnal Lahan Suboptimal : Journal of Suboptimal Lands</w:t>
      </w:r>
      <w:r w:rsidRPr="0009774A">
        <w:rPr>
          <w:rFonts w:cs="Arial"/>
          <w:noProof/>
          <w:sz w:val="20"/>
          <w:szCs w:val="20"/>
        </w:rPr>
        <w:t>, 12, pp. 121–128. Available at: https://doi.org/10.36706/jlso.12.2.2023.631.</w:t>
      </w:r>
    </w:p>
    <w:p w14:paraId="1E65896F"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Idris, M. </w:t>
      </w:r>
      <w:r w:rsidRPr="0009774A">
        <w:rPr>
          <w:rFonts w:cs="Arial"/>
          <w:i/>
          <w:iCs/>
          <w:noProof/>
          <w:sz w:val="20"/>
          <w:szCs w:val="20"/>
        </w:rPr>
        <w:t>et al.</w:t>
      </w:r>
      <w:r w:rsidRPr="0009774A">
        <w:rPr>
          <w:rFonts w:cs="Arial"/>
          <w:noProof/>
          <w:sz w:val="20"/>
          <w:szCs w:val="20"/>
        </w:rPr>
        <w:t xml:space="preserve"> (2023) ‘The effect of fish waste and duck manure on the growth and yield of pak choi’, </w:t>
      </w:r>
      <w:r w:rsidRPr="0009774A">
        <w:rPr>
          <w:rFonts w:cs="Arial"/>
          <w:i/>
          <w:iCs/>
          <w:noProof/>
          <w:sz w:val="20"/>
          <w:szCs w:val="20"/>
        </w:rPr>
        <w:t>Journal of Water and Land Development</w:t>
      </w:r>
      <w:r w:rsidRPr="0009774A">
        <w:rPr>
          <w:rFonts w:cs="Arial"/>
          <w:noProof/>
          <w:sz w:val="20"/>
          <w:szCs w:val="20"/>
        </w:rPr>
        <w:t xml:space="preserve"> [Preprint].</w:t>
      </w:r>
    </w:p>
    <w:p w14:paraId="38563806"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Karim, A., Osse, E.F. and Khalloufi, S. (2025) ‘Innovative strategies for valorization of byproducts from soybean industry: A review on status, challenges, and sustainable approaches towards zero-waste processing systems’, </w:t>
      </w:r>
      <w:r w:rsidRPr="0009774A">
        <w:rPr>
          <w:rFonts w:cs="Arial"/>
          <w:i/>
          <w:iCs/>
          <w:noProof/>
          <w:sz w:val="20"/>
          <w:szCs w:val="20"/>
        </w:rPr>
        <w:t>Heliyon</w:t>
      </w:r>
      <w:r w:rsidRPr="0009774A">
        <w:rPr>
          <w:rFonts w:cs="Arial"/>
          <w:noProof/>
          <w:sz w:val="20"/>
          <w:szCs w:val="20"/>
        </w:rPr>
        <w:t xml:space="preserve"> [Preprint].</w:t>
      </w:r>
    </w:p>
    <w:p w14:paraId="5EB009B5"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Lebel, R. </w:t>
      </w:r>
      <w:r w:rsidRPr="0009774A">
        <w:rPr>
          <w:rFonts w:cs="Arial"/>
          <w:i/>
          <w:iCs/>
          <w:noProof/>
          <w:sz w:val="20"/>
          <w:szCs w:val="20"/>
        </w:rPr>
        <w:t>et al.</w:t>
      </w:r>
      <w:r w:rsidRPr="0009774A">
        <w:rPr>
          <w:rFonts w:cs="Arial"/>
          <w:noProof/>
          <w:sz w:val="20"/>
          <w:szCs w:val="20"/>
        </w:rPr>
        <w:t xml:space="preserve"> (2025) ‘The effects of biosolid microplastics on rhizosphere respiration of root exudates in Glycine max’, </w:t>
      </w:r>
      <w:r w:rsidRPr="0009774A">
        <w:rPr>
          <w:rFonts w:cs="Arial"/>
          <w:i/>
          <w:iCs/>
          <w:noProof/>
          <w:sz w:val="20"/>
          <w:szCs w:val="20"/>
        </w:rPr>
        <w:t>Applied Soil Ecology</w:t>
      </w:r>
      <w:r w:rsidRPr="0009774A">
        <w:rPr>
          <w:rFonts w:cs="Arial"/>
          <w:noProof/>
          <w:sz w:val="20"/>
          <w:szCs w:val="20"/>
        </w:rPr>
        <w:t>, 206, p. 105851.</w:t>
      </w:r>
    </w:p>
    <w:p w14:paraId="22714231"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Lin, S. </w:t>
      </w:r>
      <w:r w:rsidRPr="0009774A">
        <w:rPr>
          <w:rFonts w:cs="Arial"/>
          <w:i/>
          <w:iCs/>
          <w:noProof/>
          <w:sz w:val="20"/>
          <w:szCs w:val="20"/>
        </w:rPr>
        <w:t>et al.</w:t>
      </w:r>
      <w:r w:rsidRPr="0009774A">
        <w:rPr>
          <w:rFonts w:cs="Arial"/>
          <w:noProof/>
          <w:sz w:val="20"/>
          <w:szCs w:val="20"/>
        </w:rPr>
        <w:t xml:space="preserve"> (2024) ‘Effects of organic fertilizer on photosynthesis, yield, and quality of pakchoi under different irrigation conditions’, </w:t>
      </w:r>
      <w:r w:rsidRPr="0009774A">
        <w:rPr>
          <w:rFonts w:cs="Arial"/>
          <w:i/>
          <w:iCs/>
          <w:noProof/>
          <w:sz w:val="20"/>
          <w:szCs w:val="20"/>
        </w:rPr>
        <w:t>Plants</w:t>
      </w:r>
      <w:r w:rsidRPr="0009774A">
        <w:rPr>
          <w:rFonts w:cs="Arial"/>
          <w:noProof/>
          <w:sz w:val="20"/>
          <w:szCs w:val="20"/>
        </w:rPr>
        <w:t>, 13(10), p. 1308.</w:t>
      </w:r>
    </w:p>
    <w:p w14:paraId="6E0518AE"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Manu, C.M. </w:t>
      </w:r>
      <w:r w:rsidRPr="0009774A">
        <w:rPr>
          <w:rFonts w:cs="Arial"/>
          <w:i/>
          <w:iCs/>
          <w:noProof/>
          <w:sz w:val="20"/>
          <w:szCs w:val="20"/>
        </w:rPr>
        <w:t>et al.</w:t>
      </w:r>
      <w:r w:rsidRPr="0009774A">
        <w:rPr>
          <w:rFonts w:cs="Arial"/>
          <w:noProof/>
          <w:sz w:val="20"/>
          <w:szCs w:val="20"/>
        </w:rPr>
        <w:t xml:space="preserve"> (2025) ‘Response of Growth and Yield of Pakcoy Mustard Plants (Brassica rapa L.) to the Application of Growth Regulatory Substances’, </w:t>
      </w:r>
      <w:r w:rsidRPr="0009774A">
        <w:rPr>
          <w:rFonts w:cs="Arial"/>
          <w:i/>
          <w:iCs/>
          <w:noProof/>
          <w:sz w:val="20"/>
          <w:szCs w:val="20"/>
        </w:rPr>
        <w:t>Jurnal Biologi Tropis</w:t>
      </w:r>
      <w:r w:rsidRPr="0009774A">
        <w:rPr>
          <w:rFonts w:cs="Arial"/>
          <w:noProof/>
          <w:sz w:val="20"/>
          <w:szCs w:val="20"/>
        </w:rPr>
        <w:t>, 25(1), pp. 852–855.</w:t>
      </w:r>
    </w:p>
    <w:p w14:paraId="5490C4F8"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McClements, D.J. </w:t>
      </w:r>
      <w:r w:rsidRPr="0009774A">
        <w:rPr>
          <w:rFonts w:cs="Arial"/>
          <w:i/>
          <w:iCs/>
          <w:noProof/>
          <w:sz w:val="20"/>
          <w:szCs w:val="20"/>
        </w:rPr>
        <w:t>et al.</w:t>
      </w:r>
      <w:r w:rsidRPr="0009774A">
        <w:rPr>
          <w:rFonts w:cs="Arial"/>
          <w:noProof/>
          <w:sz w:val="20"/>
          <w:szCs w:val="20"/>
        </w:rPr>
        <w:t xml:space="preserve"> (2021) ‘Methods for testing the quality attributes of plant-based foods: Meat-and processed-meat analogs’, </w:t>
      </w:r>
      <w:r w:rsidRPr="0009774A">
        <w:rPr>
          <w:rFonts w:cs="Arial"/>
          <w:i/>
          <w:iCs/>
          <w:noProof/>
          <w:sz w:val="20"/>
          <w:szCs w:val="20"/>
        </w:rPr>
        <w:t>Foods</w:t>
      </w:r>
      <w:r w:rsidRPr="0009774A">
        <w:rPr>
          <w:rFonts w:cs="Arial"/>
          <w:noProof/>
          <w:sz w:val="20"/>
          <w:szCs w:val="20"/>
        </w:rPr>
        <w:t>, 10(2), p. 260.</w:t>
      </w:r>
    </w:p>
    <w:p w14:paraId="50E13E60"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Mustofa, M.J., Prihatiningrum, A.E. and Nurmalasari, I.R. (2022) ‘Effect of types and concentration of liquid organic fertilizer on the growth and production of pakcoy plants (Brassica rapa L.)’, in </w:t>
      </w:r>
      <w:r w:rsidRPr="0009774A">
        <w:rPr>
          <w:rFonts w:cs="Arial"/>
          <w:i/>
          <w:iCs/>
          <w:noProof/>
          <w:sz w:val="20"/>
          <w:szCs w:val="20"/>
        </w:rPr>
        <w:t>IOP Conference Series: Earth and Environmental Science</w:t>
      </w:r>
      <w:r w:rsidRPr="0009774A">
        <w:rPr>
          <w:rFonts w:cs="Arial"/>
          <w:noProof/>
          <w:sz w:val="20"/>
          <w:szCs w:val="20"/>
        </w:rPr>
        <w:t>. IOP Publishing, p. 12010.</w:t>
      </w:r>
    </w:p>
    <w:p w14:paraId="6C22D25F"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Nkoa, R. </w:t>
      </w:r>
      <w:r w:rsidRPr="0009774A">
        <w:rPr>
          <w:rFonts w:cs="Arial"/>
          <w:i/>
          <w:iCs/>
          <w:noProof/>
          <w:sz w:val="20"/>
          <w:szCs w:val="20"/>
        </w:rPr>
        <w:t>et al.</w:t>
      </w:r>
      <w:r w:rsidRPr="0009774A">
        <w:rPr>
          <w:rFonts w:cs="Arial"/>
          <w:noProof/>
          <w:sz w:val="20"/>
          <w:szCs w:val="20"/>
        </w:rPr>
        <w:t xml:space="preserve"> (2003) ‘A mathematical model for nitrogen demand quantification and a link to broccoli (Brassica oleracea var. italica) glutamine synthetase activity’, </w:t>
      </w:r>
      <w:r w:rsidRPr="0009774A">
        <w:rPr>
          <w:rFonts w:cs="Arial"/>
          <w:i/>
          <w:iCs/>
          <w:noProof/>
          <w:sz w:val="20"/>
          <w:szCs w:val="20"/>
        </w:rPr>
        <w:t>Plant Science</w:t>
      </w:r>
      <w:r w:rsidRPr="0009774A">
        <w:rPr>
          <w:rFonts w:cs="Arial"/>
          <w:noProof/>
          <w:sz w:val="20"/>
          <w:szCs w:val="20"/>
        </w:rPr>
        <w:t>, 165(3), pp. 483–496.</w:t>
      </w:r>
    </w:p>
    <w:p w14:paraId="0EED7D20"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Persulessy, A.E. </w:t>
      </w:r>
      <w:r w:rsidRPr="0009774A">
        <w:rPr>
          <w:rFonts w:cs="Arial"/>
          <w:i/>
          <w:iCs/>
          <w:noProof/>
          <w:sz w:val="20"/>
          <w:szCs w:val="20"/>
        </w:rPr>
        <w:t>et al.</w:t>
      </w:r>
      <w:r w:rsidRPr="0009774A">
        <w:rPr>
          <w:rFonts w:cs="Arial"/>
          <w:noProof/>
          <w:sz w:val="20"/>
          <w:szCs w:val="20"/>
        </w:rPr>
        <w:t xml:space="preserve"> (2020) ‘Tofu’s Liquid waste treatment by continuous vermibiofilter column-type reactor’, in </w:t>
      </w:r>
      <w:r w:rsidRPr="0009774A">
        <w:rPr>
          <w:rFonts w:cs="Arial"/>
          <w:i/>
          <w:iCs/>
          <w:noProof/>
          <w:sz w:val="20"/>
          <w:szCs w:val="20"/>
        </w:rPr>
        <w:t>IOP Conference Series: Earth and Environmental Science</w:t>
      </w:r>
      <w:r w:rsidRPr="0009774A">
        <w:rPr>
          <w:rFonts w:cs="Arial"/>
          <w:noProof/>
          <w:sz w:val="20"/>
          <w:szCs w:val="20"/>
        </w:rPr>
        <w:t>. IOP Publishing, p. 12014.</w:t>
      </w:r>
    </w:p>
    <w:p w14:paraId="47E5FCC8"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Prasetyo, A.H. </w:t>
      </w:r>
      <w:r w:rsidRPr="0009774A">
        <w:rPr>
          <w:rFonts w:cs="Arial"/>
          <w:i/>
          <w:iCs/>
          <w:noProof/>
          <w:sz w:val="20"/>
          <w:szCs w:val="20"/>
        </w:rPr>
        <w:t>et al.</w:t>
      </w:r>
      <w:r w:rsidRPr="0009774A">
        <w:rPr>
          <w:rFonts w:cs="Arial"/>
          <w:noProof/>
          <w:sz w:val="20"/>
          <w:szCs w:val="20"/>
        </w:rPr>
        <w:t xml:space="preserve"> (2022) ‘Preservation of traditional and local foods of Blora Regency as a gastronomic tourist attraction’, </w:t>
      </w:r>
      <w:r w:rsidRPr="0009774A">
        <w:rPr>
          <w:rFonts w:cs="Arial"/>
          <w:i/>
          <w:iCs/>
          <w:noProof/>
          <w:sz w:val="20"/>
          <w:szCs w:val="20"/>
        </w:rPr>
        <w:t>The Journal Gastronomy Tourism</w:t>
      </w:r>
      <w:r w:rsidRPr="0009774A">
        <w:rPr>
          <w:rFonts w:cs="Arial"/>
          <w:noProof/>
          <w:sz w:val="20"/>
          <w:szCs w:val="20"/>
        </w:rPr>
        <w:t>, 9(2), pp. 68–81.</w:t>
      </w:r>
    </w:p>
    <w:p w14:paraId="5D1F5B6C"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Rahmi, H. </w:t>
      </w:r>
      <w:r w:rsidRPr="0009774A">
        <w:rPr>
          <w:rFonts w:cs="Arial"/>
          <w:i/>
          <w:iCs/>
          <w:noProof/>
          <w:sz w:val="20"/>
          <w:szCs w:val="20"/>
        </w:rPr>
        <w:t>et al.</w:t>
      </w:r>
      <w:r w:rsidRPr="0009774A">
        <w:rPr>
          <w:rFonts w:cs="Arial"/>
          <w:noProof/>
          <w:sz w:val="20"/>
          <w:szCs w:val="20"/>
        </w:rPr>
        <w:t xml:space="preserve"> (2023) ‘Effectivity of liquid organic fertilizer on production of pakcoy (Brassica rapa L.)’, in </w:t>
      </w:r>
      <w:r w:rsidRPr="0009774A">
        <w:rPr>
          <w:rFonts w:cs="Arial"/>
          <w:i/>
          <w:iCs/>
          <w:noProof/>
          <w:sz w:val="20"/>
          <w:szCs w:val="20"/>
        </w:rPr>
        <w:t>IOP Conference Series: Earth and Environmental Science</w:t>
      </w:r>
      <w:r w:rsidRPr="0009774A">
        <w:rPr>
          <w:rFonts w:cs="Arial"/>
          <w:noProof/>
          <w:sz w:val="20"/>
          <w:szCs w:val="20"/>
        </w:rPr>
        <w:t>. IOP Publishing, p. 12020.</w:t>
      </w:r>
    </w:p>
    <w:p w14:paraId="1703251D"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Sebayang, N.U.W. </w:t>
      </w:r>
      <w:r w:rsidRPr="0009774A">
        <w:rPr>
          <w:rFonts w:cs="Arial"/>
          <w:i/>
          <w:iCs/>
          <w:noProof/>
          <w:sz w:val="20"/>
          <w:szCs w:val="20"/>
        </w:rPr>
        <w:t>et al.</w:t>
      </w:r>
      <w:r w:rsidRPr="0009774A">
        <w:rPr>
          <w:rFonts w:cs="Arial"/>
          <w:noProof/>
          <w:sz w:val="20"/>
          <w:szCs w:val="20"/>
        </w:rPr>
        <w:t xml:space="preserve"> (2023) ‘Application of Vermicompost, Kasgot (BSF Compost), and </w:t>
      </w:r>
      <w:r w:rsidRPr="0009774A">
        <w:rPr>
          <w:rFonts w:cs="Arial"/>
          <w:noProof/>
          <w:sz w:val="20"/>
          <w:szCs w:val="20"/>
        </w:rPr>
        <w:lastRenderedPageBreak/>
        <w:t xml:space="preserve">Vermigot for growth and production of Pakchoy (Brassica rapa L.) in Ultisol’, in </w:t>
      </w:r>
      <w:r w:rsidRPr="0009774A">
        <w:rPr>
          <w:rFonts w:cs="Arial"/>
          <w:i/>
          <w:iCs/>
          <w:noProof/>
          <w:sz w:val="20"/>
          <w:szCs w:val="20"/>
        </w:rPr>
        <w:t>IOP Conference Series: Earth and Environmental Science</w:t>
      </w:r>
      <w:r w:rsidRPr="0009774A">
        <w:rPr>
          <w:rFonts w:cs="Arial"/>
          <w:noProof/>
          <w:sz w:val="20"/>
          <w:szCs w:val="20"/>
        </w:rPr>
        <w:t>. IOP Publishing, p. 12028.</w:t>
      </w:r>
    </w:p>
    <w:p w14:paraId="6EB38C12" w14:textId="77777777" w:rsidR="0015738E" w:rsidRPr="0009774A" w:rsidRDefault="0015738E" w:rsidP="00927CD7">
      <w:pPr>
        <w:widowControl w:val="0"/>
        <w:autoSpaceDE w:val="0"/>
        <w:autoSpaceDN w:val="0"/>
        <w:adjustRightInd w:val="0"/>
        <w:spacing w:after="0" w:line="276" w:lineRule="auto"/>
        <w:ind w:left="709" w:hanging="709"/>
        <w:jc w:val="both"/>
        <w:rPr>
          <w:rFonts w:cs="Arial"/>
          <w:noProof/>
          <w:sz w:val="20"/>
          <w:szCs w:val="20"/>
        </w:rPr>
      </w:pPr>
      <w:r w:rsidRPr="0009774A">
        <w:rPr>
          <w:rFonts w:cs="Arial"/>
          <w:noProof/>
          <w:sz w:val="20"/>
          <w:szCs w:val="20"/>
        </w:rPr>
        <w:t xml:space="preserve">Sugiharti, I.E.P., Raksun, A. and Mertha, I.G. (2022) ‘The effect of liquid organic fertilizer from tofu industrial waste and EM4 on the growth of mustard greens (Brasicajuncea L.)’, </w:t>
      </w:r>
      <w:r w:rsidRPr="0009774A">
        <w:rPr>
          <w:rFonts w:cs="Arial"/>
          <w:i/>
          <w:iCs/>
          <w:noProof/>
          <w:sz w:val="20"/>
          <w:szCs w:val="20"/>
        </w:rPr>
        <w:t>Jurnal Pijar Mipa</w:t>
      </w:r>
      <w:r w:rsidRPr="0009774A">
        <w:rPr>
          <w:rFonts w:cs="Arial"/>
          <w:noProof/>
          <w:sz w:val="20"/>
          <w:szCs w:val="20"/>
        </w:rPr>
        <w:t>, 17(4), pp. 554–559.</w:t>
      </w:r>
    </w:p>
    <w:p w14:paraId="7ABFA997" w14:textId="6D8576F5" w:rsidR="002215E6" w:rsidRPr="0009774A" w:rsidRDefault="002215E6" w:rsidP="00927CD7">
      <w:pPr>
        <w:pStyle w:val="NormalWeb"/>
        <w:spacing w:before="0" w:beforeAutospacing="0" w:after="0" w:afterAutospacing="0" w:line="276" w:lineRule="auto"/>
        <w:ind w:left="709" w:hanging="709"/>
        <w:jc w:val="both"/>
        <w:rPr>
          <w:rFonts w:ascii="Arial" w:hAnsi="Arial" w:cs="Arial"/>
          <w:b/>
          <w:bCs/>
          <w:sz w:val="20"/>
          <w:szCs w:val="20"/>
        </w:rPr>
      </w:pPr>
      <w:r w:rsidRPr="0009774A">
        <w:rPr>
          <w:rFonts w:ascii="Arial" w:hAnsi="Arial" w:cs="Arial"/>
          <w:b/>
          <w:bCs/>
          <w:sz w:val="20"/>
          <w:szCs w:val="20"/>
        </w:rPr>
        <w:fldChar w:fldCharType="end"/>
      </w:r>
    </w:p>
    <w:sectPr w:rsidR="002215E6" w:rsidRPr="0009774A" w:rsidSect="004D5998">
      <w:headerReference w:type="even" r:id="rId19"/>
      <w:headerReference w:type="default" r:id="rId20"/>
      <w:footerReference w:type="default" r:id="rId21"/>
      <w:headerReference w:type="first" r:id="rId22"/>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33A34" w14:textId="77777777" w:rsidR="00524213" w:rsidRDefault="00524213" w:rsidP="00BE0CEF">
      <w:pPr>
        <w:spacing w:after="0" w:line="240" w:lineRule="auto"/>
      </w:pPr>
      <w:r>
        <w:separator/>
      </w:r>
    </w:p>
  </w:endnote>
  <w:endnote w:type="continuationSeparator" w:id="0">
    <w:p w14:paraId="73FAC5D7" w14:textId="77777777" w:rsidR="00524213" w:rsidRDefault="00524213" w:rsidP="00BE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B8657" w14:textId="77777777" w:rsidR="00591151" w:rsidRDefault="0059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B84C" w14:textId="77777777" w:rsidR="00591151" w:rsidRDefault="00591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25BD" w14:textId="77777777" w:rsidR="00591151" w:rsidRDefault="005911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4873282"/>
      <w:docPartObj>
        <w:docPartGallery w:val="Page Numbers (Bottom of Page)"/>
        <w:docPartUnique/>
      </w:docPartObj>
    </w:sdtPr>
    <w:sdtEndPr>
      <w:rPr>
        <w:noProof/>
      </w:rPr>
    </w:sdtEndPr>
    <w:sdtContent>
      <w:p w14:paraId="185C2AAF" w14:textId="42BCA081" w:rsidR="007558CF" w:rsidRDefault="007558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802EA" w14:textId="77777777" w:rsidR="007558CF" w:rsidRDefault="00755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2ACE1" w14:textId="77777777" w:rsidR="00524213" w:rsidRDefault="00524213" w:rsidP="00BE0CEF">
      <w:pPr>
        <w:spacing w:after="0" w:line="240" w:lineRule="auto"/>
      </w:pPr>
      <w:r>
        <w:separator/>
      </w:r>
    </w:p>
  </w:footnote>
  <w:footnote w:type="continuationSeparator" w:id="0">
    <w:p w14:paraId="6C6AE604" w14:textId="77777777" w:rsidR="00524213" w:rsidRDefault="00524213" w:rsidP="00BE0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BA965" w14:textId="6BCF2505" w:rsidR="00591151" w:rsidRDefault="00591151">
    <w:pPr>
      <w:pStyle w:val="Header"/>
    </w:pPr>
    <w:r>
      <w:rPr>
        <w:noProof/>
      </w:rPr>
      <w:pict w14:anchorId="1DC00D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47" o:spid="_x0000_s2050" type="#_x0000_t136" style="position:absolute;margin-left:0;margin-top:0;width:502.65pt;height:56.7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81B2E" w14:textId="4A9EE26F" w:rsidR="00591151" w:rsidRDefault="00591151">
    <w:pPr>
      <w:pStyle w:val="Header"/>
    </w:pPr>
    <w:r>
      <w:rPr>
        <w:noProof/>
      </w:rPr>
      <w:pict w14:anchorId="63D3AC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48" o:spid="_x0000_s2051" type="#_x0000_t136" style="position:absolute;margin-left:0;margin-top:0;width:502.65pt;height:56.7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06A0D" w14:textId="2BD56A21" w:rsidR="00591151" w:rsidRDefault="00591151">
    <w:pPr>
      <w:pStyle w:val="Header"/>
    </w:pPr>
    <w:r>
      <w:rPr>
        <w:noProof/>
      </w:rPr>
      <w:pict w14:anchorId="379D62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46" o:spid="_x0000_s2049" type="#_x0000_t136" style="position:absolute;margin-left:0;margin-top:0;width:502.65pt;height:56.7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655B" w14:textId="1CF475A0" w:rsidR="00591151" w:rsidRDefault="00591151">
    <w:pPr>
      <w:pStyle w:val="Header"/>
    </w:pPr>
    <w:r>
      <w:rPr>
        <w:noProof/>
      </w:rPr>
      <w:pict w14:anchorId="6C128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50" o:spid="_x0000_s2053" type="#_x0000_t136" style="position:absolute;margin-left:0;margin-top:0;width:502.65pt;height:56.7pt;rotation:315;z-index:-251649024;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3998C" w14:textId="4A484D7A" w:rsidR="00591151" w:rsidRDefault="00591151">
    <w:pPr>
      <w:pStyle w:val="Header"/>
    </w:pPr>
    <w:r>
      <w:rPr>
        <w:noProof/>
      </w:rPr>
      <w:pict w14:anchorId="08C36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51" o:spid="_x0000_s2054" type="#_x0000_t136" style="position:absolute;margin-left:0;margin-top:0;width:502.65pt;height:56.7pt;rotation:315;z-index:-25164697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FE90D" w14:textId="4D03AD26" w:rsidR="00591151" w:rsidRDefault="00591151">
    <w:pPr>
      <w:pStyle w:val="Header"/>
    </w:pPr>
    <w:r>
      <w:rPr>
        <w:noProof/>
      </w:rPr>
      <w:pict w14:anchorId="16301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2179549" o:spid="_x0000_s2052" type="#_x0000_t136" style="position:absolute;margin-left:0;margin-top:0;width:502.65pt;height:56.7pt;rotation:315;z-index:-251651072;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D40"/>
    <w:multiLevelType w:val="multilevel"/>
    <w:tmpl w:val="88D8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F6C37"/>
    <w:multiLevelType w:val="multilevel"/>
    <w:tmpl w:val="7F18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9502D4"/>
    <w:multiLevelType w:val="hybridMultilevel"/>
    <w:tmpl w:val="7A962D2A"/>
    <w:lvl w:ilvl="0" w:tplc="F6ACEDF6">
      <w:start w:val="1"/>
      <w:numFmt w:val="decimal"/>
      <w:lvlText w:val="%1."/>
      <w:lvlJc w:val="left"/>
      <w:pPr>
        <w:ind w:left="720" w:hanging="360"/>
      </w:pPr>
      <w:rPr>
        <w:rFonts w:eastAsia="Microsoft Sans Serif"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F3324A1"/>
    <w:multiLevelType w:val="multilevel"/>
    <w:tmpl w:val="EA8E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0348"/>
    <w:multiLevelType w:val="hybridMultilevel"/>
    <w:tmpl w:val="42D8B66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491006E"/>
    <w:multiLevelType w:val="hybridMultilevel"/>
    <w:tmpl w:val="737CE3E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2B191011"/>
    <w:multiLevelType w:val="multilevel"/>
    <w:tmpl w:val="8C06597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D1DA9"/>
    <w:multiLevelType w:val="hybridMultilevel"/>
    <w:tmpl w:val="050AC93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44868D4"/>
    <w:multiLevelType w:val="hybridMultilevel"/>
    <w:tmpl w:val="C57A6A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44E52A4"/>
    <w:multiLevelType w:val="hybridMultilevel"/>
    <w:tmpl w:val="32DC9D66"/>
    <w:lvl w:ilvl="0" w:tplc="38090019">
      <w:start w:val="1"/>
      <w:numFmt w:val="lowerLetter"/>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0" w15:restartNumberingAfterBreak="0">
    <w:nsid w:val="37BB4670"/>
    <w:multiLevelType w:val="hybridMultilevel"/>
    <w:tmpl w:val="F1029FC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3A1A3C55"/>
    <w:multiLevelType w:val="multilevel"/>
    <w:tmpl w:val="AC52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3D23BB"/>
    <w:multiLevelType w:val="hybridMultilevel"/>
    <w:tmpl w:val="FE7437BE"/>
    <w:lvl w:ilvl="0" w:tplc="D8246068">
      <w:start w:val="6"/>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4F1F2004"/>
    <w:multiLevelType w:val="multilevel"/>
    <w:tmpl w:val="DBC2322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F7448B1"/>
    <w:multiLevelType w:val="hybridMultilevel"/>
    <w:tmpl w:val="D7FA439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53F3486B"/>
    <w:multiLevelType w:val="hybridMultilevel"/>
    <w:tmpl w:val="E9FE5F0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5A31410F"/>
    <w:multiLevelType w:val="multilevel"/>
    <w:tmpl w:val="4258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F044BC"/>
    <w:multiLevelType w:val="hybridMultilevel"/>
    <w:tmpl w:val="69D0AF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06C5F00"/>
    <w:multiLevelType w:val="hybridMultilevel"/>
    <w:tmpl w:val="A7142E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48630A6"/>
    <w:multiLevelType w:val="hybridMultilevel"/>
    <w:tmpl w:val="23223920"/>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672422AB"/>
    <w:multiLevelType w:val="hybridMultilevel"/>
    <w:tmpl w:val="41F00DDA"/>
    <w:lvl w:ilvl="0" w:tplc="A576453C">
      <w:start w:val="1"/>
      <w:numFmt w:val="lowerLetter"/>
      <w:lvlText w:val="%1."/>
      <w:lvlJc w:val="left"/>
      <w:pPr>
        <w:ind w:left="1080" w:hanging="360"/>
      </w:pPr>
    </w:lvl>
    <w:lvl w:ilvl="1" w:tplc="6FC679EC" w:tentative="1">
      <w:start w:val="1"/>
      <w:numFmt w:val="lowerLetter"/>
      <w:lvlText w:val="%2."/>
      <w:lvlJc w:val="left"/>
      <w:pPr>
        <w:ind w:left="1800" w:hanging="360"/>
      </w:pPr>
    </w:lvl>
    <w:lvl w:ilvl="2" w:tplc="C644A3C2" w:tentative="1">
      <w:start w:val="1"/>
      <w:numFmt w:val="lowerRoman"/>
      <w:lvlText w:val="%3."/>
      <w:lvlJc w:val="right"/>
      <w:pPr>
        <w:ind w:left="2520" w:hanging="180"/>
      </w:pPr>
    </w:lvl>
    <w:lvl w:ilvl="3" w:tplc="D2DA87CE" w:tentative="1">
      <w:start w:val="1"/>
      <w:numFmt w:val="decimal"/>
      <w:lvlText w:val="%4."/>
      <w:lvlJc w:val="left"/>
      <w:pPr>
        <w:ind w:left="3240" w:hanging="360"/>
      </w:pPr>
    </w:lvl>
    <w:lvl w:ilvl="4" w:tplc="51A0F256" w:tentative="1">
      <w:start w:val="1"/>
      <w:numFmt w:val="lowerLetter"/>
      <w:lvlText w:val="%5."/>
      <w:lvlJc w:val="left"/>
      <w:pPr>
        <w:ind w:left="3960" w:hanging="360"/>
      </w:pPr>
    </w:lvl>
    <w:lvl w:ilvl="5" w:tplc="7F788A98" w:tentative="1">
      <w:start w:val="1"/>
      <w:numFmt w:val="lowerRoman"/>
      <w:lvlText w:val="%6."/>
      <w:lvlJc w:val="right"/>
      <w:pPr>
        <w:ind w:left="4680" w:hanging="180"/>
      </w:pPr>
    </w:lvl>
    <w:lvl w:ilvl="6" w:tplc="5BB24726" w:tentative="1">
      <w:start w:val="1"/>
      <w:numFmt w:val="decimal"/>
      <w:lvlText w:val="%7."/>
      <w:lvlJc w:val="left"/>
      <w:pPr>
        <w:ind w:left="5400" w:hanging="360"/>
      </w:pPr>
    </w:lvl>
    <w:lvl w:ilvl="7" w:tplc="CBDC31F6" w:tentative="1">
      <w:start w:val="1"/>
      <w:numFmt w:val="lowerLetter"/>
      <w:lvlText w:val="%8."/>
      <w:lvlJc w:val="left"/>
      <w:pPr>
        <w:ind w:left="6120" w:hanging="360"/>
      </w:pPr>
    </w:lvl>
    <w:lvl w:ilvl="8" w:tplc="35789A6E" w:tentative="1">
      <w:start w:val="1"/>
      <w:numFmt w:val="lowerRoman"/>
      <w:lvlText w:val="%9."/>
      <w:lvlJc w:val="right"/>
      <w:pPr>
        <w:ind w:left="6840" w:hanging="180"/>
      </w:pPr>
    </w:lvl>
  </w:abstractNum>
  <w:abstractNum w:abstractNumId="21" w15:restartNumberingAfterBreak="0">
    <w:nsid w:val="6B852D81"/>
    <w:multiLevelType w:val="multilevel"/>
    <w:tmpl w:val="B6ECFF8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C22FDA"/>
    <w:multiLevelType w:val="hybridMultilevel"/>
    <w:tmpl w:val="FD12688A"/>
    <w:lvl w:ilvl="0" w:tplc="9EDCD8DA">
      <w:start w:val="1"/>
      <w:numFmt w:val="lowerLetter"/>
      <w:lvlText w:val="%1."/>
      <w:lvlJc w:val="left"/>
      <w:pPr>
        <w:ind w:left="1080" w:hanging="360"/>
      </w:pPr>
    </w:lvl>
    <w:lvl w:ilvl="1" w:tplc="E01073C6" w:tentative="1">
      <w:start w:val="1"/>
      <w:numFmt w:val="lowerLetter"/>
      <w:lvlText w:val="%2."/>
      <w:lvlJc w:val="left"/>
      <w:pPr>
        <w:ind w:left="1800" w:hanging="360"/>
      </w:pPr>
    </w:lvl>
    <w:lvl w:ilvl="2" w:tplc="FF2ABA5C" w:tentative="1">
      <w:start w:val="1"/>
      <w:numFmt w:val="lowerRoman"/>
      <w:lvlText w:val="%3."/>
      <w:lvlJc w:val="right"/>
      <w:pPr>
        <w:ind w:left="2520" w:hanging="180"/>
      </w:pPr>
    </w:lvl>
    <w:lvl w:ilvl="3" w:tplc="E8FC9AB2" w:tentative="1">
      <w:start w:val="1"/>
      <w:numFmt w:val="decimal"/>
      <w:lvlText w:val="%4."/>
      <w:lvlJc w:val="left"/>
      <w:pPr>
        <w:ind w:left="3240" w:hanging="360"/>
      </w:pPr>
    </w:lvl>
    <w:lvl w:ilvl="4" w:tplc="4EE657C2" w:tentative="1">
      <w:start w:val="1"/>
      <w:numFmt w:val="lowerLetter"/>
      <w:lvlText w:val="%5."/>
      <w:lvlJc w:val="left"/>
      <w:pPr>
        <w:ind w:left="3960" w:hanging="360"/>
      </w:pPr>
    </w:lvl>
    <w:lvl w:ilvl="5" w:tplc="42680092" w:tentative="1">
      <w:start w:val="1"/>
      <w:numFmt w:val="lowerRoman"/>
      <w:lvlText w:val="%6."/>
      <w:lvlJc w:val="right"/>
      <w:pPr>
        <w:ind w:left="4680" w:hanging="180"/>
      </w:pPr>
    </w:lvl>
    <w:lvl w:ilvl="6" w:tplc="5D109D88" w:tentative="1">
      <w:start w:val="1"/>
      <w:numFmt w:val="decimal"/>
      <w:lvlText w:val="%7."/>
      <w:lvlJc w:val="left"/>
      <w:pPr>
        <w:ind w:left="5400" w:hanging="360"/>
      </w:pPr>
    </w:lvl>
    <w:lvl w:ilvl="7" w:tplc="FB1C07E0" w:tentative="1">
      <w:start w:val="1"/>
      <w:numFmt w:val="lowerLetter"/>
      <w:lvlText w:val="%8."/>
      <w:lvlJc w:val="left"/>
      <w:pPr>
        <w:ind w:left="6120" w:hanging="360"/>
      </w:pPr>
    </w:lvl>
    <w:lvl w:ilvl="8" w:tplc="9C48FD58" w:tentative="1">
      <w:start w:val="1"/>
      <w:numFmt w:val="lowerRoman"/>
      <w:lvlText w:val="%9."/>
      <w:lvlJc w:val="right"/>
      <w:pPr>
        <w:ind w:left="6840" w:hanging="180"/>
      </w:pPr>
    </w:lvl>
  </w:abstractNum>
  <w:abstractNum w:abstractNumId="23" w15:restartNumberingAfterBreak="0">
    <w:nsid w:val="6D2562D5"/>
    <w:multiLevelType w:val="multilevel"/>
    <w:tmpl w:val="AE683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F63352"/>
    <w:multiLevelType w:val="hybridMultilevel"/>
    <w:tmpl w:val="FD7298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07A3C9A"/>
    <w:multiLevelType w:val="hybridMultilevel"/>
    <w:tmpl w:val="7F2C1A00"/>
    <w:lvl w:ilvl="0" w:tplc="094AB022">
      <w:start w:val="1"/>
      <w:numFmt w:val="upperLetter"/>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154746C"/>
    <w:multiLevelType w:val="hybridMultilevel"/>
    <w:tmpl w:val="25EC54A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6F56FCA"/>
    <w:multiLevelType w:val="multilevel"/>
    <w:tmpl w:val="B1EC1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2D5904"/>
    <w:multiLevelType w:val="hybridMultilevel"/>
    <w:tmpl w:val="E51AB284"/>
    <w:lvl w:ilvl="0" w:tplc="A1C4461A">
      <w:start w:val="1"/>
      <w:numFmt w:val="upp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2"/>
  </w:num>
  <w:num w:numId="2">
    <w:abstractNumId w:val="20"/>
  </w:num>
  <w:num w:numId="3">
    <w:abstractNumId w:val="16"/>
  </w:num>
  <w:num w:numId="4">
    <w:abstractNumId w:val="21"/>
  </w:num>
  <w:num w:numId="5">
    <w:abstractNumId w:val="18"/>
  </w:num>
  <w:num w:numId="6">
    <w:abstractNumId w:val="9"/>
  </w:num>
  <w:num w:numId="7">
    <w:abstractNumId w:val="14"/>
  </w:num>
  <w:num w:numId="8">
    <w:abstractNumId w:val="10"/>
  </w:num>
  <w:num w:numId="9">
    <w:abstractNumId w:val="19"/>
  </w:num>
  <w:num w:numId="10">
    <w:abstractNumId w:val="5"/>
  </w:num>
  <w:num w:numId="11">
    <w:abstractNumId w:val="23"/>
  </w:num>
  <w:num w:numId="12">
    <w:abstractNumId w:val="13"/>
  </w:num>
  <w:num w:numId="13">
    <w:abstractNumId w:val="15"/>
  </w:num>
  <w:num w:numId="14">
    <w:abstractNumId w:val="3"/>
  </w:num>
  <w:num w:numId="15">
    <w:abstractNumId w:val="11"/>
  </w:num>
  <w:num w:numId="16">
    <w:abstractNumId w:val="27"/>
  </w:num>
  <w:num w:numId="17">
    <w:abstractNumId w:val="0"/>
  </w:num>
  <w:num w:numId="18">
    <w:abstractNumId w:val="6"/>
  </w:num>
  <w:num w:numId="19">
    <w:abstractNumId w:val="7"/>
  </w:num>
  <w:num w:numId="20">
    <w:abstractNumId w:val="1"/>
  </w:num>
  <w:num w:numId="21">
    <w:abstractNumId w:val="25"/>
  </w:num>
  <w:num w:numId="22">
    <w:abstractNumId w:val="28"/>
  </w:num>
  <w:num w:numId="23">
    <w:abstractNumId w:val="12"/>
  </w:num>
  <w:num w:numId="24">
    <w:abstractNumId w:val="2"/>
  </w:num>
  <w:num w:numId="25">
    <w:abstractNumId w:val="8"/>
  </w:num>
  <w:num w:numId="26">
    <w:abstractNumId w:val="4"/>
  </w:num>
  <w:num w:numId="27">
    <w:abstractNumId w:val="26"/>
  </w:num>
  <w:num w:numId="28">
    <w:abstractNumId w:val="2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9EF"/>
    <w:rsid w:val="00005676"/>
    <w:rsid w:val="00006160"/>
    <w:rsid w:val="00007B63"/>
    <w:rsid w:val="00014D0C"/>
    <w:rsid w:val="00017F9C"/>
    <w:rsid w:val="0002220B"/>
    <w:rsid w:val="00026A56"/>
    <w:rsid w:val="000560F4"/>
    <w:rsid w:val="00061510"/>
    <w:rsid w:val="00066192"/>
    <w:rsid w:val="00076C98"/>
    <w:rsid w:val="00080464"/>
    <w:rsid w:val="0009389B"/>
    <w:rsid w:val="00093C38"/>
    <w:rsid w:val="00095227"/>
    <w:rsid w:val="0009774A"/>
    <w:rsid w:val="000979C8"/>
    <w:rsid w:val="000A3C37"/>
    <w:rsid w:val="000A70BA"/>
    <w:rsid w:val="000D0C99"/>
    <w:rsid w:val="000D1AB1"/>
    <w:rsid w:val="000E0427"/>
    <w:rsid w:val="000F2938"/>
    <w:rsid w:val="001015C4"/>
    <w:rsid w:val="001043CA"/>
    <w:rsid w:val="0012378A"/>
    <w:rsid w:val="00125B1E"/>
    <w:rsid w:val="001407E0"/>
    <w:rsid w:val="00142A86"/>
    <w:rsid w:val="0015738E"/>
    <w:rsid w:val="0016361B"/>
    <w:rsid w:val="001833AE"/>
    <w:rsid w:val="001942A7"/>
    <w:rsid w:val="0019695D"/>
    <w:rsid w:val="001A487D"/>
    <w:rsid w:val="001D41BB"/>
    <w:rsid w:val="001D5463"/>
    <w:rsid w:val="001F4A40"/>
    <w:rsid w:val="001F6C1B"/>
    <w:rsid w:val="00200DE1"/>
    <w:rsid w:val="0021048A"/>
    <w:rsid w:val="0021248A"/>
    <w:rsid w:val="002215E6"/>
    <w:rsid w:val="002243C9"/>
    <w:rsid w:val="00235394"/>
    <w:rsid w:val="002550C4"/>
    <w:rsid w:val="00256E9F"/>
    <w:rsid w:val="00270ED7"/>
    <w:rsid w:val="00273940"/>
    <w:rsid w:val="00275DD9"/>
    <w:rsid w:val="00276460"/>
    <w:rsid w:val="0028690E"/>
    <w:rsid w:val="00290B5C"/>
    <w:rsid w:val="00293051"/>
    <w:rsid w:val="002B21E7"/>
    <w:rsid w:val="002B40E9"/>
    <w:rsid w:val="002B4A89"/>
    <w:rsid w:val="002C08C0"/>
    <w:rsid w:val="002C6927"/>
    <w:rsid w:val="002D7898"/>
    <w:rsid w:val="002F2E82"/>
    <w:rsid w:val="002F50CD"/>
    <w:rsid w:val="003006A8"/>
    <w:rsid w:val="0031057D"/>
    <w:rsid w:val="003135CE"/>
    <w:rsid w:val="00327160"/>
    <w:rsid w:val="003344B6"/>
    <w:rsid w:val="00336D6D"/>
    <w:rsid w:val="00347821"/>
    <w:rsid w:val="00350496"/>
    <w:rsid w:val="003553FC"/>
    <w:rsid w:val="0036382E"/>
    <w:rsid w:val="003668EB"/>
    <w:rsid w:val="00382A66"/>
    <w:rsid w:val="00385D91"/>
    <w:rsid w:val="003904DC"/>
    <w:rsid w:val="003922E9"/>
    <w:rsid w:val="00393F75"/>
    <w:rsid w:val="003948CE"/>
    <w:rsid w:val="0039543B"/>
    <w:rsid w:val="00396E5D"/>
    <w:rsid w:val="003A594F"/>
    <w:rsid w:val="003B0714"/>
    <w:rsid w:val="003B0DCC"/>
    <w:rsid w:val="003B74AD"/>
    <w:rsid w:val="003C784C"/>
    <w:rsid w:val="003D1D4C"/>
    <w:rsid w:val="003D4179"/>
    <w:rsid w:val="003E4F48"/>
    <w:rsid w:val="00404B07"/>
    <w:rsid w:val="00410171"/>
    <w:rsid w:val="00417A08"/>
    <w:rsid w:val="00425A71"/>
    <w:rsid w:val="00437B39"/>
    <w:rsid w:val="00453597"/>
    <w:rsid w:val="004547CB"/>
    <w:rsid w:val="00474845"/>
    <w:rsid w:val="004770B3"/>
    <w:rsid w:val="0048165C"/>
    <w:rsid w:val="0049799F"/>
    <w:rsid w:val="004B5B5D"/>
    <w:rsid w:val="004C34FC"/>
    <w:rsid w:val="004C4A27"/>
    <w:rsid w:val="004C520B"/>
    <w:rsid w:val="004D2A29"/>
    <w:rsid w:val="004D5998"/>
    <w:rsid w:val="004D786D"/>
    <w:rsid w:val="004E1988"/>
    <w:rsid w:val="004E6A64"/>
    <w:rsid w:val="004F012F"/>
    <w:rsid w:val="004F2BF9"/>
    <w:rsid w:val="00502506"/>
    <w:rsid w:val="0050264A"/>
    <w:rsid w:val="0050608C"/>
    <w:rsid w:val="00510909"/>
    <w:rsid w:val="00516C26"/>
    <w:rsid w:val="00521BBD"/>
    <w:rsid w:val="0052418A"/>
    <w:rsid w:val="00524213"/>
    <w:rsid w:val="00552B62"/>
    <w:rsid w:val="0055405D"/>
    <w:rsid w:val="005565A6"/>
    <w:rsid w:val="0056577A"/>
    <w:rsid w:val="00570CA3"/>
    <w:rsid w:val="00575E17"/>
    <w:rsid w:val="005823B2"/>
    <w:rsid w:val="00583E31"/>
    <w:rsid w:val="00591151"/>
    <w:rsid w:val="005B4946"/>
    <w:rsid w:val="005C21FF"/>
    <w:rsid w:val="005D11A9"/>
    <w:rsid w:val="005D2687"/>
    <w:rsid w:val="005D5D36"/>
    <w:rsid w:val="005E0E2E"/>
    <w:rsid w:val="005E64DA"/>
    <w:rsid w:val="005F0096"/>
    <w:rsid w:val="005F1A2F"/>
    <w:rsid w:val="005F1F64"/>
    <w:rsid w:val="005F41A0"/>
    <w:rsid w:val="00600FFE"/>
    <w:rsid w:val="006073A1"/>
    <w:rsid w:val="0060760A"/>
    <w:rsid w:val="006157A4"/>
    <w:rsid w:val="006225E3"/>
    <w:rsid w:val="00626A6A"/>
    <w:rsid w:val="006314ED"/>
    <w:rsid w:val="0064001D"/>
    <w:rsid w:val="00665E2D"/>
    <w:rsid w:val="006666AC"/>
    <w:rsid w:val="00682264"/>
    <w:rsid w:val="00685A9B"/>
    <w:rsid w:val="00691217"/>
    <w:rsid w:val="00691DE3"/>
    <w:rsid w:val="0069522C"/>
    <w:rsid w:val="006A0D49"/>
    <w:rsid w:val="006A23FC"/>
    <w:rsid w:val="006B0C57"/>
    <w:rsid w:val="006B4A0F"/>
    <w:rsid w:val="006B565A"/>
    <w:rsid w:val="006C08E0"/>
    <w:rsid w:val="006C243E"/>
    <w:rsid w:val="006C5906"/>
    <w:rsid w:val="006E3184"/>
    <w:rsid w:val="006E74F4"/>
    <w:rsid w:val="006F486C"/>
    <w:rsid w:val="00711B03"/>
    <w:rsid w:val="0072145C"/>
    <w:rsid w:val="00722959"/>
    <w:rsid w:val="00727122"/>
    <w:rsid w:val="0073492F"/>
    <w:rsid w:val="00736118"/>
    <w:rsid w:val="00747E36"/>
    <w:rsid w:val="007558CF"/>
    <w:rsid w:val="00761567"/>
    <w:rsid w:val="00773BBA"/>
    <w:rsid w:val="00776E5E"/>
    <w:rsid w:val="00781B13"/>
    <w:rsid w:val="00795857"/>
    <w:rsid w:val="007977C5"/>
    <w:rsid w:val="007A09C8"/>
    <w:rsid w:val="007A2037"/>
    <w:rsid w:val="007A4F54"/>
    <w:rsid w:val="007B264B"/>
    <w:rsid w:val="007B5604"/>
    <w:rsid w:val="007B7E81"/>
    <w:rsid w:val="007C6369"/>
    <w:rsid w:val="007D4AD4"/>
    <w:rsid w:val="007E4E5B"/>
    <w:rsid w:val="007F0F71"/>
    <w:rsid w:val="007F1F01"/>
    <w:rsid w:val="007F2D53"/>
    <w:rsid w:val="007F2D5F"/>
    <w:rsid w:val="007F493F"/>
    <w:rsid w:val="00813220"/>
    <w:rsid w:val="0081792A"/>
    <w:rsid w:val="00840468"/>
    <w:rsid w:val="00840F12"/>
    <w:rsid w:val="00847943"/>
    <w:rsid w:val="00863397"/>
    <w:rsid w:val="00870648"/>
    <w:rsid w:val="00891E52"/>
    <w:rsid w:val="008922CE"/>
    <w:rsid w:val="008A6759"/>
    <w:rsid w:val="008B74DC"/>
    <w:rsid w:val="008D306A"/>
    <w:rsid w:val="008D4478"/>
    <w:rsid w:val="008D5172"/>
    <w:rsid w:val="008D60A7"/>
    <w:rsid w:val="008D60B6"/>
    <w:rsid w:val="008D61A6"/>
    <w:rsid w:val="008E263F"/>
    <w:rsid w:val="008F1FFE"/>
    <w:rsid w:val="00902731"/>
    <w:rsid w:val="00903F39"/>
    <w:rsid w:val="00921E74"/>
    <w:rsid w:val="00922AFF"/>
    <w:rsid w:val="00923FCD"/>
    <w:rsid w:val="00927CD7"/>
    <w:rsid w:val="009323A2"/>
    <w:rsid w:val="0093414A"/>
    <w:rsid w:val="0093767D"/>
    <w:rsid w:val="00944789"/>
    <w:rsid w:val="00945115"/>
    <w:rsid w:val="00957B10"/>
    <w:rsid w:val="00960E23"/>
    <w:rsid w:val="00962E81"/>
    <w:rsid w:val="00966A47"/>
    <w:rsid w:val="0096778A"/>
    <w:rsid w:val="0099763A"/>
    <w:rsid w:val="009B6012"/>
    <w:rsid w:val="009B672F"/>
    <w:rsid w:val="009C1591"/>
    <w:rsid w:val="009C3854"/>
    <w:rsid w:val="009C4CF7"/>
    <w:rsid w:val="009E4F56"/>
    <w:rsid w:val="009E58CF"/>
    <w:rsid w:val="009F2F44"/>
    <w:rsid w:val="00A00F40"/>
    <w:rsid w:val="00A05FC8"/>
    <w:rsid w:val="00A1281B"/>
    <w:rsid w:val="00A20860"/>
    <w:rsid w:val="00A23D4E"/>
    <w:rsid w:val="00A2425D"/>
    <w:rsid w:val="00A2681A"/>
    <w:rsid w:val="00A312A6"/>
    <w:rsid w:val="00A32DB2"/>
    <w:rsid w:val="00A52FA6"/>
    <w:rsid w:val="00A60EBC"/>
    <w:rsid w:val="00A656A1"/>
    <w:rsid w:val="00A65A6E"/>
    <w:rsid w:val="00A7787E"/>
    <w:rsid w:val="00A94B62"/>
    <w:rsid w:val="00AA7D49"/>
    <w:rsid w:val="00AB49E0"/>
    <w:rsid w:val="00AC2AB0"/>
    <w:rsid w:val="00AC5A68"/>
    <w:rsid w:val="00AD3666"/>
    <w:rsid w:val="00AD622A"/>
    <w:rsid w:val="00AE10AB"/>
    <w:rsid w:val="00AE21EC"/>
    <w:rsid w:val="00B30828"/>
    <w:rsid w:val="00B36C77"/>
    <w:rsid w:val="00B42DD9"/>
    <w:rsid w:val="00B44FD4"/>
    <w:rsid w:val="00B45C3B"/>
    <w:rsid w:val="00B575A8"/>
    <w:rsid w:val="00B735F8"/>
    <w:rsid w:val="00B74F8A"/>
    <w:rsid w:val="00B82919"/>
    <w:rsid w:val="00BB4E78"/>
    <w:rsid w:val="00BC707F"/>
    <w:rsid w:val="00BD3C38"/>
    <w:rsid w:val="00BE0CEF"/>
    <w:rsid w:val="00BE2886"/>
    <w:rsid w:val="00C00428"/>
    <w:rsid w:val="00C1038F"/>
    <w:rsid w:val="00C1217F"/>
    <w:rsid w:val="00C1495B"/>
    <w:rsid w:val="00C237DB"/>
    <w:rsid w:val="00C34465"/>
    <w:rsid w:val="00C43FF9"/>
    <w:rsid w:val="00C447B1"/>
    <w:rsid w:val="00C54DAE"/>
    <w:rsid w:val="00C734C5"/>
    <w:rsid w:val="00C755C4"/>
    <w:rsid w:val="00C846F8"/>
    <w:rsid w:val="00CA66F5"/>
    <w:rsid w:val="00CB0116"/>
    <w:rsid w:val="00CB0B08"/>
    <w:rsid w:val="00CD244D"/>
    <w:rsid w:val="00CD402D"/>
    <w:rsid w:val="00CE36BD"/>
    <w:rsid w:val="00CE49B9"/>
    <w:rsid w:val="00CF1186"/>
    <w:rsid w:val="00CF2490"/>
    <w:rsid w:val="00D12BEE"/>
    <w:rsid w:val="00D1796B"/>
    <w:rsid w:val="00D234D3"/>
    <w:rsid w:val="00D332B7"/>
    <w:rsid w:val="00D4277B"/>
    <w:rsid w:val="00D430CD"/>
    <w:rsid w:val="00D524B4"/>
    <w:rsid w:val="00D55E4B"/>
    <w:rsid w:val="00D63C2F"/>
    <w:rsid w:val="00D651BE"/>
    <w:rsid w:val="00D72D27"/>
    <w:rsid w:val="00D72D4D"/>
    <w:rsid w:val="00D80CB4"/>
    <w:rsid w:val="00D85E84"/>
    <w:rsid w:val="00DA25A0"/>
    <w:rsid w:val="00DB1288"/>
    <w:rsid w:val="00DB2CEC"/>
    <w:rsid w:val="00DB5C95"/>
    <w:rsid w:val="00DC298E"/>
    <w:rsid w:val="00DC5FAD"/>
    <w:rsid w:val="00DC76A8"/>
    <w:rsid w:val="00DE2778"/>
    <w:rsid w:val="00DE7FBA"/>
    <w:rsid w:val="00DF663D"/>
    <w:rsid w:val="00E13A0F"/>
    <w:rsid w:val="00E32693"/>
    <w:rsid w:val="00E33EF7"/>
    <w:rsid w:val="00E37E74"/>
    <w:rsid w:val="00E65C71"/>
    <w:rsid w:val="00EA03BA"/>
    <w:rsid w:val="00EA6521"/>
    <w:rsid w:val="00EB42D6"/>
    <w:rsid w:val="00EB743D"/>
    <w:rsid w:val="00EC6E40"/>
    <w:rsid w:val="00EF72C0"/>
    <w:rsid w:val="00F02146"/>
    <w:rsid w:val="00F034F3"/>
    <w:rsid w:val="00F04C56"/>
    <w:rsid w:val="00F07719"/>
    <w:rsid w:val="00F1728E"/>
    <w:rsid w:val="00F37027"/>
    <w:rsid w:val="00F4442E"/>
    <w:rsid w:val="00F519EF"/>
    <w:rsid w:val="00F51DB4"/>
    <w:rsid w:val="00F7012E"/>
    <w:rsid w:val="00F734C2"/>
    <w:rsid w:val="00F8423F"/>
    <w:rsid w:val="00F85DB8"/>
    <w:rsid w:val="00F92783"/>
    <w:rsid w:val="00FB02B6"/>
    <w:rsid w:val="00FD473F"/>
    <w:rsid w:val="00FD6F4D"/>
    <w:rsid w:val="00FE00E4"/>
    <w:rsid w:val="00FF2B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07AEC35"/>
  <w15:chartTrackingRefBased/>
  <w15:docId w15:val="{3B18D9D5-DAB6-49F8-AEA6-0C98F3ED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9EF"/>
    <w:rPr>
      <w:rFonts w:ascii="Arial" w:hAnsi="Arial"/>
    </w:rPr>
  </w:style>
  <w:style w:type="paragraph" w:styleId="Heading1">
    <w:name w:val="heading 1"/>
    <w:basedOn w:val="Normal"/>
    <w:next w:val="Normal"/>
    <w:link w:val="Heading1Char"/>
    <w:uiPriority w:val="9"/>
    <w:qFormat/>
    <w:rsid w:val="00F519EF"/>
    <w:pPr>
      <w:keepNext/>
      <w:keepLines/>
      <w:spacing w:before="240" w:after="0"/>
      <w:jc w:val="center"/>
      <w:outlineLvl w:val="0"/>
    </w:pPr>
    <w:rPr>
      <w:rFonts w:eastAsiaTheme="majorEastAsia" w:cstheme="majorBidi"/>
      <w:b/>
      <w:color w:val="000000" w:themeColor="text1"/>
      <w:sz w:val="26"/>
      <w:szCs w:val="32"/>
    </w:rPr>
  </w:style>
  <w:style w:type="paragraph" w:styleId="Heading2">
    <w:name w:val="heading 2"/>
    <w:basedOn w:val="Normal"/>
    <w:next w:val="Normal"/>
    <w:link w:val="Heading2Char"/>
    <w:uiPriority w:val="9"/>
    <w:semiHidden/>
    <w:unhideWhenUsed/>
    <w:qFormat/>
    <w:rsid w:val="00EC6E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6E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21BB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9EF"/>
    <w:rPr>
      <w:rFonts w:ascii="Arial" w:eastAsiaTheme="majorEastAsia" w:hAnsi="Arial" w:cstheme="majorBidi"/>
      <w:b/>
      <w:color w:val="000000" w:themeColor="text1"/>
      <w:sz w:val="26"/>
      <w:szCs w:val="32"/>
    </w:rPr>
  </w:style>
  <w:style w:type="paragraph" w:styleId="ListParagraph">
    <w:name w:val="List Paragraph"/>
    <w:basedOn w:val="Normal"/>
    <w:uiPriority w:val="99"/>
    <w:qFormat/>
    <w:rsid w:val="00F519EF"/>
    <w:pPr>
      <w:ind w:left="720"/>
      <w:contextualSpacing/>
    </w:pPr>
  </w:style>
  <w:style w:type="character" w:customStyle="1" w:styleId="resultpara18">
    <w:name w:val="result__para__18"/>
    <w:basedOn w:val="DefaultParagraphFont"/>
    <w:rsid w:val="00F92783"/>
  </w:style>
  <w:style w:type="character" w:customStyle="1" w:styleId="resultpara20">
    <w:name w:val="result__para__20"/>
    <w:basedOn w:val="DefaultParagraphFont"/>
    <w:rsid w:val="00F92783"/>
  </w:style>
  <w:style w:type="character" w:styleId="Strong">
    <w:name w:val="Strong"/>
    <w:basedOn w:val="DefaultParagraphFont"/>
    <w:uiPriority w:val="22"/>
    <w:qFormat/>
    <w:rsid w:val="00570CA3"/>
    <w:rPr>
      <w:b/>
      <w:bCs/>
    </w:rPr>
  </w:style>
  <w:style w:type="paragraph" w:styleId="Header">
    <w:name w:val="header"/>
    <w:basedOn w:val="Normal"/>
    <w:link w:val="HeaderChar"/>
    <w:uiPriority w:val="99"/>
    <w:unhideWhenUsed/>
    <w:rsid w:val="00BE0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CEF"/>
    <w:rPr>
      <w:rFonts w:ascii="Arial" w:hAnsi="Arial"/>
    </w:rPr>
  </w:style>
  <w:style w:type="paragraph" w:styleId="Footer">
    <w:name w:val="footer"/>
    <w:basedOn w:val="Normal"/>
    <w:link w:val="FooterChar"/>
    <w:uiPriority w:val="99"/>
    <w:unhideWhenUsed/>
    <w:rsid w:val="00BE0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CEF"/>
    <w:rPr>
      <w:rFonts w:ascii="Arial" w:hAnsi="Arial"/>
    </w:rPr>
  </w:style>
  <w:style w:type="paragraph" w:styleId="NormalWeb">
    <w:name w:val="Normal (Web)"/>
    <w:basedOn w:val="Normal"/>
    <w:uiPriority w:val="99"/>
    <w:unhideWhenUsed/>
    <w:rsid w:val="001833AE"/>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Heading2Char">
    <w:name w:val="Heading 2 Char"/>
    <w:basedOn w:val="DefaultParagraphFont"/>
    <w:link w:val="Heading2"/>
    <w:uiPriority w:val="9"/>
    <w:semiHidden/>
    <w:rsid w:val="00EC6E4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C6E40"/>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A7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C298E"/>
    <w:pPr>
      <w:widowControl w:val="0"/>
      <w:autoSpaceDE w:val="0"/>
      <w:autoSpaceDN w:val="0"/>
      <w:spacing w:after="0" w:line="240" w:lineRule="auto"/>
    </w:pPr>
    <w:rPr>
      <w:rFonts w:eastAsia="Arial" w:cs="Arial"/>
      <w:lang w:val="id"/>
    </w:rPr>
  </w:style>
  <w:style w:type="character" w:customStyle="1" w:styleId="BodyTextChar">
    <w:name w:val="Body Text Char"/>
    <w:basedOn w:val="DefaultParagraphFont"/>
    <w:link w:val="BodyText"/>
    <w:uiPriority w:val="1"/>
    <w:rsid w:val="00DC298E"/>
    <w:rPr>
      <w:rFonts w:ascii="Arial" w:eastAsia="Arial" w:hAnsi="Arial" w:cs="Arial"/>
      <w:lang w:val="id"/>
    </w:rPr>
  </w:style>
  <w:style w:type="character" w:styleId="PlaceholderText">
    <w:name w:val="Placeholder Text"/>
    <w:basedOn w:val="DefaultParagraphFont"/>
    <w:uiPriority w:val="99"/>
    <w:semiHidden/>
    <w:rsid w:val="004C34FC"/>
    <w:rPr>
      <w:color w:val="808080"/>
    </w:rPr>
  </w:style>
  <w:style w:type="character" w:styleId="Emphasis">
    <w:name w:val="Emphasis"/>
    <w:basedOn w:val="DefaultParagraphFont"/>
    <w:uiPriority w:val="20"/>
    <w:qFormat/>
    <w:rsid w:val="006314ED"/>
    <w:rPr>
      <w:i/>
      <w:iCs/>
    </w:rPr>
  </w:style>
  <w:style w:type="character" w:styleId="HTMLCode">
    <w:name w:val="HTML Code"/>
    <w:basedOn w:val="DefaultParagraphFont"/>
    <w:uiPriority w:val="99"/>
    <w:semiHidden/>
    <w:unhideWhenUsed/>
    <w:rsid w:val="00521BBD"/>
    <w:rPr>
      <w:rFonts w:ascii="Courier New" w:eastAsia="Times New Roman" w:hAnsi="Courier New" w:cs="Courier New"/>
      <w:sz w:val="20"/>
      <w:szCs w:val="20"/>
    </w:rPr>
  </w:style>
  <w:style w:type="character" w:customStyle="1" w:styleId="Heading6Char">
    <w:name w:val="Heading 6 Char"/>
    <w:basedOn w:val="DefaultParagraphFont"/>
    <w:link w:val="Heading6"/>
    <w:uiPriority w:val="9"/>
    <w:semiHidden/>
    <w:rsid w:val="00521BBD"/>
    <w:rPr>
      <w:rFonts w:asciiTheme="majorHAnsi" w:eastAsiaTheme="majorEastAsia" w:hAnsiTheme="majorHAnsi" w:cstheme="majorBidi"/>
      <w:color w:val="1F3763" w:themeColor="accent1" w:themeShade="7F"/>
    </w:rPr>
  </w:style>
  <w:style w:type="character" w:customStyle="1" w:styleId="katex-mathml">
    <w:name w:val="katex-mathml"/>
    <w:basedOn w:val="DefaultParagraphFont"/>
    <w:rsid w:val="003B0714"/>
  </w:style>
  <w:style w:type="character" w:customStyle="1" w:styleId="mord">
    <w:name w:val="mord"/>
    <w:basedOn w:val="DefaultParagraphFont"/>
    <w:rsid w:val="003B0714"/>
  </w:style>
  <w:style w:type="character" w:customStyle="1" w:styleId="mrel">
    <w:name w:val="mrel"/>
    <w:basedOn w:val="DefaultParagraphFont"/>
    <w:rsid w:val="003B0714"/>
  </w:style>
  <w:style w:type="character" w:customStyle="1" w:styleId="mbin">
    <w:name w:val="mbin"/>
    <w:basedOn w:val="DefaultParagraphFont"/>
    <w:rsid w:val="003B0714"/>
  </w:style>
  <w:style w:type="character" w:customStyle="1" w:styleId="mpunct">
    <w:name w:val="mpunct"/>
    <w:basedOn w:val="DefaultParagraphFont"/>
    <w:rsid w:val="00417A08"/>
  </w:style>
  <w:style w:type="character" w:styleId="CommentReference">
    <w:name w:val="annotation reference"/>
    <w:basedOn w:val="DefaultParagraphFont"/>
    <w:uiPriority w:val="99"/>
    <w:semiHidden/>
    <w:unhideWhenUsed/>
    <w:rsid w:val="00CB0B08"/>
    <w:rPr>
      <w:sz w:val="16"/>
      <w:szCs w:val="16"/>
    </w:rPr>
  </w:style>
  <w:style w:type="paragraph" w:styleId="CommentText">
    <w:name w:val="annotation text"/>
    <w:basedOn w:val="Normal"/>
    <w:link w:val="CommentTextChar"/>
    <w:uiPriority w:val="99"/>
    <w:semiHidden/>
    <w:unhideWhenUsed/>
    <w:rsid w:val="00CB0B08"/>
    <w:pPr>
      <w:spacing w:line="240" w:lineRule="auto"/>
    </w:pPr>
    <w:rPr>
      <w:sz w:val="20"/>
      <w:szCs w:val="20"/>
    </w:rPr>
  </w:style>
  <w:style w:type="character" w:customStyle="1" w:styleId="CommentTextChar">
    <w:name w:val="Comment Text Char"/>
    <w:basedOn w:val="DefaultParagraphFont"/>
    <w:link w:val="CommentText"/>
    <w:uiPriority w:val="99"/>
    <w:semiHidden/>
    <w:rsid w:val="00CB0B0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0B08"/>
    <w:rPr>
      <w:b/>
      <w:bCs/>
    </w:rPr>
  </w:style>
  <w:style w:type="character" w:customStyle="1" w:styleId="CommentSubjectChar">
    <w:name w:val="Comment Subject Char"/>
    <w:basedOn w:val="CommentTextChar"/>
    <w:link w:val="CommentSubject"/>
    <w:uiPriority w:val="99"/>
    <w:semiHidden/>
    <w:rsid w:val="00CB0B08"/>
    <w:rPr>
      <w:rFonts w:ascii="Arial" w:hAnsi="Arial"/>
      <w:b/>
      <w:bCs/>
      <w:sz w:val="20"/>
      <w:szCs w:val="20"/>
    </w:rPr>
  </w:style>
  <w:style w:type="character" w:styleId="Hyperlink">
    <w:name w:val="Hyperlink"/>
    <w:basedOn w:val="DefaultParagraphFont"/>
    <w:uiPriority w:val="99"/>
    <w:unhideWhenUsed/>
    <w:rsid w:val="00AD3666"/>
    <w:rPr>
      <w:color w:val="0563C1" w:themeColor="hyperlink"/>
      <w:u w:val="single"/>
    </w:rPr>
  </w:style>
  <w:style w:type="character" w:styleId="UnresolvedMention">
    <w:name w:val="Unresolved Mention"/>
    <w:basedOn w:val="DefaultParagraphFont"/>
    <w:uiPriority w:val="99"/>
    <w:semiHidden/>
    <w:unhideWhenUsed/>
    <w:rsid w:val="00AD3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0075">
      <w:bodyDiv w:val="1"/>
      <w:marLeft w:val="0"/>
      <w:marRight w:val="0"/>
      <w:marTop w:val="0"/>
      <w:marBottom w:val="0"/>
      <w:divBdr>
        <w:top w:val="none" w:sz="0" w:space="0" w:color="auto"/>
        <w:left w:val="none" w:sz="0" w:space="0" w:color="auto"/>
        <w:bottom w:val="none" w:sz="0" w:space="0" w:color="auto"/>
        <w:right w:val="none" w:sz="0" w:space="0" w:color="auto"/>
      </w:divBdr>
    </w:div>
    <w:div w:id="52394210">
      <w:bodyDiv w:val="1"/>
      <w:marLeft w:val="0"/>
      <w:marRight w:val="0"/>
      <w:marTop w:val="0"/>
      <w:marBottom w:val="0"/>
      <w:divBdr>
        <w:top w:val="none" w:sz="0" w:space="0" w:color="auto"/>
        <w:left w:val="none" w:sz="0" w:space="0" w:color="auto"/>
        <w:bottom w:val="none" w:sz="0" w:space="0" w:color="auto"/>
        <w:right w:val="none" w:sz="0" w:space="0" w:color="auto"/>
      </w:divBdr>
    </w:div>
    <w:div w:id="54008460">
      <w:bodyDiv w:val="1"/>
      <w:marLeft w:val="0"/>
      <w:marRight w:val="0"/>
      <w:marTop w:val="0"/>
      <w:marBottom w:val="0"/>
      <w:divBdr>
        <w:top w:val="none" w:sz="0" w:space="0" w:color="auto"/>
        <w:left w:val="none" w:sz="0" w:space="0" w:color="auto"/>
        <w:bottom w:val="none" w:sz="0" w:space="0" w:color="auto"/>
        <w:right w:val="none" w:sz="0" w:space="0" w:color="auto"/>
      </w:divBdr>
    </w:div>
    <w:div w:id="81073278">
      <w:bodyDiv w:val="1"/>
      <w:marLeft w:val="0"/>
      <w:marRight w:val="0"/>
      <w:marTop w:val="0"/>
      <w:marBottom w:val="0"/>
      <w:divBdr>
        <w:top w:val="none" w:sz="0" w:space="0" w:color="auto"/>
        <w:left w:val="none" w:sz="0" w:space="0" w:color="auto"/>
        <w:bottom w:val="none" w:sz="0" w:space="0" w:color="auto"/>
        <w:right w:val="none" w:sz="0" w:space="0" w:color="auto"/>
      </w:divBdr>
    </w:div>
    <w:div w:id="118303178">
      <w:bodyDiv w:val="1"/>
      <w:marLeft w:val="0"/>
      <w:marRight w:val="0"/>
      <w:marTop w:val="0"/>
      <w:marBottom w:val="0"/>
      <w:divBdr>
        <w:top w:val="none" w:sz="0" w:space="0" w:color="auto"/>
        <w:left w:val="none" w:sz="0" w:space="0" w:color="auto"/>
        <w:bottom w:val="none" w:sz="0" w:space="0" w:color="auto"/>
        <w:right w:val="none" w:sz="0" w:space="0" w:color="auto"/>
      </w:divBdr>
    </w:div>
    <w:div w:id="135268142">
      <w:bodyDiv w:val="1"/>
      <w:marLeft w:val="0"/>
      <w:marRight w:val="0"/>
      <w:marTop w:val="0"/>
      <w:marBottom w:val="0"/>
      <w:divBdr>
        <w:top w:val="none" w:sz="0" w:space="0" w:color="auto"/>
        <w:left w:val="none" w:sz="0" w:space="0" w:color="auto"/>
        <w:bottom w:val="none" w:sz="0" w:space="0" w:color="auto"/>
        <w:right w:val="none" w:sz="0" w:space="0" w:color="auto"/>
      </w:divBdr>
    </w:div>
    <w:div w:id="135297044">
      <w:bodyDiv w:val="1"/>
      <w:marLeft w:val="0"/>
      <w:marRight w:val="0"/>
      <w:marTop w:val="0"/>
      <w:marBottom w:val="0"/>
      <w:divBdr>
        <w:top w:val="none" w:sz="0" w:space="0" w:color="auto"/>
        <w:left w:val="none" w:sz="0" w:space="0" w:color="auto"/>
        <w:bottom w:val="none" w:sz="0" w:space="0" w:color="auto"/>
        <w:right w:val="none" w:sz="0" w:space="0" w:color="auto"/>
      </w:divBdr>
    </w:div>
    <w:div w:id="137311604">
      <w:bodyDiv w:val="1"/>
      <w:marLeft w:val="0"/>
      <w:marRight w:val="0"/>
      <w:marTop w:val="0"/>
      <w:marBottom w:val="0"/>
      <w:divBdr>
        <w:top w:val="none" w:sz="0" w:space="0" w:color="auto"/>
        <w:left w:val="none" w:sz="0" w:space="0" w:color="auto"/>
        <w:bottom w:val="none" w:sz="0" w:space="0" w:color="auto"/>
        <w:right w:val="none" w:sz="0" w:space="0" w:color="auto"/>
      </w:divBdr>
      <w:divsChild>
        <w:div w:id="116485856">
          <w:marLeft w:val="640"/>
          <w:marRight w:val="0"/>
          <w:marTop w:val="0"/>
          <w:marBottom w:val="0"/>
          <w:divBdr>
            <w:top w:val="none" w:sz="0" w:space="0" w:color="auto"/>
            <w:left w:val="none" w:sz="0" w:space="0" w:color="auto"/>
            <w:bottom w:val="none" w:sz="0" w:space="0" w:color="auto"/>
            <w:right w:val="none" w:sz="0" w:space="0" w:color="auto"/>
          </w:divBdr>
        </w:div>
        <w:div w:id="617490844">
          <w:marLeft w:val="640"/>
          <w:marRight w:val="0"/>
          <w:marTop w:val="0"/>
          <w:marBottom w:val="0"/>
          <w:divBdr>
            <w:top w:val="none" w:sz="0" w:space="0" w:color="auto"/>
            <w:left w:val="none" w:sz="0" w:space="0" w:color="auto"/>
            <w:bottom w:val="none" w:sz="0" w:space="0" w:color="auto"/>
            <w:right w:val="none" w:sz="0" w:space="0" w:color="auto"/>
          </w:divBdr>
        </w:div>
        <w:div w:id="1773743068">
          <w:marLeft w:val="640"/>
          <w:marRight w:val="0"/>
          <w:marTop w:val="0"/>
          <w:marBottom w:val="0"/>
          <w:divBdr>
            <w:top w:val="none" w:sz="0" w:space="0" w:color="auto"/>
            <w:left w:val="none" w:sz="0" w:space="0" w:color="auto"/>
            <w:bottom w:val="none" w:sz="0" w:space="0" w:color="auto"/>
            <w:right w:val="none" w:sz="0" w:space="0" w:color="auto"/>
          </w:divBdr>
        </w:div>
        <w:div w:id="689140881">
          <w:marLeft w:val="640"/>
          <w:marRight w:val="0"/>
          <w:marTop w:val="0"/>
          <w:marBottom w:val="0"/>
          <w:divBdr>
            <w:top w:val="none" w:sz="0" w:space="0" w:color="auto"/>
            <w:left w:val="none" w:sz="0" w:space="0" w:color="auto"/>
            <w:bottom w:val="none" w:sz="0" w:space="0" w:color="auto"/>
            <w:right w:val="none" w:sz="0" w:space="0" w:color="auto"/>
          </w:divBdr>
        </w:div>
        <w:div w:id="2082633415">
          <w:marLeft w:val="640"/>
          <w:marRight w:val="0"/>
          <w:marTop w:val="0"/>
          <w:marBottom w:val="0"/>
          <w:divBdr>
            <w:top w:val="none" w:sz="0" w:space="0" w:color="auto"/>
            <w:left w:val="none" w:sz="0" w:space="0" w:color="auto"/>
            <w:bottom w:val="none" w:sz="0" w:space="0" w:color="auto"/>
            <w:right w:val="none" w:sz="0" w:space="0" w:color="auto"/>
          </w:divBdr>
        </w:div>
        <w:div w:id="1607618354">
          <w:marLeft w:val="640"/>
          <w:marRight w:val="0"/>
          <w:marTop w:val="0"/>
          <w:marBottom w:val="0"/>
          <w:divBdr>
            <w:top w:val="none" w:sz="0" w:space="0" w:color="auto"/>
            <w:left w:val="none" w:sz="0" w:space="0" w:color="auto"/>
            <w:bottom w:val="none" w:sz="0" w:space="0" w:color="auto"/>
            <w:right w:val="none" w:sz="0" w:space="0" w:color="auto"/>
          </w:divBdr>
        </w:div>
        <w:div w:id="1528106078">
          <w:marLeft w:val="640"/>
          <w:marRight w:val="0"/>
          <w:marTop w:val="0"/>
          <w:marBottom w:val="0"/>
          <w:divBdr>
            <w:top w:val="none" w:sz="0" w:space="0" w:color="auto"/>
            <w:left w:val="none" w:sz="0" w:space="0" w:color="auto"/>
            <w:bottom w:val="none" w:sz="0" w:space="0" w:color="auto"/>
            <w:right w:val="none" w:sz="0" w:space="0" w:color="auto"/>
          </w:divBdr>
        </w:div>
      </w:divsChild>
    </w:div>
    <w:div w:id="176241165">
      <w:bodyDiv w:val="1"/>
      <w:marLeft w:val="0"/>
      <w:marRight w:val="0"/>
      <w:marTop w:val="0"/>
      <w:marBottom w:val="0"/>
      <w:divBdr>
        <w:top w:val="none" w:sz="0" w:space="0" w:color="auto"/>
        <w:left w:val="none" w:sz="0" w:space="0" w:color="auto"/>
        <w:bottom w:val="none" w:sz="0" w:space="0" w:color="auto"/>
        <w:right w:val="none" w:sz="0" w:space="0" w:color="auto"/>
      </w:divBdr>
    </w:div>
    <w:div w:id="181474434">
      <w:bodyDiv w:val="1"/>
      <w:marLeft w:val="0"/>
      <w:marRight w:val="0"/>
      <w:marTop w:val="0"/>
      <w:marBottom w:val="0"/>
      <w:divBdr>
        <w:top w:val="none" w:sz="0" w:space="0" w:color="auto"/>
        <w:left w:val="none" w:sz="0" w:space="0" w:color="auto"/>
        <w:bottom w:val="none" w:sz="0" w:space="0" w:color="auto"/>
        <w:right w:val="none" w:sz="0" w:space="0" w:color="auto"/>
      </w:divBdr>
    </w:div>
    <w:div w:id="237905702">
      <w:bodyDiv w:val="1"/>
      <w:marLeft w:val="0"/>
      <w:marRight w:val="0"/>
      <w:marTop w:val="0"/>
      <w:marBottom w:val="0"/>
      <w:divBdr>
        <w:top w:val="none" w:sz="0" w:space="0" w:color="auto"/>
        <w:left w:val="none" w:sz="0" w:space="0" w:color="auto"/>
        <w:bottom w:val="none" w:sz="0" w:space="0" w:color="auto"/>
        <w:right w:val="none" w:sz="0" w:space="0" w:color="auto"/>
      </w:divBdr>
    </w:div>
    <w:div w:id="241262666">
      <w:bodyDiv w:val="1"/>
      <w:marLeft w:val="0"/>
      <w:marRight w:val="0"/>
      <w:marTop w:val="0"/>
      <w:marBottom w:val="0"/>
      <w:divBdr>
        <w:top w:val="none" w:sz="0" w:space="0" w:color="auto"/>
        <w:left w:val="none" w:sz="0" w:space="0" w:color="auto"/>
        <w:bottom w:val="none" w:sz="0" w:space="0" w:color="auto"/>
        <w:right w:val="none" w:sz="0" w:space="0" w:color="auto"/>
      </w:divBdr>
    </w:div>
    <w:div w:id="275258019">
      <w:bodyDiv w:val="1"/>
      <w:marLeft w:val="0"/>
      <w:marRight w:val="0"/>
      <w:marTop w:val="0"/>
      <w:marBottom w:val="0"/>
      <w:divBdr>
        <w:top w:val="none" w:sz="0" w:space="0" w:color="auto"/>
        <w:left w:val="none" w:sz="0" w:space="0" w:color="auto"/>
        <w:bottom w:val="none" w:sz="0" w:space="0" w:color="auto"/>
        <w:right w:val="none" w:sz="0" w:space="0" w:color="auto"/>
      </w:divBdr>
    </w:div>
    <w:div w:id="294454482">
      <w:bodyDiv w:val="1"/>
      <w:marLeft w:val="0"/>
      <w:marRight w:val="0"/>
      <w:marTop w:val="0"/>
      <w:marBottom w:val="0"/>
      <w:divBdr>
        <w:top w:val="none" w:sz="0" w:space="0" w:color="auto"/>
        <w:left w:val="none" w:sz="0" w:space="0" w:color="auto"/>
        <w:bottom w:val="none" w:sz="0" w:space="0" w:color="auto"/>
        <w:right w:val="none" w:sz="0" w:space="0" w:color="auto"/>
      </w:divBdr>
    </w:div>
    <w:div w:id="349988810">
      <w:bodyDiv w:val="1"/>
      <w:marLeft w:val="0"/>
      <w:marRight w:val="0"/>
      <w:marTop w:val="0"/>
      <w:marBottom w:val="0"/>
      <w:divBdr>
        <w:top w:val="none" w:sz="0" w:space="0" w:color="auto"/>
        <w:left w:val="none" w:sz="0" w:space="0" w:color="auto"/>
        <w:bottom w:val="none" w:sz="0" w:space="0" w:color="auto"/>
        <w:right w:val="none" w:sz="0" w:space="0" w:color="auto"/>
      </w:divBdr>
    </w:div>
    <w:div w:id="362484113">
      <w:bodyDiv w:val="1"/>
      <w:marLeft w:val="0"/>
      <w:marRight w:val="0"/>
      <w:marTop w:val="0"/>
      <w:marBottom w:val="0"/>
      <w:divBdr>
        <w:top w:val="none" w:sz="0" w:space="0" w:color="auto"/>
        <w:left w:val="none" w:sz="0" w:space="0" w:color="auto"/>
        <w:bottom w:val="none" w:sz="0" w:space="0" w:color="auto"/>
        <w:right w:val="none" w:sz="0" w:space="0" w:color="auto"/>
      </w:divBdr>
    </w:div>
    <w:div w:id="363136028">
      <w:bodyDiv w:val="1"/>
      <w:marLeft w:val="0"/>
      <w:marRight w:val="0"/>
      <w:marTop w:val="0"/>
      <w:marBottom w:val="0"/>
      <w:divBdr>
        <w:top w:val="none" w:sz="0" w:space="0" w:color="auto"/>
        <w:left w:val="none" w:sz="0" w:space="0" w:color="auto"/>
        <w:bottom w:val="none" w:sz="0" w:space="0" w:color="auto"/>
        <w:right w:val="none" w:sz="0" w:space="0" w:color="auto"/>
      </w:divBdr>
    </w:div>
    <w:div w:id="403799197">
      <w:bodyDiv w:val="1"/>
      <w:marLeft w:val="0"/>
      <w:marRight w:val="0"/>
      <w:marTop w:val="0"/>
      <w:marBottom w:val="0"/>
      <w:divBdr>
        <w:top w:val="none" w:sz="0" w:space="0" w:color="auto"/>
        <w:left w:val="none" w:sz="0" w:space="0" w:color="auto"/>
        <w:bottom w:val="none" w:sz="0" w:space="0" w:color="auto"/>
        <w:right w:val="none" w:sz="0" w:space="0" w:color="auto"/>
      </w:divBdr>
      <w:divsChild>
        <w:div w:id="101267280">
          <w:marLeft w:val="0"/>
          <w:marRight w:val="0"/>
          <w:marTop w:val="0"/>
          <w:marBottom w:val="0"/>
          <w:divBdr>
            <w:top w:val="none" w:sz="0" w:space="0" w:color="auto"/>
            <w:left w:val="none" w:sz="0" w:space="0" w:color="auto"/>
            <w:bottom w:val="none" w:sz="0" w:space="0" w:color="auto"/>
            <w:right w:val="none" w:sz="0" w:space="0" w:color="auto"/>
          </w:divBdr>
          <w:divsChild>
            <w:div w:id="138305603">
              <w:marLeft w:val="0"/>
              <w:marRight w:val="0"/>
              <w:marTop w:val="0"/>
              <w:marBottom w:val="0"/>
              <w:divBdr>
                <w:top w:val="none" w:sz="0" w:space="0" w:color="auto"/>
                <w:left w:val="none" w:sz="0" w:space="0" w:color="auto"/>
                <w:bottom w:val="none" w:sz="0" w:space="0" w:color="auto"/>
                <w:right w:val="none" w:sz="0" w:space="0" w:color="auto"/>
              </w:divBdr>
              <w:divsChild>
                <w:div w:id="292953163">
                  <w:marLeft w:val="0"/>
                  <w:marRight w:val="0"/>
                  <w:marTop w:val="0"/>
                  <w:marBottom w:val="0"/>
                  <w:divBdr>
                    <w:top w:val="none" w:sz="0" w:space="0" w:color="auto"/>
                    <w:left w:val="none" w:sz="0" w:space="0" w:color="auto"/>
                    <w:bottom w:val="none" w:sz="0" w:space="0" w:color="auto"/>
                    <w:right w:val="none" w:sz="0" w:space="0" w:color="auto"/>
                  </w:divBdr>
                  <w:divsChild>
                    <w:div w:id="302661176">
                      <w:marLeft w:val="0"/>
                      <w:marRight w:val="0"/>
                      <w:marTop w:val="0"/>
                      <w:marBottom w:val="0"/>
                      <w:divBdr>
                        <w:top w:val="none" w:sz="0" w:space="0" w:color="auto"/>
                        <w:left w:val="none" w:sz="0" w:space="0" w:color="auto"/>
                        <w:bottom w:val="none" w:sz="0" w:space="0" w:color="auto"/>
                        <w:right w:val="none" w:sz="0" w:space="0" w:color="auto"/>
                      </w:divBdr>
                      <w:divsChild>
                        <w:div w:id="1355424914">
                          <w:marLeft w:val="0"/>
                          <w:marRight w:val="0"/>
                          <w:marTop w:val="0"/>
                          <w:marBottom w:val="0"/>
                          <w:divBdr>
                            <w:top w:val="none" w:sz="0" w:space="0" w:color="auto"/>
                            <w:left w:val="none" w:sz="0" w:space="0" w:color="auto"/>
                            <w:bottom w:val="none" w:sz="0" w:space="0" w:color="auto"/>
                            <w:right w:val="none" w:sz="0" w:space="0" w:color="auto"/>
                          </w:divBdr>
                          <w:divsChild>
                            <w:div w:id="442237981">
                              <w:marLeft w:val="0"/>
                              <w:marRight w:val="0"/>
                              <w:marTop w:val="0"/>
                              <w:marBottom w:val="0"/>
                              <w:divBdr>
                                <w:top w:val="none" w:sz="0" w:space="0" w:color="auto"/>
                                <w:left w:val="none" w:sz="0" w:space="0" w:color="auto"/>
                                <w:bottom w:val="none" w:sz="0" w:space="0" w:color="auto"/>
                                <w:right w:val="none" w:sz="0" w:space="0" w:color="auto"/>
                              </w:divBdr>
                              <w:divsChild>
                                <w:div w:id="2121104260">
                                  <w:marLeft w:val="0"/>
                                  <w:marRight w:val="0"/>
                                  <w:marTop w:val="0"/>
                                  <w:marBottom w:val="0"/>
                                  <w:divBdr>
                                    <w:top w:val="none" w:sz="0" w:space="0" w:color="auto"/>
                                    <w:left w:val="none" w:sz="0" w:space="0" w:color="auto"/>
                                    <w:bottom w:val="none" w:sz="0" w:space="0" w:color="auto"/>
                                    <w:right w:val="none" w:sz="0" w:space="0" w:color="auto"/>
                                  </w:divBdr>
                                  <w:divsChild>
                                    <w:div w:id="1544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963861">
                      <w:marLeft w:val="0"/>
                      <w:marRight w:val="0"/>
                      <w:marTop w:val="0"/>
                      <w:marBottom w:val="0"/>
                      <w:divBdr>
                        <w:top w:val="none" w:sz="0" w:space="0" w:color="auto"/>
                        <w:left w:val="none" w:sz="0" w:space="0" w:color="auto"/>
                        <w:bottom w:val="none" w:sz="0" w:space="0" w:color="auto"/>
                        <w:right w:val="none" w:sz="0" w:space="0" w:color="auto"/>
                      </w:divBdr>
                      <w:divsChild>
                        <w:div w:id="21203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978480">
      <w:bodyDiv w:val="1"/>
      <w:marLeft w:val="0"/>
      <w:marRight w:val="0"/>
      <w:marTop w:val="0"/>
      <w:marBottom w:val="0"/>
      <w:divBdr>
        <w:top w:val="none" w:sz="0" w:space="0" w:color="auto"/>
        <w:left w:val="none" w:sz="0" w:space="0" w:color="auto"/>
        <w:bottom w:val="none" w:sz="0" w:space="0" w:color="auto"/>
        <w:right w:val="none" w:sz="0" w:space="0" w:color="auto"/>
      </w:divBdr>
    </w:div>
    <w:div w:id="421030132">
      <w:bodyDiv w:val="1"/>
      <w:marLeft w:val="0"/>
      <w:marRight w:val="0"/>
      <w:marTop w:val="0"/>
      <w:marBottom w:val="0"/>
      <w:divBdr>
        <w:top w:val="none" w:sz="0" w:space="0" w:color="auto"/>
        <w:left w:val="none" w:sz="0" w:space="0" w:color="auto"/>
        <w:bottom w:val="none" w:sz="0" w:space="0" w:color="auto"/>
        <w:right w:val="none" w:sz="0" w:space="0" w:color="auto"/>
      </w:divBdr>
    </w:div>
    <w:div w:id="430862394">
      <w:bodyDiv w:val="1"/>
      <w:marLeft w:val="0"/>
      <w:marRight w:val="0"/>
      <w:marTop w:val="0"/>
      <w:marBottom w:val="0"/>
      <w:divBdr>
        <w:top w:val="none" w:sz="0" w:space="0" w:color="auto"/>
        <w:left w:val="none" w:sz="0" w:space="0" w:color="auto"/>
        <w:bottom w:val="none" w:sz="0" w:space="0" w:color="auto"/>
        <w:right w:val="none" w:sz="0" w:space="0" w:color="auto"/>
      </w:divBdr>
    </w:div>
    <w:div w:id="467164272">
      <w:bodyDiv w:val="1"/>
      <w:marLeft w:val="0"/>
      <w:marRight w:val="0"/>
      <w:marTop w:val="0"/>
      <w:marBottom w:val="0"/>
      <w:divBdr>
        <w:top w:val="none" w:sz="0" w:space="0" w:color="auto"/>
        <w:left w:val="none" w:sz="0" w:space="0" w:color="auto"/>
        <w:bottom w:val="none" w:sz="0" w:space="0" w:color="auto"/>
        <w:right w:val="none" w:sz="0" w:space="0" w:color="auto"/>
      </w:divBdr>
    </w:div>
    <w:div w:id="469714622">
      <w:bodyDiv w:val="1"/>
      <w:marLeft w:val="0"/>
      <w:marRight w:val="0"/>
      <w:marTop w:val="0"/>
      <w:marBottom w:val="0"/>
      <w:divBdr>
        <w:top w:val="none" w:sz="0" w:space="0" w:color="auto"/>
        <w:left w:val="none" w:sz="0" w:space="0" w:color="auto"/>
        <w:bottom w:val="none" w:sz="0" w:space="0" w:color="auto"/>
        <w:right w:val="none" w:sz="0" w:space="0" w:color="auto"/>
      </w:divBdr>
    </w:div>
    <w:div w:id="471409880">
      <w:bodyDiv w:val="1"/>
      <w:marLeft w:val="0"/>
      <w:marRight w:val="0"/>
      <w:marTop w:val="0"/>
      <w:marBottom w:val="0"/>
      <w:divBdr>
        <w:top w:val="none" w:sz="0" w:space="0" w:color="auto"/>
        <w:left w:val="none" w:sz="0" w:space="0" w:color="auto"/>
        <w:bottom w:val="none" w:sz="0" w:space="0" w:color="auto"/>
        <w:right w:val="none" w:sz="0" w:space="0" w:color="auto"/>
      </w:divBdr>
    </w:div>
    <w:div w:id="478232731">
      <w:bodyDiv w:val="1"/>
      <w:marLeft w:val="0"/>
      <w:marRight w:val="0"/>
      <w:marTop w:val="0"/>
      <w:marBottom w:val="0"/>
      <w:divBdr>
        <w:top w:val="none" w:sz="0" w:space="0" w:color="auto"/>
        <w:left w:val="none" w:sz="0" w:space="0" w:color="auto"/>
        <w:bottom w:val="none" w:sz="0" w:space="0" w:color="auto"/>
        <w:right w:val="none" w:sz="0" w:space="0" w:color="auto"/>
      </w:divBdr>
    </w:div>
    <w:div w:id="479998520">
      <w:bodyDiv w:val="1"/>
      <w:marLeft w:val="0"/>
      <w:marRight w:val="0"/>
      <w:marTop w:val="0"/>
      <w:marBottom w:val="0"/>
      <w:divBdr>
        <w:top w:val="none" w:sz="0" w:space="0" w:color="auto"/>
        <w:left w:val="none" w:sz="0" w:space="0" w:color="auto"/>
        <w:bottom w:val="none" w:sz="0" w:space="0" w:color="auto"/>
        <w:right w:val="none" w:sz="0" w:space="0" w:color="auto"/>
      </w:divBdr>
    </w:div>
    <w:div w:id="481507957">
      <w:bodyDiv w:val="1"/>
      <w:marLeft w:val="0"/>
      <w:marRight w:val="0"/>
      <w:marTop w:val="0"/>
      <w:marBottom w:val="0"/>
      <w:divBdr>
        <w:top w:val="none" w:sz="0" w:space="0" w:color="auto"/>
        <w:left w:val="none" w:sz="0" w:space="0" w:color="auto"/>
        <w:bottom w:val="none" w:sz="0" w:space="0" w:color="auto"/>
        <w:right w:val="none" w:sz="0" w:space="0" w:color="auto"/>
      </w:divBdr>
    </w:div>
    <w:div w:id="576669967">
      <w:bodyDiv w:val="1"/>
      <w:marLeft w:val="0"/>
      <w:marRight w:val="0"/>
      <w:marTop w:val="0"/>
      <w:marBottom w:val="0"/>
      <w:divBdr>
        <w:top w:val="none" w:sz="0" w:space="0" w:color="auto"/>
        <w:left w:val="none" w:sz="0" w:space="0" w:color="auto"/>
        <w:bottom w:val="none" w:sz="0" w:space="0" w:color="auto"/>
        <w:right w:val="none" w:sz="0" w:space="0" w:color="auto"/>
      </w:divBdr>
      <w:divsChild>
        <w:div w:id="790515806">
          <w:marLeft w:val="640"/>
          <w:marRight w:val="0"/>
          <w:marTop w:val="0"/>
          <w:marBottom w:val="0"/>
          <w:divBdr>
            <w:top w:val="none" w:sz="0" w:space="0" w:color="auto"/>
            <w:left w:val="none" w:sz="0" w:space="0" w:color="auto"/>
            <w:bottom w:val="none" w:sz="0" w:space="0" w:color="auto"/>
            <w:right w:val="none" w:sz="0" w:space="0" w:color="auto"/>
          </w:divBdr>
        </w:div>
        <w:div w:id="939026575">
          <w:marLeft w:val="640"/>
          <w:marRight w:val="0"/>
          <w:marTop w:val="0"/>
          <w:marBottom w:val="0"/>
          <w:divBdr>
            <w:top w:val="none" w:sz="0" w:space="0" w:color="auto"/>
            <w:left w:val="none" w:sz="0" w:space="0" w:color="auto"/>
            <w:bottom w:val="none" w:sz="0" w:space="0" w:color="auto"/>
            <w:right w:val="none" w:sz="0" w:space="0" w:color="auto"/>
          </w:divBdr>
        </w:div>
        <w:div w:id="1404982931">
          <w:marLeft w:val="640"/>
          <w:marRight w:val="0"/>
          <w:marTop w:val="0"/>
          <w:marBottom w:val="0"/>
          <w:divBdr>
            <w:top w:val="none" w:sz="0" w:space="0" w:color="auto"/>
            <w:left w:val="none" w:sz="0" w:space="0" w:color="auto"/>
            <w:bottom w:val="none" w:sz="0" w:space="0" w:color="auto"/>
            <w:right w:val="none" w:sz="0" w:space="0" w:color="auto"/>
          </w:divBdr>
        </w:div>
        <w:div w:id="1764182937">
          <w:marLeft w:val="640"/>
          <w:marRight w:val="0"/>
          <w:marTop w:val="0"/>
          <w:marBottom w:val="0"/>
          <w:divBdr>
            <w:top w:val="none" w:sz="0" w:space="0" w:color="auto"/>
            <w:left w:val="none" w:sz="0" w:space="0" w:color="auto"/>
            <w:bottom w:val="none" w:sz="0" w:space="0" w:color="auto"/>
            <w:right w:val="none" w:sz="0" w:space="0" w:color="auto"/>
          </w:divBdr>
        </w:div>
        <w:div w:id="1047143822">
          <w:marLeft w:val="640"/>
          <w:marRight w:val="0"/>
          <w:marTop w:val="0"/>
          <w:marBottom w:val="0"/>
          <w:divBdr>
            <w:top w:val="none" w:sz="0" w:space="0" w:color="auto"/>
            <w:left w:val="none" w:sz="0" w:space="0" w:color="auto"/>
            <w:bottom w:val="none" w:sz="0" w:space="0" w:color="auto"/>
            <w:right w:val="none" w:sz="0" w:space="0" w:color="auto"/>
          </w:divBdr>
        </w:div>
        <w:div w:id="1037852094">
          <w:marLeft w:val="640"/>
          <w:marRight w:val="0"/>
          <w:marTop w:val="0"/>
          <w:marBottom w:val="0"/>
          <w:divBdr>
            <w:top w:val="none" w:sz="0" w:space="0" w:color="auto"/>
            <w:left w:val="none" w:sz="0" w:space="0" w:color="auto"/>
            <w:bottom w:val="none" w:sz="0" w:space="0" w:color="auto"/>
            <w:right w:val="none" w:sz="0" w:space="0" w:color="auto"/>
          </w:divBdr>
        </w:div>
        <w:div w:id="1733578321">
          <w:marLeft w:val="640"/>
          <w:marRight w:val="0"/>
          <w:marTop w:val="0"/>
          <w:marBottom w:val="0"/>
          <w:divBdr>
            <w:top w:val="none" w:sz="0" w:space="0" w:color="auto"/>
            <w:left w:val="none" w:sz="0" w:space="0" w:color="auto"/>
            <w:bottom w:val="none" w:sz="0" w:space="0" w:color="auto"/>
            <w:right w:val="none" w:sz="0" w:space="0" w:color="auto"/>
          </w:divBdr>
        </w:div>
        <w:div w:id="431626308">
          <w:marLeft w:val="640"/>
          <w:marRight w:val="0"/>
          <w:marTop w:val="0"/>
          <w:marBottom w:val="0"/>
          <w:divBdr>
            <w:top w:val="none" w:sz="0" w:space="0" w:color="auto"/>
            <w:left w:val="none" w:sz="0" w:space="0" w:color="auto"/>
            <w:bottom w:val="none" w:sz="0" w:space="0" w:color="auto"/>
            <w:right w:val="none" w:sz="0" w:space="0" w:color="auto"/>
          </w:divBdr>
        </w:div>
        <w:div w:id="2040662366">
          <w:marLeft w:val="640"/>
          <w:marRight w:val="0"/>
          <w:marTop w:val="0"/>
          <w:marBottom w:val="0"/>
          <w:divBdr>
            <w:top w:val="none" w:sz="0" w:space="0" w:color="auto"/>
            <w:left w:val="none" w:sz="0" w:space="0" w:color="auto"/>
            <w:bottom w:val="none" w:sz="0" w:space="0" w:color="auto"/>
            <w:right w:val="none" w:sz="0" w:space="0" w:color="auto"/>
          </w:divBdr>
        </w:div>
        <w:div w:id="1594509741">
          <w:marLeft w:val="640"/>
          <w:marRight w:val="0"/>
          <w:marTop w:val="0"/>
          <w:marBottom w:val="0"/>
          <w:divBdr>
            <w:top w:val="none" w:sz="0" w:space="0" w:color="auto"/>
            <w:left w:val="none" w:sz="0" w:space="0" w:color="auto"/>
            <w:bottom w:val="none" w:sz="0" w:space="0" w:color="auto"/>
            <w:right w:val="none" w:sz="0" w:space="0" w:color="auto"/>
          </w:divBdr>
        </w:div>
      </w:divsChild>
    </w:div>
    <w:div w:id="584581636">
      <w:bodyDiv w:val="1"/>
      <w:marLeft w:val="0"/>
      <w:marRight w:val="0"/>
      <w:marTop w:val="0"/>
      <w:marBottom w:val="0"/>
      <w:divBdr>
        <w:top w:val="none" w:sz="0" w:space="0" w:color="auto"/>
        <w:left w:val="none" w:sz="0" w:space="0" w:color="auto"/>
        <w:bottom w:val="none" w:sz="0" w:space="0" w:color="auto"/>
        <w:right w:val="none" w:sz="0" w:space="0" w:color="auto"/>
      </w:divBdr>
      <w:divsChild>
        <w:div w:id="1823354479">
          <w:marLeft w:val="640"/>
          <w:marRight w:val="0"/>
          <w:marTop w:val="0"/>
          <w:marBottom w:val="0"/>
          <w:divBdr>
            <w:top w:val="none" w:sz="0" w:space="0" w:color="auto"/>
            <w:left w:val="none" w:sz="0" w:space="0" w:color="auto"/>
            <w:bottom w:val="none" w:sz="0" w:space="0" w:color="auto"/>
            <w:right w:val="none" w:sz="0" w:space="0" w:color="auto"/>
          </w:divBdr>
        </w:div>
        <w:div w:id="1634796663">
          <w:marLeft w:val="640"/>
          <w:marRight w:val="0"/>
          <w:marTop w:val="0"/>
          <w:marBottom w:val="0"/>
          <w:divBdr>
            <w:top w:val="none" w:sz="0" w:space="0" w:color="auto"/>
            <w:left w:val="none" w:sz="0" w:space="0" w:color="auto"/>
            <w:bottom w:val="none" w:sz="0" w:space="0" w:color="auto"/>
            <w:right w:val="none" w:sz="0" w:space="0" w:color="auto"/>
          </w:divBdr>
        </w:div>
        <w:div w:id="1454978616">
          <w:marLeft w:val="640"/>
          <w:marRight w:val="0"/>
          <w:marTop w:val="0"/>
          <w:marBottom w:val="0"/>
          <w:divBdr>
            <w:top w:val="none" w:sz="0" w:space="0" w:color="auto"/>
            <w:left w:val="none" w:sz="0" w:space="0" w:color="auto"/>
            <w:bottom w:val="none" w:sz="0" w:space="0" w:color="auto"/>
            <w:right w:val="none" w:sz="0" w:space="0" w:color="auto"/>
          </w:divBdr>
        </w:div>
        <w:div w:id="122963180">
          <w:marLeft w:val="640"/>
          <w:marRight w:val="0"/>
          <w:marTop w:val="0"/>
          <w:marBottom w:val="0"/>
          <w:divBdr>
            <w:top w:val="none" w:sz="0" w:space="0" w:color="auto"/>
            <w:left w:val="none" w:sz="0" w:space="0" w:color="auto"/>
            <w:bottom w:val="none" w:sz="0" w:space="0" w:color="auto"/>
            <w:right w:val="none" w:sz="0" w:space="0" w:color="auto"/>
          </w:divBdr>
        </w:div>
        <w:div w:id="516122749">
          <w:marLeft w:val="640"/>
          <w:marRight w:val="0"/>
          <w:marTop w:val="0"/>
          <w:marBottom w:val="0"/>
          <w:divBdr>
            <w:top w:val="none" w:sz="0" w:space="0" w:color="auto"/>
            <w:left w:val="none" w:sz="0" w:space="0" w:color="auto"/>
            <w:bottom w:val="none" w:sz="0" w:space="0" w:color="auto"/>
            <w:right w:val="none" w:sz="0" w:space="0" w:color="auto"/>
          </w:divBdr>
        </w:div>
        <w:div w:id="407776825">
          <w:marLeft w:val="640"/>
          <w:marRight w:val="0"/>
          <w:marTop w:val="0"/>
          <w:marBottom w:val="0"/>
          <w:divBdr>
            <w:top w:val="none" w:sz="0" w:space="0" w:color="auto"/>
            <w:left w:val="none" w:sz="0" w:space="0" w:color="auto"/>
            <w:bottom w:val="none" w:sz="0" w:space="0" w:color="auto"/>
            <w:right w:val="none" w:sz="0" w:space="0" w:color="auto"/>
          </w:divBdr>
        </w:div>
        <w:div w:id="1284732005">
          <w:marLeft w:val="640"/>
          <w:marRight w:val="0"/>
          <w:marTop w:val="0"/>
          <w:marBottom w:val="0"/>
          <w:divBdr>
            <w:top w:val="none" w:sz="0" w:space="0" w:color="auto"/>
            <w:left w:val="none" w:sz="0" w:space="0" w:color="auto"/>
            <w:bottom w:val="none" w:sz="0" w:space="0" w:color="auto"/>
            <w:right w:val="none" w:sz="0" w:space="0" w:color="auto"/>
          </w:divBdr>
        </w:div>
        <w:div w:id="2045056576">
          <w:marLeft w:val="640"/>
          <w:marRight w:val="0"/>
          <w:marTop w:val="0"/>
          <w:marBottom w:val="0"/>
          <w:divBdr>
            <w:top w:val="none" w:sz="0" w:space="0" w:color="auto"/>
            <w:left w:val="none" w:sz="0" w:space="0" w:color="auto"/>
            <w:bottom w:val="none" w:sz="0" w:space="0" w:color="auto"/>
            <w:right w:val="none" w:sz="0" w:space="0" w:color="auto"/>
          </w:divBdr>
        </w:div>
      </w:divsChild>
    </w:div>
    <w:div w:id="592325642">
      <w:bodyDiv w:val="1"/>
      <w:marLeft w:val="0"/>
      <w:marRight w:val="0"/>
      <w:marTop w:val="0"/>
      <w:marBottom w:val="0"/>
      <w:divBdr>
        <w:top w:val="none" w:sz="0" w:space="0" w:color="auto"/>
        <w:left w:val="none" w:sz="0" w:space="0" w:color="auto"/>
        <w:bottom w:val="none" w:sz="0" w:space="0" w:color="auto"/>
        <w:right w:val="none" w:sz="0" w:space="0" w:color="auto"/>
      </w:divBdr>
    </w:div>
    <w:div w:id="603541496">
      <w:bodyDiv w:val="1"/>
      <w:marLeft w:val="0"/>
      <w:marRight w:val="0"/>
      <w:marTop w:val="0"/>
      <w:marBottom w:val="0"/>
      <w:divBdr>
        <w:top w:val="none" w:sz="0" w:space="0" w:color="auto"/>
        <w:left w:val="none" w:sz="0" w:space="0" w:color="auto"/>
        <w:bottom w:val="none" w:sz="0" w:space="0" w:color="auto"/>
        <w:right w:val="none" w:sz="0" w:space="0" w:color="auto"/>
      </w:divBdr>
    </w:div>
    <w:div w:id="606347862">
      <w:bodyDiv w:val="1"/>
      <w:marLeft w:val="0"/>
      <w:marRight w:val="0"/>
      <w:marTop w:val="0"/>
      <w:marBottom w:val="0"/>
      <w:divBdr>
        <w:top w:val="none" w:sz="0" w:space="0" w:color="auto"/>
        <w:left w:val="none" w:sz="0" w:space="0" w:color="auto"/>
        <w:bottom w:val="none" w:sz="0" w:space="0" w:color="auto"/>
        <w:right w:val="none" w:sz="0" w:space="0" w:color="auto"/>
      </w:divBdr>
    </w:div>
    <w:div w:id="616910908">
      <w:bodyDiv w:val="1"/>
      <w:marLeft w:val="0"/>
      <w:marRight w:val="0"/>
      <w:marTop w:val="0"/>
      <w:marBottom w:val="0"/>
      <w:divBdr>
        <w:top w:val="none" w:sz="0" w:space="0" w:color="auto"/>
        <w:left w:val="none" w:sz="0" w:space="0" w:color="auto"/>
        <w:bottom w:val="none" w:sz="0" w:space="0" w:color="auto"/>
        <w:right w:val="none" w:sz="0" w:space="0" w:color="auto"/>
      </w:divBdr>
    </w:div>
    <w:div w:id="616984123">
      <w:bodyDiv w:val="1"/>
      <w:marLeft w:val="0"/>
      <w:marRight w:val="0"/>
      <w:marTop w:val="0"/>
      <w:marBottom w:val="0"/>
      <w:divBdr>
        <w:top w:val="none" w:sz="0" w:space="0" w:color="auto"/>
        <w:left w:val="none" w:sz="0" w:space="0" w:color="auto"/>
        <w:bottom w:val="none" w:sz="0" w:space="0" w:color="auto"/>
        <w:right w:val="none" w:sz="0" w:space="0" w:color="auto"/>
      </w:divBdr>
    </w:div>
    <w:div w:id="621309982">
      <w:bodyDiv w:val="1"/>
      <w:marLeft w:val="0"/>
      <w:marRight w:val="0"/>
      <w:marTop w:val="0"/>
      <w:marBottom w:val="0"/>
      <w:divBdr>
        <w:top w:val="none" w:sz="0" w:space="0" w:color="auto"/>
        <w:left w:val="none" w:sz="0" w:space="0" w:color="auto"/>
        <w:bottom w:val="none" w:sz="0" w:space="0" w:color="auto"/>
        <w:right w:val="none" w:sz="0" w:space="0" w:color="auto"/>
      </w:divBdr>
    </w:div>
    <w:div w:id="642657936">
      <w:bodyDiv w:val="1"/>
      <w:marLeft w:val="0"/>
      <w:marRight w:val="0"/>
      <w:marTop w:val="0"/>
      <w:marBottom w:val="0"/>
      <w:divBdr>
        <w:top w:val="none" w:sz="0" w:space="0" w:color="auto"/>
        <w:left w:val="none" w:sz="0" w:space="0" w:color="auto"/>
        <w:bottom w:val="none" w:sz="0" w:space="0" w:color="auto"/>
        <w:right w:val="none" w:sz="0" w:space="0" w:color="auto"/>
      </w:divBdr>
    </w:div>
    <w:div w:id="710423401">
      <w:bodyDiv w:val="1"/>
      <w:marLeft w:val="0"/>
      <w:marRight w:val="0"/>
      <w:marTop w:val="0"/>
      <w:marBottom w:val="0"/>
      <w:divBdr>
        <w:top w:val="none" w:sz="0" w:space="0" w:color="auto"/>
        <w:left w:val="none" w:sz="0" w:space="0" w:color="auto"/>
        <w:bottom w:val="none" w:sz="0" w:space="0" w:color="auto"/>
        <w:right w:val="none" w:sz="0" w:space="0" w:color="auto"/>
      </w:divBdr>
    </w:div>
    <w:div w:id="750390196">
      <w:bodyDiv w:val="1"/>
      <w:marLeft w:val="0"/>
      <w:marRight w:val="0"/>
      <w:marTop w:val="0"/>
      <w:marBottom w:val="0"/>
      <w:divBdr>
        <w:top w:val="none" w:sz="0" w:space="0" w:color="auto"/>
        <w:left w:val="none" w:sz="0" w:space="0" w:color="auto"/>
        <w:bottom w:val="none" w:sz="0" w:space="0" w:color="auto"/>
        <w:right w:val="none" w:sz="0" w:space="0" w:color="auto"/>
      </w:divBdr>
    </w:div>
    <w:div w:id="752511385">
      <w:bodyDiv w:val="1"/>
      <w:marLeft w:val="0"/>
      <w:marRight w:val="0"/>
      <w:marTop w:val="0"/>
      <w:marBottom w:val="0"/>
      <w:divBdr>
        <w:top w:val="none" w:sz="0" w:space="0" w:color="auto"/>
        <w:left w:val="none" w:sz="0" w:space="0" w:color="auto"/>
        <w:bottom w:val="none" w:sz="0" w:space="0" w:color="auto"/>
        <w:right w:val="none" w:sz="0" w:space="0" w:color="auto"/>
      </w:divBdr>
    </w:div>
    <w:div w:id="762380669">
      <w:bodyDiv w:val="1"/>
      <w:marLeft w:val="0"/>
      <w:marRight w:val="0"/>
      <w:marTop w:val="0"/>
      <w:marBottom w:val="0"/>
      <w:divBdr>
        <w:top w:val="none" w:sz="0" w:space="0" w:color="auto"/>
        <w:left w:val="none" w:sz="0" w:space="0" w:color="auto"/>
        <w:bottom w:val="none" w:sz="0" w:space="0" w:color="auto"/>
        <w:right w:val="none" w:sz="0" w:space="0" w:color="auto"/>
      </w:divBdr>
    </w:div>
    <w:div w:id="803623181">
      <w:bodyDiv w:val="1"/>
      <w:marLeft w:val="0"/>
      <w:marRight w:val="0"/>
      <w:marTop w:val="0"/>
      <w:marBottom w:val="0"/>
      <w:divBdr>
        <w:top w:val="none" w:sz="0" w:space="0" w:color="auto"/>
        <w:left w:val="none" w:sz="0" w:space="0" w:color="auto"/>
        <w:bottom w:val="none" w:sz="0" w:space="0" w:color="auto"/>
        <w:right w:val="none" w:sz="0" w:space="0" w:color="auto"/>
      </w:divBdr>
    </w:div>
    <w:div w:id="821232797">
      <w:bodyDiv w:val="1"/>
      <w:marLeft w:val="0"/>
      <w:marRight w:val="0"/>
      <w:marTop w:val="0"/>
      <w:marBottom w:val="0"/>
      <w:divBdr>
        <w:top w:val="none" w:sz="0" w:space="0" w:color="auto"/>
        <w:left w:val="none" w:sz="0" w:space="0" w:color="auto"/>
        <w:bottom w:val="none" w:sz="0" w:space="0" w:color="auto"/>
        <w:right w:val="none" w:sz="0" w:space="0" w:color="auto"/>
      </w:divBdr>
    </w:div>
    <w:div w:id="825558138">
      <w:bodyDiv w:val="1"/>
      <w:marLeft w:val="0"/>
      <w:marRight w:val="0"/>
      <w:marTop w:val="0"/>
      <w:marBottom w:val="0"/>
      <w:divBdr>
        <w:top w:val="none" w:sz="0" w:space="0" w:color="auto"/>
        <w:left w:val="none" w:sz="0" w:space="0" w:color="auto"/>
        <w:bottom w:val="none" w:sz="0" w:space="0" w:color="auto"/>
        <w:right w:val="none" w:sz="0" w:space="0" w:color="auto"/>
      </w:divBdr>
    </w:div>
    <w:div w:id="831678962">
      <w:bodyDiv w:val="1"/>
      <w:marLeft w:val="0"/>
      <w:marRight w:val="0"/>
      <w:marTop w:val="0"/>
      <w:marBottom w:val="0"/>
      <w:divBdr>
        <w:top w:val="none" w:sz="0" w:space="0" w:color="auto"/>
        <w:left w:val="none" w:sz="0" w:space="0" w:color="auto"/>
        <w:bottom w:val="none" w:sz="0" w:space="0" w:color="auto"/>
        <w:right w:val="none" w:sz="0" w:space="0" w:color="auto"/>
      </w:divBdr>
    </w:div>
    <w:div w:id="838233846">
      <w:bodyDiv w:val="1"/>
      <w:marLeft w:val="0"/>
      <w:marRight w:val="0"/>
      <w:marTop w:val="0"/>
      <w:marBottom w:val="0"/>
      <w:divBdr>
        <w:top w:val="none" w:sz="0" w:space="0" w:color="auto"/>
        <w:left w:val="none" w:sz="0" w:space="0" w:color="auto"/>
        <w:bottom w:val="none" w:sz="0" w:space="0" w:color="auto"/>
        <w:right w:val="none" w:sz="0" w:space="0" w:color="auto"/>
      </w:divBdr>
    </w:div>
    <w:div w:id="847796503">
      <w:bodyDiv w:val="1"/>
      <w:marLeft w:val="0"/>
      <w:marRight w:val="0"/>
      <w:marTop w:val="0"/>
      <w:marBottom w:val="0"/>
      <w:divBdr>
        <w:top w:val="none" w:sz="0" w:space="0" w:color="auto"/>
        <w:left w:val="none" w:sz="0" w:space="0" w:color="auto"/>
        <w:bottom w:val="none" w:sz="0" w:space="0" w:color="auto"/>
        <w:right w:val="none" w:sz="0" w:space="0" w:color="auto"/>
      </w:divBdr>
      <w:divsChild>
        <w:div w:id="1781994539">
          <w:marLeft w:val="640"/>
          <w:marRight w:val="0"/>
          <w:marTop w:val="0"/>
          <w:marBottom w:val="0"/>
          <w:divBdr>
            <w:top w:val="none" w:sz="0" w:space="0" w:color="auto"/>
            <w:left w:val="none" w:sz="0" w:space="0" w:color="auto"/>
            <w:bottom w:val="none" w:sz="0" w:space="0" w:color="auto"/>
            <w:right w:val="none" w:sz="0" w:space="0" w:color="auto"/>
          </w:divBdr>
        </w:div>
        <w:div w:id="1000112101">
          <w:marLeft w:val="640"/>
          <w:marRight w:val="0"/>
          <w:marTop w:val="0"/>
          <w:marBottom w:val="0"/>
          <w:divBdr>
            <w:top w:val="none" w:sz="0" w:space="0" w:color="auto"/>
            <w:left w:val="none" w:sz="0" w:space="0" w:color="auto"/>
            <w:bottom w:val="none" w:sz="0" w:space="0" w:color="auto"/>
            <w:right w:val="none" w:sz="0" w:space="0" w:color="auto"/>
          </w:divBdr>
        </w:div>
        <w:div w:id="562717624">
          <w:marLeft w:val="640"/>
          <w:marRight w:val="0"/>
          <w:marTop w:val="0"/>
          <w:marBottom w:val="0"/>
          <w:divBdr>
            <w:top w:val="none" w:sz="0" w:space="0" w:color="auto"/>
            <w:left w:val="none" w:sz="0" w:space="0" w:color="auto"/>
            <w:bottom w:val="none" w:sz="0" w:space="0" w:color="auto"/>
            <w:right w:val="none" w:sz="0" w:space="0" w:color="auto"/>
          </w:divBdr>
        </w:div>
        <w:div w:id="1083793474">
          <w:marLeft w:val="640"/>
          <w:marRight w:val="0"/>
          <w:marTop w:val="0"/>
          <w:marBottom w:val="0"/>
          <w:divBdr>
            <w:top w:val="none" w:sz="0" w:space="0" w:color="auto"/>
            <w:left w:val="none" w:sz="0" w:space="0" w:color="auto"/>
            <w:bottom w:val="none" w:sz="0" w:space="0" w:color="auto"/>
            <w:right w:val="none" w:sz="0" w:space="0" w:color="auto"/>
          </w:divBdr>
        </w:div>
        <w:div w:id="1540316369">
          <w:marLeft w:val="640"/>
          <w:marRight w:val="0"/>
          <w:marTop w:val="0"/>
          <w:marBottom w:val="0"/>
          <w:divBdr>
            <w:top w:val="none" w:sz="0" w:space="0" w:color="auto"/>
            <w:left w:val="none" w:sz="0" w:space="0" w:color="auto"/>
            <w:bottom w:val="none" w:sz="0" w:space="0" w:color="auto"/>
            <w:right w:val="none" w:sz="0" w:space="0" w:color="auto"/>
          </w:divBdr>
        </w:div>
        <w:div w:id="1916090659">
          <w:marLeft w:val="640"/>
          <w:marRight w:val="0"/>
          <w:marTop w:val="0"/>
          <w:marBottom w:val="0"/>
          <w:divBdr>
            <w:top w:val="none" w:sz="0" w:space="0" w:color="auto"/>
            <w:left w:val="none" w:sz="0" w:space="0" w:color="auto"/>
            <w:bottom w:val="none" w:sz="0" w:space="0" w:color="auto"/>
            <w:right w:val="none" w:sz="0" w:space="0" w:color="auto"/>
          </w:divBdr>
        </w:div>
        <w:div w:id="265307052">
          <w:marLeft w:val="640"/>
          <w:marRight w:val="0"/>
          <w:marTop w:val="0"/>
          <w:marBottom w:val="0"/>
          <w:divBdr>
            <w:top w:val="none" w:sz="0" w:space="0" w:color="auto"/>
            <w:left w:val="none" w:sz="0" w:space="0" w:color="auto"/>
            <w:bottom w:val="none" w:sz="0" w:space="0" w:color="auto"/>
            <w:right w:val="none" w:sz="0" w:space="0" w:color="auto"/>
          </w:divBdr>
        </w:div>
      </w:divsChild>
    </w:div>
    <w:div w:id="851142664">
      <w:bodyDiv w:val="1"/>
      <w:marLeft w:val="0"/>
      <w:marRight w:val="0"/>
      <w:marTop w:val="0"/>
      <w:marBottom w:val="0"/>
      <w:divBdr>
        <w:top w:val="none" w:sz="0" w:space="0" w:color="auto"/>
        <w:left w:val="none" w:sz="0" w:space="0" w:color="auto"/>
        <w:bottom w:val="none" w:sz="0" w:space="0" w:color="auto"/>
        <w:right w:val="none" w:sz="0" w:space="0" w:color="auto"/>
      </w:divBdr>
    </w:div>
    <w:div w:id="870806866">
      <w:bodyDiv w:val="1"/>
      <w:marLeft w:val="0"/>
      <w:marRight w:val="0"/>
      <w:marTop w:val="0"/>
      <w:marBottom w:val="0"/>
      <w:divBdr>
        <w:top w:val="none" w:sz="0" w:space="0" w:color="auto"/>
        <w:left w:val="none" w:sz="0" w:space="0" w:color="auto"/>
        <w:bottom w:val="none" w:sz="0" w:space="0" w:color="auto"/>
        <w:right w:val="none" w:sz="0" w:space="0" w:color="auto"/>
      </w:divBdr>
    </w:div>
    <w:div w:id="904871228">
      <w:bodyDiv w:val="1"/>
      <w:marLeft w:val="0"/>
      <w:marRight w:val="0"/>
      <w:marTop w:val="0"/>
      <w:marBottom w:val="0"/>
      <w:divBdr>
        <w:top w:val="none" w:sz="0" w:space="0" w:color="auto"/>
        <w:left w:val="none" w:sz="0" w:space="0" w:color="auto"/>
        <w:bottom w:val="none" w:sz="0" w:space="0" w:color="auto"/>
        <w:right w:val="none" w:sz="0" w:space="0" w:color="auto"/>
      </w:divBdr>
    </w:div>
    <w:div w:id="950477252">
      <w:bodyDiv w:val="1"/>
      <w:marLeft w:val="0"/>
      <w:marRight w:val="0"/>
      <w:marTop w:val="0"/>
      <w:marBottom w:val="0"/>
      <w:divBdr>
        <w:top w:val="none" w:sz="0" w:space="0" w:color="auto"/>
        <w:left w:val="none" w:sz="0" w:space="0" w:color="auto"/>
        <w:bottom w:val="none" w:sz="0" w:space="0" w:color="auto"/>
        <w:right w:val="none" w:sz="0" w:space="0" w:color="auto"/>
      </w:divBdr>
      <w:divsChild>
        <w:div w:id="2027629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744989">
      <w:bodyDiv w:val="1"/>
      <w:marLeft w:val="0"/>
      <w:marRight w:val="0"/>
      <w:marTop w:val="0"/>
      <w:marBottom w:val="0"/>
      <w:divBdr>
        <w:top w:val="none" w:sz="0" w:space="0" w:color="auto"/>
        <w:left w:val="none" w:sz="0" w:space="0" w:color="auto"/>
        <w:bottom w:val="none" w:sz="0" w:space="0" w:color="auto"/>
        <w:right w:val="none" w:sz="0" w:space="0" w:color="auto"/>
      </w:divBdr>
    </w:div>
    <w:div w:id="951664552">
      <w:bodyDiv w:val="1"/>
      <w:marLeft w:val="0"/>
      <w:marRight w:val="0"/>
      <w:marTop w:val="0"/>
      <w:marBottom w:val="0"/>
      <w:divBdr>
        <w:top w:val="none" w:sz="0" w:space="0" w:color="auto"/>
        <w:left w:val="none" w:sz="0" w:space="0" w:color="auto"/>
        <w:bottom w:val="none" w:sz="0" w:space="0" w:color="auto"/>
        <w:right w:val="none" w:sz="0" w:space="0" w:color="auto"/>
      </w:divBdr>
    </w:div>
    <w:div w:id="960918539">
      <w:bodyDiv w:val="1"/>
      <w:marLeft w:val="0"/>
      <w:marRight w:val="0"/>
      <w:marTop w:val="0"/>
      <w:marBottom w:val="0"/>
      <w:divBdr>
        <w:top w:val="none" w:sz="0" w:space="0" w:color="auto"/>
        <w:left w:val="none" w:sz="0" w:space="0" w:color="auto"/>
        <w:bottom w:val="none" w:sz="0" w:space="0" w:color="auto"/>
        <w:right w:val="none" w:sz="0" w:space="0" w:color="auto"/>
      </w:divBdr>
    </w:div>
    <w:div w:id="980844287">
      <w:bodyDiv w:val="1"/>
      <w:marLeft w:val="0"/>
      <w:marRight w:val="0"/>
      <w:marTop w:val="0"/>
      <w:marBottom w:val="0"/>
      <w:divBdr>
        <w:top w:val="none" w:sz="0" w:space="0" w:color="auto"/>
        <w:left w:val="none" w:sz="0" w:space="0" w:color="auto"/>
        <w:bottom w:val="none" w:sz="0" w:space="0" w:color="auto"/>
        <w:right w:val="none" w:sz="0" w:space="0" w:color="auto"/>
      </w:divBdr>
      <w:divsChild>
        <w:div w:id="1154905954">
          <w:marLeft w:val="640"/>
          <w:marRight w:val="0"/>
          <w:marTop w:val="0"/>
          <w:marBottom w:val="0"/>
          <w:divBdr>
            <w:top w:val="none" w:sz="0" w:space="0" w:color="auto"/>
            <w:left w:val="none" w:sz="0" w:space="0" w:color="auto"/>
            <w:bottom w:val="none" w:sz="0" w:space="0" w:color="auto"/>
            <w:right w:val="none" w:sz="0" w:space="0" w:color="auto"/>
          </w:divBdr>
        </w:div>
        <w:div w:id="272790438">
          <w:marLeft w:val="640"/>
          <w:marRight w:val="0"/>
          <w:marTop w:val="0"/>
          <w:marBottom w:val="0"/>
          <w:divBdr>
            <w:top w:val="none" w:sz="0" w:space="0" w:color="auto"/>
            <w:left w:val="none" w:sz="0" w:space="0" w:color="auto"/>
            <w:bottom w:val="none" w:sz="0" w:space="0" w:color="auto"/>
            <w:right w:val="none" w:sz="0" w:space="0" w:color="auto"/>
          </w:divBdr>
        </w:div>
        <w:div w:id="1604220229">
          <w:marLeft w:val="640"/>
          <w:marRight w:val="0"/>
          <w:marTop w:val="0"/>
          <w:marBottom w:val="0"/>
          <w:divBdr>
            <w:top w:val="none" w:sz="0" w:space="0" w:color="auto"/>
            <w:left w:val="none" w:sz="0" w:space="0" w:color="auto"/>
            <w:bottom w:val="none" w:sz="0" w:space="0" w:color="auto"/>
            <w:right w:val="none" w:sz="0" w:space="0" w:color="auto"/>
          </w:divBdr>
        </w:div>
        <w:div w:id="1883638536">
          <w:marLeft w:val="640"/>
          <w:marRight w:val="0"/>
          <w:marTop w:val="0"/>
          <w:marBottom w:val="0"/>
          <w:divBdr>
            <w:top w:val="none" w:sz="0" w:space="0" w:color="auto"/>
            <w:left w:val="none" w:sz="0" w:space="0" w:color="auto"/>
            <w:bottom w:val="none" w:sz="0" w:space="0" w:color="auto"/>
            <w:right w:val="none" w:sz="0" w:space="0" w:color="auto"/>
          </w:divBdr>
        </w:div>
        <w:div w:id="820584349">
          <w:marLeft w:val="640"/>
          <w:marRight w:val="0"/>
          <w:marTop w:val="0"/>
          <w:marBottom w:val="0"/>
          <w:divBdr>
            <w:top w:val="none" w:sz="0" w:space="0" w:color="auto"/>
            <w:left w:val="none" w:sz="0" w:space="0" w:color="auto"/>
            <w:bottom w:val="none" w:sz="0" w:space="0" w:color="auto"/>
            <w:right w:val="none" w:sz="0" w:space="0" w:color="auto"/>
          </w:divBdr>
        </w:div>
        <w:div w:id="1614362537">
          <w:marLeft w:val="640"/>
          <w:marRight w:val="0"/>
          <w:marTop w:val="0"/>
          <w:marBottom w:val="0"/>
          <w:divBdr>
            <w:top w:val="none" w:sz="0" w:space="0" w:color="auto"/>
            <w:left w:val="none" w:sz="0" w:space="0" w:color="auto"/>
            <w:bottom w:val="none" w:sz="0" w:space="0" w:color="auto"/>
            <w:right w:val="none" w:sz="0" w:space="0" w:color="auto"/>
          </w:divBdr>
        </w:div>
        <w:div w:id="1435663223">
          <w:marLeft w:val="640"/>
          <w:marRight w:val="0"/>
          <w:marTop w:val="0"/>
          <w:marBottom w:val="0"/>
          <w:divBdr>
            <w:top w:val="none" w:sz="0" w:space="0" w:color="auto"/>
            <w:left w:val="none" w:sz="0" w:space="0" w:color="auto"/>
            <w:bottom w:val="none" w:sz="0" w:space="0" w:color="auto"/>
            <w:right w:val="none" w:sz="0" w:space="0" w:color="auto"/>
          </w:divBdr>
        </w:div>
        <w:div w:id="595866919">
          <w:marLeft w:val="640"/>
          <w:marRight w:val="0"/>
          <w:marTop w:val="0"/>
          <w:marBottom w:val="0"/>
          <w:divBdr>
            <w:top w:val="none" w:sz="0" w:space="0" w:color="auto"/>
            <w:left w:val="none" w:sz="0" w:space="0" w:color="auto"/>
            <w:bottom w:val="none" w:sz="0" w:space="0" w:color="auto"/>
            <w:right w:val="none" w:sz="0" w:space="0" w:color="auto"/>
          </w:divBdr>
        </w:div>
      </w:divsChild>
    </w:div>
    <w:div w:id="993263675">
      <w:bodyDiv w:val="1"/>
      <w:marLeft w:val="0"/>
      <w:marRight w:val="0"/>
      <w:marTop w:val="0"/>
      <w:marBottom w:val="0"/>
      <w:divBdr>
        <w:top w:val="none" w:sz="0" w:space="0" w:color="auto"/>
        <w:left w:val="none" w:sz="0" w:space="0" w:color="auto"/>
        <w:bottom w:val="none" w:sz="0" w:space="0" w:color="auto"/>
        <w:right w:val="none" w:sz="0" w:space="0" w:color="auto"/>
      </w:divBdr>
    </w:div>
    <w:div w:id="999691932">
      <w:bodyDiv w:val="1"/>
      <w:marLeft w:val="0"/>
      <w:marRight w:val="0"/>
      <w:marTop w:val="0"/>
      <w:marBottom w:val="0"/>
      <w:divBdr>
        <w:top w:val="none" w:sz="0" w:space="0" w:color="auto"/>
        <w:left w:val="none" w:sz="0" w:space="0" w:color="auto"/>
        <w:bottom w:val="none" w:sz="0" w:space="0" w:color="auto"/>
        <w:right w:val="none" w:sz="0" w:space="0" w:color="auto"/>
      </w:divBdr>
    </w:div>
    <w:div w:id="1018391848">
      <w:bodyDiv w:val="1"/>
      <w:marLeft w:val="0"/>
      <w:marRight w:val="0"/>
      <w:marTop w:val="0"/>
      <w:marBottom w:val="0"/>
      <w:divBdr>
        <w:top w:val="none" w:sz="0" w:space="0" w:color="auto"/>
        <w:left w:val="none" w:sz="0" w:space="0" w:color="auto"/>
        <w:bottom w:val="none" w:sz="0" w:space="0" w:color="auto"/>
        <w:right w:val="none" w:sz="0" w:space="0" w:color="auto"/>
      </w:divBdr>
    </w:div>
    <w:div w:id="1025516126">
      <w:bodyDiv w:val="1"/>
      <w:marLeft w:val="0"/>
      <w:marRight w:val="0"/>
      <w:marTop w:val="0"/>
      <w:marBottom w:val="0"/>
      <w:divBdr>
        <w:top w:val="none" w:sz="0" w:space="0" w:color="auto"/>
        <w:left w:val="none" w:sz="0" w:space="0" w:color="auto"/>
        <w:bottom w:val="none" w:sz="0" w:space="0" w:color="auto"/>
        <w:right w:val="none" w:sz="0" w:space="0" w:color="auto"/>
      </w:divBdr>
    </w:div>
    <w:div w:id="1025639517">
      <w:bodyDiv w:val="1"/>
      <w:marLeft w:val="0"/>
      <w:marRight w:val="0"/>
      <w:marTop w:val="0"/>
      <w:marBottom w:val="0"/>
      <w:divBdr>
        <w:top w:val="none" w:sz="0" w:space="0" w:color="auto"/>
        <w:left w:val="none" w:sz="0" w:space="0" w:color="auto"/>
        <w:bottom w:val="none" w:sz="0" w:space="0" w:color="auto"/>
        <w:right w:val="none" w:sz="0" w:space="0" w:color="auto"/>
      </w:divBdr>
      <w:divsChild>
        <w:div w:id="444465434">
          <w:marLeft w:val="640"/>
          <w:marRight w:val="0"/>
          <w:marTop w:val="0"/>
          <w:marBottom w:val="0"/>
          <w:divBdr>
            <w:top w:val="none" w:sz="0" w:space="0" w:color="auto"/>
            <w:left w:val="none" w:sz="0" w:space="0" w:color="auto"/>
            <w:bottom w:val="none" w:sz="0" w:space="0" w:color="auto"/>
            <w:right w:val="none" w:sz="0" w:space="0" w:color="auto"/>
          </w:divBdr>
        </w:div>
        <w:div w:id="1352412593">
          <w:marLeft w:val="640"/>
          <w:marRight w:val="0"/>
          <w:marTop w:val="0"/>
          <w:marBottom w:val="0"/>
          <w:divBdr>
            <w:top w:val="none" w:sz="0" w:space="0" w:color="auto"/>
            <w:left w:val="none" w:sz="0" w:space="0" w:color="auto"/>
            <w:bottom w:val="none" w:sz="0" w:space="0" w:color="auto"/>
            <w:right w:val="none" w:sz="0" w:space="0" w:color="auto"/>
          </w:divBdr>
        </w:div>
        <w:div w:id="1983919411">
          <w:marLeft w:val="640"/>
          <w:marRight w:val="0"/>
          <w:marTop w:val="0"/>
          <w:marBottom w:val="0"/>
          <w:divBdr>
            <w:top w:val="none" w:sz="0" w:space="0" w:color="auto"/>
            <w:left w:val="none" w:sz="0" w:space="0" w:color="auto"/>
            <w:bottom w:val="none" w:sz="0" w:space="0" w:color="auto"/>
            <w:right w:val="none" w:sz="0" w:space="0" w:color="auto"/>
          </w:divBdr>
        </w:div>
        <w:div w:id="1914461710">
          <w:marLeft w:val="640"/>
          <w:marRight w:val="0"/>
          <w:marTop w:val="0"/>
          <w:marBottom w:val="0"/>
          <w:divBdr>
            <w:top w:val="none" w:sz="0" w:space="0" w:color="auto"/>
            <w:left w:val="none" w:sz="0" w:space="0" w:color="auto"/>
            <w:bottom w:val="none" w:sz="0" w:space="0" w:color="auto"/>
            <w:right w:val="none" w:sz="0" w:space="0" w:color="auto"/>
          </w:divBdr>
        </w:div>
        <w:div w:id="1481578452">
          <w:marLeft w:val="640"/>
          <w:marRight w:val="0"/>
          <w:marTop w:val="0"/>
          <w:marBottom w:val="0"/>
          <w:divBdr>
            <w:top w:val="none" w:sz="0" w:space="0" w:color="auto"/>
            <w:left w:val="none" w:sz="0" w:space="0" w:color="auto"/>
            <w:bottom w:val="none" w:sz="0" w:space="0" w:color="auto"/>
            <w:right w:val="none" w:sz="0" w:space="0" w:color="auto"/>
          </w:divBdr>
        </w:div>
        <w:div w:id="865799078">
          <w:marLeft w:val="640"/>
          <w:marRight w:val="0"/>
          <w:marTop w:val="0"/>
          <w:marBottom w:val="0"/>
          <w:divBdr>
            <w:top w:val="none" w:sz="0" w:space="0" w:color="auto"/>
            <w:left w:val="none" w:sz="0" w:space="0" w:color="auto"/>
            <w:bottom w:val="none" w:sz="0" w:space="0" w:color="auto"/>
            <w:right w:val="none" w:sz="0" w:space="0" w:color="auto"/>
          </w:divBdr>
        </w:div>
        <w:div w:id="1657806802">
          <w:marLeft w:val="640"/>
          <w:marRight w:val="0"/>
          <w:marTop w:val="0"/>
          <w:marBottom w:val="0"/>
          <w:divBdr>
            <w:top w:val="none" w:sz="0" w:space="0" w:color="auto"/>
            <w:left w:val="none" w:sz="0" w:space="0" w:color="auto"/>
            <w:bottom w:val="none" w:sz="0" w:space="0" w:color="auto"/>
            <w:right w:val="none" w:sz="0" w:space="0" w:color="auto"/>
          </w:divBdr>
        </w:div>
      </w:divsChild>
    </w:div>
    <w:div w:id="1042904466">
      <w:bodyDiv w:val="1"/>
      <w:marLeft w:val="0"/>
      <w:marRight w:val="0"/>
      <w:marTop w:val="0"/>
      <w:marBottom w:val="0"/>
      <w:divBdr>
        <w:top w:val="none" w:sz="0" w:space="0" w:color="auto"/>
        <w:left w:val="none" w:sz="0" w:space="0" w:color="auto"/>
        <w:bottom w:val="none" w:sz="0" w:space="0" w:color="auto"/>
        <w:right w:val="none" w:sz="0" w:space="0" w:color="auto"/>
      </w:divBdr>
    </w:div>
    <w:div w:id="1048266451">
      <w:bodyDiv w:val="1"/>
      <w:marLeft w:val="0"/>
      <w:marRight w:val="0"/>
      <w:marTop w:val="0"/>
      <w:marBottom w:val="0"/>
      <w:divBdr>
        <w:top w:val="none" w:sz="0" w:space="0" w:color="auto"/>
        <w:left w:val="none" w:sz="0" w:space="0" w:color="auto"/>
        <w:bottom w:val="none" w:sz="0" w:space="0" w:color="auto"/>
        <w:right w:val="none" w:sz="0" w:space="0" w:color="auto"/>
      </w:divBdr>
    </w:div>
    <w:div w:id="1155075252">
      <w:bodyDiv w:val="1"/>
      <w:marLeft w:val="0"/>
      <w:marRight w:val="0"/>
      <w:marTop w:val="0"/>
      <w:marBottom w:val="0"/>
      <w:divBdr>
        <w:top w:val="none" w:sz="0" w:space="0" w:color="auto"/>
        <w:left w:val="none" w:sz="0" w:space="0" w:color="auto"/>
        <w:bottom w:val="none" w:sz="0" w:space="0" w:color="auto"/>
        <w:right w:val="none" w:sz="0" w:space="0" w:color="auto"/>
      </w:divBdr>
      <w:divsChild>
        <w:div w:id="1460687886">
          <w:marLeft w:val="640"/>
          <w:marRight w:val="0"/>
          <w:marTop w:val="0"/>
          <w:marBottom w:val="0"/>
          <w:divBdr>
            <w:top w:val="none" w:sz="0" w:space="0" w:color="auto"/>
            <w:left w:val="none" w:sz="0" w:space="0" w:color="auto"/>
            <w:bottom w:val="none" w:sz="0" w:space="0" w:color="auto"/>
            <w:right w:val="none" w:sz="0" w:space="0" w:color="auto"/>
          </w:divBdr>
        </w:div>
        <w:div w:id="960696045">
          <w:marLeft w:val="640"/>
          <w:marRight w:val="0"/>
          <w:marTop w:val="0"/>
          <w:marBottom w:val="0"/>
          <w:divBdr>
            <w:top w:val="none" w:sz="0" w:space="0" w:color="auto"/>
            <w:left w:val="none" w:sz="0" w:space="0" w:color="auto"/>
            <w:bottom w:val="none" w:sz="0" w:space="0" w:color="auto"/>
            <w:right w:val="none" w:sz="0" w:space="0" w:color="auto"/>
          </w:divBdr>
        </w:div>
        <w:div w:id="915894871">
          <w:marLeft w:val="640"/>
          <w:marRight w:val="0"/>
          <w:marTop w:val="0"/>
          <w:marBottom w:val="0"/>
          <w:divBdr>
            <w:top w:val="none" w:sz="0" w:space="0" w:color="auto"/>
            <w:left w:val="none" w:sz="0" w:space="0" w:color="auto"/>
            <w:bottom w:val="none" w:sz="0" w:space="0" w:color="auto"/>
            <w:right w:val="none" w:sz="0" w:space="0" w:color="auto"/>
          </w:divBdr>
        </w:div>
        <w:div w:id="404379804">
          <w:marLeft w:val="640"/>
          <w:marRight w:val="0"/>
          <w:marTop w:val="0"/>
          <w:marBottom w:val="0"/>
          <w:divBdr>
            <w:top w:val="none" w:sz="0" w:space="0" w:color="auto"/>
            <w:left w:val="none" w:sz="0" w:space="0" w:color="auto"/>
            <w:bottom w:val="none" w:sz="0" w:space="0" w:color="auto"/>
            <w:right w:val="none" w:sz="0" w:space="0" w:color="auto"/>
          </w:divBdr>
        </w:div>
        <w:div w:id="1997030569">
          <w:marLeft w:val="640"/>
          <w:marRight w:val="0"/>
          <w:marTop w:val="0"/>
          <w:marBottom w:val="0"/>
          <w:divBdr>
            <w:top w:val="none" w:sz="0" w:space="0" w:color="auto"/>
            <w:left w:val="none" w:sz="0" w:space="0" w:color="auto"/>
            <w:bottom w:val="none" w:sz="0" w:space="0" w:color="auto"/>
            <w:right w:val="none" w:sz="0" w:space="0" w:color="auto"/>
          </w:divBdr>
        </w:div>
        <w:div w:id="663970150">
          <w:marLeft w:val="640"/>
          <w:marRight w:val="0"/>
          <w:marTop w:val="0"/>
          <w:marBottom w:val="0"/>
          <w:divBdr>
            <w:top w:val="none" w:sz="0" w:space="0" w:color="auto"/>
            <w:left w:val="none" w:sz="0" w:space="0" w:color="auto"/>
            <w:bottom w:val="none" w:sz="0" w:space="0" w:color="auto"/>
            <w:right w:val="none" w:sz="0" w:space="0" w:color="auto"/>
          </w:divBdr>
        </w:div>
        <w:div w:id="705757763">
          <w:marLeft w:val="640"/>
          <w:marRight w:val="0"/>
          <w:marTop w:val="0"/>
          <w:marBottom w:val="0"/>
          <w:divBdr>
            <w:top w:val="none" w:sz="0" w:space="0" w:color="auto"/>
            <w:left w:val="none" w:sz="0" w:space="0" w:color="auto"/>
            <w:bottom w:val="none" w:sz="0" w:space="0" w:color="auto"/>
            <w:right w:val="none" w:sz="0" w:space="0" w:color="auto"/>
          </w:divBdr>
        </w:div>
        <w:div w:id="1312835038">
          <w:marLeft w:val="640"/>
          <w:marRight w:val="0"/>
          <w:marTop w:val="0"/>
          <w:marBottom w:val="0"/>
          <w:divBdr>
            <w:top w:val="none" w:sz="0" w:space="0" w:color="auto"/>
            <w:left w:val="none" w:sz="0" w:space="0" w:color="auto"/>
            <w:bottom w:val="none" w:sz="0" w:space="0" w:color="auto"/>
            <w:right w:val="none" w:sz="0" w:space="0" w:color="auto"/>
          </w:divBdr>
        </w:div>
        <w:div w:id="1736513406">
          <w:marLeft w:val="640"/>
          <w:marRight w:val="0"/>
          <w:marTop w:val="0"/>
          <w:marBottom w:val="0"/>
          <w:divBdr>
            <w:top w:val="none" w:sz="0" w:space="0" w:color="auto"/>
            <w:left w:val="none" w:sz="0" w:space="0" w:color="auto"/>
            <w:bottom w:val="none" w:sz="0" w:space="0" w:color="auto"/>
            <w:right w:val="none" w:sz="0" w:space="0" w:color="auto"/>
          </w:divBdr>
        </w:div>
      </w:divsChild>
    </w:div>
    <w:div w:id="1168445420">
      <w:bodyDiv w:val="1"/>
      <w:marLeft w:val="0"/>
      <w:marRight w:val="0"/>
      <w:marTop w:val="0"/>
      <w:marBottom w:val="0"/>
      <w:divBdr>
        <w:top w:val="none" w:sz="0" w:space="0" w:color="auto"/>
        <w:left w:val="none" w:sz="0" w:space="0" w:color="auto"/>
        <w:bottom w:val="none" w:sz="0" w:space="0" w:color="auto"/>
        <w:right w:val="none" w:sz="0" w:space="0" w:color="auto"/>
      </w:divBdr>
    </w:div>
    <w:div w:id="1168520577">
      <w:bodyDiv w:val="1"/>
      <w:marLeft w:val="0"/>
      <w:marRight w:val="0"/>
      <w:marTop w:val="0"/>
      <w:marBottom w:val="0"/>
      <w:divBdr>
        <w:top w:val="none" w:sz="0" w:space="0" w:color="auto"/>
        <w:left w:val="none" w:sz="0" w:space="0" w:color="auto"/>
        <w:bottom w:val="none" w:sz="0" w:space="0" w:color="auto"/>
        <w:right w:val="none" w:sz="0" w:space="0" w:color="auto"/>
      </w:divBdr>
    </w:div>
    <w:div w:id="1183202572">
      <w:bodyDiv w:val="1"/>
      <w:marLeft w:val="0"/>
      <w:marRight w:val="0"/>
      <w:marTop w:val="0"/>
      <w:marBottom w:val="0"/>
      <w:divBdr>
        <w:top w:val="none" w:sz="0" w:space="0" w:color="auto"/>
        <w:left w:val="none" w:sz="0" w:space="0" w:color="auto"/>
        <w:bottom w:val="none" w:sz="0" w:space="0" w:color="auto"/>
        <w:right w:val="none" w:sz="0" w:space="0" w:color="auto"/>
      </w:divBdr>
    </w:div>
    <w:div w:id="1216158541">
      <w:bodyDiv w:val="1"/>
      <w:marLeft w:val="0"/>
      <w:marRight w:val="0"/>
      <w:marTop w:val="0"/>
      <w:marBottom w:val="0"/>
      <w:divBdr>
        <w:top w:val="none" w:sz="0" w:space="0" w:color="auto"/>
        <w:left w:val="none" w:sz="0" w:space="0" w:color="auto"/>
        <w:bottom w:val="none" w:sz="0" w:space="0" w:color="auto"/>
        <w:right w:val="none" w:sz="0" w:space="0" w:color="auto"/>
      </w:divBdr>
    </w:div>
    <w:div w:id="1222862883">
      <w:bodyDiv w:val="1"/>
      <w:marLeft w:val="0"/>
      <w:marRight w:val="0"/>
      <w:marTop w:val="0"/>
      <w:marBottom w:val="0"/>
      <w:divBdr>
        <w:top w:val="none" w:sz="0" w:space="0" w:color="auto"/>
        <w:left w:val="none" w:sz="0" w:space="0" w:color="auto"/>
        <w:bottom w:val="none" w:sz="0" w:space="0" w:color="auto"/>
        <w:right w:val="none" w:sz="0" w:space="0" w:color="auto"/>
      </w:divBdr>
    </w:div>
    <w:div w:id="1255940029">
      <w:bodyDiv w:val="1"/>
      <w:marLeft w:val="0"/>
      <w:marRight w:val="0"/>
      <w:marTop w:val="0"/>
      <w:marBottom w:val="0"/>
      <w:divBdr>
        <w:top w:val="none" w:sz="0" w:space="0" w:color="auto"/>
        <w:left w:val="none" w:sz="0" w:space="0" w:color="auto"/>
        <w:bottom w:val="none" w:sz="0" w:space="0" w:color="auto"/>
        <w:right w:val="none" w:sz="0" w:space="0" w:color="auto"/>
      </w:divBdr>
    </w:div>
    <w:div w:id="1274359254">
      <w:bodyDiv w:val="1"/>
      <w:marLeft w:val="0"/>
      <w:marRight w:val="0"/>
      <w:marTop w:val="0"/>
      <w:marBottom w:val="0"/>
      <w:divBdr>
        <w:top w:val="none" w:sz="0" w:space="0" w:color="auto"/>
        <w:left w:val="none" w:sz="0" w:space="0" w:color="auto"/>
        <w:bottom w:val="none" w:sz="0" w:space="0" w:color="auto"/>
        <w:right w:val="none" w:sz="0" w:space="0" w:color="auto"/>
      </w:divBdr>
    </w:div>
    <w:div w:id="1278366714">
      <w:bodyDiv w:val="1"/>
      <w:marLeft w:val="0"/>
      <w:marRight w:val="0"/>
      <w:marTop w:val="0"/>
      <w:marBottom w:val="0"/>
      <w:divBdr>
        <w:top w:val="none" w:sz="0" w:space="0" w:color="auto"/>
        <w:left w:val="none" w:sz="0" w:space="0" w:color="auto"/>
        <w:bottom w:val="none" w:sz="0" w:space="0" w:color="auto"/>
        <w:right w:val="none" w:sz="0" w:space="0" w:color="auto"/>
      </w:divBdr>
    </w:div>
    <w:div w:id="1315253365">
      <w:bodyDiv w:val="1"/>
      <w:marLeft w:val="0"/>
      <w:marRight w:val="0"/>
      <w:marTop w:val="0"/>
      <w:marBottom w:val="0"/>
      <w:divBdr>
        <w:top w:val="none" w:sz="0" w:space="0" w:color="auto"/>
        <w:left w:val="none" w:sz="0" w:space="0" w:color="auto"/>
        <w:bottom w:val="none" w:sz="0" w:space="0" w:color="auto"/>
        <w:right w:val="none" w:sz="0" w:space="0" w:color="auto"/>
      </w:divBdr>
    </w:div>
    <w:div w:id="1318076524">
      <w:bodyDiv w:val="1"/>
      <w:marLeft w:val="0"/>
      <w:marRight w:val="0"/>
      <w:marTop w:val="0"/>
      <w:marBottom w:val="0"/>
      <w:divBdr>
        <w:top w:val="none" w:sz="0" w:space="0" w:color="auto"/>
        <w:left w:val="none" w:sz="0" w:space="0" w:color="auto"/>
        <w:bottom w:val="none" w:sz="0" w:space="0" w:color="auto"/>
        <w:right w:val="none" w:sz="0" w:space="0" w:color="auto"/>
      </w:divBdr>
    </w:div>
    <w:div w:id="1324119157">
      <w:bodyDiv w:val="1"/>
      <w:marLeft w:val="0"/>
      <w:marRight w:val="0"/>
      <w:marTop w:val="0"/>
      <w:marBottom w:val="0"/>
      <w:divBdr>
        <w:top w:val="none" w:sz="0" w:space="0" w:color="auto"/>
        <w:left w:val="none" w:sz="0" w:space="0" w:color="auto"/>
        <w:bottom w:val="none" w:sz="0" w:space="0" w:color="auto"/>
        <w:right w:val="none" w:sz="0" w:space="0" w:color="auto"/>
      </w:divBdr>
      <w:divsChild>
        <w:div w:id="1085764650">
          <w:marLeft w:val="640"/>
          <w:marRight w:val="0"/>
          <w:marTop w:val="0"/>
          <w:marBottom w:val="0"/>
          <w:divBdr>
            <w:top w:val="none" w:sz="0" w:space="0" w:color="auto"/>
            <w:left w:val="none" w:sz="0" w:space="0" w:color="auto"/>
            <w:bottom w:val="none" w:sz="0" w:space="0" w:color="auto"/>
            <w:right w:val="none" w:sz="0" w:space="0" w:color="auto"/>
          </w:divBdr>
        </w:div>
        <w:div w:id="348142011">
          <w:marLeft w:val="640"/>
          <w:marRight w:val="0"/>
          <w:marTop w:val="0"/>
          <w:marBottom w:val="0"/>
          <w:divBdr>
            <w:top w:val="none" w:sz="0" w:space="0" w:color="auto"/>
            <w:left w:val="none" w:sz="0" w:space="0" w:color="auto"/>
            <w:bottom w:val="none" w:sz="0" w:space="0" w:color="auto"/>
            <w:right w:val="none" w:sz="0" w:space="0" w:color="auto"/>
          </w:divBdr>
        </w:div>
        <w:div w:id="1337001165">
          <w:marLeft w:val="640"/>
          <w:marRight w:val="0"/>
          <w:marTop w:val="0"/>
          <w:marBottom w:val="0"/>
          <w:divBdr>
            <w:top w:val="none" w:sz="0" w:space="0" w:color="auto"/>
            <w:left w:val="none" w:sz="0" w:space="0" w:color="auto"/>
            <w:bottom w:val="none" w:sz="0" w:space="0" w:color="auto"/>
            <w:right w:val="none" w:sz="0" w:space="0" w:color="auto"/>
          </w:divBdr>
        </w:div>
        <w:div w:id="1126896925">
          <w:marLeft w:val="640"/>
          <w:marRight w:val="0"/>
          <w:marTop w:val="0"/>
          <w:marBottom w:val="0"/>
          <w:divBdr>
            <w:top w:val="none" w:sz="0" w:space="0" w:color="auto"/>
            <w:left w:val="none" w:sz="0" w:space="0" w:color="auto"/>
            <w:bottom w:val="none" w:sz="0" w:space="0" w:color="auto"/>
            <w:right w:val="none" w:sz="0" w:space="0" w:color="auto"/>
          </w:divBdr>
        </w:div>
        <w:div w:id="22482278">
          <w:marLeft w:val="640"/>
          <w:marRight w:val="0"/>
          <w:marTop w:val="0"/>
          <w:marBottom w:val="0"/>
          <w:divBdr>
            <w:top w:val="none" w:sz="0" w:space="0" w:color="auto"/>
            <w:left w:val="none" w:sz="0" w:space="0" w:color="auto"/>
            <w:bottom w:val="none" w:sz="0" w:space="0" w:color="auto"/>
            <w:right w:val="none" w:sz="0" w:space="0" w:color="auto"/>
          </w:divBdr>
        </w:div>
        <w:div w:id="126975260">
          <w:marLeft w:val="640"/>
          <w:marRight w:val="0"/>
          <w:marTop w:val="0"/>
          <w:marBottom w:val="0"/>
          <w:divBdr>
            <w:top w:val="none" w:sz="0" w:space="0" w:color="auto"/>
            <w:left w:val="none" w:sz="0" w:space="0" w:color="auto"/>
            <w:bottom w:val="none" w:sz="0" w:space="0" w:color="auto"/>
            <w:right w:val="none" w:sz="0" w:space="0" w:color="auto"/>
          </w:divBdr>
        </w:div>
      </w:divsChild>
    </w:div>
    <w:div w:id="1329989119">
      <w:bodyDiv w:val="1"/>
      <w:marLeft w:val="0"/>
      <w:marRight w:val="0"/>
      <w:marTop w:val="0"/>
      <w:marBottom w:val="0"/>
      <w:divBdr>
        <w:top w:val="none" w:sz="0" w:space="0" w:color="auto"/>
        <w:left w:val="none" w:sz="0" w:space="0" w:color="auto"/>
        <w:bottom w:val="none" w:sz="0" w:space="0" w:color="auto"/>
        <w:right w:val="none" w:sz="0" w:space="0" w:color="auto"/>
      </w:divBdr>
    </w:div>
    <w:div w:id="1360550015">
      <w:bodyDiv w:val="1"/>
      <w:marLeft w:val="0"/>
      <w:marRight w:val="0"/>
      <w:marTop w:val="0"/>
      <w:marBottom w:val="0"/>
      <w:divBdr>
        <w:top w:val="none" w:sz="0" w:space="0" w:color="auto"/>
        <w:left w:val="none" w:sz="0" w:space="0" w:color="auto"/>
        <w:bottom w:val="none" w:sz="0" w:space="0" w:color="auto"/>
        <w:right w:val="none" w:sz="0" w:space="0" w:color="auto"/>
      </w:divBdr>
    </w:div>
    <w:div w:id="1378356990">
      <w:bodyDiv w:val="1"/>
      <w:marLeft w:val="0"/>
      <w:marRight w:val="0"/>
      <w:marTop w:val="0"/>
      <w:marBottom w:val="0"/>
      <w:divBdr>
        <w:top w:val="none" w:sz="0" w:space="0" w:color="auto"/>
        <w:left w:val="none" w:sz="0" w:space="0" w:color="auto"/>
        <w:bottom w:val="none" w:sz="0" w:space="0" w:color="auto"/>
        <w:right w:val="none" w:sz="0" w:space="0" w:color="auto"/>
      </w:divBdr>
    </w:div>
    <w:div w:id="1379355274">
      <w:bodyDiv w:val="1"/>
      <w:marLeft w:val="0"/>
      <w:marRight w:val="0"/>
      <w:marTop w:val="0"/>
      <w:marBottom w:val="0"/>
      <w:divBdr>
        <w:top w:val="none" w:sz="0" w:space="0" w:color="auto"/>
        <w:left w:val="none" w:sz="0" w:space="0" w:color="auto"/>
        <w:bottom w:val="none" w:sz="0" w:space="0" w:color="auto"/>
        <w:right w:val="none" w:sz="0" w:space="0" w:color="auto"/>
      </w:divBdr>
    </w:div>
    <w:div w:id="1384478897">
      <w:bodyDiv w:val="1"/>
      <w:marLeft w:val="0"/>
      <w:marRight w:val="0"/>
      <w:marTop w:val="0"/>
      <w:marBottom w:val="0"/>
      <w:divBdr>
        <w:top w:val="none" w:sz="0" w:space="0" w:color="auto"/>
        <w:left w:val="none" w:sz="0" w:space="0" w:color="auto"/>
        <w:bottom w:val="none" w:sz="0" w:space="0" w:color="auto"/>
        <w:right w:val="none" w:sz="0" w:space="0" w:color="auto"/>
      </w:divBdr>
    </w:div>
    <w:div w:id="1397823927">
      <w:bodyDiv w:val="1"/>
      <w:marLeft w:val="0"/>
      <w:marRight w:val="0"/>
      <w:marTop w:val="0"/>
      <w:marBottom w:val="0"/>
      <w:divBdr>
        <w:top w:val="none" w:sz="0" w:space="0" w:color="auto"/>
        <w:left w:val="none" w:sz="0" w:space="0" w:color="auto"/>
        <w:bottom w:val="none" w:sz="0" w:space="0" w:color="auto"/>
        <w:right w:val="none" w:sz="0" w:space="0" w:color="auto"/>
      </w:divBdr>
    </w:div>
    <w:div w:id="1415711332">
      <w:bodyDiv w:val="1"/>
      <w:marLeft w:val="0"/>
      <w:marRight w:val="0"/>
      <w:marTop w:val="0"/>
      <w:marBottom w:val="0"/>
      <w:divBdr>
        <w:top w:val="none" w:sz="0" w:space="0" w:color="auto"/>
        <w:left w:val="none" w:sz="0" w:space="0" w:color="auto"/>
        <w:bottom w:val="none" w:sz="0" w:space="0" w:color="auto"/>
        <w:right w:val="none" w:sz="0" w:space="0" w:color="auto"/>
      </w:divBdr>
      <w:divsChild>
        <w:div w:id="1566456408">
          <w:marLeft w:val="0"/>
          <w:marRight w:val="0"/>
          <w:marTop w:val="0"/>
          <w:marBottom w:val="0"/>
          <w:divBdr>
            <w:top w:val="none" w:sz="0" w:space="0" w:color="auto"/>
            <w:left w:val="none" w:sz="0" w:space="0" w:color="auto"/>
            <w:bottom w:val="none" w:sz="0" w:space="0" w:color="auto"/>
            <w:right w:val="none" w:sz="0" w:space="0" w:color="auto"/>
          </w:divBdr>
          <w:divsChild>
            <w:div w:id="2038963578">
              <w:marLeft w:val="0"/>
              <w:marRight w:val="0"/>
              <w:marTop w:val="0"/>
              <w:marBottom w:val="0"/>
              <w:divBdr>
                <w:top w:val="none" w:sz="0" w:space="0" w:color="auto"/>
                <w:left w:val="none" w:sz="0" w:space="0" w:color="auto"/>
                <w:bottom w:val="none" w:sz="0" w:space="0" w:color="auto"/>
                <w:right w:val="none" w:sz="0" w:space="0" w:color="auto"/>
              </w:divBdr>
              <w:divsChild>
                <w:div w:id="1926567947">
                  <w:marLeft w:val="0"/>
                  <w:marRight w:val="0"/>
                  <w:marTop w:val="0"/>
                  <w:marBottom w:val="0"/>
                  <w:divBdr>
                    <w:top w:val="none" w:sz="0" w:space="0" w:color="auto"/>
                    <w:left w:val="none" w:sz="0" w:space="0" w:color="auto"/>
                    <w:bottom w:val="none" w:sz="0" w:space="0" w:color="auto"/>
                    <w:right w:val="none" w:sz="0" w:space="0" w:color="auto"/>
                  </w:divBdr>
                  <w:divsChild>
                    <w:div w:id="1553423640">
                      <w:marLeft w:val="0"/>
                      <w:marRight w:val="0"/>
                      <w:marTop w:val="0"/>
                      <w:marBottom w:val="0"/>
                      <w:divBdr>
                        <w:top w:val="none" w:sz="0" w:space="0" w:color="auto"/>
                        <w:left w:val="none" w:sz="0" w:space="0" w:color="auto"/>
                        <w:bottom w:val="none" w:sz="0" w:space="0" w:color="auto"/>
                        <w:right w:val="none" w:sz="0" w:space="0" w:color="auto"/>
                      </w:divBdr>
                      <w:divsChild>
                        <w:div w:id="654838984">
                          <w:marLeft w:val="0"/>
                          <w:marRight w:val="0"/>
                          <w:marTop w:val="0"/>
                          <w:marBottom w:val="0"/>
                          <w:divBdr>
                            <w:top w:val="none" w:sz="0" w:space="0" w:color="auto"/>
                            <w:left w:val="none" w:sz="0" w:space="0" w:color="auto"/>
                            <w:bottom w:val="none" w:sz="0" w:space="0" w:color="auto"/>
                            <w:right w:val="none" w:sz="0" w:space="0" w:color="auto"/>
                          </w:divBdr>
                          <w:divsChild>
                            <w:div w:id="475922873">
                              <w:marLeft w:val="0"/>
                              <w:marRight w:val="0"/>
                              <w:marTop w:val="0"/>
                              <w:marBottom w:val="0"/>
                              <w:divBdr>
                                <w:top w:val="none" w:sz="0" w:space="0" w:color="auto"/>
                                <w:left w:val="none" w:sz="0" w:space="0" w:color="auto"/>
                                <w:bottom w:val="none" w:sz="0" w:space="0" w:color="auto"/>
                                <w:right w:val="none" w:sz="0" w:space="0" w:color="auto"/>
                              </w:divBdr>
                              <w:divsChild>
                                <w:div w:id="1450124344">
                                  <w:marLeft w:val="0"/>
                                  <w:marRight w:val="0"/>
                                  <w:marTop w:val="0"/>
                                  <w:marBottom w:val="0"/>
                                  <w:divBdr>
                                    <w:top w:val="none" w:sz="0" w:space="0" w:color="auto"/>
                                    <w:left w:val="none" w:sz="0" w:space="0" w:color="auto"/>
                                    <w:bottom w:val="none" w:sz="0" w:space="0" w:color="auto"/>
                                    <w:right w:val="none" w:sz="0" w:space="0" w:color="auto"/>
                                  </w:divBdr>
                                  <w:divsChild>
                                    <w:div w:id="9952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11720">
      <w:bodyDiv w:val="1"/>
      <w:marLeft w:val="0"/>
      <w:marRight w:val="0"/>
      <w:marTop w:val="0"/>
      <w:marBottom w:val="0"/>
      <w:divBdr>
        <w:top w:val="none" w:sz="0" w:space="0" w:color="auto"/>
        <w:left w:val="none" w:sz="0" w:space="0" w:color="auto"/>
        <w:bottom w:val="none" w:sz="0" w:space="0" w:color="auto"/>
        <w:right w:val="none" w:sz="0" w:space="0" w:color="auto"/>
      </w:divBdr>
    </w:div>
    <w:div w:id="1433626067">
      <w:bodyDiv w:val="1"/>
      <w:marLeft w:val="0"/>
      <w:marRight w:val="0"/>
      <w:marTop w:val="0"/>
      <w:marBottom w:val="0"/>
      <w:divBdr>
        <w:top w:val="none" w:sz="0" w:space="0" w:color="auto"/>
        <w:left w:val="none" w:sz="0" w:space="0" w:color="auto"/>
        <w:bottom w:val="none" w:sz="0" w:space="0" w:color="auto"/>
        <w:right w:val="none" w:sz="0" w:space="0" w:color="auto"/>
      </w:divBdr>
    </w:div>
    <w:div w:id="1447844792">
      <w:bodyDiv w:val="1"/>
      <w:marLeft w:val="0"/>
      <w:marRight w:val="0"/>
      <w:marTop w:val="0"/>
      <w:marBottom w:val="0"/>
      <w:divBdr>
        <w:top w:val="none" w:sz="0" w:space="0" w:color="auto"/>
        <w:left w:val="none" w:sz="0" w:space="0" w:color="auto"/>
        <w:bottom w:val="none" w:sz="0" w:space="0" w:color="auto"/>
        <w:right w:val="none" w:sz="0" w:space="0" w:color="auto"/>
      </w:divBdr>
    </w:div>
    <w:div w:id="1454445397">
      <w:bodyDiv w:val="1"/>
      <w:marLeft w:val="0"/>
      <w:marRight w:val="0"/>
      <w:marTop w:val="0"/>
      <w:marBottom w:val="0"/>
      <w:divBdr>
        <w:top w:val="none" w:sz="0" w:space="0" w:color="auto"/>
        <w:left w:val="none" w:sz="0" w:space="0" w:color="auto"/>
        <w:bottom w:val="none" w:sz="0" w:space="0" w:color="auto"/>
        <w:right w:val="none" w:sz="0" w:space="0" w:color="auto"/>
      </w:divBdr>
    </w:div>
    <w:div w:id="1458521084">
      <w:bodyDiv w:val="1"/>
      <w:marLeft w:val="0"/>
      <w:marRight w:val="0"/>
      <w:marTop w:val="0"/>
      <w:marBottom w:val="0"/>
      <w:divBdr>
        <w:top w:val="none" w:sz="0" w:space="0" w:color="auto"/>
        <w:left w:val="none" w:sz="0" w:space="0" w:color="auto"/>
        <w:bottom w:val="none" w:sz="0" w:space="0" w:color="auto"/>
        <w:right w:val="none" w:sz="0" w:space="0" w:color="auto"/>
      </w:divBdr>
    </w:div>
    <w:div w:id="1464928812">
      <w:bodyDiv w:val="1"/>
      <w:marLeft w:val="0"/>
      <w:marRight w:val="0"/>
      <w:marTop w:val="0"/>
      <w:marBottom w:val="0"/>
      <w:divBdr>
        <w:top w:val="none" w:sz="0" w:space="0" w:color="auto"/>
        <w:left w:val="none" w:sz="0" w:space="0" w:color="auto"/>
        <w:bottom w:val="none" w:sz="0" w:space="0" w:color="auto"/>
        <w:right w:val="none" w:sz="0" w:space="0" w:color="auto"/>
      </w:divBdr>
    </w:div>
    <w:div w:id="1479805212">
      <w:bodyDiv w:val="1"/>
      <w:marLeft w:val="0"/>
      <w:marRight w:val="0"/>
      <w:marTop w:val="0"/>
      <w:marBottom w:val="0"/>
      <w:divBdr>
        <w:top w:val="none" w:sz="0" w:space="0" w:color="auto"/>
        <w:left w:val="none" w:sz="0" w:space="0" w:color="auto"/>
        <w:bottom w:val="none" w:sz="0" w:space="0" w:color="auto"/>
        <w:right w:val="none" w:sz="0" w:space="0" w:color="auto"/>
      </w:divBdr>
    </w:div>
    <w:div w:id="1480153379">
      <w:bodyDiv w:val="1"/>
      <w:marLeft w:val="0"/>
      <w:marRight w:val="0"/>
      <w:marTop w:val="0"/>
      <w:marBottom w:val="0"/>
      <w:divBdr>
        <w:top w:val="none" w:sz="0" w:space="0" w:color="auto"/>
        <w:left w:val="none" w:sz="0" w:space="0" w:color="auto"/>
        <w:bottom w:val="none" w:sz="0" w:space="0" w:color="auto"/>
        <w:right w:val="none" w:sz="0" w:space="0" w:color="auto"/>
      </w:divBdr>
    </w:div>
    <w:div w:id="1493178703">
      <w:bodyDiv w:val="1"/>
      <w:marLeft w:val="0"/>
      <w:marRight w:val="0"/>
      <w:marTop w:val="0"/>
      <w:marBottom w:val="0"/>
      <w:divBdr>
        <w:top w:val="none" w:sz="0" w:space="0" w:color="auto"/>
        <w:left w:val="none" w:sz="0" w:space="0" w:color="auto"/>
        <w:bottom w:val="none" w:sz="0" w:space="0" w:color="auto"/>
        <w:right w:val="none" w:sz="0" w:space="0" w:color="auto"/>
      </w:divBdr>
    </w:div>
    <w:div w:id="1567764217">
      <w:bodyDiv w:val="1"/>
      <w:marLeft w:val="0"/>
      <w:marRight w:val="0"/>
      <w:marTop w:val="0"/>
      <w:marBottom w:val="0"/>
      <w:divBdr>
        <w:top w:val="none" w:sz="0" w:space="0" w:color="auto"/>
        <w:left w:val="none" w:sz="0" w:space="0" w:color="auto"/>
        <w:bottom w:val="none" w:sz="0" w:space="0" w:color="auto"/>
        <w:right w:val="none" w:sz="0" w:space="0" w:color="auto"/>
      </w:divBdr>
    </w:div>
    <w:div w:id="1581912369">
      <w:bodyDiv w:val="1"/>
      <w:marLeft w:val="0"/>
      <w:marRight w:val="0"/>
      <w:marTop w:val="0"/>
      <w:marBottom w:val="0"/>
      <w:divBdr>
        <w:top w:val="none" w:sz="0" w:space="0" w:color="auto"/>
        <w:left w:val="none" w:sz="0" w:space="0" w:color="auto"/>
        <w:bottom w:val="none" w:sz="0" w:space="0" w:color="auto"/>
        <w:right w:val="none" w:sz="0" w:space="0" w:color="auto"/>
      </w:divBdr>
    </w:div>
    <w:div w:id="1587568359">
      <w:bodyDiv w:val="1"/>
      <w:marLeft w:val="0"/>
      <w:marRight w:val="0"/>
      <w:marTop w:val="0"/>
      <w:marBottom w:val="0"/>
      <w:divBdr>
        <w:top w:val="none" w:sz="0" w:space="0" w:color="auto"/>
        <w:left w:val="none" w:sz="0" w:space="0" w:color="auto"/>
        <w:bottom w:val="none" w:sz="0" w:space="0" w:color="auto"/>
        <w:right w:val="none" w:sz="0" w:space="0" w:color="auto"/>
      </w:divBdr>
    </w:div>
    <w:div w:id="1607349873">
      <w:bodyDiv w:val="1"/>
      <w:marLeft w:val="0"/>
      <w:marRight w:val="0"/>
      <w:marTop w:val="0"/>
      <w:marBottom w:val="0"/>
      <w:divBdr>
        <w:top w:val="none" w:sz="0" w:space="0" w:color="auto"/>
        <w:left w:val="none" w:sz="0" w:space="0" w:color="auto"/>
        <w:bottom w:val="none" w:sz="0" w:space="0" w:color="auto"/>
        <w:right w:val="none" w:sz="0" w:space="0" w:color="auto"/>
      </w:divBdr>
    </w:div>
    <w:div w:id="1612861099">
      <w:bodyDiv w:val="1"/>
      <w:marLeft w:val="0"/>
      <w:marRight w:val="0"/>
      <w:marTop w:val="0"/>
      <w:marBottom w:val="0"/>
      <w:divBdr>
        <w:top w:val="none" w:sz="0" w:space="0" w:color="auto"/>
        <w:left w:val="none" w:sz="0" w:space="0" w:color="auto"/>
        <w:bottom w:val="none" w:sz="0" w:space="0" w:color="auto"/>
        <w:right w:val="none" w:sz="0" w:space="0" w:color="auto"/>
      </w:divBdr>
    </w:div>
    <w:div w:id="1624774131">
      <w:bodyDiv w:val="1"/>
      <w:marLeft w:val="0"/>
      <w:marRight w:val="0"/>
      <w:marTop w:val="0"/>
      <w:marBottom w:val="0"/>
      <w:divBdr>
        <w:top w:val="none" w:sz="0" w:space="0" w:color="auto"/>
        <w:left w:val="none" w:sz="0" w:space="0" w:color="auto"/>
        <w:bottom w:val="none" w:sz="0" w:space="0" w:color="auto"/>
        <w:right w:val="none" w:sz="0" w:space="0" w:color="auto"/>
      </w:divBdr>
    </w:div>
    <w:div w:id="1639258550">
      <w:bodyDiv w:val="1"/>
      <w:marLeft w:val="0"/>
      <w:marRight w:val="0"/>
      <w:marTop w:val="0"/>
      <w:marBottom w:val="0"/>
      <w:divBdr>
        <w:top w:val="none" w:sz="0" w:space="0" w:color="auto"/>
        <w:left w:val="none" w:sz="0" w:space="0" w:color="auto"/>
        <w:bottom w:val="none" w:sz="0" w:space="0" w:color="auto"/>
        <w:right w:val="none" w:sz="0" w:space="0" w:color="auto"/>
      </w:divBdr>
    </w:div>
    <w:div w:id="1643539795">
      <w:bodyDiv w:val="1"/>
      <w:marLeft w:val="0"/>
      <w:marRight w:val="0"/>
      <w:marTop w:val="0"/>
      <w:marBottom w:val="0"/>
      <w:divBdr>
        <w:top w:val="none" w:sz="0" w:space="0" w:color="auto"/>
        <w:left w:val="none" w:sz="0" w:space="0" w:color="auto"/>
        <w:bottom w:val="none" w:sz="0" w:space="0" w:color="auto"/>
        <w:right w:val="none" w:sz="0" w:space="0" w:color="auto"/>
      </w:divBdr>
    </w:div>
    <w:div w:id="1650328104">
      <w:bodyDiv w:val="1"/>
      <w:marLeft w:val="0"/>
      <w:marRight w:val="0"/>
      <w:marTop w:val="0"/>
      <w:marBottom w:val="0"/>
      <w:divBdr>
        <w:top w:val="none" w:sz="0" w:space="0" w:color="auto"/>
        <w:left w:val="none" w:sz="0" w:space="0" w:color="auto"/>
        <w:bottom w:val="none" w:sz="0" w:space="0" w:color="auto"/>
        <w:right w:val="none" w:sz="0" w:space="0" w:color="auto"/>
      </w:divBdr>
    </w:div>
    <w:div w:id="1657995620">
      <w:bodyDiv w:val="1"/>
      <w:marLeft w:val="0"/>
      <w:marRight w:val="0"/>
      <w:marTop w:val="0"/>
      <w:marBottom w:val="0"/>
      <w:divBdr>
        <w:top w:val="none" w:sz="0" w:space="0" w:color="auto"/>
        <w:left w:val="none" w:sz="0" w:space="0" w:color="auto"/>
        <w:bottom w:val="none" w:sz="0" w:space="0" w:color="auto"/>
        <w:right w:val="none" w:sz="0" w:space="0" w:color="auto"/>
      </w:divBdr>
    </w:div>
    <w:div w:id="1763182758">
      <w:bodyDiv w:val="1"/>
      <w:marLeft w:val="0"/>
      <w:marRight w:val="0"/>
      <w:marTop w:val="0"/>
      <w:marBottom w:val="0"/>
      <w:divBdr>
        <w:top w:val="none" w:sz="0" w:space="0" w:color="auto"/>
        <w:left w:val="none" w:sz="0" w:space="0" w:color="auto"/>
        <w:bottom w:val="none" w:sz="0" w:space="0" w:color="auto"/>
        <w:right w:val="none" w:sz="0" w:space="0" w:color="auto"/>
      </w:divBdr>
    </w:div>
    <w:div w:id="1790930147">
      <w:bodyDiv w:val="1"/>
      <w:marLeft w:val="0"/>
      <w:marRight w:val="0"/>
      <w:marTop w:val="0"/>
      <w:marBottom w:val="0"/>
      <w:divBdr>
        <w:top w:val="none" w:sz="0" w:space="0" w:color="auto"/>
        <w:left w:val="none" w:sz="0" w:space="0" w:color="auto"/>
        <w:bottom w:val="none" w:sz="0" w:space="0" w:color="auto"/>
        <w:right w:val="none" w:sz="0" w:space="0" w:color="auto"/>
      </w:divBdr>
    </w:div>
    <w:div w:id="1798717676">
      <w:bodyDiv w:val="1"/>
      <w:marLeft w:val="0"/>
      <w:marRight w:val="0"/>
      <w:marTop w:val="0"/>
      <w:marBottom w:val="0"/>
      <w:divBdr>
        <w:top w:val="none" w:sz="0" w:space="0" w:color="auto"/>
        <w:left w:val="none" w:sz="0" w:space="0" w:color="auto"/>
        <w:bottom w:val="none" w:sz="0" w:space="0" w:color="auto"/>
        <w:right w:val="none" w:sz="0" w:space="0" w:color="auto"/>
      </w:divBdr>
    </w:div>
    <w:div w:id="1884437143">
      <w:bodyDiv w:val="1"/>
      <w:marLeft w:val="0"/>
      <w:marRight w:val="0"/>
      <w:marTop w:val="0"/>
      <w:marBottom w:val="0"/>
      <w:divBdr>
        <w:top w:val="none" w:sz="0" w:space="0" w:color="auto"/>
        <w:left w:val="none" w:sz="0" w:space="0" w:color="auto"/>
        <w:bottom w:val="none" w:sz="0" w:space="0" w:color="auto"/>
        <w:right w:val="none" w:sz="0" w:space="0" w:color="auto"/>
      </w:divBdr>
      <w:divsChild>
        <w:div w:id="83191858">
          <w:marLeft w:val="0"/>
          <w:marRight w:val="0"/>
          <w:marTop w:val="0"/>
          <w:marBottom w:val="0"/>
          <w:divBdr>
            <w:top w:val="none" w:sz="0" w:space="0" w:color="auto"/>
            <w:left w:val="none" w:sz="0" w:space="0" w:color="auto"/>
            <w:bottom w:val="none" w:sz="0" w:space="0" w:color="auto"/>
            <w:right w:val="none" w:sz="0" w:space="0" w:color="auto"/>
          </w:divBdr>
          <w:divsChild>
            <w:div w:id="427193442">
              <w:marLeft w:val="0"/>
              <w:marRight w:val="0"/>
              <w:marTop w:val="0"/>
              <w:marBottom w:val="0"/>
              <w:divBdr>
                <w:top w:val="none" w:sz="0" w:space="0" w:color="auto"/>
                <w:left w:val="none" w:sz="0" w:space="0" w:color="auto"/>
                <w:bottom w:val="none" w:sz="0" w:space="0" w:color="auto"/>
                <w:right w:val="none" w:sz="0" w:space="0" w:color="auto"/>
              </w:divBdr>
              <w:divsChild>
                <w:div w:id="2029133203">
                  <w:marLeft w:val="0"/>
                  <w:marRight w:val="0"/>
                  <w:marTop w:val="0"/>
                  <w:marBottom w:val="0"/>
                  <w:divBdr>
                    <w:top w:val="none" w:sz="0" w:space="0" w:color="auto"/>
                    <w:left w:val="none" w:sz="0" w:space="0" w:color="auto"/>
                    <w:bottom w:val="none" w:sz="0" w:space="0" w:color="auto"/>
                    <w:right w:val="none" w:sz="0" w:space="0" w:color="auto"/>
                  </w:divBdr>
                  <w:divsChild>
                    <w:div w:id="1841500873">
                      <w:marLeft w:val="0"/>
                      <w:marRight w:val="0"/>
                      <w:marTop w:val="0"/>
                      <w:marBottom w:val="0"/>
                      <w:divBdr>
                        <w:top w:val="none" w:sz="0" w:space="0" w:color="auto"/>
                        <w:left w:val="none" w:sz="0" w:space="0" w:color="auto"/>
                        <w:bottom w:val="none" w:sz="0" w:space="0" w:color="auto"/>
                        <w:right w:val="none" w:sz="0" w:space="0" w:color="auto"/>
                      </w:divBdr>
                      <w:divsChild>
                        <w:div w:id="1070813886">
                          <w:marLeft w:val="0"/>
                          <w:marRight w:val="0"/>
                          <w:marTop w:val="0"/>
                          <w:marBottom w:val="0"/>
                          <w:divBdr>
                            <w:top w:val="none" w:sz="0" w:space="0" w:color="auto"/>
                            <w:left w:val="none" w:sz="0" w:space="0" w:color="auto"/>
                            <w:bottom w:val="none" w:sz="0" w:space="0" w:color="auto"/>
                            <w:right w:val="none" w:sz="0" w:space="0" w:color="auto"/>
                          </w:divBdr>
                          <w:divsChild>
                            <w:div w:id="608970676">
                              <w:marLeft w:val="0"/>
                              <w:marRight w:val="0"/>
                              <w:marTop w:val="0"/>
                              <w:marBottom w:val="0"/>
                              <w:divBdr>
                                <w:top w:val="none" w:sz="0" w:space="0" w:color="auto"/>
                                <w:left w:val="none" w:sz="0" w:space="0" w:color="auto"/>
                                <w:bottom w:val="none" w:sz="0" w:space="0" w:color="auto"/>
                                <w:right w:val="none" w:sz="0" w:space="0" w:color="auto"/>
                              </w:divBdr>
                              <w:divsChild>
                                <w:div w:id="1275212414">
                                  <w:marLeft w:val="0"/>
                                  <w:marRight w:val="0"/>
                                  <w:marTop w:val="0"/>
                                  <w:marBottom w:val="0"/>
                                  <w:divBdr>
                                    <w:top w:val="none" w:sz="0" w:space="0" w:color="auto"/>
                                    <w:left w:val="none" w:sz="0" w:space="0" w:color="auto"/>
                                    <w:bottom w:val="none" w:sz="0" w:space="0" w:color="auto"/>
                                    <w:right w:val="none" w:sz="0" w:space="0" w:color="auto"/>
                                  </w:divBdr>
                                  <w:divsChild>
                                    <w:div w:id="6519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81559">
                      <w:marLeft w:val="0"/>
                      <w:marRight w:val="0"/>
                      <w:marTop w:val="0"/>
                      <w:marBottom w:val="0"/>
                      <w:divBdr>
                        <w:top w:val="none" w:sz="0" w:space="0" w:color="auto"/>
                        <w:left w:val="none" w:sz="0" w:space="0" w:color="auto"/>
                        <w:bottom w:val="none" w:sz="0" w:space="0" w:color="auto"/>
                        <w:right w:val="none" w:sz="0" w:space="0" w:color="auto"/>
                      </w:divBdr>
                      <w:divsChild>
                        <w:div w:id="778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872318">
      <w:bodyDiv w:val="1"/>
      <w:marLeft w:val="0"/>
      <w:marRight w:val="0"/>
      <w:marTop w:val="0"/>
      <w:marBottom w:val="0"/>
      <w:divBdr>
        <w:top w:val="none" w:sz="0" w:space="0" w:color="auto"/>
        <w:left w:val="none" w:sz="0" w:space="0" w:color="auto"/>
        <w:bottom w:val="none" w:sz="0" w:space="0" w:color="auto"/>
        <w:right w:val="none" w:sz="0" w:space="0" w:color="auto"/>
      </w:divBdr>
    </w:div>
    <w:div w:id="1941647236">
      <w:bodyDiv w:val="1"/>
      <w:marLeft w:val="0"/>
      <w:marRight w:val="0"/>
      <w:marTop w:val="0"/>
      <w:marBottom w:val="0"/>
      <w:divBdr>
        <w:top w:val="none" w:sz="0" w:space="0" w:color="auto"/>
        <w:left w:val="none" w:sz="0" w:space="0" w:color="auto"/>
        <w:bottom w:val="none" w:sz="0" w:space="0" w:color="auto"/>
        <w:right w:val="none" w:sz="0" w:space="0" w:color="auto"/>
      </w:divBdr>
    </w:div>
    <w:div w:id="1951817090">
      <w:bodyDiv w:val="1"/>
      <w:marLeft w:val="0"/>
      <w:marRight w:val="0"/>
      <w:marTop w:val="0"/>
      <w:marBottom w:val="0"/>
      <w:divBdr>
        <w:top w:val="none" w:sz="0" w:space="0" w:color="auto"/>
        <w:left w:val="none" w:sz="0" w:space="0" w:color="auto"/>
        <w:bottom w:val="none" w:sz="0" w:space="0" w:color="auto"/>
        <w:right w:val="none" w:sz="0" w:space="0" w:color="auto"/>
      </w:divBdr>
    </w:div>
    <w:div w:id="1962566531">
      <w:bodyDiv w:val="1"/>
      <w:marLeft w:val="0"/>
      <w:marRight w:val="0"/>
      <w:marTop w:val="0"/>
      <w:marBottom w:val="0"/>
      <w:divBdr>
        <w:top w:val="none" w:sz="0" w:space="0" w:color="auto"/>
        <w:left w:val="none" w:sz="0" w:space="0" w:color="auto"/>
        <w:bottom w:val="none" w:sz="0" w:space="0" w:color="auto"/>
        <w:right w:val="none" w:sz="0" w:space="0" w:color="auto"/>
      </w:divBdr>
      <w:divsChild>
        <w:div w:id="1821534552">
          <w:marLeft w:val="0"/>
          <w:marRight w:val="0"/>
          <w:marTop w:val="0"/>
          <w:marBottom w:val="0"/>
          <w:divBdr>
            <w:top w:val="none" w:sz="0" w:space="0" w:color="auto"/>
            <w:left w:val="none" w:sz="0" w:space="0" w:color="auto"/>
            <w:bottom w:val="none" w:sz="0" w:space="0" w:color="auto"/>
            <w:right w:val="none" w:sz="0" w:space="0" w:color="auto"/>
          </w:divBdr>
          <w:divsChild>
            <w:div w:id="16959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341615">
      <w:bodyDiv w:val="1"/>
      <w:marLeft w:val="0"/>
      <w:marRight w:val="0"/>
      <w:marTop w:val="0"/>
      <w:marBottom w:val="0"/>
      <w:divBdr>
        <w:top w:val="none" w:sz="0" w:space="0" w:color="auto"/>
        <w:left w:val="none" w:sz="0" w:space="0" w:color="auto"/>
        <w:bottom w:val="none" w:sz="0" w:space="0" w:color="auto"/>
        <w:right w:val="none" w:sz="0" w:space="0" w:color="auto"/>
      </w:divBdr>
    </w:div>
    <w:div w:id="1965501495">
      <w:bodyDiv w:val="1"/>
      <w:marLeft w:val="0"/>
      <w:marRight w:val="0"/>
      <w:marTop w:val="0"/>
      <w:marBottom w:val="0"/>
      <w:divBdr>
        <w:top w:val="none" w:sz="0" w:space="0" w:color="auto"/>
        <w:left w:val="none" w:sz="0" w:space="0" w:color="auto"/>
        <w:bottom w:val="none" w:sz="0" w:space="0" w:color="auto"/>
        <w:right w:val="none" w:sz="0" w:space="0" w:color="auto"/>
      </w:divBdr>
    </w:div>
    <w:div w:id="1982690957">
      <w:bodyDiv w:val="1"/>
      <w:marLeft w:val="0"/>
      <w:marRight w:val="0"/>
      <w:marTop w:val="0"/>
      <w:marBottom w:val="0"/>
      <w:divBdr>
        <w:top w:val="none" w:sz="0" w:space="0" w:color="auto"/>
        <w:left w:val="none" w:sz="0" w:space="0" w:color="auto"/>
        <w:bottom w:val="none" w:sz="0" w:space="0" w:color="auto"/>
        <w:right w:val="none" w:sz="0" w:space="0" w:color="auto"/>
      </w:divBdr>
    </w:div>
    <w:div w:id="1992514532">
      <w:bodyDiv w:val="1"/>
      <w:marLeft w:val="0"/>
      <w:marRight w:val="0"/>
      <w:marTop w:val="0"/>
      <w:marBottom w:val="0"/>
      <w:divBdr>
        <w:top w:val="none" w:sz="0" w:space="0" w:color="auto"/>
        <w:left w:val="none" w:sz="0" w:space="0" w:color="auto"/>
        <w:bottom w:val="none" w:sz="0" w:space="0" w:color="auto"/>
        <w:right w:val="none" w:sz="0" w:space="0" w:color="auto"/>
      </w:divBdr>
    </w:div>
    <w:div w:id="2002585818">
      <w:bodyDiv w:val="1"/>
      <w:marLeft w:val="0"/>
      <w:marRight w:val="0"/>
      <w:marTop w:val="0"/>
      <w:marBottom w:val="0"/>
      <w:divBdr>
        <w:top w:val="none" w:sz="0" w:space="0" w:color="auto"/>
        <w:left w:val="none" w:sz="0" w:space="0" w:color="auto"/>
        <w:bottom w:val="none" w:sz="0" w:space="0" w:color="auto"/>
        <w:right w:val="none" w:sz="0" w:space="0" w:color="auto"/>
      </w:divBdr>
    </w:div>
    <w:div w:id="2017268060">
      <w:bodyDiv w:val="1"/>
      <w:marLeft w:val="0"/>
      <w:marRight w:val="0"/>
      <w:marTop w:val="0"/>
      <w:marBottom w:val="0"/>
      <w:divBdr>
        <w:top w:val="none" w:sz="0" w:space="0" w:color="auto"/>
        <w:left w:val="none" w:sz="0" w:space="0" w:color="auto"/>
        <w:bottom w:val="none" w:sz="0" w:space="0" w:color="auto"/>
        <w:right w:val="none" w:sz="0" w:space="0" w:color="auto"/>
      </w:divBdr>
    </w:div>
    <w:div w:id="2034770829">
      <w:bodyDiv w:val="1"/>
      <w:marLeft w:val="0"/>
      <w:marRight w:val="0"/>
      <w:marTop w:val="0"/>
      <w:marBottom w:val="0"/>
      <w:divBdr>
        <w:top w:val="none" w:sz="0" w:space="0" w:color="auto"/>
        <w:left w:val="none" w:sz="0" w:space="0" w:color="auto"/>
        <w:bottom w:val="none" w:sz="0" w:space="0" w:color="auto"/>
        <w:right w:val="none" w:sz="0" w:space="0" w:color="auto"/>
      </w:divBdr>
    </w:div>
    <w:div w:id="2048217902">
      <w:bodyDiv w:val="1"/>
      <w:marLeft w:val="0"/>
      <w:marRight w:val="0"/>
      <w:marTop w:val="0"/>
      <w:marBottom w:val="0"/>
      <w:divBdr>
        <w:top w:val="none" w:sz="0" w:space="0" w:color="auto"/>
        <w:left w:val="none" w:sz="0" w:space="0" w:color="auto"/>
        <w:bottom w:val="none" w:sz="0" w:space="0" w:color="auto"/>
        <w:right w:val="none" w:sz="0" w:space="0" w:color="auto"/>
      </w:divBdr>
    </w:div>
    <w:div w:id="2061200358">
      <w:bodyDiv w:val="1"/>
      <w:marLeft w:val="0"/>
      <w:marRight w:val="0"/>
      <w:marTop w:val="0"/>
      <w:marBottom w:val="0"/>
      <w:divBdr>
        <w:top w:val="none" w:sz="0" w:space="0" w:color="auto"/>
        <w:left w:val="none" w:sz="0" w:space="0" w:color="auto"/>
        <w:bottom w:val="none" w:sz="0" w:space="0" w:color="auto"/>
        <w:right w:val="none" w:sz="0" w:space="0" w:color="auto"/>
      </w:divBdr>
      <w:divsChild>
        <w:div w:id="1514030544">
          <w:marLeft w:val="640"/>
          <w:marRight w:val="0"/>
          <w:marTop w:val="0"/>
          <w:marBottom w:val="0"/>
          <w:divBdr>
            <w:top w:val="none" w:sz="0" w:space="0" w:color="auto"/>
            <w:left w:val="none" w:sz="0" w:space="0" w:color="auto"/>
            <w:bottom w:val="none" w:sz="0" w:space="0" w:color="auto"/>
            <w:right w:val="none" w:sz="0" w:space="0" w:color="auto"/>
          </w:divBdr>
        </w:div>
        <w:div w:id="1722902293">
          <w:marLeft w:val="640"/>
          <w:marRight w:val="0"/>
          <w:marTop w:val="0"/>
          <w:marBottom w:val="0"/>
          <w:divBdr>
            <w:top w:val="none" w:sz="0" w:space="0" w:color="auto"/>
            <w:left w:val="none" w:sz="0" w:space="0" w:color="auto"/>
            <w:bottom w:val="none" w:sz="0" w:space="0" w:color="auto"/>
            <w:right w:val="none" w:sz="0" w:space="0" w:color="auto"/>
          </w:divBdr>
        </w:div>
        <w:div w:id="741561861">
          <w:marLeft w:val="640"/>
          <w:marRight w:val="0"/>
          <w:marTop w:val="0"/>
          <w:marBottom w:val="0"/>
          <w:divBdr>
            <w:top w:val="none" w:sz="0" w:space="0" w:color="auto"/>
            <w:left w:val="none" w:sz="0" w:space="0" w:color="auto"/>
            <w:bottom w:val="none" w:sz="0" w:space="0" w:color="auto"/>
            <w:right w:val="none" w:sz="0" w:space="0" w:color="auto"/>
          </w:divBdr>
        </w:div>
        <w:div w:id="330908467">
          <w:marLeft w:val="640"/>
          <w:marRight w:val="0"/>
          <w:marTop w:val="0"/>
          <w:marBottom w:val="0"/>
          <w:divBdr>
            <w:top w:val="none" w:sz="0" w:space="0" w:color="auto"/>
            <w:left w:val="none" w:sz="0" w:space="0" w:color="auto"/>
            <w:bottom w:val="none" w:sz="0" w:space="0" w:color="auto"/>
            <w:right w:val="none" w:sz="0" w:space="0" w:color="auto"/>
          </w:divBdr>
        </w:div>
        <w:div w:id="469788048">
          <w:marLeft w:val="640"/>
          <w:marRight w:val="0"/>
          <w:marTop w:val="0"/>
          <w:marBottom w:val="0"/>
          <w:divBdr>
            <w:top w:val="none" w:sz="0" w:space="0" w:color="auto"/>
            <w:left w:val="none" w:sz="0" w:space="0" w:color="auto"/>
            <w:bottom w:val="none" w:sz="0" w:space="0" w:color="auto"/>
            <w:right w:val="none" w:sz="0" w:space="0" w:color="auto"/>
          </w:divBdr>
        </w:div>
        <w:div w:id="1654405059">
          <w:marLeft w:val="640"/>
          <w:marRight w:val="0"/>
          <w:marTop w:val="0"/>
          <w:marBottom w:val="0"/>
          <w:divBdr>
            <w:top w:val="none" w:sz="0" w:space="0" w:color="auto"/>
            <w:left w:val="none" w:sz="0" w:space="0" w:color="auto"/>
            <w:bottom w:val="none" w:sz="0" w:space="0" w:color="auto"/>
            <w:right w:val="none" w:sz="0" w:space="0" w:color="auto"/>
          </w:divBdr>
        </w:div>
        <w:div w:id="1248927860">
          <w:marLeft w:val="640"/>
          <w:marRight w:val="0"/>
          <w:marTop w:val="0"/>
          <w:marBottom w:val="0"/>
          <w:divBdr>
            <w:top w:val="none" w:sz="0" w:space="0" w:color="auto"/>
            <w:left w:val="none" w:sz="0" w:space="0" w:color="auto"/>
            <w:bottom w:val="none" w:sz="0" w:space="0" w:color="auto"/>
            <w:right w:val="none" w:sz="0" w:space="0" w:color="auto"/>
          </w:divBdr>
        </w:div>
        <w:div w:id="596644592">
          <w:marLeft w:val="640"/>
          <w:marRight w:val="0"/>
          <w:marTop w:val="0"/>
          <w:marBottom w:val="0"/>
          <w:divBdr>
            <w:top w:val="none" w:sz="0" w:space="0" w:color="auto"/>
            <w:left w:val="none" w:sz="0" w:space="0" w:color="auto"/>
            <w:bottom w:val="none" w:sz="0" w:space="0" w:color="auto"/>
            <w:right w:val="none" w:sz="0" w:space="0" w:color="auto"/>
          </w:divBdr>
        </w:div>
        <w:div w:id="2144351182">
          <w:marLeft w:val="640"/>
          <w:marRight w:val="0"/>
          <w:marTop w:val="0"/>
          <w:marBottom w:val="0"/>
          <w:divBdr>
            <w:top w:val="none" w:sz="0" w:space="0" w:color="auto"/>
            <w:left w:val="none" w:sz="0" w:space="0" w:color="auto"/>
            <w:bottom w:val="none" w:sz="0" w:space="0" w:color="auto"/>
            <w:right w:val="none" w:sz="0" w:space="0" w:color="auto"/>
          </w:divBdr>
        </w:div>
      </w:divsChild>
    </w:div>
    <w:div w:id="2067334074">
      <w:bodyDiv w:val="1"/>
      <w:marLeft w:val="0"/>
      <w:marRight w:val="0"/>
      <w:marTop w:val="0"/>
      <w:marBottom w:val="0"/>
      <w:divBdr>
        <w:top w:val="none" w:sz="0" w:space="0" w:color="auto"/>
        <w:left w:val="none" w:sz="0" w:space="0" w:color="auto"/>
        <w:bottom w:val="none" w:sz="0" w:space="0" w:color="auto"/>
        <w:right w:val="none" w:sz="0" w:space="0" w:color="auto"/>
      </w:divBdr>
    </w:div>
    <w:div w:id="2077586732">
      <w:bodyDiv w:val="1"/>
      <w:marLeft w:val="0"/>
      <w:marRight w:val="0"/>
      <w:marTop w:val="0"/>
      <w:marBottom w:val="0"/>
      <w:divBdr>
        <w:top w:val="none" w:sz="0" w:space="0" w:color="auto"/>
        <w:left w:val="none" w:sz="0" w:space="0" w:color="auto"/>
        <w:bottom w:val="none" w:sz="0" w:space="0" w:color="auto"/>
        <w:right w:val="none" w:sz="0" w:space="0" w:color="auto"/>
      </w:divBdr>
    </w:div>
    <w:div w:id="2095391259">
      <w:bodyDiv w:val="1"/>
      <w:marLeft w:val="0"/>
      <w:marRight w:val="0"/>
      <w:marTop w:val="0"/>
      <w:marBottom w:val="0"/>
      <w:divBdr>
        <w:top w:val="none" w:sz="0" w:space="0" w:color="auto"/>
        <w:left w:val="none" w:sz="0" w:space="0" w:color="auto"/>
        <w:bottom w:val="none" w:sz="0" w:space="0" w:color="auto"/>
        <w:right w:val="none" w:sz="0" w:space="0" w:color="auto"/>
      </w:divBdr>
    </w:div>
    <w:div w:id="2112361550">
      <w:bodyDiv w:val="1"/>
      <w:marLeft w:val="0"/>
      <w:marRight w:val="0"/>
      <w:marTop w:val="0"/>
      <w:marBottom w:val="0"/>
      <w:divBdr>
        <w:top w:val="none" w:sz="0" w:space="0" w:color="auto"/>
        <w:left w:val="none" w:sz="0" w:space="0" w:color="auto"/>
        <w:bottom w:val="none" w:sz="0" w:space="0" w:color="auto"/>
        <w:right w:val="none" w:sz="0" w:space="0" w:color="auto"/>
      </w:divBdr>
    </w:div>
    <w:div w:id="2113164496">
      <w:bodyDiv w:val="1"/>
      <w:marLeft w:val="0"/>
      <w:marRight w:val="0"/>
      <w:marTop w:val="0"/>
      <w:marBottom w:val="0"/>
      <w:divBdr>
        <w:top w:val="none" w:sz="0" w:space="0" w:color="auto"/>
        <w:left w:val="none" w:sz="0" w:space="0" w:color="auto"/>
        <w:bottom w:val="none" w:sz="0" w:space="0" w:color="auto"/>
        <w:right w:val="none" w:sz="0" w:space="0" w:color="auto"/>
      </w:divBdr>
    </w:div>
    <w:div w:id="212160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B37DF1-2FE8-43D2-B9C1-60699B93DB20}">
  <we:reference id="wa104382081" version="1.55.1.0" store="id-ID" storeType="OMEX"/>
  <we:alternateReferences>
    <we:reference id="WA104382081" version="1.55.1.0" store="" storeType="OMEX"/>
  </we:alternateReferences>
  <we:properties>
    <we:property name="MENDELEY_CITATIONS" value="[{&quot;citationID&quot;:&quot;MENDELEY_CITATION_41c688a7-a985-4d98-8963-d62d682b733b&quot;,&quot;properties&quot;:{&quot;noteIndex&quot;:0},&quot;isEdited&quot;:false,&quot;manualOverride&quot;:{&quot;isManuallyOverridden&quot;:false,&quot;citeprocText&quot;:&quot;(1)&quot;,&quot;manualOverrideText&quot;:&quot;&quot;},&quot;citationItems&quot;:[{&quot;id&quot;:&quot;d7bfe30a-f82c-353a-8cfe-164694656a3b&quot;,&quot;itemData&quot;:{&quot;type&quot;:&quot;article-journal&quot;,&quot;id&quot;:&quot;d7bfe30a-f82c-353a-8cfe-164694656a3b&quot;,&quot;title&quot;:&quot;Pemanfaatan Limbah Cair Tahu menjadi Pupuk Organik Cair sebagai Upaya Pelestarian Lingkungan dan Peningkatan Ekonomi Masyarakat&quot;,&quot;author&quot;:[{&quot;family&quot;:&quot;Wahyuningsih&quot;,&quot;given&quot;:&quot;Eti&quot;,&quot;parse-names&quot;:false,&quot;dropping-particle&quot;:&quot;&quot;,&quot;non-dropping-particle&quot;:&quot;&quot;}],&quot;container-title&quot;:&quot;Jurnal Abdimas Kartika Wijayakusuma&quot;,&quot;DOI&quot;:&quot;10.26874/jakw.v5i1.392&quot;,&quot;ISSN&quot;:&quot;2721-0367&quot;,&quot;issued&quot;:{&quot;date-parts&quot;:[[2024]]},&quot;page&quot;:&quot;120-131&quot;,&quot;issue&quot;:&quot;1&quot;,&quot;volume&quot;:&quot;5&quot;,&quot;container-title-short&quot;:&quot;&quot;},&quot;isTemporary&quot;:false}],&quot;citationTag&quot;:&quot;MENDELEY_CITATION_v3_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&quot;},{&quot;citationID&quot;:&quot;MENDELEY_CITATION_09253582-e493-4001-a60f-bd4a0e1520f0&quot;,&quot;properties&quot;:{&quot;noteIndex&quot;:0},&quot;isEdited&quot;:false,&quot;manualOverride&quot;:{&quot;isManuallyOverridden&quot;:false,&quot;citeprocText&quot;:&quot;(2)&quot;,&quot;manualOverrideText&quot;:&quot;&quot;},&quot;citationTag&quot;:&quot;MENDELEY_CITATION_v3_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&quot;,&quot;citationItems&quot;:[{&quot;id&quot;:&quot;df90e3af-1036-3a03-89b8-53ffabf05b53&quot;,&quot;itemData&quot;:{&quot;type&quot;:&quot;article-journal&quot;,&quot;id&quot;:&quot;df90e3af-1036-3a03-89b8-53ffabf05b53&quot;,&quot;title&quot;:&quot;JIIA, VOLUME 7 No. 2, MEI 2019&quot;,&quot;author&quot;:[{&quot;family&quot;:&quot;Rosita&quot;,&quot;given&quot;:&quot;&quot;,&quot;parse-names&quot;:false,&quot;dropping-particle&quot;:&quot;&quot;,&quot;non-dropping-particle&quot;:&quot;&quot;},{&quot;family&quot;:&quot;Hudoyo&quot;,&quot;given&quot;:&quot;Agus&quot;,&quot;parse-names&quot;:false,&quot;dropping-particle&quot;:&quot;&quot;,&quot;non-dropping-particle&quot;:&quot;&quot;},{&quot;family&quot;:&quot;Soelaiman&quot;,&quot;given&quot;:&quot;Achdiansyah&quot;,&quot;parse-names&quot;:false,&quot;dropping-particle&quot;:&quot;&quot;,&quot;non-dropping-particle&quot;:&quot;&quot;}],&quot;container-title&quot;:&quot;Jiia&quot;,&quot;URL&quot;:&quot;https://core.ac.uk/download/pdf/297871040.pdf&quot;,&quot;issued&quot;:{&quot;date-parts&quot;:[[2019]]},&quot;page&quot;:&quot;211-218&quot;,&quot;abstract&quot;:&quot;… Seputih Raman, tingkat adopsi PTT usahatani padi … pertanian dengan adopsi PTT usahatani padi sawah di Kecamatan Seputih Raman, dan mengetahui hubungan antara adopsi PPT …&quot;,&quot;issue&quot;:&quot;2&quot;,&quot;volume&quot;:&quot;7&quot;,&quot;container-title-short&quot;:&quot;&quot;},&quot;isTemporary&quot;:false}]},{&quot;citationID&quot;:&quot;MENDELEY_CITATION_35bade10-5bf4-485e-900c-9276ba6c5dad&quot;,&quot;properties&quot;:{&quot;noteIndex&quot;:0},&quot;isEdited&quot;:false,&quot;manualOverride&quot;:{&quot;isManuallyOverridden&quot;:false,&quot;citeprocText&quot;:&quot;(3)&quot;,&quot;manualOverrideText&quot;:&quot;&quot;},&quot;citationTag&quot;:&quot;MENDELEY_CITATION_v3_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lzc3VlIjoiOSIsInZvbHVtZSI6IjUzIiwiY29udGFpbmVyLXRpdGxlLXNob3J0IjoiIn0sImlzVGVtcG9yYXJ5IjpmYWxzZX1dfQ==&quot;,&quot;citationItems&quot;:[{&quot;id&quot;:&quot;d087c969-dcf3-3c48-b7a5-05756d555d38&quot;,&quot;itemData&quot;:{&quot;type&quot;:&quot;article-journal&quot;,&quot;id&quot;:&quot;d087c969-dcf3-3c48-b7a5-05756d555d38&quot;,&quot;title&quot;:&quot;Permen KLHK&quot;,&quot;author&quot;:[{&quot;family&quot;:&quot;KLHK No. P.16&quot;,&quot;given&quot;:&quot;&quot;,&quot;parse-names&quot;:false,&quot;dropping-particle&quot;:&quot;&quot;,&quot;non-dropping-particle&quot;:&quot;&quot;}],&quot;container-title&quot;:&quot;Peraturan Menteri Lingkungan Hidup Dan Kehutanan Republik Indonesia Perubahan Kedua atas Peraturan Menteri Lingkungan Hidup Nomor 5 Tahun 2014 tentang Baku Mutu Air Limbah&quot;,&quot;ISBN&quot;:&quot;9788578110796&quot;,&quot;ISSN&quot;:&quot;1098-6596&quot;,&quot;PMID&quot;:&quot;25246403&quot;,&quot;URL&quot;:&quot;file:///C:/Users/User/Downloads/fvm939e.pdf&quot;,&quot;issued&quot;:{&quot;date-parts&quot;:[[2019]]},&quot;page&quot;:&quot;1689-1699&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9&quot;,&quot;volume&quot;:&quot;53&quot;,&quot;container-title-short&quot;:&quot;&quot;},&quot;isTemporary&quot;:false}]},{&quot;citationID&quot;:&quot;MENDELEY_CITATION_6694ba1c-9119-4437-8470-32ff343dee7e&quot;,&quot;properties&quot;:{&quot;noteIndex&quot;:0},&quot;isEdited&quot;:false,&quot;manualOverride&quot;:{&quot;isManuallyOverridden&quot;:false,&quot;citeprocText&quot;:&quot;(4)&quot;,&quot;manualOverrideText&quot;:&quot;&quot;},&quot;citationTag&quot;:&quot;MENDELEY_CITATION_v3_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&quot;,&quot;citationItems&quot;:[{&quot;id&quot;:&quot;88bce93f-1c1e-3255-9f26-ae55864fd596&quot;,&quot;itemData&quot;:{&quot;type&quot;:&quot;article-journal&quot;,&quot;id&quot;:&quot;88bce93f-1c1e-3255-9f26-ae55864fd596&quot;,&quot;title&quot;:&quot;PENGARUH PUPUK ORGANIK CAIR DARI LIMBAH CAIR PABRIK TAHU TERHADAP SERAPAN HARA N, P, DAN K TANAMAN PAKCOY (Brasicca rapa L.) PADA ULTISOL&quot;,&quot;author&quot;:[{&quot;family&quot;:&quot;FATHURRAHMAN&quot;,&quot;given&quot;:&quot;MUHAMMAD&quot;,&quot;parse-names&quot;:false,&quot;dropping-particle&quot;:&quot;&quot;,&quot;non-dropping-particle&quot;:&quot;&quot;},{&quot;family&quot;:&quot;Napoleon&quot;,&quot;given&quot;:&quot;Adipati&quot;,&quot;parse-names&quot;:false,&quot;dropping-particle&quot;:&quot;&quot;,&quot;non-dropping-particle&quot;:&quot;&quot;}],&quot;issued&quot;:{&quot;date-parts&quot;:[[2023]]},&quot;container-title-short&quot;:&quot;&quot;},&quot;isTemporary&quot;:false}]},{&quot;citationID&quot;:&quot;MENDELEY_CITATION_f2c116da-19d3-48f6-ac83-da7956010805&quot;,&quot;properties&quot;:{&quot;noteIndex&quot;:0},&quot;isEdited&quot;:false,&quot;manualOverride&quot;:{&quot;isManuallyOverridden&quot;:false,&quot;citeprocText&quot;:&quot;(5)&quot;,&quot;manualOverrideText&quot;:&quot;&quot;},&quot;citationTag&quot;:&quot;MENDELEY_CITATION_v3_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&quot;,&quot;citationItems&quot;:[{&quot;id&quot;:&quot;00be2bcb-94cc-39d5-b918-149313bd8a43&quot;,&quot;itemData&quot;:{&quot;type&quot;:&quot;article-journal&quot;,&quot;id&quot;:&quot;00be2bcb-94cc-39d5-b918-149313bd8a43&quot;,&quot;title&quot;:&quot;Pengaruh Pemberian Limbah Cair Tahu Dengan Konsentrasi Yang Berbeda Terhadap Pertumbuhan Tanaman Pakcoy (Brassica rapa L.) Secara Hidroponik&quot;,&quot;author&quot;:[{&quot;family&quot;:&quot;Istiqomah&quot;,&quot;given&quot;:&quot;Istiqomah&quot;,&quot;parse-names&quot;:false,&quot;dropping-particle&quot;:&quot;&quot;,&quot;non-dropping-particle&quot;:&quot;&quot;},{&quot;family&quot;:&quot;Sari&quot;,&quot;given&quot;:&quot;Mella Mutika&quot;,&quot;parse-names&quot;:false,&quot;dropping-particle&quot;:&quot;&quot;,&quot;non-dropping-particle&quot;:&quot;&quot;},{&quot;family&quot;:&quot;Istyadji&quot;,&quot;given&quot;:&quot;Maya&quot;,&quot;parse-names&quot;:false,&quot;dropping-particle&quot;:&quot;&quot;,&quot;non-dropping-particle&quot;:&quot;&quot;}],&quot;container-title&quot;:&quot;JUSTER : Jurnal Sains dan Terapan&quot;,&quot;DOI&quot;:&quot;10.57218/juster.v1i3.369&quot;,&quot;ISSN&quot;:&quot;2809-7661&quot;,&quot;issued&quot;:{&quot;date-parts&quot;:[[2022]]},&quot;page&quot;:&quot;158-170&quot;,&quot;abstract&quot;:&quot;Limbah cair tahu dihasilkan dari proses pencucian, perebusan, pengepresan, dan pencetakan tahu sangat tinggi. Limbah cair tahu banyak mengandung bahan organik sehingga berpotensi sebagai pupuk organik. Hal ini perlu dilakukan pengolahan atau pemanfataan limbah tersebut, yaitu dijadikan sebagai nutrisi pertumbuhan tanaman pakcoy dengan sistem tanam hidroponik. Oleh karena itu, penelitian ini bertujuan untuk mengetahui pengaruh pemberian limbah cair tahu sebagai nutrisi terhadap pertumbuhan tanaman pakcoy (Brassica rapa L) secara hidroponik. Penelitian ini menggunakan RAL (Rancangan Acak Lengkap) dengan metode pengumpulan data yaitu eksperimen, pengukuran, dan dokumentasi. Penelitian ini dilakukan dengan 5 perlakuan 1 kontrol dan 4 kali ulangan yaitu L0 (100% AB Mix), L1 (20%), L2 (35%), L3 (50%), L4 (65%), L5 (80%). Data dianalisis secara statistik melalui ANOVA dan dilanjutkan dengan uji Duncan 5%. Hasil penelitian menunjukkan bahwa, perlakuan terbaik terdapat pada perlakuan L2 (35%). Hal ini dibuktikan dengan rata-rata hasil tertinggi pemberian pupuk organik cair limbah cair tahu pada tinggi tanaman: 16,7 cm, jumlah daun: 15,25 berat basah: 20,25. Sedangkan pada panjang akar rata-rata tertinggi pada perlakuan L5 (80%) yaitu 7,775. Dengan demikian, penggunaan limbah cair tahu sebagai nutrisi pertumbuhan tanaman pakcoy memberikan pengaruh yang efektif.&quot;,&quot;issue&quot;:&quot;3&quot;,&quot;volume&quot;:&quot;1&quot;,&quot;container-title-short&quot;:&quot;&quot;},&quot;isTemporary&quot;:false}]},{&quot;citationID&quot;:&quot;MENDELEY_CITATION_af7fef9a-d317-4d42-a115-17598536485b&quot;,&quot;properties&quot;:{&quot;noteIndex&quot;:0},&quot;isEdited&quot;:false,&quot;manualOverride&quot;:{&quot;isManuallyOverridden&quot;:false,&quot;citeprocText&quot;:&quot;(6)&quot;,&quot;manualOverrideText&quot;:&quot;&quot;},&quot;citationTag&quot;:&quot;MENDELEY_CITATION_v3_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l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IyIiwidm9sdW1lIjoiMyIsImNvbnRhaW5lci10aXRsZS1zaG9ydCI6IiJ9LCJpc1RlbXBvcmFyeSI6ZmFsc2V9XX0=&quot;,&quot;citationItems&quot;:[{&quot;id&quot;:&quot;e0cb7b6f-6c04-31a2-a7ab-3be10437eff8&quot;,&quot;itemData&quot;:{&quot;type&quot;:&quot;article-journal&quot;,&quot;id&quot;:&quot;e0cb7b6f-6c04-31a2-a7ab-3be10437eff8&quot;,&quot;title&quot;:&quot;PRODUCTIVITY OF PAKCOY (Brassica Rapa L.) WHICH CULTIVATED ORGANICALLY&quot;,&quot;author&quot;:[{&quot;family&quot;:&quot;Rahayu&quot;,&quot;given&quot;:&quot;Sri&quot;,&quot;parse-names&quot;:false,&quot;dropping-particle&quot;:&quot;&quot;,&quot;non-dropping-particle&quot;:&quot;&quot;},{&quot;family&quot;:&quot;Purwani&quot;,&quot;given&quot;:&quot;A. Tutik&quot;,&quot;parse-names&quot;:false,&quot;dropping-particle&quot;:&quot;&quot;,&quot;non-dropping-particle&quot;:&quot;&quot;}],&quot;container-title&quot;:&quot;Inovasi Penelitian&quot;,&quot;ISBN&quot;:&quot;9781119130536&quot;,&quot;issued&quot;:{&quot;date-parts&quot;:[[2022]]},&quot;page&quot;:&quot;5171-5176&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2&quot;,&quot;volume&quot;:&quot;3&quot;,&quot;container-title-short&quot;:&quot;&quot;},&quot;isTemporary&quot;:false}]},{&quot;citationID&quot;:&quot;MENDELEY_CITATION_1a989968-3bcc-4bd2-a0e0-21a5b274575a&quot;,&quot;properties&quot;:{&quot;noteIndex&quot;:0},&quot;isEdited&quot;:false,&quot;manualOverride&quot;:{&quot;isManuallyOverridden&quot;:false,&quot;citeprocText&quot;:&quot;(7)&quot;,&quot;manualOverrideText&quot;:&quot;&quot;},&quot;citationTag&quot;:&quot;MENDELEY_CITATION_v3_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&quot;,&quot;citationItems&quot;:[{&quot;id&quot;:&quot;ca612537-675e-3e21-bb4c-03be364a900b&quot;,&quot;itemData&quot;:{&quot;type&quot;:&quot;article-journal&quot;,&quot;id&quot;:&quot;ca612537-675e-3e21-bb4c-03be364a900b&quot;,&quot;title&quot;:&quot;ORGANIK CAIR LIMBAH TAHU TERHADAP PERTUMBUHAN TANAMAN SAWI PAKCOY ( Brassica rapa L .) SECARA HIDROPONIK SISTEM DFT ( DEEP FLOW TECHNIQUE ) SKRIPSI Diajukan Oleh : AYU ANNISA Mahasiswa Program Studi Biologi Fakultas Sains dan Teknologi UIN Ar-Raniry PROGR&quot;,&quot;author&quot;:[{&quot;family&quot;:&quot;ANNISA AYU&quot;,&quot;given&quot;:&quot;&quot;,&quot;parse-names&quot;:false,&quot;dropping-particle&quot;:&quot;&quot;,&quot;non-dropping-particle&quot;:&quot;&quot;}],&quot;issued&quot;:{&quot;date-parts&quot;:[[2023]]},&quot;container-title-short&quot;:&quot;&quot;},&quot;isTemporary&quot;:false}]},{&quot;citationID&quot;:&quot;MENDELEY_CITATION_36f2f19a-46a0-4ed7-874d-3740623de29f&quot;,&quot;properties&quot;:{&quot;noteIndex&quot;:0},&quot;isEdited&quot;:false,&quot;manualOverride&quot;:{&quot;isManuallyOverridden&quot;:false,&quot;citeprocText&quot;:&quot;(8)&quot;,&quot;manualOverrideText&quot;:&quot;&quot;},&quot;citationItems&quot;:[{&quot;id&quot;:&quot;983c7467-d5ea-3794-90fb-03707709c1b3&quot;,&quot;itemData&quot;:{&quot;type&quot;:&quot;article-journal&quot;,&quot;id&quot;:&quot;983c7467-d5ea-3794-90fb-03707709c1b3&quot;,&quot;title&quot;:&quot;Pertumbuhan Dan Produksi Bawang Merah (Allium Cepa L) Dengan Pemberian Mikroorganime Lokal (Mol) Feses Walet Pada Media Gambut&quot;,&quot;author&quot;:[{&quot;family&quot;:&quot;Nanda&quot;,&quot;given&quot;:&quot;Amelia&quot;,&quot;parse-names&quot;:false,&quot;dropping-particle&quot;:&quot;&quot;,&quot;non-dropping-particle&quot;:&quot;&quot;},{&quot;family&quot;:&quot;Sari&quot;,&quot;given&quot;:&quot;Intan&quot;,&quot;parse-names&quot;:false,&quot;dropping-particle&quot;:&quot;&quot;,&quot;non-dropping-particle&quot;:&quot;&quot;},{&quot;family&quot;:&quot;Yusuf&quot;,&quot;given&quot;:&quot;Elfi Yenny&quot;,&quot;parse-names&quot;:false,&quot;dropping-particle&quot;:&quot;&quot;,&quot;non-dropping-particle&quot;:&quot;&quot;}],&quot;container-title&quot;:&quot;Jurnal Agro Indragiri&quot;,&quot;issued&quot;:{&quot;date-parts&quot;:[[2022]]},&quot;page&quot;:&quot;22-34&quot;,&quot;abstract&quot;:&quot;… kotoran burung walet di atas, maka dapat di katakan bahwa kotoran burung walet mempunyai … ini dengan menggunakan MOL Feses Walet. Maka penulis memilih judul “Pertumbuhan …&quot;,&quot;issue&quot;:&quot;1&quot;,&quot;volume&quot;:&quot;9 (1)&quot;,&quot;container-title-short&quot;:&quot;&quot;},&quot;isTemporary&quot;:false}],&quot;citationTag&quot;:&quot;MENDELEY_CITATION_v3_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&quot;},{&quot;citationID&quot;:&quot;MENDELEY_CITATION_ed67bf68-cdf8-4bc5-b286-aca4ade97c3c&quot;,&quot;properties&quot;:{&quot;noteIndex&quot;:0},&quot;isEdited&quot;:false,&quot;manualOverride&quot;:{&quot;isManuallyOverridden&quot;:false,&quot;citeprocText&quot;:&quot;(9)&quot;,&quot;manualOverrideText&quot;:&quot;&quot;},&quot;citationItems&quot;:[{&quot;id&quot;:&quot;73081bc5-079a-3434-845a-ad47e2cc02ae&quot;,&quot;itemData&quot;:{&quot;type&quot;:&quot;article-journal&quot;,&quot;id&quot;:&quot;73081bc5-079a-3434-845a-ad47e2cc02ae&quot;,&quot;title&quot;:&quot;Pengaruh Pupuk Kasgot (Bekas Maggot) Magotsuka terhadap Tinggi, Jumlah Daun, Luas Permukaan Daun dan Bobot Basah Tanaman Sawi Hijau (Brassica rapa var. Parachinensis)&quot;,&quot;author&quot;:[{&quot;family&quot;:&quot;Fauzi&quot;,&quot;given&quot;:&quot;Muhammad -&quot;,&quot;parse-names&quot;:false,&quot;dropping-particle&quot;:&quot;&quot;,&quot;non-dropping-particle&quot;:&quot;&quot;},{&quot;family&quot;:&quot;M&quot;,&quot;given&quot;:&quot;Luhtfia Hastiani&quot;,&quot;parse-names&quot;:false,&quot;dropping-particle&quot;:&quot;&quot;,&quot;non-dropping-particle&quot;:&quot;&quot;},{&quot;family&quot;:&quot;Suhada R&quot;,&quot;given&quot;:&quot;Qori Atur&quot;,&quot;parse-names&quot;:false,&quot;dropping-particle&quot;:&quot;&quot;,&quot;non-dropping-particle&quot;:&quot;&quot;},{&quot;family&quot;:&quot;Hernahadini&quot;,&quot;given&quot;:&quot;Nelis&quot;,&quot;parse-names&quot;:false,&quot;dropping-particle&quot;:&quot;&quot;,&quot;non-dropping-particle&quot;:&quot;&quot;}],&quot;container-title&quot;:&quot;Agritrop : Jurnal Ilmu-Ilmu Pertanian (Journal of Agricultural Science)&quot;,&quot;DOI&quot;:&quot;10.32528/agritrop.v20i1.7324&quot;,&quot;ISSN&quot;:&quot;2502-0455&quot;,&quot;issued&quot;:{&quot;date-parts&quot;:[[2022]]},&quot;page&quot;:&quot;20-30&quot;,&quot;abstract&quot;:&quot;Pengolahan sampah organik dengan maggot lalat hitam (Black Soldier Fly) telah banyak diminati karena mem-iliki efesiensi penguraian sampah organik lebih tinggi dibandingkan dengan proses composting. Namun, teknologi hayati ini masih menyisakan limbah yang tidak dapat diurai oleh maggot pada sampah organik yang mengandung serat dan lig-nin tinggi yang tentunya masih dapat digunakan sebagai bahan organik untuk pemupukan tanaman yang disebut dengan pupuk bekas maggot (kasgot). Metode penelitian yang digunakan berupa Rancangan Acak Kelompok (RAK) Tunggal yang terdiri dari faktor kosentrasi pupuk kasgot yaitu: 0 gr /3 kg tanah (A) sebagai kontrol, 100 gr/3 kg tanah (B), 200 gr/kg tanah (C), 300 gr/3 kg tanah (D) dan 400 gr/3 kg tanah (E). Perlakuan diulang 3 kali sehingga didapatkan 15 unit percobaan. Hasil penelitian menunjukkan bahwa pemberian kasgot telah menunjukkan pengaruh sig-nifikan pada tinggi dan bobot basah sawi, namun tidak siginifikan pada jumlah dan luas daun sawi. Kasgot juga mengan-dung populasi bakteri dengan bakteri pelarut fosfat sebesar 5,8 x 107 dan bakteri pemfiksasi nitrogen sebesar 3,1 x 108. Dari hasil penelitian dapat disimpulkan bahwa penelitian yang diperoleh adalah pemberian kasgot 100 gr/3 kg tanah (B) memberikan hasil terbaik pada tinggi rata-rata sebesar 38 cm dan bobot basah rata-rata sawi sebesar 220 gr.&quot;,&quot;issue&quot;:&quot;1&quot;,&quot;volume&quot;:&quot;20&quot;,&quot;container-title-short&quot;:&quot;&quot;},&quot;isTemporary&quot;:false}],&quot;citationTag&quot;:&quot;MENDELEY_CITATION_v3_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&quot;},{&quot;citationID&quot;:&quot;MENDELEY_CITATION_2c40b9d3-8e37-4c4b-98f2-2303068ab379&quot;,&quot;properties&quot;:{&quot;noteIndex&quot;:0},&quot;isEdited&quot;:false,&quot;manualOverride&quot;:{&quot;isManuallyOverridden&quot;:false,&quot;citeprocText&quot;:&quot;(10)&quot;,&quot;manualOverrideText&quot;:&quot;&quot;},&quot;citationItems&quot;:[{&quot;id&quot;:&quot;565bba2e-b906-3180-9cdb-f7427a464f02&quot;,&quot;itemData&quot;:{&quot;type&quot;:&quot;article-journal&quot;,&quot;id&quot;:&quot;565bba2e-b906-3180-9cdb-f7427a464f02&quot;,&quot;title&quot;:&quot;Efektivitas Pemberian Nasi Basi Sebagai Pupuk Organik pada Tanaman Selada Merah (Lactuca sativa var. crispa)&quot;,&quot;author&quot;:[{&quot;family&quot;:&quot;Ria&quot;,&quot;given&quot;:&quot;Putri&quot;,&quot;parse-names&quot;:false,&quot;dropping-particle&quot;:&quot;&quot;,&quot;non-dropping-particle&quot;:&quot;&quot;},{&quot;family&quot;:&quot;Noer&quot;,&quot;given&quot;:&quot;Shafa&quot;,&quot;parse-names&quot;:false,&quot;dropping-particle&quot;:&quot;&quot;,&quot;non-dropping-particle&quot;:&quot;&quot;},{&quot;family&quot;:&quot;Marhento&quot;,&quot;given&quot;:&quot;Giry&quot;,&quot;parse-names&quot;:false,&quot;dropping-particle&quot;:&quot;&quot;,&quot;non-dropping-particle&quot;:&quot;&quot;}],&quot;container-title&quot;:&quot;EduBiologia: Biological Science and Education Journal&quot;,&quot;DOI&quot;:&quot;10.30998/edubiologia.v1i1.8088&quot;,&quot;issued&quot;:{&quot;date-parts&quot;:[[2021]]},&quot;page&quot;:&quot;55&quot;,&quot;abstract&quot;:&quot;… Pada saat pemberian pupuk organik cair nasi basi di sore hari, pengaruh distribusi stomata sangat berhubungan dengan kecepatan serta intensitas transpirasi pada daun. Pada batas tertentu, maka semakin banyak porinya maka semakin cepat penguapannya …&quot;,&quot;issue&quot;:&quot;1&quot;,&quot;volume&quot;:&quot;1&quot;,&quot;container-title-short&quot;:&quot;&quot;},&quot;isTemporary&quot;:false}],&quot;citationTag&quot;:&quot;MENDELEY_CITATION_v3_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&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E3D2B-081F-4268-B7ED-44443F97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14040</Words>
  <Characters>80030</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Uyun</dc:creator>
  <cp:keywords/>
  <dc:description/>
  <cp:lastModifiedBy>SDI 1084</cp:lastModifiedBy>
  <cp:revision>4</cp:revision>
  <dcterms:created xsi:type="dcterms:W3CDTF">2025-10-30T14:00:00Z</dcterms:created>
  <dcterms:modified xsi:type="dcterms:W3CDTF">2025-10-31T10:16:00Z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0886e700-074f-32ee-9520-370431972ec6</vt:lpwstr>
  </property>
  <property fmtid="{D5CDD505-2E9C-101B-9397-08002B2CF9AE}" pid="24" name="Mendeley Citation Style_1">
    <vt:lpwstr>http://www.zotero.org/styles/harvard1</vt:lpwstr>
  </property>
  <property fmtid="{D5CDD505-2E9C-101B-9397-08002B2CF9AE}" pid="25" name="GrammarlyDocumentId">
    <vt:lpwstr>1a11b13c-4836-4a3c-9ad8-1d4953a33e05</vt:lpwstr>
  </property>
</Properties>
</file>