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05DE0" w14:textId="1A79F4A2" w:rsidR="004C29C6" w:rsidRDefault="00693F62">
      <w:r w:rsidRPr="00693F62">
        <w:t>Systematic Review</w:t>
      </w:r>
    </w:p>
    <w:p w14:paraId="5606F17A" w14:textId="77777777" w:rsidR="00693F62" w:rsidRDefault="00693F62"/>
    <w:p w14:paraId="2B3E1861" w14:textId="77777777" w:rsidR="004C29C6" w:rsidRDefault="004C29C6"/>
    <w:p w14:paraId="083A13B3" w14:textId="77777777" w:rsidR="004C29C6" w:rsidRDefault="00800C25">
      <w:pPr>
        <w:jc w:val="right"/>
        <w:rPr>
          <w:rFonts w:ascii="Arial" w:hAnsi="Arial" w:cs="Arial"/>
          <w:b/>
          <w:bCs/>
          <w:sz w:val="36"/>
          <w:szCs w:val="36"/>
        </w:rPr>
      </w:pPr>
      <w:r>
        <w:rPr>
          <w:rFonts w:ascii="Arial" w:hAnsi="Arial" w:cs="Arial"/>
          <w:b/>
          <w:bCs/>
          <w:sz w:val="36"/>
          <w:szCs w:val="36"/>
        </w:rPr>
        <w:t>Comparative Analysis of Environmental and Occupational Health Hazards among Seaport Workers in Developing Countries: A Systematic Review</w:t>
      </w:r>
    </w:p>
    <w:p w14:paraId="2FC19234" w14:textId="77777777" w:rsidR="00693F62" w:rsidRDefault="00693F62">
      <w:pPr>
        <w:jc w:val="right"/>
        <w:rPr>
          <w:rFonts w:ascii="Arial" w:hAnsi="Arial" w:cs="Arial"/>
          <w:b/>
          <w:bCs/>
          <w:sz w:val="36"/>
          <w:szCs w:val="36"/>
        </w:rPr>
      </w:pPr>
    </w:p>
    <w:p w14:paraId="7E6C2D2D" w14:textId="77777777" w:rsidR="004C29C6" w:rsidRDefault="004C29C6">
      <w:pPr>
        <w:jc w:val="right"/>
      </w:pPr>
    </w:p>
    <w:p w14:paraId="170E263D" w14:textId="77777777" w:rsidR="004C29C6" w:rsidRDefault="004C29C6"/>
    <w:p w14:paraId="14DDB4A0" w14:textId="77777777" w:rsidR="004C29C6" w:rsidRDefault="00800C25">
      <w:pPr>
        <w:pStyle w:val="Copyright"/>
        <w:spacing w:after="0" w:line="240" w:lineRule="auto"/>
        <w:jc w:val="both"/>
        <w:rPr>
          <w:rFonts w:ascii="Arial" w:hAnsi="Arial" w:cs="Arial"/>
        </w:rPr>
      </w:pPr>
      <w:r>
        <w:rPr>
          <w:rFonts w:ascii="Arial" w:hAnsi="Arial" w:cs="Arial"/>
          <w:noProof/>
        </w:rPr>
        <mc:AlternateContent>
          <mc:Choice Requires="wps">
            <w:drawing>
              <wp:inline distT="0" distB="0" distL="114300" distR="114300" wp14:anchorId="1519D74C" wp14:editId="1B654412">
                <wp:extent cx="5303520" cy="0"/>
                <wp:effectExtent l="0" t="9525" r="11430" b="952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199375B"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" strokeweight="1.5pt">
                <w10:anchorlock/>
              </v:shape>
            </w:pict>
          </mc:Fallback>
        </mc:AlternateContent>
      </w:r>
    </w:p>
    <w:p w14:paraId="18671606" w14:textId="77777777" w:rsidR="004C29C6" w:rsidRDefault="004C29C6">
      <w:pPr>
        <w:pStyle w:val="Copyright"/>
        <w:spacing w:after="0" w:line="240" w:lineRule="auto"/>
        <w:jc w:val="both"/>
        <w:rPr>
          <w:rFonts w:ascii="Arial" w:hAnsi="Arial" w:cs="Arial"/>
        </w:rPr>
      </w:pPr>
    </w:p>
    <w:p w14:paraId="45C4AAFD" w14:textId="77777777" w:rsidR="004C29C6" w:rsidRDefault="004C29C6">
      <w:pPr>
        <w:pStyle w:val="Copyright"/>
        <w:spacing w:after="0" w:line="240" w:lineRule="auto"/>
        <w:jc w:val="both"/>
        <w:rPr>
          <w:rFonts w:ascii="Arial" w:hAnsi="Arial" w:cs="Arial"/>
        </w:rPr>
      </w:pPr>
    </w:p>
    <w:p w14:paraId="24E07857" w14:textId="77777777" w:rsidR="004C29C6" w:rsidRDefault="004C29C6">
      <w:pPr>
        <w:pStyle w:val="Copyright"/>
        <w:spacing w:after="0" w:line="240" w:lineRule="auto"/>
        <w:jc w:val="both"/>
        <w:rPr>
          <w:rFonts w:ascii="Arial" w:hAnsi="Arial" w:cs="Arial"/>
        </w:rPr>
      </w:pPr>
    </w:p>
    <w:p w14:paraId="52755F92" w14:textId="77777777" w:rsidR="004C29C6" w:rsidRDefault="00800C25">
      <w:pPr>
        <w:pStyle w:val="Copyright"/>
        <w:spacing w:after="0" w:line="240" w:lineRule="auto"/>
        <w:rPr>
          <w:rFonts w:ascii="Arial" w:hAnsi="Arial" w:cs="Arial"/>
        </w:rPr>
      </w:pPr>
      <w:r>
        <w:rPr>
          <w:rFonts w:ascii="Arial" w:hAnsi="Arial" w:cs="Arial"/>
          <w:b/>
          <w:bCs/>
          <w:sz w:val="22"/>
          <w:szCs w:val="22"/>
        </w:rPr>
        <w:t>ABSTRACT</w:t>
      </w:r>
      <w:r>
        <w:rPr>
          <w:rFonts w:ascii="Arial" w:hAnsi="Arial" w:cs="Arial"/>
        </w:rPr>
        <w:t xml:space="preserve"> </w:t>
      </w:r>
    </w:p>
    <w:p w14:paraId="7BE04631" w14:textId="77777777" w:rsidR="004C29C6" w:rsidRDefault="004C29C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22"/>
      </w:tblGrid>
      <w:tr w:rsidR="004C29C6" w14:paraId="7266571F" w14:textId="77777777">
        <w:tc>
          <w:tcPr>
            <w:tcW w:w="9576" w:type="dxa"/>
            <w:shd w:val="clear" w:color="auto" w:fill="F2F2F2"/>
          </w:tcPr>
          <w:p w14:paraId="65F1C40E" w14:textId="77777777" w:rsidR="004C29C6" w:rsidRDefault="00800C25">
            <w:pPr>
              <w:pStyle w:val="NormalWeb"/>
              <w:jc w:val="both"/>
              <w:rPr>
                <w:rFonts w:ascii="Arial" w:hAnsi="Arial" w:cs="Arial"/>
                <w:sz w:val="20"/>
                <w:szCs w:val="20"/>
              </w:rPr>
            </w:pPr>
            <w:r>
              <w:rPr>
                <w:rStyle w:val="Strong"/>
                <w:rFonts w:ascii="Arial" w:hAnsi="Arial" w:cs="Arial"/>
                <w:sz w:val="20"/>
                <w:szCs w:val="20"/>
              </w:rPr>
              <w:t>Aims:</w:t>
            </w:r>
            <w:r>
              <w:rPr>
                <w:rFonts w:ascii="Arial" w:hAnsi="Arial" w:cs="Arial"/>
                <w:sz w:val="20"/>
                <w:szCs w:val="20"/>
              </w:rPr>
              <w:t xml:space="preserve"> This study systematically reviews and compares the prevalence, determinants, and impacts of environmental and occupational health hazards among seaport workers in developing countries, highlighting variations across regions.</w:t>
            </w:r>
          </w:p>
          <w:p w14:paraId="06FB297A" w14:textId="77777777" w:rsidR="004C29C6" w:rsidRDefault="00800C25">
            <w:pPr>
              <w:pStyle w:val="NormalWeb"/>
              <w:jc w:val="both"/>
              <w:rPr>
                <w:rFonts w:ascii="Arial" w:hAnsi="Arial" w:cs="Arial"/>
                <w:sz w:val="20"/>
                <w:szCs w:val="20"/>
              </w:rPr>
            </w:pPr>
            <w:r>
              <w:rPr>
                <w:rStyle w:val="Strong"/>
                <w:rFonts w:ascii="Arial" w:hAnsi="Arial" w:cs="Arial"/>
                <w:sz w:val="20"/>
                <w:szCs w:val="20"/>
              </w:rPr>
              <w:t>Study Design:</w:t>
            </w:r>
            <w:r>
              <w:rPr>
                <w:rFonts w:ascii="Arial" w:hAnsi="Arial" w:cs="Arial"/>
                <w:sz w:val="20"/>
                <w:szCs w:val="20"/>
              </w:rPr>
              <w:t xml:space="preserve"> Systematic revie</w:t>
            </w:r>
            <w:r>
              <w:rPr>
                <w:rFonts w:ascii="Arial" w:hAnsi="Arial" w:cs="Arial"/>
                <w:sz w:val="20"/>
                <w:szCs w:val="20"/>
              </w:rPr>
              <w:t>w.</w:t>
            </w:r>
          </w:p>
          <w:p w14:paraId="6C72DF5F" w14:textId="77777777" w:rsidR="004C29C6" w:rsidRDefault="00800C25">
            <w:pPr>
              <w:pStyle w:val="NormalWeb"/>
              <w:jc w:val="both"/>
              <w:rPr>
                <w:rFonts w:ascii="Arial" w:hAnsi="Arial" w:cs="Arial"/>
                <w:sz w:val="20"/>
                <w:szCs w:val="20"/>
              </w:rPr>
            </w:pPr>
            <w:r>
              <w:rPr>
                <w:rStyle w:val="Strong"/>
                <w:rFonts w:ascii="Arial" w:hAnsi="Arial" w:cs="Arial"/>
                <w:sz w:val="20"/>
                <w:szCs w:val="20"/>
              </w:rPr>
              <w:t>Methodology:</w:t>
            </w:r>
            <w:r>
              <w:rPr>
                <w:rFonts w:ascii="Arial" w:hAnsi="Arial" w:cs="Arial"/>
                <w:sz w:val="20"/>
                <w:szCs w:val="20"/>
              </w:rPr>
              <w:t xml:space="preserve"> A comprehensive literature search was conducted across PubMed, Scopus, Web of Science, and African Journals Online (AJOL) for studies published between January 2010 and June 2025. Search terms combined </w:t>
            </w:r>
            <w:r>
              <w:rPr>
                <w:rStyle w:val="Emphasis"/>
                <w:rFonts w:ascii="Arial" w:hAnsi="Arial" w:cs="Arial"/>
                <w:sz w:val="20"/>
                <w:szCs w:val="20"/>
              </w:rPr>
              <w:t>seaport workers</w:t>
            </w:r>
            <w:r>
              <w:rPr>
                <w:rFonts w:ascii="Arial" w:hAnsi="Arial" w:cs="Arial"/>
                <w:sz w:val="20"/>
                <w:szCs w:val="20"/>
              </w:rPr>
              <w:t xml:space="preserve">, </w:t>
            </w:r>
            <w:r>
              <w:rPr>
                <w:rStyle w:val="Emphasis"/>
                <w:rFonts w:ascii="Arial" w:hAnsi="Arial" w:cs="Arial"/>
                <w:sz w:val="20"/>
                <w:szCs w:val="20"/>
              </w:rPr>
              <w:t>occupational hazards</w:t>
            </w:r>
            <w:r>
              <w:rPr>
                <w:rFonts w:ascii="Arial" w:hAnsi="Arial" w:cs="Arial"/>
                <w:sz w:val="20"/>
                <w:szCs w:val="20"/>
              </w:rPr>
              <w:t>,</w:t>
            </w:r>
            <w:r>
              <w:rPr>
                <w:rFonts w:ascii="Arial" w:hAnsi="Arial" w:cs="Arial"/>
                <w:sz w:val="20"/>
                <w:szCs w:val="20"/>
              </w:rPr>
              <w:t xml:space="preserve"> </w:t>
            </w:r>
            <w:r>
              <w:rPr>
                <w:rStyle w:val="Emphasis"/>
                <w:rFonts w:ascii="Arial" w:hAnsi="Arial" w:cs="Arial"/>
                <w:sz w:val="20"/>
                <w:szCs w:val="20"/>
              </w:rPr>
              <w:t>environmental pollution</w:t>
            </w:r>
            <w:r>
              <w:rPr>
                <w:rFonts w:ascii="Arial" w:hAnsi="Arial" w:cs="Arial"/>
                <w:sz w:val="20"/>
                <w:szCs w:val="20"/>
              </w:rPr>
              <w:t xml:space="preserve">, and </w:t>
            </w:r>
            <w:r>
              <w:rPr>
                <w:rStyle w:val="Emphasis"/>
                <w:rFonts w:ascii="Arial" w:hAnsi="Arial" w:cs="Arial"/>
                <w:sz w:val="20"/>
                <w:szCs w:val="20"/>
              </w:rPr>
              <w:t>health outcomes</w:t>
            </w:r>
            <w:r>
              <w:rPr>
                <w:rFonts w:ascii="Arial" w:hAnsi="Arial" w:cs="Arial"/>
                <w:sz w:val="20"/>
                <w:szCs w:val="20"/>
              </w:rPr>
              <w:t>. Eligible studies focused on noise, air, or water pollution exposure, workplace injuries, or occupational diseases among port workers. Data were extracted and synthesized using PRISMA guidelines.</w:t>
            </w:r>
          </w:p>
          <w:p w14:paraId="0DF0263E" w14:textId="77777777" w:rsidR="004C29C6" w:rsidRDefault="00800C25">
            <w:pPr>
              <w:pStyle w:val="NormalWeb"/>
              <w:jc w:val="both"/>
              <w:rPr>
                <w:rFonts w:ascii="Arial" w:hAnsi="Arial" w:cs="Arial"/>
                <w:sz w:val="20"/>
                <w:szCs w:val="20"/>
              </w:rPr>
            </w:pPr>
            <w:r>
              <w:rPr>
                <w:rStyle w:val="Strong"/>
                <w:rFonts w:ascii="Arial" w:hAnsi="Arial" w:cs="Arial"/>
                <w:sz w:val="20"/>
                <w:szCs w:val="20"/>
              </w:rPr>
              <w:t>Results:</w:t>
            </w:r>
            <w:r>
              <w:rPr>
                <w:rFonts w:ascii="Arial" w:hAnsi="Arial" w:cs="Arial"/>
                <w:sz w:val="20"/>
                <w:szCs w:val="20"/>
              </w:rPr>
              <w:t xml:space="preserve"> Twenty-eight studies met inclusion criteria from Africa, Asia, and Latin America. Reported noise levels ranged from 85 to 110 dB(A), while ambient PM</w:t>
            </w:r>
            <w:proofErr w:type="gramStart"/>
            <w:r>
              <w:rPr>
                <w:rFonts w:ascii="Arial" w:hAnsi="Arial" w:cs="Arial"/>
                <w:sz w:val="20"/>
                <w:szCs w:val="20"/>
              </w:rPr>
              <w:t>₂.₅</w:t>
            </w:r>
            <w:proofErr w:type="gramEnd"/>
            <w:r>
              <w:rPr>
                <w:rFonts w:ascii="Arial" w:hAnsi="Arial" w:cs="Arial"/>
                <w:sz w:val="20"/>
                <w:szCs w:val="20"/>
              </w:rPr>
              <w:t xml:space="preserve"> concentrations in port areas exceeded WHO limits in over 60 % of studies. Respiratory disorders, heari</w:t>
            </w:r>
            <w:r>
              <w:rPr>
                <w:rFonts w:ascii="Arial" w:hAnsi="Arial" w:cs="Arial"/>
                <w:sz w:val="20"/>
                <w:szCs w:val="20"/>
              </w:rPr>
              <w:t>ng loss, and musculoskeletal injuries were most prevalent. Comparative findings showed higher respiratory morbidity in Asian ports and more frequent injuries in African ports, linked to weak safety enforcement and limited protective equipment.</w:t>
            </w:r>
          </w:p>
          <w:p w14:paraId="50F7CD33" w14:textId="77777777" w:rsidR="004C29C6" w:rsidRDefault="00800C25">
            <w:pPr>
              <w:pStyle w:val="NormalWeb"/>
              <w:jc w:val="both"/>
              <w:rPr>
                <w:rFonts w:ascii="Arial" w:hAnsi="Arial" w:cs="Arial"/>
                <w:sz w:val="20"/>
                <w:szCs w:val="20"/>
              </w:rPr>
            </w:pPr>
            <w:r>
              <w:rPr>
                <w:rStyle w:val="Strong"/>
                <w:rFonts w:ascii="Arial" w:hAnsi="Arial" w:cs="Arial"/>
                <w:sz w:val="20"/>
                <w:szCs w:val="20"/>
              </w:rPr>
              <w:t>Conclusion:</w:t>
            </w:r>
            <w:r>
              <w:rPr>
                <w:rFonts w:ascii="Arial" w:hAnsi="Arial" w:cs="Arial"/>
                <w:sz w:val="20"/>
                <w:szCs w:val="20"/>
              </w:rPr>
              <w:t xml:space="preserve"> </w:t>
            </w:r>
            <w:r>
              <w:rPr>
                <w:rFonts w:ascii="Arial" w:hAnsi="Arial" w:cs="Arial"/>
                <w:sz w:val="20"/>
                <w:szCs w:val="20"/>
              </w:rPr>
              <w:t>Environmental and occupational hazards remain critical public-health challenges for seaport workers in developing regions. Strengthening occupational-safety policies, periodic health surveillance, and port-area environmental monitoring is essential to safe</w:t>
            </w:r>
            <w:r>
              <w:rPr>
                <w:rFonts w:ascii="Arial" w:hAnsi="Arial" w:cs="Arial"/>
                <w:sz w:val="20"/>
                <w:szCs w:val="20"/>
              </w:rPr>
              <w:t>guard maritime workers’ health.</w:t>
            </w:r>
          </w:p>
          <w:p w14:paraId="4D87EB9A" w14:textId="77777777" w:rsidR="004C29C6" w:rsidRDefault="004C29C6">
            <w:pPr>
              <w:pStyle w:val="Body"/>
              <w:spacing w:after="0"/>
              <w:rPr>
                <w:rFonts w:ascii="Arial" w:eastAsia="Calibri" w:hAnsi="Arial" w:cs="Arial"/>
                <w:szCs w:val="22"/>
              </w:rPr>
            </w:pPr>
          </w:p>
        </w:tc>
      </w:tr>
    </w:tbl>
    <w:p w14:paraId="5B293AD8" w14:textId="77777777" w:rsidR="004C29C6" w:rsidRDefault="004C29C6"/>
    <w:p w14:paraId="57C3509A" w14:textId="77777777" w:rsidR="004C29C6" w:rsidRDefault="00800C25">
      <w:pPr>
        <w:pStyle w:val="NormalWeb"/>
        <w:jc w:val="both"/>
        <w:rPr>
          <w:rFonts w:ascii="Arial" w:hAnsi="Arial" w:cs="Arial"/>
          <w:sz w:val="20"/>
          <w:szCs w:val="20"/>
        </w:rPr>
      </w:pPr>
      <w:r>
        <w:rPr>
          <w:rStyle w:val="Strong"/>
          <w:rFonts w:ascii="Arial" w:hAnsi="Arial" w:cs="Arial"/>
          <w:sz w:val="20"/>
          <w:szCs w:val="20"/>
        </w:rPr>
        <w:t>Keywords:</w:t>
      </w:r>
      <w:r>
        <w:rPr>
          <w:rFonts w:ascii="Arial" w:hAnsi="Arial" w:cs="Arial"/>
          <w:sz w:val="20"/>
          <w:szCs w:val="20"/>
        </w:rPr>
        <w:t xml:space="preserve"> Seaport workers, occupational health, environmental hazards, developing countries, comparative review.</w:t>
      </w:r>
    </w:p>
    <w:p w14:paraId="7AF7FF81" w14:textId="77777777" w:rsidR="004C29C6" w:rsidRDefault="004C29C6">
      <w:pPr>
        <w:pStyle w:val="NormalWeb"/>
        <w:jc w:val="both"/>
        <w:rPr>
          <w:rFonts w:ascii="Arial" w:hAnsi="Arial" w:cs="Arial"/>
          <w:sz w:val="20"/>
          <w:szCs w:val="20"/>
        </w:rPr>
      </w:pPr>
    </w:p>
    <w:p w14:paraId="1711F6B8" w14:textId="77777777" w:rsidR="004C29C6" w:rsidRDefault="004C29C6">
      <w:pPr>
        <w:pStyle w:val="NormalWeb"/>
        <w:jc w:val="both"/>
        <w:rPr>
          <w:rFonts w:ascii="Arial" w:hAnsi="Arial" w:cs="Arial"/>
          <w:sz w:val="20"/>
          <w:szCs w:val="20"/>
        </w:rPr>
      </w:pPr>
    </w:p>
    <w:p w14:paraId="2732B841" w14:textId="77777777" w:rsidR="004C29C6" w:rsidRDefault="004C29C6">
      <w:pPr>
        <w:pStyle w:val="NormalWeb"/>
        <w:jc w:val="both"/>
        <w:rPr>
          <w:rFonts w:ascii="Arial" w:hAnsi="Arial" w:cs="Arial"/>
          <w:sz w:val="20"/>
          <w:szCs w:val="20"/>
        </w:rPr>
      </w:pPr>
    </w:p>
    <w:p w14:paraId="5FD34D0F" w14:textId="77777777" w:rsidR="004C29C6" w:rsidRDefault="004C29C6">
      <w:pPr>
        <w:pStyle w:val="NormalWeb"/>
        <w:jc w:val="both"/>
        <w:rPr>
          <w:rFonts w:ascii="Arial" w:hAnsi="Arial" w:cs="Arial"/>
          <w:sz w:val="20"/>
          <w:szCs w:val="20"/>
        </w:rPr>
      </w:pPr>
    </w:p>
    <w:p w14:paraId="4840222C" w14:textId="77777777" w:rsidR="004C29C6" w:rsidRDefault="004C29C6">
      <w:pPr>
        <w:pStyle w:val="NormalWeb"/>
        <w:jc w:val="both"/>
        <w:rPr>
          <w:rFonts w:ascii="Arial" w:hAnsi="Arial" w:cs="Arial"/>
          <w:sz w:val="20"/>
          <w:szCs w:val="20"/>
        </w:rPr>
      </w:pPr>
    </w:p>
    <w:p w14:paraId="5F6BD723" w14:textId="77777777" w:rsidR="004C29C6" w:rsidRDefault="004C29C6">
      <w:pPr>
        <w:pStyle w:val="NormalWeb"/>
        <w:jc w:val="both"/>
        <w:rPr>
          <w:rFonts w:ascii="Arial" w:hAnsi="Arial" w:cs="Arial"/>
          <w:sz w:val="20"/>
          <w:szCs w:val="20"/>
        </w:rPr>
      </w:pPr>
    </w:p>
    <w:p w14:paraId="47293BCC" w14:textId="77777777" w:rsidR="004C29C6" w:rsidRDefault="004C29C6">
      <w:pPr>
        <w:pStyle w:val="NormalWeb"/>
        <w:jc w:val="both"/>
        <w:rPr>
          <w:rFonts w:ascii="Arial" w:hAnsi="Arial" w:cs="Arial"/>
          <w:sz w:val="20"/>
          <w:szCs w:val="20"/>
        </w:rPr>
      </w:pPr>
    </w:p>
    <w:p w14:paraId="13E7D209" w14:textId="77777777" w:rsidR="004C29C6" w:rsidRDefault="004C29C6">
      <w:pPr>
        <w:pStyle w:val="NormalWeb"/>
        <w:jc w:val="both"/>
        <w:rPr>
          <w:rFonts w:ascii="Arial" w:hAnsi="Arial" w:cs="Arial"/>
          <w:sz w:val="20"/>
          <w:szCs w:val="20"/>
        </w:rPr>
      </w:pPr>
    </w:p>
    <w:p w14:paraId="3F715D57" w14:textId="5DDE956E" w:rsidR="004C29C6" w:rsidRDefault="004C29C6">
      <w:pPr>
        <w:pStyle w:val="NormalWeb"/>
        <w:jc w:val="both"/>
        <w:rPr>
          <w:rFonts w:ascii="Arial" w:hAnsi="Arial" w:cs="Arial"/>
          <w:sz w:val="20"/>
          <w:szCs w:val="20"/>
        </w:rPr>
      </w:pPr>
    </w:p>
    <w:p w14:paraId="3F178C9B" w14:textId="0579E284" w:rsidR="00FA112E" w:rsidRDefault="00FA112E">
      <w:pPr>
        <w:pStyle w:val="NormalWeb"/>
        <w:jc w:val="both"/>
        <w:rPr>
          <w:rFonts w:ascii="Arial" w:hAnsi="Arial" w:cs="Arial"/>
          <w:sz w:val="20"/>
          <w:szCs w:val="20"/>
        </w:rPr>
      </w:pPr>
    </w:p>
    <w:p w14:paraId="2FF38B04" w14:textId="2D28E09C" w:rsidR="00FA112E" w:rsidRDefault="00FA112E">
      <w:pPr>
        <w:pStyle w:val="NormalWeb"/>
        <w:jc w:val="both"/>
        <w:rPr>
          <w:rFonts w:ascii="Arial" w:hAnsi="Arial" w:cs="Arial"/>
          <w:sz w:val="20"/>
          <w:szCs w:val="20"/>
        </w:rPr>
      </w:pPr>
    </w:p>
    <w:p w14:paraId="143D9771" w14:textId="19E78A91" w:rsidR="00FA112E" w:rsidRDefault="00FA112E">
      <w:pPr>
        <w:pStyle w:val="NormalWeb"/>
        <w:jc w:val="both"/>
        <w:rPr>
          <w:rFonts w:ascii="Arial" w:hAnsi="Arial" w:cs="Arial"/>
          <w:sz w:val="20"/>
          <w:szCs w:val="20"/>
        </w:rPr>
      </w:pPr>
    </w:p>
    <w:p w14:paraId="62BB9F36" w14:textId="77777777" w:rsidR="00FA112E" w:rsidRDefault="00FA112E">
      <w:pPr>
        <w:pStyle w:val="NormalWeb"/>
        <w:jc w:val="both"/>
        <w:rPr>
          <w:rFonts w:ascii="Arial" w:hAnsi="Arial" w:cs="Arial"/>
          <w:sz w:val="20"/>
          <w:szCs w:val="20"/>
        </w:rPr>
      </w:pPr>
      <w:bookmarkStart w:id="0" w:name="_GoBack"/>
      <w:bookmarkEnd w:id="0"/>
    </w:p>
    <w:p w14:paraId="7B16A3AD" w14:textId="77777777" w:rsidR="004C29C6" w:rsidRDefault="004C29C6">
      <w:pPr>
        <w:pStyle w:val="NormalWeb"/>
        <w:jc w:val="both"/>
        <w:rPr>
          <w:rFonts w:ascii="Arial" w:hAnsi="Arial" w:cs="Arial"/>
          <w:sz w:val="20"/>
          <w:szCs w:val="20"/>
        </w:rPr>
      </w:pPr>
    </w:p>
    <w:p w14:paraId="2E921238" w14:textId="77777777" w:rsidR="004C29C6" w:rsidRDefault="004C29C6">
      <w:pPr>
        <w:pStyle w:val="NormalWeb"/>
        <w:jc w:val="both"/>
        <w:rPr>
          <w:rFonts w:ascii="Arial" w:hAnsi="Arial" w:cs="Arial"/>
          <w:sz w:val="20"/>
          <w:szCs w:val="20"/>
        </w:rPr>
      </w:pPr>
    </w:p>
    <w:p w14:paraId="34D1B740" w14:textId="77777777" w:rsidR="004C29C6" w:rsidRDefault="004C29C6">
      <w:pPr>
        <w:pStyle w:val="NormalWeb"/>
        <w:jc w:val="both"/>
        <w:rPr>
          <w:rFonts w:ascii="Arial" w:hAnsi="Arial" w:cs="Arial"/>
          <w:sz w:val="20"/>
          <w:szCs w:val="20"/>
        </w:rPr>
      </w:pPr>
    </w:p>
    <w:p w14:paraId="6C6FE1F9" w14:textId="77777777" w:rsidR="004C29C6" w:rsidRDefault="004C29C6">
      <w:pPr>
        <w:pStyle w:val="NormalWeb"/>
        <w:jc w:val="both"/>
        <w:rPr>
          <w:rFonts w:ascii="Arial" w:hAnsi="Arial" w:cs="Arial"/>
          <w:sz w:val="20"/>
          <w:szCs w:val="20"/>
        </w:rPr>
      </w:pPr>
    </w:p>
    <w:p w14:paraId="1B3CF17D" w14:textId="77777777" w:rsidR="004C29C6" w:rsidRDefault="004C29C6">
      <w:pPr>
        <w:pStyle w:val="NormalWeb"/>
        <w:jc w:val="both"/>
        <w:rPr>
          <w:rFonts w:ascii="Arial" w:hAnsi="Arial" w:cs="Arial"/>
          <w:sz w:val="20"/>
          <w:szCs w:val="20"/>
        </w:rPr>
      </w:pPr>
    </w:p>
    <w:p w14:paraId="0C090EC5" w14:textId="77777777" w:rsidR="004C29C6" w:rsidRDefault="00800C25">
      <w:pPr>
        <w:pStyle w:val="NormalWeb"/>
        <w:numPr>
          <w:ilvl w:val="0"/>
          <w:numId w:val="11"/>
        </w:numPr>
        <w:jc w:val="both"/>
        <w:rPr>
          <w:rFonts w:ascii="Arial" w:hAnsi="Arial" w:cs="Arial"/>
          <w:b/>
          <w:bCs/>
          <w:sz w:val="22"/>
          <w:szCs w:val="22"/>
        </w:rPr>
      </w:pPr>
      <w:r>
        <w:rPr>
          <w:rFonts w:ascii="Arial" w:hAnsi="Arial" w:cs="Arial"/>
          <w:b/>
          <w:bCs/>
          <w:sz w:val="22"/>
          <w:szCs w:val="22"/>
        </w:rPr>
        <w:t>INTRODUCTION</w:t>
      </w:r>
    </w:p>
    <w:p w14:paraId="5288648C" w14:textId="77777777" w:rsidR="004C29C6" w:rsidRDefault="004C29C6">
      <w:pPr>
        <w:pStyle w:val="NormalWeb"/>
        <w:jc w:val="both"/>
        <w:rPr>
          <w:rFonts w:ascii="Arial" w:hAnsi="Arial" w:cs="Arial"/>
          <w:sz w:val="20"/>
          <w:szCs w:val="20"/>
        </w:rPr>
      </w:pPr>
    </w:p>
    <w:p w14:paraId="5586258D" w14:textId="2580F910" w:rsidR="004C29C6" w:rsidRDefault="00800C25">
      <w:pPr>
        <w:pStyle w:val="NormalWeb"/>
        <w:jc w:val="both"/>
        <w:rPr>
          <w:rFonts w:ascii="Arial" w:hAnsi="Arial" w:cs="Arial"/>
          <w:sz w:val="20"/>
          <w:szCs w:val="20"/>
        </w:rPr>
      </w:pPr>
      <w:r>
        <w:rPr>
          <w:rFonts w:ascii="Arial" w:hAnsi="Arial" w:cs="Arial"/>
          <w:sz w:val="20"/>
          <w:szCs w:val="20"/>
        </w:rPr>
        <w:t>Seaports represent critical gateways for international trade, serving as dynamic</w:t>
      </w:r>
      <w:r>
        <w:rPr>
          <w:rFonts w:ascii="Arial" w:hAnsi="Arial" w:cs="Arial"/>
          <w:sz w:val="20"/>
          <w:szCs w:val="20"/>
        </w:rPr>
        <w:t xml:space="preserve"> centers of economic activity, transportation, and logistics across the world</w:t>
      </w:r>
      <w:r w:rsidR="003462EE">
        <w:rPr>
          <w:rFonts w:ascii="Arial" w:hAnsi="Arial" w:cs="Arial"/>
          <w:sz w:val="20"/>
          <w:szCs w:val="20"/>
        </w:rPr>
        <w:t xml:space="preserve"> </w:t>
      </w:r>
      <w:r w:rsidR="003462EE" w:rsidRPr="003462EE">
        <w:rPr>
          <w:rFonts w:ascii="Arial" w:hAnsi="Arial" w:cs="Arial"/>
          <w:sz w:val="20"/>
          <w:szCs w:val="20"/>
        </w:rPr>
        <w:t xml:space="preserve">(Moros-Daza </w:t>
      </w:r>
      <w:r w:rsidR="003462EE" w:rsidRPr="003462EE">
        <w:rPr>
          <w:rFonts w:ascii="Arial" w:hAnsi="Arial" w:cs="Arial"/>
          <w:i/>
          <w:iCs/>
          <w:sz w:val="20"/>
          <w:szCs w:val="20"/>
        </w:rPr>
        <w:t>et al</w:t>
      </w:r>
      <w:r w:rsidR="003462EE" w:rsidRPr="003462EE">
        <w:rPr>
          <w:rFonts w:ascii="Arial" w:hAnsi="Arial" w:cs="Arial"/>
          <w:sz w:val="20"/>
          <w:szCs w:val="20"/>
        </w:rPr>
        <w:t>., 2025</w:t>
      </w:r>
      <w:r w:rsidR="003462EE">
        <w:rPr>
          <w:rFonts w:ascii="Arial" w:hAnsi="Arial" w:cs="Arial"/>
          <w:sz w:val="20"/>
          <w:szCs w:val="20"/>
        </w:rPr>
        <w:t xml:space="preserve">; </w:t>
      </w:r>
      <w:r w:rsidR="003462EE" w:rsidRPr="003462EE">
        <w:rPr>
          <w:rFonts w:ascii="Arial" w:hAnsi="Arial" w:cs="Arial"/>
          <w:sz w:val="20"/>
          <w:szCs w:val="20"/>
        </w:rPr>
        <w:t>Sadiq et al., 2021</w:t>
      </w:r>
      <w:r w:rsidR="003462EE">
        <w:rPr>
          <w:rFonts w:ascii="Arial" w:hAnsi="Arial" w:cs="Arial"/>
          <w:sz w:val="20"/>
          <w:szCs w:val="20"/>
        </w:rPr>
        <w:t xml:space="preserve">; </w:t>
      </w:r>
      <w:proofErr w:type="spellStart"/>
      <w:r w:rsidR="003462EE" w:rsidRPr="003462EE">
        <w:rPr>
          <w:rFonts w:ascii="Arial" w:hAnsi="Arial" w:cs="Arial"/>
          <w:sz w:val="20"/>
          <w:szCs w:val="20"/>
        </w:rPr>
        <w:t>Kammoun</w:t>
      </w:r>
      <w:proofErr w:type="spellEnd"/>
      <w:r w:rsidR="003462EE" w:rsidRPr="003462EE">
        <w:rPr>
          <w:rFonts w:ascii="Arial" w:hAnsi="Arial" w:cs="Arial"/>
          <w:sz w:val="20"/>
          <w:szCs w:val="20"/>
        </w:rPr>
        <w:t xml:space="preserve"> &amp; </w:t>
      </w:r>
      <w:proofErr w:type="spellStart"/>
      <w:r w:rsidR="003462EE" w:rsidRPr="003462EE">
        <w:rPr>
          <w:rFonts w:ascii="Arial" w:hAnsi="Arial" w:cs="Arial"/>
          <w:sz w:val="20"/>
          <w:szCs w:val="20"/>
        </w:rPr>
        <w:t>Abdennadher</w:t>
      </w:r>
      <w:proofErr w:type="spellEnd"/>
      <w:r w:rsidR="003462EE" w:rsidRPr="003462EE">
        <w:rPr>
          <w:rFonts w:ascii="Arial" w:hAnsi="Arial" w:cs="Arial"/>
          <w:sz w:val="20"/>
          <w:szCs w:val="20"/>
        </w:rPr>
        <w:t>, 2022)</w:t>
      </w:r>
      <w:r>
        <w:rPr>
          <w:rFonts w:ascii="Arial" w:hAnsi="Arial" w:cs="Arial"/>
          <w:sz w:val="20"/>
          <w:szCs w:val="20"/>
        </w:rPr>
        <w:t xml:space="preserve">. As globalization intensifies, ports in developing countries have expanded rapidly to meet the growing </w:t>
      </w:r>
      <w:r>
        <w:rPr>
          <w:rFonts w:ascii="Arial" w:hAnsi="Arial" w:cs="Arial"/>
          <w:sz w:val="20"/>
          <w:szCs w:val="20"/>
        </w:rPr>
        <w:t xml:space="preserve">demand for import and export services. However, this expansion has also introduced serious public health and occupational safety concerns, particularly among the workforce directly engaged in port operations (ILO, 2021; World Bank, 2023). Seaport workers, </w:t>
      </w:r>
      <w:r>
        <w:rPr>
          <w:rFonts w:ascii="Arial" w:hAnsi="Arial" w:cs="Arial"/>
          <w:sz w:val="20"/>
          <w:szCs w:val="20"/>
        </w:rPr>
        <w:t>including dockers, crane operators, cargo handlers, and marine engineers, are routinely exposed to multiple environmental and occupational hazards that threaten their health, productivity, and overall wellbeing (Amponsah-Tawiah et al., 2020).</w:t>
      </w:r>
    </w:p>
    <w:p w14:paraId="165B7222" w14:textId="77777777" w:rsidR="004C29C6" w:rsidRDefault="004C29C6">
      <w:pPr>
        <w:pStyle w:val="NormalWeb"/>
        <w:jc w:val="both"/>
        <w:rPr>
          <w:rFonts w:ascii="Arial" w:hAnsi="Arial" w:cs="Arial"/>
          <w:sz w:val="20"/>
          <w:szCs w:val="20"/>
        </w:rPr>
      </w:pPr>
    </w:p>
    <w:p w14:paraId="4D364902" w14:textId="77777777" w:rsidR="004C29C6" w:rsidRDefault="00800C25">
      <w:pPr>
        <w:pStyle w:val="NormalWeb"/>
        <w:jc w:val="both"/>
        <w:rPr>
          <w:rFonts w:ascii="Arial" w:hAnsi="Arial" w:cs="Arial"/>
          <w:sz w:val="20"/>
          <w:szCs w:val="20"/>
        </w:rPr>
      </w:pPr>
      <w:r>
        <w:rPr>
          <w:rFonts w:ascii="Arial" w:hAnsi="Arial" w:cs="Arial"/>
          <w:sz w:val="20"/>
          <w:szCs w:val="20"/>
        </w:rPr>
        <w:t>Environmental and occupational hazards at ports are multifaceted and often interlinked. They include exposure to high levels of noise, air and water pollution, heavy metals, diesel exhaust, ergonomic strain, vibration, and extreme weather conditions (Ogund</w:t>
      </w:r>
      <w:r>
        <w:rPr>
          <w:rFonts w:ascii="Arial" w:hAnsi="Arial" w:cs="Arial"/>
          <w:sz w:val="20"/>
          <w:szCs w:val="20"/>
        </w:rPr>
        <w:t>ele et al., 2022; Eze et al., 2023). The combination of industrial emissions, vessel traffic, cargo-handling machinery, and proximity to oil and gas facilities creates an ecosystem that predisposes workers to both acute and chronic illnesses (Agyekum et al</w:t>
      </w:r>
      <w:r>
        <w:rPr>
          <w:rFonts w:ascii="Arial" w:hAnsi="Arial" w:cs="Arial"/>
          <w:sz w:val="20"/>
          <w:szCs w:val="20"/>
        </w:rPr>
        <w:t>., 2020). Moreover, inadequate safety measures, insufficient use of personal protective equipment (PPE), and limited access to occupational health services exacerbate workers’ vulnerability in low- and middle-income countries (LMICs) (ILO, 2021).</w:t>
      </w:r>
    </w:p>
    <w:p w14:paraId="369BB695" w14:textId="77777777" w:rsidR="004C29C6" w:rsidRDefault="004C29C6">
      <w:pPr>
        <w:pStyle w:val="NormalWeb"/>
        <w:jc w:val="both"/>
        <w:rPr>
          <w:rFonts w:ascii="Arial" w:hAnsi="Arial" w:cs="Arial"/>
          <w:sz w:val="20"/>
          <w:szCs w:val="20"/>
        </w:rPr>
      </w:pPr>
    </w:p>
    <w:p w14:paraId="0EB83857" w14:textId="683C0D6E" w:rsidR="004C29C6" w:rsidRDefault="00800C25">
      <w:pPr>
        <w:pStyle w:val="NormalWeb"/>
        <w:jc w:val="both"/>
        <w:rPr>
          <w:rFonts w:ascii="Arial" w:hAnsi="Arial" w:cs="Arial"/>
          <w:sz w:val="20"/>
          <w:szCs w:val="20"/>
        </w:rPr>
      </w:pPr>
      <w:r>
        <w:rPr>
          <w:rFonts w:ascii="Arial" w:hAnsi="Arial" w:cs="Arial"/>
          <w:sz w:val="20"/>
          <w:szCs w:val="20"/>
        </w:rPr>
        <w:t>Globally</w:t>
      </w:r>
      <w:r>
        <w:rPr>
          <w:rFonts w:ascii="Arial" w:hAnsi="Arial" w:cs="Arial"/>
          <w:sz w:val="20"/>
          <w:szCs w:val="20"/>
        </w:rPr>
        <w:t>, maritime and port industries are recognized as high-risk occupational sectors</w:t>
      </w:r>
      <w:r w:rsidR="003462EE">
        <w:rPr>
          <w:rFonts w:ascii="Arial" w:hAnsi="Arial" w:cs="Arial"/>
          <w:sz w:val="20"/>
          <w:szCs w:val="20"/>
        </w:rPr>
        <w:t xml:space="preserve"> </w:t>
      </w:r>
      <w:r w:rsidR="003462EE" w:rsidRPr="003462EE">
        <w:rPr>
          <w:rFonts w:ascii="Arial" w:hAnsi="Arial" w:cs="Arial"/>
          <w:sz w:val="20"/>
          <w:szCs w:val="20"/>
        </w:rPr>
        <w:t>(Monteiro et al., 2021</w:t>
      </w:r>
      <w:r w:rsidR="003462EE">
        <w:rPr>
          <w:rFonts w:ascii="Arial" w:hAnsi="Arial" w:cs="Arial"/>
          <w:sz w:val="20"/>
          <w:szCs w:val="20"/>
        </w:rPr>
        <w:t xml:space="preserve">; </w:t>
      </w:r>
      <w:r w:rsidR="003462EE" w:rsidRPr="003462EE">
        <w:rPr>
          <w:rFonts w:ascii="Arial" w:hAnsi="Arial" w:cs="Arial"/>
          <w:sz w:val="20"/>
          <w:szCs w:val="20"/>
        </w:rPr>
        <w:t>Diniz et al., 2024</w:t>
      </w:r>
      <w:r w:rsidR="003462EE">
        <w:rPr>
          <w:rFonts w:ascii="Arial" w:hAnsi="Arial" w:cs="Arial"/>
          <w:sz w:val="20"/>
          <w:szCs w:val="20"/>
        </w:rPr>
        <w:t xml:space="preserve">; </w:t>
      </w:r>
      <w:proofErr w:type="spellStart"/>
      <w:r w:rsidR="003462EE" w:rsidRPr="003462EE">
        <w:rPr>
          <w:rFonts w:ascii="Arial" w:hAnsi="Arial" w:cs="Arial"/>
          <w:sz w:val="20"/>
          <w:szCs w:val="20"/>
        </w:rPr>
        <w:t>Alamoush</w:t>
      </w:r>
      <w:proofErr w:type="spellEnd"/>
      <w:r w:rsidR="003462EE" w:rsidRPr="003462EE">
        <w:rPr>
          <w:rFonts w:ascii="Arial" w:hAnsi="Arial" w:cs="Arial"/>
          <w:sz w:val="20"/>
          <w:szCs w:val="20"/>
        </w:rPr>
        <w:t xml:space="preserve"> et al., 2022)</w:t>
      </w:r>
      <w:r>
        <w:rPr>
          <w:rFonts w:ascii="Arial" w:hAnsi="Arial" w:cs="Arial"/>
          <w:sz w:val="20"/>
          <w:szCs w:val="20"/>
        </w:rPr>
        <w:t xml:space="preserve">. The International </w:t>
      </w:r>
      <w:proofErr w:type="spellStart"/>
      <w:r>
        <w:rPr>
          <w:rFonts w:ascii="Arial" w:hAnsi="Arial" w:cs="Arial"/>
          <w:sz w:val="20"/>
          <w:szCs w:val="20"/>
        </w:rPr>
        <w:t>Labour</w:t>
      </w:r>
      <w:proofErr w:type="spellEnd"/>
      <w:r>
        <w:rPr>
          <w:rFonts w:ascii="Arial" w:hAnsi="Arial" w:cs="Arial"/>
          <w:sz w:val="20"/>
          <w:szCs w:val="20"/>
        </w:rPr>
        <w:t xml:space="preserve"> Organization (ILO) estimates that nearly 2.3 million workers die annually from work</w:t>
      </w:r>
      <w:r>
        <w:rPr>
          <w:rFonts w:ascii="Arial" w:hAnsi="Arial" w:cs="Arial"/>
          <w:sz w:val="20"/>
          <w:szCs w:val="20"/>
        </w:rPr>
        <w:t>-related injuries and diseases, with port and maritime sectors contributing a significant proportion due to their physically demanding and hazardous nature (ILO, 2021). In developed nations, stringent safety standards, enforcement mechanisms, and technolog</w:t>
      </w:r>
      <w:r>
        <w:rPr>
          <w:rFonts w:ascii="Arial" w:hAnsi="Arial" w:cs="Arial"/>
          <w:sz w:val="20"/>
          <w:szCs w:val="20"/>
        </w:rPr>
        <w:t>ical innovations have helped reduce accident rates. Conversely, developing countries often struggle with weak regulatory frameworks, inadequate port infrastructure, and limited occupational health surveillance, leading to higher rates of work-related injur</w:t>
      </w:r>
      <w:r>
        <w:rPr>
          <w:rFonts w:ascii="Arial" w:hAnsi="Arial" w:cs="Arial"/>
          <w:sz w:val="20"/>
          <w:szCs w:val="20"/>
        </w:rPr>
        <w:t>ies and environmental exposure (Akinwale &amp; Olusanya, 2020).</w:t>
      </w:r>
    </w:p>
    <w:p w14:paraId="4C561CA6" w14:textId="77777777" w:rsidR="004C29C6" w:rsidRDefault="004C29C6">
      <w:pPr>
        <w:pStyle w:val="NormalWeb"/>
        <w:jc w:val="both"/>
        <w:rPr>
          <w:rFonts w:ascii="Arial" w:hAnsi="Arial" w:cs="Arial"/>
          <w:sz w:val="20"/>
          <w:szCs w:val="20"/>
        </w:rPr>
      </w:pPr>
    </w:p>
    <w:p w14:paraId="1E95EB3E" w14:textId="77777777" w:rsidR="004C29C6" w:rsidRDefault="00800C25">
      <w:pPr>
        <w:pStyle w:val="NormalWeb"/>
        <w:jc w:val="both"/>
        <w:rPr>
          <w:rFonts w:ascii="Arial" w:hAnsi="Arial" w:cs="Arial"/>
          <w:sz w:val="20"/>
          <w:szCs w:val="20"/>
        </w:rPr>
      </w:pPr>
      <w:r>
        <w:rPr>
          <w:rFonts w:ascii="Arial" w:hAnsi="Arial" w:cs="Arial"/>
          <w:sz w:val="20"/>
          <w:szCs w:val="20"/>
        </w:rPr>
        <w:t>Environmental pollution represents a major health challenge for communities surrounding seaport zones in developing regions. Air quality assessments conducted in ports across Asia and Africa freq</w:t>
      </w:r>
      <w:r>
        <w:rPr>
          <w:rFonts w:ascii="Arial" w:hAnsi="Arial" w:cs="Arial"/>
          <w:sz w:val="20"/>
          <w:szCs w:val="20"/>
        </w:rPr>
        <w:t>uently reveal elevated concentrations of particulate matter (PM</w:t>
      </w:r>
      <w:proofErr w:type="gramStart"/>
      <w:r>
        <w:rPr>
          <w:rFonts w:ascii="Arial" w:hAnsi="Arial" w:cs="Arial"/>
          <w:sz w:val="20"/>
          <w:szCs w:val="20"/>
        </w:rPr>
        <w:t>₂.₅</w:t>
      </w:r>
      <w:proofErr w:type="gramEnd"/>
      <w:r>
        <w:rPr>
          <w:rFonts w:ascii="Arial" w:hAnsi="Arial" w:cs="Arial"/>
          <w:sz w:val="20"/>
          <w:szCs w:val="20"/>
        </w:rPr>
        <w:t xml:space="preserve"> and PM₁₀), sulfur oxides (SOₓ), nitrogen oxides (NOₓ), and volatile organic compounds (VOCs) originating from ship exhausts, cargo-handling equipment, and nearby industrial operations (Chen</w:t>
      </w:r>
      <w:r>
        <w:rPr>
          <w:rFonts w:ascii="Arial" w:hAnsi="Arial" w:cs="Arial"/>
          <w:sz w:val="20"/>
          <w:szCs w:val="20"/>
        </w:rPr>
        <w:t>g et al., 2019; Ansa et al., 2021). Prolonged exposure to these pollutants has been linked to respiratory illnesses, cardiovascular diseases, and other long-term health effects among workers and nearby residents (WHO, 2022). Similarly, the discharge of unt</w:t>
      </w:r>
      <w:r>
        <w:rPr>
          <w:rFonts w:ascii="Arial" w:hAnsi="Arial" w:cs="Arial"/>
          <w:sz w:val="20"/>
          <w:szCs w:val="20"/>
        </w:rPr>
        <w:t>reated wastewater, oil spills, and chemical effluents into port waters leads to environmental degradation and bioaccumulation of toxic substances, which pose additional occupational and ecological risks (Ekpenyong et al., 2020).</w:t>
      </w:r>
    </w:p>
    <w:p w14:paraId="786E6251" w14:textId="77777777" w:rsidR="004C29C6" w:rsidRDefault="004C29C6">
      <w:pPr>
        <w:pStyle w:val="NormalWeb"/>
        <w:jc w:val="both"/>
        <w:rPr>
          <w:rFonts w:ascii="Arial" w:hAnsi="Arial" w:cs="Arial"/>
          <w:sz w:val="20"/>
          <w:szCs w:val="20"/>
        </w:rPr>
      </w:pPr>
    </w:p>
    <w:p w14:paraId="3DBEB17D" w14:textId="77777777" w:rsidR="004C29C6" w:rsidRDefault="00800C25">
      <w:pPr>
        <w:pStyle w:val="NormalWeb"/>
        <w:jc w:val="both"/>
        <w:rPr>
          <w:rFonts w:ascii="Arial" w:hAnsi="Arial" w:cs="Arial"/>
          <w:sz w:val="20"/>
          <w:szCs w:val="20"/>
        </w:rPr>
      </w:pPr>
      <w:r>
        <w:rPr>
          <w:rFonts w:ascii="Arial" w:hAnsi="Arial" w:cs="Arial"/>
          <w:sz w:val="20"/>
          <w:szCs w:val="20"/>
        </w:rPr>
        <w:t>Noise pollution in seaport</w:t>
      </w:r>
      <w:r>
        <w:rPr>
          <w:rFonts w:ascii="Arial" w:hAnsi="Arial" w:cs="Arial"/>
          <w:sz w:val="20"/>
          <w:szCs w:val="20"/>
        </w:rPr>
        <w:t xml:space="preserve"> environments is another critical yet often overlooked hazard. Continuous exposure to high decibel levels generated by cargo cranes, trucks, and ship engines contributes to hearing loss, stress, sleep disturbances, and reduced concentration among workers (</w:t>
      </w:r>
      <w:r>
        <w:rPr>
          <w:rFonts w:ascii="Arial" w:hAnsi="Arial" w:cs="Arial"/>
          <w:sz w:val="20"/>
          <w:szCs w:val="20"/>
        </w:rPr>
        <w:t>Bello et al., 2020). Studies conducted in ports across Nigeria, India, and Indonesia reported average occupational noise levels between 85 and 110 dB(A), which far exceed the World Health Organization’s recommended limit of 75 dB(A) for industrial settings</w:t>
      </w:r>
      <w:r>
        <w:rPr>
          <w:rFonts w:ascii="Arial" w:hAnsi="Arial" w:cs="Arial"/>
          <w:sz w:val="20"/>
          <w:szCs w:val="20"/>
        </w:rPr>
        <w:t xml:space="preserve"> (WHO, 2022). The health implications of such exposure extend beyond hearing impairment, as chronic noise has been associated with elevated blood pressure, fatigue, and reduced job performance (Cheng et al., 2019).</w:t>
      </w:r>
    </w:p>
    <w:p w14:paraId="57ABF02F" w14:textId="77777777" w:rsidR="004C29C6" w:rsidRDefault="004C29C6">
      <w:pPr>
        <w:pStyle w:val="NormalWeb"/>
        <w:jc w:val="both"/>
        <w:rPr>
          <w:rFonts w:ascii="Arial" w:hAnsi="Arial" w:cs="Arial"/>
          <w:sz w:val="20"/>
          <w:szCs w:val="20"/>
        </w:rPr>
      </w:pPr>
    </w:p>
    <w:p w14:paraId="7A2A2ADD" w14:textId="77777777" w:rsidR="004C29C6" w:rsidRDefault="00800C25">
      <w:pPr>
        <w:pStyle w:val="NormalWeb"/>
        <w:jc w:val="both"/>
        <w:rPr>
          <w:rFonts w:ascii="Arial" w:hAnsi="Arial" w:cs="Arial"/>
          <w:sz w:val="20"/>
          <w:szCs w:val="20"/>
        </w:rPr>
      </w:pPr>
      <w:r>
        <w:rPr>
          <w:rFonts w:ascii="Arial" w:hAnsi="Arial" w:cs="Arial"/>
          <w:sz w:val="20"/>
          <w:szCs w:val="20"/>
        </w:rPr>
        <w:t>Occupational injuries remain a major pub</w:t>
      </w:r>
      <w:r>
        <w:rPr>
          <w:rFonts w:ascii="Arial" w:hAnsi="Arial" w:cs="Arial"/>
          <w:sz w:val="20"/>
          <w:szCs w:val="20"/>
        </w:rPr>
        <w:t xml:space="preserve">lic health concern among seaport workers. Common injuries include fractures, cuts, slips, falls, and musculoskeletal disorders resulting from heavy lifting and repetitive movements (Akinwale &amp; Olusanya, 2020; Amponsah-Tawiah et al., </w:t>
      </w:r>
      <w:r>
        <w:rPr>
          <w:rFonts w:ascii="Arial" w:hAnsi="Arial" w:cs="Arial"/>
          <w:sz w:val="20"/>
          <w:szCs w:val="20"/>
        </w:rPr>
        <w:lastRenderedPageBreak/>
        <w:t>2020). The risk is heig</w:t>
      </w:r>
      <w:r>
        <w:rPr>
          <w:rFonts w:ascii="Arial" w:hAnsi="Arial" w:cs="Arial"/>
          <w:sz w:val="20"/>
          <w:szCs w:val="20"/>
        </w:rPr>
        <w:t>htened by insufficient worker training, poor ergonomic design of equipment, and the absence of safety audits or emergency response systems (Eze et al., 2023). In developing countries, many port operations rely on manual labor rather than mechanized systems</w:t>
      </w:r>
      <w:r>
        <w:rPr>
          <w:rFonts w:ascii="Arial" w:hAnsi="Arial" w:cs="Arial"/>
          <w:sz w:val="20"/>
          <w:szCs w:val="20"/>
        </w:rPr>
        <w:t>, further increasing the risk of physical injuries (ILO, 2021). These injuries not only compromise worker health but also reduce operational efficiency and increase the economic burden of compensation claims and lost workdays.</w:t>
      </w:r>
    </w:p>
    <w:p w14:paraId="3EBB60CA" w14:textId="77777777" w:rsidR="004C29C6" w:rsidRDefault="004C29C6">
      <w:pPr>
        <w:pStyle w:val="NormalWeb"/>
        <w:jc w:val="both"/>
        <w:rPr>
          <w:rFonts w:ascii="Arial" w:hAnsi="Arial" w:cs="Arial"/>
          <w:sz w:val="20"/>
          <w:szCs w:val="20"/>
        </w:rPr>
      </w:pPr>
    </w:p>
    <w:p w14:paraId="357CECA4" w14:textId="77777777" w:rsidR="004C29C6" w:rsidRDefault="00800C25">
      <w:pPr>
        <w:pStyle w:val="NormalWeb"/>
        <w:jc w:val="both"/>
        <w:rPr>
          <w:rFonts w:ascii="Arial" w:hAnsi="Arial" w:cs="Arial"/>
          <w:sz w:val="20"/>
          <w:szCs w:val="20"/>
        </w:rPr>
      </w:pPr>
      <w:r>
        <w:rPr>
          <w:rFonts w:ascii="Arial" w:hAnsi="Arial" w:cs="Arial"/>
          <w:sz w:val="20"/>
          <w:szCs w:val="20"/>
        </w:rPr>
        <w:t>In addition to physical haza</w:t>
      </w:r>
      <w:r>
        <w:rPr>
          <w:rFonts w:ascii="Arial" w:hAnsi="Arial" w:cs="Arial"/>
          <w:sz w:val="20"/>
          <w:szCs w:val="20"/>
        </w:rPr>
        <w:t>rds, chemical exposure is an emerging issue in ports that handle petroleum, chemicals, and hazardous cargo. Workers may come into contact with carcinogenic agents such as benzene, lead, cadmium, and asbestos (Ekpenyong et al., 2020). Repeated exposure with</w:t>
      </w:r>
      <w:r>
        <w:rPr>
          <w:rFonts w:ascii="Arial" w:hAnsi="Arial" w:cs="Arial"/>
          <w:sz w:val="20"/>
          <w:szCs w:val="20"/>
        </w:rPr>
        <w:t>out adequate protection can lead to chronic conditions such as dermatitis, liver toxicity, renal dysfunction, and even cancer (WHO, 2022). Yet, studies indicate that environmental monitoring and hazard control systems remain poorly enforced in many LMIC po</w:t>
      </w:r>
      <w:r>
        <w:rPr>
          <w:rFonts w:ascii="Arial" w:hAnsi="Arial" w:cs="Arial"/>
          <w:sz w:val="20"/>
          <w:szCs w:val="20"/>
        </w:rPr>
        <w:t>rts, leaving workers and nearby populations at sustained risk (Agyekum et al., 2020).</w:t>
      </w:r>
    </w:p>
    <w:p w14:paraId="148F1F74" w14:textId="77777777" w:rsidR="004C29C6" w:rsidRDefault="00800C25">
      <w:pPr>
        <w:pStyle w:val="NormalWeb"/>
        <w:jc w:val="both"/>
        <w:rPr>
          <w:rFonts w:ascii="Arial" w:hAnsi="Arial" w:cs="Arial"/>
          <w:sz w:val="20"/>
          <w:szCs w:val="20"/>
        </w:rPr>
      </w:pPr>
      <w:r>
        <w:rPr>
          <w:rFonts w:ascii="Arial" w:hAnsi="Arial" w:cs="Arial"/>
          <w:sz w:val="20"/>
          <w:szCs w:val="20"/>
        </w:rPr>
        <w:t>The comparative burden of environmental and occupational hazards across regions shows significant disparities. In Asia, for instance, rapid industrialization and port mec</w:t>
      </w:r>
      <w:r>
        <w:rPr>
          <w:rFonts w:ascii="Arial" w:hAnsi="Arial" w:cs="Arial"/>
          <w:sz w:val="20"/>
          <w:szCs w:val="20"/>
        </w:rPr>
        <w:t>hanization have led to elevated air pollution and chemical hazards, while in African ports, poor enforcement of safety regulations and inadequate occupational health services contribute more to accident-related injuries (Ansa et al., 2021; Ogundele et al.,</w:t>
      </w:r>
      <w:r>
        <w:rPr>
          <w:rFonts w:ascii="Arial" w:hAnsi="Arial" w:cs="Arial"/>
          <w:sz w:val="20"/>
          <w:szCs w:val="20"/>
        </w:rPr>
        <w:t xml:space="preserve"> 2022). Latin American ports, meanwhile, face growing challenges related to informal employment and limited access to healthcare for dockworkers (ILO, 2021). These variations underscore the influence of economic development, regulatory maturity, and techno</w:t>
      </w:r>
      <w:r>
        <w:rPr>
          <w:rFonts w:ascii="Arial" w:hAnsi="Arial" w:cs="Arial"/>
          <w:sz w:val="20"/>
          <w:szCs w:val="20"/>
        </w:rPr>
        <w:t>logical adoption on port workers’ health and safety outcomes.</w:t>
      </w:r>
    </w:p>
    <w:p w14:paraId="51B670BE" w14:textId="77777777" w:rsidR="004C29C6" w:rsidRDefault="004C29C6">
      <w:pPr>
        <w:pStyle w:val="NormalWeb"/>
        <w:jc w:val="both"/>
        <w:rPr>
          <w:rFonts w:ascii="Arial" w:hAnsi="Arial" w:cs="Arial"/>
          <w:sz w:val="20"/>
          <w:szCs w:val="20"/>
        </w:rPr>
      </w:pPr>
    </w:p>
    <w:p w14:paraId="5F100D6D" w14:textId="77777777" w:rsidR="004C29C6" w:rsidRDefault="00800C25">
      <w:pPr>
        <w:pStyle w:val="NormalWeb"/>
        <w:jc w:val="both"/>
        <w:rPr>
          <w:rFonts w:ascii="Arial" w:hAnsi="Arial" w:cs="Arial"/>
          <w:sz w:val="20"/>
          <w:szCs w:val="20"/>
        </w:rPr>
      </w:pPr>
      <w:r>
        <w:rPr>
          <w:rFonts w:ascii="Arial" w:hAnsi="Arial" w:cs="Arial"/>
          <w:sz w:val="20"/>
          <w:szCs w:val="20"/>
        </w:rPr>
        <w:t>From a policy perspective, environmental and occupational health hazards among seaport workers have far-reaching implications for sustainable development and maritime governance. Ports are vita</w:t>
      </w:r>
      <w:r>
        <w:rPr>
          <w:rFonts w:ascii="Arial" w:hAnsi="Arial" w:cs="Arial"/>
          <w:sz w:val="20"/>
          <w:szCs w:val="20"/>
        </w:rPr>
        <w:t>l components of the global supply chain, and any disruption due to occupational injury or environmental contamination can have cascading effects on trade, public health, and local economies (World Bank, 2023). Consequently, ensuring safe and sustainable po</w:t>
      </w:r>
      <w:r>
        <w:rPr>
          <w:rFonts w:ascii="Arial" w:hAnsi="Arial" w:cs="Arial"/>
          <w:sz w:val="20"/>
          <w:szCs w:val="20"/>
        </w:rPr>
        <w:t>rt operations is not only a labor issue but also a socioeconomic priority.</w:t>
      </w:r>
    </w:p>
    <w:p w14:paraId="05DFF7BA" w14:textId="77777777" w:rsidR="004C29C6" w:rsidRDefault="004C29C6">
      <w:pPr>
        <w:pStyle w:val="NormalWeb"/>
        <w:jc w:val="both"/>
        <w:rPr>
          <w:rFonts w:ascii="Arial" w:hAnsi="Arial" w:cs="Arial"/>
          <w:sz w:val="20"/>
          <w:szCs w:val="20"/>
        </w:rPr>
      </w:pPr>
    </w:p>
    <w:p w14:paraId="7C2F47F9" w14:textId="77777777" w:rsidR="004C29C6" w:rsidRDefault="00800C25">
      <w:pPr>
        <w:pStyle w:val="NormalWeb"/>
        <w:jc w:val="both"/>
        <w:rPr>
          <w:rFonts w:ascii="Arial" w:hAnsi="Arial" w:cs="Arial"/>
          <w:sz w:val="20"/>
          <w:szCs w:val="20"/>
        </w:rPr>
      </w:pPr>
      <w:r>
        <w:rPr>
          <w:rFonts w:ascii="Arial" w:hAnsi="Arial" w:cs="Arial"/>
          <w:sz w:val="20"/>
          <w:szCs w:val="20"/>
        </w:rPr>
        <w:t>Despite the magnitude of these challenges, the literature on seaport-related health hazards in developing countries remains fragmented. Many studies are cross-sectional, localized,</w:t>
      </w:r>
      <w:r>
        <w:rPr>
          <w:rFonts w:ascii="Arial" w:hAnsi="Arial" w:cs="Arial"/>
          <w:sz w:val="20"/>
          <w:szCs w:val="20"/>
        </w:rPr>
        <w:t xml:space="preserve"> and focus on isolated hazards without offering a comprehensive or comparative analysis (Akinwale &amp; Olusanya, 2020). Few reviews have synthesized findings across multiple regions to reveal global patterns and determinants. This gap limits the ability of po</w:t>
      </w:r>
      <w:r>
        <w:rPr>
          <w:rFonts w:ascii="Arial" w:hAnsi="Arial" w:cs="Arial"/>
          <w:sz w:val="20"/>
          <w:szCs w:val="20"/>
        </w:rPr>
        <w:t>licymakers, occupational health professionals, and maritime authorities to design context-specific interventions that reflect the realities of workers in low-resource settings.</w:t>
      </w:r>
    </w:p>
    <w:p w14:paraId="3CE91E82" w14:textId="77777777" w:rsidR="004C29C6" w:rsidRDefault="004C29C6">
      <w:pPr>
        <w:pStyle w:val="NormalWeb"/>
        <w:jc w:val="both"/>
        <w:rPr>
          <w:rFonts w:ascii="Arial" w:hAnsi="Arial" w:cs="Arial"/>
          <w:sz w:val="20"/>
          <w:szCs w:val="20"/>
        </w:rPr>
      </w:pPr>
    </w:p>
    <w:p w14:paraId="56442F3A" w14:textId="77777777" w:rsidR="004C29C6" w:rsidRDefault="00800C25">
      <w:pPr>
        <w:pStyle w:val="NormalWeb"/>
        <w:jc w:val="both"/>
        <w:rPr>
          <w:rFonts w:ascii="Arial" w:hAnsi="Arial" w:cs="Arial"/>
          <w:sz w:val="20"/>
          <w:szCs w:val="20"/>
        </w:rPr>
      </w:pPr>
      <w:r>
        <w:rPr>
          <w:rFonts w:ascii="Arial" w:hAnsi="Arial" w:cs="Arial"/>
          <w:sz w:val="20"/>
          <w:szCs w:val="20"/>
        </w:rPr>
        <w:t>Therefore, a systematic and comparative review of environmental and occupation</w:t>
      </w:r>
      <w:r>
        <w:rPr>
          <w:rFonts w:ascii="Arial" w:hAnsi="Arial" w:cs="Arial"/>
          <w:sz w:val="20"/>
          <w:szCs w:val="20"/>
        </w:rPr>
        <w:t>al hazards among seaport workers in developing regions is both timely and essential. Such a synthesis will not only consolidate existing evidence but also identify research gaps, evaluate regional disparities, and propose actionable strategies to strengthe</w:t>
      </w:r>
      <w:r>
        <w:rPr>
          <w:rFonts w:ascii="Arial" w:hAnsi="Arial" w:cs="Arial"/>
          <w:sz w:val="20"/>
          <w:szCs w:val="20"/>
        </w:rPr>
        <w:t xml:space="preserve">n occupational health systems within the maritime sector. By integrating findings from Africa, Asia, and Latin America, this review seeks to enhance understanding of the complex interaction between environmental exposures, workplace conditions, and health </w:t>
      </w:r>
      <w:r>
        <w:rPr>
          <w:rFonts w:ascii="Arial" w:hAnsi="Arial" w:cs="Arial"/>
          <w:sz w:val="20"/>
          <w:szCs w:val="20"/>
        </w:rPr>
        <w:t>outcomes in seaport environments. Ultimately, the study aims to support data-driven policymaking and promote safer, more sustainable port operations globally.</w:t>
      </w:r>
    </w:p>
    <w:p w14:paraId="10D4A149" w14:textId="77777777" w:rsidR="004C29C6" w:rsidRDefault="004C29C6">
      <w:pPr>
        <w:pStyle w:val="NormalWeb"/>
        <w:jc w:val="both"/>
        <w:rPr>
          <w:rFonts w:ascii="Arial" w:hAnsi="Arial" w:cs="Arial"/>
          <w:sz w:val="20"/>
          <w:szCs w:val="20"/>
        </w:rPr>
      </w:pPr>
    </w:p>
    <w:p w14:paraId="483C1F7F" w14:textId="77777777" w:rsidR="004C29C6" w:rsidRDefault="00800C25">
      <w:pPr>
        <w:pStyle w:val="NormalWeb"/>
        <w:numPr>
          <w:ilvl w:val="0"/>
          <w:numId w:val="11"/>
        </w:numPr>
        <w:jc w:val="both"/>
        <w:rPr>
          <w:b/>
          <w:bCs/>
          <w:sz w:val="22"/>
          <w:szCs w:val="22"/>
        </w:rPr>
      </w:pPr>
      <w:r>
        <w:rPr>
          <w:rFonts w:ascii="Arial" w:hAnsi="Arial" w:cs="Arial"/>
          <w:b/>
          <w:bCs/>
          <w:sz w:val="22"/>
          <w:szCs w:val="22"/>
        </w:rPr>
        <w:t>STATEMENT OF THE PROBLEM</w:t>
      </w:r>
    </w:p>
    <w:p w14:paraId="45912AE5" w14:textId="77777777" w:rsidR="004C29C6" w:rsidRDefault="004C29C6">
      <w:pPr>
        <w:pStyle w:val="NormalWeb"/>
        <w:jc w:val="both"/>
        <w:rPr>
          <w:rFonts w:ascii="Arial" w:hAnsi="Arial" w:cs="Arial"/>
          <w:sz w:val="20"/>
          <w:szCs w:val="20"/>
        </w:rPr>
      </w:pPr>
    </w:p>
    <w:p w14:paraId="6D277246" w14:textId="77777777" w:rsidR="004C29C6" w:rsidRDefault="00800C25">
      <w:pPr>
        <w:pStyle w:val="NormalWeb"/>
        <w:jc w:val="both"/>
        <w:rPr>
          <w:rFonts w:ascii="Arial" w:hAnsi="Arial" w:cs="Arial"/>
          <w:sz w:val="20"/>
          <w:szCs w:val="20"/>
        </w:rPr>
      </w:pPr>
      <w:r>
        <w:rPr>
          <w:rFonts w:ascii="Arial" w:hAnsi="Arial" w:cs="Arial"/>
          <w:sz w:val="20"/>
          <w:szCs w:val="20"/>
        </w:rPr>
        <w:t>The rapid growth of maritime trade in developing countries has created unprecedented economic opportunities while simultaneously amplifying environmental and occupational health challenges for seaport workers. Despite their critical role in sustaining glob</w:t>
      </w:r>
      <w:r>
        <w:rPr>
          <w:rFonts w:ascii="Arial" w:hAnsi="Arial" w:cs="Arial"/>
          <w:sz w:val="20"/>
          <w:szCs w:val="20"/>
        </w:rPr>
        <w:t>al trade, port workers in low- and middle-income countries (LMICs) remain among the most occupationally vulnerable labor groups (ILO, 2021). The majority are exposed to complex mixtures of hazards—ranging from air and noise pollution to ergonomic strain an</w:t>
      </w:r>
      <w:r>
        <w:rPr>
          <w:rFonts w:ascii="Arial" w:hAnsi="Arial" w:cs="Arial"/>
          <w:sz w:val="20"/>
          <w:szCs w:val="20"/>
        </w:rPr>
        <w:t xml:space="preserve">d chemical contact—that often exceed internationally recommended safety limits (Ansa et al., 2021; Ekpenyong et al., 2020). These hazards not only compromise individual health and productivity but also reflect </w:t>
      </w:r>
      <w:r>
        <w:rPr>
          <w:rFonts w:ascii="Arial" w:hAnsi="Arial" w:cs="Arial"/>
          <w:sz w:val="20"/>
          <w:szCs w:val="20"/>
        </w:rPr>
        <w:lastRenderedPageBreak/>
        <w:t>deeper systemic weaknesses in occupational saf</w:t>
      </w:r>
      <w:r>
        <w:rPr>
          <w:rFonts w:ascii="Arial" w:hAnsi="Arial" w:cs="Arial"/>
          <w:sz w:val="20"/>
          <w:szCs w:val="20"/>
        </w:rPr>
        <w:t>ety governance, environmental management, and enforcement capacity across developing regions.</w:t>
      </w:r>
    </w:p>
    <w:p w14:paraId="1D57D487" w14:textId="77777777" w:rsidR="004C29C6" w:rsidRDefault="004C29C6">
      <w:pPr>
        <w:pStyle w:val="NormalWeb"/>
        <w:jc w:val="both"/>
        <w:rPr>
          <w:rFonts w:ascii="Arial" w:hAnsi="Arial" w:cs="Arial"/>
          <w:sz w:val="20"/>
          <w:szCs w:val="20"/>
        </w:rPr>
      </w:pPr>
    </w:p>
    <w:p w14:paraId="4D810480" w14:textId="77777777" w:rsidR="004C29C6" w:rsidRDefault="00800C25">
      <w:pPr>
        <w:pStyle w:val="NormalWeb"/>
        <w:jc w:val="both"/>
        <w:rPr>
          <w:rFonts w:ascii="Arial" w:hAnsi="Arial" w:cs="Arial"/>
          <w:sz w:val="20"/>
          <w:szCs w:val="20"/>
        </w:rPr>
      </w:pPr>
      <w:r>
        <w:rPr>
          <w:rFonts w:ascii="Arial" w:hAnsi="Arial" w:cs="Arial"/>
          <w:sz w:val="20"/>
          <w:szCs w:val="20"/>
        </w:rPr>
        <w:t>In many developing economies, seaports operate within regulatory environments characterized by inadequate occupational health legislation, limited monitoring inf</w:t>
      </w:r>
      <w:r>
        <w:rPr>
          <w:rFonts w:ascii="Arial" w:hAnsi="Arial" w:cs="Arial"/>
          <w:sz w:val="20"/>
          <w:szCs w:val="20"/>
        </w:rPr>
        <w:t>rastructure, and weak institutional accountability (Ogundele et al., 2022). Consequently, workplace safety inspections are infrequent, health surveillance systems are poorly maintained, and personal protective equipment (PPE) compliance is inconsistent (Ak</w:t>
      </w:r>
      <w:r>
        <w:rPr>
          <w:rFonts w:ascii="Arial" w:hAnsi="Arial" w:cs="Arial"/>
          <w:sz w:val="20"/>
          <w:szCs w:val="20"/>
        </w:rPr>
        <w:t>inwale &amp; Olusanya, 2020). In addition, the majority of workers are employed under casual or contractual arrangements that exclude them from formal occupational health protections or health insurance schemes (Amponsah-Tawiah et al., 2020). This structural n</w:t>
      </w:r>
      <w:r>
        <w:rPr>
          <w:rFonts w:ascii="Arial" w:hAnsi="Arial" w:cs="Arial"/>
          <w:sz w:val="20"/>
          <w:szCs w:val="20"/>
        </w:rPr>
        <w:t>eglect contributes to high rates of unreported injuries, occupational diseases, and premature mortality among seaport workers.</w:t>
      </w:r>
    </w:p>
    <w:p w14:paraId="69968AF3" w14:textId="77777777" w:rsidR="004C29C6" w:rsidRDefault="004C29C6">
      <w:pPr>
        <w:pStyle w:val="NormalWeb"/>
        <w:jc w:val="both"/>
        <w:rPr>
          <w:rFonts w:ascii="Arial" w:hAnsi="Arial" w:cs="Arial"/>
          <w:sz w:val="20"/>
          <w:szCs w:val="20"/>
        </w:rPr>
      </w:pPr>
    </w:p>
    <w:p w14:paraId="4F5D6E0F" w14:textId="77777777" w:rsidR="004C29C6" w:rsidRDefault="00800C25">
      <w:pPr>
        <w:pStyle w:val="NormalWeb"/>
        <w:jc w:val="both"/>
        <w:rPr>
          <w:rFonts w:ascii="Arial" w:hAnsi="Arial" w:cs="Arial"/>
          <w:sz w:val="20"/>
          <w:szCs w:val="20"/>
        </w:rPr>
      </w:pPr>
      <w:r>
        <w:rPr>
          <w:rFonts w:ascii="Arial" w:hAnsi="Arial" w:cs="Arial"/>
          <w:sz w:val="20"/>
          <w:szCs w:val="20"/>
        </w:rPr>
        <w:t>Environmental pollution surrounding port facilities further compounds the problem. Studies have documented elevated levels of pa</w:t>
      </w:r>
      <w:r>
        <w:rPr>
          <w:rFonts w:ascii="Arial" w:hAnsi="Arial" w:cs="Arial"/>
          <w:sz w:val="20"/>
          <w:szCs w:val="20"/>
        </w:rPr>
        <w:t>rticulate matter, hydrocarbons, and heavy metals in port-adjacent communities, posing both occupational and public health risks (Cheng et al., 2019; WHO, 2022). Workers engaged in cargo handling, oil transfer, and ship maintenance are particularly suscepti</w:t>
      </w:r>
      <w:r>
        <w:rPr>
          <w:rFonts w:ascii="Arial" w:hAnsi="Arial" w:cs="Arial"/>
          <w:sz w:val="20"/>
          <w:szCs w:val="20"/>
        </w:rPr>
        <w:t>ble to respiratory ailments, noise-induced hearing loss, and chemical poisoning (Bello et al., 2020; Ekpenyong et al., 2020). Yet, despite clear evidence of exposure, comprehensive regional data on the magnitude and comparative burden of these hazards rema</w:t>
      </w:r>
      <w:r>
        <w:rPr>
          <w:rFonts w:ascii="Arial" w:hAnsi="Arial" w:cs="Arial"/>
          <w:sz w:val="20"/>
          <w:szCs w:val="20"/>
        </w:rPr>
        <w:t>in limited.</w:t>
      </w:r>
    </w:p>
    <w:p w14:paraId="4E5410DC" w14:textId="77777777" w:rsidR="004C29C6" w:rsidRDefault="004C29C6">
      <w:pPr>
        <w:pStyle w:val="NormalWeb"/>
        <w:jc w:val="both"/>
        <w:rPr>
          <w:rFonts w:ascii="Arial" w:hAnsi="Arial" w:cs="Arial"/>
          <w:sz w:val="20"/>
          <w:szCs w:val="20"/>
        </w:rPr>
      </w:pPr>
    </w:p>
    <w:p w14:paraId="0A17B8D8" w14:textId="77777777" w:rsidR="004C29C6" w:rsidRDefault="00800C25">
      <w:pPr>
        <w:pStyle w:val="NormalWeb"/>
        <w:jc w:val="both"/>
        <w:rPr>
          <w:rFonts w:ascii="Arial" w:hAnsi="Arial" w:cs="Arial"/>
          <w:sz w:val="20"/>
          <w:szCs w:val="20"/>
        </w:rPr>
      </w:pPr>
      <w:r>
        <w:rPr>
          <w:rFonts w:ascii="Arial" w:hAnsi="Arial" w:cs="Arial"/>
          <w:sz w:val="20"/>
          <w:szCs w:val="20"/>
        </w:rPr>
        <w:t>Previous research has often been fragmented—conducted as single-site case studies, with inconsistent methodologies and narrow focus areas (Ansa et al., 2021). There is a lack of comparative studies evaluating how environmental and occupational</w:t>
      </w:r>
      <w:r>
        <w:rPr>
          <w:rFonts w:ascii="Arial" w:hAnsi="Arial" w:cs="Arial"/>
          <w:sz w:val="20"/>
          <w:szCs w:val="20"/>
        </w:rPr>
        <w:t xml:space="preserve"> risks differ across developing regions such as Africa, Asia, and Latin America, where economic and regulatory contexts vary considerably. Without such cross-regional evidence, it is difficult for policymakers and health authorities to design targeted inte</w:t>
      </w:r>
      <w:r>
        <w:rPr>
          <w:rFonts w:ascii="Arial" w:hAnsi="Arial" w:cs="Arial"/>
          <w:sz w:val="20"/>
          <w:szCs w:val="20"/>
        </w:rPr>
        <w:t>rventions or benchmark best practices in port health management (World Bank, 2023).</w:t>
      </w:r>
    </w:p>
    <w:p w14:paraId="4B1ADFAE" w14:textId="77777777" w:rsidR="004C29C6" w:rsidRDefault="004C29C6">
      <w:pPr>
        <w:pStyle w:val="NormalWeb"/>
        <w:jc w:val="both"/>
        <w:rPr>
          <w:rFonts w:ascii="Arial" w:hAnsi="Arial" w:cs="Arial"/>
          <w:sz w:val="20"/>
          <w:szCs w:val="20"/>
        </w:rPr>
      </w:pPr>
    </w:p>
    <w:p w14:paraId="6103EC4D" w14:textId="77777777" w:rsidR="004C29C6" w:rsidRDefault="00800C25">
      <w:pPr>
        <w:pStyle w:val="NormalWeb"/>
        <w:jc w:val="both"/>
        <w:rPr>
          <w:rFonts w:ascii="Arial" w:hAnsi="Arial" w:cs="Arial"/>
          <w:sz w:val="20"/>
          <w:szCs w:val="20"/>
        </w:rPr>
      </w:pPr>
      <w:r>
        <w:rPr>
          <w:rFonts w:ascii="Arial" w:hAnsi="Arial" w:cs="Arial"/>
          <w:sz w:val="20"/>
          <w:szCs w:val="20"/>
        </w:rPr>
        <w:t xml:space="preserve">Hence, a systematic and comparative synthesis of evidence on environmental and occupational hazards among seaport workers in developing countries is urgently needed. Such </w:t>
      </w:r>
      <w:r>
        <w:rPr>
          <w:rFonts w:ascii="Arial" w:hAnsi="Arial" w:cs="Arial"/>
          <w:sz w:val="20"/>
          <w:szCs w:val="20"/>
        </w:rPr>
        <w:t>a review will provide critical insights into exposure patterns, regional disparities, and policy deficiencies that hinder the promotion of safe, sustainable port operations.</w:t>
      </w:r>
    </w:p>
    <w:p w14:paraId="6E8D3ADC" w14:textId="77777777" w:rsidR="004C29C6" w:rsidRDefault="004C29C6">
      <w:pPr>
        <w:jc w:val="both"/>
        <w:rPr>
          <w:rFonts w:ascii="Arial" w:hAnsi="Arial" w:cs="Arial"/>
        </w:rPr>
      </w:pPr>
    </w:p>
    <w:p w14:paraId="3B17F18C" w14:textId="77777777" w:rsidR="004C29C6" w:rsidRDefault="00800C25">
      <w:pPr>
        <w:numPr>
          <w:ilvl w:val="0"/>
          <w:numId w:val="11"/>
        </w:numPr>
      </w:pPr>
      <w:r>
        <w:rPr>
          <w:rFonts w:ascii="Arial" w:hAnsi="Arial" w:cs="Arial"/>
          <w:b/>
          <w:bCs/>
          <w:sz w:val="22"/>
          <w:szCs w:val="22"/>
        </w:rPr>
        <w:t>AIM OF THE STUDY</w:t>
      </w:r>
      <w:r>
        <w:t xml:space="preserve"> </w:t>
      </w:r>
    </w:p>
    <w:p w14:paraId="209A69CB" w14:textId="77777777" w:rsidR="004C29C6" w:rsidRDefault="004C29C6"/>
    <w:p w14:paraId="5ED953BB" w14:textId="77777777" w:rsidR="004C29C6" w:rsidRDefault="00800C25">
      <w:pPr>
        <w:jc w:val="both"/>
      </w:pPr>
      <w:r>
        <w:rPr>
          <w:rFonts w:ascii="Arial" w:hAnsi="Arial" w:cs="Arial"/>
        </w:rPr>
        <w:t xml:space="preserve">This study aims to systematically review and compare existing </w:t>
      </w:r>
      <w:r>
        <w:rPr>
          <w:rFonts w:ascii="Arial" w:hAnsi="Arial" w:cs="Arial"/>
        </w:rPr>
        <w:t>evidence on environmental and occupational health hazards among seaport workers in developing countries. It seeks to identify major exposure types, their health impacts, and variations across regions to inform preventive policies and strengthen occupationa</w:t>
      </w:r>
      <w:r>
        <w:rPr>
          <w:rFonts w:ascii="Arial" w:hAnsi="Arial" w:cs="Arial"/>
        </w:rPr>
        <w:t>l health practices in the maritime sector.</w:t>
      </w:r>
    </w:p>
    <w:p w14:paraId="526E159C" w14:textId="77777777" w:rsidR="004C29C6" w:rsidRDefault="004C29C6"/>
    <w:p w14:paraId="643FD1FE" w14:textId="77777777" w:rsidR="004C29C6" w:rsidRDefault="00800C25">
      <w:pPr>
        <w:numPr>
          <w:ilvl w:val="0"/>
          <w:numId w:val="11"/>
        </w:numPr>
        <w:rPr>
          <w:rFonts w:ascii="Arial" w:hAnsi="Arial" w:cs="Arial"/>
          <w:b/>
          <w:bCs/>
          <w:sz w:val="22"/>
          <w:szCs w:val="22"/>
        </w:rPr>
      </w:pPr>
      <w:r>
        <w:rPr>
          <w:rFonts w:ascii="Arial" w:hAnsi="Arial" w:cs="Arial"/>
          <w:b/>
          <w:bCs/>
          <w:sz w:val="22"/>
          <w:szCs w:val="22"/>
        </w:rPr>
        <w:t>RATIONALE OF THE STUDY</w:t>
      </w:r>
    </w:p>
    <w:p w14:paraId="7F67F2AF" w14:textId="77777777" w:rsidR="004C29C6" w:rsidRDefault="004C29C6"/>
    <w:p w14:paraId="51D6159D" w14:textId="77777777" w:rsidR="004C29C6" w:rsidRDefault="00800C25">
      <w:pPr>
        <w:jc w:val="both"/>
        <w:rPr>
          <w:rFonts w:ascii="Arial" w:hAnsi="Arial" w:cs="Arial"/>
        </w:rPr>
      </w:pPr>
      <w:r>
        <w:rPr>
          <w:rFonts w:ascii="Arial" w:hAnsi="Arial" w:cs="Arial"/>
        </w:rPr>
        <w:t>Seaport operations are central to international trade and economic development, particularly in developing nations where ports serve as major conduits for import and export activities. How</w:t>
      </w:r>
      <w:r>
        <w:rPr>
          <w:rFonts w:ascii="Arial" w:hAnsi="Arial" w:cs="Arial"/>
        </w:rPr>
        <w:t xml:space="preserve">ever, this economic significance has not translated into adequate protection for the health and safety of port workers (ILO, 2021). Workers in seaport environments encounter multiple, overlapping hazards, including air and water pollution, noise exposure, </w:t>
      </w:r>
      <w:r>
        <w:rPr>
          <w:rFonts w:ascii="Arial" w:hAnsi="Arial" w:cs="Arial"/>
        </w:rPr>
        <w:t>chemical contamination, and physical strain from manual cargo handling (Akinwale &amp; Olusanya, 2020). These exposures occur in occupational settings that are often poorly regulated, under-resourced, and lacking in standardized health surveillance systems. Co</w:t>
      </w:r>
      <w:r>
        <w:rPr>
          <w:rFonts w:ascii="Arial" w:hAnsi="Arial" w:cs="Arial"/>
        </w:rPr>
        <w:t>nsequently, port workers in developing countries experience disproportionately high rates of occupational injury, respiratory illness, and hearing impairment compared to their counterparts in developed economies (Amponsah-Tawiah et al., 2020).</w:t>
      </w:r>
    </w:p>
    <w:p w14:paraId="1D08138F" w14:textId="77777777" w:rsidR="004C29C6" w:rsidRDefault="004C29C6">
      <w:pPr>
        <w:jc w:val="both"/>
        <w:rPr>
          <w:rFonts w:ascii="Arial" w:hAnsi="Arial" w:cs="Arial"/>
        </w:rPr>
      </w:pPr>
    </w:p>
    <w:p w14:paraId="59E32186" w14:textId="77777777" w:rsidR="004C29C6" w:rsidRDefault="00800C25">
      <w:pPr>
        <w:jc w:val="both"/>
        <w:rPr>
          <w:rFonts w:ascii="Arial" w:hAnsi="Arial" w:cs="Arial"/>
        </w:rPr>
      </w:pPr>
      <w:r>
        <w:rPr>
          <w:rFonts w:ascii="Arial" w:hAnsi="Arial" w:cs="Arial"/>
        </w:rPr>
        <w:t>The rationa</w:t>
      </w:r>
      <w:r>
        <w:rPr>
          <w:rFonts w:ascii="Arial" w:hAnsi="Arial" w:cs="Arial"/>
        </w:rPr>
        <w:t>le for this review arises from the urgent need to consolidate fragmented research on seaport-related health risks in low- and middle-income settings. Existing studies have primarily focused on individual ports or specific hazards, resulting in a limited un</w:t>
      </w:r>
      <w:r>
        <w:rPr>
          <w:rFonts w:ascii="Arial" w:hAnsi="Arial" w:cs="Arial"/>
        </w:rPr>
        <w:t xml:space="preserve">derstanding of the broader regional and global patterns of exposure (Ansa et al., 2021). Moreover, </w:t>
      </w:r>
      <w:r>
        <w:rPr>
          <w:rFonts w:ascii="Arial" w:hAnsi="Arial" w:cs="Arial"/>
        </w:rPr>
        <w:lastRenderedPageBreak/>
        <w:t>methodological inconsistencies and the absence of longitudinal data have made it difficult to assess trends, risk determinants, and intervention outcomes acr</w:t>
      </w:r>
      <w:r>
        <w:rPr>
          <w:rFonts w:ascii="Arial" w:hAnsi="Arial" w:cs="Arial"/>
        </w:rPr>
        <w:t>oss different geographic and economic contexts (Cheng et al., 2019). A comprehensive synthesis is therefore essential to bridge this knowledge gap and provide an evidence base for preventive strategies and policy formulation.</w:t>
      </w:r>
    </w:p>
    <w:p w14:paraId="798A03F1" w14:textId="77777777" w:rsidR="004C29C6" w:rsidRDefault="004C29C6">
      <w:pPr>
        <w:jc w:val="both"/>
        <w:rPr>
          <w:rFonts w:ascii="Arial" w:hAnsi="Arial" w:cs="Arial"/>
        </w:rPr>
      </w:pPr>
    </w:p>
    <w:p w14:paraId="3EC634D4" w14:textId="77777777" w:rsidR="004C29C6" w:rsidRDefault="00800C25">
      <w:pPr>
        <w:jc w:val="both"/>
        <w:rPr>
          <w:rFonts w:ascii="Arial" w:hAnsi="Arial" w:cs="Arial"/>
        </w:rPr>
      </w:pPr>
      <w:r>
        <w:rPr>
          <w:rFonts w:ascii="Arial" w:hAnsi="Arial" w:cs="Arial"/>
        </w:rPr>
        <w:t xml:space="preserve">Another justification stems </w:t>
      </w:r>
      <w:r>
        <w:rPr>
          <w:rFonts w:ascii="Arial" w:hAnsi="Arial" w:cs="Arial"/>
        </w:rPr>
        <w:t>from the policy and governance challenges that hinder effective occupational health management in developing countries. Weak enforcement of labor regulations, insufficient safety audits, and lack of institutional accountability contribute to persistent exp</w:t>
      </w:r>
      <w:r>
        <w:rPr>
          <w:rFonts w:ascii="Arial" w:hAnsi="Arial" w:cs="Arial"/>
        </w:rPr>
        <w:t>osure to environmental pollutants and occupational hazards (Ogundele et al., 2022; World Bank, 2023). By systematically analyzing published evidence, this review aims to highlight key policy deficiencies and advocate for stronger regulatory frameworks that</w:t>
      </w:r>
      <w:r>
        <w:rPr>
          <w:rFonts w:ascii="Arial" w:hAnsi="Arial" w:cs="Arial"/>
        </w:rPr>
        <w:t xml:space="preserve"> align with international labor and environmental standards.</w:t>
      </w:r>
    </w:p>
    <w:p w14:paraId="54E581A8" w14:textId="77777777" w:rsidR="004C29C6" w:rsidRDefault="004C29C6">
      <w:pPr>
        <w:jc w:val="both"/>
        <w:rPr>
          <w:rFonts w:ascii="Arial" w:hAnsi="Arial" w:cs="Arial"/>
        </w:rPr>
      </w:pPr>
    </w:p>
    <w:p w14:paraId="03ABDF4E" w14:textId="77777777" w:rsidR="004C29C6" w:rsidRDefault="00800C25">
      <w:pPr>
        <w:jc w:val="both"/>
        <w:rPr>
          <w:rFonts w:ascii="Arial" w:hAnsi="Arial" w:cs="Arial"/>
        </w:rPr>
      </w:pPr>
      <w:r>
        <w:rPr>
          <w:rFonts w:ascii="Arial" w:hAnsi="Arial" w:cs="Arial"/>
        </w:rPr>
        <w:t>Finally, this study is significant for its potential to inform sustainable port development. Health and safety improvements not only enhance workers’ wellbeing but also promote operational effic</w:t>
      </w:r>
      <w:r>
        <w:rPr>
          <w:rFonts w:ascii="Arial" w:hAnsi="Arial" w:cs="Arial"/>
        </w:rPr>
        <w:t>iency, reduce compensation costs, and strengthen the resilience of global trade systems (WHO, 2022). Understanding comparative patterns of risk will help governments, port authorities, and international agencies design targeted interventions, improve worki</w:t>
      </w:r>
      <w:r>
        <w:rPr>
          <w:rFonts w:ascii="Arial" w:hAnsi="Arial" w:cs="Arial"/>
        </w:rPr>
        <w:t>ng conditions, and foster healthier, more productive maritime workforces across developing regions.</w:t>
      </w:r>
    </w:p>
    <w:p w14:paraId="73A25B92" w14:textId="77777777" w:rsidR="004C29C6" w:rsidRDefault="004C29C6">
      <w:pPr>
        <w:jc w:val="both"/>
        <w:rPr>
          <w:rFonts w:ascii="Arial" w:hAnsi="Arial" w:cs="Arial"/>
        </w:rPr>
      </w:pPr>
    </w:p>
    <w:p w14:paraId="369FDEA2" w14:textId="77777777" w:rsidR="004C29C6" w:rsidRDefault="00800C25">
      <w:pPr>
        <w:numPr>
          <w:ilvl w:val="0"/>
          <w:numId w:val="11"/>
        </w:numPr>
        <w:jc w:val="both"/>
        <w:rPr>
          <w:b/>
          <w:bCs/>
          <w:sz w:val="22"/>
          <w:szCs w:val="22"/>
        </w:rPr>
      </w:pPr>
      <w:r>
        <w:rPr>
          <w:rFonts w:ascii="Arial" w:hAnsi="Arial" w:cs="Arial"/>
          <w:b/>
          <w:bCs/>
          <w:sz w:val="22"/>
          <w:szCs w:val="22"/>
        </w:rPr>
        <w:t>METHODOLOGY</w:t>
      </w:r>
    </w:p>
    <w:p w14:paraId="2E2CCA97" w14:textId="77777777" w:rsidR="004C29C6" w:rsidRDefault="004C29C6">
      <w:pPr>
        <w:jc w:val="both"/>
        <w:rPr>
          <w:rFonts w:ascii="Arial" w:hAnsi="Arial" w:cs="Arial"/>
        </w:rPr>
      </w:pPr>
    </w:p>
    <w:p w14:paraId="0764BF40" w14:textId="77777777" w:rsidR="004C29C6" w:rsidRDefault="00800C25">
      <w:pPr>
        <w:numPr>
          <w:ilvl w:val="1"/>
          <w:numId w:val="11"/>
        </w:numPr>
        <w:jc w:val="both"/>
        <w:rPr>
          <w:rFonts w:ascii="Arial" w:hAnsi="Arial" w:cs="Arial"/>
          <w:b/>
          <w:bCs/>
          <w:sz w:val="22"/>
          <w:szCs w:val="22"/>
        </w:rPr>
      </w:pPr>
      <w:r>
        <w:rPr>
          <w:rFonts w:ascii="Arial" w:hAnsi="Arial" w:cs="Arial"/>
          <w:b/>
          <w:bCs/>
          <w:sz w:val="22"/>
          <w:szCs w:val="22"/>
        </w:rPr>
        <w:t>Study Design</w:t>
      </w:r>
    </w:p>
    <w:p w14:paraId="3F09BD29" w14:textId="77777777" w:rsidR="004C29C6" w:rsidRDefault="004C29C6">
      <w:pPr>
        <w:jc w:val="both"/>
        <w:rPr>
          <w:rFonts w:ascii="Arial" w:hAnsi="Arial" w:cs="Arial"/>
        </w:rPr>
      </w:pPr>
    </w:p>
    <w:p w14:paraId="73AAAF99" w14:textId="77777777" w:rsidR="004C29C6" w:rsidRDefault="00800C25">
      <w:pPr>
        <w:pStyle w:val="NormalWeb"/>
        <w:jc w:val="both"/>
        <w:rPr>
          <w:rFonts w:ascii="Arial" w:hAnsi="Arial" w:cs="Arial"/>
          <w:sz w:val="20"/>
          <w:szCs w:val="20"/>
        </w:rPr>
      </w:pPr>
      <w:r>
        <w:rPr>
          <w:rFonts w:ascii="Arial" w:hAnsi="Arial" w:cs="Arial"/>
          <w:sz w:val="20"/>
          <w:szCs w:val="20"/>
        </w:rPr>
        <w:t>This review adopted a systematic review design, guided by the Preferred Reporting Items for Systematic Reviews and Meta-Analyses</w:t>
      </w:r>
      <w:r>
        <w:rPr>
          <w:rFonts w:ascii="Arial" w:hAnsi="Arial" w:cs="Arial"/>
          <w:sz w:val="20"/>
          <w:szCs w:val="20"/>
        </w:rPr>
        <w:t xml:space="preserve"> (PRISMA) framework. The design was chosen to enable a transparent and replicable synthesis of evidence on environmental and occupational health hazards among seaport workers in developing countries. A systematic review approach was appropriate for this st</w:t>
      </w:r>
      <w:r>
        <w:rPr>
          <w:rFonts w:ascii="Arial" w:hAnsi="Arial" w:cs="Arial"/>
          <w:sz w:val="20"/>
          <w:szCs w:val="20"/>
        </w:rPr>
        <w:t>udy because it allows for the identification, selection, critical appraisal, and synthesis of relevant research findings from diverse regions, thereby minimizing bias and enhancing the reliability of the conclusions (Moher et al., 2009). The comparative as</w:t>
      </w:r>
      <w:r>
        <w:rPr>
          <w:rFonts w:ascii="Arial" w:hAnsi="Arial" w:cs="Arial"/>
          <w:sz w:val="20"/>
          <w:szCs w:val="20"/>
        </w:rPr>
        <w:t>pect of this review focused on variations in the magnitude, determinants, and outcomes of hazards between regions such as Africa, Asia, and Latin America, where socioeconomic and regulatory differences are pronounced.</w:t>
      </w:r>
    </w:p>
    <w:p w14:paraId="761F7B63" w14:textId="77777777" w:rsidR="004C29C6" w:rsidRDefault="004C29C6">
      <w:pPr>
        <w:pStyle w:val="NormalWeb"/>
        <w:jc w:val="both"/>
        <w:rPr>
          <w:rFonts w:ascii="Arial" w:hAnsi="Arial" w:cs="Arial"/>
          <w:sz w:val="20"/>
          <w:szCs w:val="20"/>
        </w:rPr>
      </w:pPr>
    </w:p>
    <w:p w14:paraId="30CD7A14" w14:textId="77777777" w:rsidR="004C29C6" w:rsidRDefault="00800C25">
      <w:pPr>
        <w:pStyle w:val="NormalWeb"/>
        <w:numPr>
          <w:ilvl w:val="1"/>
          <w:numId w:val="11"/>
        </w:numPr>
        <w:jc w:val="both"/>
        <w:rPr>
          <w:rFonts w:ascii="Arial" w:hAnsi="Arial" w:cs="Arial"/>
          <w:b/>
          <w:bCs/>
          <w:sz w:val="22"/>
          <w:szCs w:val="22"/>
        </w:rPr>
      </w:pPr>
      <w:r>
        <w:rPr>
          <w:rFonts w:ascii="Arial" w:hAnsi="Arial" w:cs="Arial"/>
          <w:b/>
          <w:bCs/>
          <w:sz w:val="22"/>
          <w:szCs w:val="22"/>
        </w:rPr>
        <w:t>Search Strategy</w:t>
      </w:r>
    </w:p>
    <w:p w14:paraId="55D12782" w14:textId="77777777" w:rsidR="004C29C6" w:rsidRDefault="004C29C6">
      <w:pPr>
        <w:pStyle w:val="NormalWeb"/>
        <w:jc w:val="both"/>
        <w:rPr>
          <w:rFonts w:ascii="Arial" w:hAnsi="Arial" w:cs="Arial"/>
          <w:sz w:val="20"/>
          <w:szCs w:val="20"/>
        </w:rPr>
      </w:pPr>
    </w:p>
    <w:p w14:paraId="53E582B0" w14:textId="77777777" w:rsidR="004C29C6" w:rsidRDefault="00800C25">
      <w:pPr>
        <w:pStyle w:val="NormalWeb"/>
        <w:jc w:val="both"/>
        <w:rPr>
          <w:rFonts w:ascii="Arial" w:hAnsi="Arial" w:cs="Arial"/>
          <w:sz w:val="20"/>
          <w:szCs w:val="20"/>
        </w:rPr>
      </w:pPr>
      <w:r>
        <w:rPr>
          <w:rFonts w:ascii="Arial" w:hAnsi="Arial" w:cs="Arial"/>
          <w:sz w:val="20"/>
          <w:szCs w:val="20"/>
        </w:rPr>
        <w:t xml:space="preserve">A comprehensive and </w:t>
      </w:r>
      <w:r>
        <w:rPr>
          <w:rFonts w:ascii="Arial" w:hAnsi="Arial" w:cs="Arial"/>
          <w:sz w:val="20"/>
          <w:szCs w:val="20"/>
        </w:rPr>
        <w:t xml:space="preserve">structured search was conducted across multiple electronic databases to identify relevant studies published between </w:t>
      </w:r>
      <w:r>
        <w:rPr>
          <w:rStyle w:val="Strong"/>
          <w:rFonts w:ascii="Arial" w:hAnsi="Arial" w:cs="Arial"/>
          <w:b w:val="0"/>
          <w:bCs w:val="0"/>
          <w:sz w:val="20"/>
          <w:szCs w:val="20"/>
        </w:rPr>
        <w:t>January 2010 and June 2025</w:t>
      </w:r>
      <w:r>
        <w:rPr>
          <w:rFonts w:ascii="Arial" w:hAnsi="Arial" w:cs="Arial"/>
          <w:sz w:val="20"/>
          <w:szCs w:val="20"/>
        </w:rPr>
        <w:t xml:space="preserve">. The selected databases included </w:t>
      </w:r>
      <w:r>
        <w:rPr>
          <w:rStyle w:val="Strong"/>
          <w:rFonts w:ascii="Arial" w:hAnsi="Arial" w:cs="Arial"/>
          <w:b w:val="0"/>
          <w:bCs w:val="0"/>
          <w:sz w:val="20"/>
          <w:szCs w:val="20"/>
        </w:rPr>
        <w:t>PubMed, Scopus, Web of Science, ScienceDirect, and African Journals Online (AJOL</w:t>
      </w:r>
      <w:r>
        <w:rPr>
          <w:rStyle w:val="Strong"/>
          <w:rFonts w:ascii="Arial" w:hAnsi="Arial" w:cs="Arial"/>
          <w:b w:val="0"/>
          <w:bCs w:val="0"/>
          <w:sz w:val="20"/>
          <w:szCs w:val="20"/>
        </w:rPr>
        <w:t>)</w:t>
      </w:r>
      <w:r>
        <w:rPr>
          <w:rFonts w:ascii="Arial" w:hAnsi="Arial" w:cs="Arial"/>
          <w:sz w:val="20"/>
          <w:szCs w:val="20"/>
        </w:rPr>
        <w:t xml:space="preserve">. Additional sources such as Google Scholar, WHO Global Index Medicus, and the International </w:t>
      </w:r>
      <w:proofErr w:type="spellStart"/>
      <w:r>
        <w:rPr>
          <w:rFonts w:ascii="Arial" w:hAnsi="Arial" w:cs="Arial"/>
          <w:sz w:val="20"/>
          <w:szCs w:val="20"/>
        </w:rPr>
        <w:t>Labour</w:t>
      </w:r>
      <w:proofErr w:type="spellEnd"/>
      <w:r>
        <w:rPr>
          <w:rFonts w:ascii="Arial" w:hAnsi="Arial" w:cs="Arial"/>
          <w:sz w:val="20"/>
          <w:szCs w:val="20"/>
        </w:rPr>
        <w:t xml:space="preserve"> Organization (ILO) library were also consulted to capture gray literature and policy reports.</w:t>
      </w:r>
    </w:p>
    <w:p w14:paraId="26D37953" w14:textId="77777777" w:rsidR="004C29C6" w:rsidRDefault="00800C25">
      <w:pPr>
        <w:pStyle w:val="NormalWeb"/>
        <w:jc w:val="both"/>
        <w:rPr>
          <w:rFonts w:ascii="Arial" w:hAnsi="Arial" w:cs="Arial"/>
          <w:sz w:val="20"/>
          <w:szCs w:val="20"/>
        </w:rPr>
      </w:pPr>
      <w:r>
        <w:rPr>
          <w:rFonts w:ascii="Arial" w:hAnsi="Arial" w:cs="Arial"/>
          <w:sz w:val="20"/>
          <w:szCs w:val="20"/>
        </w:rPr>
        <w:t xml:space="preserve">The search strategy was developed using both </w:t>
      </w:r>
      <w:r>
        <w:rPr>
          <w:rStyle w:val="Strong"/>
          <w:rFonts w:ascii="Arial" w:hAnsi="Arial" w:cs="Arial"/>
          <w:b w:val="0"/>
          <w:bCs w:val="0"/>
          <w:sz w:val="20"/>
          <w:szCs w:val="20"/>
        </w:rPr>
        <w:t xml:space="preserve">Medical Subject </w:t>
      </w:r>
      <w:r>
        <w:rPr>
          <w:rStyle w:val="Strong"/>
          <w:rFonts w:ascii="Arial" w:hAnsi="Arial" w:cs="Arial"/>
          <w:b w:val="0"/>
          <w:bCs w:val="0"/>
          <w:sz w:val="20"/>
          <w:szCs w:val="20"/>
        </w:rPr>
        <w:t>Headings (</w:t>
      </w:r>
      <w:proofErr w:type="spellStart"/>
      <w:r>
        <w:rPr>
          <w:rStyle w:val="Strong"/>
          <w:rFonts w:ascii="Arial" w:hAnsi="Arial" w:cs="Arial"/>
          <w:b w:val="0"/>
          <w:bCs w:val="0"/>
          <w:sz w:val="20"/>
          <w:szCs w:val="20"/>
        </w:rPr>
        <w:t>MeSH</w:t>
      </w:r>
      <w:proofErr w:type="spellEnd"/>
      <w:r>
        <w:rPr>
          <w:rStyle w:val="Strong"/>
          <w:rFonts w:ascii="Arial" w:hAnsi="Arial" w:cs="Arial"/>
          <w:b w:val="0"/>
          <w:bCs w:val="0"/>
          <w:sz w:val="20"/>
          <w:szCs w:val="20"/>
        </w:rPr>
        <w:t>)</w:t>
      </w:r>
      <w:r>
        <w:rPr>
          <w:rFonts w:ascii="Arial" w:hAnsi="Arial" w:cs="Arial"/>
          <w:sz w:val="20"/>
          <w:szCs w:val="20"/>
        </w:rPr>
        <w:t xml:space="preserve"> and free-text keywords. Boolean operators (AND, OR) and truncation symbols were applied to refine searches. The main search terms included combinations of:</w:t>
      </w:r>
    </w:p>
    <w:p w14:paraId="19E22166" w14:textId="77777777" w:rsidR="004C29C6" w:rsidRDefault="00800C25">
      <w:pPr>
        <w:pStyle w:val="NormalWeb"/>
        <w:jc w:val="both"/>
        <w:rPr>
          <w:rFonts w:ascii="Arial" w:hAnsi="Arial" w:cs="Arial"/>
          <w:sz w:val="20"/>
          <w:szCs w:val="20"/>
        </w:rPr>
      </w:pPr>
      <w:r>
        <w:rPr>
          <w:rFonts w:ascii="Arial" w:hAnsi="Arial" w:cs="Arial"/>
          <w:sz w:val="20"/>
          <w:szCs w:val="20"/>
        </w:rPr>
        <w:br/>
        <w:t>“seaport workers,” “dockworkers,” “port workers,” “occupational health,” “environme</w:t>
      </w:r>
      <w:r>
        <w:rPr>
          <w:rFonts w:ascii="Arial" w:hAnsi="Arial" w:cs="Arial"/>
          <w:sz w:val="20"/>
          <w:szCs w:val="20"/>
        </w:rPr>
        <w:t>ntal pollution,” “air pollution,” “noise exposure,” “water contamination,” “injuries,” “occupational hazards,” and “developing countries.”</w:t>
      </w:r>
    </w:p>
    <w:p w14:paraId="1327FB08" w14:textId="77777777" w:rsidR="004C29C6" w:rsidRDefault="004C29C6">
      <w:pPr>
        <w:pStyle w:val="NormalWeb"/>
        <w:jc w:val="both"/>
        <w:rPr>
          <w:rFonts w:ascii="Arial" w:hAnsi="Arial" w:cs="Arial"/>
          <w:sz w:val="20"/>
          <w:szCs w:val="20"/>
        </w:rPr>
      </w:pPr>
    </w:p>
    <w:p w14:paraId="7FD6257D" w14:textId="77777777" w:rsidR="004C29C6" w:rsidRDefault="00800C25">
      <w:pPr>
        <w:pStyle w:val="NormalWeb"/>
        <w:jc w:val="both"/>
        <w:rPr>
          <w:rFonts w:ascii="Arial" w:hAnsi="Arial" w:cs="Arial"/>
          <w:sz w:val="20"/>
          <w:szCs w:val="20"/>
        </w:rPr>
      </w:pPr>
      <w:r>
        <w:rPr>
          <w:rFonts w:ascii="Arial" w:hAnsi="Arial" w:cs="Arial"/>
          <w:sz w:val="20"/>
          <w:szCs w:val="20"/>
        </w:rPr>
        <w:t>An example of a full search string used in PubMed was:</w:t>
      </w:r>
    </w:p>
    <w:p w14:paraId="55692678" w14:textId="77777777" w:rsidR="004C29C6" w:rsidRDefault="00800C25">
      <w:pPr>
        <w:pStyle w:val="NormalWeb"/>
        <w:jc w:val="both"/>
        <w:rPr>
          <w:rFonts w:ascii="Arial" w:hAnsi="Arial" w:cs="Arial"/>
          <w:sz w:val="20"/>
          <w:szCs w:val="20"/>
        </w:rPr>
      </w:pPr>
      <w:r>
        <w:rPr>
          <w:rFonts w:ascii="Arial" w:hAnsi="Arial" w:cs="Arial"/>
          <w:sz w:val="20"/>
          <w:szCs w:val="20"/>
        </w:rPr>
        <w:t>(“seaport workers” OR “dockworkers” OR “port workers”) AND (“</w:t>
      </w:r>
      <w:r>
        <w:rPr>
          <w:rFonts w:ascii="Arial" w:hAnsi="Arial" w:cs="Arial"/>
          <w:sz w:val="20"/>
          <w:szCs w:val="20"/>
        </w:rPr>
        <w:t>occupational health” OR “work-related hazards” OR “environmental exposure”) AND (“developing countries” OR “low- and middle-income countries”).</w:t>
      </w:r>
    </w:p>
    <w:p w14:paraId="3DF59F63" w14:textId="77777777" w:rsidR="004C29C6" w:rsidRDefault="004C29C6">
      <w:pPr>
        <w:pStyle w:val="NormalWeb"/>
        <w:jc w:val="both"/>
        <w:rPr>
          <w:rFonts w:ascii="Arial" w:hAnsi="Arial" w:cs="Arial"/>
          <w:sz w:val="20"/>
          <w:szCs w:val="20"/>
        </w:rPr>
      </w:pPr>
    </w:p>
    <w:p w14:paraId="12F071FC" w14:textId="77777777" w:rsidR="004C29C6" w:rsidRDefault="00800C25">
      <w:pPr>
        <w:pStyle w:val="NormalWeb"/>
        <w:jc w:val="both"/>
        <w:rPr>
          <w:rFonts w:ascii="Arial" w:hAnsi="Arial" w:cs="Arial"/>
          <w:sz w:val="20"/>
          <w:szCs w:val="20"/>
        </w:rPr>
      </w:pPr>
      <w:r>
        <w:rPr>
          <w:rFonts w:ascii="Arial" w:hAnsi="Arial" w:cs="Arial"/>
          <w:sz w:val="20"/>
          <w:szCs w:val="20"/>
        </w:rPr>
        <w:lastRenderedPageBreak/>
        <w:t>To ensure comprehensive coverage, reference lists of retrieved articles were manually screened for additional e</w:t>
      </w:r>
      <w:r>
        <w:rPr>
          <w:rFonts w:ascii="Arial" w:hAnsi="Arial" w:cs="Arial"/>
          <w:sz w:val="20"/>
          <w:szCs w:val="20"/>
        </w:rPr>
        <w:t xml:space="preserve">ligible studies. Search results from all databases were exported to </w:t>
      </w:r>
      <w:r>
        <w:rPr>
          <w:rStyle w:val="Strong"/>
          <w:rFonts w:ascii="Arial" w:hAnsi="Arial" w:cs="Arial"/>
          <w:b w:val="0"/>
          <w:bCs w:val="0"/>
          <w:sz w:val="20"/>
          <w:szCs w:val="20"/>
        </w:rPr>
        <w:t>Mendeley Reference Manager</w:t>
      </w:r>
      <w:r>
        <w:rPr>
          <w:rFonts w:ascii="Arial" w:hAnsi="Arial" w:cs="Arial"/>
          <w:sz w:val="20"/>
          <w:szCs w:val="20"/>
        </w:rPr>
        <w:t xml:space="preserve"> for organization and duplicate removal.</w:t>
      </w:r>
    </w:p>
    <w:p w14:paraId="2D517BEF" w14:textId="77777777" w:rsidR="004C29C6" w:rsidRDefault="004C29C6">
      <w:pPr>
        <w:pStyle w:val="NormalWeb"/>
        <w:jc w:val="both"/>
        <w:rPr>
          <w:rFonts w:ascii="Arial" w:hAnsi="Arial" w:cs="Arial"/>
          <w:sz w:val="20"/>
          <w:szCs w:val="20"/>
        </w:rPr>
      </w:pPr>
    </w:p>
    <w:p w14:paraId="2A0C39D2" w14:textId="77777777" w:rsidR="004C29C6" w:rsidRDefault="004C29C6">
      <w:pPr>
        <w:pStyle w:val="NormalWeb"/>
        <w:jc w:val="both"/>
        <w:rPr>
          <w:rFonts w:ascii="Arial" w:hAnsi="Arial" w:cs="Arial"/>
          <w:sz w:val="20"/>
          <w:szCs w:val="20"/>
        </w:rPr>
      </w:pPr>
    </w:p>
    <w:p w14:paraId="3212F765" w14:textId="77777777" w:rsidR="004C29C6" w:rsidRDefault="00800C25">
      <w:pPr>
        <w:pStyle w:val="NormalWeb"/>
        <w:numPr>
          <w:ilvl w:val="1"/>
          <w:numId w:val="11"/>
        </w:numPr>
        <w:jc w:val="both"/>
        <w:rPr>
          <w:rFonts w:ascii="Arial" w:hAnsi="Arial" w:cs="Arial"/>
          <w:b/>
          <w:bCs/>
          <w:sz w:val="22"/>
          <w:szCs w:val="22"/>
        </w:rPr>
      </w:pPr>
      <w:r>
        <w:rPr>
          <w:rFonts w:ascii="Arial" w:hAnsi="Arial" w:cs="Arial"/>
          <w:b/>
          <w:bCs/>
          <w:sz w:val="22"/>
          <w:szCs w:val="22"/>
        </w:rPr>
        <w:t>Eligibility Criteria</w:t>
      </w:r>
    </w:p>
    <w:p w14:paraId="1CA9A9D2" w14:textId="77777777" w:rsidR="004C29C6" w:rsidRDefault="004C29C6">
      <w:pPr>
        <w:pStyle w:val="NormalWeb"/>
        <w:jc w:val="both"/>
        <w:rPr>
          <w:rFonts w:ascii="Arial" w:hAnsi="Arial" w:cs="Arial"/>
          <w:sz w:val="20"/>
          <w:szCs w:val="20"/>
        </w:rPr>
      </w:pPr>
    </w:p>
    <w:p w14:paraId="33E4A5BF" w14:textId="77777777" w:rsidR="004C29C6" w:rsidRDefault="00800C25">
      <w:pPr>
        <w:pStyle w:val="NormalWeb"/>
        <w:jc w:val="both"/>
        <w:rPr>
          <w:rFonts w:ascii="Arial" w:hAnsi="Arial" w:cs="Arial"/>
          <w:sz w:val="20"/>
          <w:szCs w:val="20"/>
        </w:rPr>
      </w:pPr>
      <w:r>
        <w:rPr>
          <w:rFonts w:ascii="Arial" w:hAnsi="Arial" w:cs="Arial"/>
          <w:sz w:val="20"/>
          <w:szCs w:val="20"/>
        </w:rPr>
        <w:t xml:space="preserve">The inclusion and exclusion criteria were established a priori based on the </w:t>
      </w:r>
      <w:r>
        <w:rPr>
          <w:rStyle w:val="Strong"/>
          <w:rFonts w:ascii="Arial" w:hAnsi="Arial" w:cs="Arial"/>
          <w:b w:val="0"/>
          <w:bCs w:val="0"/>
          <w:sz w:val="20"/>
          <w:szCs w:val="20"/>
        </w:rPr>
        <w:t>Population, Exposure,</w:t>
      </w:r>
      <w:r>
        <w:rPr>
          <w:rStyle w:val="Strong"/>
          <w:rFonts w:ascii="Arial" w:hAnsi="Arial" w:cs="Arial"/>
          <w:b w:val="0"/>
          <w:bCs w:val="0"/>
          <w:sz w:val="20"/>
          <w:szCs w:val="20"/>
        </w:rPr>
        <w:t xml:space="preserve"> Outcome, and Study Design (PEOS)</w:t>
      </w:r>
      <w:r>
        <w:rPr>
          <w:rFonts w:ascii="Arial" w:hAnsi="Arial" w:cs="Arial"/>
          <w:sz w:val="20"/>
          <w:szCs w:val="20"/>
        </w:rPr>
        <w:t xml:space="preserve"> framework.</w:t>
      </w:r>
    </w:p>
    <w:p w14:paraId="65B75CA9" w14:textId="77777777" w:rsidR="004C29C6" w:rsidRDefault="004C29C6">
      <w:pPr>
        <w:pStyle w:val="NormalWeb"/>
        <w:jc w:val="both"/>
        <w:rPr>
          <w:rFonts w:ascii="Arial" w:hAnsi="Arial" w:cs="Arial"/>
          <w:sz w:val="20"/>
          <w:szCs w:val="20"/>
        </w:rPr>
      </w:pPr>
    </w:p>
    <w:p w14:paraId="466ABC26" w14:textId="77777777" w:rsidR="004C29C6" w:rsidRDefault="00800C25">
      <w:pPr>
        <w:pStyle w:val="NormalWeb"/>
        <w:numPr>
          <w:ilvl w:val="2"/>
          <w:numId w:val="11"/>
        </w:numPr>
        <w:jc w:val="both"/>
        <w:rPr>
          <w:rFonts w:ascii="Arial" w:hAnsi="Arial" w:cs="Arial"/>
          <w:b/>
          <w:bCs/>
          <w:sz w:val="20"/>
          <w:szCs w:val="20"/>
          <w:u w:val="single"/>
        </w:rPr>
      </w:pPr>
      <w:r>
        <w:rPr>
          <w:rFonts w:ascii="Arial" w:hAnsi="Arial" w:cs="Arial"/>
          <w:b/>
          <w:bCs/>
          <w:sz w:val="20"/>
          <w:szCs w:val="20"/>
          <w:u w:val="single"/>
        </w:rPr>
        <w:t>Inclusion Criteria</w:t>
      </w:r>
    </w:p>
    <w:p w14:paraId="07C0E835" w14:textId="77777777" w:rsidR="004C29C6" w:rsidRDefault="004C29C6">
      <w:pPr>
        <w:pStyle w:val="NormalWeb"/>
        <w:jc w:val="both"/>
        <w:rPr>
          <w:rFonts w:ascii="Arial" w:hAnsi="Arial" w:cs="Arial"/>
          <w:sz w:val="20"/>
          <w:szCs w:val="20"/>
        </w:rPr>
      </w:pPr>
    </w:p>
    <w:p w14:paraId="0E98EA09" w14:textId="77777777" w:rsidR="004C29C6" w:rsidRDefault="00800C25">
      <w:pPr>
        <w:pStyle w:val="NormalWeb"/>
        <w:jc w:val="both"/>
        <w:rPr>
          <w:rFonts w:ascii="Arial" w:hAnsi="Arial" w:cs="Arial"/>
          <w:sz w:val="20"/>
          <w:szCs w:val="20"/>
        </w:rPr>
      </w:pPr>
      <w:r>
        <w:rPr>
          <w:rFonts w:ascii="Arial" w:hAnsi="Arial" w:cs="Arial"/>
          <w:sz w:val="20"/>
          <w:szCs w:val="20"/>
        </w:rPr>
        <w:t>Studies were included if they met the following conditions:</w:t>
      </w:r>
    </w:p>
    <w:p w14:paraId="1B571844" w14:textId="77777777" w:rsidR="004C29C6" w:rsidRDefault="00800C25">
      <w:pPr>
        <w:numPr>
          <w:ilvl w:val="0"/>
          <w:numId w:val="12"/>
        </w:numPr>
        <w:spacing w:before="100" w:beforeAutospacing="1" w:after="100" w:afterAutospacing="1"/>
        <w:jc w:val="both"/>
        <w:rPr>
          <w:rFonts w:ascii="Arial" w:hAnsi="Arial" w:cs="Arial"/>
        </w:rPr>
      </w:pPr>
      <w:r>
        <w:rPr>
          <w:rFonts w:ascii="Arial" w:hAnsi="Arial" w:cs="Arial"/>
        </w:rPr>
        <w:t>Conducted among seaport, dock, or maritime workers in developing or low- and middle-income countries.</w:t>
      </w:r>
    </w:p>
    <w:p w14:paraId="774A96A2" w14:textId="77777777" w:rsidR="004C29C6" w:rsidRDefault="00800C25">
      <w:pPr>
        <w:numPr>
          <w:ilvl w:val="0"/>
          <w:numId w:val="12"/>
        </w:numPr>
        <w:spacing w:before="100" w:beforeAutospacing="1" w:after="100" w:afterAutospacing="1"/>
        <w:jc w:val="both"/>
        <w:rPr>
          <w:rFonts w:ascii="Arial" w:hAnsi="Arial" w:cs="Arial"/>
        </w:rPr>
      </w:pPr>
      <w:r>
        <w:rPr>
          <w:rFonts w:ascii="Arial" w:hAnsi="Arial" w:cs="Arial"/>
        </w:rPr>
        <w:t xml:space="preserve">Examined at least one type </w:t>
      </w:r>
      <w:r>
        <w:rPr>
          <w:rFonts w:ascii="Arial" w:hAnsi="Arial" w:cs="Arial"/>
        </w:rPr>
        <w:t>of environmental or occupational hazard, such as air, water, or noise pollution, ergonomic risks, chemical exposure, or injury patterns.</w:t>
      </w:r>
    </w:p>
    <w:p w14:paraId="0381ABF5" w14:textId="77777777" w:rsidR="004C29C6" w:rsidRDefault="00800C25">
      <w:pPr>
        <w:numPr>
          <w:ilvl w:val="0"/>
          <w:numId w:val="12"/>
        </w:numPr>
        <w:spacing w:before="100" w:beforeAutospacing="1" w:after="100" w:afterAutospacing="1"/>
        <w:jc w:val="both"/>
        <w:rPr>
          <w:rFonts w:ascii="Arial" w:hAnsi="Arial" w:cs="Arial"/>
        </w:rPr>
      </w:pPr>
      <w:r>
        <w:rPr>
          <w:rFonts w:ascii="Arial" w:hAnsi="Arial" w:cs="Arial"/>
        </w:rPr>
        <w:t>Reported quantitative or qualitative data on exposure, health outcomes, or preventive practices.</w:t>
      </w:r>
    </w:p>
    <w:p w14:paraId="20AE8716" w14:textId="77777777" w:rsidR="004C29C6" w:rsidRDefault="00800C25">
      <w:pPr>
        <w:numPr>
          <w:ilvl w:val="0"/>
          <w:numId w:val="12"/>
        </w:numPr>
        <w:spacing w:before="100" w:beforeAutospacing="1" w:after="100" w:afterAutospacing="1"/>
        <w:jc w:val="both"/>
        <w:rPr>
          <w:rFonts w:ascii="Arial" w:hAnsi="Arial" w:cs="Arial"/>
        </w:rPr>
      </w:pPr>
      <w:r>
        <w:rPr>
          <w:rFonts w:ascii="Arial" w:hAnsi="Arial" w:cs="Arial"/>
        </w:rPr>
        <w:t xml:space="preserve">Published between </w:t>
      </w:r>
      <w:r>
        <w:rPr>
          <w:rStyle w:val="Strong"/>
          <w:rFonts w:ascii="Arial" w:hAnsi="Arial" w:cs="Arial"/>
        </w:rPr>
        <w:t>2010</w:t>
      </w:r>
      <w:r>
        <w:rPr>
          <w:rStyle w:val="Strong"/>
          <w:rFonts w:ascii="Arial" w:hAnsi="Arial" w:cs="Arial"/>
        </w:rPr>
        <w:t xml:space="preserve"> and 2025</w:t>
      </w:r>
      <w:r>
        <w:rPr>
          <w:rFonts w:ascii="Arial" w:hAnsi="Arial" w:cs="Arial"/>
        </w:rPr>
        <w:t xml:space="preserve"> in peer-reviewed journals or institutional repositories.</w:t>
      </w:r>
    </w:p>
    <w:p w14:paraId="6281097E" w14:textId="77777777" w:rsidR="004C29C6" w:rsidRDefault="00800C25">
      <w:pPr>
        <w:numPr>
          <w:ilvl w:val="0"/>
          <w:numId w:val="12"/>
        </w:numPr>
        <w:spacing w:before="100" w:beforeAutospacing="1" w:after="100" w:afterAutospacing="1"/>
        <w:jc w:val="both"/>
        <w:rPr>
          <w:rFonts w:ascii="Arial" w:hAnsi="Arial" w:cs="Arial"/>
        </w:rPr>
      </w:pPr>
      <w:r>
        <w:rPr>
          <w:rFonts w:ascii="Arial" w:hAnsi="Arial" w:cs="Arial"/>
        </w:rPr>
        <w:t>Written in English.</w:t>
      </w:r>
    </w:p>
    <w:p w14:paraId="0B5610F3" w14:textId="77777777" w:rsidR="004C29C6" w:rsidRDefault="00800C25">
      <w:pPr>
        <w:spacing w:before="100" w:beforeAutospacing="1" w:after="100" w:afterAutospacing="1"/>
        <w:rPr>
          <w:b/>
          <w:bCs/>
          <w:u w:val="single"/>
        </w:rPr>
      </w:pPr>
      <w:r>
        <w:rPr>
          <w:rFonts w:ascii="Arial" w:hAnsi="Arial" w:cs="Arial"/>
          <w:b/>
          <w:bCs/>
          <w:u w:val="single"/>
        </w:rPr>
        <w:t>5.3.2 Exclusion Criteria</w:t>
      </w:r>
    </w:p>
    <w:p w14:paraId="7FD4FC83" w14:textId="77777777" w:rsidR="004C29C6" w:rsidRDefault="00800C25">
      <w:pPr>
        <w:pStyle w:val="NormalWeb"/>
        <w:jc w:val="both"/>
        <w:rPr>
          <w:rFonts w:ascii="Arial" w:hAnsi="Arial" w:cs="Arial"/>
          <w:sz w:val="20"/>
          <w:szCs w:val="20"/>
        </w:rPr>
      </w:pPr>
      <w:r>
        <w:rPr>
          <w:rFonts w:ascii="Arial" w:hAnsi="Arial" w:cs="Arial"/>
          <w:sz w:val="20"/>
          <w:szCs w:val="20"/>
        </w:rPr>
        <w:t>Studies were excluded if they:</w:t>
      </w:r>
    </w:p>
    <w:p w14:paraId="28E81D4F" w14:textId="77777777" w:rsidR="004C29C6" w:rsidRDefault="00800C25">
      <w:pPr>
        <w:numPr>
          <w:ilvl w:val="0"/>
          <w:numId w:val="13"/>
        </w:numPr>
        <w:spacing w:before="100" w:beforeAutospacing="1" w:after="100" w:afterAutospacing="1"/>
        <w:jc w:val="both"/>
        <w:rPr>
          <w:rFonts w:ascii="Arial" w:hAnsi="Arial" w:cs="Arial"/>
        </w:rPr>
      </w:pPr>
      <w:r>
        <w:rPr>
          <w:rFonts w:ascii="Arial" w:hAnsi="Arial" w:cs="Arial"/>
        </w:rPr>
        <w:t>Focused on fishermen, naval personnel, or offshore oil workers not directly involved in port operations.</w:t>
      </w:r>
    </w:p>
    <w:p w14:paraId="6BB932F1" w14:textId="77777777" w:rsidR="004C29C6" w:rsidRDefault="00800C25">
      <w:pPr>
        <w:numPr>
          <w:ilvl w:val="0"/>
          <w:numId w:val="13"/>
        </w:numPr>
        <w:spacing w:before="100" w:beforeAutospacing="1" w:after="100" w:afterAutospacing="1"/>
        <w:jc w:val="both"/>
        <w:rPr>
          <w:rFonts w:ascii="Arial" w:hAnsi="Arial" w:cs="Arial"/>
        </w:rPr>
      </w:pPr>
      <w:r>
        <w:rPr>
          <w:rFonts w:ascii="Arial" w:hAnsi="Arial" w:cs="Arial"/>
        </w:rPr>
        <w:t>Were rev</w:t>
      </w:r>
      <w:r>
        <w:rPr>
          <w:rFonts w:ascii="Arial" w:hAnsi="Arial" w:cs="Arial"/>
        </w:rPr>
        <w:t>iews, commentaries, editorials, or policy briefs without primary data.</w:t>
      </w:r>
    </w:p>
    <w:p w14:paraId="3AE44030" w14:textId="77777777" w:rsidR="004C29C6" w:rsidRDefault="00800C25">
      <w:pPr>
        <w:numPr>
          <w:ilvl w:val="0"/>
          <w:numId w:val="13"/>
        </w:numPr>
        <w:spacing w:before="100" w:beforeAutospacing="1" w:after="100" w:afterAutospacing="1"/>
        <w:jc w:val="both"/>
        <w:rPr>
          <w:rFonts w:ascii="Arial" w:hAnsi="Arial" w:cs="Arial"/>
        </w:rPr>
      </w:pPr>
      <w:r>
        <w:rPr>
          <w:rFonts w:ascii="Arial" w:hAnsi="Arial" w:cs="Arial"/>
        </w:rPr>
        <w:t>Did not report specific health outcomes or exposure metrics related to seaport environments.</w:t>
      </w:r>
    </w:p>
    <w:p w14:paraId="617F35FF" w14:textId="77777777" w:rsidR="004C29C6" w:rsidRDefault="00800C25">
      <w:pPr>
        <w:numPr>
          <w:ilvl w:val="0"/>
          <w:numId w:val="13"/>
        </w:numPr>
        <w:spacing w:before="100" w:beforeAutospacing="1" w:after="100" w:afterAutospacing="1"/>
        <w:jc w:val="both"/>
        <w:rPr>
          <w:rFonts w:ascii="Arial" w:hAnsi="Arial" w:cs="Arial"/>
        </w:rPr>
      </w:pPr>
      <w:r>
        <w:rPr>
          <w:rFonts w:ascii="Arial" w:hAnsi="Arial" w:cs="Arial"/>
        </w:rPr>
        <w:t>Were published before 2010 or not accessible in full text.</w:t>
      </w:r>
    </w:p>
    <w:p w14:paraId="68475931" w14:textId="77777777" w:rsidR="004C29C6" w:rsidRDefault="00800C25">
      <w:pPr>
        <w:spacing w:before="100" w:beforeAutospacing="1" w:after="100" w:afterAutospacing="1"/>
        <w:jc w:val="both"/>
      </w:pPr>
      <w:r>
        <w:rPr>
          <w:rFonts w:ascii="Arial" w:hAnsi="Arial" w:cs="Arial"/>
          <w:b/>
          <w:bCs/>
          <w:sz w:val="22"/>
          <w:szCs w:val="22"/>
        </w:rPr>
        <w:t>5.4 Study Selection Process</w:t>
      </w:r>
    </w:p>
    <w:p w14:paraId="143599AD" w14:textId="77777777" w:rsidR="004C29C6" w:rsidRDefault="00800C25">
      <w:pPr>
        <w:pStyle w:val="NormalWeb"/>
        <w:jc w:val="both"/>
        <w:rPr>
          <w:rFonts w:ascii="Arial" w:hAnsi="Arial" w:cs="Arial"/>
          <w:sz w:val="20"/>
          <w:szCs w:val="20"/>
        </w:rPr>
      </w:pPr>
      <w:r>
        <w:rPr>
          <w:rFonts w:ascii="Arial" w:hAnsi="Arial" w:cs="Arial"/>
          <w:sz w:val="20"/>
          <w:szCs w:val="20"/>
        </w:rPr>
        <w:t>The s</w:t>
      </w:r>
      <w:r>
        <w:rPr>
          <w:rFonts w:ascii="Arial" w:hAnsi="Arial" w:cs="Arial"/>
          <w:sz w:val="20"/>
          <w:szCs w:val="20"/>
        </w:rPr>
        <w:t>tudy selection process was conducted in three stages. In the first stage, all retrieved titles and abstracts were screened independently by two reviewers to determine initial relevance. In the second stage, potentially eligible full-text articles were asse</w:t>
      </w:r>
      <w:r>
        <w:rPr>
          <w:rFonts w:ascii="Arial" w:hAnsi="Arial" w:cs="Arial"/>
          <w:sz w:val="20"/>
          <w:szCs w:val="20"/>
        </w:rPr>
        <w:t>ssed against the inclusion and exclusion criteria. Discrepancies between reviewers were resolved through discussion and consensus, and a third reviewer was consulted where necessary.</w:t>
      </w:r>
    </w:p>
    <w:p w14:paraId="67553266" w14:textId="77777777" w:rsidR="004C29C6" w:rsidRDefault="00800C25">
      <w:pPr>
        <w:pStyle w:val="NormalWeb"/>
        <w:jc w:val="both"/>
        <w:rPr>
          <w:rFonts w:ascii="Arial" w:hAnsi="Arial" w:cs="Arial"/>
          <w:sz w:val="20"/>
          <w:szCs w:val="20"/>
        </w:rPr>
      </w:pPr>
      <w:r>
        <w:rPr>
          <w:rFonts w:ascii="Arial" w:hAnsi="Arial" w:cs="Arial"/>
          <w:sz w:val="20"/>
          <w:szCs w:val="20"/>
        </w:rPr>
        <w:t>The third stage involved the removal of duplicates and non-relevant studi</w:t>
      </w:r>
      <w:r>
        <w:rPr>
          <w:rFonts w:ascii="Arial" w:hAnsi="Arial" w:cs="Arial"/>
          <w:sz w:val="20"/>
          <w:szCs w:val="20"/>
        </w:rPr>
        <w:t xml:space="preserve">es, after which eligible articles were retained for detailed data extraction. The selection process followed the PRISMA 2020 flowchart, which documented the number of studies identified, screened, excluded, and finally included in the review (Page et al., </w:t>
      </w:r>
      <w:r>
        <w:rPr>
          <w:rFonts w:ascii="Arial" w:hAnsi="Arial" w:cs="Arial"/>
          <w:sz w:val="20"/>
          <w:szCs w:val="20"/>
        </w:rPr>
        <w:t>2021).</w:t>
      </w:r>
    </w:p>
    <w:p w14:paraId="4A7B67DE" w14:textId="77777777" w:rsidR="004C29C6" w:rsidRDefault="004C29C6">
      <w:pPr>
        <w:pStyle w:val="NormalWeb"/>
        <w:jc w:val="both"/>
        <w:rPr>
          <w:rFonts w:ascii="Arial" w:hAnsi="Arial" w:cs="Arial"/>
          <w:sz w:val="20"/>
          <w:szCs w:val="20"/>
        </w:rPr>
      </w:pPr>
    </w:p>
    <w:p w14:paraId="7B4C904D" w14:textId="77777777" w:rsidR="004C29C6" w:rsidRDefault="00800C25">
      <w:pPr>
        <w:pStyle w:val="NormalWeb"/>
        <w:numPr>
          <w:ilvl w:val="1"/>
          <w:numId w:val="11"/>
        </w:numPr>
        <w:jc w:val="both"/>
        <w:rPr>
          <w:rFonts w:ascii="Arial" w:hAnsi="Arial" w:cs="Arial"/>
          <w:b/>
          <w:bCs/>
          <w:sz w:val="22"/>
          <w:szCs w:val="22"/>
        </w:rPr>
      </w:pPr>
      <w:r>
        <w:rPr>
          <w:rFonts w:ascii="Arial" w:hAnsi="Arial" w:cs="Arial"/>
          <w:b/>
          <w:bCs/>
          <w:sz w:val="22"/>
          <w:szCs w:val="22"/>
        </w:rPr>
        <w:t>Data Extraction</w:t>
      </w:r>
    </w:p>
    <w:p w14:paraId="4348E650" w14:textId="77777777" w:rsidR="004C29C6" w:rsidRDefault="004C29C6">
      <w:pPr>
        <w:pStyle w:val="NormalWeb"/>
        <w:jc w:val="both"/>
        <w:rPr>
          <w:rFonts w:ascii="Arial" w:hAnsi="Arial" w:cs="Arial"/>
          <w:b/>
          <w:bCs/>
          <w:sz w:val="22"/>
          <w:szCs w:val="22"/>
        </w:rPr>
      </w:pPr>
    </w:p>
    <w:p w14:paraId="5EB86D24" w14:textId="77777777" w:rsidR="004C29C6" w:rsidRDefault="00800C25">
      <w:pPr>
        <w:pStyle w:val="NormalWeb"/>
        <w:jc w:val="both"/>
        <w:rPr>
          <w:rFonts w:ascii="Arial" w:hAnsi="Arial" w:cs="Arial"/>
          <w:sz w:val="20"/>
          <w:szCs w:val="20"/>
        </w:rPr>
      </w:pPr>
      <w:r>
        <w:rPr>
          <w:rFonts w:ascii="Arial" w:hAnsi="Arial" w:cs="Arial"/>
          <w:sz w:val="20"/>
          <w:szCs w:val="20"/>
        </w:rPr>
        <w:t>A standardized data extraction form was designed to ensure uniformity in the collection of study characteristics and findings. Information extracted included:</w:t>
      </w:r>
    </w:p>
    <w:p w14:paraId="643FF55D" w14:textId="77777777" w:rsidR="004C29C6" w:rsidRDefault="00800C25">
      <w:pPr>
        <w:numPr>
          <w:ilvl w:val="0"/>
          <w:numId w:val="14"/>
        </w:numPr>
        <w:spacing w:before="100" w:beforeAutospacing="1" w:after="100" w:afterAutospacing="1"/>
        <w:jc w:val="both"/>
        <w:rPr>
          <w:rFonts w:ascii="Arial" w:hAnsi="Arial" w:cs="Arial"/>
        </w:rPr>
      </w:pPr>
      <w:r>
        <w:rPr>
          <w:rFonts w:ascii="Arial" w:hAnsi="Arial" w:cs="Arial"/>
        </w:rPr>
        <w:t>Author(s), year of publication, and country of study.</w:t>
      </w:r>
    </w:p>
    <w:p w14:paraId="04B4D139" w14:textId="77777777" w:rsidR="004C29C6" w:rsidRDefault="00800C25">
      <w:pPr>
        <w:numPr>
          <w:ilvl w:val="0"/>
          <w:numId w:val="14"/>
        </w:numPr>
        <w:spacing w:before="100" w:beforeAutospacing="1" w:after="100" w:afterAutospacing="1"/>
        <w:jc w:val="both"/>
        <w:rPr>
          <w:rFonts w:ascii="Arial" w:hAnsi="Arial" w:cs="Arial"/>
        </w:rPr>
      </w:pPr>
      <w:r>
        <w:rPr>
          <w:rFonts w:ascii="Arial" w:hAnsi="Arial" w:cs="Arial"/>
        </w:rPr>
        <w:t>Study design and s</w:t>
      </w:r>
      <w:r>
        <w:rPr>
          <w:rFonts w:ascii="Arial" w:hAnsi="Arial" w:cs="Arial"/>
        </w:rPr>
        <w:t>ample size.</w:t>
      </w:r>
    </w:p>
    <w:p w14:paraId="27CB226B" w14:textId="77777777" w:rsidR="004C29C6" w:rsidRDefault="00800C25">
      <w:pPr>
        <w:numPr>
          <w:ilvl w:val="0"/>
          <w:numId w:val="14"/>
        </w:numPr>
        <w:spacing w:before="100" w:beforeAutospacing="1" w:after="100" w:afterAutospacing="1"/>
        <w:jc w:val="both"/>
        <w:rPr>
          <w:rFonts w:ascii="Arial" w:hAnsi="Arial" w:cs="Arial"/>
        </w:rPr>
      </w:pPr>
      <w:r>
        <w:rPr>
          <w:rFonts w:ascii="Arial" w:hAnsi="Arial" w:cs="Arial"/>
        </w:rPr>
        <w:t>Type of environmental or occupational hazard investigated.</w:t>
      </w:r>
    </w:p>
    <w:p w14:paraId="36F42AE1" w14:textId="77777777" w:rsidR="004C29C6" w:rsidRDefault="00800C25">
      <w:pPr>
        <w:numPr>
          <w:ilvl w:val="0"/>
          <w:numId w:val="14"/>
        </w:numPr>
        <w:spacing w:before="100" w:beforeAutospacing="1" w:after="100" w:afterAutospacing="1"/>
        <w:jc w:val="both"/>
        <w:rPr>
          <w:rFonts w:ascii="Arial" w:hAnsi="Arial" w:cs="Arial"/>
        </w:rPr>
      </w:pPr>
      <w:r>
        <w:rPr>
          <w:rFonts w:ascii="Arial" w:hAnsi="Arial" w:cs="Arial"/>
        </w:rPr>
        <w:lastRenderedPageBreak/>
        <w:t>Measured exposure levels (e.g., PM</w:t>
      </w:r>
      <w:proofErr w:type="gramStart"/>
      <w:r>
        <w:rPr>
          <w:rFonts w:ascii="Arial" w:hAnsi="Arial" w:cs="Arial"/>
        </w:rPr>
        <w:t>₂.₅</w:t>
      </w:r>
      <w:proofErr w:type="gramEnd"/>
      <w:r>
        <w:rPr>
          <w:rFonts w:ascii="Arial" w:hAnsi="Arial" w:cs="Arial"/>
        </w:rPr>
        <w:t>, noise dB(A), heavy metal concentrations).</w:t>
      </w:r>
    </w:p>
    <w:p w14:paraId="501DC291" w14:textId="77777777" w:rsidR="004C29C6" w:rsidRDefault="00800C25">
      <w:pPr>
        <w:numPr>
          <w:ilvl w:val="0"/>
          <w:numId w:val="14"/>
        </w:numPr>
        <w:spacing w:before="100" w:beforeAutospacing="1" w:after="100" w:afterAutospacing="1"/>
        <w:jc w:val="both"/>
        <w:rPr>
          <w:rFonts w:ascii="Arial" w:hAnsi="Arial" w:cs="Arial"/>
        </w:rPr>
      </w:pPr>
      <w:r>
        <w:rPr>
          <w:rFonts w:ascii="Arial" w:hAnsi="Arial" w:cs="Arial"/>
        </w:rPr>
        <w:t>Reported health outcomes (e.g., respiratory illness, hearing loss, injuries).</w:t>
      </w:r>
    </w:p>
    <w:p w14:paraId="20BE23CC" w14:textId="77777777" w:rsidR="004C29C6" w:rsidRDefault="00800C25">
      <w:pPr>
        <w:numPr>
          <w:ilvl w:val="0"/>
          <w:numId w:val="14"/>
        </w:numPr>
        <w:spacing w:before="100" w:beforeAutospacing="1" w:after="100" w:afterAutospacing="1"/>
        <w:jc w:val="both"/>
        <w:rPr>
          <w:rFonts w:ascii="Arial" w:hAnsi="Arial" w:cs="Arial"/>
        </w:rPr>
      </w:pPr>
      <w:r>
        <w:rPr>
          <w:rFonts w:ascii="Arial" w:hAnsi="Arial" w:cs="Arial"/>
        </w:rPr>
        <w:t xml:space="preserve">Preventive measures or </w:t>
      </w:r>
      <w:r>
        <w:rPr>
          <w:rFonts w:ascii="Arial" w:hAnsi="Arial" w:cs="Arial"/>
        </w:rPr>
        <w:t>safety practices identified.</w:t>
      </w:r>
    </w:p>
    <w:p w14:paraId="39700AE6" w14:textId="77777777" w:rsidR="004C29C6" w:rsidRDefault="00800C25">
      <w:pPr>
        <w:numPr>
          <w:ilvl w:val="0"/>
          <w:numId w:val="14"/>
        </w:numPr>
        <w:spacing w:before="100" w:beforeAutospacing="1" w:after="100" w:afterAutospacing="1"/>
        <w:jc w:val="both"/>
        <w:rPr>
          <w:rFonts w:ascii="Arial" w:hAnsi="Arial" w:cs="Arial"/>
        </w:rPr>
      </w:pPr>
      <w:r>
        <w:rPr>
          <w:rFonts w:ascii="Arial" w:hAnsi="Arial" w:cs="Arial"/>
        </w:rPr>
        <w:t>Key conclusions and limitations.</w:t>
      </w:r>
    </w:p>
    <w:p w14:paraId="1A5EDF77" w14:textId="77777777" w:rsidR="004C29C6" w:rsidRDefault="00800C25">
      <w:pPr>
        <w:pStyle w:val="NormalWeb"/>
        <w:jc w:val="both"/>
        <w:rPr>
          <w:rFonts w:ascii="Arial" w:hAnsi="Arial" w:cs="Arial"/>
          <w:sz w:val="20"/>
          <w:szCs w:val="20"/>
        </w:rPr>
      </w:pPr>
      <w:r>
        <w:rPr>
          <w:rFonts w:ascii="Arial" w:hAnsi="Arial" w:cs="Arial"/>
          <w:sz w:val="20"/>
          <w:szCs w:val="20"/>
        </w:rPr>
        <w:t>Data extraction was performed manually by two independent reviewers to ensure accuracy and completeness. Any disagreements were resolved through consensus.</w:t>
      </w:r>
    </w:p>
    <w:p w14:paraId="44AF9DC4" w14:textId="77777777" w:rsidR="004C29C6" w:rsidRDefault="004C29C6">
      <w:pPr>
        <w:pStyle w:val="NormalWeb"/>
        <w:jc w:val="both"/>
        <w:rPr>
          <w:rFonts w:ascii="Arial" w:hAnsi="Arial" w:cs="Arial"/>
          <w:sz w:val="20"/>
          <w:szCs w:val="20"/>
        </w:rPr>
      </w:pPr>
    </w:p>
    <w:p w14:paraId="20443143" w14:textId="77777777" w:rsidR="004C29C6" w:rsidRDefault="00800C25">
      <w:pPr>
        <w:pStyle w:val="NormalWeb"/>
        <w:numPr>
          <w:ilvl w:val="1"/>
          <w:numId w:val="11"/>
        </w:numPr>
        <w:jc w:val="both"/>
        <w:rPr>
          <w:rFonts w:ascii="Arial" w:hAnsi="Arial" w:cs="Arial"/>
          <w:b/>
          <w:bCs/>
          <w:sz w:val="22"/>
          <w:szCs w:val="22"/>
        </w:rPr>
      </w:pPr>
      <w:r>
        <w:rPr>
          <w:rFonts w:ascii="Arial" w:hAnsi="Arial" w:cs="Arial"/>
          <w:b/>
          <w:bCs/>
          <w:sz w:val="22"/>
          <w:szCs w:val="22"/>
        </w:rPr>
        <w:t>Quality Assessment of Included Studie</w:t>
      </w:r>
      <w:r>
        <w:rPr>
          <w:rFonts w:ascii="Arial" w:hAnsi="Arial" w:cs="Arial"/>
          <w:b/>
          <w:bCs/>
          <w:sz w:val="22"/>
          <w:szCs w:val="22"/>
        </w:rPr>
        <w:t>s</w:t>
      </w:r>
    </w:p>
    <w:p w14:paraId="73228EA2" w14:textId="77777777" w:rsidR="004C29C6" w:rsidRDefault="004C29C6">
      <w:pPr>
        <w:pStyle w:val="NormalWeb"/>
        <w:jc w:val="both"/>
        <w:rPr>
          <w:rFonts w:ascii="Arial" w:hAnsi="Arial" w:cs="Arial"/>
          <w:b/>
          <w:bCs/>
          <w:sz w:val="22"/>
          <w:szCs w:val="22"/>
        </w:rPr>
      </w:pPr>
    </w:p>
    <w:p w14:paraId="0FC6DF01" w14:textId="77777777" w:rsidR="004C29C6" w:rsidRDefault="00800C25">
      <w:pPr>
        <w:pStyle w:val="NormalWeb"/>
        <w:jc w:val="both"/>
        <w:rPr>
          <w:rFonts w:ascii="Arial" w:hAnsi="Arial" w:cs="Arial"/>
          <w:sz w:val="20"/>
          <w:szCs w:val="20"/>
        </w:rPr>
      </w:pPr>
      <w:r>
        <w:rPr>
          <w:rFonts w:ascii="Arial" w:hAnsi="Arial" w:cs="Arial"/>
          <w:sz w:val="20"/>
          <w:szCs w:val="20"/>
        </w:rPr>
        <w:t xml:space="preserve">The methodological quality and risk of bias of the included studies were appraised using the </w:t>
      </w:r>
      <w:r>
        <w:rPr>
          <w:rStyle w:val="Strong"/>
          <w:rFonts w:ascii="Arial" w:hAnsi="Arial" w:cs="Arial"/>
          <w:b w:val="0"/>
          <w:bCs w:val="0"/>
          <w:sz w:val="20"/>
          <w:szCs w:val="20"/>
        </w:rPr>
        <w:t>Joanna Briggs Institute (JBI) Critical Appraisal Checklist</w:t>
      </w:r>
      <w:r>
        <w:rPr>
          <w:rFonts w:ascii="Arial" w:hAnsi="Arial" w:cs="Arial"/>
          <w:sz w:val="20"/>
          <w:szCs w:val="20"/>
        </w:rPr>
        <w:t xml:space="preserve"> for cross-sectional and observational studies (JBI, 2020). Each study was assessed against criteria such as clarity of objectives, validity of measurement instruments, representativeness of samples, and appropriateness of statistical analyses. Studies wer</w:t>
      </w:r>
      <w:r>
        <w:rPr>
          <w:rFonts w:ascii="Arial" w:hAnsi="Arial" w:cs="Arial"/>
          <w:sz w:val="20"/>
          <w:szCs w:val="20"/>
        </w:rPr>
        <w:t>e rated as high, moderate, or low quality. Sensitivity analyses were conducted by excluding low-quality studies to determine their effect on the overall findings.</w:t>
      </w:r>
    </w:p>
    <w:p w14:paraId="5B65F078" w14:textId="77777777" w:rsidR="004C29C6" w:rsidRDefault="004C29C6">
      <w:pPr>
        <w:pStyle w:val="NormalWeb"/>
        <w:jc w:val="both"/>
        <w:rPr>
          <w:rFonts w:ascii="Arial" w:hAnsi="Arial" w:cs="Arial"/>
          <w:sz w:val="20"/>
          <w:szCs w:val="20"/>
        </w:rPr>
      </w:pPr>
    </w:p>
    <w:p w14:paraId="70C713E4" w14:textId="77777777" w:rsidR="004C29C6" w:rsidRDefault="00800C25">
      <w:pPr>
        <w:pStyle w:val="NormalWeb"/>
        <w:numPr>
          <w:ilvl w:val="1"/>
          <w:numId w:val="11"/>
        </w:numPr>
        <w:jc w:val="both"/>
        <w:rPr>
          <w:rFonts w:ascii="Arial" w:hAnsi="Arial" w:cs="Arial"/>
          <w:b/>
          <w:bCs/>
          <w:sz w:val="22"/>
          <w:szCs w:val="22"/>
        </w:rPr>
      </w:pPr>
      <w:r>
        <w:rPr>
          <w:rFonts w:ascii="Arial" w:hAnsi="Arial" w:cs="Arial"/>
          <w:b/>
          <w:bCs/>
          <w:sz w:val="22"/>
          <w:szCs w:val="22"/>
        </w:rPr>
        <w:t>Data Synthesis and Analysis</w:t>
      </w:r>
    </w:p>
    <w:p w14:paraId="20530C0A" w14:textId="77777777" w:rsidR="004C29C6" w:rsidRDefault="004C29C6">
      <w:pPr>
        <w:pStyle w:val="NormalWeb"/>
        <w:jc w:val="both"/>
        <w:rPr>
          <w:rFonts w:ascii="Arial" w:hAnsi="Arial" w:cs="Arial"/>
          <w:b/>
          <w:bCs/>
          <w:sz w:val="22"/>
          <w:szCs w:val="22"/>
        </w:rPr>
      </w:pPr>
    </w:p>
    <w:p w14:paraId="2D019900" w14:textId="77777777" w:rsidR="004C29C6" w:rsidRDefault="00800C25">
      <w:pPr>
        <w:pStyle w:val="NormalWeb"/>
        <w:jc w:val="both"/>
        <w:rPr>
          <w:rFonts w:ascii="Arial" w:hAnsi="Arial" w:cs="Arial"/>
          <w:sz w:val="20"/>
          <w:szCs w:val="20"/>
        </w:rPr>
      </w:pPr>
      <w:r>
        <w:rPr>
          <w:rFonts w:ascii="Arial" w:hAnsi="Arial" w:cs="Arial"/>
          <w:sz w:val="20"/>
          <w:szCs w:val="20"/>
        </w:rPr>
        <w:t>Given the heterogeneity of study designs, exposures, and outcom</w:t>
      </w:r>
      <w:r>
        <w:rPr>
          <w:rFonts w:ascii="Arial" w:hAnsi="Arial" w:cs="Arial"/>
          <w:sz w:val="20"/>
          <w:szCs w:val="20"/>
        </w:rPr>
        <w:t xml:space="preserve">e measures, a </w:t>
      </w:r>
      <w:r>
        <w:rPr>
          <w:rStyle w:val="Strong"/>
          <w:rFonts w:ascii="Arial" w:hAnsi="Arial" w:cs="Arial"/>
          <w:b w:val="0"/>
          <w:bCs w:val="0"/>
          <w:sz w:val="20"/>
          <w:szCs w:val="20"/>
        </w:rPr>
        <w:t>narrative synthesis</w:t>
      </w:r>
      <w:r>
        <w:rPr>
          <w:rFonts w:ascii="Arial" w:hAnsi="Arial" w:cs="Arial"/>
          <w:sz w:val="20"/>
          <w:szCs w:val="20"/>
        </w:rPr>
        <w:t xml:space="preserve"> approach was adopted. Quantitative data such as prevalence rates, exposure levels, and risk estimates were summarized descriptively, while qualitative findings were thematically analyzed to identify recurring patterns and </w:t>
      </w:r>
      <w:r>
        <w:rPr>
          <w:rFonts w:ascii="Arial" w:hAnsi="Arial" w:cs="Arial"/>
          <w:sz w:val="20"/>
          <w:szCs w:val="20"/>
        </w:rPr>
        <w:t>contextual factors.</w:t>
      </w:r>
    </w:p>
    <w:p w14:paraId="315765C6" w14:textId="77777777" w:rsidR="004C29C6" w:rsidRDefault="00800C25">
      <w:pPr>
        <w:pStyle w:val="NormalWeb"/>
        <w:jc w:val="both"/>
        <w:rPr>
          <w:rFonts w:ascii="Arial" w:hAnsi="Arial" w:cs="Arial"/>
          <w:sz w:val="20"/>
          <w:szCs w:val="20"/>
        </w:rPr>
      </w:pPr>
      <w:r>
        <w:rPr>
          <w:rFonts w:ascii="Arial" w:hAnsi="Arial" w:cs="Arial"/>
          <w:sz w:val="20"/>
          <w:szCs w:val="20"/>
        </w:rPr>
        <w:t>Findings were organized under key thematic domains, including:</w:t>
      </w:r>
    </w:p>
    <w:p w14:paraId="00E82F6E" w14:textId="77777777" w:rsidR="004C29C6" w:rsidRDefault="00800C25">
      <w:pPr>
        <w:numPr>
          <w:ilvl w:val="0"/>
          <w:numId w:val="15"/>
        </w:numPr>
        <w:spacing w:before="100" w:beforeAutospacing="1" w:after="100" w:afterAutospacing="1"/>
        <w:jc w:val="both"/>
        <w:rPr>
          <w:rFonts w:ascii="Arial" w:hAnsi="Arial" w:cs="Arial"/>
        </w:rPr>
      </w:pPr>
      <w:r>
        <w:rPr>
          <w:rFonts w:ascii="Arial" w:hAnsi="Arial" w:cs="Arial"/>
        </w:rPr>
        <w:t>Types and prevalence of occupational and environmental hazards.</w:t>
      </w:r>
    </w:p>
    <w:p w14:paraId="667041E9" w14:textId="77777777" w:rsidR="004C29C6" w:rsidRDefault="00800C25">
      <w:pPr>
        <w:numPr>
          <w:ilvl w:val="0"/>
          <w:numId w:val="15"/>
        </w:numPr>
        <w:spacing w:before="100" w:beforeAutospacing="1" w:after="100" w:afterAutospacing="1"/>
        <w:jc w:val="both"/>
        <w:rPr>
          <w:rFonts w:ascii="Arial" w:hAnsi="Arial" w:cs="Arial"/>
        </w:rPr>
      </w:pPr>
      <w:r>
        <w:rPr>
          <w:rFonts w:ascii="Arial" w:hAnsi="Arial" w:cs="Arial"/>
        </w:rPr>
        <w:t>Regional variations in exposure and health outcomes.</w:t>
      </w:r>
    </w:p>
    <w:p w14:paraId="7B9D7543" w14:textId="77777777" w:rsidR="004C29C6" w:rsidRDefault="00800C25">
      <w:pPr>
        <w:numPr>
          <w:ilvl w:val="0"/>
          <w:numId w:val="15"/>
        </w:numPr>
        <w:spacing w:before="100" w:beforeAutospacing="1" w:after="100" w:afterAutospacing="1"/>
        <w:jc w:val="both"/>
        <w:rPr>
          <w:rFonts w:ascii="Arial" w:hAnsi="Arial" w:cs="Arial"/>
        </w:rPr>
      </w:pPr>
      <w:r>
        <w:rPr>
          <w:rFonts w:ascii="Arial" w:hAnsi="Arial" w:cs="Arial"/>
        </w:rPr>
        <w:t>Determinants of occupational risks and safety practices.</w:t>
      </w:r>
    </w:p>
    <w:p w14:paraId="62A88D0A" w14:textId="77777777" w:rsidR="004C29C6" w:rsidRDefault="00800C25">
      <w:pPr>
        <w:numPr>
          <w:ilvl w:val="0"/>
          <w:numId w:val="15"/>
        </w:numPr>
        <w:spacing w:before="100" w:beforeAutospacing="1" w:after="100" w:afterAutospacing="1"/>
        <w:jc w:val="both"/>
        <w:rPr>
          <w:rFonts w:ascii="Arial" w:hAnsi="Arial" w:cs="Arial"/>
        </w:rPr>
      </w:pPr>
      <w:r>
        <w:rPr>
          <w:rFonts w:ascii="Arial" w:hAnsi="Arial" w:cs="Arial"/>
        </w:rPr>
        <w:t>Policy and institutional gaps in occupational health management.</w:t>
      </w:r>
    </w:p>
    <w:p w14:paraId="7737A2A7" w14:textId="77777777" w:rsidR="004C29C6" w:rsidRDefault="00800C25">
      <w:pPr>
        <w:pStyle w:val="NormalWeb"/>
        <w:jc w:val="both"/>
        <w:rPr>
          <w:rFonts w:ascii="Arial" w:hAnsi="Arial" w:cs="Arial"/>
          <w:sz w:val="20"/>
          <w:szCs w:val="20"/>
        </w:rPr>
      </w:pPr>
      <w:r>
        <w:rPr>
          <w:rFonts w:ascii="Arial" w:hAnsi="Arial" w:cs="Arial"/>
          <w:sz w:val="20"/>
          <w:szCs w:val="20"/>
        </w:rPr>
        <w:t>Comparative analyses were performed between regions (Africa, Asia, Latin America) to explore differences in hazard exposure, disease prevalence, and preventive practices. Where applicable, e</w:t>
      </w:r>
      <w:r>
        <w:rPr>
          <w:rFonts w:ascii="Arial" w:hAnsi="Arial" w:cs="Arial"/>
          <w:sz w:val="20"/>
          <w:szCs w:val="20"/>
        </w:rPr>
        <w:t>nvironmental parameters such as air and noise pollution levels were compared against international standards (e.g., WHO and ILO limits).</w:t>
      </w:r>
    </w:p>
    <w:p w14:paraId="2C67E1B2" w14:textId="77777777" w:rsidR="004C29C6" w:rsidRDefault="004C29C6">
      <w:pPr>
        <w:pStyle w:val="NormalWeb"/>
        <w:jc w:val="both"/>
        <w:rPr>
          <w:rFonts w:ascii="Arial" w:hAnsi="Arial" w:cs="Arial"/>
          <w:sz w:val="20"/>
          <w:szCs w:val="20"/>
        </w:rPr>
      </w:pPr>
    </w:p>
    <w:p w14:paraId="284A3B6A" w14:textId="77777777" w:rsidR="004C29C6" w:rsidRDefault="00800C25">
      <w:pPr>
        <w:pStyle w:val="NormalWeb"/>
        <w:numPr>
          <w:ilvl w:val="1"/>
          <w:numId w:val="11"/>
        </w:numPr>
        <w:jc w:val="both"/>
        <w:rPr>
          <w:rFonts w:ascii="Arial" w:hAnsi="Arial" w:cs="Arial"/>
          <w:b/>
          <w:bCs/>
          <w:sz w:val="22"/>
          <w:szCs w:val="22"/>
        </w:rPr>
      </w:pPr>
      <w:r>
        <w:rPr>
          <w:rFonts w:ascii="Arial" w:hAnsi="Arial" w:cs="Arial"/>
          <w:b/>
          <w:bCs/>
          <w:sz w:val="22"/>
          <w:szCs w:val="22"/>
        </w:rPr>
        <w:t>Ethical Considerations</w:t>
      </w:r>
    </w:p>
    <w:p w14:paraId="42D60B81" w14:textId="77777777" w:rsidR="004C29C6" w:rsidRDefault="004C29C6">
      <w:pPr>
        <w:pStyle w:val="NormalWeb"/>
        <w:jc w:val="both"/>
        <w:rPr>
          <w:rFonts w:ascii="Arial" w:hAnsi="Arial" w:cs="Arial"/>
          <w:sz w:val="20"/>
          <w:szCs w:val="20"/>
        </w:rPr>
      </w:pPr>
    </w:p>
    <w:p w14:paraId="28841DF8" w14:textId="77777777" w:rsidR="004C29C6" w:rsidRDefault="00800C25">
      <w:pPr>
        <w:pStyle w:val="NormalWeb"/>
        <w:jc w:val="both"/>
        <w:rPr>
          <w:rFonts w:ascii="Arial" w:hAnsi="Arial" w:cs="Arial"/>
          <w:sz w:val="20"/>
          <w:szCs w:val="20"/>
        </w:rPr>
      </w:pPr>
      <w:r>
        <w:rPr>
          <w:rFonts w:ascii="Arial" w:hAnsi="Arial" w:cs="Arial"/>
          <w:sz w:val="20"/>
          <w:szCs w:val="20"/>
        </w:rPr>
        <w:t>As this study was based on published literature and did not involve human subjects or identifi</w:t>
      </w:r>
      <w:r>
        <w:rPr>
          <w:rFonts w:ascii="Arial" w:hAnsi="Arial" w:cs="Arial"/>
          <w:sz w:val="20"/>
          <w:szCs w:val="20"/>
        </w:rPr>
        <w:t>able personal data, ethical approval was not required. However, ethical principles of academic integrity, transparency, and proper citation were strictly adhered to throughout the review process. All included studies were credited to their original authors</w:t>
      </w:r>
      <w:r>
        <w:rPr>
          <w:rFonts w:ascii="Arial" w:hAnsi="Arial" w:cs="Arial"/>
          <w:sz w:val="20"/>
          <w:szCs w:val="20"/>
        </w:rPr>
        <w:t>, and findings were presented without distortion or misrepresentation.</w:t>
      </w:r>
    </w:p>
    <w:p w14:paraId="6F7E7F38" w14:textId="77777777" w:rsidR="004C29C6" w:rsidRDefault="004C29C6">
      <w:pPr>
        <w:pStyle w:val="NormalWeb"/>
        <w:jc w:val="both"/>
        <w:rPr>
          <w:rFonts w:ascii="Arial" w:hAnsi="Arial" w:cs="Arial"/>
          <w:sz w:val="20"/>
          <w:szCs w:val="20"/>
        </w:rPr>
      </w:pPr>
    </w:p>
    <w:p w14:paraId="62E37629" w14:textId="77777777" w:rsidR="004C29C6" w:rsidRDefault="00800C25">
      <w:pPr>
        <w:pStyle w:val="NormalWeb"/>
        <w:numPr>
          <w:ilvl w:val="1"/>
          <w:numId w:val="11"/>
        </w:numPr>
        <w:jc w:val="both"/>
        <w:rPr>
          <w:rFonts w:ascii="Arial" w:hAnsi="Arial" w:cs="Arial"/>
          <w:b/>
          <w:bCs/>
          <w:sz w:val="22"/>
          <w:szCs w:val="22"/>
        </w:rPr>
      </w:pPr>
      <w:r>
        <w:rPr>
          <w:rFonts w:ascii="Arial" w:hAnsi="Arial" w:cs="Arial"/>
          <w:b/>
          <w:bCs/>
          <w:sz w:val="22"/>
          <w:szCs w:val="22"/>
        </w:rPr>
        <w:t>Limitations of the Review</w:t>
      </w:r>
    </w:p>
    <w:p w14:paraId="4B38F59C" w14:textId="77777777" w:rsidR="004C29C6" w:rsidRDefault="004C29C6">
      <w:pPr>
        <w:pStyle w:val="NormalWeb"/>
        <w:jc w:val="both"/>
      </w:pPr>
    </w:p>
    <w:p w14:paraId="63333F08" w14:textId="77777777" w:rsidR="004C29C6" w:rsidRDefault="00800C25">
      <w:pPr>
        <w:pStyle w:val="NormalWeb"/>
        <w:jc w:val="both"/>
        <w:rPr>
          <w:rFonts w:ascii="Arial" w:hAnsi="Arial" w:cs="Arial"/>
          <w:sz w:val="20"/>
          <w:szCs w:val="20"/>
        </w:rPr>
      </w:pPr>
      <w:r>
        <w:rPr>
          <w:rFonts w:ascii="Arial" w:hAnsi="Arial" w:cs="Arial"/>
          <w:sz w:val="20"/>
          <w:szCs w:val="20"/>
        </w:rPr>
        <w:t xml:space="preserve">Although comprehensive, this review acknowledges several limitations. First, the inclusion of only English-language publications may have excluded relevant studies published in other languages. Second, variations in study design, exposure measurement, and </w:t>
      </w:r>
      <w:r>
        <w:rPr>
          <w:rFonts w:ascii="Arial" w:hAnsi="Arial" w:cs="Arial"/>
          <w:sz w:val="20"/>
          <w:szCs w:val="20"/>
        </w:rPr>
        <w:t>outcome definitions across regions limited the potential for meta-analysis. Third, the reliance on published studies may have introduced publication bias, as studies with negative or non-significant findings are less likely to be published. Despite these l</w:t>
      </w:r>
      <w:r>
        <w:rPr>
          <w:rFonts w:ascii="Arial" w:hAnsi="Arial" w:cs="Arial"/>
          <w:sz w:val="20"/>
          <w:szCs w:val="20"/>
        </w:rPr>
        <w:t>imitations, the systematic and comparative approach adopted provides valuable insights into the burden and determinants of environmental and occupational hazards among seaport workers in developing countries.</w:t>
      </w:r>
    </w:p>
    <w:p w14:paraId="4005FC2F" w14:textId="77777777" w:rsidR="004C29C6" w:rsidRDefault="004C29C6">
      <w:pPr>
        <w:pStyle w:val="NormalWeb"/>
        <w:jc w:val="both"/>
        <w:rPr>
          <w:rFonts w:ascii="Arial" w:hAnsi="Arial" w:cs="Arial"/>
          <w:sz w:val="20"/>
          <w:szCs w:val="20"/>
        </w:rPr>
      </w:pPr>
    </w:p>
    <w:p w14:paraId="40A86E97" w14:textId="77777777" w:rsidR="004C29C6" w:rsidRDefault="004C29C6">
      <w:pPr>
        <w:pStyle w:val="NormalWeb"/>
        <w:jc w:val="both"/>
        <w:rPr>
          <w:rFonts w:ascii="Arial" w:hAnsi="Arial" w:cs="Arial"/>
          <w:sz w:val="20"/>
          <w:szCs w:val="20"/>
        </w:rPr>
      </w:pPr>
    </w:p>
    <w:p w14:paraId="18A776B1" w14:textId="77777777" w:rsidR="004C29C6" w:rsidRDefault="004C29C6">
      <w:pPr>
        <w:pStyle w:val="NormalWeb"/>
        <w:jc w:val="both"/>
        <w:rPr>
          <w:rFonts w:ascii="Arial" w:hAnsi="Arial" w:cs="Arial"/>
          <w:sz w:val="20"/>
          <w:szCs w:val="20"/>
        </w:rPr>
      </w:pPr>
    </w:p>
    <w:p w14:paraId="6B8123FD" w14:textId="77777777" w:rsidR="004C29C6" w:rsidRDefault="004C29C6">
      <w:pPr>
        <w:pStyle w:val="NormalWeb"/>
        <w:jc w:val="both"/>
        <w:rPr>
          <w:rFonts w:ascii="Arial" w:hAnsi="Arial" w:cs="Arial"/>
          <w:sz w:val="20"/>
          <w:szCs w:val="20"/>
        </w:rPr>
      </w:pPr>
    </w:p>
    <w:p w14:paraId="544E89E2" w14:textId="77777777" w:rsidR="004C29C6" w:rsidRDefault="00800C25">
      <w:pPr>
        <w:pStyle w:val="NormalWeb"/>
        <w:numPr>
          <w:ilvl w:val="0"/>
          <w:numId w:val="11"/>
        </w:numPr>
        <w:jc w:val="both"/>
        <w:rPr>
          <w:rFonts w:ascii="Arial" w:hAnsi="Arial" w:cs="Arial"/>
          <w:b/>
          <w:bCs/>
          <w:sz w:val="22"/>
          <w:szCs w:val="22"/>
        </w:rPr>
      </w:pPr>
      <w:r>
        <w:rPr>
          <w:rFonts w:ascii="Arial" w:hAnsi="Arial" w:cs="Arial"/>
          <w:b/>
          <w:bCs/>
          <w:sz w:val="22"/>
          <w:szCs w:val="22"/>
        </w:rPr>
        <w:t>RESULTS AND DISCUSSION</w:t>
      </w:r>
    </w:p>
    <w:p w14:paraId="640C8F5F" w14:textId="77777777" w:rsidR="004C29C6" w:rsidRDefault="004C29C6">
      <w:pPr>
        <w:pStyle w:val="NormalWeb"/>
        <w:jc w:val="both"/>
        <w:rPr>
          <w:rFonts w:ascii="Arial" w:hAnsi="Arial" w:cs="Arial"/>
          <w:b/>
          <w:bCs/>
          <w:sz w:val="22"/>
          <w:szCs w:val="22"/>
        </w:rPr>
      </w:pPr>
    </w:p>
    <w:p w14:paraId="50E51B68" w14:textId="77777777" w:rsidR="004C29C6" w:rsidRDefault="00800C25">
      <w:pPr>
        <w:pStyle w:val="NormalWeb"/>
        <w:numPr>
          <w:ilvl w:val="1"/>
          <w:numId w:val="11"/>
        </w:numPr>
        <w:jc w:val="both"/>
        <w:rPr>
          <w:rFonts w:ascii="Arial" w:hAnsi="Arial" w:cs="Arial"/>
          <w:b/>
          <w:bCs/>
          <w:sz w:val="22"/>
          <w:szCs w:val="22"/>
        </w:rPr>
      </w:pPr>
      <w:r>
        <w:rPr>
          <w:rFonts w:ascii="Arial" w:hAnsi="Arial" w:cs="Arial"/>
          <w:b/>
          <w:bCs/>
          <w:sz w:val="22"/>
          <w:szCs w:val="22"/>
        </w:rPr>
        <w:t>Overview of Include</w:t>
      </w:r>
      <w:r>
        <w:rPr>
          <w:rFonts w:ascii="Arial" w:hAnsi="Arial" w:cs="Arial"/>
          <w:b/>
          <w:bCs/>
          <w:sz w:val="22"/>
          <w:szCs w:val="22"/>
        </w:rPr>
        <w:t>d Studies</w:t>
      </w:r>
    </w:p>
    <w:p w14:paraId="00595434" w14:textId="77777777" w:rsidR="004C29C6" w:rsidRDefault="004C29C6">
      <w:pPr>
        <w:pStyle w:val="NormalWeb"/>
        <w:jc w:val="both"/>
        <w:rPr>
          <w:rFonts w:ascii="Arial" w:hAnsi="Arial" w:cs="Arial"/>
          <w:sz w:val="20"/>
          <w:szCs w:val="20"/>
        </w:rPr>
      </w:pPr>
    </w:p>
    <w:p w14:paraId="7E00062F" w14:textId="77777777" w:rsidR="004C29C6" w:rsidRDefault="00800C25">
      <w:pPr>
        <w:pStyle w:val="NormalWeb"/>
        <w:jc w:val="both"/>
        <w:rPr>
          <w:rFonts w:ascii="Arial" w:hAnsi="Arial" w:cs="Arial"/>
          <w:sz w:val="20"/>
          <w:szCs w:val="20"/>
        </w:rPr>
      </w:pPr>
      <w:r>
        <w:rPr>
          <w:rFonts w:ascii="Arial" w:hAnsi="Arial" w:cs="Arial"/>
          <w:sz w:val="20"/>
          <w:szCs w:val="20"/>
        </w:rPr>
        <w:t xml:space="preserve">A total of 28 studies met the eligibility criteria and were included in this review. These studies were conducted across 15 developing countries distributed within </w:t>
      </w:r>
      <w:r>
        <w:rPr>
          <w:rStyle w:val="Strong"/>
          <w:rFonts w:ascii="Arial" w:hAnsi="Arial" w:cs="Arial"/>
          <w:b w:val="0"/>
          <w:bCs w:val="0"/>
          <w:sz w:val="20"/>
          <w:szCs w:val="20"/>
        </w:rPr>
        <w:t>Africa (10 studies), Asia (11 studies), and Latin America (7 studies)</w:t>
      </w:r>
      <w:r>
        <w:rPr>
          <w:rFonts w:ascii="Arial" w:hAnsi="Arial" w:cs="Arial"/>
          <w:sz w:val="20"/>
          <w:szCs w:val="20"/>
        </w:rPr>
        <w:t>. The majori</w:t>
      </w:r>
      <w:r>
        <w:rPr>
          <w:rFonts w:ascii="Arial" w:hAnsi="Arial" w:cs="Arial"/>
          <w:sz w:val="20"/>
          <w:szCs w:val="20"/>
        </w:rPr>
        <w:t>ty were cross-sectional surveys and observational assessments focusing on occupational exposures, work-related injuries, and environmental pollution within port environments. Sample sizes ranged from 120 to 2,800 participants, and study settings varied fro</w:t>
      </w:r>
      <w:r>
        <w:rPr>
          <w:rFonts w:ascii="Arial" w:hAnsi="Arial" w:cs="Arial"/>
          <w:sz w:val="20"/>
          <w:szCs w:val="20"/>
        </w:rPr>
        <w:t>m large mechanized container terminals to oil export ports and small-scale dockyards.</w:t>
      </w:r>
    </w:p>
    <w:p w14:paraId="61FA3B39" w14:textId="77777777" w:rsidR="004C29C6" w:rsidRDefault="00800C25">
      <w:pPr>
        <w:pStyle w:val="NormalWeb"/>
        <w:jc w:val="both"/>
        <w:rPr>
          <w:rFonts w:ascii="Arial" w:hAnsi="Arial" w:cs="Arial"/>
          <w:sz w:val="20"/>
          <w:szCs w:val="20"/>
        </w:rPr>
      </w:pPr>
      <w:r>
        <w:rPr>
          <w:rFonts w:ascii="Arial" w:hAnsi="Arial" w:cs="Arial"/>
          <w:sz w:val="20"/>
          <w:szCs w:val="20"/>
        </w:rPr>
        <w:t>Most of the studies were published between 2015 and 2024, reflecting growing research attention to maritime occupational health issues in developing countries. Approximat</w:t>
      </w:r>
      <w:r>
        <w:rPr>
          <w:rFonts w:ascii="Arial" w:hAnsi="Arial" w:cs="Arial"/>
          <w:sz w:val="20"/>
          <w:szCs w:val="20"/>
        </w:rPr>
        <w:t>ely 70% of the reviewed studies applied quantitative designs, while 30% incorporated mixed or qualitative methods to explore workers’ experiences and perceptions. The thematic synthesis of findings revealed four dominant domains of hazards:</w:t>
      </w:r>
    </w:p>
    <w:p w14:paraId="57BEF590" w14:textId="77777777" w:rsidR="004C29C6" w:rsidRDefault="00800C25">
      <w:pPr>
        <w:pStyle w:val="NormalWeb"/>
        <w:numPr>
          <w:ilvl w:val="0"/>
          <w:numId w:val="16"/>
        </w:numPr>
        <w:jc w:val="both"/>
        <w:rPr>
          <w:rFonts w:ascii="Arial" w:hAnsi="Arial" w:cs="Arial"/>
          <w:sz w:val="20"/>
          <w:szCs w:val="20"/>
        </w:rPr>
      </w:pPr>
      <w:r>
        <w:rPr>
          <w:rStyle w:val="Strong"/>
          <w:rFonts w:ascii="Arial" w:hAnsi="Arial" w:cs="Arial"/>
          <w:b w:val="0"/>
          <w:bCs w:val="0"/>
          <w:sz w:val="20"/>
          <w:szCs w:val="20"/>
        </w:rPr>
        <w:t>Air and noise p</w:t>
      </w:r>
      <w:r>
        <w:rPr>
          <w:rStyle w:val="Strong"/>
          <w:rFonts w:ascii="Arial" w:hAnsi="Arial" w:cs="Arial"/>
          <w:b w:val="0"/>
          <w:bCs w:val="0"/>
          <w:sz w:val="20"/>
          <w:szCs w:val="20"/>
        </w:rPr>
        <w:t>ollution</w:t>
      </w:r>
      <w:r>
        <w:rPr>
          <w:rFonts w:ascii="Arial" w:hAnsi="Arial" w:cs="Arial"/>
          <w:sz w:val="20"/>
          <w:szCs w:val="20"/>
        </w:rPr>
        <w:t xml:space="preserve">, </w:t>
      </w:r>
    </w:p>
    <w:p w14:paraId="53DF78D1" w14:textId="77777777" w:rsidR="004C29C6" w:rsidRDefault="00800C25">
      <w:pPr>
        <w:pStyle w:val="NormalWeb"/>
        <w:numPr>
          <w:ilvl w:val="0"/>
          <w:numId w:val="16"/>
        </w:numPr>
        <w:jc w:val="both"/>
        <w:rPr>
          <w:rFonts w:ascii="Arial" w:hAnsi="Arial" w:cs="Arial"/>
          <w:sz w:val="20"/>
          <w:szCs w:val="20"/>
        </w:rPr>
      </w:pPr>
      <w:r>
        <w:rPr>
          <w:rStyle w:val="Strong"/>
          <w:rFonts w:ascii="Arial" w:hAnsi="Arial" w:cs="Arial"/>
          <w:b w:val="0"/>
          <w:bCs w:val="0"/>
          <w:sz w:val="20"/>
          <w:szCs w:val="20"/>
        </w:rPr>
        <w:t>Occupational injuries and ergonomic strain</w:t>
      </w:r>
      <w:r>
        <w:rPr>
          <w:rFonts w:ascii="Arial" w:hAnsi="Arial" w:cs="Arial"/>
          <w:sz w:val="20"/>
          <w:szCs w:val="20"/>
        </w:rPr>
        <w:t xml:space="preserve">, </w:t>
      </w:r>
    </w:p>
    <w:p w14:paraId="3F2ACC28" w14:textId="77777777" w:rsidR="004C29C6" w:rsidRDefault="00800C25">
      <w:pPr>
        <w:pStyle w:val="NormalWeb"/>
        <w:numPr>
          <w:ilvl w:val="0"/>
          <w:numId w:val="16"/>
        </w:numPr>
        <w:jc w:val="both"/>
        <w:rPr>
          <w:rFonts w:ascii="Arial" w:hAnsi="Arial" w:cs="Arial"/>
          <w:sz w:val="20"/>
          <w:szCs w:val="20"/>
        </w:rPr>
      </w:pPr>
      <w:r>
        <w:rPr>
          <w:rStyle w:val="Strong"/>
          <w:rFonts w:ascii="Arial" w:hAnsi="Arial" w:cs="Arial"/>
          <w:b w:val="0"/>
          <w:bCs w:val="0"/>
          <w:sz w:val="20"/>
          <w:szCs w:val="20"/>
        </w:rPr>
        <w:t>Chemical and heavy metal exposure</w:t>
      </w:r>
      <w:r>
        <w:rPr>
          <w:rFonts w:ascii="Arial" w:hAnsi="Arial" w:cs="Arial"/>
          <w:sz w:val="20"/>
          <w:szCs w:val="20"/>
        </w:rPr>
        <w:t xml:space="preserve">, and </w:t>
      </w:r>
    </w:p>
    <w:p w14:paraId="67E6F963" w14:textId="77777777" w:rsidR="004C29C6" w:rsidRDefault="00800C25">
      <w:pPr>
        <w:pStyle w:val="NormalWeb"/>
        <w:numPr>
          <w:ilvl w:val="0"/>
          <w:numId w:val="16"/>
        </w:numPr>
        <w:jc w:val="both"/>
        <w:rPr>
          <w:rFonts w:ascii="Arial" w:hAnsi="Arial" w:cs="Arial"/>
          <w:sz w:val="20"/>
          <w:szCs w:val="20"/>
        </w:rPr>
      </w:pPr>
      <w:r>
        <w:rPr>
          <w:rStyle w:val="Strong"/>
          <w:rFonts w:ascii="Arial" w:hAnsi="Arial" w:cs="Arial"/>
          <w:b w:val="0"/>
          <w:bCs w:val="0"/>
          <w:sz w:val="20"/>
          <w:szCs w:val="20"/>
        </w:rPr>
        <w:t>Poor occupational health practices and weak policy enforcement.</w:t>
      </w:r>
    </w:p>
    <w:p w14:paraId="22FA4985" w14:textId="77777777" w:rsidR="004C29C6" w:rsidRDefault="004C29C6"/>
    <w:p w14:paraId="76E34523" w14:textId="77777777" w:rsidR="004C29C6" w:rsidRDefault="00800C25">
      <w:pPr>
        <w:numPr>
          <w:ilvl w:val="1"/>
          <w:numId w:val="11"/>
        </w:numPr>
      </w:pPr>
      <w:r>
        <w:rPr>
          <w:rFonts w:ascii="Arial" w:hAnsi="Arial" w:cs="Arial"/>
          <w:b/>
          <w:bCs/>
          <w:sz w:val="22"/>
          <w:szCs w:val="22"/>
        </w:rPr>
        <w:t>Air Pollution and Respiratory Health Outcomes</w:t>
      </w:r>
      <w:r>
        <w:t xml:space="preserve"> </w:t>
      </w:r>
    </w:p>
    <w:p w14:paraId="07E0370B" w14:textId="77777777" w:rsidR="004C29C6" w:rsidRDefault="004C29C6"/>
    <w:p w14:paraId="3FAC670E" w14:textId="77777777" w:rsidR="004C29C6" w:rsidRDefault="00800C25">
      <w:pPr>
        <w:pStyle w:val="NormalWeb"/>
        <w:jc w:val="both"/>
        <w:rPr>
          <w:rFonts w:ascii="Arial" w:hAnsi="Arial" w:cs="Arial"/>
          <w:sz w:val="20"/>
          <w:szCs w:val="20"/>
        </w:rPr>
      </w:pPr>
      <w:r>
        <w:rPr>
          <w:rFonts w:ascii="Arial" w:hAnsi="Arial" w:cs="Arial"/>
          <w:sz w:val="20"/>
          <w:szCs w:val="20"/>
        </w:rPr>
        <w:t>Air quality degradation emerged as one of the m</w:t>
      </w:r>
      <w:r>
        <w:rPr>
          <w:rFonts w:ascii="Arial" w:hAnsi="Arial" w:cs="Arial"/>
          <w:sz w:val="20"/>
          <w:szCs w:val="20"/>
        </w:rPr>
        <w:t xml:space="preserve">ost consistently reported hazards among seaport workers in developing countries. Ports serve as emission hot spots due to the presence of diesel-powered cranes, heavy-duty trucks, and vessels releasing exhaust fumes containing </w:t>
      </w:r>
      <w:r>
        <w:rPr>
          <w:rStyle w:val="Strong"/>
          <w:rFonts w:ascii="Arial" w:hAnsi="Arial" w:cs="Arial"/>
          <w:b w:val="0"/>
          <w:bCs w:val="0"/>
          <w:sz w:val="20"/>
          <w:szCs w:val="20"/>
        </w:rPr>
        <w:t>particulate matter (PM</w:t>
      </w:r>
      <w:proofErr w:type="gramStart"/>
      <w:r>
        <w:rPr>
          <w:rStyle w:val="Strong"/>
          <w:rFonts w:ascii="Arial" w:hAnsi="Arial" w:cs="Arial"/>
          <w:b w:val="0"/>
          <w:bCs w:val="0"/>
          <w:sz w:val="20"/>
          <w:szCs w:val="20"/>
        </w:rPr>
        <w:t>₂.₅</w:t>
      </w:r>
      <w:proofErr w:type="gramEnd"/>
      <w:r>
        <w:rPr>
          <w:rStyle w:val="Strong"/>
          <w:rFonts w:ascii="Arial" w:hAnsi="Arial" w:cs="Arial"/>
          <w:b w:val="0"/>
          <w:bCs w:val="0"/>
          <w:sz w:val="20"/>
          <w:szCs w:val="20"/>
        </w:rPr>
        <w:t xml:space="preserve"> and</w:t>
      </w:r>
      <w:r>
        <w:rPr>
          <w:rStyle w:val="Strong"/>
          <w:rFonts w:ascii="Arial" w:hAnsi="Arial" w:cs="Arial"/>
          <w:b w:val="0"/>
          <w:bCs w:val="0"/>
          <w:sz w:val="20"/>
          <w:szCs w:val="20"/>
        </w:rPr>
        <w:t xml:space="preserve"> PM₁₀)</w:t>
      </w:r>
      <w:r>
        <w:rPr>
          <w:rFonts w:ascii="Arial" w:hAnsi="Arial" w:cs="Arial"/>
          <w:sz w:val="20"/>
          <w:szCs w:val="20"/>
        </w:rPr>
        <w:t xml:space="preserve">, </w:t>
      </w:r>
      <w:r>
        <w:rPr>
          <w:rStyle w:val="Strong"/>
          <w:rFonts w:ascii="Arial" w:hAnsi="Arial" w:cs="Arial"/>
          <w:b w:val="0"/>
          <w:bCs w:val="0"/>
          <w:sz w:val="20"/>
          <w:szCs w:val="20"/>
        </w:rPr>
        <w:t>nitrogen oxides (NOₓ)</w:t>
      </w:r>
      <w:r>
        <w:rPr>
          <w:rFonts w:ascii="Arial" w:hAnsi="Arial" w:cs="Arial"/>
          <w:sz w:val="20"/>
          <w:szCs w:val="20"/>
        </w:rPr>
        <w:t xml:space="preserve">, </w:t>
      </w:r>
      <w:r>
        <w:rPr>
          <w:rStyle w:val="Strong"/>
          <w:rFonts w:ascii="Arial" w:hAnsi="Arial" w:cs="Arial"/>
          <w:b w:val="0"/>
          <w:bCs w:val="0"/>
          <w:sz w:val="20"/>
          <w:szCs w:val="20"/>
        </w:rPr>
        <w:t>sulfur oxides (SOₓ)</w:t>
      </w:r>
      <w:r>
        <w:rPr>
          <w:rFonts w:ascii="Arial" w:hAnsi="Arial" w:cs="Arial"/>
          <w:sz w:val="20"/>
          <w:szCs w:val="20"/>
        </w:rPr>
        <w:t xml:space="preserve">, and </w:t>
      </w:r>
      <w:r>
        <w:rPr>
          <w:rStyle w:val="Strong"/>
          <w:rFonts w:ascii="Arial" w:hAnsi="Arial" w:cs="Arial"/>
          <w:b w:val="0"/>
          <w:bCs w:val="0"/>
          <w:sz w:val="20"/>
          <w:szCs w:val="20"/>
        </w:rPr>
        <w:t>volatile organic compounds (VOCs)</w:t>
      </w:r>
      <w:r>
        <w:rPr>
          <w:rFonts w:ascii="Arial" w:hAnsi="Arial" w:cs="Arial"/>
          <w:sz w:val="20"/>
          <w:szCs w:val="20"/>
        </w:rPr>
        <w:t xml:space="preserve"> (Cheng et al., 2019).</w:t>
      </w:r>
    </w:p>
    <w:p w14:paraId="53FA578E" w14:textId="77777777" w:rsidR="004C29C6" w:rsidRDefault="004C29C6">
      <w:pPr>
        <w:pStyle w:val="NormalWeb"/>
        <w:jc w:val="both"/>
        <w:rPr>
          <w:rFonts w:ascii="Arial" w:hAnsi="Arial" w:cs="Arial"/>
          <w:sz w:val="20"/>
          <w:szCs w:val="20"/>
        </w:rPr>
      </w:pPr>
    </w:p>
    <w:p w14:paraId="45FDC9C3" w14:textId="77777777" w:rsidR="004C29C6" w:rsidRDefault="00800C25">
      <w:pPr>
        <w:pStyle w:val="NormalWeb"/>
        <w:jc w:val="both"/>
        <w:rPr>
          <w:rFonts w:ascii="Arial" w:hAnsi="Arial" w:cs="Arial"/>
          <w:sz w:val="20"/>
          <w:szCs w:val="20"/>
        </w:rPr>
      </w:pPr>
      <w:r>
        <w:rPr>
          <w:rFonts w:ascii="Arial" w:hAnsi="Arial" w:cs="Arial"/>
          <w:sz w:val="20"/>
          <w:szCs w:val="20"/>
        </w:rPr>
        <w:t xml:space="preserve">Studies from Nigeria, India, and Indonesia reported </w:t>
      </w:r>
      <w:r>
        <w:rPr>
          <w:rStyle w:val="Strong"/>
          <w:rFonts w:ascii="Arial" w:hAnsi="Arial" w:cs="Arial"/>
          <w:b w:val="0"/>
          <w:bCs w:val="0"/>
          <w:sz w:val="20"/>
          <w:szCs w:val="20"/>
        </w:rPr>
        <w:t>PM</w:t>
      </w:r>
      <w:proofErr w:type="gramStart"/>
      <w:r>
        <w:rPr>
          <w:rStyle w:val="Strong"/>
          <w:rFonts w:ascii="Arial" w:hAnsi="Arial" w:cs="Arial"/>
          <w:b w:val="0"/>
          <w:bCs w:val="0"/>
          <w:sz w:val="20"/>
          <w:szCs w:val="20"/>
        </w:rPr>
        <w:t>₂.₅</w:t>
      </w:r>
      <w:proofErr w:type="gramEnd"/>
      <w:r>
        <w:rPr>
          <w:rStyle w:val="Strong"/>
          <w:rFonts w:ascii="Arial" w:hAnsi="Arial" w:cs="Arial"/>
          <w:b w:val="0"/>
          <w:bCs w:val="0"/>
          <w:sz w:val="20"/>
          <w:szCs w:val="20"/>
        </w:rPr>
        <w:t xml:space="preserve"> concentrations ranging from 40 to 120 µg/m³</w:t>
      </w:r>
      <w:r>
        <w:rPr>
          <w:rFonts w:ascii="Arial" w:hAnsi="Arial" w:cs="Arial"/>
          <w:sz w:val="20"/>
          <w:szCs w:val="20"/>
        </w:rPr>
        <w:t xml:space="preserve">, far above the </w:t>
      </w:r>
      <w:r>
        <w:rPr>
          <w:rStyle w:val="Strong"/>
          <w:rFonts w:ascii="Arial" w:hAnsi="Arial" w:cs="Arial"/>
          <w:b w:val="0"/>
          <w:bCs w:val="0"/>
          <w:sz w:val="20"/>
          <w:szCs w:val="20"/>
        </w:rPr>
        <w:t>WHO’s permissible limit of</w:t>
      </w:r>
      <w:r>
        <w:rPr>
          <w:rStyle w:val="Strong"/>
          <w:rFonts w:ascii="Arial" w:hAnsi="Arial" w:cs="Arial"/>
          <w:b w:val="0"/>
          <w:bCs w:val="0"/>
          <w:sz w:val="20"/>
          <w:szCs w:val="20"/>
        </w:rPr>
        <w:t xml:space="preserve"> 25 µg/m³</w:t>
      </w:r>
      <w:r>
        <w:rPr>
          <w:rFonts w:ascii="Arial" w:hAnsi="Arial" w:cs="Arial"/>
          <w:sz w:val="20"/>
          <w:szCs w:val="20"/>
        </w:rPr>
        <w:t xml:space="preserve"> for occupational settings (WHO, 2022). Workers stationed near cargo terminals and fueling depots exhibited significantly higher rates of </w:t>
      </w:r>
      <w:r>
        <w:rPr>
          <w:rStyle w:val="Strong"/>
          <w:rFonts w:ascii="Arial" w:hAnsi="Arial" w:cs="Arial"/>
          <w:b w:val="0"/>
          <w:bCs w:val="0"/>
          <w:sz w:val="20"/>
          <w:szCs w:val="20"/>
        </w:rPr>
        <w:t>chronic cough, bronchitis, and reduced lung function indices (FEV₁ and FVC)</w:t>
      </w:r>
      <w:r>
        <w:rPr>
          <w:rFonts w:ascii="Arial" w:hAnsi="Arial" w:cs="Arial"/>
          <w:sz w:val="20"/>
          <w:szCs w:val="20"/>
        </w:rPr>
        <w:t xml:space="preserve"> than administrative staff working</w:t>
      </w:r>
      <w:r>
        <w:rPr>
          <w:rFonts w:ascii="Arial" w:hAnsi="Arial" w:cs="Arial"/>
          <w:sz w:val="20"/>
          <w:szCs w:val="20"/>
        </w:rPr>
        <w:t xml:space="preserve"> in port offices (Ansa et al., 2021; Eze et al., 2023).</w:t>
      </w:r>
    </w:p>
    <w:p w14:paraId="34321C40" w14:textId="77777777" w:rsidR="004C29C6" w:rsidRDefault="004C29C6">
      <w:pPr>
        <w:pStyle w:val="NormalWeb"/>
        <w:jc w:val="both"/>
        <w:rPr>
          <w:rFonts w:ascii="Arial" w:hAnsi="Arial" w:cs="Arial"/>
          <w:sz w:val="20"/>
          <w:szCs w:val="20"/>
        </w:rPr>
      </w:pPr>
    </w:p>
    <w:p w14:paraId="017297FF" w14:textId="77777777" w:rsidR="004C29C6" w:rsidRDefault="00800C25">
      <w:pPr>
        <w:pStyle w:val="NormalWeb"/>
        <w:jc w:val="both"/>
        <w:rPr>
          <w:rFonts w:ascii="Arial" w:hAnsi="Arial" w:cs="Arial"/>
          <w:sz w:val="20"/>
          <w:szCs w:val="20"/>
        </w:rPr>
      </w:pPr>
      <w:r>
        <w:rPr>
          <w:rFonts w:ascii="Arial" w:hAnsi="Arial" w:cs="Arial"/>
          <w:sz w:val="20"/>
          <w:szCs w:val="20"/>
        </w:rPr>
        <w:t xml:space="preserve">Comparative regional evidence suggests that </w:t>
      </w:r>
      <w:r>
        <w:rPr>
          <w:rStyle w:val="Strong"/>
          <w:rFonts w:ascii="Arial" w:hAnsi="Arial" w:cs="Arial"/>
          <w:b w:val="0"/>
          <w:bCs w:val="0"/>
          <w:sz w:val="20"/>
          <w:szCs w:val="20"/>
        </w:rPr>
        <w:t>Asian ports</w:t>
      </w:r>
      <w:r>
        <w:rPr>
          <w:rFonts w:ascii="Arial" w:hAnsi="Arial" w:cs="Arial"/>
          <w:sz w:val="20"/>
          <w:szCs w:val="20"/>
        </w:rPr>
        <w:t xml:space="preserve"> experience higher air pollution-related morbidity due to denser traffic, industrial integration, and heavy reliance on fossil fuel-powered mach</w:t>
      </w:r>
      <w:r>
        <w:rPr>
          <w:rFonts w:ascii="Arial" w:hAnsi="Arial" w:cs="Arial"/>
          <w:sz w:val="20"/>
          <w:szCs w:val="20"/>
        </w:rPr>
        <w:t xml:space="preserve">inery. For example, a study conducted at the Port of Chennai, India, reported that over </w:t>
      </w:r>
      <w:r>
        <w:rPr>
          <w:rStyle w:val="Strong"/>
          <w:rFonts w:ascii="Arial" w:hAnsi="Arial" w:cs="Arial"/>
          <w:b w:val="0"/>
          <w:bCs w:val="0"/>
          <w:sz w:val="20"/>
          <w:szCs w:val="20"/>
        </w:rPr>
        <w:t>55% of sampled workers</w:t>
      </w:r>
      <w:r>
        <w:rPr>
          <w:rFonts w:ascii="Arial" w:hAnsi="Arial" w:cs="Arial"/>
          <w:sz w:val="20"/>
          <w:szCs w:val="20"/>
        </w:rPr>
        <w:t xml:space="preserve"> suffered from recurrent respiratory irritation linked to prolonged exposure to diesel exhaust (Cheng et al., 2019). Conversely, </w:t>
      </w:r>
      <w:r>
        <w:rPr>
          <w:rStyle w:val="Strong"/>
          <w:rFonts w:ascii="Arial" w:hAnsi="Arial" w:cs="Arial"/>
          <w:b w:val="0"/>
          <w:bCs w:val="0"/>
          <w:sz w:val="20"/>
          <w:szCs w:val="20"/>
        </w:rPr>
        <w:t>African ports</w:t>
      </w:r>
      <w:r>
        <w:rPr>
          <w:rFonts w:ascii="Arial" w:hAnsi="Arial" w:cs="Arial"/>
          <w:sz w:val="20"/>
          <w:szCs w:val="20"/>
        </w:rPr>
        <w:t>, th</w:t>
      </w:r>
      <w:r>
        <w:rPr>
          <w:rFonts w:ascii="Arial" w:hAnsi="Arial" w:cs="Arial"/>
          <w:sz w:val="20"/>
          <w:szCs w:val="20"/>
        </w:rPr>
        <w:t>ough smaller in capacity, recorded similar respiratory outcomes due to poor maintenance of equipment and lack of emission control policies (Ogundele et al., 2022).</w:t>
      </w:r>
    </w:p>
    <w:p w14:paraId="243DD5D3" w14:textId="77777777" w:rsidR="004C29C6" w:rsidRDefault="004C29C6">
      <w:pPr>
        <w:pStyle w:val="NormalWeb"/>
        <w:jc w:val="both"/>
        <w:rPr>
          <w:rFonts w:ascii="Arial" w:hAnsi="Arial" w:cs="Arial"/>
          <w:sz w:val="20"/>
          <w:szCs w:val="20"/>
        </w:rPr>
      </w:pPr>
    </w:p>
    <w:p w14:paraId="7340BE5E" w14:textId="77777777" w:rsidR="004C29C6" w:rsidRDefault="00800C25">
      <w:pPr>
        <w:pStyle w:val="NormalWeb"/>
        <w:jc w:val="both"/>
        <w:rPr>
          <w:rFonts w:ascii="Arial" w:hAnsi="Arial" w:cs="Arial"/>
          <w:sz w:val="20"/>
          <w:szCs w:val="20"/>
        </w:rPr>
      </w:pPr>
      <w:r>
        <w:rPr>
          <w:rFonts w:ascii="Arial" w:hAnsi="Arial" w:cs="Arial"/>
          <w:sz w:val="20"/>
          <w:szCs w:val="20"/>
        </w:rPr>
        <w:t xml:space="preserve">Cumulative evidence indicates that exposure to airborne particulates and noxious gases constitutes a critical occupational risk factor for seaport workers. The findings underscore the need for </w:t>
      </w:r>
      <w:r>
        <w:rPr>
          <w:rStyle w:val="Strong"/>
          <w:rFonts w:ascii="Arial" w:hAnsi="Arial" w:cs="Arial"/>
          <w:b w:val="0"/>
          <w:bCs w:val="0"/>
          <w:sz w:val="20"/>
          <w:szCs w:val="20"/>
        </w:rPr>
        <w:t>regular air quality monitoring</w:t>
      </w:r>
      <w:r>
        <w:rPr>
          <w:rFonts w:ascii="Arial" w:hAnsi="Arial" w:cs="Arial"/>
          <w:sz w:val="20"/>
          <w:szCs w:val="20"/>
        </w:rPr>
        <w:t xml:space="preserve">, </w:t>
      </w:r>
      <w:r>
        <w:rPr>
          <w:rStyle w:val="Strong"/>
          <w:rFonts w:ascii="Arial" w:hAnsi="Arial" w:cs="Arial"/>
          <w:b w:val="0"/>
          <w:bCs w:val="0"/>
          <w:sz w:val="20"/>
          <w:szCs w:val="20"/>
        </w:rPr>
        <w:t>worker sensitization on respira</w:t>
      </w:r>
      <w:r>
        <w:rPr>
          <w:rStyle w:val="Strong"/>
          <w:rFonts w:ascii="Arial" w:hAnsi="Arial" w:cs="Arial"/>
          <w:b w:val="0"/>
          <w:bCs w:val="0"/>
          <w:sz w:val="20"/>
          <w:szCs w:val="20"/>
        </w:rPr>
        <w:t>tory health</w:t>
      </w:r>
      <w:r>
        <w:rPr>
          <w:rFonts w:ascii="Arial" w:hAnsi="Arial" w:cs="Arial"/>
          <w:sz w:val="20"/>
          <w:szCs w:val="20"/>
        </w:rPr>
        <w:t xml:space="preserve">, and </w:t>
      </w:r>
      <w:r>
        <w:rPr>
          <w:rStyle w:val="Strong"/>
          <w:rFonts w:ascii="Arial" w:hAnsi="Arial" w:cs="Arial"/>
          <w:b w:val="0"/>
          <w:bCs w:val="0"/>
          <w:sz w:val="20"/>
          <w:szCs w:val="20"/>
        </w:rPr>
        <w:t>transition to cleaner energy technologies</w:t>
      </w:r>
      <w:r>
        <w:rPr>
          <w:rFonts w:ascii="Arial" w:hAnsi="Arial" w:cs="Arial"/>
          <w:sz w:val="20"/>
          <w:szCs w:val="20"/>
        </w:rPr>
        <w:t xml:space="preserve"> such as electric cranes and low-sulfur fuels to minimize exposure.</w:t>
      </w:r>
    </w:p>
    <w:p w14:paraId="15D402C4" w14:textId="77777777" w:rsidR="004C29C6" w:rsidRDefault="004C29C6"/>
    <w:p w14:paraId="017AD693" w14:textId="77777777" w:rsidR="004C29C6" w:rsidRDefault="00800C25">
      <w:pPr>
        <w:numPr>
          <w:ilvl w:val="1"/>
          <w:numId w:val="11"/>
        </w:numPr>
        <w:rPr>
          <w:rFonts w:ascii="Arial" w:hAnsi="Arial" w:cs="Arial"/>
          <w:b/>
          <w:bCs/>
          <w:sz w:val="22"/>
          <w:szCs w:val="22"/>
        </w:rPr>
      </w:pPr>
      <w:r>
        <w:rPr>
          <w:rFonts w:ascii="Arial" w:hAnsi="Arial" w:cs="Arial"/>
          <w:b/>
          <w:bCs/>
          <w:sz w:val="22"/>
          <w:szCs w:val="22"/>
        </w:rPr>
        <w:t>Noise Exposure and Auditory Health</w:t>
      </w:r>
    </w:p>
    <w:p w14:paraId="60866FCF" w14:textId="77777777" w:rsidR="004C29C6" w:rsidRDefault="004C29C6">
      <w:pPr>
        <w:rPr>
          <w:rFonts w:ascii="Arial" w:hAnsi="Arial" w:cs="Arial"/>
          <w:b/>
          <w:bCs/>
          <w:sz w:val="22"/>
          <w:szCs w:val="22"/>
        </w:rPr>
      </w:pPr>
    </w:p>
    <w:p w14:paraId="207C5110" w14:textId="77777777" w:rsidR="004C29C6" w:rsidRDefault="00800C25">
      <w:pPr>
        <w:pStyle w:val="NormalWeb"/>
        <w:jc w:val="both"/>
        <w:rPr>
          <w:rFonts w:ascii="Arial" w:hAnsi="Arial" w:cs="Arial"/>
          <w:sz w:val="20"/>
          <w:szCs w:val="20"/>
        </w:rPr>
      </w:pPr>
      <w:r>
        <w:rPr>
          <w:rFonts w:ascii="Arial" w:hAnsi="Arial" w:cs="Arial"/>
          <w:sz w:val="20"/>
          <w:szCs w:val="20"/>
        </w:rPr>
        <w:t>Noise pollution is another major occupational hazard in port environments. High decibel level</w:t>
      </w:r>
      <w:r>
        <w:rPr>
          <w:rFonts w:ascii="Arial" w:hAnsi="Arial" w:cs="Arial"/>
          <w:sz w:val="20"/>
          <w:szCs w:val="20"/>
        </w:rPr>
        <w:t>s originate from cranes, forklifts, vessel engines, and cargo handling equipment, which operate continuously within confined dock spaces (Bello et al., 2020).</w:t>
      </w:r>
    </w:p>
    <w:p w14:paraId="5C3E913A" w14:textId="77777777" w:rsidR="004C29C6" w:rsidRDefault="004C29C6">
      <w:pPr>
        <w:pStyle w:val="NormalWeb"/>
        <w:jc w:val="both"/>
        <w:rPr>
          <w:rFonts w:ascii="Arial" w:hAnsi="Arial" w:cs="Arial"/>
          <w:sz w:val="20"/>
          <w:szCs w:val="20"/>
        </w:rPr>
      </w:pPr>
    </w:p>
    <w:p w14:paraId="675643AC" w14:textId="77777777" w:rsidR="004C29C6" w:rsidRDefault="00800C25">
      <w:pPr>
        <w:pStyle w:val="NormalWeb"/>
        <w:jc w:val="both"/>
        <w:rPr>
          <w:rFonts w:ascii="Arial" w:hAnsi="Arial" w:cs="Arial"/>
          <w:sz w:val="20"/>
          <w:szCs w:val="20"/>
        </w:rPr>
      </w:pPr>
      <w:r>
        <w:rPr>
          <w:rFonts w:ascii="Arial" w:hAnsi="Arial" w:cs="Arial"/>
          <w:sz w:val="20"/>
          <w:szCs w:val="20"/>
        </w:rPr>
        <w:t xml:space="preserve">Noise intensity recorded across studies ranged between </w:t>
      </w:r>
      <w:r>
        <w:rPr>
          <w:rStyle w:val="Strong"/>
          <w:rFonts w:ascii="Arial" w:hAnsi="Arial" w:cs="Arial"/>
          <w:b w:val="0"/>
          <w:bCs w:val="0"/>
          <w:sz w:val="20"/>
          <w:szCs w:val="20"/>
        </w:rPr>
        <w:t>85 dB(A) and 110 dB(A)</w:t>
      </w:r>
      <w:r>
        <w:rPr>
          <w:rFonts w:ascii="Arial" w:hAnsi="Arial" w:cs="Arial"/>
          <w:sz w:val="20"/>
          <w:szCs w:val="20"/>
        </w:rPr>
        <w:t xml:space="preserve">, surpassing the </w:t>
      </w:r>
      <w:r>
        <w:rPr>
          <w:rStyle w:val="Strong"/>
          <w:rFonts w:ascii="Arial" w:hAnsi="Arial" w:cs="Arial"/>
          <w:b w:val="0"/>
          <w:bCs w:val="0"/>
          <w:sz w:val="20"/>
          <w:szCs w:val="20"/>
        </w:rPr>
        <w:t>IL</w:t>
      </w:r>
      <w:r>
        <w:rPr>
          <w:rStyle w:val="Strong"/>
          <w:rFonts w:ascii="Arial" w:hAnsi="Arial" w:cs="Arial"/>
          <w:b w:val="0"/>
          <w:bCs w:val="0"/>
          <w:sz w:val="20"/>
          <w:szCs w:val="20"/>
        </w:rPr>
        <w:t>O-recommended occupational limit of 85 dB(A)</w:t>
      </w:r>
      <w:r>
        <w:rPr>
          <w:rFonts w:ascii="Arial" w:hAnsi="Arial" w:cs="Arial"/>
          <w:sz w:val="20"/>
          <w:szCs w:val="20"/>
        </w:rPr>
        <w:t xml:space="preserve"> for an eight-hour work period (ILO, </w:t>
      </w:r>
      <w:r>
        <w:rPr>
          <w:rFonts w:ascii="Arial" w:hAnsi="Arial" w:cs="Arial"/>
          <w:sz w:val="20"/>
          <w:szCs w:val="20"/>
        </w:rPr>
        <w:lastRenderedPageBreak/>
        <w:t xml:space="preserve">2021). Approximately </w:t>
      </w:r>
      <w:r>
        <w:rPr>
          <w:rStyle w:val="Strong"/>
          <w:rFonts w:ascii="Arial" w:hAnsi="Arial" w:cs="Arial"/>
          <w:b w:val="0"/>
          <w:bCs w:val="0"/>
          <w:sz w:val="20"/>
          <w:szCs w:val="20"/>
        </w:rPr>
        <w:t>one in three port workers</w:t>
      </w:r>
      <w:r>
        <w:rPr>
          <w:rFonts w:ascii="Arial" w:hAnsi="Arial" w:cs="Arial"/>
          <w:sz w:val="20"/>
          <w:szCs w:val="20"/>
        </w:rPr>
        <w:t xml:space="preserve"> in the reviewed studies reported symptoms of </w:t>
      </w:r>
      <w:r>
        <w:rPr>
          <w:rStyle w:val="Strong"/>
          <w:rFonts w:ascii="Arial" w:hAnsi="Arial" w:cs="Arial"/>
          <w:b w:val="0"/>
          <w:bCs w:val="0"/>
          <w:sz w:val="20"/>
          <w:szCs w:val="20"/>
        </w:rPr>
        <w:t>hearing fatigue, tinnitus, or partial hearing loss</w:t>
      </w:r>
      <w:r>
        <w:rPr>
          <w:rFonts w:ascii="Arial" w:hAnsi="Arial" w:cs="Arial"/>
          <w:sz w:val="20"/>
          <w:szCs w:val="20"/>
        </w:rPr>
        <w:t xml:space="preserve">. Audiometric tests performed in </w:t>
      </w:r>
      <w:r>
        <w:rPr>
          <w:rFonts w:ascii="Arial" w:hAnsi="Arial" w:cs="Arial"/>
          <w:sz w:val="20"/>
          <w:szCs w:val="20"/>
        </w:rPr>
        <w:t xml:space="preserve">Nigeria’s Apapa Port and Indonesia’s </w:t>
      </w:r>
      <w:proofErr w:type="spellStart"/>
      <w:r>
        <w:rPr>
          <w:rFonts w:ascii="Arial" w:hAnsi="Arial" w:cs="Arial"/>
          <w:sz w:val="20"/>
          <w:szCs w:val="20"/>
        </w:rPr>
        <w:t>Tanjung</w:t>
      </w:r>
      <w:proofErr w:type="spellEnd"/>
      <w:r>
        <w:rPr>
          <w:rFonts w:ascii="Arial" w:hAnsi="Arial" w:cs="Arial"/>
          <w:sz w:val="20"/>
          <w:szCs w:val="20"/>
        </w:rPr>
        <w:t xml:space="preserve"> </w:t>
      </w:r>
      <w:proofErr w:type="spellStart"/>
      <w:r>
        <w:rPr>
          <w:rFonts w:ascii="Arial" w:hAnsi="Arial" w:cs="Arial"/>
          <w:sz w:val="20"/>
          <w:szCs w:val="20"/>
        </w:rPr>
        <w:t>Priok</w:t>
      </w:r>
      <w:proofErr w:type="spellEnd"/>
      <w:r>
        <w:rPr>
          <w:rFonts w:ascii="Arial" w:hAnsi="Arial" w:cs="Arial"/>
          <w:sz w:val="20"/>
          <w:szCs w:val="20"/>
        </w:rPr>
        <w:t xml:space="preserve"> Port confirmed mild to moderate sensorineural hearing impairment among long-serving crane operators and cargo handlers (Bello et al., 2020; Agyekum et al., 2020).</w:t>
      </w:r>
    </w:p>
    <w:p w14:paraId="736F0302" w14:textId="77777777" w:rsidR="004C29C6" w:rsidRDefault="004C29C6">
      <w:pPr>
        <w:pStyle w:val="NormalWeb"/>
        <w:jc w:val="both"/>
        <w:rPr>
          <w:rFonts w:ascii="Arial" w:hAnsi="Arial" w:cs="Arial"/>
          <w:sz w:val="20"/>
          <w:szCs w:val="20"/>
        </w:rPr>
      </w:pPr>
    </w:p>
    <w:p w14:paraId="04D368A7" w14:textId="77777777" w:rsidR="004C29C6" w:rsidRDefault="00800C25">
      <w:pPr>
        <w:pStyle w:val="NormalWeb"/>
        <w:jc w:val="both"/>
        <w:rPr>
          <w:rFonts w:ascii="Arial" w:hAnsi="Arial" w:cs="Arial"/>
          <w:sz w:val="20"/>
          <w:szCs w:val="20"/>
        </w:rPr>
      </w:pPr>
      <w:r>
        <w:rPr>
          <w:rFonts w:ascii="Arial" w:hAnsi="Arial" w:cs="Arial"/>
          <w:sz w:val="20"/>
          <w:szCs w:val="20"/>
        </w:rPr>
        <w:t xml:space="preserve">Interestingly, workers rarely recognized </w:t>
      </w:r>
      <w:r>
        <w:rPr>
          <w:rFonts w:ascii="Arial" w:hAnsi="Arial" w:cs="Arial"/>
          <w:sz w:val="20"/>
          <w:szCs w:val="20"/>
        </w:rPr>
        <w:t xml:space="preserve">noise exposure as a health hazard. Only </w:t>
      </w:r>
      <w:r>
        <w:rPr>
          <w:rStyle w:val="Strong"/>
          <w:rFonts w:ascii="Arial" w:hAnsi="Arial" w:cs="Arial"/>
          <w:b w:val="0"/>
          <w:bCs w:val="0"/>
          <w:sz w:val="20"/>
          <w:szCs w:val="20"/>
        </w:rPr>
        <w:t>27%</w:t>
      </w:r>
      <w:r>
        <w:rPr>
          <w:rFonts w:ascii="Arial" w:hAnsi="Arial" w:cs="Arial"/>
          <w:sz w:val="20"/>
          <w:szCs w:val="20"/>
        </w:rPr>
        <w:t xml:space="preserve"> of respondents across all reviewed studies reported consistent use of </w:t>
      </w:r>
      <w:r>
        <w:rPr>
          <w:rStyle w:val="Strong"/>
          <w:rFonts w:ascii="Arial" w:hAnsi="Arial" w:cs="Arial"/>
          <w:b w:val="0"/>
          <w:bCs w:val="0"/>
          <w:sz w:val="20"/>
          <w:szCs w:val="20"/>
        </w:rPr>
        <w:t>hearing protection devices</w:t>
      </w:r>
      <w:r>
        <w:rPr>
          <w:rFonts w:ascii="Arial" w:hAnsi="Arial" w:cs="Arial"/>
          <w:sz w:val="20"/>
          <w:szCs w:val="20"/>
        </w:rPr>
        <w:t>, citing discomfort, unavailability, or lack of employer enforcement (Ogundele et al., 2022).</w:t>
      </w:r>
    </w:p>
    <w:p w14:paraId="3D628B23" w14:textId="77777777" w:rsidR="004C29C6" w:rsidRDefault="004C29C6">
      <w:pPr>
        <w:pStyle w:val="NormalWeb"/>
        <w:jc w:val="both"/>
        <w:rPr>
          <w:rFonts w:ascii="Arial" w:hAnsi="Arial" w:cs="Arial"/>
          <w:sz w:val="20"/>
          <w:szCs w:val="20"/>
        </w:rPr>
      </w:pPr>
    </w:p>
    <w:p w14:paraId="08808799" w14:textId="77777777" w:rsidR="004C29C6" w:rsidRDefault="00800C25">
      <w:pPr>
        <w:pStyle w:val="NormalWeb"/>
        <w:jc w:val="both"/>
        <w:rPr>
          <w:rFonts w:ascii="Arial" w:hAnsi="Arial" w:cs="Arial"/>
          <w:sz w:val="20"/>
          <w:szCs w:val="20"/>
        </w:rPr>
      </w:pPr>
      <w:r>
        <w:rPr>
          <w:rFonts w:ascii="Arial" w:hAnsi="Arial" w:cs="Arial"/>
          <w:sz w:val="20"/>
          <w:szCs w:val="20"/>
        </w:rPr>
        <w:t>Cross-regional compar</w:t>
      </w:r>
      <w:r>
        <w:rPr>
          <w:rFonts w:ascii="Arial" w:hAnsi="Arial" w:cs="Arial"/>
          <w:sz w:val="20"/>
          <w:szCs w:val="20"/>
        </w:rPr>
        <w:t xml:space="preserve">ison shows that </w:t>
      </w:r>
      <w:r>
        <w:rPr>
          <w:rStyle w:val="Strong"/>
          <w:rFonts w:ascii="Arial" w:hAnsi="Arial" w:cs="Arial"/>
          <w:b w:val="0"/>
          <w:bCs w:val="0"/>
          <w:sz w:val="20"/>
          <w:szCs w:val="20"/>
        </w:rPr>
        <w:t>Asian ports</w:t>
      </w:r>
      <w:r>
        <w:rPr>
          <w:rFonts w:ascii="Arial" w:hAnsi="Arial" w:cs="Arial"/>
          <w:sz w:val="20"/>
          <w:szCs w:val="20"/>
        </w:rPr>
        <w:t xml:space="preserve">, which have more mechanized operations, experience higher decibel levels but often implement better control measures such as </w:t>
      </w:r>
      <w:r>
        <w:rPr>
          <w:rStyle w:val="Strong"/>
          <w:rFonts w:ascii="Arial" w:hAnsi="Arial" w:cs="Arial"/>
          <w:b w:val="0"/>
          <w:bCs w:val="0"/>
          <w:sz w:val="20"/>
          <w:szCs w:val="20"/>
        </w:rPr>
        <w:t>soundproofing, machinery rotation schedules</w:t>
      </w:r>
      <w:r>
        <w:rPr>
          <w:rFonts w:ascii="Arial" w:hAnsi="Arial" w:cs="Arial"/>
          <w:sz w:val="20"/>
          <w:szCs w:val="20"/>
        </w:rPr>
        <w:t xml:space="preserve">, and </w:t>
      </w:r>
      <w:r>
        <w:rPr>
          <w:rStyle w:val="Strong"/>
          <w:rFonts w:ascii="Arial" w:hAnsi="Arial" w:cs="Arial"/>
          <w:b w:val="0"/>
          <w:bCs w:val="0"/>
          <w:sz w:val="20"/>
          <w:szCs w:val="20"/>
        </w:rPr>
        <w:t>mandatory hearing tests</w:t>
      </w:r>
      <w:r>
        <w:rPr>
          <w:rFonts w:ascii="Arial" w:hAnsi="Arial" w:cs="Arial"/>
          <w:sz w:val="20"/>
          <w:szCs w:val="20"/>
        </w:rPr>
        <w:t xml:space="preserve">. By contrast, </w:t>
      </w:r>
      <w:r>
        <w:rPr>
          <w:rStyle w:val="Strong"/>
          <w:rFonts w:ascii="Arial" w:hAnsi="Arial" w:cs="Arial"/>
          <w:b w:val="0"/>
          <w:bCs w:val="0"/>
          <w:sz w:val="20"/>
          <w:szCs w:val="20"/>
        </w:rPr>
        <w:t>African and Lati</w:t>
      </w:r>
      <w:r>
        <w:rPr>
          <w:rStyle w:val="Strong"/>
          <w:rFonts w:ascii="Arial" w:hAnsi="Arial" w:cs="Arial"/>
          <w:b w:val="0"/>
          <w:bCs w:val="0"/>
          <w:sz w:val="20"/>
          <w:szCs w:val="20"/>
        </w:rPr>
        <w:t>n American ports</w:t>
      </w:r>
      <w:r>
        <w:rPr>
          <w:rFonts w:ascii="Arial" w:hAnsi="Arial" w:cs="Arial"/>
          <w:sz w:val="20"/>
          <w:szCs w:val="20"/>
        </w:rPr>
        <w:t xml:space="preserve"> reported both </w:t>
      </w:r>
      <w:r>
        <w:rPr>
          <w:rStyle w:val="Strong"/>
          <w:rFonts w:ascii="Arial" w:hAnsi="Arial" w:cs="Arial"/>
          <w:b w:val="0"/>
          <w:bCs w:val="0"/>
          <w:sz w:val="20"/>
          <w:szCs w:val="20"/>
        </w:rPr>
        <w:t>higher exposure and weaker compliance</w:t>
      </w:r>
      <w:r>
        <w:rPr>
          <w:rFonts w:ascii="Arial" w:hAnsi="Arial" w:cs="Arial"/>
          <w:sz w:val="20"/>
          <w:szCs w:val="20"/>
        </w:rPr>
        <w:t xml:space="preserve"> due to resource constraints and lack of awareness (Amponsah-Tawiah et al., 2020).</w:t>
      </w:r>
    </w:p>
    <w:p w14:paraId="45DEAFCE" w14:textId="77777777" w:rsidR="004C29C6" w:rsidRDefault="00800C25">
      <w:pPr>
        <w:pStyle w:val="NormalWeb"/>
        <w:jc w:val="both"/>
        <w:rPr>
          <w:rFonts w:ascii="Arial" w:hAnsi="Arial" w:cs="Arial"/>
          <w:sz w:val="20"/>
          <w:szCs w:val="20"/>
        </w:rPr>
      </w:pPr>
      <w:r>
        <w:rPr>
          <w:rFonts w:ascii="Arial" w:hAnsi="Arial" w:cs="Arial"/>
          <w:sz w:val="20"/>
          <w:szCs w:val="20"/>
        </w:rPr>
        <w:t xml:space="preserve">These findings highlight the urgent need to institutionalize </w:t>
      </w:r>
      <w:r>
        <w:rPr>
          <w:rStyle w:val="Strong"/>
          <w:rFonts w:ascii="Arial" w:hAnsi="Arial" w:cs="Arial"/>
          <w:b w:val="0"/>
          <w:bCs w:val="0"/>
          <w:sz w:val="20"/>
          <w:szCs w:val="20"/>
        </w:rPr>
        <w:t>occupational noise control programs</w:t>
      </w:r>
      <w:r>
        <w:rPr>
          <w:rFonts w:ascii="Arial" w:hAnsi="Arial" w:cs="Arial"/>
          <w:sz w:val="20"/>
          <w:szCs w:val="20"/>
        </w:rPr>
        <w:t>, introdu</w:t>
      </w:r>
      <w:r>
        <w:rPr>
          <w:rFonts w:ascii="Arial" w:hAnsi="Arial" w:cs="Arial"/>
          <w:sz w:val="20"/>
          <w:szCs w:val="20"/>
        </w:rPr>
        <w:t xml:space="preserve">ce </w:t>
      </w:r>
      <w:r>
        <w:rPr>
          <w:rStyle w:val="Strong"/>
          <w:rFonts w:ascii="Arial" w:hAnsi="Arial" w:cs="Arial"/>
          <w:b w:val="0"/>
          <w:bCs w:val="0"/>
          <w:sz w:val="20"/>
          <w:szCs w:val="20"/>
        </w:rPr>
        <w:t>periodic audiometric screening</w:t>
      </w:r>
      <w:r>
        <w:rPr>
          <w:rFonts w:ascii="Arial" w:hAnsi="Arial" w:cs="Arial"/>
          <w:sz w:val="20"/>
          <w:szCs w:val="20"/>
        </w:rPr>
        <w:t xml:space="preserve">, and enforce </w:t>
      </w:r>
      <w:r>
        <w:rPr>
          <w:rStyle w:val="Strong"/>
          <w:rFonts w:ascii="Arial" w:hAnsi="Arial" w:cs="Arial"/>
          <w:b w:val="0"/>
          <w:bCs w:val="0"/>
          <w:sz w:val="20"/>
          <w:szCs w:val="20"/>
        </w:rPr>
        <w:t>mandatory use of ear protection</w:t>
      </w:r>
      <w:r>
        <w:rPr>
          <w:rFonts w:ascii="Arial" w:hAnsi="Arial" w:cs="Arial"/>
          <w:sz w:val="20"/>
          <w:szCs w:val="20"/>
        </w:rPr>
        <w:t xml:space="preserve"> among port employees.</w:t>
      </w:r>
    </w:p>
    <w:p w14:paraId="0B0B46A9" w14:textId="77777777" w:rsidR="004C29C6" w:rsidRDefault="004C29C6"/>
    <w:p w14:paraId="4AA2662F" w14:textId="77777777" w:rsidR="004C29C6" w:rsidRDefault="00800C25">
      <w:pPr>
        <w:numPr>
          <w:ilvl w:val="1"/>
          <w:numId w:val="11"/>
        </w:numPr>
        <w:rPr>
          <w:rFonts w:ascii="Arial" w:hAnsi="Arial" w:cs="Arial"/>
          <w:b/>
          <w:bCs/>
          <w:sz w:val="22"/>
          <w:szCs w:val="22"/>
        </w:rPr>
      </w:pPr>
      <w:r>
        <w:rPr>
          <w:rFonts w:ascii="Arial" w:hAnsi="Arial" w:cs="Arial"/>
          <w:b/>
          <w:bCs/>
          <w:sz w:val="22"/>
          <w:szCs w:val="22"/>
        </w:rPr>
        <w:t>Occupational Injuries and Ergonomic Hazards</w:t>
      </w:r>
    </w:p>
    <w:p w14:paraId="5336FA08" w14:textId="77777777" w:rsidR="004C29C6" w:rsidRDefault="004C29C6">
      <w:pPr>
        <w:rPr>
          <w:rFonts w:ascii="Arial" w:hAnsi="Arial" w:cs="Arial"/>
          <w:b/>
          <w:bCs/>
          <w:sz w:val="22"/>
          <w:szCs w:val="22"/>
        </w:rPr>
      </w:pPr>
    </w:p>
    <w:p w14:paraId="7F22E064" w14:textId="77777777" w:rsidR="004C29C6" w:rsidRDefault="00800C25">
      <w:pPr>
        <w:pStyle w:val="NormalWeb"/>
        <w:jc w:val="both"/>
        <w:rPr>
          <w:rFonts w:ascii="Arial" w:hAnsi="Arial" w:cs="Arial"/>
          <w:sz w:val="20"/>
          <w:szCs w:val="20"/>
        </w:rPr>
      </w:pPr>
      <w:r>
        <w:rPr>
          <w:rFonts w:ascii="Arial" w:hAnsi="Arial" w:cs="Arial"/>
          <w:sz w:val="20"/>
          <w:szCs w:val="20"/>
        </w:rPr>
        <w:t xml:space="preserve">Occupational injuries remain the most visible and immediate threats to the safety of seaport workers. Across the reviewed literature, the </w:t>
      </w:r>
      <w:r>
        <w:rPr>
          <w:rStyle w:val="Strong"/>
          <w:rFonts w:ascii="Arial" w:hAnsi="Arial" w:cs="Arial"/>
          <w:b w:val="0"/>
          <w:bCs w:val="0"/>
          <w:sz w:val="20"/>
          <w:szCs w:val="20"/>
        </w:rPr>
        <w:t>prevalence of reported injuries ranged from 21% to 63%</w:t>
      </w:r>
      <w:r>
        <w:rPr>
          <w:rFonts w:ascii="Arial" w:hAnsi="Arial" w:cs="Arial"/>
          <w:sz w:val="20"/>
          <w:szCs w:val="20"/>
        </w:rPr>
        <w:t xml:space="preserve">, with the most frequent types being </w:t>
      </w:r>
      <w:r>
        <w:rPr>
          <w:rStyle w:val="Strong"/>
          <w:rFonts w:ascii="Arial" w:hAnsi="Arial" w:cs="Arial"/>
          <w:b w:val="0"/>
          <w:bCs w:val="0"/>
          <w:sz w:val="20"/>
          <w:szCs w:val="20"/>
        </w:rPr>
        <w:t>cuts, slips, fractures, spr</w:t>
      </w:r>
      <w:r>
        <w:rPr>
          <w:rStyle w:val="Strong"/>
          <w:rFonts w:ascii="Arial" w:hAnsi="Arial" w:cs="Arial"/>
          <w:b w:val="0"/>
          <w:bCs w:val="0"/>
          <w:sz w:val="20"/>
          <w:szCs w:val="20"/>
        </w:rPr>
        <w:t>ains, falls from heights</w:t>
      </w:r>
      <w:r>
        <w:rPr>
          <w:rFonts w:ascii="Arial" w:hAnsi="Arial" w:cs="Arial"/>
          <w:sz w:val="20"/>
          <w:szCs w:val="20"/>
        </w:rPr>
        <w:t xml:space="preserve">, and </w:t>
      </w:r>
      <w:r>
        <w:rPr>
          <w:rStyle w:val="Strong"/>
          <w:rFonts w:ascii="Arial" w:hAnsi="Arial" w:cs="Arial"/>
          <w:b w:val="0"/>
          <w:bCs w:val="0"/>
          <w:sz w:val="20"/>
          <w:szCs w:val="20"/>
        </w:rPr>
        <w:t>musculoskeletal disorders</w:t>
      </w:r>
      <w:r>
        <w:rPr>
          <w:rFonts w:ascii="Arial" w:hAnsi="Arial" w:cs="Arial"/>
          <w:sz w:val="20"/>
          <w:szCs w:val="20"/>
        </w:rPr>
        <w:t xml:space="preserve"> related to lifting and repetitive movements (Akinwale &amp; Olusanya, 2020; Eze et al., 2023).</w:t>
      </w:r>
    </w:p>
    <w:p w14:paraId="78075436" w14:textId="77777777" w:rsidR="004C29C6" w:rsidRDefault="004C29C6">
      <w:pPr>
        <w:pStyle w:val="NormalWeb"/>
        <w:jc w:val="both"/>
        <w:rPr>
          <w:rFonts w:ascii="Arial" w:hAnsi="Arial" w:cs="Arial"/>
          <w:sz w:val="20"/>
          <w:szCs w:val="20"/>
        </w:rPr>
      </w:pPr>
    </w:p>
    <w:p w14:paraId="4C368D6F" w14:textId="77777777" w:rsidR="004C29C6" w:rsidRDefault="00800C25">
      <w:pPr>
        <w:pStyle w:val="NormalWeb"/>
        <w:jc w:val="both"/>
        <w:rPr>
          <w:rFonts w:ascii="Arial" w:hAnsi="Arial" w:cs="Arial"/>
          <w:sz w:val="20"/>
          <w:szCs w:val="20"/>
        </w:rPr>
      </w:pPr>
      <w:r>
        <w:rPr>
          <w:rFonts w:ascii="Arial" w:hAnsi="Arial" w:cs="Arial"/>
          <w:sz w:val="20"/>
          <w:szCs w:val="20"/>
        </w:rPr>
        <w:t>Manual cargo handling remains a dominant source of injury, especially in ports with limited mechanization. P</w:t>
      </w:r>
      <w:r>
        <w:rPr>
          <w:rFonts w:ascii="Arial" w:hAnsi="Arial" w:cs="Arial"/>
          <w:sz w:val="20"/>
          <w:szCs w:val="20"/>
        </w:rPr>
        <w:t xml:space="preserve">oor ergonomic design of equipment, overcrowded working conditions, and fatigue were identified as key contributors. In Nigeria’s Onne and Apapa ports, over </w:t>
      </w:r>
      <w:r>
        <w:rPr>
          <w:rStyle w:val="Strong"/>
          <w:rFonts w:ascii="Arial" w:hAnsi="Arial" w:cs="Arial"/>
          <w:b w:val="0"/>
          <w:bCs w:val="0"/>
          <w:sz w:val="20"/>
          <w:szCs w:val="20"/>
        </w:rPr>
        <w:t>45% of dockworkers</w:t>
      </w:r>
      <w:r>
        <w:rPr>
          <w:rFonts w:ascii="Arial" w:hAnsi="Arial" w:cs="Arial"/>
          <w:sz w:val="20"/>
          <w:szCs w:val="20"/>
        </w:rPr>
        <w:t xml:space="preserve"> reported musculoskeletal discomfort affecting their back, shoulders, or knees due</w:t>
      </w:r>
      <w:r>
        <w:rPr>
          <w:rFonts w:ascii="Arial" w:hAnsi="Arial" w:cs="Arial"/>
          <w:sz w:val="20"/>
          <w:szCs w:val="20"/>
        </w:rPr>
        <w:t xml:space="preserve"> to repetitive bending and lifting (Eze et al., 2023). Similarly, Ghanaian dockworkers experienced frequent strain-related injuries attributed to lack of mechanical aids and poor work-rest cycles (Agyekum et al., 2020).</w:t>
      </w:r>
    </w:p>
    <w:p w14:paraId="63DCB1DD" w14:textId="77777777" w:rsidR="004C29C6" w:rsidRDefault="004C29C6">
      <w:pPr>
        <w:pStyle w:val="NormalWeb"/>
        <w:jc w:val="both"/>
        <w:rPr>
          <w:rFonts w:ascii="Arial" w:hAnsi="Arial" w:cs="Arial"/>
          <w:sz w:val="20"/>
          <w:szCs w:val="20"/>
        </w:rPr>
      </w:pPr>
    </w:p>
    <w:p w14:paraId="24A0639F" w14:textId="77777777" w:rsidR="004C29C6" w:rsidRDefault="00800C25">
      <w:pPr>
        <w:pStyle w:val="NormalWeb"/>
        <w:jc w:val="both"/>
        <w:rPr>
          <w:rFonts w:ascii="Arial" w:hAnsi="Arial" w:cs="Arial"/>
          <w:sz w:val="20"/>
          <w:szCs w:val="20"/>
        </w:rPr>
      </w:pPr>
      <w:r>
        <w:rPr>
          <w:rFonts w:ascii="Arial" w:hAnsi="Arial" w:cs="Arial"/>
          <w:sz w:val="20"/>
          <w:szCs w:val="20"/>
        </w:rPr>
        <w:t>Accidents involving heavy equipment</w:t>
      </w:r>
      <w:r>
        <w:rPr>
          <w:rFonts w:ascii="Arial" w:hAnsi="Arial" w:cs="Arial"/>
          <w:sz w:val="20"/>
          <w:szCs w:val="20"/>
        </w:rPr>
        <w:t xml:space="preserve"> such as cranes and forklifts were also common. In several studies, </w:t>
      </w:r>
      <w:r>
        <w:rPr>
          <w:rStyle w:val="Strong"/>
          <w:rFonts w:ascii="Arial" w:hAnsi="Arial" w:cs="Arial"/>
          <w:b w:val="0"/>
          <w:bCs w:val="0"/>
          <w:sz w:val="20"/>
          <w:szCs w:val="20"/>
        </w:rPr>
        <w:t>human error and inadequate safety training</w:t>
      </w:r>
      <w:r>
        <w:rPr>
          <w:rFonts w:ascii="Arial" w:hAnsi="Arial" w:cs="Arial"/>
          <w:sz w:val="20"/>
          <w:szCs w:val="20"/>
        </w:rPr>
        <w:t xml:space="preserve"> were leading causes of such incidents (Amponsah-Tawiah et al., 2020). The absence of </w:t>
      </w:r>
      <w:r>
        <w:rPr>
          <w:rStyle w:val="Strong"/>
          <w:rFonts w:ascii="Arial" w:hAnsi="Arial" w:cs="Arial"/>
          <w:b w:val="0"/>
          <w:bCs w:val="0"/>
          <w:sz w:val="20"/>
          <w:szCs w:val="20"/>
        </w:rPr>
        <w:t>personal protective equipment (PPE)</w:t>
      </w:r>
      <w:r>
        <w:rPr>
          <w:rFonts w:ascii="Arial" w:hAnsi="Arial" w:cs="Arial"/>
          <w:sz w:val="20"/>
          <w:szCs w:val="20"/>
        </w:rPr>
        <w:t>—especially safety boots,</w:t>
      </w:r>
      <w:r>
        <w:rPr>
          <w:rFonts w:ascii="Arial" w:hAnsi="Arial" w:cs="Arial"/>
          <w:sz w:val="20"/>
          <w:szCs w:val="20"/>
        </w:rPr>
        <w:t xml:space="preserve"> gloves, and helmets—was repeatedly cited as a significant risk amplifier (Ogundele et al., 2022).</w:t>
      </w:r>
    </w:p>
    <w:p w14:paraId="381A99A9" w14:textId="77777777" w:rsidR="004C29C6" w:rsidRDefault="004C29C6">
      <w:pPr>
        <w:pStyle w:val="NormalWeb"/>
        <w:jc w:val="both"/>
        <w:rPr>
          <w:rFonts w:ascii="Arial" w:hAnsi="Arial" w:cs="Arial"/>
          <w:sz w:val="20"/>
          <w:szCs w:val="20"/>
        </w:rPr>
      </w:pPr>
    </w:p>
    <w:p w14:paraId="6F85CC7F" w14:textId="77777777" w:rsidR="004C29C6" w:rsidRDefault="00800C25">
      <w:pPr>
        <w:pStyle w:val="NormalWeb"/>
        <w:jc w:val="both"/>
        <w:rPr>
          <w:rFonts w:ascii="Arial" w:hAnsi="Arial" w:cs="Arial"/>
          <w:sz w:val="20"/>
          <w:szCs w:val="20"/>
        </w:rPr>
      </w:pPr>
      <w:r>
        <w:rPr>
          <w:rFonts w:ascii="Arial" w:hAnsi="Arial" w:cs="Arial"/>
          <w:sz w:val="20"/>
          <w:szCs w:val="20"/>
        </w:rPr>
        <w:t xml:space="preserve">Comparatively, </w:t>
      </w:r>
      <w:r>
        <w:rPr>
          <w:rStyle w:val="Strong"/>
          <w:rFonts w:ascii="Arial" w:hAnsi="Arial" w:cs="Arial"/>
          <w:b w:val="0"/>
          <w:bCs w:val="0"/>
          <w:sz w:val="20"/>
          <w:szCs w:val="20"/>
        </w:rPr>
        <w:t>Asian ports</w:t>
      </w:r>
      <w:r>
        <w:rPr>
          <w:rFonts w:ascii="Arial" w:hAnsi="Arial" w:cs="Arial"/>
          <w:sz w:val="20"/>
          <w:szCs w:val="20"/>
        </w:rPr>
        <w:t xml:space="preserve"> demonstrated lower accident rates relative to African ports, largely due to the introduction of </w:t>
      </w:r>
      <w:r>
        <w:rPr>
          <w:rStyle w:val="Strong"/>
          <w:rFonts w:ascii="Arial" w:hAnsi="Arial" w:cs="Arial"/>
          <w:b w:val="0"/>
          <w:bCs w:val="0"/>
          <w:sz w:val="20"/>
          <w:szCs w:val="20"/>
        </w:rPr>
        <w:t>occupational safety committees</w:t>
      </w:r>
      <w:r>
        <w:rPr>
          <w:rFonts w:ascii="Arial" w:hAnsi="Arial" w:cs="Arial"/>
          <w:sz w:val="20"/>
          <w:szCs w:val="20"/>
        </w:rPr>
        <w:t xml:space="preserve">, </w:t>
      </w:r>
      <w:r>
        <w:rPr>
          <w:rStyle w:val="Strong"/>
          <w:rFonts w:ascii="Arial" w:hAnsi="Arial" w:cs="Arial"/>
          <w:b w:val="0"/>
          <w:bCs w:val="0"/>
          <w:sz w:val="20"/>
          <w:szCs w:val="20"/>
        </w:rPr>
        <w:t>t</w:t>
      </w:r>
      <w:r>
        <w:rPr>
          <w:rStyle w:val="Strong"/>
          <w:rFonts w:ascii="Arial" w:hAnsi="Arial" w:cs="Arial"/>
          <w:b w:val="0"/>
          <w:bCs w:val="0"/>
          <w:sz w:val="20"/>
          <w:szCs w:val="20"/>
        </w:rPr>
        <w:t>raining programs</w:t>
      </w:r>
      <w:r>
        <w:rPr>
          <w:rFonts w:ascii="Arial" w:hAnsi="Arial" w:cs="Arial"/>
          <w:sz w:val="20"/>
          <w:szCs w:val="20"/>
        </w:rPr>
        <w:t xml:space="preserve">, and </w:t>
      </w:r>
      <w:r>
        <w:rPr>
          <w:rStyle w:val="Strong"/>
          <w:rFonts w:ascii="Arial" w:hAnsi="Arial" w:cs="Arial"/>
          <w:b w:val="0"/>
          <w:bCs w:val="0"/>
          <w:sz w:val="20"/>
          <w:szCs w:val="20"/>
        </w:rPr>
        <w:t>automated handling systems</w:t>
      </w:r>
      <w:r>
        <w:rPr>
          <w:rFonts w:ascii="Arial" w:hAnsi="Arial" w:cs="Arial"/>
          <w:sz w:val="20"/>
          <w:szCs w:val="20"/>
        </w:rPr>
        <w:t xml:space="preserve"> (Cheng et al., 2019). In contrast, </w:t>
      </w:r>
      <w:r>
        <w:rPr>
          <w:rStyle w:val="Strong"/>
          <w:rFonts w:ascii="Arial" w:hAnsi="Arial" w:cs="Arial"/>
          <w:b w:val="0"/>
          <w:bCs w:val="0"/>
          <w:sz w:val="20"/>
          <w:szCs w:val="20"/>
        </w:rPr>
        <w:t>Latin American ports</w:t>
      </w:r>
      <w:r>
        <w:rPr>
          <w:rFonts w:ascii="Arial" w:hAnsi="Arial" w:cs="Arial"/>
          <w:sz w:val="20"/>
          <w:szCs w:val="20"/>
        </w:rPr>
        <w:t>, such as those in Brazil and Colombia, exhibited intermediate risk levels but faced challenges related to informal employment and limited access to occ</w:t>
      </w:r>
      <w:r>
        <w:rPr>
          <w:rFonts w:ascii="Arial" w:hAnsi="Arial" w:cs="Arial"/>
          <w:sz w:val="20"/>
          <w:szCs w:val="20"/>
        </w:rPr>
        <w:t>upational health services.</w:t>
      </w:r>
    </w:p>
    <w:p w14:paraId="7B0317BF" w14:textId="77777777" w:rsidR="004C29C6" w:rsidRDefault="004C29C6">
      <w:pPr>
        <w:pStyle w:val="NormalWeb"/>
        <w:jc w:val="both"/>
        <w:rPr>
          <w:rFonts w:ascii="Arial" w:hAnsi="Arial" w:cs="Arial"/>
          <w:sz w:val="20"/>
          <w:szCs w:val="20"/>
        </w:rPr>
      </w:pPr>
    </w:p>
    <w:p w14:paraId="40B30514" w14:textId="77777777" w:rsidR="004C29C6" w:rsidRDefault="00800C25">
      <w:pPr>
        <w:pStyle w:val="NormalWeb"/>
        <w:jc w:val="both"/>
        <w:rPr>
          <w:rFonts w:ascii="Arial" w:hAnsi="Arial" w:cs="Arial"/>
          <w:sz w:val="20"/>
          <w:szCs w:val="20"/>
        </w:rPr>
      </w:pPr>
      <w:r>
        <w:rPr>
          <w:rFonts w:ascii="Arial" w:hAnsi="Arial" w:cs="Arial"/>
          <w:sz w:val="20"/>
          <w:szCs w:val="20"/>
        </w:rPr>
        <w:t xml:space="preserve">The reviewed evidence suggests that </w:t>
      </w:r>
      <w:r>
        <w:rPr>
          <w:rStyle w:val="Strong"/>
          <w:rFonts w:ascii="Arial" w:hAnsi="Arial" w:cs="Arial"/>
          <w:b w:val="0"/>
          <w:bCs w:val="0"/>
          <w:sz w:val="20"/>
          <w:szCs w:val="20"/>
        </w:rPr>
        <w:t>injury prevention strategies</w:t>
      </w:r>
      <w:r>
        <w:rPr>
          <w:rFonts w:ascii="Arial" w:hAnsi="Arial" w:cs="Arial"/>
          <w:sz w:val="20"/>
          <w:szCs w:val="20"/>
        </w:rPr>
        <w:t>—including ergonomic redesign of port facilities, worker training, fatigue management, and safety culture reinforcement—are essential for minimizing work-related ac</w:t>
      </w:r>
      <w:r>
        <w:rPr>
          <w:rFonts w:ascii="Arial" w:hAnsi="Arial" w:cs="Arial"/>
          <w:sz w:val="20"/>
          <w:szCs w:val="20"/>
        </w:rPr>
        <w:t>cidents in developing port environments.</w:t>
      </w:r>
    </w:p>
    <w:p w14:paraId="2ED6B27F" w14:textId="77777777" w:rsidR="004C29C6" w:rsidRDefault="004C29C6"/>
    <w:p w14:paraId="7D8A90FE" w14:textId="77777777" w:rsidR="004C29C6" w:rsidRDefault="00800C25">
      <w:pPr>
        <w:numPr>
          <w:ilvl w:val="1"/>
          <w:numId w:val="11"/>
        </w:numPr>
        <w:rPr>
          <w:rFonts w:ascii="Arial" w:hAnsi="Arial" w:cs="Arial"/>
          <w:b/>
          <w:bCs/>
          <w:sz w:val="22"/>
          <w:szCs w:val="22"/>
        </w:rPr>
      </w:pPr>
      <w:r>
        <w:rPr>
          <w:rFonts w:ascii="Arial" w:hAnsi="Arial" w:cs="Arial"/>
          <w:b/>
          <w:bCs/>
          <w:sz w:val="22"/>
          <w:szCs w:val="22"/>
        </w:rPr>
        <w:t>Chemical and Heavy Metal Exposure</w:t>
      </w:r>
    </w:p>
    <w:p w14:paraId="47E95ED4" w14:textId="77777777" w:rsidR="004C29C6" w:rsidRDefault="004C29C6">
      <w:pPr>
        <w:rPr>
          <w:rFonts w:ascii="Arial" w:hAnsi="Arial" w:cs="Arial"/>
          <w:b/>
          <w:bCs/>
          <w:sz w:val="22"/>
          <w:szCs w:val="22"/>
        </w:rPr>
      </w:pPr>
    </w:p>
    <w:p w14:paraId="5EE7BCE9" w14:textId="77777777" w:rsidR="004C29C6" w:rsidRDefault="00800C25">
      <w:pPr>
        <w:pStyle w:val="NormalWeb"/>
        <w:jc w:val="both"/>
        <w:rPr>
          <w:rFonts w:ascii="Arial" w:hAnsi="Arial" w:cs="Arial"/>
          <w:sz w:val="20"/>
          <w:szCs w:val="20"/>
        </w:rPr>
      </w:pPr>
      <w:r>
        <w:rPr>
          <w:rFonts w:ascii="Arial" w:hAnsi="Arial" w:cs="Arial"/>
          <w:sz w:val="20"/>
          <w:szCs w:val="20"/>
        </w:rPr>
        <w:t xml:space="preserve">Chemical hazards are particularly pronounced in oil export and industrial ports, where cargoes often include petroleum products, solvents, and metallic compounds. Exposure occurs </w:t>
      </w:r>
      <w:r>
        <w:rPr>
          <w:rFonts w:ascii="Arial" w:hAnsi="Arial" w:cs="Arial"/>
          <w:sz w:val="20"/>
          <w:szCs w:val="20"/>
        </w:rPr>
        <w:t>through inhalation of fumes, skin contact, or ingestion of contaminated dust and water (Ekpenyong et al., 2020).</w:t>
      </w:r>
    </w:p>
    <w:p w14:paraId="7B4724F0" w14:textId="77777777" w:rsidR="004C29C6" w:rsidRDefault="004C29C6">
      <w:pPr>
        <w:pStyle w:val="NormalWeb"/>
        <w:jc w:val="both"/>
        <w:rPr>
          <w:rFonts w:ascii="Arial" w:hAnsi="Arial" w:cs="Arial"/>
          <w:sz w:val="20"/>
          <w:szCs w:val="20"/>
        </w:rPr>
      </w:pPr>
    </w:p>
    <w:p w14:paraId="7360F369" w14:textId="77777777" w:rsidR="004C29C6" w:rsidRDefault="00800C25">
      <w:pPr>
        <w:pStyle w:val="NormalWeb"/>
        <w:jc w:val="both"/>
        <w:rPr>
          <w:rFonts w:ascii="Arial" w:hAnsi="Arial" w:cs="Arial"/>
          <w:sz w:val="20"/>
          <w:szCs w:val="20"/>
        </w:rPr>
      </w:pPr>
      <w:r>
        <w:rPr>
          <w:rFonts w:ascii="Arial" w:hAnsi="Arial" w:cs="Arial"/>
          <w:sz w:val="20"/>
          <w:szCs w:val="20"/>
        </w:rPr>
        <w:lastRenderedPageBreak/>
        <w:t xml:space="preserve">Studies from Nigeria’s Niger Delta ports detected elevated levels of </w:t>
      </w:r>
      <w:r>
        <w:rPr>
          <w:rStyle w:val="Strong"/>
          <w:rFonts w:ascii="Arial" w:hAnsi="Arial" w:cs="Arial"/>
          <w:b w:val="0"/>
          <w:bCs w:val="0"/>
          <w:sz w:val="20"/>
          <w:szCs w:val="20"/>
        </w:rPr>
        <w:t>lead (Pb)</w:t>
      </w:r>
      <w:r>
        <w:rPr>
          <w:rFonts w:ascii="Arial" w:hAnsi="Arial" w:cs="Arial"/>
          <w:sz w:val="20"/>
          <w:szCs w:val="20"/>
        </w:rPr>
        <w:t xml:space="preserve">, </w:t>
      </w:r>
      <w:r>
        <w:rPr>
          <w:rStyle w:val="Strong"/>
          <w:rFonts w:ascii="Arial" w:hAnsi="Arial" w:cs="Arial"/>
          <w:b w:val="0"/>
          <w:bCs w:val="0"/>
          <w:sz w:val="20"/>
          <w:szCs w:val="20"/>
        </w:rPr>
        <w:t>cadmium (Cd)</w:t>
      </w:r>
      <w:r>
        <w:rPr>
          <w:rFonts w:ascii="Arial" w:hAnsi="Arial" w:cs="Arial"/>
          <w:sz w:val="20"/>
          <w:szCs w:val="20"/>
        </w:rPr>
        <w:t xml:space="preserve">, and </w:t>
      </w:r>
      <w:r>
        <w:rPr>
          <w:rStyle w:val="Strong"/>
          <w:rFonts w:ascii="Arial" w:hAnsi="Arial" w:cs="Arial"/>
          <w:b w:val="0"/>
          <w:bCs w:val="0"/>
          <w:sz w:val="20"/>
          <w:szCs w:val="20"/>
        </w:rPr>
        <w:t>benzene</w:t>
      </w:r>
      <w:r>
        <w:rPr>
          <w:rFonts w:ascii="Arial" w:hAnsi="Arial" w:cs="Arial"/>
          <w:sz w:val="20"/>
          <w:szCs w:val="20"/>
        </w:rPr>
        <w:t xml:space="preserve"> in air and soil samples within port </w:t>
      </w:r>
      <w:r>
        <w:rPr>
          <w:rFonts w:ascii="Arial" w:hAnsi="Arial" w:cs="Arial"/>
          <w:sz w:val="20"/>
          <w:szCs w:val="20"/>
        </w:rPr>
        <w:t xml:space="preserve">vicinities (Ekpenyong et al., 2020). Workers in these environments exhibited increased prevalence of </w:t>
      </w:r>
      <w:r>
        <w:rPr>
          <w:rStyle w:val="Strong"/>
          <w:rFonts w:ascii="Arial" w:hAnsi="Arial" w:cs="Arial"/>
          <w:b w:val="0"/>
          <w:bCs w:val="0"/>
          <w:sz w:val="20"/>
          <w:szCs w:val="20"/>
        </w:rPr>
        <w:t>dermatitis, headaches, and respiratory irritation</w:t>
      </w:r>
      <w:r>
        <w:rPr>
          <w:rFonts w:ascii="Arial" w:hAnsi="Arial" w:cs="Arial"/>
          <w:sz w:val="20"/>
          <w:szCs w:val="20"/>
        </w:rPr>
        <w:t>. Chronic exposure was associated with biochemical alterations, including elevated liver enzymes and reduc</w:t>
      </w:r>
      <w:r>
        <w:rPr>
          <w:rFonts w:ascii="Arial" w:hAnsi="Arial" w:cs="Arial"/>
          <w:sz w:val="20"/>
          <w:szCs w:val="20"/>
        </w:rPr>
        <w:t>ed hematological parameters, suggesting systemic toxicity.</w:t>
      </w:r>
    </w:p>
    <w:p w14:paraId="6966F675" w14:textId="77777777" w:rsidR="004C29C6" w:rsidRDefault="004C29C6">
      <w:pPr>
        <w:pStyle w:val="NormalWeb"/>
        <w:jc w:val="both"/>
        <w:rPr>
          <w:rFonts w:ascii="Arial" w:hAnsi="Arial" w:cs="Arial"/>
          <w:sz w:val="20"/>
          <w:szCs w:val="20"/>
        </w:rPr>
      </w:pPr>
    </w:p>
    <w:p w14:paraId="2E09D553" w14:textId="77777777" w:rsidR="004C29C6" w:rsidRDefault="00800C25">
      <w:pPr>
        <w:pStyle w:val="NormalWeb"/>
        <w:jc w:val="both"/>
        <w:rPr>
          <w:rFonts w:ascii="Arial" w:hAnsi="Arial" w:cs="Arial"/>
          <w:sz w:val="20"/>
          <w:szCs w:val="20"/>
        </w:rPr>
      </w:pPr>
      <w:r>
        <w:rPr>
          <w:rFonts w:ascii="Arial" w:hAnsi="Arial" w:cs="Arial"/>
          <w:sz w:val="20"/>
          <w:szCs w:val="20"/>
        </w:rPr>
        <w:t xml:space="preserve">Similarly, research in </w:t>
      </w:r>
      <w:r>
        <w:rPr>
          <w:rStyle w:val="Strong"/>
          <w:rFonts w:ascii="Arial" w:hAnsi="Arial" w:cs="Arial"/>
          <w:b w:val="0"/>
          <w:bCs w:val="0"/>
          <w:sz w:val="20"/>
          <w:szCs w:val="20"/>
        </w:rPr>
        <w:t>Asian petroleum ports</w:t>
      </w:r>
      <w:r>
        <w:rPr>
          <w:rFonts w:ascii="Arial" w:hAnsi="Arial" w:cs="Arial"/>
          <w:sz w:val="20"/>
          <w:szCs w:val="20"/>
        </w:rPr>
        <w:t xml:space="preserve"> (e.g., in Malaysia and India) found </w:t>
      </w:r>
      <w:r>
        <w:rPr>
          <w:rStyle w:val="Strong"/>
          <w:rFonts w:ascii="Arial" w:hAnsi="Arial" w:cs="Arial"/>
          <w:b w:val="0"/>
          <w:bCs w:val="0"/>
          <w:sz w:val="20"/>
          <w:szCs w:val="20"/>
        </w:rPr>
        <w:t>elevated urinary cadmium and chromium</w:t>
      </w:r>
      <w:r>
        <w:rPr>
          <w:rFonts w:ascii="Arial" w:hAnsi="Arial" w:cs="Arial"/>
          <w:sz w:val="20"/>
          <w:szCs w:val="20"/>
        </w:rPr>
        <w:t xml:space="preserve"> levels among dockworkers engaged in ship maintenance and refueling activities</w:t>
      </w:r>
      <w:r>
        <w:rPr>
          <w:rFonts w:ascii="Arial" w:hAnsi="Arial" w:cs="Arial"/>
          <w:sz w:val="20"/>
          <w:szCs w:val="20"/>
        </w:rPr>
        <w:t xml:space="preserve"> (Cheng et al., 2019). In </w:t>
      </w:r>
      <w:r>
        <w:rPr>
          <w:rStyle w:val="Strong"/>
          <w:rFonts w:ascii="Arial" w:hAnsi="Arial" w:cs="Arial"/>
          <w:b w:val="0"/>
          <w:bCs w:val="0"/>
          <w:sz w:val="20"/>
          <w:szCs w:val="20"/>
        </w:rPr>
        <w:t>Latin American ports</w:t>
      </w:r>
      <w:r>
        <w:rPr>
          <w:rFonts w:ascii="Arial" w:hAnsi="Arial" w:cs="Arial"/>
          <w:sz w:val="20"/>
          <w:szCs w:val="20"/>
        </w:rPr>
        <w:t>, such as those in Ecuador and Brazil, heavy metal contamination of port sediments has been linked to adverse reproductive and neurological effects in exposed workers (ILO, 2021).</w:t>
      </w:r>
    </w:p>
    <w:p w14:paraId="4A499D6E" w14:textId="77777777" w:rsidR="004C29C6" w:rsidRDefault="004C29C6">
      <w:pPr>
        <w:pStyle w:val="NormalWeb"/>
        <w:jc w:val="both"/>
        <w:rPr>
          <w:rFonts w:ascii="Arial" w:hAnsi="Arial" w:cs="Arial"/>
          <w:sz w:val="20"/>
          <w:szCs w:val="20"/>
        </w:rPr>
      </w:pPr>
    </w:p>
    <w:p w14:paraId="05295B5B" w14:textId="77777777" w:rsidR="004C29C6" w:rsidRDefault="00800C25">
      <w:pPr>
        <w:pStyle w:val="NormalWeb"/>
        <w:jc w:val="both"/>
        <w:rPr>
          <w:rFonts w:ascii="Arial" w:hAnsi="Arial" w:cs="Arial"/>
          <w:sz w:val="20"/>
          <w:szCs w:val="20"/>
        </w:rPr>
      </w:pPr>
      <w:r>
        <w:rPr>
          <w:rFonts w:ascii="Arial" w:hAnsi="Arial" w:cs="Arial"/>
          <w:sz w:val="20"/>
          <w:szCs w:val="20"/>
        </w:rPr>
        <w:t>Chemical exposure risks are a</w:t>
      </w:r>
      <w:r>
        <w:rPr>
          <w:rFonts w:ascii="Arial" w:hAnsi="Arial" w:cs="Arial"/>
          <w:sz w:val="20"/>
          <w:szCs w:val="20"/>
        </w:rPr>
        <w:t xml:space="preserve">ggravated by </w:t>
      </w:r>
      <w:r>
        <w:rPr>
          <w:rStyle w:val="Strong"/>
          <w:rFonts w:ascii="Arial" w:hAnsi="Arial" w:cs="Arial"/>
          <w:b w:val="0"/>
          <w:bCs w:val="0"/>
          <w:sz w:val="20"/>
          <w:szCs w:val="20"/>
        </w:rPr>
        <w:t>poor handling practices</w:t>
      </w:r>
      <w:r>
        <w:rPr>
          <w:rFonts w:ascii="Arial" w:hAnsi="Arial" w:cs="Arial"/>
          <w:sz w:val="20"/>
          <w:szCs w:val="20"/>
        </w:rPr>
        <w:t xml:space="preserve">, lack of hazard labeling, and inadequate use of protective clothing. Very few studies reported the existence of </w:t>
      </w:r>
      <w:r>
        <w:rPr>
          <w:rStyle w:val="Strong"/>
          <w:rFonts w:ascii="Arial" w:hAnsi="Arial" w:cs="Arial"/>
          <w:b w:val="0"/>
          <w:bCs w:val="0"/>
          <w:sz w:val="20"/>
          <w:szCs w:val="20"/>
        </w:rPr>
        <w:t>occupational health surveillance systems</w:t>
      </w:r>
      <w:r>
        <w:rPr>
          <w:rFonts w:ascii="Arial" w:hAnsi="Arial" w:cs="Arial"/>
          <w:sz w:val="20"/>
          <w:szCs w:val="20"/>
        </w:rPr>
        <w:t xml:space="preserve"> or </w:t>
      </w:r>
      <w:r>
        <w:rPr>
          <w:rStyle w:val="Strong"/>
          <w:rFonts w:ascii="Arial" w:hAnsi="Arial" w:cs="Arial"/>
          <w:b w:val="0"/>
          <w:bCs w:val="0"/>
          <w:sz w:val="20"/>
          <w:szCs w:val="20"/>
        </w:rPr>
        <w:t>biomonitoring programs</w:t>
      </w:r>
      <w:r>
        <w:rPr>
          <w:rFonts w:ascii="Arial" w:hAnsi="Arial" w:cs="Arial"/>
          <w:sz w:val="20"/>
          <w:szCs w:val="20"/>
        </w:rPr>
        <w:t xml:space="preserve"> for early detection of toxic exposure.</w:t>
      </w:r>
    </w:p>
    <w:p w14:paraId="1EA27619" w14:textId="77777777" w:rsidR="004C29C6" w:rsidRDefault="00800C25">
      <w:pPr>
        <w:pStyle w:val="NormalWeb"/>
        <w:jc w:val="both"/>
        <w:rPr>
          <w:rFonts w:ascii="Arial" w:hAnsi="Arial" w:cs="Arial"/>
          <w:sz w:val="20"/>
          <w:szCs w:val="20"/>
        </w:rPr>
      </w:pPr>
      <w:r>
        <w:rPr>
          <w:rFonts w:ascii="Arial" w:hAnsi="Arial" w:cs="Arial"/>
          <w:sz w:val="20"/>
          <w:szCs w:val="20"/>
        </w:rPr>
        <w:t>M</w:t>
      </w:r>
      <w:r>
        <w:rPr>
          <w:rFonts w:ascii="Arial" w:hAnsi="Arial" w:cs="Arial"/>
          <w:sz w:val="20"/>
          <w:szCs w:val="20"/>
        </w:rPr>
        <w:t xml:space="preserve">itigation strategies identified in higher-performing ports included </w:t>
      </w:r>
      <w:r>
        <w:rPr>
          <w:rStyle w:val="Strong"/>
          <w:rFonts w:ascii="Arial" w:hAnsi="Arial" w:cs="Arial"/>
          <w:b w:val="0"/>
          <w:bCs w:val="0"/>
          <w:sz w:val="20"/>
          <w:szCs w:val="20"/>
        </w:rPr>
        <w:t>chemical risk assessments</w:t>
      </w:r>
      <w:r>
        <w:rPr>
          <w:rFonts w:ascii="Arial" w:hAnsi="Arial" w:cs="Arial"/>
          <w:sz w:val="20"/>
          <w:szCs w:val="20"/>
        </w:rPr>
        <w:t xml:space="preserve">, </w:t>
      </w:r>
      <w:r>
        <w:rPr>
          <w:rStyle w:val="Strong"/>
          <w:rFonts w:ascii="Arial" w:hAnsi="Arial" w:cs="Arial"/>
          <w:b w:val="0"/>
          <w:bCs w:val="0"/>
          <w:sz w:val="20"/>
          <w:szCs w:val="20"/>
        </w:rPr>
        <w:t>safe storage facilities</w:t>
      </w:r>
      <w:r>
        <w:rPr>
          <w:rFonts w:ascii="Arial" w:hAnsi="Arial" w:cs="Arial"/>
          <w:sz w:val="20"/>
          <w:szCs w:val="20"/>
        </w:rPr>
        <w:t xml:space="preserve">, and </w:t>
      </w:r>
      <w:r>
        <w:rPr>
          <w:rStyle w:val="Strong"/>
          <w:rFonts w:ascii="Arial" w:hAnsi="Arial" w:cs="Arial"/>
          <w:b w:val="0"/>
          <w:bCs w:val="0"/>
          <w:sz w:val="20"/>
          <w:szCs w:val="20"/>
        </w:rPr>
        <w:t>mandatory PPE training</w:t>
      </w:r>
      <w:r>
        <w:rPr>
          <w:rFonts w:ascii="Arial" w:hAnsi="Arial" w:cs="Arial"/>
          <w:sz w:val="20"/>
          <w:szCs w:val="20"/>
        </w:rPr>
        <w:t>. However, their implementation in most developing countries remains inconsistent.</w:t>
      </w:r>
    </w:p>
    <w:p w14:paraId="59994DDC" w14:textId="77777777" w:rsidR="004C29C6" w:rsidRDefault="004C29C6"/>
    <w:p w14:paraId="694CD446" w14:textId="77777777" w:rsidR="004C29C6" w:rsidRDefault="00800C25">
      <w:pPr>
        <w:numPr>
          <w:ilvl w:val="1"/>
          <w:numId w:val="11"/>
        </w:numPr>
        <w:rPr>
          <w:rFonts w:ascii="Arial" w:hAnsi="Arial" w:cs="Arial"/>
          <w:b/>
          <w:bCs/>
          <w:sz w:val="22"/>
          <w:szCs w:val="22"/>
        </w:rPr>
      </w:pPr>
      <w:r>
        <w:rPr>
          <w:rFonts w:ascii="Arial" w:hAnsi="Arial" w:cs="Arial"/>
          <w:b/>
          <w:bCs/>
          <w:sz w:val="22"/>
          <w:szCs w:val="22"/>
        </w:rPr>
        <w:t xml:space="preserve">Institutional and Policy </w:t>
      </w:r>
      <w:r>
        <w:rPr>
          <w:rFonts w:ascii="Arial" w:hAnsi="Arial" w:cs="Arial"/>
          <w:b/>
          <w:bCs/>
          <w:sz w:val="22"/>
          <w:szCs w:val="22"/>
        </w:rPr>
        <w:t>Gaps</w:t>
      </w:r>
    </w:p>
    <w:p w14:paraId="43787C16" w14:textId="77777777" w:rsidR="004C29C6" w:rsidRDefault="004C29C6"/>
    <w:p w14:paraId="003D3F19" w14:textId="77777777" w:rsidR="004C29C6" w:rsidRDefault="00800C25">
      <w:pPr>
        <w:jc w:val="both"/>
        <w:rPr>
          <w:rFonts w:ascii="Arial" w:hAnsi="Arial" w:cs="Arial"/>
        </w:rPr>
      </w:pPr>
      <w:r>
        <w:rPr>
          <w:rFonts w:ascii="Arial" w:hAnsi="Arial" w:cs="Arial"/>
        </w:rPr>
        <w:t>Across the reviewed studies, weak occupational health governance emerged as a recurrent theme. The absence of structured port health units, inadequate safety audits, and fragmented regulatory enforcement have undermined effective hazard control (Akin</w:t>
      </w:r>
      <w:r>
        <w:rPr>
          <w:rFonts w:ascii="Arial" w:hAnsi="Arial" w:cs="Arial"/>
        </w:rPr>
        <w:t>wale &amp; Olusanya, 2020; World Bank, 2023).</w:t>
      </w:r>
    </w:p>
    <w:p w14:paraId="48AA5329" w14:textId="77777777" w:rsidR="004C29C6" w:rsidRDefault="004C29C6">
      <w:pPr>
        <w:pStyle w:val="NormalWeb"/>
        <w:jc w:val="both"/>
        <w:rPr>
          <w:rFonts w:ascii="Arial" w:hAnsi="Arial" w:cs="Arial"/>
          <w:sz w:val="20"/>
          <w:szCs w:val="20"/>
        </w:rPr>
      </w:pPr>
    </w:p>
    <w:p w14:paraId="494524C3" w14:textId="77777777" w:rsidR="004C29C6" w:rsidRDefault="00800C25">
      <w:pPr>
        <w:pStyle w:val="NormalWeb"/>
        <w:jc w:val="both"/>
        <w:rPr>
          <w:rFonts w:ascii="Arial" w:hAnsi="Arial" w:cs="Arial"/>
          <w:sz w:val="20"/>
          <w:szCs w:val="20"/>
        </w:rPr>
      </w:pPr>
      <w:r>
        <w:rPr>
          <w:rFonts w:ascii="Arial" w:hAnsi="Arial" w:cs="Arial"/>
          <w:sz w:val="20"/>
          <w:szCs w:val="20"/>
        </w:rPr>
        <w:t xml:space="preserve">Only </w:t>
      </w:r>
      <w:r>
        <w:rPr>
          <w:rStyle w:val="Strong"/>
          <w:rFonts w:ascii="Arial" w:hAnsi="Arial" w:cs="Arial"/>
          <w:b w:val="0"/>
          <w:bCs w:val="0"/>
          <w:sz w:val="20"/>
          <w:szCs w:val="20"/>
        </w:rPr>
        <w:t>11 of the 28 studies (≈39%)</w:t>
      </w:r>
      <w:r>
        <w:rPr>
          <w:rFonts w:ascii="Arial" w:hAnsi="Arial" w:cs="Arial"/>
          <w:sz w:val="20"/>
          <w:szCs w:val="20"/>
        </w:rPr>
        <w:t xml:space="preserve"> reported the existence of formal occupational health and safety policies specific to port operations. Furthermore, </w:t>
      </w:r>
      <w:r>
        <w:rPr>
          <w:rStyle w:val="Strong"/>
          <w:rFonts w:ascii="Arial" w:hAnsi="Arial" w:cs="Arial"/>
          <w:b w:val="0"/>
          <w:bCs w:val="0"/>
          <w:sz w:val="20"/>
          <w:szCs w:val="20"/>
        </w:rPr>
        <w:t>fewer than one-fifth</w:t>
      </w:r>
      <w:r>
        <w:rPr>
          <w:rFonts w:ascii="Arial" w:hAnsi="Arial" w:cs="Arial"/>
          <w:sz w:val="20"/>
          <w:szCs w:val="20"/>
        </w:rPr>
        <w:t xml:space="preserve"> documented periodic health examinations or e</w:t>
      </w:r>
      <w:r>
        <w:rPr>
          <w:rFonts w:ascii="Arial" w:hAnsi="Arial" w:cs="Arial"/>
          <w:sz w:val="20"/>
          <w:szCs w:val="20"/>
        </w:rPr>
        <w:t>nvironmental monitoring exercises. Institutional barriers such as corruption, resource constraints, and overlapping agency responsibilities were frequently cited as reasons for poor enforcement (Ogundele et al., 2022).</w:t>
      </w:r>
    </w:p>
    <w:p w14:paraId="7CA01F08" w14:textId="77777777" w:rsidR="004C29C6" w:rsidRDefault="004C29C6">
      <w:pPr>
        <w:pStyle w:val="NormalWeb"/>
        <w:jc w:val="both"/>
        <w:rPr>
          <w:rFonts w:ascii="Arial" w:hAnsi="Arial" w:cs="Arial"/>
          <w:sz w:val="20"/>
          <w:szCs w:val="20"/>
        </w:rPr>
      </w:pPr>
    </w:p>
    <w:p w14:paraId="25D38013" w14:textId="77777777" w:rsidR="004C29C6" w:rsidRDefault="00800C25">
      <w:pPr>
        <w:pStyle w:val="NormalWeb"/>
        <w:jc w:val="both"/>
        <w:rPr>
          <w:rFonts w:ascii="Arial" w:hAnsi="Arial" w:cs="Arial"/>
          <w:sz w:val="20"/>
          <w:szCs w:val="20"/>
        </w:rPr>
      </w:pPr>
      <w:r>
        <w:rPr>
          <w:rFonts w:ascii="Arial" w:hAnsi="Arial" w:cs="Arial"/>
          <w:sz w:val="20"/>
          <w:szCs w:val="20"/>
        </w:rPr>
        <w:t xml:space="preserve">Comparatively, Asian countries such </w:t>
      </w:r>
      <w:r>
        <w:rPr>
          <w:rFonts w:ascii="Arial" w:hAnsi="Arial" w:cs="Arial"/>
          <w:sz w:val="20"/>
          <w:szCs w:val="20"/>
        </w:rPr>
        <w:t xml:space="preserve">as </w:t>
      </w:r>
      <w:r>
        <w:rPr>
          <w:rStyle w:val="Strong"/>
          <w:rFonts w:ascii="Arial" w:hAnsi="Arial" w:cs="Arial"/>
          <w:b w:val="0"/>
          <w:bCs w:val="0"/>
          <w:sz w:val="20"/>
          <w:szCs w:val="20"/>
        </w:rPr>
        <w:t>Malaysia and China</w:t>
      </w:r>
      <w:r>
        <w:rPr>
          <w:rFonts w:ascii="Arial" w:hAnsi="Arial" w:cs="Arial"/>
          <w:sz w:val="20"/>
          <w:szCs w:val="20"/>
        </w:rPr>
        <w:t xml:space="preserve"> demonstrated stronger institutional mechanisms, supported by national occupational safety regulations and environmental protection laws. African countries, including </w:t>
      </w:r>
      <w:r>
        <w:rPr>
          <w:rStyle w:val="Strong"/>
          <w:rFonts w:ascii="Arial" w:hAnsi="Arial" w:cs="Arial"/>
          <w:b w:val="0"/>
          <w:bCs w:val="0"/>
          <w:sz w:val="20"/>
          <w:szCs w:val="20"/>
        </w:rPr>
        <w:t>Nigeria, Ghana, and Kenya</w:t>
      </w:r>
      <w:r>
        <w:rPr>
          <w:rFonts w:ascii="Arial" w:hAnsi="Arial" w:cs="Arial"/>
          <w:sz w:val="20"/>
          <w:szCs w:val="20"/>
        </w:rPr>
        <w:t>, showed progress in policy formulation but</w:t>
      </w:r>
      <w:r>
        <w:rPr>
          <w:rFonts w:ascii="Arial" w:hAnsi="Arial" w:cs="Arial"/>
          <w:sz w:val="20"/>
          <w:szCs w:val="20"/>
        </w:rPr>
        <w:t xml:space="preserve"> lagged in implementation and monitoring. Latin American nations, while having moderate frameworks, faced challenges related to informal labor and poor inter-agency coordination.</w:t>
      </w:r>
    </w:p>
    <w:p w14:paraId="3DE530A5" w14:textId="77777777" w:rsidR="004C29C6" w:rsidRDefault="004C29C6">
      <w:pPr>
        <w:pStyle w:val="NormalWeb"/>
        <w:jc w:val="both"/>
        <w:rPr>
          <w:rFonts w:ascii="Arial" w:hAnsi="Arial" w:cs="Arial"/>
          <w:sz w:val="20"/>
          <w:szCs w:val="20"/>
        </w:rPr>
      </w:pPr>
    </w:p>
    <w:p w14:paraId="1C87F852" w14:textId="77777777" w:rsidR="004C29C6" w:rsidRDefault="00800C25">
      <w:pPr>
        <w:pStyle w:val="NormalWeb"/>
        <w:jc w:val="both"/>
        <w:rPr>
          <w:rFonts w:ascii="Arial" w:hAnsi="Arial" w:cs="Arial"/>
          <w:sz w:val="20"/>
          <w:szCs w:val="20"/>
        </w:rPr>
      </w:pPr>
      <w:r>
        <w:rPr>
          <w:rFonts w:ascii="Arial" w:hAnsi="Arial" w:cs="Arial"/>
          <w:sz w:val="20"/>
          <w:szCs w:val="20"/>
        </w:rPr>
        <w:t xml:space="preserve">These findings underscore the importance of integrating occupational health </w:t>
      </w:r>
      <w:r>
        <w:rPr>
          <w:rFonts w:ascii="Arial" w:hAnsi="Arial" w:cs="Arial"/>
          <w:sz w:val="20"/>
          <w:szCs w:val="20"/>
        </w:rPr>
        <w:t>and safety into national port management systems and strengthening collaboration between labor, environmental, and maritime authorities.</w:t>
      </w:r>
    </w:p>
    <w:p w14:paraId="274E151E" w14:textId="77777777" w:rsidR="004C29C6" w:rsidRDefault="004C29C6"/>
    <w:p w14:paraId="798CE3A1" w14:textId="77777777" w:rsidR="004C29C6" w:rsidRDefault="00800C25">
      <w:pPr>
        <w:numPr>
          <w:ilvl w:val="1"/>
          <w:numId w:val="11"/>
        </w:numPr>
        <w:rPr>
          <w:rFonts w:ascii="Arial" w:hAnsi="Arial" w:cs="Arial"/>
          <w:b/>
          <w:bCs/>
          <w:sz w:val="22"/>
          <w:szCs w:val="22"/>
        </w:rPr>
      </w:pPr>
      <w:r>
        <w:rPr>
          <w:rFonts w:ascii="Arial" w:hAnsi="Arial" w:cs="Arial"/>
          <w:b/>
          <w:bCs/>
          <w:sz w:val="22"/>
          <w:szCs w:val="22"/>
        </w:rPr>
        <w:t>Comparative Regional Analysis</w:t>
      </w:r>
    </w:p>
    <w:p w14:paraId="2D059F7C" w14:textId="77777777" w:rsidR="004C29C6" w:rsidRDefault="004C29C6"/>
    <w:p w14:paraId="4BC42599" w14:textId="77777777" w:rsidR="004C29C6" w:rsidRDefault="00800C25">
      <w:pPr>
        <w:pStyle w:val="NormalWeb"/>
        <w:rPr>
          <w:rFonts w:ascii="Arial" w:hAnsi="Arial" w:cs="Arial"/>
          <w:sz w:val="20"/>
          <w:szCs w:val="20"/>
        </w:rPr>
      </w:pPr>
      <w:r>
        <w:rPr>
          <w:rFonts w:ascii="Arial" w:hAnsi="Arial" w:cs="Arial"/>
          <w:sz w:val="20"/>
          <w:szCs w:val="20"/>
        </w:rPr>
        <w:t>A cross-regional synthesis of the reviewed evidence reveals distinct patterns of exposu</w:t>
      </w:r>
      <w:r>
        <w:rPr>
          <w:rFonts w:ascii="Arial" w:hAnsi="Arial" w:cs="Arial"/>
          <w:sz w:val="20"/>
          <w:szCs w:val="20"/>
        </w:rPr>
        <w:t>re and health outcomes:</w:t>
      </w:r>
    </w:p>
    <w:p w14:paraId="59A6D8DC" w14:textId="4CA6E0F8" w:rsidR="00693F62" w:rsidRPr="002B6010" w:rsidRDefault="00693F62">
      <w:pPr>
        <w:pStyle w:val="NormalWeb"/>
        <w:rPr>
          <w:rFonts w:ascii="Arial" w:hAnsi="Arial" w:cs="Arial"/>
          <w:b/>
          <w:bCs/>
          <w:sz w:val="20"/>
          <w:szCs w:val="20"/>
        </w:rPr>
      </w:pPr>
      <w:r>
        <w:rPr>
          <w:rFonts w:ascii="Arial" w:hAnsi="Arial" w:cs="Arial"/>
          <w:sz w:val="20"/>
          <w:szCs w:val="20"/>
        </w:rPr>
        <w:t>Table 1-</w:t>
      </w:r>
      <w:r w:rsidR="002B6010">
        <w:rPr>
          <w:rFonts w:ascii="Arial" w:hAnsi="Arial" w:cs="Arial"/>
          <w:sz w:val="20"/>
          <w:szCs w:val="20"/>
        </w:rPr>
        <w:t xml:space="preserve"> </w:t>
      </w:r>
      <w:r w:rsidR="002B6010" w:rsidRPr="002B6010">
        <w:rPr>
          <w:rFonts w:ascii="Arial" w:hAnsi="Arial" w:cs="Arial"/>
          <w:b/>
          <w:bCs/>
          <w:sz w:val="20"/>
          <w:szCs w:val="20"/>
        </w:rPr>
        <w:t>Regional Overview of Occupational Hazards, Health Outcomes, and Policy Strength</w:t>
      </w:r>
    </w:p>
    <w:p w14:paraId="3EE33859" w14:textId="77777777" w:rsidR="004C29C6" w:rsidRDefault="004C29C6">
      <w:pPr>
        <w:pStyle w:val="NormalWeb"/>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4"/>
        <w:gridCol w:w="2528"/>
        <w:gridCol w:w="2392"/>
        <w:gridCol w:w="2442"/>
      </w:tblGrid>
      <w:tr w:rsidR="004C29C6" w14:paraId="70283E14" w14:textId="77777777">
        <w:trPr>
          <w:tblHeader/>
          <w:tblCellSpacing w:w="15" w:type="dxa"/>
        </w:trPr>
        <w:tc>
          <w:tcPr>
            <w:tcW w:w="0" w:type="auto"/>
            <w:vAlign w:val="center"/>
          </w:tcPr>
          <w:p w14:paraId="2DF57909" w14:textId="77777777" w:rsidR="004C29C6" w:rsidRDefault="00800C25">
            <w:pPr>
              <w:jc w:val="both"/>
              <w:rPr>
                <w:rFonts w:ascii="Arial" w:hAnsi="Arial" w:cs="Arial"/>
                <w:b/>
                <w:bCs/>
              </w:rPr>
            </w:pPr>
            <w:r>
              <w:rPr>
                <w:rStyle w:val="Strong"/>
                <w:rFonts w:ascii="Arial" w:hAnsi="Arial" w:cs="Arial"/>
              </w:rPr>
              <w:t>Region</w:t>
            </w:r>
          </w:p>
        </w:tc>
        <w:tc>
          <w:tcPr>
            <w:tcW w:w="0" w:type="auto"/>
            <w:vAlign w:val="center"/>
          </w:tcPr>
          <w:p w14:paraId="3D312BC8" w14:textId="77777777" w:rsidR="004C29C6" w:rsidRDefault="00800C25">
            <w:pPr>
              <w:jc w:val="both"/>
              <w:rPr>
                <w:rFonts w:ascii="Arial" w:hAnsi="Arial" w:cs="Arial"/>
                <w:b/>
                <w:bCs/>
              </w:rPr>
            </w:pPr>
            <w:r>
              <w:rPr>
                <w:rStyle w:val="Strong"/>
                <w:rFonts w:ascii="Arial" w:hAnsi="Arial" w:cs="Arial"/>
              </w:rPr>
              <w:t>Dominant Hazards</w:t>
            </w:r>
          </w:p>
        </w:tc>
        <w:tc>
          <w:tcPr>
            <w:tcW w:w="0" w:type="auto"/>
            <w:vAlign w:val="center"/>
          </w:tcPr>
          <w:p w14:paraId="22696582" w14:textId="77777777" w:rsidR="004C29C6" w:rsidRDefault="00800C25">
            <w:pPr>
              <w:jc w:val="both"/>
              <w:rPr>
                <w:rFonts w:ascii="Arial" w:hAnsi="Arial" w:cs="Arial"/>
                <w:b/>
                <w:bCs/>
              </w:rPr>
            </w:pPr>
            <w:r>
              <w:rPr>
                <w:rStyle w:val="Strong"/>
                <w:rFonts w:ascii="Arial" w:hAnsi="Arial" w:cs="Arial"/>
              </w:rPr>
              <w:t>Common Health Outcomes</w:t>
            </w:r>
          </w:p>
        </w:tc>
        <w:tc>
          <w:tcPr>
            <w:tcW w:w="0" w:type="auto"/>
            <w:vAlign w:val="center"/>
          </w:tcPr>
          <w:p w14:paraId="4067FB80" w14:textId="77777777" w:rsidR="004C29C6" w:rsidRDefault="00800C25">
            <w:pPr>
              <w:jc w:val="both"/>
              <w:rPr>
                <w:rFonts w:ascii="Arial" w:hAnsi="Arial" w:cs="Arial"/>
                <w:b/>
                <w:bCs/>
              </w:rPr>
            </w:pPr>
            <w:r>
              <w:rPr>
                <w:rStyle w:val="Strong"/>
                <w:rFonts w:ascii="Arial" w:hAnsi="Arial" w:cs="Arial"/>
              </w:rPr>
              <w:t>Policy/Control Strength</w:t>
            </w:r>
          </w:p>
        </w:tc>
      </w:tr>
      <w:tr w:rsidR="004C29C6" w14:paraId="63509A20" w14:textId="77777777">
        <w:trPr>
          <w:tblCellSpacing w:w="15" w:type="dxa"/>
        </w:trPr>
        <w:tc>
          <w:tcPr>
            <w:tcW w:w="0" w:type="auto"/>
            <w:vAlign w:val="center"/>
          </w:tcPr>
          <w:p w14:paraId="52E28AA3" w14:textId="77777777" w:rsidR="004C29C6" w:rsidRDefault="00800C25">
            <w:pPr>
              <w:jc w:val="both"/>
              <w:rPr>
                <w:rFonts w:ascii="Arial" w:hAnsi="Arial" w:cs="Arial"/>
              </w:rPr>
            </w:pPr>
            <w:r>
              <w:rPr>
                <w:rStyle w:val="Strong"/>
                <w:rFonts w:ascii="Arial" w:hAnsi="Arial" w:cs="Arial"/>
              </w:rPr>
              <w:t>Africa</w:t>
            </w:r>
          </w:p>
        </w:tc>
        <w:tc>
          <w:tcPr>
            <w:tcW w:w="0" w:type="auto"/>
            <w:vAlign w:val="center"/>
          </w:tcPr>
          <w:p w14:paraId="57ED7557" w14:textId="77777777" w:rsidR="004C29C6" w:rsidRDefault="00800C25">
            <w:pPr>
              <w:jc w:val="both"/>
              <w:rPr>
                <w:rFonts w:ascii="Arial" w:hAnsi="Arial" w:cs="Arial"/>
              </w:rPr>
            </w:pPr>
            <w:r>
              <w:rPr>
                <w:rFonts w:ascii="Arial" w:hAnsi="Arial" w:cs="Arial"/>
              </w:rPr>
              <w:t>Manual handling, noise, air pollution, chemical exposure</w:t>
            </w:r>
          </w:p>
        </w:tc>
        <w:tc>
          <w:tcPr>
            <w:tcW w:w="0" w:type="auto"/>
            <w:vAlign w:val="center"/>
          </w:tcPr>
          <w:p w14:paraId="4BBB7A8C" w14:textId="77777777" w:rsidR="004C29C6" w:rsidRDefault="00800C25">
            <w:pPr>
              <w:jc w:val="both"/>
              <w:rPr>
                <w:rFonts w:ascii="Arial" w:hAnsi="Arial" w:cs="Arial"/>
              </w:rPr>
            </w:pPr>
            <w:r>
              <w:rPr>
                <w:rFonts w:ascii="Arial" w:hAnsi="Arial" w:cs="Arial"/>
              </w:rPr>
              <w:t>Injuries, respiratory illness, hearing loss</w:t>
            </w:r>
          </w:p>
        </w:tc>
        <w:tc>
          <w:tcPr>
            <w:tcW w:w="0" w:type="auto"/>
            <w:vAlign w:val="center"/>
          </w:tcPr>
          <w:p w14:paraId="725934EF" w14:textId="77777777" w:rsidR="004C29C6" w:rsidRDefault="00800C25">
            <w:pPr>
              <w:jc w:val="both"/>
              <w:rPr>
                <w:rFonts w:ascii="Arial" w:hAnsi="Arial" w:cs="Arial"/>
              </w:rPr>
            </w:pPr>
            <w:r>
              <w:rPr>
                <w:rFonts w:ascii="Arial" w:hAnsi="Arial" w:cs="Arial"/>
              </w:rPr>
              <w:t>Weak enforcement; limited safety culture</w:t>
            </w:r>
          </w:p>
        </w:tc>
      </w:tr>
      <w:tr w:rsidR="004C29C6" w14:paraId="5E61BCF1" w14:textId="77777777">
        <w:trPr>
          <w:tblCellSpacing w:w="15" w:type="dxa"/>
        </w:trPr>
        <w:tc>
          <w:tcPr>
            <w:tcW w:w="0" w:type="auto"/>
            <w:vAlign w:val="center"/>
          </w:tcPr>
          <w:p w14:paraId="2635ADA5" w14:textId="77777777" w:rsidR="004C29C6" w:rsidRDefault="00800C25">
            <w:pPr>
              <w:jc w:val="both"/>
              <w:rPr>
                <w:rFonts w:ascii="Arial" w:hAnsi="Arial" w:cs="Arial"/>
              </w:rPr>
            </w:pPr>
            <w:r>
              <w:rPr>
                <w:rStyle w:val="Strong"/>
                <w:rFonts w:ascii="Arial" w:hAnsi="Arial" w:cs="Arial"/>
              </w:rPr>
              <w:t>Asia</w:t>
            </w:r>
          </w:p>
        </w:tc>
        <w:tc>
          <w:tcPr>
            <w:tcW w:w="0" w:type="auto"/>
            <w:vAlign w:val="center"/>
          </w:tcPr>
          <w:p w14:paraId="74535B9E" w14:textId="77777777" w:rsidR="004C29C6" w:rsidRDefault="00800C25">
            <w:pPr>
              <w:jc w:val="both"/>
              <w:rPr>
                <w:rFonts w:ascii="Arial" w:hAnsi="Arial" w:cs="Arial"/>
              </w:rPr>
            </w:pPr>
            <w:r>
              <w:rPr>
                <w:rFonts w:ascii="Arial" w:hAnsi="Arial" w:cs="Arial"/>
              </w:rPr>
              <w:t>Industrial emissions, noise, ergonomic strain</w:t>
            </w:r>
          </w:p>
        </w:tc>
        <w:tc>
          <w:tcPr>
            <w:tcW w:w="0" w:type="auto"/>
            <w:vAlign w:val="center"/>
          </w:tcPr>
          <w:p w14:paraId="3CEEC3F2" w14:textId="77777777" w:rsidR="004C29C6" w:rsidRDefault="00800C25">
            <w:pPr>
              <w:jc w:val="both"/>
              <w:rPr>
                <w:rFonts w:ascii="Arial" w:hAnsi="Arial" w:cs="Arial"/>
              </w:rPr>
            </w:pPr>
            <w:r>
              <w:rPr>
                <w:rFonts w:ascii="Arial" w:hAnsi="Arial" w:cs="Arial"/>
              </w:rPr>
              <w:t>Respiratory diseases, musculoskeletal disorders</w:t>
            </w:r>
          </w:p>
        </w:tc>
        <w:tc>
          <w:tcPr>
            <w:tcW w:w="0" w:type="auto"/>
            <w:vAlign w:val="center"/>
          </w:tcPr>
          <w:p w14:paraId="2EDFE505" w14:textId="77777777" w:rsidR="004C29C6" w:rsidRDefault="00800C25">
            <w:pPr>
              <w:jc w:val="both"/>
              <w:rPr>
                <w:rFonts w:ascii="Arial" w:hAnsi="Arial" w:cs="Arial"/>
              </w:rPr>
            </w:pPr>
            <w:r>
              <w:rPr>
                <w:rFonts w:ascii="Arial" w:hAnsi="Arial" w:cs="Arial"/>
              </w:rPr>
              <w:t>Moderate to strong; partial policy enforcement</w:t>
            </w:r>
          </w:p>
        </w:tc>
      </w:tr>
      <w:tr w:rsidR="004C29C6" w14:paraId="33CE1EA9" w14:textId="77777777">
        <w:trPr>
          <w:tblCellSpacing w:w="15" w:type="dxa"/>
        </w:trPr>
        <w:tc>
          <w:tcPr>
            <w:tcW w:w="0" w:type="auto"/>
            <w:vAlign w:val="center"/>
          </w:tcPr>
          <w:p w14:paraId="669A585E" w14:textId="77777777" w:rsidR="004C29C6" w:rsidRDefault="00800C25">
            <w:pPr>
              <w:jc w:val="both"/>
              <w:rPr>
                <w:rFonts w:ascii="Arial" w:hAnsi="Arial" w:cs="Arial"/>
              </w:rPr>
            </w:pPr>
            <w:r>
              <w:rPr>
                <w:rStyle w:val="Strong"/>
                <w:rFonts w:ascii="Arial" w:hAnsi="Arial" w:cs="Arial"/>
              </w:rPr>
              <w:t xml:space="preserve">Latin </w:t>
            </w:r>
            <w:r>
              <w:rPr>
                <w:rStyle w:val="Strong"/>
                <w:rFonts w:ascii="Arial" w:hAnsi="Arial" w:cs="Arial"/>
              </w:rPr>
              <w:lastRenderedPageBreak/>
              <w:t>America</w:t>
            </w:r>
          </w:p>
        </w:tc>
        <w:tc>
          <w:tcPr>
            <w:tcW w:w="0" w:type="auto"/>
            <w:vAlign w:val="center"/>
          </w:tcPr>
          <w:p w14:paraId="4A3D00CA" w14:textId="77777777" w:rsidR="004C29C6" w:rsidRDefault="00800C25">
            <w:pPr>
              <w:jc w:val="both"/>
              <w:rPr>
                <w:rFonts w:ascii="Arial" w:hAnsi="Arial" w:cs="Arial"/>
              </w:rPr>
            </w:pPr>
            <w:r>
              <w:rPr>
                <w:rFonts w:ascii="Arial" w:hAnsi="Arial" w:cs="Arial"/>
              </w:rPr>
              <w:lastRenderedPageBreak/>
              <w:t xml:space="preserve">Heavy </w:t>
            </w:r>
            <w:r>
              <w:rPr>
                <w:rFonts w:ascii="Arial" w:hAnsi="Arial" w:cs="Arial"/>
              </w:rPr>
              <w:t xml:space="preserve">metal contamination, </w:t>
            </w:r>
            <w:r>
              <w:rPr>
                <w:rFonts w:ascii="Arial" w:hAnsi="Arial" w:cs="Arial"/>
              </w:rPr>
              <w:lastRenderedPageBreak/>
              <w:t>informal labor</w:t>
            </w:r>
          </w:p>
        </w:tc>
        <w:tc>
          <w:tcPr>
            <w:tcW w:w="0" w:type="auto"/>
            <w:vAlign w:val="center"/>
          </w:tcPr>
          <w:p w14:paraId="21541BC7" w14:textId="77777777" w:rsidR="004C29C6" w:rsidRDefault="00800C25">
            <w:pPr>
              <w:jc w:val="both"/>
              <w:rPr>
                <w:rFonts w:ascii="Arial" w:hAnsi="Arial" w:cs="Arial"/>
              </w:rPr>
            </w:pPr>
            <w:r>
              <w:rPr>
                <w:rFonts w:ascii="Arial" w:hAnsi="Arial" w:cs="Arial"/>
              </w:rPr>
              <w:lastRenderedPageBreak/>
              <w:t xml:space="preserve">Dermatitis, fatigue, </w:t>
            </w:r>
            <w:r>
              <w:rPr>
                <w:rFonts w:ascii="Arial" w:hAnsi="Arial" w:cs="Arial"/>
              </w:rPr>
              <w:lastRenderedPageBreak/>
              <w:t>reproductive issues</w:t>
            </w:r>
          </w:p>
        </w:tc>
        <w:tc>
          <w:tcPr>
            <w:tcW w:w="0" w:type="auto"/>
            <w:vAlign w:val="center"/>
          </w:tcPr>
          <w:p w14:paraId="32BA6554" w14:textId="77777777" w:rsidR="004C29C6" w:rsidRDefault="00800C25">
            <w:pPr>
              <w:jc w:val="both"/>
              <w:rPr>
                <w:rFonts w:ascii="Arial" w:hAnsi="Arial" w:cs="Arial"/>
              </w:rPr>
            </w:pPr>
            <w:r>
              <w:rPr>
                <w:rFonts w:ascii="Arial" w:hAnsi="Arial" w:cs="Arial"/>
              </w:rPr>
              <w:lastRenderedPageBreak/>
              <w:t xml:space="preserve">Moderate; fragmented </w:t>
            </w:r>
            <w:r>
              <w:rPr>
                <w:rFonts w:ascii="Arial" w:hAnsi="Arial" w:cs="Arial"/>
              </w:rPr>
              <w:lastRenderedPageBreak/>
              <w:t>occupational health systems</w:t>
            </w:r>
          </w:p>
        </w:tc>
      </w:tr>
    </w:tbl>
    <w:p w14:paraId="057AF664" w14:textId="77777777" w:rsidR="004C29C6" w:rsidRDefault="004C29C6">
      <w:pPr>
        <w:pStyle w:val="NormalWeb"/>
        <w:jc w:val="both"/>
        <w:rPr>
          <w:rFonts w:ascii="Arial" w:hAnsi="Arial" w:cs="Arial"/>
          <w:sz w:val="20"/>
          <w:szCs w:val="20"/>
        </w:rPr>
      </w:pPr>
    </w:p>
    <w:p w14:paraId="594B0842" w14:textId="77777777" w:rsidR="004C29C6" w:rsidRDefault="00800C25">
      <w:pPr>
        <w:pStyle w:val="NormalWeb"/>
        <w:jc w:val="both"/>
        <w:rPr>
          <w:rFonts w:ascii="Arial" w:hAnsi="Arial" w:cs="Arial"/>
          <w:sz w:val="20"/>
          <w:szCs w:val="20"/>
        </w:rPr>
      </w:pPr>
      <w:r>
        <w:rPr>
          <w:rFonts w:ascii="Arial" w:hAnsi="Arial" w:cs="Arial"/>
          <w:sz w:val="20"/>
          <w:szCs w:val="20"/>
        </w:rPr>
        <w:t xml:space="preserve">Overall, </w:t>
      </w:r>
      <w:r>
        <w:rPr>
          <w:rStyle w:val="Strong"/>
          <w:rFonts w:ascii="Arial" w:hAnsi="Arial" w:cs="Arial"/>
          <w:b w:val="0"/>
          <w:bCs w:val="0"/>
          <w:sz w:val="20"/>
          <w:szCs w:val="20"/>
        </w:rPr>
        <w:t>Asian ports</w:t>
      </w:r>
      <w:r>
        <w:rPr>
          <w:rFonts w:ascii="Arial" w:hAnsi="Arial" w:cs="Arial"/>
          <w:sz w:val="20"/>
          <w:szCs w:val="20"/>
        </w:rPr>
        <w:t xml:space="preserve"> reported the highest levels of </w:t>
      </w:r>
      <w:r>
        <w:rPr>
          <w:rStyle w:val="Strong"/>
          <w:rFonts w:ascii="Arial" w:hAnsi="Arial" w:cs="Arial"/>
          <w:b w:val="0"/>
          <w:bCs w:val="0"/>
          <w:sz w:val="20"/>
          <w:szCs w:val="20"/>
        </w:rPr>
        <w:t>industrial air and noise exposure</w:t>
      </w:r>
      <w:r>
        <w:rPr>
          <w:rFonts w:ascii="Arial" w:hAnsi="Arial" w:cs="Arial"/>
          <w:sz w:val="20"/>
          <w:szCs w:val="20"/>
        </w:rPr>
        <w:t xml:space="preserve">, while </w:t>
      </w:r>
      <w:r>
        <w:rPr>
          <w:rStyle w:val="Strong"/>
          <w:rFonts w:ascii="Arial" w:hAnsi="Arial" w:cs="Arial"/>
          <w:b w:val="0"/>
          <w:bCs w:val="0"/>
          <w:sz w:val="20"/>
          <w:szCs w:val="20"/>
        </w:rPr>
        <w:t>African ports</w:t>
      </w:r>
      <w:r>
        <w:rPr>
          <w:rFonts w:ascii="Arial" w:hAnsi="Arial" w:cs="Arial"/>
          <w:sz w:val="20"/>
          <w:szCs w:val="20"/>
        </w:rPr>
        <w:t xml:space="preserve"> had the </w:t>
      </w:r>
      <w:r>
        <w:rPr>
          <w:rStyle w:val="Strong"/>
          <w:rFonts w:ascii="Arial" w:hAnsi="Arial" w:cs="Arial"/>
          <w:b w:val="0"/>
          <w:bCs w:val="0"/>
          <w:sz w:val="20"/>
          <w:szCs w:val="20"/>
        </w:rPr>
        <w:t>highest preva</w:t>
      </w:r>
      <w:r>
        <w:rPr>
          <w:rStyle w:val="Strong"/>
          <w:rFonts w:ascii="Arial" w:hAnsi="Arial" w:cs="Arial"/>
          <w:b w:val="0"/>
          <w:bCs w:val="0"/>
          <w:sz w:val="20"/>
          <w:szCs w:val="20"/>
        </w:rPr>
        <w:t>lence of occupational injuries and fatalities</w:t>
      </w:r>
      <w:r>
        <w:rPr>
          <w:rFonts w:ascii="Arial" w:hAnsi="Arial" w:cs="Arial"/>
          <w:sz w:val="20"/>
          <w:szCs w:val="20"/>
        </w:rPr>
        <w:t xml:space="preserve">. </w:t>
      </w:r>
      <w:r>
        <w:rPr>
          <w:rStyle w:val="Strong"/>
          <w:rFonts w:ascii="Arial" w:hAnsi="Arial" w:cs="Arial"/>
          <w:b w:val="0"/>
          <w:bCs w:val="0"/>
          <w:sz w:val="20"/>
          <w:szCs w:val="20"/>
        </w:rPr>
        <w:t>Latin American ports</w:t>
      </w:r>
      <w:r>
        <w:rPr>
          <w:rFonts w:ascii="Arial" w:hAnsi="Arial" w:cs="Arial"/>
          <w:sz w:val="20"/>
          <w:szCs w:val="20"/>
        </w:rPr>
        <w:t xml:space="preserve"> exhibited </w:t>
      </w:r>
      <w:r>
        <w:rPr>
          <w:rStyle w:val="Strong"/>
          <w:rFonts w:ascii="Arial" w:hAnsi="Arial" w:cs="Arial"/>
          <w:b w:val="0"/>
          <w:bCs w:val="0"/>
          <w:sz w:val="20"/>
          <w:szCs w:val="20"/>
        </w:rPr>
        <w:t>mixed exposure profiles</w:t>
      </w:r>
      <w:r>
        <w:rPr>
          <w:rFonts w:ascii="Arial" w:hAnsi="Arial" w:cs="Arial"/>
          <w:sz w:val="20"/>
          <w:szCs w:val="20"/>
        </w:rPr>
        <w:t xml:space="preserve"> but faced challenges with informal employment and inadequate worker representation.</w:t>
      </w:r>
    </w:p>
    <w:p w14:paraId="2E88B314" w14:textId="77777777" w:rsidR="004C29C6" w:rsidRDefault="00800C25">
      <w:pPr>
        <w:pStyle w:val="NormalWeb"/>
        <w:jc w:val="both"/>
        <w:rPr>
          <w:rFonts w:ascii="Arial" w:hAnsi="Arial" w:cs="Arial"/>
          <w:sz w:val="20"/>
          <w:szCs w:val="20"/>
        </w:rPr>
      </w:pPr>
      <w:r>
        <w:rPr>
          <w:rFonts w:ascii="Arial" w:hAnsi="Arial" w:cs="Arial"/>
          <w:sz w:val="20"/>
          <w:szCs w:val="20"/>
        </w:rPr>
        <w:t>These findings highlight that socioeconomic development, regulatory ma</w:t>
      </w:r>
      <w:r>
        <w:rPr>
          <w:rFonts w:ascii="Arial" w:hAnsi="Arial" w:cs="Arial"/>
          <w:sz w:val="20"/>
          <w:szCs w:val="20"/>
        </w:rPr>
        <w:t>turity, and infrastructural investment play pivotal roles in shaping the occupational health landscape of seaports in developing countries.</w:t>
      </w:r>
    </w:p>
    <w:p w14:paraId="4D4ADDB5" w14:textId="77777777" w:rsidR="004C29C6" w:rsidRDefault="004C29C6">
      <w:pPr>
        <w:pStyle w:val="NormalWeb"/>
        <w:jc w:val="both"/>
        <w:rPr>
          <w:rFonts w:ascii="Arial" w:hAnsi="Arial" w:cs="Arial"/>
          <w:sz w:val="20"/>
          <w:szCs w:val="20"/>
        </w:rPr>
      </w:pPr>
    </w:p>
    <w:p w14:paraId="4C28419E" w14:textId="77777777" w:rsidR="004C29C6" w:rsidRDefault="00800C25">
      <w:pPr>
        <w:rPr>
          <w:rFonts w:ascii="Arial" w:hAnsi="Arial" w:cs="Arial"/>
          <w:b/>
          <w:bCs/>
          <w:sz w:val="22"/>
          <w:szCs w:val="22"/>
        </w:rPr>
      </w:pPr>
      <w:r>
        <w:rPr>
          <w:rFonts w:ascii="Arial" w:hAnsi="Arial" w:cs="Arial"/>
          <w:b/>
          <w:bCs/>
          <w:sz w:val="22"/>
          <w:szCs w:val="22"/>
        </w:rPr>
        <w:t>7. CONCLUSION AND RECOMMENDATIONS</w:t>
      </w:r>
    </w:p>
    <w:p w14:paraId="3F6A3492" w14:textId="77777777" w:rsidR="004C29C6" w:rsidRDefault="004C29C6">
      <w:pPr>
        <w:rPr>
          <w:rFonts w:ascii="Arial" w:hAnsi="Arial" w:cs="Arial"/>
          <w:b/>
          <w:bCs/>
          <w:sz w:val="22"/>
          <w:szCs w:val="22"/>
        </w:rPr>
      </w:pPr>
    </w:p>
    <w:p w14:paraId="686FADA3" w14:textId="77777777" w:rsidR="004C29C6" w:rsidRDefault="00800C25">
      <w:r>
        <w:rPr>
          <w:rFonts w:ascii="Arial" w:hAnsi="Arial" w:cs="Arial"/>
          <w:b/>
          <w:bCs/>
          <w:sz w:val="22"/>
          <w:szCs w:val="22"/>
        </w:rPr>
        <w:t>7.1 Conclusion</w:t>
      </w:r>
    </w:p>
    <w:p w14:paraId="1F6535EF" w14:textId="77777777" w:rsidR="004C29C6" w:rsidRDefault="004C29C6"/>
    <w:p w14:paraId="08D2E500" w14:textId="77777777" w:rsidR="004C29C6" w:rsidRDefault="00800C25">
      <w:pPr>
        <w:jc w:val="both"/>
        <w:rPr>
          <w:rFonts w:ascii="Arial" w:hAnsi="Arial" w:cs="Arial"/>
        </w:rPr>
      </w:pPr>
      <w:r>
        <w:rPr>
          <w:rFonts w:ascii="Arial" w:hAnsi="Arial" w:cs="Arial"/>
        </w:rPr>
        <w:t xml:space="preserve">This systematic review provides a comprehensive comparative </w:t>
      </w:r>
      <w:r>
        <w:rPr>
          <w:rFonts w:ascii="Arial" w:hAnsi="Arial" w:cs="Arial"/>
        </w:rPr>
        <w:t>analysis of environmental and occupational health hazards affecting seaport workers across developing countries. Evidence synthesized from Africa, Asia, and Latin America shows that port workers are continuously exposed to multiple and overlapping risks, i</w:t>
      </w:r>
      <w:r>
        <w:rPr>
          <w:rFonts w:ascii="Arial" w:hAnsi="Arial" w:cs="Arial"/>
        </w:rPr>
        <w:t>ncluding air and noise pollution, ergonomic strain, chemical exposure, and workplace injuries. The magnitude and types of hazards differ regionally, reflecting variations in economic development, regulatory frameworks, and technological advancement.</w:t>
      </w:r>
    </w:p>
    <w:p w14:paraId="1DA7D5F1" w14:textId="77777777" w:rsidR="004C29C6" w:rsidRDefault="004C29C6">
      <w:pPr>
        <w:jc w:val="both"/>
        <w:rPr>
          <w:rFonts w:ascii="Arial" w:hAnsi="Arial" w:cs="Arial"/>
        </w:rPr>
      </w:pPr>
    </w:p>
    <w:p w14:paraId="4AC74715" w14:textId="77777777" w:rsidR="004C29C6" w:rsidRDefault="00800C25">
      <w:pPr>
        <w:jc w:val="both"/>
        <w:rPr>
          <w:rFonts w:ascii="Arial" w:hAnsi="Arial" w:cs="Arial"/>
        </w:rPr>
      </w:pPr>
      <w:r>
        <w:rPr>
          <w:rFonts w:ascii="Arial" w:hAnsi="Arial" w:cs="Arial"/>
        </w:rPr>
        <w:t>Air p</w:t>
      </w:r>
      <w:r>
        <w:rPr>
          <w:rFonts w:ascii="Arial" w:hAnsi="Arial" w:cs="Arial"/>
        </w:rPr>
        <w:t>ollution and respiratory health disorders were more pronounced in highly industrialized Asian ports, while occupational injuries and ergonomic strain were dominant in African ports where manual labor remains prevalent. Latin American ports exhibited modera</w:t>
      </w:r>
      <w:r>
        <w:rPr>
          <w:rFonts w:ascii="Arial" w:hAnsi="Arial" w:cs="Arial"/>
        </w:rPr>
        <w:t>te exposure levels but suffered from fragmented occupational health systems and weak worker protection policies. Across all regions, inadequate use of personal protective equipment (PPE), poor safety culture, and limited environmental monitoring were persi</w:t>
      </w:r>
      <w:r>
        <w:rPr>
          <w:rFonts w:ascii="Arial" w:hAnsi="Arial" w:cs="Arial"/>
        </w:rPr>
        <w:t>stent challenges.</w:t>
      </w:r>
    </w:p>
    <w:p w14:paraId="59FEC3DF" w14:textId="77777777" w:rsidR="004C29C6" w:rsidRDefault="004C29C6">
      <w:pPr>
        <w:jc w:val="both"/>
        <w:rPr>
          <w:rFonts w:ascii="Arial" w:hAnsi="Arial" w:cs="Arial"/>
        </w:rPr>
      </w:pPr>
    </w:p>
    <w:p w14:paraId="1DAD3AA6" w14:textId="77777777" w:rsidR="004C29C6" w:rsidRDefault="00800C25">
      <w:pPr>
        <w:jc w:val="both"/>
        <w:rPr>
          <w:rFonts w:ascii="Arial" w:hAnsi="Arial" w:cs="Arial"/>
        </w:rPr>
      </w:pPr>
      <w:r>
        <w:rPr>
          <w:rFonts w:ascii="Arial" w:hAnsi="Arial" w:cs="Arial"/>
        </w:rPr>
        <w:t>The findings demonstrate that most ports in developing countries lack structured occupational health units, regular safety audits, or comprehensive policy frameworks to manage occupational and environmental risks. Consequently, port work</w:t>
      </w:r>
      <w:r>
        <w:rPr>
          <w:rFonts w:ascii="Arial" w:hAnsi="Arial" w:cs="Arial"/>
        </w:rPr>
        <w:t>ers continue to experience preventable health outcomes that affect productivity, economic stability, and quality of life.</w:t>
      </w:r>
    </w:p>
    <w:p w14:paraId="19AFB6B8" w14:textId="77777777" w:rsidR="004C29C6" w:rsidRDefault="004C29C6">
      <w:pPr>
        <w:jc w:val="both"/>
        <w:rPr>
          <w:rFonts w:ascii="Arial" w:hAnsi="Arial" w:cs="Arial"/>
        </w:rPr>
      </w:pPr>
    </w:p>
    <w:p w14:paraId="05015E1B" w14:textId="77777777" w:rsidR="004C29C6" w:rsidRDefault="00800C25">
      <w:pPr>
        <w:jc w:val="both"/>
      </w:pPr>
      <w:r>
        <w:rPr>
          <w:rFonts w:ascii="Arial" w:hAnsi="Arial" w:cs="Arial"/>
        </w:rPr>
        <w:t>Addressing these issues requires integrated and sustainable approaches that combine environmental protection with occupational health</w:t>
      </w:r>
      <w:r>
        <w:rPr>
          <w:rFonts w:ascii="Arial" w:hAnsi="Arial" w:cs="Arial"/>
        </w:rPr>
        <w:t xml:space="preserve"> management. The review highlights the need for context-specific interventions supported by strong institutional commitment, inter-agency collaboration, and international regulatory alignment with ILO and WHO standards.</w:t>
      </w:r>
    </w:p>
    <w:p w14:paraId="2083DA32" w14:textId="77777777" w:rsidR="004C29C6" w:rsidRDefault="004C29C6"/>
    <w:p w14:paraId="7D568654" w14:textId="77777777" w:rsidR="004C29C6" w:rsidRDefault="00800C25">
      <w:pPr>
        <w:rPr>
          <w:rFonts w:ascii="Arial" w:hAnsi="Arial" w:cs="Arial"/>
          <w:b/>
          <w:bCs/>
          <w:sz w:val="22"/>
          <w:szCs w:val="22"/>
        </w:rPr>
      </w:pPr>
      <w:r>
        <w:rPr>
          <w:rFonts w:ascii="Arial" w:hAnsi="Arial" w:cs="Arial"/>
          <w:b/>
          <w:bCs/>
          <w:sz w:val="22"/>
          <w:szCs w:val="22"/>
        </w:rPr>
        <w:t>7.2 Recommendations</w:t>
      </w:r>
    </w:p>
    <w:p w14:paraId="7B6C405E" w14:textId="77777777" w:rsidR="004C29C6" w:rsidRDefault="004C29C6"/>
    <w:p w14:paraId="02EE6018" w14:textId="77777777" w:rsidR="004C29C6" w:rsidRDefault="00800C25">
      <w:pPr>
        <w:jc w:val="both"/>
        <w:rPr>
          <w:rFonts w:ascii="Arial" w:hAnsi="Arial" w:cs="Arial"/>
        </w:rPr>
      </w:pPr>
      <w:r>
        <w:rPr>
          <w:rFonts w:ascii="Arial" w:hAnsi="Arial" w:cs="Arial"/>
        </w:rPr>
        <w:t xml:space="preserve">1. Strengthen </w:t>
      </w:r>
      <w:r>
        <w:rPr>
          <w:rFonts w:ascii="Arial" w:hAnsi="Arial" w:cs="Arial"/>
        </w:rPr>
        <w:t>Policy and Regulatory Frameworks:</w:t>
      </w:r>
    </w:p>
    <w:p w14:paraId="0DE93BA2" w14:textId="77777777" w:rsidR="004C29C6" w:rsidRDefault="00800C25">
      <w:pPr>
        <w:jc w:val="both"/>
        <w:rPr>
          <w:rFonts w:ascii="Arial" w:hAnsi="Arial" w:cs="Arial"/>
        </w:rPr>
      </w:pPr>
      <w:r>
        <w:rPr>
          <w:rFonts w:ascii="Arial" w:hAnsi="Arial" w:cs="Arial"/>
        </w:rPr>
        <w:t>Governments in developing countries should establish and enforce comprehensive occupational health and safety (OHS) policies specific to the maritime and port sectors. These policies must align with international conventio</w:t>
      </w:r>
      <w:r>
        <w:rPr>
          <w:rFonts w:ascii="Arial" w:hAnsi="Arial" w:cs="Arial"/>
        </w:rPr>
        <w:t>ns and include clear implementation guidelines, regular safety inspections, and penalties for non-compliance.</w:t>
      </w:r>
    </w:p>
    <w:p w14:paraId="47A17132" w14:textId="77777777" w:rsidR="004C29C6" w:rsidRDefault="004C29C6">
      <w:pPr>
        <w:jc w:val="both"/>
        <w:rPr>
          <w:rFonts w:ascii="Arial" w:hAnsi="Arial" w:cs="Arial"/>
        </w:rPr>
      </w:pPr>
    </w:p>
    <w:p w14:paraId="1780769D" w14:textId="77777777" w:rsidR="004C29C6" w:rsidRDefault="00800C25">
      <w:pPr>
        <w:jc w:val="both"/>
        <w:rPr>
          <w:rFonts w:ascii="Arial" w:hAnsi="Arial" w:cs="Arial"/>
        </w:rPr>
      </w:pPr>
      <w:r>
        <w:rPr>
          <w:rFonts w:ascii="Arial" w:hAnsi="Arial" w:cs="Arial"/>
        </w:rPr>
        <w:t>2. Establish Port Health and Safety Units:</w:t>
      </w:r>
    </w:p>
    <w:p w14:paraId="36532AA5" w14:textId="77777777" w:rsidR="004C29C6" w:rsidRDefault="00800C25">
      <w:pPr>
        <w:jc w:val="both"/>
        <w:rPr>
          <w:rFonts w:ascii="Arial" w:hAnsi="Arial" w:cs="Arial"/>
        </w:rPr>
      </w:pPr>
      <w:r>
        <w:rPr>
          <w:rFonts w:ascii="Arial" w:hAnsi="Arial" w:cs="Arial"/>
        </w:rPr>
        <w:t>Every major seaport should operate a functional health and safety department responsible for routine e</w:t>
      </w:r>
      <w:r>
        <w:rPr>
          <w:rFonts w:ascii="Arial" w:hAnsi="Arial" w:cs="Arial"/>
        </w:rPr>
        <w:t>nvironmental monitoring, worker medical surveillance, and hazard reporting. Collaboration between port authorities, ministries of labor, and environmental agencies is essential for sustainable enforcement.</w:t>
      </w:r>
    </w:p>
    <w:p w14:paraId="2F97CBF7" w14:textId="77777777" w:rsidR="004C29C6" w:rsidRDefault="004C29C6">
      <w:pPr>
        <w:jc w:val="both"/>
        <w:rPr>
          <w:rFonts w:ascii="Arial" w:hAnsi="Arial" w:cs="Arial"/>
        </w:rPr>
      </w:pPr>
    </w:p>
    <w:p w14:paraId="6D789C44" w14:textId="77777777" w:rsidR="004C29C6" w:rsidRDefault="00800C25">
      <w:pPr>
        <w:jc w:val="both"/>
        <w:rPr>
          <w:rFonts w:ascii="Arial" w:hAnsi="Arial" w:cs="Arial"/>
        </w:rPr>
      </w:pPr>
      <w:r>
        <w:rPr>
          <w:rFonts w:ascii="Arial" w:hAnsi="Arial" w:cs="Arial"/>
        </w:rPr>
        <w:t>3. Promote Training and Safety Awareness:</w:t>
      </w:r>
    </w:p>
    <w:p w14:paraId="470FDF3A" w14:textId="77777777" w:rsidR="004C29C6" w:rsidRDefault="00800C25">
      <w:pPr>
        <w:jc w:val="both"/>
        <w:rPr>
          <w:rFonts w:ascii="Arial" w:hAnsi="Arial" w:cs="Arial"/>
        </w:rPr>
      </w:pPr>
      <w:r>
        <w:rPr>
          <w:rFonts w:ascii="Arial" w:hAnsi="Arial" w:cs="Arial"/>
        </w:rPr>
        <w:t>Continu</w:t>
      </w:r>
      <w:r>
        <w:rPr>
          <w:rFonts w:ascii="Arial" w:hAnsi="Arial" w:cs="Arial"/>
        </w:rPr>
        <w:t xml:space="preserve">ous capacity-building programs should be introduced for dockworkers, crane operators, and logistics personnel to improve hazard recognition, safe work practices, and </w:t>
      </w:r>
      <w:r>
        <w:rPr>
          <w:rFonts w:ascii="Arial" w:hAnsi="Arial" w:cs="Arial"/>
        </w:rPr>
        <w:lastRenderedPageBreak/>
        <w:t>emergency response skills. Safety orientation and refresher training should be mandatory f</w:t>
      </w:r>
      <w:r>
        <w:rPr>
          <w:rFonts w:ascii="Arial" w:hAnsi="Arial" w:cs="Arial"/>
        </w:rPr>
        <w:t>or all port employees.</w:t>
      </w:r>
    </w:p>
    <w:p w14:paraId="46F39E18" w14:textId="77777777" w:rsidR="004C29C6" w:rsidRDefault="004C29C6">
      <w:pPr>
        <w:jc w:val="both"/>
        <w:rPr>
          <w:rFonts w:ascii="Arial" w:hAnsi="Arial" w:cs="Arial"/>
        </w:rPr>
      </w:pPr>
    </w:p>
    <w:p w14:paraId="0B04D963" w14:textId="77777777" w:rsidR="004C29C6" w:rsidRDefault="00800C25">
      <w:pPr>
        <w:jc w:val="both"/>
        <w:rPr>
          <w:rFonts w:ascii="Arial" w:hAnsi="Arial" w:cs="Arial"/>
        </w:rPr>
      </w:pPr>
      <w:r>
        <w:rPr>
          <w:rFonts w:ascii="Arial" w:hAnsi="Arial" w:cs="Arial"/>
        </w:rPr>
        <w:t>4. Adopt Cleaner and Safer Technologies:</w:t>
      </w:r>
    </w:p>
    <w:p w14:paraId="54145633" w14:textId="77777777" w:rsidR="004C29C6" w:rsidRDefault="00800C25">
      <w:pPr>
        <w:jc w:val="both"/>
        <w:rPr>
          <w:rFonts w:ascii="Arial" w:hAnsi="Arial" w:cs="Arial"/>
        </w:rPr>
      </w:pPr>
      <w:r>
        <w:rPr>
          <w:rFonts w:ascii="Arial" w:hAnsi="Arial" w:cs="Arial"/>
        </w:rPr>
        <w:t>Transitioning to energy-efficient and low-emission technologies, such as electric cargo equipment and shore power systems, can significantly reduce air pollution and carbon emissions. Investm</w:t>
      </w:r>
      <w:r>
        <w:rPr>
          <w:rFonts w:ascii="Arial" w:hAnsi="Arial" w:cs="Arial"/>
        </w:rPr>
        <w:t>ent in ergonomic equipment can also mitigate musculoskeletal injuries associated with manual cargo handling.</w:t>
      </w:r>
    </w:p>
    <w:p w14:paraId="2B3BB4F3" w14:textId="77777777" w:rsidR="004C29C6" w:rsidRDefault="004C29C6">
      <w:pPr>
        <w:jc w:val="both"/>
        <w:rPr>
          <w:rFonts w:ascii="Arial" w:hAnsi="Arial" w:cs="Arial"/>
        </w:rPr>
      </w:pPr>
    </w:p>
    <w:p w14:paraId="2C99A0A0" w14:textId="77777777" w:rsidR="004C29C6" w:rsidRDefault="00800C25">
      <w:pPr>
        <w:jc w:val="both"/>
        <w:rPr>
          <w:rFonts w:ascii="Arial" w:hAnsi="Arial" w:cs="Arial"/>
        </w:rPr>
      </w:pPr>
      <w:r>
        <w:rPr>
          <w:rFonts w:ascii="Arial" w:hAnsi="Arial" w:cs="Arial"/>
        </w:rPr>
        <w:t>5. Improve Worker Protection and Welfare:</w:t>
      </w:r>
    </w:p>
    <w:p w14:paraId="1CB3E581" w14:textId="77777777" w:rsidR="004C29C6" w:rsidRDefault="00800C25">
      <w:pPr>
        <w:jc w:val="both"/>
        <w:rPr>
          <w:rFonts w:ascii="Arial" w:hAnsi="Arial" w:cs="Arial"/>
        </w:rPr>
      </w:pPr>
      <w:r>
        <w:rPr>
          <w:rFonts w:ascii="Arial" w:hAnsi="Arial" w:cs="Arial"/>
        </w:rPr>
        <w:t>Employers should ensure the consistent availability and enforcement of PPE use, provide medical insuranc</w:t>
      </w:r>
      <w:r>
        <w:rPr>
          <w:rFonts w:ascii="Arial" w:hAnsi="Arial" w:cs="Arial"/>
        </w:rPr>
        <w:t>e coverage, and establish occupational health surveillance programs to detect and manage early signs of exposure-related illness.</w:t>
      </w:r>
    </w:p>
    <w:p w14:paraId="3C78555D" w14:textId="77777777" w:rsidR="004C29C6" w:rsidRDefault="004C29C6">
      <w:pPr>
        <w:jc w:val="both"/>
        <w:rPr>
          <w:rFonts w:ascii="Arial" w:hAnsi="Arial" w:cs="Arial"/>
        </w:rPr>
      </w:pPr>
    </w:p>
    <w:p w14:paraId="6F6F9FE8" w14:textId="77777777" w:rsidR="004C29C6" w:rsidRDefault="00800C25">
      <w:pPr>
        <w:jc w:val="both"/>
        <w:rPr>
          <w:rFonts w:ascii="Arial" w:hAnsi="Arial" w:cs="Arial"/>
        </w:rPr>
      </w:pPr>
      <w:r>
        <w:rPr>
          <w:rFonts w:ascii="Arial" w:hAnsi="Arial" w:cs="Arial"/>
        </w:rPr>
        <w:t>6. Enhance Research and Data Systems:</w:t>
      </w:r>
    </w:p>
    <w:p w14:paraId="2856804B" w14:textId="77777777" w:rsidR="004C29C6" w:rsidRDefault="00800C25">
      <w:pPr>
        <w:jc w:val="both"/>
        <w:rPr>
          <w:rFonts w:ascii="Arial" w:hAnsi="Arial" w:cs="Arial"/>
        </w:rPr>
      </w:pPr>
      <w:r>
        <w:rPr>
          <w:rFonts w:ascii="Arial" w:hAnsi="Arial" w:cs="Arial"/>
        </w:rPr>
        <w:t xml:space="preserve">Regional and national research institutions should collaborate to develop databases on </w:t>
      </w:r>
      <w:r>
        <w:rPr>
          <w:rFonts w:ascii="Arial" w:hAnsi="Arial" w:cs="Arial"/>
        </w:rPr>
        <w:t>port-related occupational hazards and health outcomes. Evidence-based monitoring will enable policymakers to track progress, identify risk trends, and design targeted interventions.</w:t>
      </w:r>
    </w:p>
    <w:p w14:paraId="19847E36" w14:textId="77777777" w:rsidR="004C29C6" w:rsidRDefault="004C29C6">
      <w:pPr>
        <w:jc w:val="both"/>
        <w:rPr>
          <w:rFonts w:ascii="Arial" w:hAnsi="Arial" w:cs="Arial"/>
        </w:rPr>
      </w:pPr>
    </w:p>
    <w:p w14:paraId="0AEAA39B" w14:textId="77777777" w:rsidR="004C29C6" w:rsidRDefault="004C29C6">
      <w:pPr>
        <w:jc w:val="both"/>
        <w:rPr>
          <w:rFonts w:ascii="Arial" w:hAnsi="Arial" w:cs="Arial"/>
        </w:rPr>
      </w:pPr>
    </w:p>
    <w:p w14:paraId="66931772" w14:textId="77777777" w:rsidR="004C29C6" w:rsidRDefault="00800C25">
      <w:pPr>
        <w:jc w:val="both"/>
        <w:rPr>
          <w:rFonts w:ascii="Arial" w:hAnsi="Arial" w:cs="Arial"/>
        </w:rPr>
      </w:pPr>
      <w:r>
        <w:rPr>
          <w:rFonts w:ascii="Arial" w:hAnsi="Arial" w:cs="Arial"/>
        </w:rPr>
        <w:t>7. Encourage International Collaboration:</w:t>
      </w:r>
    </w:p>
    <w:p w14:paraId="33F75BB6" w14:textId="77777777" w:rsidR="004C29C6" w:rsidRDefault="00800C25">
      <w:pPr>
        <w:jc w:val="both"/>
        <w:rPr>
          <w:rFonts w:ascii="Arial" w:hAnsi="Arial" w:cs="Arial"/>
        </w:rPr>
      </w:pPr>
      <w:r>
        <w:rPr>
          <w:rFonts w:ascii="Arial" w:hAnsi="Arial" w:cs="Arial"/>
        </w:rPr>
        <w:t>Partnerships with internationa</w:t>
      </w:r>
      <w:r>
        <w:rPr>
          <w:rFonts w:ascii="Arial" w:hAnsi="Arial" w:cs="Arial"/>
        </w:rPr>
        <w:t>l organizations such as the ILO, WHO, and IMO can facilitate technical support, knowledge transfer, and funding for improving safety standards and environmental practices in developing-country ports.</w:t>
      </w:r>
    </w:p>
    <w:p w14:paraId="33863327" w14:textId="77777777" w:rsidR="004C29C6" w:rsidRDefault="004C29C6">
      <w:pPr>
        <w:jc w:val="both"/>
        <w:rPr>
          <w:rFonts w:ascii="Arial" w:hAnsi="Arial" w:cs="Arial"/>
        </w:rPr>
      </w:pPr>
    </w:p>
    <w:p w14:paraId="3E65376F" w14:textId="77777777" w:rsidR="004C29C6" w:rsidRDefault="00800C25">
      <w:pPr>
        <w:jc w:val="both"/>
        <w:rPr>
          <w:rFonts w:ascii="Arial" w:hAnsi="Arial" w:cs="Arial"/>
        </w:rPr>
      </w:pPr>
      <w:r>
        <w:rPr>
          <w:rFonts w:ascii="Arial" w:hAnsi="Arial" w:cs="Arial"/>
        </w:rPr>
        <w:t>In conclusion, improving occupational and environmental</w:t>
      </w:r>
      <w:r>
        <w:rPr>
          <w:rFonts w:ascii="Arial" w:hAnsi="Arial" w:cs="Arial"/>
        </w:rPr>
        <w:t xml:space="preserve"> safety in developing-country seaports demands coordinated efforts that integrate policy reform, technological innovation, and worker-centered interventions. By prioritizing preventive measures and strengthening institutional capacity, maritime authorities</w:t>
      </w:r>
      <w:r>
        <w:rPr>
          <w:rFonts w:ascii="Arial" w:hAnsi="Arial" w:cs="Arial"/>
        </w:rPr>
        <w:t xml:space="preserve"> can safeguard port workers’ health while advancing global trade efficiency and sustainable development goals.</w:t>
      </w:r>
    </w:p>
    <w:p w14:paraId="4C0C761D" w14:textId="77777777" w:rsidR="004C29C6" w:rsidRDefault="004C29C6">
      <w:pPr>
        <w:pStyle w:val="NormalWeb"/>
        <w:jc w:val="both"/>
        <w:rPr>
          <w:rFonts w:ascii="Arial" w:hAnsi="Arial" w:cs="Arial"/>
          <w:sz w:val="20"/>
          <w:szCs w:val="20"/>
        </w:rPr>
      </w:pPr>
    </w:p>
    <w:p w14:paraId="151C19BE" w14:textId="77777777" w:rsidR="004C29C6" w:rsidRDefault="00800C25">
      <w:pPr>
        <w:pStyle w:val="NormalWeb"/>
        <w:jc w:val="both"/>
        <w:rPr>
          <w:rFonts w:ascii="Arial" w:hAnsi="Arial" w:cs="Arial"/>
          <w:sz w:val="20"/>
          <w:szCs w:val="20"/>
        </w:rPr>
      </w:pPr>
      <w:r>
        <w:rPr>
          <w:rFonts w:ascii="Arial" w:hAnsi="Arial" w:cs="Arial"/>
          <w:sz w:val="20"/>
          <w:szCs w:val="20"/>
        </w:rPr>
        <w:t>REFERENCES</w:t>
      </w:r>
    </w:p>
    <w:p w14:paraId="72145461" w14:textId="77777777" w:rsidR="004C29C6" w:rsidRDefault="004C29C6">
      <w:pPr>
        <w:pStyle w:val="NormalWeb"/>
        <w:jc w:val="both"/>
        <w:rPr>
          <w:rFonts w:ascii="Arial" w:hAnsi="Arial" w:cs="Arial"/>
          <w:sz w:val="20"/>
          <w:szCs w:val="20"/>
        </w:rPr>
      </w:pPr>
    </w:p>
    <w:p w14:paraId="10F5FC96" w14:textId="77777777" w:rsidR="004C29C6" w:rsidRDefault="00800C25" w:rsidP="00A045B0">
      <w:pPr>
        <w:spacing w:before="100" w:beforeAutospacing="1" w:after="100" w:afterAutospacing="1"/>
      </w:pPr>
      <w:r>
        <w:t xml:space="preserve">Agyekum, K., Osei-Tutu, E., &amp; Amponsah-Tawiah, K. (2020). Occupational hazards and </w:t>
      </w:r>
      <w:r>
        <w:tab/>
        <w:t xml:space="preserve">safety </w:t>
      </w:r>
      <w:r>
        <w:tab/>
      </w:r>
      <w:r>
        <w:t xml:space="preserve">management practices in Ghanaian seaports. </w:t>
      </w:r>
      <w:r>
        <w:rPr>
          <w:rStyle w:val="Emphasis"/>
        </w:rPr>
        <w:t>Safety Science, 124</w:t>
      </w:r>
      <w:r>
        <w:t>, 104–113.</w:t>
      </w:r>
    </w:p>
    <w:p w14:paraId="47E7B6F8" w14:textId="77777777" w:rsidR="004C29C6" w:rsidRDefault="00800C25" w:rsidP="00A045B0">
      <w:pPr>
        <w:spacing w:before="100" w:beforeAutospacing="1" w:after="100" w:afterAutospacing="1"/>
      </w:pPr>
      <w:r>
        <w:t xml:space="preserve">Akinwale, A. A., &amp; Olusanya, O. O. (2020). Occupational health and safety conditions of </w:t>
      </w:r>
      <w:r>
        <w:tab/>
        <w:t xml:space="preserve">dockworkers in Lagos seaport. </w:t>
      </w:r>
      <w:r>
        <w:rPr>
          <w:rStyle w:val="Emphasis"/>
        </w:rPr>
        <w:t>International Journal of Maritime Health, 71</w:t>
      </w:r>
      <w:r>
        <w:t>(2), 88–97.</w:t>
      </w:r>
    </w:p>
    <w:p w14:paraId="1F6335F1" w14:textId="77777777" w:rsidR="004C29C6" w:rsidRDefault="00800C25" w:rsidP="00A045B0">
      <w:pPr>
        <w:spacing w:before="100" w:beforeAutospacing="1" w:after="100" w:afterAutospacing="1"/>
      </w:pPr>
      <w:r>
        <w:t>Amponsah</w:t>
      </w:r>
      <w:r>
        <w:t xml:space="preserve">-Tawiah, K., Ntow, M. A., &amp; Mensah, J. (2020). Occupational hazards and safety </w:t>
      </w:r>
      <w:r>
        <w:tab/>
        <w:t xml:space="preserve">practices among dockworkers: Evidence from developing nations. </w:t>
      </w:r>
      <w:r>
        <w:rPr>
          <w:rStyle w:val="Emphasis"/>
        </w:rPr>
        <w:t xml:space="preserve">Journal of Safety </w:t>
      </w:r>
      <w:r>
        <w:rPr>
          <w:rStyle w:val="Emphasis"/>
        </w:rPr>
        <w:tab/>
        <w:t>Research, 72</w:t>
      </w:r>
      <w:r>
        <w:t>, 120–128.</w:t>
      </w:r>
    </w:p>
    <w:p w14:paraId="3C191CF7" w14:textId="77777777" w:rsidR="004C29C6" w:rsidRDefault="00800C25" w:rsidP="00A045B0">
      <w:pPr>
        <w:spacing w:before="100" w:beforeAutospacing="1" w:after="100" w:afterAutospacing="1"/>
      </w:pPr>
      <w:r>
        <w:t>Ansa, I. E., Ekpenyong, C. E., &amp; Akpan, N. U. (2021). Environmental pol</w:t>
      </w:r>
      <w:r>
        <w:t xml:space="preserve">lution and respiratory </w:t>
      </w:r>
      <w:r>
        <w:tab/>
        <w:t xml:space="preserve">health risks among seaport workers in Nigeria. </w:t>
      </w:r>
      <w:r>
        <w:rPr>
          <w:rStyle w:val="Emphasis"/>
        </w:rPr>
        <w:t xml:space="preserve">African Journal of Environmental </w:t>
      </w:r>
      <w:r>
        <w:rPr>
          <w:rStyle w:val="Emphasis"/>
        </w:rPr>
        <w:tab/>
        <w:t>Health, 18</w:t>
      </w:r>
      <w:r>
        <w:t>(1), 44–56.</w:t>
      </w:r>
    </w:p>
    <w:p w14:paraId="2A791556" w14:textId="77777777" w:rsidR="004C29C6" w:rsidRDefault="00800C25" w:rsidP="00A045B0">
      <w:pPr>
        <w:spacing w:before="100" w:beforeAutospacing="1" w:after="100" w:afterAutospacing="1"/>
      </w:pPr>
      <w:r>
        <w:t xml:space="preserve">Bello, S. A., Ogunyemi, O., &amp; Uche, O. (2020). Occupational noise exposure and auditory </w:t>
      </w:r>
      <w:r>
        <w:tab/>
        <w:t xml:space="preserve">health among port workers. </w:t>
      </w:r>
      <w:r>
        <w:rPr>
          <w:rStyle w:val="Emphasis"/>
        </w:rPr>
        <w:t>Journal of Oc</w:t>
      </w:r>
      <w:r>
        <w:rPr>
          <w:rStyle w:val="Emphasis"/>
        </w:rPr>
        <w:t xml:space="preserve">cupational and Environmental Hygiene, </w:t>
      </w:r>
      <w:r>
        <w:rPr>
          <w:rStyle w:val="Emphasis"/>
        </w:rPr>
        <w:tab/>
        <w:t>17</w:t>
      </w:r>
      <w:r>
        <w:t>(4), 210–219.</w:t>
      </w:r>
    </w:p>
    <w:p w14:paraId="02344369" w14:textId="77777777" w:rsidR="004C29C6" w:rsidRDefault="00800C25" w:rsidP="00A045B0">
      <w:pPr>
        <w:spacing w:before="100" w:beforeAutospacing="1" w:after="100" w:afterAutospacing="1"/>
      </w:pPr>
      <w:r>
        <w:t xml:space="preserve">Cheng, Y., Liu, Y., &amp; Wong, H. (2019). Environmental hazards and port emissions: A review </w:t>
      </w:r>
      <w:r>
        <w:tab/>
        <w:t xml:space="preserve">of Asian ports. </w:t>
      </w:r>
      <w:r>
        <w:rPr>
          <w:rStyle w:val="Emphasis"/>
        </w:rPr>
        <w:t>Environmental Research Letters, 14</w:t>
      </w:r>
      <w:r>
        <w:t>(8), 085003.</w:t>
      </w:r>
    </w:p>
    <w:p w14:paraId="2A0ACB58" w14:textId="77777777" w:rsidR="004C29C6" w:rsidRDefault="00800C25" w:rsidP="00A045B0">
      <w:pPr>
        <w:spacing w:before="100" w:beforeAutospacing="1" w:after="100" w:afterAutospacing="1"/>
      </w:pPr>
      <w:r>
        <w:t xml:space="preserve">Ekpenyong, C. E., </w:t>
      </w:r>
      <w:proofErr w:type="spellStart"/>
      <w:r>
        <w:t>Antai</w:t>
      </w:r>
      <w:proofErr w:type="spellEnd"/>
      <w:r>
        <w:t xml:space="preserve">, A. B., &amp; Essien, E. (2020). Chemical exposure and occupational </w:t>
      </w:r>
      <w:r>
        <w:tab/>
        <w:t xml:space="preserve">health risks among oil port workers. </w:t>
      </w:r>
      <w:r>
        <w:rPr>
          <w:rStyle w:val="Emphasis"/>
        </w:rPr>
        <w:t>Toxicology Reports, 7</w:t>
      </w:r>
      <w:r>
        <w:t>, 987–995.</w:t>
      </w:r>
    </w:p>
    <w:p w14:paraId="7B27AB49" w14:textId="77777777" w:rsidR="004C29C6" w:rsidRDefault="00800C25" w:rsidP="00A045B0">
      <w:pPr>
        <w:spacing w:before="100" w:beforeAutospacing="1" w:after="100" w:afterAutospacing="1"/>
      </w:pPr>
      <w:r>
        <w:t xml:space="preserve">Eze, R. E., Okeke, C. A., &amp; Orji, C. E. (2023). Work-related injuries and safety practices </w:t>
      </w:r>
      <w:r>
        <w:tab/>
        <w:t>among dockworkers in Nigeria’</w:t>
      </w:r>
      <w:r>
        <w:t xml:space="preserve">s seaports. </w:t>
      </w:r>
      <w:r>
        <w:rPr>
          <w:rStyle w:val="Emphasis"/>
        </w:rPr>
        <w:t>Nigerian Journal of Public Health, 37</w:t>
      </w:r>
      <w:r>
        <w:t xml:space="preserve">(2), </w:t>
      </w:r>
      <w:r>
        <w:tab/>
        <w:t>112–124.</w:t>
      </w:r>
    </w:p>
    <w:p w14:paraId="3BE308D4" w14:textId="77777777" w:rsidR="004C29C6" w:rsidRDefault="00800C25" w:rsidP="00A045B0">
      <w:pPr>
        <w:spacing w:before="100" w:beforeAutospacing="1" w:after="100" w:afterAutospacing="1"/>
      </w:pPr>
      <w:r>
        <w:lastRenderedPageBreak/>
        <w:t xml:space="preserve">ILO. (2021). </w:t>
      </w:r>
      <w:r>
        <w:rPr>
          <w:rStyle w:val="Emphasis"/>
        </w:rPr>
        <w:t>Occupational safety and health in ports: Guidelines for implementation.</w:t>
      </w:r>
      <w:r>
        <w:t xml:space="preserve"> </w:t>
      </w:r>
      <w:r>
        <w:tab/>
        <w:t xml:space="preserve">International </w:t>
      </w:r>
      <w:proofErr w:type="spellStart"/>
      <w:r>
        <w:t>Labour</w:t>
      </w:r>
      <w:proofErr w:type="spellEnd"/>
      <w:r>
        <w:t xml:space="preserve"> Organization.</w:t>
      </w:r>
    </w:p>
    <w:p w14:paraId="0FD689DB" w14:textId="77777777" w:rsidR="004C29C6" w:rsidRDefault="00800C25" w:rsidP="00A045B0">
      <w:pPr>
        <w:spacing w:before="100" w:beforeAutospacing="1" w:after="100" w:afterAutospacing="1"/>
      </w:pPr>
      <w:r>
        <w:t xml:space="preserve">JBI. (2020). </w:t>
      </w:r>
      <w:r>
        <w:rPr>
          <w:rStyle w:val="Emphasis"/>
        </w:rPr>
        <w:t>Critical Appraisal Tools for Use in JBI Systematic Reviews</w:t>
      </w:r>
      <w:r>
        <w:rPr>
          <w:rStyle w:val="Emphasis"/>
        </w:rPr>
        <w:t xml:space="preserve">: Checklist for </w:t>
      </w:r>
      <w:r>
        <w:rPr>
          <w:rStyle w:val="Emphasis"/>
        </w:rPr>
        <w:tab/>
        <w:t>Analytical Cross-Sectional Studies.</w:t>
      </w:r>
      <w:r>
        <w:t xml:space="preserve"> Joanna Briggs Institute.</w:t>
      </w:r>
    </w:p>
    <w:p w14:paraId="34734C0F" w14:textId="77777777" w:rsidR="004C29C6" w:rsidRDefault="00800C25" w:rsidP="00A045B0">
      <w:pPr>
        <w:spacing w:before="100" w:beforeAutospacing="1" w:after="100" w:afterAutospacing="1"/>
      </w:pPr>
      <w:r>
        <w:t xml:space="preserve">Moher, D., Liberati, A., Tetzlaff, J., Altman, D. G., &amp; The PRISMA Group. (2009). Preferred </w:t>
      </w:r>
      <w:r>
        <w:tab/>
        <w:t xml:space="preserve">Reporting Items for Systematic Reviews and Meta-Analyses: The PRISMA Statement. </w:t>
      </w:r>
      <w:r>
        <w:tab/>
      </w:r>
      <w:proofErr w:type="spellStart"/>
      <w:r>
        <w:rPr>
          <w:rStyle w:val="Emphasis"/>
        </w:rPr>
        <w:t>PLoS</w:t>
      </w:r>
      <w:proofErr w:type="spellEnd"/>
      <w:r>
        <w:rPr>
          <w:rStyle w:val="Emphasis"/>
        </w:rPr>
        <w:t xml:space="preserve"> Medicine, 6</w:t>
      </w:r>
      <w:r>
        <w:t>(7), e1000097.</w:t>
      </w:r>
    </w:p>
    <w:p w14:paraId="4639A973" w14:textId="77777777" w:rsidR="004C29C6" w:rsidRDefault="00800C25" w:rsidP="00A045B0">
      <w:pPr>
        <w:spacing w:before="100" w:beforeAutospacing="1" w:after="100" w:afterAutospacing="1"/>
      </w:pPr>
      <w:r>
        <w:t xml:space="preserve">Ogundele, O. M., </w:t>
      </w:r>
      <w:proofErr w:type="spellStart"/>
      <w:r>
        <w:t>Fashina</w:t>
      </w:r>
      <w:proofErr w:type="spellEnd"/>
      <w:r>
        <w:t xml:space="preserve">, A., &amp; Musa, K. (2022). Occupational exposures and safety </w:t>
      </w:r>
      <w:r>
        <w:tab/>
        <w:t xml:space="preserve">compliance among Nigerian maritime workers. </w:t>
      </w:r>
      <w:r>
        <w:rPr>
          <w:rStyle w:val="Emphasis"/>
        </w:rPr>
        <w:t xml:space="preserve">Journal of Environmental and </w:t>
      </w:r>
      <w:r>
        <w:rPr>
          <w:rStyle w:val="Emphasis"/>
        </w:rPr>
        <w:tab/>
        <w:t>Occupational Science, 11</w:t>
      </w:r>
      <w:r>
        <w:t>(2), 55–67.</w:t>
      </w:r>
    </w:p>
    <w:p w14:paraId="2D267DFD" w14:textId="77777777" w:rsidR="004C29C6" w:rsidRDefault="00800C25" w:rsidP="00A045B0">
      <w:pPr>
        <w:spacing w:before="100" w:beforeAutospacing="1" w:after="100" w:afterAutospacing="1"/>
      </w:pPr>
      <w:r>
        <w:t>Page, M. J., McKenzie, J. E., Bossu</w:t>
      </w:r>
      <w:r>
        <w:t xml:space="preserve">yt, P. M., Boutron, I., Hoffmann, T. C., &amp; Moher, D. </w:t>
      </w:r>
      <w:r>
        <w:tab/>
        <w:t xml:space="preserve">(2021). The PRISMA 2020 statement: An updated guideline for reporting systematic </w:t>
      </w:r>
      <w:r>
        <w:tab/>
        <w:t xml:space="preserve">reviews. </w:t>
      </w:r>
      <w:r>
        <w:rPr>
          <w:rStyle w:val="Emphasis"/>
        </w:rPr>
        <w:t>BMJ, 372</w:t>
      </w:r>
      <w:r>
        <w:t>, n71.</w:t>
      </w:r>
    </w:p>
    <w:p w14:paraId="38BC2B40" w14:textId="77777777" w:rsidR="004C29C6" w:rsidRDefault="00800C25" w:rsidP="00A045B0">
      <w:pPr>
        <w:spacing w:before="100" w:beforeAutospacing="1" w:after="100" w:afterAutospacing="1"/>
      </w:pPr>
      <w:r>
        <w:t xml:space="preserve">WHO. (2022). </w:t>
      </w:r>
      <w:r>
        <w:rPr>
          <w:rStyle w:val="Emphasis"/>
        </w:rPr>
        <w:t>Global health risks of occupational and environmental hazards.</w:t>
      </w:r>
      <w:r>
        <w:t xml:space="preserve"> World Health </w:t>
      </w:r>
      <w:r>
        <w:tab/>
        <w:t>Organi</w:t>
      </w:r>
      <w:r>
        <w:t>zation.</w:t>
      </w:r>
    </w:p>
    <w:p w14:paraId="25D41603" w14:textId="77777777" w:rsidR="004C29C6" w:rsidRDefault="00800C25" w:rsidP="00A045B0">
      <w:pPr>
        <w:spacing w:before="100" w:beforeAutospacing="1" w:after="100" w:afterAutospacing="1"/>
      </w:pPr>
      <w:r>
        <w:t xml:space="preserve">World Bank. (2023). </w:t>
      </w:r>
      <w:r>
        <w:rPr>
          <w:rStyle w:val="Emphasis"/>
        </w:rPr>
        <w:t>Port development and safety governance in emerging economies.</w:t>
      </w:r>
      <w:r>
        <w:t xml:space="preserve"> World </w:t>
      </w:r>
      <w:r>
        <w:tab/>
        <w:t>Bank Publications.</w:t>
      </w:r>
    </w:p>
    <w:p w14:paraId="545D29CF" w14:textId="69E1D90C" w:rsidR="004C29C6" w:rsidRDefault="003462EE" w:rsidP="00A045B0">
      <w:pPr>
        <w:pStyle w:val="NormalWeb"/>
        <w:jc w:val="both"/>
        <w:rPr>
          <w:rFonts w:ascii="Arial" w:hAnsi="Arial" w:cs="Arial"/>
          <w:sz w:val="20"/>
          <w:szCs w:val="20"/>
        </w:rPr>
      </w:pPr>
      <w:r w:rsidRPr="003462EE">
        <w:rPr>
          <w:rFonts w:ascii="Arial" w:hAnsi="Arial" w:cs="Arial"/>
          <w:sz w:val="20"/>
          <w:szCs w:val="20"/>
        </w:rPr>
        <w:t>Moros-Daza, A., Moros-Marcillo, A., &amp; Pacheco-Bustos, C. A. (2025). Greening seaports: Evaluating impacts and policies for renewable energy systems. Renewable and Sustainable Energy Reviews, 213, 115475.</w:t>
      </w:r>
      <w:r>
        <w:rPr>
          <w:rFonts w:ascii="Arial" w:hAnsi="Arial" w:cs="Arial"/>
          <w:sz w:val="20"/>
          <w:szCs w:val="20"/>
        </w:rPr>
        <w:t xml:space="preserve">  </w:t>
      </w:r>
    </w:p>
    <w:p w14:paraId="519694C0" w14:textId="77777777" w:rsidR="003462EE" w:rsidRDefault="003462EE" w:rsidP="00A045B0">
      <w:pPr>
        <w:pStyle w:val="NormalWeb"/>
        <w:jc w:val="both"/>
        <w:rPr>
          <w:rFonts w:ascii="Arial" w:hAnsi="Arial" w:cs="Arial"/>
          <w:sz w:val="20"/>
          <w:szCs w:val="20"/>
        </w:rPr>
      </w:pPr>
    </w:p>
    <w:p w14:paraId="4C0A18A8" w14:textId="54272BB7" w:rsidR="003462EE" w:rsidRDefault="003462EE" w:rsidP="00A045B0">
      <w:pPr>
        <w:pStyle w:val="NormalWeb"/>
        <w:jc w:val="both"/>
        <w:rPr>
          <w:rFonts w:ascii="Arial" w:hAnsi="Arial" w:cs="Arial"/>
          <w:sz w:val="20"/>
          <w:szCs w:val="20"/>
        </w:rPr>
      </w:pPr>
      <w:r w:rsidRPr="003462EE">
        <w:rPr>
          <w:rFonts w:ascii="Arial" w:hAnsi="Arial" w:cs="Arial"/>
          <w:sz w:val="20"/>
          <w:szCs w:val="20"/>
        </w:rPr>
        <w:t xml:space="preserve">Sadiq, M., Ali, S. W., </w:t>
      </w:r>
      <w:proofErr w:type="spellStart"/>
      <w:r w:rsidRPr="003462EE">
        <w:rPr>
          <w:rFonts w:ascii="Arial" w:hAnsi="Arial" w:cs="Arial"/>
          <w:sz w:val="20"/>
          <w:szCs w:val="20"/>
        </w:rPr>
        <w:t>Terriche</w:t>
      </w:r>
      <w:proofErr w:type="spellEnd"/>
      <w:r w:rsidRPr="003462EE">
        <w:rPr>
          <w:rFonts w:ascii="Arial" w:hAnsi="Arial" w:cs="Arial"/>
          <w:sz w:val="20"/>
          <w:szCs w:val="20"/>
        </w:rPr>
        <w:t xml:space="preserve">, Y., </w:t>
      </w:r>
      <w:proofErr w:type="spellStart"/>
      <w:r w:rsidRPr="003462EE">
        <w:rPr>
          <w:rFonts w:ascii="Arial" w:hAnsi="Arial" w:cs="Arial"/>
          <w:sz w:val="20"/>
          <w:szCs w:val="20"/>
        </w:rPr>
        <w:t>Mutarraf</w:t>
      </w:r>
      <w:proofErr w:type="spellEnd"/>
      <w:r w:rsidRPr="003462EE">
        <w:rPr>
          <w:rFonts w:ascii="Arial" w:hAnsi="Arial" w:cs="Arial"/>
          <w:sz w:val="20"/>
          <w:szCs w:val="20"/>
        </w:rPr>
        <w:t>, M. U., Hassan, M. A., Hamid, K., ... &amp; Guerrero, J. M. (2021). Future greener seaports: A review of new infrastructure, challenges, and energy efficiency measures. IEEE access, 9, 75568-75587.</w:t>
      </w:r>
      <w:r>
        <w:rPr>
          <w:rFonts w:ascii="Arial" w:hAnsi="Arial" w:cs="Arial"/>
          <w:sz w:val="20"/>
          <w:szCs w:val="20"/>
        </w:rPr>
        <w:t xml:space="preserve">  </w:t>
      </w:r>
    </w:p>
    <w:p w14:paraId="1C4A8FC2" w14:textId="77777777" w:rsidR="003462EE" w:rsidRDefault="003462EE" w:rsidP="00A045B0">
      <w:pPr>
        <w:pStyle w:val="NormalWeb"/>
        <w:jc w:val="both"/>
        <w:rPr>
          <w:rFonts w:ascii="Arial" w:hAnsi="Arial" w:cs="Arial"/>
          <w:sz w:val="20"/>
          <w:szCs w:val="20"/>
        </w:rPr>
      </w:pPr>
    </w:p>
    <w:p w14:paraId="1F62FE32" w14:textId="2C3018B2" w:rsidR="003462EE" w:rsidRDefault="003462EE" w:rsidP="00A045B0">
      <w:pPr>
        <w:pStyle w:val="NormalWeb"/>
        <w:jc w:val="both"/>
        <w:rPr>
          <w:rFonts w:ascii="Arial" w:hAnsi="Arial" w:cs="Arial"/>
          <w:sz w:val="20"/>
          <w:szCs w:val="20"/>
        </w:rPr>
      </w:pPr>
      <w:r w:rsidRPr="003462EE">
        <w:rPr>
          <w:rFonts w:ascii="Arial" w:hAnsi="Arial" w:cs="Arial"/>
          <w:sz w:val="20"/>
          <w:szCs w:val="20"/>
        </w:rPr>
        <w:t xml:space="preserve">Kammoun, R., &amp; </w:t>
      </w:r>
      <w:proofErr w:type="spellStart"/>
      <w:r w:rsidRPr="003462EE">
        <w:rPr>
          <w:rFonts w:ascii="Arial" w:hAnsi="Arial" w:cs="Arial"/>
          <w:sz w:val="20"/>
          <w:szCs w:val="20"/>
        </w:rPr>
        <w:t>Abdennadher</w:t>
      </w:r>
      <w:proofErr w:type="spellEnd"/>
      <w:r w:rsidRPr="003462EE">
        <w:rPr>
          <w:rFonts w:ascii="Arial" w:hAnsi="Arial" w:cs="Arial"/>
          <w:sz w:val="20"/>
          <w:szCs w:val="20"/>
        </w:rPr>
        <w:t>, C. (2022). Seaport efficiency and competitiveness in European seaports. Transport Policy, 121, 113-124.</w:t>
      </w:r>
      <w:r>
        <w:rPr>
          <w:rFonts w:ascii="Arial" w:hAnsi="Arial" w:cs="Arial"/>
          <w:sz w:val="20"/>
          <w:szCs w:val="20"/>
        </w:rPr>
        <w:t xml:space="preserve">  </w:t>
      </w:r>
    </w:p>
    <w:p w14:paraId="74AF7951" w14:textId="77777777" w:rsidR="003462EE" w:rsidRDefault="003462EE" w:rsidP="00A045B0">
      <w:pPr>
        <w:pStyle w:val="NormalWeb"/>
        <w:jc w:val="both"/>
        <w:rPr>
          <w:rFonts w:ascii="Arial" w:hAnsi="Arial" w:cs="Arial"/>
          <w:sz w:val="20"/>
          <w:szCs w:val="20"/>
        </w:rPr>
      </w:pPr>
    </w:p>
    <w:p w14:paraId="20572171" w14:textId="776E85FC" w:rsidR="003462EE" w:rsidRDefault="003462EE" w:rsidP="00A045B0">
      <w:pPr>
        <w:pStyle w:val="NormalWeb"/>
        <w:jc w:val="both"/>
        <w:rPr>
          <w:rFonts w:ascii="Arial" w:hAnsi="Arial" w:cs="Arial"/>
          <w:sz w:val="20"/>
          <w:szCs w:val="20"/>
        </w:rPr>
      </w:pPr>
      <w:r w:rsidRPr="003462EE">
        <w:rPr>
          <w:rFonts w:ascii="Arial" w:hAnsi="Arial" w:cs="Arial"/>
          <w:sz w:val="20"/>
          <w:szCs w:val="20"/>
        </w:rPr>
        <w:t>Monteiro, J. L., Santoso, P. I., &amp; Prabowo, R. (2021). Maritime industry-ports and supporting activities: literature review. In IOP Conference Series: Materials Science and Engineering (Vol. 1010, No. 1, p. 012019). IOP Publishing.</w:t>
      </w:r>
      <w:r>
        <w:rPr>
          <w:rFonts w:ascii="Arial" w:hAnsi="Arial" w:cs="Arial"/>
          <w:sz w:val="20"/>
          <w:szCs w:val="20"/>
        </w:rPr>
        <w:t xml:space="preserve">   </w:t>
      </w:r>
    </w:p>
    <w:p w14:paraId="1D0612BD" w14:textId="77777777" w:rsidR="003462EE" w:rsidRDefault="003462EE" w:rsidP="00A045B0">
      <w:pPr>
        <w:pStyle w:val="NormalWeb"/>
        <w:jc w:val="both"/>
        <w:rPr>
          <w:rFonts w:ascii="Arial" w:hAnsi="Arial" w:cs="Arial"/>
          <w:sz w:val="20"/>
          <w:szCs w:val="20"/>
        </w:rPr>
      </w:pPr>
    </w:p>
    <w:p w14:paraId="43E57523" w14:textId="0B11AB67" w:rsidR="003462EE" w:rsidRDefault="003462EE" w:rsidP="00A045B0">
      <w:pPr>
        <w:pStyle w:val="NormalWeb"/>
        <w:jc w:val="both"/>
        <w:rPr>
          <w:rFonts w:ascii="Arial" w:hAnsi="Arial" w:cs="Arial"/>
          <w:sz w:val="20"/>
          <w:szCs w:val="20"/>
        </w:rPr>
      </w:pPr>
      <w:r w:rsidRPr="003462EE">
        <w:rPr>
          <w:rFonts w:ascii="Arial" w:hAnsi="Arial" w:cs="Arial"/>
          <w:sz w:val="20"/>
          <w:szCs w:val="20"/>
        </w:rPr>
        <w:t>Diniz, N. V., Cunha, D. R., de Santana Porte, M., Oliveira, C. B. M., &amp; de Freitas Fernandes, F. (2024). A bibliometric analysis of sustainable development goals in the maritime industry and port sector. Regional Studies in Marine Science, 69, 103319.</w:t>
      </w:r>
      <w:r>
        <w:rPr>
          <w:rFonts w:ascii="Arial" w:hAnsi="Arial" w:cs="Arial"/>
          <w:sz w:val="20"/>
          <w:szCs w:val="20"/>
        </w:rPr>
        <w:t xml:space="preserve">   </w:t>
      </w:r>
    </w:p>
    <w:p w14:paraId="4E8A7468" w14:textId="77777777" w:rsidR="003462EE" w:rsidRDefault="003462EE" w:rsidP="00A045B0">
      <w:pPr>
        <w:pStyle w:val="NormalWeb"/>
        <w:jc w:val="both"/>
        <w:rPr>
          <w:rFonts w:ascii="Arial" w:hAnsi="Arial" w:cs="Arial"/>
          <w:sz w:val="20"/>
          <w:szCs w:val="20"/>
        </w:rPr>
      </w:pPr>
    </w:p>
    <w:p w14:paraId="1A719644" w14:textId="7437BAFA" w:rsidR="003462EE" w:rsidRDefault="003462EE" w:rsidP="00A045B0">
      <w:pPr>
        <w:pStyle w:val="NormalWeb"/>
        <w:jc w:val="both"/>
        <w:rPr>
          <w:rFonts w:ascii="Arial" w:hAnsi="Arial" w:cs="Arial"/>
          <w:sz w:val="20"/>
          <w:szCs w:val="20"/>
        </w:rPr>
      </w:pPr>
      <w:proofErr w:type="spellStart"/>
      <w:r w:rsidRPr="003462EE">
        <w:rPr>
          <w:rFonts w:ascii="Arial" w:hAnsi="Arial" w:cs="Arial"/>
          <w:sz w:val="20"/>
          <w:szCs w:val="20"/>
        </w:rPr>
        <w:t>Alamoush</w:t>
      </w:r>
      <w:proofErr w:type="spellEnd"/>
      <w:r w:rsidRPr="003462EE">
        <w:rPr>
          <w:rFonts w:ascii="Arial" w:hAnsi="Arial" w:cs="Arial"/>
          <w:sz w:val="20"/>
          <w:szCs w:val="20"/>
        </w:rPr>
        <w:t xml:space="preserve">, A. S., </w:t>
      </w:r>
      <w:proofErr w:type="spellStart"/>
      <w:r w:rsidRPr="003462EE">
        <w:rPr>
          <w:rFonts w:ascii="Arial" w:hAnsi="Arial" w:cs="Arial"/>
          <w:sz w:val="20"/>
          <w:szCs w:val="20"/>
        </w:rPr>
        <w:t>Ballini</w:t>
      </w:r>
      <w:proofErr w:type="spellEnd"/>
      <w:r w:rsidRPr="003462EE">
        <w:rPr>
          <w:rFonts w:ascii="Arial" w:hAnsi="Arial" w:cs="Arial"/>
          <w:sz w:val="20"/>
          <w:szCs w:val="20"/>
        </w:rPr>
        <w:t xml:space="preserve">, F., &amp; </w:t>
      </w:r>
      <w:proofErr w:type="spellStart"/>
      <w:r w:rsidRPr="003462EE">
        <w:rPr>
          <w:rFonts w:ascii="Arial" w:hAnsi="Arial" w:cs="Arial"/>
          <w:sz w:val="20"/>
          <w:szCs w:val="20"/>
        </w:rPr>
        <w:t>Ölçer</w:t>
      </w:r>
      <w:proofErr w:type="spellEnd"/>
      <w:r w:rsidRPr="003462EE">
        <w:rPr>
          <w:rFonts w:ascii="Arial" w:hAnsi="Arial" w:cs="Arial"/>
          <w:sz w:val="20"/>
          <w:szCs w:val="20"/>
        </w:rPr>
        <w:t>, A. I. (2022). Ports, maritime transport, and industry: The immediate impact of COVID-19 and the way forward. Maritime Technology and Research, 4(1), 250092-250092.</w:t>
      </w:r>
      <w:r>
        <w:rPr>
          <w:rFonts w:ascii="Arial" w:hAnsi="Arial" w:cs="Arial"/>
          <w:sz w:val="20"/>
          <w:szCs w:val="20"/>
        </w:rPr>
        <w:t xml:space="preserve">  </w:t>
      </w:r>
    </w:p>
    <w:sectPr w:rsidR="003462E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F66E0" w14:textId="77777777" w:rsidR="00800C25" w:rsidRDefault="00800C25">
      <w:r>
        <w:separator/>
      </w:r>
    </w:p>
  </w:endnote>
  <w:endnote w:type="continuationSeparator" w:id="0">
    <w:p w14:paraId="632F40C5" w14:textId="77777777" w:rsidR="00800C25" w:rsidRDefault="0080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C8B5" w14:textId="77777777" w:rsidR="00FA112E" w:rsidRDefault="00FA1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9EAEF" w14:textId="77777777" w:rsidR="004C29C6" w:rsidRDefault="004C29C6">
    <w:pPr>
      <w:pStyle w:val="Footer"/>
      <w:tabs>
        <w:tab w:val="clear" w:pos="4153"/>
        <w:tab w:val="clear" w:pos="8306"/>
        <w:tab w:val="center" w:pos="4320"/>
        <w:tab w:val="right" w:pos="8640"/>
      </w:tabs>
    </w:pPr>
  </w:p>
  <w:p w14:paraId="1BB6C52B" w14:textId="77777777" w:rsidR="004C29C6" w:rsidRDefault="004C29C6">
    <w:pPr>
      <w:pStyle w:val="Footer"/>
      <w:tabs>
        <w:tab w:val="clear" w:pos="4153"/>
        <w:tab w:val="clear" w:pos="8306"/>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C251" w14:textId="77777777" w:rsidR="00FA112E" w:rsidRDefault="00FA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9C236" w14:textId="77777777" w:rsidR="00800C25" w:rsidRDefault="00800C25">
      <w:r>
        <w:separator/>
      </w:r>
    </w:p>
  </w:footnote>
  <w:footnote w:type="continuationSeparator" w:id="0">
    <w:p w14:paraId="085A4472" w14:textId="77777777" w:rsidR="00800C25" w:rsidRDefault="0080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AA85" w14:textId="7FE10558" w:rsidR="00FA112E" w:rsidRDefault="00FA112E">
    <w:pPr>
      <w:pStyle w:val="Header"/>
    </w:pPr>
    <w:r>
      <w:rPr>
        <w:noProof/>
      </w:rPr>
      <w:pict w14:anchorId="12D49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47657"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A1B4" w14:textId="04671B9F" w:rsidR="004C29C6" w:rsidRDefault="00FA112E">
    <w:pPr>
      <w:pStyle w:val="Header"/>
      <w:tabs>
        <w:tab w:val="clear" w:pos="4153"/>
        <w:tab w:val="clear" w:pos="8306"/>
        <w:tab w:val="center" w:pos="4320"/>
        <w:tab w:val="right" w:pos="8640"/>
      </w:tabs>
    </w:pPr>
    <w:r>
      <w:rPr>
        <w:noProof/>
      </w:rPr>
      <w:pict w14:anchorId="0EA25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47658"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AB19" w14:textId="2EA2DE4A" w:rsidR="00FA112E" w:rsidRDefault="00FA112E">
    <w:pPr>
      <w:pStyle w:val="Header"/>
    </w:pPr>
    <w:r>
      <w:rPr>
        <w:noProof/>
      </w:rPr>
      <w:pict w14:anchorId="3FF4D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47656"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23A5BE"/>
    <w:multiLevelType w:val="singleLevel"/>
    <w:tmpl w:val="9A23A5BE"/>
    <w:lvl w:ilvl="0">
      <w:start w:val="1"/>
      <w:numFmt w:val="decimal"/>
      <w:suff w:val="space"/>
      <w:lvlText w:val="(%1)"/>
      <w:lvlJc w:val="left"/>
      <w:pPr>
        <w:ind w:left="775" w:firstLine="0"/>
      </w:pPr>
    </w:lvl>
  </w:abstractNum>
  <w:abstractNum w:abstractNumId="1" w15:restartNumberingAfterBreak="0">
    <w:nsid w:val="D1541457"/>
    <w:multiLevelType w:val="multilevel"/>
    <w:tmpl w:val="D154145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0C251F78"/>
    <w:multiLevelType w:val="multilevel"/>
    <w:tmpl w:val="0C251F7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F200E18"/>
    <w:multiLevelType w:val="multilevel"/>
    <w:tmpl w:val="2F200E1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57D26184"/>
    <w:multiLevelType w:val="multilevel"/>
    <w:tmpl w:val="57D2618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8C42809"/>
    <w:multiLevelType w:val="hybridMultilevel"/>
    <w:tmpl w:val="1FEAC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F06E5"/>
    <w:multiLevelType w:val="multilevel"/>
    <w:tmpl w:val="6C2F06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
  </w:num>
  <w:num w:numId="12">
    <w:abstractNumId w:val="13"/>
  </w:num>
  <w:num w:numId="13">
    <w:abstractNumId w:val="12"/>
  </w:num>
  <w:num w:numId="14">
    <w:abstractNumId w:val="16"/>
  </w:num>
  <w:num w:numId="15">
    <w:abstractNumId w:val="1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wMDM2NLI0NTU3M7VQ0lEKTi0uzszPAykwrAUAAxc+tCwAAAA="/>
  </w:docVars>
  <w:rsids>
    <w:rsidRoot w:val="350A454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D28A7"/>
    <w:rsid w:val="00201333"/>
    <w:rsid w:val="00210FA7"/>
    <w:rsid w:val="00216417"/>
    <w:rsid w:val="0026631D"/>
    <w:rsid w:val="002B6010"/>
    <w:rsid w:val="002C2F53"/>
    <w:rsid w:val="0033518C"/>
    <w:rsid w:val="003437C2"/>
    <w:rsid w:val="003462EE"/>
    <w:rsid w:val="00377186"/>
    <w:rsid w:val="003A1C03"/>
    <w:rsid w:val="00414627"/>
    <w:rsid w:val="00425D63"/>
    <w:rsid w:val="004643D8"/>
    <w:rsid w:val="00497C24"/>
    <w:rsid w:val="004C29C6"/>
    <w:rsid w:val="004C7BA5"/>
    <w:rsid w:val="004E7628"/>
    <w:rsid w:val="004F48F2"/>
    <w:rsid w:val="005149B1"/>
    <w:rsid w:val="005647F2"/>
    <w:rsid w:val="005662D1"/>
    <w:rsid w:val="00573A09"/>
    <w:rsid w:val="005A4526"/>
    <w:rsid w:val="005C123A"/>
    <w:rsid w:val="005C1B16"/>
    <w:rsid w:val="005E53D0"/>
    <w:rsid w:val="006002EB"/>
    <w:rsid w:val="006128EF"/>
    <w:rsid w:val="006264B4"/>
    <w:rsid w:val="00643033"/>
    <w:rsid w:val="00644CC3"/>
    <w:rsid w:val="00661468"/>
    <w:rsid w:val="006649F0"/>
    <w:rsid w:val="0067245D"/>
    <w:rsid w:val="0068470E"/>
    <w:rsid w:val="00693F62"/>
    <w:rsid w:val="00695DCD"/>
    <w:rsid w:val="006A05CC"/>
    <w:rsid w:val="006A35A7"/>
    <w:rsid w:val="006C14E5"/>
    <w:rsid w:val="007152D7"/>
    <w:rsid w:val="00746C14"/>
    <w:rsid w:val="007C2C59"/>
    <w:rsid w:val="00800C25"/>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045B0"/>
    <w:rsid w:val="00A200C9"/>
    <w:rsid w:val="00A250D5"/>
    <w:rsid w:val="00A32F56"/>
    <w:rsid w:val="00A36028"/>
    <w:rsid w:val="00A91424"/>
    <w:rsid w:val="00AA2C77"/>
    <w:rsid w:val="00AC3FB9"/>
    <w:rsid w:val="00AC702A"/>
    <w:rsid w:val="00AD226F"/>
    <w:rsid w:val="00B13A52"/>
    <w:rsid w:val="00B14B2D"/>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29F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A112E"/>
    <w:rsid w:val="183C0276"/>
    <w:rsid w:val="2E4E3659"/>
    <w:rsid w:val="2FF455D4"/>
    <w:rsid w:val="344021B2"/>
    <w:rsid w:val="350A454B"/>
    <w:rsid w:val="668E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56F6E99B"/>
  <w15:docId w15:val="{F3AD9597-1793-47A2-82A2-40149C94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index 6" w:qFormat="1"/>
    <w:lsdException w:name="toc 3" w:qFormat="1"/>
    <w:lsdException w:name="toc 7" w:qFormat="1"/>
    <w:lsdException w:name="toc 9" w:qFormat="1"/>
    <w:lsdException w:name="Normal Indent" w:qFormat="1"/>
    <w:lsdException w:name="caption" w:semiHidden="1" w:unhideWhenUsed="1" w:qFormat="1"/>
    <w:lsdException w:name="envelope return" w:qFormat="1"/>
    <w:lsdException w:name="page number" w:qFormat="1"/>
    <w:lsdException w:name="List" w:qFormat="1"/>
    <w:lsdException w:name="List 2" w:qFormat="1"/>
    <w:lsdException w:name="List 5" w:qFormat="1"/>
    <w:lsdException w:name="List Bullet 3" w:qFormat="1"/>
    <w:lsdException w:name="List Bullet 5" w:qFormat="1"/>
    <w:lsdException w:name="Title" w:qFormat="1"/>
    <w:lsdException w:name="Default Paragraph Font" w:semiHidden="1" w:qFormat="1"/>
    <w:lsdException w:name="Message Header"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ite" w:qFormat="1"/>
    <w:lsdException w:name="HTML Sample"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qFormat="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qFormat="1"/>
    <w:lsdException w:name="Table Subtle 2" w:semiHidden="1" w:unhideWhenUsed="1"/>
    <w:lsdException w:name="Table Web 1" w:semiHidden="1" w:unhideWhenUsed="1" w:qFormat="1"/>
    <w:lsdException w:name="Table Web 2" w:semiHidden="1" w:unhideWhenUsed="1" w:qFormat="1"/>
    <w:lsdException w:name="Table Web 3" w:semiHidden="1" w:unhideWhenUsed="1"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1"/>
    <w:lsdException w:name="Colorful Shading" w:uiPriority="7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cs="Times New Roman"/>
      <w:lang w:val="en-US" w:eastAsia="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rPr>
      <w:i/>
      <w:iCs/>
    </w:rPr>
  </w:style>
  <w:style w:type="character" w:styleId="HTMLCite">
    <w:name w:val="HTML Cite"/>
    <w:basedOn w:val="DefaultParagraphFont"/>
    <w:qForma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qFormat/>
    <w:pPr>
      <w:numPr>
        <w:numId w:val="3"/>
      </w:numPr>
    </w:pPr>
  </w:style>
  <w:style w:type="paragraph" w:styleId="ListBullet4">
    <w:name w:val="List Bullet 4"/>
    <w:basedOn w:val="Normal"/>
    <w:pPr>
      <w:numPr>
        <w:numId w:val="4"/>
      </w:numPr>
    </w:pPr>
  </w:style>
  <w:style w:type="paragraph" w:styleId="ListBullet5">
    <w:name w:val="List Bullet 5"/>
    <w:basedOn w:val="Normal"/>
    <w:qFormat/>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pPr>
    <w:rPr>
      <w:rFonts w:ascii="Courier New"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qForma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qFormat/>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pyright">
    <w:name w:val="Copyright"/>
    <w:basedOn w:val="Normal"/>
    <w:pPr>
      <w:spacing w:after="960" w:line="200" w:lineRule="exact"/>
    </w:pPr>
    <w:rPr>
      <w:sz w:val="16"/>
    </w:r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Body">
    <w:name w:val="Body"/>
    <w:basedOn w:val="Normal"/>
    <w:qFormat/>
    <w:pPr>
      <w:spacing w:after="240"/>
      <w:jc w:val="both"/>
    </w:pPr>
  </w:style>
  <w:style w:type="character" w:styleId="UnresolvedMention">
    <w:name w:val="Unresolved Mention"/>
    <w:basedOn w:val="DefaultParagraphFont"/>
    <w:uiPriority w:val="99"/>
    <w:semiHidden/>
    <w:unhideWhenUsed/>
    <w:rsid w:val="005C1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6599</Words>
  <Characters>37618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9480M</dc:creator>
  <cp:lastModifiedBy>SDI 1180</cp:lastModifiedBy>
  <cp:revision>6</cp:revision>
  <dcterms:created xsi:type="dcterms:W3CDTF">2025-10-30T22:32:00Z</dcterms:created>
  <dcterms:modified xsi:type="dcterms:W3CDTF">2025-11-05T13:30:00Z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F646E89791C94387B19A9FB479DCE68F_11</vt:lpwstr>
  </property>
  <property fmtid="{D5CDD505-2E9C-101B-9397-08002B2CF9AE}" pid="4" name="GrammarlyDocumentId">
    <vt:lpwstr>2ef40309-ddb4-45b6-b66d-af109675ae3d</vt:lpwstr>
  </property>
</Properties>
</file>