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82C89" w14:textId="77777777" w:rsidR="00E52576" w:rsidRPr="00E52576" w:rsidRDefault="00E52576" w:rsidP="00E52576">
      <w:pPr>
        <w:spacing w:after="0" w:line="240" w:lineRule="auto"/>
        <w:jc w:val="right"/>
        <w:outlineLvl w:val="0"/>
        <w:rPr>
          <w:rFonts w:ascii="Arial" w:eastAsia="Times New Roman" w:hAnsi="Arial" w:cs="Arial"/>
          <w:b/>
          <w:bCs/>
          <w:i/>
          <w:iCs/>
          <w:kern w:val="28"/>
          <w:sz w:val="36"/>
          <w:szCs w:val="20"/>
          <w:u w:val="single"/>
        </w:rPr>
      </w:pPr>
      <w:r w:rsidRPr="00E52576">
        <w:rPr>
          <w:rFonts w:ascii="Arial" w:eastAsia="Times New Roman" w:hAnsi="Arial" w:cs="Arial"/>
          <w:b/>
          <w:bCs/>
          <w:i/>
          <w:iCs/>
          <w:kern w:val="28"/>
          <w:sz w:val="36"/>
          <w:szCs w:val="20"/>
          <w:u w:val="single"/>
        </w:rPr>
        <w:t>Original Research Article</w:t>
      </w:r>
    </w:p>
    <w:p w14:paraId="6948EFE1" w14:textId="77777777" w:rsidR="00E52576" w:rsidRDefault="00E52576" w:rsidP="0048661F">
      <w:pPr>
        <w:spacing w:after="0" w:line="240" w:lineRule="auto"/>
        <w:jc w:val="both"/>
        <w:rPr>
          <w:rFonts w:ascii="Arial" w:hAnsi="Arial" w:cs="Arial"/>
          <w:b/>
          <w:sz w:val="24"/>
          <w:szCs w:val="24"/>
        </w:rPr>
      </w:pPr>
    </w:p>
    <w:p w14:paraId="05D61B69" w14:textId="4B67D450" w:rsidR="008F20A2" w:rsidRPr="005D05B3" w:rsidRDefault="008F20A2" w:rsidP="0048661F">
      <w:pPr>
        <w:spacing w:after="0" w:line="240" w:lineRule="auto"/>
        <w:jc w:val="both"/>
        <w:rPr>
          <w:rFonts w:ascii="Arial" w:hAnsi="Arial" w:cs="Arial"/>
          <w:b/>
          <w:sz w:val="24"/>
          <w:szCs w:val="24"/>
        </w:rPr>
      </w:pPr>
      <w:r w:rsidRPr="005D05B3">
        <w:rPr>
          <w:rFonts w:ascii="Arial" w:hAnsi="Arial" w:cs="Arial"/>
          <w:b/>
          <w:sz w:val="24"/>
          <w:szCs w:val="24"/>
        </w:rPr>
        <w:t>Neck circumference and its relationship with insulin resistance and cardiometabolic factors amongst Nigerian patients with Type 2 Diabetes Mellitus</w:t>
      </w:r>
    </w:p>
    <w:p w14:paraId="7C89AEF3" w14:textId="77777777" w:rsidR="00BA3DEC" w:rsidRPr="005D05B3" w:rsidRDefault="00BA3DEC" w:rsidP="00EE49ED">
      <w:pPr>
        <w:spacing w:after="0" w:line="480" w:lineRule="auto"/>
        <w:jc w:val="both"/>
        <w:rPr>
          <w:rFonts w:ascii="Arial" w:hAnsi="Arial" w:cs="Arial"/>
          <w:sz w:val="24"/>
          <w:szCs w:val="24"/>
        </w:rPr>
      </w:pPr>
    </w:p>
    <w:p w14:paraId="5EA56617" w14:textId="77777777" w:rsidR="009A202D" w:rsidRDefault="00624EE2" w:rsidP="009A202D">
      <w:pPr>
        <w:spacing w:line="480" w:lineRule="auto"/>
        <w:rPr>
          <w:rFonts w:ascii="Arial" w:eastAsia="Calibri" w:hAnsi="Arial" w:cs="Arial"/>
          <w:b/>
        </w:rPr>
      </w:pPr>
      <w:r w:rsidRPr="005D05B3">
        <w:rPr>
          <w:rFonts w:ascii="Arial" w:eastAsia="Calibri" w:hAnsi="Arial" w:cs="Arial"/>
          <w:b/>
        </w:rPr>
        <w:t>ABSTRACT</w:t>
      </w:r>
    </w:p>
    <w:p w14:paraId="5658667B" w14:textId="54B9118C" w:rsidR="00EE098D" w:rsidRPr="00677ACD" w:rsidRDefault="00EE098D" w:rsidP="00425A75">
      <w:pPr>
        <w:spacing w:line="240" w:lineRule="auto"/>
        <w:rPr>
          <w:rFonts w:ascii="Arial" w:eastAsia="Calibri" w:hAnsi="Arial" w:cs="Arial"/>
          <w:b/>
        </w:rPr>
      </w:pPr>
      <w:r w:rsidRPr="005D05B3">
        <w:rPr>
          <w:rFonts w:ascii="Arial" w:eastAsia="Calibri" w:hAnsi="Arial" w:cs="Arial"/>
          <w:b/>
          <w:bCs/>
          <w:sz w:val="20"/>
          <w:szCs w:val="20"/>
        </w:rPr>
        <w:t>Background</w:t>
      </w:r>
      <w:r w:rsidR="00824677">
        <w:rPr>
          <w:rFonts w:ascii="Arial" w:eastAsia="Calibri" w:hAnsi="Arial" w:cs="Arial"/>
          <w:b/>
          <w:bCs/>
          <w:sz w:val="20"/>
          <w:szCs w:val="20"/>
        </w:rPr>
        <w:t xml:space="preserve"> and aim</w:t>
      </w:r>
      <w:r w:rsidRPr="005D05B3">
        <w:rPr>
          <w:rFonts w:ascii="Arial" w:eastAsia="Calibri" w:hAnsi="Arial" w:cs="Arial"/>
          <w:b/>
          <w:bCs/>
          <w:sz w:val="20"/>
          <w:szCs w:val="20"/>
        </w:rPr>
        <w:t xml:space="preserve">: </w:t>
      </w:r>
      <w:r w:rsidRPr="005D05B3">
        <w:rPr>
          <w:rFonts w:ascii="Arial" w:eastAsia="Calibri" w:hAnsi="Arial" w:cs="Arial"/>
          <w:sz w:val="20"/>
          <w:szCs w:val="20"/>
        </w:rPr>
        <w:t>Neck circumference (NC) has been associated with cardiovascular risk factors</w:t>
      </w:r>
      <w:r w:rsidR="003E217E" w:rsidRPr="005D05B3">
        <w:rPr>
          <w:rFonts w:ascii="Arial" w:hAnsi="Arial" w:cs="Arial"/>
          <w:sz w:val="20"/>
          <w:szCs w:val="20"/>
        </w:rPr>
        <w:t>.</w:t>
      </w:r>
      <w:r w:rsidR="00677ACD">
        <w:rPr>
          <w:rFonts w:ascii="Arial" w:eastAsia="Calibri" w:hAnsi="Arial" w:cs="Arial"/>
          <w:b/>
        </w:rPr>
        <w:t xml:space="preserve"> </w:t>
      </w:r>
      <w:r w:rsidRPr="005D05B3">
        <w:rPr>
          <w:rFonts w:ascii="Arial" w:hAnsi="Arial" w:cs="Arial"/>
          <w:sz w:val="20"/>
          <w:szCs w:val="20"/>
        </w:rPr>
        <w:t>Type 2 diabetes mellitus (T2DM) is a chronic disorder that is driven by insulin resistance. This study aimed to evaluate the relationship between NC and insulin resistance with cardiometabolic factors among persons with T2DM.</w:t>
      </w:r>
    </w:p>
    <w:p w14:paraId="18606643" w14:textId="77777777" w:rsidR="00EE098D" w:rsidRPr="005D05B3" w:rsidRDefault="00EE098D" w:rsidP="00425A75">
      <w:pPr>
        <w:spacing w:line="240" w:lineRule="auto"/>
        <w:jc w:val="both"/>
        <w:rPr>
          <w:rFonts w:ascii="Arial" w:hAnsi="Arial" w:cs="Arial"/>
          <w:sz w:val="20"/>
          <w:szCs w:val="20"/>
        </w:rPr>
      </w:pPr>
      <w:r w:rsidRPr="005D05B3">
        <w:rPr>
          <w:rFonts w:ascii="Arial" w:hAnsi="Arial" w:cs="Arial"/>
          <w:b/>
          <w:bCs/>
          <w:sz w:val="20"/>
          <w:szCs w:val="20"/>
        </w:rPr>
        <w:t>Methods</w:t>
      </w:r>
      <w:r w:rsidRPr="005D05B3">
        <w:rPr>
          <w:rFonts w:ascii="Arial" w:hAnsi="Arial" w:cs="Arial"/>
          <w:sz w:val="20"/>
          <w:szCs w:val="20"/>
        </w:rPr>
        <w:t xml:space="preserve">: </w:t>
      </w:r>
      <w:r w:rsidRPr="005D05B3">
        <w:rPr>
          <w:rFonts w:ascii="Arial" w:hAnsi="Arial" w:cs="Arial"/>
          <w:bCs/>
          <w:sz w:val="20"/>
          <w:szCs w:val="20"/>
        </w:rPr>
        <w:t>The study was a comparative cross-sectional</w:t>
      </w:r>
      <w:r w:rsidRPr="005D05B3">
        <w:rPr>
          <w:rFonts w:ascii="Arial" w:hAnsi="Arial" w:cs="Arial"/>
          <w:sz w:val="20"/>
          <w:szCs w:val="20"/>
        </w:rPr>
        <w:t xml:space="preserve"> study, which included 120 patients with T2DM and 60 healthy controls. Neck circumference of subjects with T2DM and controls was measured. Insulin resistance was determined using the homeostasis model assessment of insulin resistance (HOMA-IR). Data obtained was analyzed with Statistical Package for Social Sciences (SPSS), version 22.</w:t>
      </w:r>
    </w:p>
    <w:p w14:paraId="453FC931" w14:textId="6D419FE2" w:rsidR="00EE098D" w:rsidRPr="005D05B3" w:rsidRDefault="00EE098D" w:rsidP="00425A75">
      <w:pPr>
        <w:spacing w:after="0" w:line="240" w:lineRule="auto"/>
        <w:jc w:val="both"/>
        <w:rPr>
          <w:rFonts w:ascii="Arial" w:hAnsi="Arial" w:cs="Arial"/>
          <w:sz w:val="20"/>
          <w:szCs w:val="20"/>
        </w:rPr>
      </w:pPr>
      <w:r w:rsidRPr="005D05B3">
        <w:rPr>
          <w:rFonts w:ascii="Arial" w:hAnsi="Arial" w:cs="Arial"/>
          <w:b/>
          <w:bCs/>
          <w:sz w:val="20"/>
          <w:szCs w:val="20"/>
        </w:rPr>
        <w:t>Results:</w:t>
      </w:r>
      <w:r w:rsidRPr="005D05B3">
        <w:rPr>
          <w:rFonts w:ascii="Arial" w:hAnsi="Arial" w:cs="Arial"/>
          <w:sz w:val="20"/>
          <w:szCs w:val="20"/>
        </w:rPr>
        <w:t xml:space="preserve"> </w:t>
      </w:r>
      <w:r w:rsidRPr="005D05B3">
        <w:rPr>
          <w:rFonts w:ascii="Arial" w:eastAsia="Calibri" w:hAnsi="Arial" w:cs="Arial"/>
          <w:sz w:val="20"/>
          <w:szCs w:val="20"/>
        </w:rPr>
        <w:t xml:space="preserve">There was no statistical difference in the mean neck circumference of the subjects with T2DM and controls </w:t>
      </w:r>
      <w:r w:rsidRPr="005D05B3">
        <w:rPr>
          <w:rFonts w:ascii="Arial" w:hAnsi="Arial" w:cs="Arial"/>
          <w:sz w:val="20"/>
          <w:szCs w:val="20"/>
        </w:rPr>
        <w:t xml:space="preserve">(34.30 ± 3.09 cm vs 34.81 ± 2.61 cm; </w:t>
      </w:r>
      <w:r w:rsidR="004F491A" w:rsidRPr="004F491A">
        <w:rPr>
          <w:rFonts w:ascii="Arial" w:hAnsi="Arial" w:cs="Arial"/>
          <w:i/>
          <w:iCs/>
          <w:sz w:val="20"/>
          <w:szCs w:val="20"/>
        </w:rPr>
        <w:t>P</w:t>
      </w:r>
      <w:r w:rsidRPr="005D05B3">
        <w:rPr>
          <w:rFonts w:ascii="Arial" w:hAnsi="Arial" w:cs="Arial"/>
          <w:sz w:val="20"/>
          <w:szCs w:val="20"/>
        </w:rPr>
        <w:t>&gt;0.05)</w:t>
      </w:r>
      <w:r w:rsidRPr="005D05B3">
        <w:rPr>
          <w:rFonts w:ascii="Arial" w:eastAsia="Calibri" w:hAnsi="Arial" w:cs="Arial"/>
          <w:sz w:val="20"/>
          <w:szCs w:val="20"/>
        </w:rPr>
        <w:t>. Neck circumference of male subjects with T2DM was higher than their female counterparts and this was statistically significant (</w:t>
      </w:r>
      <w:r w:rsidRPr="005D05B3">
        <w:rPr>
          <w:rFonts w:ascii="Arial" w:hAnsi="Arial" w:cs="Arial"/>
          <w:sz w:val="20"/>
          <w:szCs w:val="20"/>
        </w:rPr>
        <w:t xml:space="preserve">37.46±2.97 cm vs 33.05±2.09 cm; </w:t>
      </w:r>
      <w:r w:rsidR="004F491A" w:rsidRPr="004F491A">
        <w:rPr>
          <w:rFonts w:ascii="Arial" w:hAnsi="Arial" w:cs="Arial"/>
          <w:i/>
          <w:iCs/>
          <w:sz w:val="20"/>
          <w:szCs w:val="20"/>
        </w:rPr>
        <w:t>P</w:t>
      </w:r>
      <w:r w:rsidRPr="005D05B3">
        <w:rPr>
          <w:rFonts w:ascii="Arial" w:hAnsi="Arial" w:cs="Arial"/>
          <w:sz w:val="20"/>
          <w:szCs w:val="20"/>
        </w:rPr>
        <w:t>=0.01</w:t>
      </w:r>
      <w:r w:rsidRPr="005D05B3">
        <w:rPr>
          <w:rFonts w:ascii="Arial" w:eastAsia="Calibri" w:hAnsi="Arial" w:cs="Arial"/>
          <w:sz w:val="20"/>
          <w:szCs w:val="20"/>
        </w:rPr>
        <w:t>)</w:t>
      </w:r>
      <w:r w:rsidRPr="005D05B3">
        <w:rPr>
          <w:rFonts w:ascii="Arial" w:hAnsi="Arial" w:cs="Arial"/>
          <w:sz w:val="20"/>
          <w:szCs w:val="20"/>
        </w:rPr>
        <w:t xml:space="preserve">. Significant correlation was observed between NC and HOMA-IR among controls (rho = 0.34; </w:t>
      </w:r>
      <w:r w:rsidR="004F491A" w:rsidRPr="004F491A">
        <w:rPr>
          <w:rFonts w:ascii="Arial" w:hAnsi="Arial" w:cs="Arial"/>
          <w:i/>
          <w:iCs/>
          <w:sz w:val="20"/>
          <w:szCs w:val="20"/>
        </w:rPr>
        <w:t>P</w:t>
      </w:r>
      <w:r w:rsidRPr="005D05B3">
        <w:rPr>
          <w:rFonts w:ascii="Arial" w:hAnsi="Arial" w:cs="Arial"/>
          <w:sz w:val="20"/>
          <w:szCs w:val="20"/>
        </w:rPr>
        <w:t xml:space="preserve"> = 0.01) but not among patients with T2DM (rho = 0.13; </w:t>
      </w:r>
      <w:r w:rsidR="004F491A" w:rsidRPr="004F491A">
        <w:rPr>
          <w:rFonts w:ascii="Arial" w:hAnsi="Arial" w:cs="Arial"/>
          <w:i/>
          <w:iCs/>
          <w:sz w:val="20"/>
          <w:szCs w:val="20"/>
        </w:rPr>
        <w:t>P</w:t>
      </w:r>
      <w:r w:rsidRPr="005D05B3">
        <w:rPr>
          <w:rFonts w:ascii="Arial" w:hAnsi="Arial" w:cs="Arial"/>
          <w:sz w:val="20"/>
          <w:szCs w:val="20"/>
        </w:rPr>
        <w:t xml:space="preserve">=0.16). There was significant positive correlation between NC and body mass index (rho = 0.30; </w:t>
      </w:r>
      <w:r w:rsidR="004F491A" w:rsidRPr="004F491A">
        <w:rPr>
          <w:rFonts w:ascii="Arial" w:hAnsi="Arial" w:cs="Arial"/>
          <w:i/>
          <w:iCs/>
          <w:sz w:val="20"/>
          <w:szCs w:val="20"/>
        </w:rPr>
        <w:t>P</w:t>
      </w:r>
      <w:r w:rsidRPr="005D05B3">
        <w:rPr>
          <w:rFonts w:ascii="Arial" w:hAnsi="Arial" w:cs="Arial"/>
          <w:sz w:val="20"/>
          <w:szCs w:val="20"/>
        </w:rPr>
        <w:t xml:space="preserve"> = 0.001), waist circumference (rho = 0.48; </w:t>
      </w:r>
      <w:r w:rsidR="004F491A" w:rsidRPr="004F491A">
        <w:rPr>
          <w:rFonts w:ascii="Arial" w:hAnsi="Arial" w:cs="Arial"/>
          <w:i/>
          <w:iCs/>
          <w:sz w:val="20"/>
          <w:szCs w:val="20"/>
        </w:rPr>
        <w:t>P</w:t>
      </w:r>
      <w:r w:rsidRPr="005D05B3">
        <w:rPr>
          <w:rFonts w:ascii="Arial" w:hAnsi="Arial" w:cs="Arial"/>
          <w:sz w:val="20"/>
          <w:szCs w:val="20"/>
        </w:rPr>
        <w:t>&lt;0.001) and waist-hip ratio (rho = 0.26; p = 0.004) amongst patients with T2DM.</w:t>
      </w:r>
      <w:bookmarkStart w:id="0" w:name="_GoBack"/>
      <w:bookmarkEnd w:id="0"/>
    </w:p>
    <w:p w14:paraId="3B164720" w14:textId="77777777" w:rsidR="00EE098D" w:rsidRPr="005D05B3" w:rsidRDefault="00EE098D" w:rsidP="00425A75">
      <w:pPr>
        <w:spacing w:line="240" w:lineRule="auto"/>
        <w:jc w:val="both"/>
        <w:rPr>
          <w:rFonts w:ascii="Arial" w:eastAsia="Calibri" w:hAnsi="Arial" w:cs="Arial"/>
          <w:b/>
          <w:sz w:val="20"/>
          <w:szCs w:val="20"/>
        </w:rPr>
      </w:pPr>
      <w:r w:rsidRPr="005D05B3">
        <w:rPr>
          <w:rFonts w:ascii="Arial" w:eastAsia="Calibri" w:hAnsi="Arial" w:cs="Arial"/>
          <w:b/>
          <w:sz w:val="20"/>
          <w:szCs w:val="20"/>
        </w:rPr>
        <w:t>Conclusion</w:t>
      </w:r>
    </w:p>
    <w:p w14:paraId="60B366CC" w14:textId="77777777" w:rsidR="00EE098D" w:rsidRPr="005D05B3" w:rsidRDefault="00EE098D" w:rsidP="00425A75">
      <w:pPr>
        <w:spacing w:line="240" w:lineRule="auto"/>
        <w:jc w:val="both"/>
        <w:rPr>
          <w:rFonts w:ascii="Arial" w:eastAsia="Calibri" w:hAnsi="Arial" w:cs="Arial"/>
          <w:bCs/>
          <w:sz w:val="20"/>
          <w:szCs w:val="20"/>
        </w:rPr>
      </w:pPr>
      <w:r w:rsidRPr="005D05B3">
        <w:rPr>
          <w:rFonts w:ascii="Arial" w:eastAsia="Calibri" w:hAnsi="Arial" w:cs="Arial"/>
          <w:bCs/>
          <w:sz w:val="20"/>
          <w:szCs w:val="20"/>
        </w:rPr>
        <w:t>Neck circumference was not associated with insulin resistance among subjects with T2DM in this population but maintained positive correlation with some cardiometabolic factors.</w:t>
      </w:r>
    </w:p>
    <w:p w14:paraId="5D7B8795" w14:textId="77777777" w:rsidR="00EE098D" w:rsidRPr="005D05B3" w:rsidRDefault="00EE098D" w:rsidP="000F3C1F">
      <w:pPr>
        <w:spacing w:line="240" w:lineRule="auto"/>
        <w:jc w:val="both"/>
        <w:rPr>
          <w:rFonts w:ascii="Arial" w:eastAsia="Calibri" w:hAnsi="Arial" w:cs="Arial"/>
          <w:bCs/>
          <w:sz w:val="20"/>
          <w:szCs w:val="20"/>
        </w:rPr>
      </w:pPr>
      <w:r w:rsidRPr="005D05B3">
        <w:rPr>
          <w:rFonts w:ascii="Arial" w:eastAsia="Calibri" w:hAnsi="Arial" w:cs="Arial"/>
          <w:b/>
          <w:bCs/>
          <w:sz w:val="20"/>
          <w:szCs w:val="20"/>
        </w:rPr>
        <w:t>Keywords:</w:t>
      </w:r>
      <w:r w:rsidRPr="005D05B3">
        <w:rPr>
          <w:rFonts w:ascii="Arial" w:eastAsia="Calibri" w:hAnsi="Arial" w:cs="Arial"/>
          <w:bCs/>
          <w:sz w:val="20"/>
          <w:szCs w:val="20"/>
        </w:rPr>
        <w:t xml:space="preserve"> </w:t>
      </w:r>
      <w:r w:rsidRPr="005D05B3">
        <w:rPr>
          <w:rFonts w:ascii="Arial" w:eastAsia="Calibri" w:hAnsi="Arial" w:cs="Arial"/>
          <w:bCs/>
          <w:i/>
          <w:iCs/>
          <w:sz w:val="20"/>
          <w:szCs w:val="20"/>
        </w:rPr>
        <w:t>Neck circumference, Type 2 diabetes mellitus, insulin resistance, HOMA-IR</w:t>
      </w:r>
      <w:r w:rsidRPr="005D05B3">
        <w:rPr>
          <w:rFonts w:ascii="Arial" w:eastAsia="Calibri" w:hAnsi="Arial" w:cs="Arial"/>
          <w:bCs/>
          <w:sz w:val="20"/>
          <w:szCs w:val="20"/>
        </w:rPr>
        <w:t>.</w:t>
      </w:r>
    </w:p>
    <w:p w14:paraId="0D7AD8ED" w14:textId="77777777" w:rsidR="00624EE2" w:rsidRDefault="00624EE2" w:rsidP="00EE098D">
      <w:pPr>
        <w:spacing w:line="480" w:lineRule="auto"/>
        <w:jc w:val="both"/>
        <w:rPr>
          <w:rFonts w:ascii="Arial" w:eastAsia="Calibri" w:hAnsi="Arial" w:cs="Arial"/>
          <w:b/>
          <w:sz w:val="24"/>
          <w:szCs w:val="24"/>
        </w:rPr>
      </w:pPr>
    </w:p>
    <w:p w14:paraId="12028428" w14:textId="77777777" w:rsidR="00134763" w:rsidRDefault="00134763" w:rsidP="00EE098D">
      <w:pPr>
        <w:spacing w:line="480" w:lineRule="auto"/>
        <w:jc w:val="both"/>
        <w:rPr>
          <w:rFonts w:ascii="Arial" w:eastAsia="Calibri" w:hAnsi="Arial" w:cs="Arial"/>
          <w:b/>
          <w:sz w:val="24"/>
          <w:szCs w:val="24"/>
        </w:rPr>
      </w:pPr>
    </w:p>
    <w:p w14:paraId="351E5077" w14:textId="77777777" w:rsidR="00134763" w:rsidRDefault="00134763" w:rsidP="00EE098D">
      <w:pPr>
        <w:spacing w:line="480" w:lineRule="auto"/>
        <w:jc w:val="both"/>
        <w:rPr>
          <w:rFonts w:ascii="Arial" w:eastAsia="Calibri" w:hAnsi="Arial" w:cs="Arial"/>
          <w:b/>
          <w:sz w:val="24"/>
          <w:szCs w:val="24"/>
        </w:rPr>
      </w:pPr>
    </w:p>
    <w:p w14:paraId="47CFB570" w14:textId="77777777" w:rsidR="00134763" w:rsidRDefault="00134763" w:rsidP="00EE098D">
      <w:pPr>
        <w:spacing w:line="480" w:lineRule="auto"/>
        <w:jc w:val="both"/>
        <w:rPr>
          <w:rFonts w:ascii="Arial" w:eastAsia="Calibri" w:hAnsi="Arial" w:cs="Arial"/>
          <w:b/>
          <w:sz w:val="24"/>
          <w:szCs w:val="24"/>
        </w:rPr>
      </w:pPr>
    </w:p>
    <w:p w14:paraId="1F8790A6" w14:textId="77777777" w:rsidR="00134763" w:rsidRDefault="00134763" w:rsidP="00EE098D">
      <w:pPr>
        <w:spacing w:line="480" w:lineRule="auto"/>
        <w:jc w:val="both"/>
        <w:rPr>
          <w:rFonts w:ascii="Arial" w:eastAsia="Calibri" w:hAnsi="Arial" w:cs="Arial"/>
          <w:b/>
          <w:sz w:val="24"/>
          <w:szCs w:val="24"/>
        </w:rPr>
      </w:pPr>
    </w:p>
    <w:p w14:paraId="569650F6" w14:textId="77777777" w:rsidR="00134763" w:rsidRDefault="00134763" w:rsidP="00EE098D">
      <w:pPr>
        <w:spacing w:line="480" w:lineRule="auto"/>
        <w:jc w:val="both"/>
        <w:rPr>
          <w:rFonts w:ascii="Arial" w:eastAsia="Calibri" w:hAnsi="Arial" w:cs="Arial"/>
          <w:b/>
          <w:sz w:val="24"/>
          <w:szCs w:val="24"/>
        </w:rPr>
      </w:pPr>
    </w:p>
    <w:p w14:paraId="014F1A58" w14:textId="77777777" w:rsidR="00134763" w:rsidRDefault="00134763" w:rsidP="00EE098D">
      <w:pPr>
        <w:spacing w:line="480" w:lineRule="auto"/>
        <w:jc w:val="both"/>
        <w:rPr>
          <w:rFonts w:ascii="Arial" w:eastAsia="Calibri" w:hAnsi="Arial" w:cs="Arial"/>
          <w:b/>
          <w:sz w:val="24"/>
          <w:szCs w:val="24"/>
        </w:rPr>
      </w:pPr>
    </w:p>
    <w:p w14:paraId="203F742C" w14:textId="77777777" w:rsidR="00134763" w:rsidRDefault="00134763" w:rsidP="00EE098D">
      <w:pPr>
        <w:spacing w:line="480" w:lineRule="auto"/>
        <w:jc w:val="both"/>
        <w:rPr>
          <w:rFonts w:ascii="Arial" w:eastAsia="Calibri" w:hAnsi="Arial" w:cs="Arial"/>
          <w:b/>
          <w:sz w:val="24"/>
          <w:szCs w:val="24"/>
        </w:rPr>
      </w:pPr>
    </w:p>
    <w:p w14:paraId="09000245" w14:textId="77777777" w:rsidR="00134763" w:rsidRDefault="00134763" w:rsidP="00EE098D">
      <w:pPr>
        <w:spacing w:line="480" w:lineRule="auto"/>
        <w:jc w:val="both"/>
        <w:rPr>
          <w:rFonts w:ascii="Arial" w:eastAsia="Calibri" w:hAnsi="Arial" w:cs="Arial"/>
          <w:b/>
          <w:sz w:val="24"/>
          <w:szCs w:val="24"/>
        </w:rPr>
      </w:pPr>
    </w:p>
    <w:p w14:paraId="6ED0F628" w14:textId="77777777" w:rsidR="00134763" w:rsidRDefault="00134763" w:rsidP="00EE098D">
      <w:pPr>
        <w:spacing w:line="480" w:lineRule="auto"/>
        <w:jc w:val="both"/>
        <w:rPr>
          <w:rFonts w:ascii="Arial" w:eastAsia="Calibri" w:hAnsi="Arial" w:cs="Arial"/>
          <w:b/>
          <w:sz w:val="24"/>
          <w:szCs w:val="24"/>
        </w:rPr>
      </w:pPr>
    </w:p>
    <w:p w14:paraId="03EB17CB" w14:textId="77777777" w:rsidR="00134763" w:rsidRPr="005250BD" w:rsidRDefault="00134763" w:rsidP="005250BD">
      <w:pPr>
        <w:spacing w:line="480" w:lineRule="auto"/>
        <w:rPr>
          <w:rFonts w:ascii="Arial" w:eastAsia="Calibri" w:hAnsi="Arial" w:cs="Arial"/>
          <w:b/>
        </w:rPr>
      </w:pPr>
    </w:p>
    <w:p w14:paraId="7A4EC1F3" w14:textId="427D5137" w:rsidR="00607D14" w:rsidRPr="00144F9A" w:rsidRDefault="002D2507" w:rsidP="00ED23BF">
      <w:pPr>
        <w:pStyle w:val="ListParagraph"/>
        <w:numPr>
          <w:ilvl w:val="0"/>
          <w:numId w:val="4"/>
        </w:numPr>
        <w:spacing w:line="480" w:lineRule="auto"/>
        <w:ind w:left="357" w:hanging="357"/>
        <w:rPr>
          <w:rFonts w:ascii="Arial" w:eastAsia="Calibri" w:hAnsi="Arial" w:cs="Arial"/>
          <w:b/>
          <w:sz w:val="22"/>
          <w:szCs w:val="22"/>
        </w:rPr>
      </w:pPr>
      <w:r w:rsidRPr="00144F9A">
        <w:rPr>
          <w:rFonts w:ascii="Arial" w:eastAsia="Calibri" w:hAnsi="Arial" w:cs="Arial"/>
          <w:b/>
          <w:sz w:val="22"/>
          <w:szCs w:val="22"/>
        </w:rPr>
        <w:t>I</w:t>
      </w:r>
      <w:r w:rsidR="00702088" w:rsidRPr="00144F9A">
        <w:rPr>
          <w:rFonts w:ascii="Arial" w:eastAsia="Calibri" w:hAnsi="Arial" w:cs="Arial"/>
          <w:b/>
          <w:sz w:val="22"/>
          <w:szCs w:val="22"/>
        </w:rPr>
        <w:t>NTRODUCTION</w:t>
      </w:r>
    </w:p>
    <w:p w14:paraId="1A8A0ACA" w14:textId="0C49F049" w:rsidR="00702088" w:rsidRPr="00E11EC2" w:rsidRDefault="00F16B1A" w:rsidP="00EE098D">
      <w:pPr>
        <w:spacing w:line="480" w:lineRule="auto"/>
        <w:jc w:val="both"/>
        <w:rPr>
          <w:rFonts w:ascii="Arial" w:eastAsia="Calibri" w:hAnsi="Arial" w:cs="Arial"/>
          <w:bCs/>
          <w:sz w:val="20"/>
          <w:szCs w:val="20"/>
        </w:rPr>
      </w:pPr>
      <w:r w:rsidRPr="00E11EC2">
        <w:rPr>
          <w:rFonts w:ascii="Arial" w:eastAsia="Calibri" w:hAnsi="Arial" w:cs="Arial"/>
          <w:bCs/>
          <w:sz w:val="20"/>
          <w:szCs w:val="20"/>
        </w:rPr>
        <w:t xml:space="preserve">Different </w:t>
      </w:r>
      <w:r w:rsidR="00936B65" w:rsidRPr="00E11EC2">
        <w:rPr>
          <w:rFonts w:ascii="Arial" w:eastAsia="Calibri" w:hAnsi="Arial" w:cs="Arial"/>
          <w:bCs/>
          <w:sz w:val="20"/>
          <w:szCs w:val="20"/>
        </w:rPr>
        <w:t>anthropometric</w:t>
      </w:r>
      <w:r w:rsidR="00DD054E" w:rsidRPr="00E11EC2">
        <w:rPr>
          <w:rFonts w:ascii="Arial" w:eastAsia="Calibri" w:hAnsi="Arial" w:cs="Arial"/>
          <w:bCs/>
          <w:sz w:val="20"/>
          <w:szCs w:val="20"/>
        </w:rPr>
        <w:t xml:space="preserve"> measures have been employed in </w:t>
      </w:r>
      <w:r w:rsidR="005723CC" w:rsidRPr="00E11EC2">
        <w:rPr>
          <w:rFonts w:ascii="Arial" w:eastAsia="Calibri" w:hAnsi="Arial" w:cs="Arial"/>
          <w:bCs/>
          <w:sz w:val="20"/>
          <w:szCs w:val="20"/>
        </w:rPr>
        <w:t xml:space="preserve">medical </w:t>
      </w:r>
      <w:r w:rsidR="00D04CB0" w:rsidRPr="00E11EC2">
        <w:rPr>
          <w:rFonts w:ascii="Arial" w:eastAsia="Calibri" w:hAnsi="Arial" w:cs="Arial"/>
          <w:bCs/>
          <w:sz w:val="20"/>
          <w:szCs w:val="20"/>
        </w:rPr>
        <w:t>practice</w:t>
      </w:r>
      <w:r w:rsidR="005723CC" w:rsidRPr="00E11EC2">
        <w:rPr>
          <w:rFonts w:ascii="Arial" w:eastAsia="Calibri" w:hAnsi="Arial" w:cs="Arial"/>
          <w:bCs/>
          <w:sz w:val="20"/>
          <w:szCs w:val="20"/>
        </w:rPr>
        <w:t xml:space="preserve"> over the years</w:t>
      </w:r>
      <w:r w:rsidR="0073148B" w:rsidRPr="00E11EC2">
        <w:rPr>
          <w:rFonts w:ascii="Arial" w:eastAsia="Calibri" w:hAnsi="Arial" w:cs="Arial"/>
          <w:bCs/>
          <w:sz w:val="20"/>
          <w:szCs w:val="20"/>
        </w:rPr>
        <w:t xml:space="preserve"> and in recent </w:t>
      </w:r>
      <w:r w:rsidR="003C3D1C" w:rsidRPr="00E11EC2">
        <w:rPr>
          <w:rFonts w:ascii="Arial" w:eastAsia="Calibri" w:hAnsi="Arial" w:cs="Arial"/>
          <w:bCs/>
          <w:sz w:val="20"/>
          <w:szCs w:val="20"/>
        </w:rPr>
        <w:t>times</w:t>
      </w:r>
      <w:r w:rsidR="0073148B" w:rsidRPr="00E11EC2">
        <w:rPr>
          <w:rFonts w:ascii="Arial" w:eastAsia="Calibri" w:hAnsi="Arial" w:cs="Arial"/>
          <w:bCs/>
          <w:sz w:val="20"/>
          <w:szCs w:val="20"/>
        </w:rPr>
        <w:t xml:space="preserve">, measurement </w:t>
      </w:r>
      <w:r w:rsidR="00E13D7E" w:rsidRPr="00E11EC2">
        <w:rPr>
          <w:rFonts w:ascii="Arial" w:eastAsia="Calibri" w:hAnsi="Arial" w:cs="Arial"/>
          <w:bCs/>
          <w:sz w:val="20"/>
          <w:szCs w:val="20"/>
        </w:rPr>
        <w:t xml:space="preserve">of upper </w:t>
      </w:r>
      <w:r w:rsidR="004479D6" w:rsidRPr="00E11EC2">
        <w:rPr>
          <w:rFonts w:ascii="Arial" w:eastAsia="Calibri" w:hAnsi="Arial" w:cs="Arial"/>
          <w:bCs/>
          <w:sz w:val="20"/>
          <w:szCs w:val="20"/>
        </w:rPr>
        <w:t xml:space="preserve">body </w:t>
      </w:r>
      <w:r w:rsidR="00E13D7E" w:rsidRPr="00E11EC2">
        <w:rPr>
          <w:rFonts w:ascii="Arial" w:eastAsia="Calibri" w:hAnsi="Arial" w:cs="Arial"/>
          <w:bCs/>
          <w:sz w:val="20"/>
          <w:szCs w:val="20"/>
        </w:rPr>
        <w:t xml:space="preserve">subcutaneous fat </w:t>
      </w:r>
      <w:r w:rsidR="0073148B" w:rsidRPr="00E11EC2">
        <w:rPr>
          <w:rFonts w:ascii="Arial" w:eastAsia="Calibri" w:hAnsi="Arial" w:cs="Arial"/>
          <w:bCs/>
          <w:sz w:val="20"/>
          <w:szCs w:val="20"/>
        </w:rPr>
        <w:t>such as neck circumference</w:t>
      </w:r>
      <w:r w:rsidR="00E10BEA" w:rsidRPr="00E11EC2">
        <w:rPr>
          <w:rFonts w:ascii="Arial" w:eastAsia="Calibri" w:hAnsi="Arial" w:cs="Arial"/>
          <w:bCs/>
          <w:sz w:val="20"/>
          <w:szCs w:val="20"/>
        </w:rPr>
        <w:t xml:space="preserve"> (</w:t>
      </w:r>
      <w:r w:rsidR="003965E2" w:rsidRPr="00E11EC2">
        <w:rPr>
          <w:rFonts w:ascii="Arial" w:eastAsia="Calibri" w:hAnsi="Arial" w:cs="Arial"/>
          <w:bCs/>
          <w:sz w:val="20"/>
          <w:szCs w:val="20"/>
        </w:rPr>
        <w:t>NC)</w:t>
      </w:r>
      <w:r w:rsidR="0073148B" w:rsidRPr="00E11EC2">
        <w:rPr>
          <w:rFonts w:ascii="Arial" w:eastAsia="Calibri" w:hAnsi="Arial" w:cs="Arial"/>
          <w:bCs/>
          <w:sz w:val="20"/>
          <w:szCs w:val="20"/>
        </w:rPr>
        <w:t xml:space="preserve"> has found </w:t>
      </w:r>
      <w:r w:rsidR="00660A9F" w:rsidRPr="00E11EC2">
        <w:rPr>
          <w:rFonts w:ascii="Arial" w:eastAsia="Calibri" w:hAnsi="Arial" w:cs="Arial"/>
          <w:bCs/>
          <w:sz w:val="20"/>
          <w:szCs w:val="20"/>
        </w:rPr>
        <w:t>a</w:t>
      </w:r>
      <w:r w:rsidR="0073148B" w:rsidRPr="00E11EC2">
        <w:rPr>
          <w:rFonts w:ascii="Arial" w:eastAsia="Calibri" w:hAnsi="Arial" w:cs="Arial"/>
          <w:bCs/>
          <w:sz w:val="20"/>
          <w:szCs w:val="20"/>
        </w:rPr>
        <w:t xml:space="preserve"> place </w:t>
      </w:r>
      <w:r w:rsidR="00AD5442" w:rsidRPr="00E11EC2">
        <w:rPr>
          <w:rFonts w:ascii="Arial" w:eastAsia="Calibri" w:hAnsi="Arial" w:cs="Arial"/>
          <w:bCs/>
          <w:sz w:val="20"/>
          <w:szCs w:val="20"/>
        </w:rPr>
        <w:t>in the sphere of medical evaluation</w:t>
      </w:r>
      <w:r w:rsidR="002408AA" w:rsidRPr="00E11EC2">
        <w:rPr>
          <w:rFonts w:ascii="Arial" w:eastAsia="Calibri" w:hAnsi="Arial" w:cs="Arial"/>
          <w:bCs/>
          <w:sz w:val="20"/>
          <w:szCs w:val="20"/>
        </w:rPr>
        <w:t xml:space="preserve"> (</w:t>
      </w:r>
      <w:r w:rsidR="00666BC1" w:rsidRPr="00E11EC2">
        <w:rPr>
          <w:rFonts w:ascii="Arial" w:hAnsi="Arial" w:cs="Arial"/>
          <w:sz w:val="20"/>
          <w:szCs w:val="20"/>
        </w:rPr>
        <w:t>Vazquez</w:t>
      </w:r>
      <w:r w:rsidR="00F84C94" w:rsidRPr="00E11EC2">
        <w:rPr>
          <w:rFonts w:ascii="Arial" w:hAnsi="Arial" w:cs="Arial"/>
          <w:sz w:val="20"/>
          <w:szCs w:val="20"/>
        </w:rPr>
        <w:t xml:space="preserve"> et al</w:t>
      </w:r>
      <w:r w:rsidR="00666BC1" w:rsidRPr="00E11EC2">
        <w:rPr>
          <w:rFonts w:ascii="Arial" w:hAnsi="Arial" w:cs="Arial"/>
          <w:sz w:val="20"/>
          <w:szCs w:val="20"/>
        </w:rPr>
        <w:t>.</w:t>
      </w:r>
      <w:r w:rsidR="002408AA" w:rsidRPr="00E11EC2">
        <w:rPr>
          <w:rFonts w:ascii="Arial" w:hAnsi="Arial" w:cs="Arial"/>
          <w:sz w:val="20"/>
          <w:szCs w:val="20"/>
        </w:rPr>
        <w:t>,</w:t>
      </w:r>
      <w:r w:rsidR="00026032" w:rsidRPr="00E11EC2">
        <w:rPr>
          <w:rFonts w:ascii="Arial" w:hAnsi="Arial" w:cs="Arial"/>
          <w:sz w:val="20"/>
          <w:szCs w:val="20"/>
        </w:rPr>
        <w:t xml:space="preserve"> 2007</w:t>
      </w:r>
      <w:r w:rsidR="002408AA" w:rsidRPr="00E11EC2">
        <w:rPr>
          <w:rFonts w:ascii="Arial" w:hAnsi="Arial" w:cs="Arial"/>
          <w:sz w:val="20"/>
          <w:szCs w:val="20"/>
        </w:rPr>
        <w:t>).</w:t>
      </w:r>
      <w:r w:rsidR="00666BC1" w:rsidRPr="00E11EC2">
        <w:rPr>
          <w:rFonts w:ascii="Arial" w:eastAsia="Calibri" w:hAnsi="Arial" w:cs="Arial"/>
          <w:bCs/>
          <w:sz w:val="20"/>
          <w:szCs w:val="20"/>
        </w:rPr>
        <w:t xml:space="preserve">  </w:t>
      </w:r>
      <w:r w:rsidR="00D576F6" w:rsidRPr="00E11EC2">
        <w:rPr>
          <w:rFonts w:ascii="Arial" w:eastAsia="Calibri" w:hAnsi="Arial" w:cs="Arial"/>
          <w:bCs/>
          <w:sz w:val="20"/>
          <w:szCs w:val="20"/>
        </w:rPr>
        <w:t xml:space="preserve">The rising </w:t>
      </w:r>
      <w:r w:rsidR="008A7F4C" w:rsidRPr="00E11EC2">
        <w:rPr>
          <w:rFonts w:ascii="Arial" w:eastAsia="Calibri" w:hAnsi="Arial" w:cs="Arial"/>
          <w:bCs/>
          <w:sz w:val="20"/>
          <w:szCs w:val="20"/>
        </w:rPr>
        <w:t xml:space="preserve">prevalence of diabetes mellitus is </w:t>
      </w:r>
      <w:r w:rsidR="002D3A7E" w:rsidRPr="00E11EC2">
        <w:rPr>
          <w:rFonts w:ascii="Arial" w:eastAsia="Calibri" w:hAnsi="Arial" w:cs="Arial"/>
          <w:bCs/>
          <w:sz w:val="20"/>
          <w:szCs w:val="20"/>
        </w:rPr>
        <w:t xml:space="preserve">a concern that </w:t>
      </w:r>
      <w:r w:rsidR="00920B90" w:rsidRPr="00E11EC2">
        <w:rPr>
          <w:rFonts w:ascii="Arial" w:eastAsia="Calibri" w:hAnsi="Arial" w:cs="Arial"/>
          <w:bCs/>
          <w:sz w:val="20"/>
          <w:szCs w:val="20"/>
        </w:rPr>
        <w:t xml:space="preserve">continues to </w:t>
      </w:r>
      <w:r w:rsidR="00B014F9" w:rsidRPr="00E11EC2">
        <w:rPr>
          <w:rFonts w:ascii="Arial" w:eastAsia="Calibri" w:hAnsi="Arial" w:cs="Arial"/>
          <w:bCs/>
          <w:sz w:val="20"/>
          <w:szCs w:val="20"/>
        </w:rPr>
        <w:t>stimulate</w:t>
      </w:r>
      <w:r w:rsidR="00920B90" w:rsidRPr="00E11EC2">
        <w:rPr>
          <w:rFonts w:ascii="Arial" w:eastAsia="Calibri" w:hAnsi="Arial" w:cs="Arial"/>
          <w:bCs/>
          <w:sz w:val="20"/>
          <w:szCs w:val="20"/>
        </w:rPr>
        <w:t xml:space="preserve"> </w:t>
      </w:r>
      <w:r w:rsidR="00591B7A" w:rsidRPr="00E11EC2">
        <w:rPr>
          <w:rFonts w:ascii="Arial" w:eastAsia="Calibri" w:hAnsi="Arial" w:cs="Arial"/>
          <w:bCs/>
          <w:sz w:val="20"/>
          <w:szCs w:val="20"/>
        </w:rPr>
        <w:t>continued research into this chronic, heterogenous disease</w:t>
      </w:r>
      <w:r w:rsidR="006373AF" w:rsidRPr="00E11EC2">
        <w:rPr>
          <w:rFonts w:ascii="Arial" w:eastAsia="Calibri" w:hAnsi="Arial" w:cs="Arial"/>
          <w:bCs/>
          <w:sz w:val="20"/>
          <w:szCs w:val="20"/>
        </w:rPr>
        <w:t xml:space="preserve"> and currently, </w:t>
      </w:r>
      <w:r w:rsidR="00C62747" w:rsidRPr="00E11EC2">
        <w:rPr>
          <w:rFonts w:ascii="Arial" w:eastAsia="Calibri" w:hAnsi="Arial" w:cs="Arial"/>
          <w:bCs/>
          <w:sz w:val="20"/>
          <w:szCs w:val="20"/>
        </w:rPr>
        <w:t>more than half a billion people live with diabetes worldwide</w:t>
      </w:r>
      <w:r w:rsidR="00C72B2C" w:rsidRPr="00E11EC2">
        <w:rPr>
          <w:rFonts w:ascii="Arial" w:eastAsia="Calibri" w:hAnsi="Arial" w:cs="Arial"/>
          <w:bCs/>
          <w:sz w:val="20"/>
          <w:szCs w:val="20"/>
        </w:rPr>
        <w:t xml:space="preserve"> </w:t>
      </w:r>
      <w:r w:rsidR="00BB3ECD" w:rsidRPr="00E11EC2">
        <w:rPr>
          <w:rFonts w:ascii="Arial" w:eastAsia="Calibri" w:hAnsi="Arial" w:cs="Arial"/>
          <w:bCs/>
          <w:sz w:val="20"/>
          <w:szCs w:val="20"/>
        </w:rPr>
        <w:t>(</w:t>
      </w:r>
      <w:bookmarkStart w:id="1" w:name="_Hlk214393589"/>
      <w:r w:rsidR="00BB3ECD" w:rsidRPr="00E11EC2">
        <w:rPr>
          <w:rFonts w:ascii="Arial" w:eastAsia="Calibri" w:hAnsi="Arial" w:cs="Arial"/>
          <w:sz w:val="20"/>
          <w:szCs w:val="20"/>
        </w:rPr>
        <w:t>International Diabetes Federation. IDF Diabetes Atlas, 2025</w:t>
      </w:r>
      <w:bookmarkEnd w:id="1"/>
      <w:r w:rsidR="00BB3ECD" w:rsidRPr="00E11EC2">
        <w:rPr>
          <w:rFonts w:ascii="Arial" w:eastAsia="Calibri" w:hAnsi="Arial" w:cs="Arial"/>
          <w:sz w:val="20"/>
          <w:szCs w:val="20"/>
        </w:rPr>
        <w:t>)</w:t>
      </w:r>
      <w:r w:rsidR="00C72B2C" w:rsidRPr="00E11EC2">
        <w:rPr>
          <w:rFonts w:ascii="Arial" w:eastAsia="Calibri" w:hAnsi="Arial" w:cs="Arial"/>
          <w:bCs/>
          <w:sz w:val="20"/>
          <w:szCs w:val="20"/>
        </w:rPr>
        <w:t>.</w:t>
      </w:r>
      <w:r w:rsidR="00BB3ECD" w:rsidRPr="00E11EC2">
        <w:rPr>
          <w:rFonts w:ascii="Arial" w:eastAsia="Calibri" w:hAnsi="Arial" w:cs="Arial"/>
          <w:bCs/>
          <w:sz w:val="20"/>
          <w:szCs w:val="20"/>
        </w:rPr>
        <w:t xml:space="preserve"> </w:t>
      </w:r>
      <w:r w:rsidR="0047297C" w:rsidRPr="00E11EC2">
        <w:rPr>
          <w:rFonts w:ascii="Arial" w:eastAsia="Calibri" w:hAnsi="Arial" w:cs="Arial"/>
          <w:bCs/>
          <w:sz w:val="20"/>
          <w:szCs w:val="20"/>
        </w:rPr>
        <w:t>Most adults with diabetes have type 2</w:t>
      </w:r>
      <w:r w:rsidR="00C96E88" w:rsidRPr="00E11EC2">
        <w:rPr>
          <w:rFonts w:ascii="Arial" w:eastAsia="Calibri" w:hAnsi="Arial" w:cs="Arial"/>
          <w:bCs/>
          <w:sz w:val="20"/>
          <w:szCs w:val="20"/>
        </w:rPr>
        <w:t xml:space="preserve"> diabetes and o</w:t>
      </w:r>
      <w:r w:rsidR="009E0A0D" w:rsidRPr="00E11EC2">
        <w:rPr>
          <w:rFonts w:ascii="Arial" w:eastAsia="Calibri" w:hAnsi="Arial" w:cs="Arial"/>
          <w:bCs/>
          <w:sz w:val="20"/>
          <w:szCs w:val="20"/>
        </w:rPr>
        <w:t xml:space="preserve">ne of the </w:t>
      </w:r>
      <w:r w:rsidR="00AF1315" w:rsidRPr="00E11EC2">
        <w:rPr>
          <w:rFonts w:ascii="Arial" w:eastAsia="Calibri" w:hAnsi="Arial" w:cs="Arial"/>
          <w:bCs/>
          <w:sz w:val="20"/>
          <w:szCs w:val="20"/>
        </w:rPr>
        <w:t xml:space="preserve">major </w:t>
      </w:r>
      <w:r w:rsidR="009E0A0D" w:rsidRPr="00E11EC2">
        <w:rPr>
          <w:rFonts w:ascii="Arial" w:eastAsia="Calibri" w:hAnsi="Arial" w:cs="Arial"/>
          <w:bCs/>
          <w:sz w:val="20"/>
          <w:szCs w:val="20"/>
        </w:rPr>
        <w:t xml:space="preserve">underlying </w:t>
      </w:r>
      <w:r w:rsidR="00AF1315" w:rsidRPr="00E11EC2">
        <w:rPr>
          <w:rFonts w:ascii="Arial" w:eastAsia="Calibri" w:hAnsi="Arial" w:cs="Arial"/>
          <w:bCs/>
          <w:sz w:val="20"/>
          <w:szCs w:val="20"/>
        </w:rPr>
        <w:t>mechanisms</w:t>
      </w:r>
      <w:r w:rsidR="00C96E88" w:rsidRPr="00E11EC2">
        <w:rPr>
          <w:rFonts w:ascii="Arial" w:eastAsia="Calibri" w:hAnsi="Arial" w:cs="Arial"/>
          <w:bCs/>
          <w:sz w:val="20"/>
          <w:szCs w:val="20"/>
        </w:rPr>
        <w:t xml:space="preserve"> for this type of diabetes i</w:t>
      </w:r>
      <w:r w:rsidR="005B1A32" w:rsidRPr="00E11EC2">
        <w:rPr>
          <w:rFonts w:ascii="Arial" w:eastAsia="Calibri" w:hAnsi="Arial" w:cs="Arial"/>
          <w:bCs/>
          <w:sz w:val="20"/>
          <w:szCs w:val="20"/>
        </w:rPr>
        <w:t>s</w:t>
      </w:r>
      <w:r w:rsidR="00C96E88" w:rsidRPr="00E11EC2">
        <w:rPr>
          <w:rFonts w:ascii="Arial" w:eastAsia="Calibri" w:hAnsi="Arial" w:cs="Arial"/>
          <w:bCs/>
          <w:sz w:val="20"/>
          <w:szCs w:val="20"/>
        </w:rPr>
        <w:t xml:space="preserve"> insulin resistance</w:t>
      </w:r>
      <w:r w:rsidR="00605B9B" w:rsidRPr="00E11EC2">
        <w:rPr>
          <w:rFonts w:ascii="Arial" w:eastAsia="Calibri" w:hAnsi="Arial" w:cs="Arial"/>
          <w:bCs/>
          <w:sz w:val="20"/>
          <w:szCs w:val="20"/>
        </w:rPr>
        <w:t xml:space="preserve"> </w:t>
      </w:r>
      <w:r w:rsidR="000E403A" w:rsidRPr="00E11EC2">
        <w:rPr>
          <w:rFonts w:ascii="Arial" w:eastAsia="Calibri" w:hAnsi="Arial" w:cs="Arial"/>
          <w:bCs/>
          <w:sz w:val="20"/>
          <w:szCs w:val="20"/>
        </w:rPr>
        <w:t>(</w:t>
      </w:r>
      <w:bookmarkStart w:id="2" w:name="_Hlk214397873"/>
      <w:r w:rsidR="000E403A" w:rsidRPr="00E11EC2">
        <w:rPr>
          <w:rFonts w:ascii="Arial" w:eastAsia="Calibri" w:hAnsi="Arial" w:cs="Arial"/>
          <w:sz w:val="20"/>
          <w:szCs w:val="20"/>
        </w:rPr>
        <w:t>International Diabetes Federation. IDF Diabetes Atlas, 2025</w:t>
      </w:r>
      <w:bookmarkEnd w:id="2"/>
      <w:r w:rsidR="000E403A" w:rsidRPr="00E11EC2">
        <w:rPr>
          <w:rFonts w:ascii="Arial" w:eastAsia="Calibri" w:hAnsi="Arial" w:cs="Arial"/>
          <w:sz w:val="20"/>
          <w:szCs w:val="20"/>
        </w:rPr>
        <w:t>;</w:t>
      </w:r>
      <w:r w:rsidR="00A901A5" w:rsidRPr="00E11EC2">
        <w:rPr>
          <w:rFonts w:ascii="Arial" w:eastAsia="Calibri" w:hAnsi="Arial" w:cs="Arial"/>
          <w:sz w:val="20"/>
          <w:szCs w:val="20"/>
        </w:rPr>
        <w:t xml:space="preserve"> </w:t>
      </w:r>
      <w:r w:rsidR="00A901A5" w:rsidRPr="00E01757">
        <w:rPr>
          <w:rFonts w:ascii="Arial" w:eastAsia="Calibri" w:hAnsi="Arial" w:cs="Arial"/>
          <w:sz w:val="20"/>
          <w:szCs w:val="20"/>
        </w:rPr>
        <w:t>DeFronzo, 2009</w:t>
      </w:r>
      <w:r w:rsidR="00605B9B" w:rsidRPr="00E11EC2">
        <w:rPr>
          <w:rFonts w:ascii="Arial" w:eastAsia="Calibri" w:hAnsi="Arial" w:cs="Arial"/>
          <w:sz w:val="20"/>
          <w:szCs w:val="20"/>
        </w:rPr>
        <w:t>).</w:t>
      </w:r>
      <w:r w:rsidR="000E403A" w:rsidRPr="00E11EC2">
        <w:rPr>
          <w:rFonts w:ascii="Arial" w:eastAsia="Calibri" w:hAnsi="Arial" w:cs="Arial"/>
          <w:bCs/>
          <w:sz w:val="20"/>
          <w:szCs w:val="20"/>
        </w:rPr>
        <w:t xml:space="preserve"> </w:t>
      </w:r>
      <w:r w:rsidR="00845A0A" w:rsidRPr="00E11EC2">
        <w:rPr>
          <w:rFonts w:ascii="Arial" w:eastAsia="Calibri" w:hAnsi="Arial" w:cs="Arial"/>
          <w:bCs/>
          <w:sz w:val="20"/>
          <w:szCs w:val="20"/>
        </w:rPr>
        <w:t xml:space="preserve">Insulin resistance </w:t>
      </w:r>
      <w:r w:rsidR="000B4030" w:rsidRPr="00E11EC2">
        <w:rPr>
          <w:rFonts w:ascii="Arial" w:eastAsia="Calibri" w:hAnsi="Arial" w:cs="Arial"/>
          <w:bCs/>
          <w:sz w:val="20"/>
          <w:szCs w:val="20"/>
        </w:rPr>
        <w:t>is a situation whe</w:t>
      </w:r>
      <w:r w:rsidR="00024717" w:rsidRPr="00E11EC2">
        <w:rPr>
          <w:rFonts w:ascii="Arial" w:eastAsia="Calibri" w:hAnsi="Arial" w:cs="Arial"/>
          <w:bCs/>
          <w:sz w:val="20"/>
          <w:szCs w:val="20"/>
        </w:rPr>
        <w:t>re</w:t>
      </w:r>
      <w:r w:rsidR="000B4030" w:rsidRPr="00E11EC2">
        <w:rPr>
          <w:rFonts w:ascii="Arial" w:eastAsia="Calibri" w:hAnsi="Arial" w:cs="Arial"/>
          <w:bCs/>
          <w:sz w:val="20"/>
          <w:szCs w:val="20"/>
        </w:rPr>
        <w:t xml:space="preserve"> the body is unable to respond to </w:t>
      </w:r>
      <w:r w:rsidR="00551EC2" w:rsidRPr="00E11EC2">
        <w:rPr>
          <w:rFonts w:ascii="Arial" w:eastAsia="Calibri" w:hAnsi="Arial" w:cs="Arial"/>
          <w:bCs/>
          <w:sz w:val="20"/>
          <w:szCs w:val="20"/>
        </w:rPr>
        <w:t xml:space="preserve">the action of insulin and this </w:t>
      </w:r>
      <w:r w:rsidR="00845A0A" w:rsidRPr="00E11EC2">
        <w:rPr>
          <w:rFonts w:ascii="Arial" w:eastAsia="Calibri" w:hAnsi="Arial" w:cs="Arial"/>
          <w:bCs/>
          <w:sz w:val="20"/>
          <w:szCs w:val="20"/>
        </w:rPr>
        <w:t xml:space="preserve">has been associated with </w:t>
      </w:r>
      <w:r w:rsidR="00413390" w:rsidRPr="00E11EC2">
        <w:rPr>
          <w:rFonts w:ascii="Arial" w:eastAsia="Calibri" w:hAnsi="Arial" w:cs="Arial"/>
          <w:bCs/>
          <w:sz w:val="20"/>
          <w:szCs w:val="20"/>
        </w:rPr>
        <w:t xml:space="preserve">traditional </w:t>
      </w:r>
      <w:r w:rsidR="00475ACD" w:rsidRPr="00E11EC2">
        <w:rPr>
          <w:rFonts w:ascii="Arial" w:eastAsia="Calibri" w:hAnsi="Arial" w:cs="Arial"/>
          <w:bCs/>
          <w:sz w:val="20"/>
          <w:szCs w:val="20"/>
        </w:rPr>
        <w:t xml:space="preserve">risk factors </w:t>
      </w:r>
      <w:r w:rsidR="00A732E5" w:rsidRPr="00E11EC2">
        <w:rPr>
          <w:rFonts w:ascii="Arial" w:eastAsia="Calibri" w:hAnsi="Arial" w:cs="Arial"/>
          <w:bCs/>
          <w:sz w:val="20"/>
          <w:szCs w:val="20"/>
        </w:rPr>
        <w:t xml:space="preserve">for cardiovascular disease </w:t>
      </w:r>
      <w:r w:rsidR="00475ACD" w:rsidRPr="00E11EC2">
        <w:rPr>
          <w:rFonts w:ascii="Arial" w:eastAsia="Calibri" w:hAnsi="Arial" w:cs="Arial"/>
          <w:bCs/>
          <w:sz w:val="20"/>
          <w:szCs w:val="20"/>
        </w:rPr>
        <w:t xml:space="preserve">such as obesity, physical inactivity, </w:t>
      </w:r>
      <w:r w:rsidR="009E1CAF" w:rsidRPr="00E11EC2">
        <w:rPr>
          <w:rFonts w:ascii="Arial" w:eastAsia="Calibri" w:hAnsi="Arial" w:cs="Arial"/>
          <w:bCs/>
          <w:sz w:val="20"/>
          <w:szCs w:val="20"/>
        </w:rPr>
        <w:t xml:space="preserve">which are </w:t>
      </w:r>
      <w:r w:rsidR="00A732E5" w:rsidRPr="00E11EC2">
        <w:rPr>
          <w:rFonts w:ascii="Arial" w:eastAsia="Calibri" w:hAnsi="Arial" w:cs="Arial"/>
          <w:bCs/>
          <w:sz w:val="20"/>
          <w:szCs w:val="20"/>
        </w:rPr>
        <w:t xml:space="preserve">manifested </w:t>
      </w:r>
      <w:r w:rsidR="000C0F63" w:rsidRPr="00E11EC2">
        <w:rPr>
          <w:rFonts w:ascii="Arial" w:eastAsia="Calibri" w:hAnsi="Arial" w:cs="Arial"/>
          <w:bCs/>
          <w:sz w:val="20"/>
          <w:szCs w:val="20"/>
        </w:rPr>
        <w:t>in high body mass index (BMI), waist circumference</w:t>
      </w:r>
      <w:r w:rsidR="00230619" w:rsidRPr="00E11EC2">
        <w:rPr>
          <w:rFonts w:ascii="Arial" w:eastAsia="Calibri" w:hAnsi="Arial" w:cs="Arial"/>
          <w:bCs/>
          <w:sz w:val="20"/>
          <w:szCs w:val="20"/>
        </w:rPr>
        <w:t xml:space="preserve"> (WC)</w:t>
      </w:r>
      <w:r w:rsidR="000C0F63" w:rsidRPr="00E11EC2">
        <w:rPr>
          <w:rFonts w:ascii="Arial" w:eastAsia="Calibri" w:hAnsi="Arial" w:cs="Arial"/>
          <w:bCs/>
          <w:sz w:val="20"/>
          <w:szCs w:val="20"/>
        </w:rPr>
        <w:t xml:space="preserve"> and </w:t>
      </w:r>
      <w:r w:rsidR="00303208" w:rsidRPr="00E11EC2">
        <w:rPr>
          <w:rFonts w:ascii="Arial" w:eastAsia="Calibri" w:hAnsi="Arial" w:cs="Arial"/>
          <w:bCs/>
          <w:sz w:val="20"/>
          <w:szCs w:val="20"/>
        </w:rPr>
        <w:t>waist-hip ratio</w:t>
      </w:r>
      <w:r w:rsidR="00230619" w:rsidRPr="00E11EC2">
        <w:rPr>
          <w:rFonts w:ascii="Arial" w:eastAsia="Calibri" w:hAnsi="Arial" w:cs="Arial"/>
          <w:bCs/>
          <w:sz w:val="20"/>
          <w:szCs w:val="20"/>
        </w:rPr>
        <w:t xml:space="preserve"> </w:t>
      </w:r>
      <w:r w:rsidR="007A52B2" w:rsidRPr="00E11EC2">
        <w:rPr>
          <w:rFonts w:ascii="Arial" w:eastAsia="Calibri" w:hAnsi="Arial" w:cs="Arial"/>
          <w:bCs/>
          <w:sz w:val="20"/>
          <w:szCs w:val="20"/>
        </w:rPr>
        <w:t>(</w:t>
      </w:r>
      <w:r w:rsidR="00230619" w:rsidRPr="00E11EC2">
        <w:rPr>
          <w:rFonts w:ascii="Arial" w:eastAsia="Calibri" w:hAnsi="Arial" w:cs="Arial"/>
          <w:bCs/>
          <w:sz w:val="20"/>
          <w:szCs w:val="20"/>
        </w:rPr>
        <w:t>WHR</w:t>
      </w:r>
      <w:r w:rsidR="007A52B2" w:rsidRPr="00E11EC2">
        <w:rPr>
          <w:rFonts w:ascii="Arial" w:eastAsia="Calibri" w:hAnsi="Arial" w:cs="Arial"/>
          <w:bCs/>
          <w:sz w:val="20"/>
          <w:szCs w:val="20"/>
        </w:rPr>
        <w:t>)</w:t>
      </w:r>
      <w:r w:rsidR="006017E5" w:rsidRPr="00E11EC2">
        <w:rPr>
          <w:rFonts w:ascii="Arial" w:eastAsia="Calibri" w:hAnsi="Arial" w:cs="Arial"/>
          <w:bCs/>
          <w:sz w:val="20"/>
          <w:szCs w:val="20"/>
        </w:rPr>
        <w:t xml:space="preserve"> </w:t>
      </w:r>
      <w:r w:rsidR="0022138B" w:rsidRPr="00E11EC2">
        <w:rPr>
          <w:rFonts w:ascii="Arial" w:eastAsia="Calibri" w:hAnsi="Arial" w:cs="Arial"/>
          <w:bCs/>
          <w:sz w:val="20"/>
          <w:szCs w:val="20"/>
        </w:rPr>
        <w:t>(</w:t>
      </w:r>
      <w:r w:rsidR="0022138B" w:rsidRPr="00E11EC2">
        <w:rPr>
          <w:rFonts w:ascii="Arial" w:eastAsia="Calibri" w:hAnsi="Arial" w:cs="Arial"/>
          <w:sz w:val="20"/>
          <w:szCs w:val="20"/>
        </w:rPr>
        <w:t>International Diabetes Federation. IDF Diabetes Atlas, 2025;</w:t>
      </w:r>
      <w:r w:rsidR="00033971" w:rsidRPr="00E11EC2">
        <w:rPr>
          <w:rFonts w:ascii="Arial" w:eastAsia="Calibri" w:hAnsi="Arial" w:cs="Arial"/>
          <w:sz w:val="20"/>
          <w:szCs w:val="20"/>
        </w:rPr>
        <w:t xml:space="preserve"> Preis et al</w:t>
      </w:r>
      <w:r w:rsidR="00BA662F" w:rsidRPr="00E11EC2">
        <w:rPr>
          <w:rFonts w:ascii="Arial" w:eastAsia="Calibri" w:hAnsi="Arial" w:cs="Arial"/>
          <w:sz w:val="20"/>
          <w:szCs w:val="20"/>
        </w:rPr>
        <w:t>., 2010)</w:t>
      </w:r>
      <w:r w:rsidR="006017E5" w:rsidRPr="00E11EC2">
        <w:rPr>
          <w:rFonts w:ascii="Arial" w:eastAsia="Calibri" w:hAnsi="Arial" w:cs="Arial"/>
          <w:sz w:val="20"/>
          <w:szCs w:val="20"/>
        </w:rPr>
        <w:t>.</w:t>
      </w:r>
      <w:r w:rsidR="00200990" w:rsidRPr="00E11EC2">
        <w:rPr>
          <w:rFonts w:ascii="Arial" w:eastAsia="Calibri" w:hAnsi="Arial" w:cs="Arial"/>
          <w:bCs/>
          <w:sz w:val="20"/>
          <w:szCs w:val="20"/>
        </w:rPr>
        <w:t xml:space="preserve"> </w:t>
      </w:r>
      <w:r w:rsidR="00303208" w:rsidRPr="00E11EC2">
        <w:rPr>
          <w:rFonts w:ascii="Arial" w:eastAsia="Calibri" w:hAnsi="Arial" w:cs="Arial"/>
          <w:bCs/>
          <w:sz w:val="20"/>
          <w:szCs w:val="20"/>
        </w:rPr>
        <w:t xml:space="preserve">More recently, there have been some </w:t>
      </w:r>
      <w:r w:rsidR="0077243F" w:rsidRPr="00E11EC2">
        <w:rPr>
          <w:rFonts w:ascii="Arial" w:eastAsia="Calibri" w:hAnsi="Arial" w:cs="Arial"/>
          <w:bCs/>
          <w:sz w:val="20"/>
          <w:szCs w:val="20"/>
        </w:rPr>
        <w:t>insight</w:t>
      </w:r>
      <w:r w:rsidR="005A3B88" w:rsidRPr="00E11EC2">
        <w:rPr>
          <w:rFonts w:ascii="Arial" w:eastAsia="Calibri" w:hAnsi="Arial" w:cs="Arial"/>
          <w:bCs/>
          <w:sz w:val="20"/>
          <w:szCs w:val="20"/>
        </w:rPr>
        <w:t>s</w:t>
      </w:r>
      <w:r w:rsidR="0077243F" w:rsidRPr="00E11EC2">
        <w:rPr>
          <w:rFonts w:ascii="Arial" w:eastAsia="Calibri" w:hAnsi="Arial" w:cs="Arial"/>
          <w:bCs/>
          <w:sz w:val="20"/>
          <w:szCs w:val="20"/>
        </w:rPr>
        <w:t xml:space="preserve"> into possible relationship between </w:t>
      </w:r>
      <w:r w:rsidR="00230619" w:rsidRPr="00E11EC2">
        <w:rPr>
          <w:rFonts w:ascii="Arial" w:eastAsia="Calibri" w:hAnsi="Arial" w:cs="Arial"/>
          <w:bCs/>
          <w:sz w:val="20"/>
          <w:szCs w:val="20"/>
        </w:rPr>
        <w:t>NC</w:t>
      </w:r>
      <w:r w:rsidR="0077243F" w:rsidRPr="00E11EC2">
        <w:rPr>
          <w:rFonts w:ascii="Arial" w:eastAsia="Calibri" w:hAnsi="Arial" w:cs="Arial"/>
          <w:bCs/>
          <w:sz w:val="20"/>
          <w:szCs w:val="20"/>
        </w:rPr>
        <w:t xml:space="preserve"> </w:t>
      </w:r>
      <w:r w:rsidR="00F66B32" w:rsidRPr="00E11EC2">
        <w:rPr>
          <w:rFonts w:ascii="Arial" w:eastAsia="Calibri" w:hAnsi="Arial" w:cs="Arial"/>
          <w:bCs/>
          <w:sz w:val="20"/>
          <w:szCs w:val="20"/>
        </w:rPr>
        <w:t xml:space="preserve">and insulin resistance </w:t>
      </w:r>
      <w:r w:rsidR="00C9322E" w:rsidRPr="00E11EC2">
        <w:rPr>
          <w:rFonts w:ascii="Arial" w:eastAsia="Calibri" w:hAnsi="Arial" w:cs="Arial"/>
          <w:bCs/>
          <w:sz w:val="20"/>
          <w:szCs w:val="20"/>
        </w:rPr>
        <w:t>and other</w:t>
      </w:r>
      <w:r w:rsidR="00F66B32" w:rsidRPr="00E11EC2">
        <w:rPr>
          <w:rFonts w:ascii="Arial" w:eastAsia="Calibri" w:hAnsi="Arial" w:cs="Arial"/>
          <w:bCs/>
          <w:sz w:val="20"/>
          <w:szCs w:val="20"/>
        </w:rPr>
        <w:t xml:space="preserve"> cardiometabolic risk factors</w:t>
      </w:r>
      <w:r w:rsidR="00EA3CF4" w:rsidRPr="00E11EC2">
        <w:rPr>
          <w:rFonts w:ascii="Arial" w:eastAsia="Calibri" w:hAnsi="Arial" w:cs="Arial"/>
          <w:bCs/>
          <w:sz w:val="20"/>
          <w:szCs w:val="20"/>
        </w:rPr>
        <w:t>, with some of the findings being inconsistent</w:t>
      </w:r>
      <w:r w:rsidR="001B73F8" w:rsidRPr="00E11EC2">
        <w:rPr>
          <w:rFonts w:ascii="Arial" w:eastAsia="Calibri" w:hAnsi="Arial" w:cs="Arial"/>
          <w:bCs/>
          <w:sz w:val="20"/>
          <w:szCs w:val="20"/>
        </w:rPr>
        <w:t xml:space="preserve"> </w:t>
      </w:r>
      <w:r w:rsidR="00D312E6" w:rsidRPr="00E11EC2">
        <w:rPr>
          <w:rFonts w:ascii="Arial" w:eastAsia="Calibri" w:hAnsi="Arial" w:cs="Arial"/>
          <w:bCs/>
          <w:sz w:val="20"/>
          <w:szCs w:val="20"/>
        </w:rPr>
        <w:t>(</w:t>
      </w:r>
      <w:r w:rsidR="009C3CD1" w:rsidRPr="00E11EC2">
        <w:rPr>
          <w:rFonts w:ascii="Arial" w:hAnsi="Arial" w:cs="Arial"/>
          <w:sz w:val="20"/>
          <w:szCs w:val="20"/>
        </w:rPr>
        <w:t>Stabe</w:t>
      </w:r>
      <w:r w:rsidR="00852590" w:rsidRPr="00E11EC2">
        <w:rPr>
          <w:rFonts w:ascii="Arial" w:hAnsi="Arial" w:cs="Arial"/>
          <w:sz w:val="20"/>
          <w:szCs w:val="20"/>
        </w:rPr>
        <w:t xml:space="preserve"> et al.</w:t>
      </w:r>
      <w:r w:rsidR="009C3CD1" w:rsidRPr="00E11EC2">
        <w:rPr>
          <w:rFonts w:ascii="Arial" w:hAnsi="Arial" w:cs="Arial"/>
          <w:sz w:val="20"/>
          <w:szCs w:val="20"/>
        </w:rPr>
        <w:t>, 2013;</w:t>
      </w:r>
      <w:r w:rsidR="00852590" w:rsidRPr="00E11EC2">
        <w:rPr>
          <w:rFonts w:ascii="Arial" w:hAnsi="Arial" w:cs="Arial"/>
          <w:sz w:val="20"/>
          <w:szCs w:val="20"/>
        </w:rPr>
        <w:t xml:space="preserve"> </w:t>
      </w:r>
      <w:proofErr w:type="spellStart"/>
      <w:r w:rsidR="00466CFC" w:rsidRPr="00E01757">
        <w:rPr>
          <w:rFonts w:ascii="Arial" w:eastAsia="Calibri" w:hAnsi="Arial" w:cs="Arial"/>
          <w:sz w:val="20"/>
          <w:szCs w:val="20"/>
        </w:rPr>
        <w:t>Ataie</w:t>
      </w:r>
      <w:proofErr w:type="spellEnd"/>
      <w:r w:rsidR="00466CFC" w:rsidRPr="00E01757">
        <w:rPr>
          <w:rFonts w:ascii="Arial" w:eastAsia="Calibri" w:hAnsi="Arial" w:cs="Arial"/>
          <w:sz w:val="20"/>
          <w:szCs w:val="20"/>
        </w:rPr>
        <w:t>-Jafari</w:t>
      </w:r>
      <w:r w:rsidR="00466CFC" w:rsidRPr="00E11EC2">
        <w:rPr>
          <w:rFonts w:ascii="Arial" w:eastAsia="Calibri" w:hAnsi="Arial" w:cs="Arial"/>
          <w:sz w:val="20"/>
          <w:szCs w:val="20"/>
        </w:rPr>
        <w:t xml:space="preserve"> et al., </w:t>
      </w:r>
      <w:r w:rsidR="00EE4B9F" w:rsidRPr="00E11EC2">
        <w:rPr>
          <w:rFonts w:ascii="Arial" w:eastAsia="Calibri" w:hAnsi="Arial" w:cs="Arial"/>
          <w:sz w:val="20"/>
          <w:szCs w:val="20"/>
        </w:rPr>
        <w:t xml:space="preserve">2018; </w:t>
      </w:r>
      <w:proofErr w:type="spellStart"/>
      <w:r w:rsidR="001B73F8" w:rsidRPr="00822854">
        <w:rPr>
          <w:rFonts w:ascii="Arial" w:eastAsia="Calibri" w:hAnsi="Arial" w:cs="Arial"/>
          <w:sz w:val="20"/>
          <w:szCs w:val="20"/>
        </w:rPr>
        <w:t>Marcadenti</w:t>
      </w:r>
      <w:proofErr w:type="spellEnd"/>
      <w:r w:rsidR="001B73F8" w:rsidRPr="00E11EC2">
        <w:rPr>
          <w:rFonts w:ascii="Arial" w:eastAsia="Calibri" w:hAnsi="Arial" w:cs="Arial"/>
          <w:sz w:val="20"/>
          <w:szCs w:val="20"/>
        </w:rPr>
        <w:t xml:space="preserve"> et al., 2017).</w:t>
      </w:r>
      <w:r w:rsidR="009C3CD1" w:rsidRPr="00E11EC2">
        <w:rPr>
          <w:rFonts w:ascii="Arial" w:hAnsi="Arial" w:cs="Arial"/>
          <w:sz w:val="20"/>
          <w:szCs w:val="20"/>
        </w:rPr>
        <w:t xml:space="preserve"> </w:t>
      </w:r>
      <w:r w:rsidR="00CB345D" w:rsidRPr="00E11EC2">
        <w:rPr>
          <w:rFonts w:ascii="Arial" w:eastAsia="Calibri" w:hAnsi="Arial" w:cs="Arial"/>
          <w:bCs/>
          <w:sz w:val="20"/>
          <w:szCs w:val="20"/>
        </w:rPr>
        <w:t xml:space="preserve">Unlike traditional </w:t>
      </w:r>
      <w:r w:rsidR="00575F22" w:rsidRPr="00E11EC2">
        <w:rPr>
          <w:rFonts w:ascii="Arial" w:eastAsia="Calibri" w:hAnsi="Arial" w:cs="Arial"/>
          <w:bCs/>
          <w:sz w:val="20"/>
          <w:szCs w:val="20"/>
        </w:rPr>
        <w:t>anthropometric</w:t>
      </w:r>
      <w:r w:rsidR="00CB345D" w:rsidRPr="00E11EC2">
        <w:rPr>
          <w:rFonts w:ascii="Arial" w:eastAsia="Calibri" w:hAnsi="Arial" w:cs="Arial"/>
          <w:bCs/>
          <w:sz w:val="20"/>
          <w:szCs w:val="20"/>
        </w:rPr>
        <w:t xml:space="preserve"> measures </w:t>
      </w:r>
      <w:r w:rsidR="004E55E5" w:rsidRPr="00E11EC2">
        <w:rPr>
          <w:rFonts w:ascii="Arial" w:eastAsia="Calibri" w:hAnsi="Arial" w:cs="Arial"/>
          <w:bCs/>
          <w:sz w:val="20"/>
          <w:szCs w:val="20"/>
        </w:rPr>
        <w:t>which make use of scales and may need cali</w:t>
      </w:r>
      <w:r w:rsidR="00227F30" w:rsidRPr="00E11EC2">
        <w:rPr>
          <w:rFonts w:ascii="Arial" w:eastAsia="Calibri" w:hAnsi="Arial" w:cs="Arial"/>
          <w:bCs/>
          <w:sz w:val="20"/>
          <w:szCs w:val="20"/>
        </w:rPr>
        <w:t xml:space="preserve">bration, </w:t>
      </w:r>
      <w:r w:rsidR="00E10BEA" w:rsidRPr="00E11EC2">
        <w:rPr>
          <w:rFonts w:ascii="Arial" w:eastAsia="Calibri" w:hAnsi="Arial" w:cs="Arial"/>
          <w:bCs/>
          <w:sz w:val="20"/>
          <w:szCs w:val="20"/>
        </w:rPr>
        <w:t xml:space="preserve">NC </w:t>
      </w:r>
      <w:r w:rsidR="00FC0FD3" w:rsidRPr="00E11EC2">
        <w:rPr>
          <w:rFonts w:ascii="Arial" w:eastAsia="Calibri" w:hAnsi="Arial" w:cs="Arial"/>
          <w:bCs/>
          <w:sz w:val="20"/>
          <w:szCs w:val="20"/>
        </w:rPr>
        <w:t>could be measured easily</w:t>
      </w:r>
      <w:r w:rsidR="00DE336D" w:rsidRPr="00E11EC2">
        <w:rPr>
          <w:rFonts w:ascii="Arial" w:eastAsia="Calibri" w:hAnsi="Arial" w:cs="Arial"/>
          <w:bCs/>
          <w:sz w:val="20"/>
          <w:szCs w:val="20"/>
        </w:rPr>
        <w:t xml:space="preserve"> with little fluctuations</w:t>
      </w:r>
      <w:r w:rsidR="00FC0FD3" w:rsidRPr="00E11EC2">
        <w:rPr>
          <w:rFonts w:ascii="Arial" w:eastAsia="Calibri" w:hAnsi="Arial" w:cs="Arial"/>
          <w:bCs/>
          <w:sz w:val="20"/>
          <w:szCs w:val="20"/>
        </w:rPr>
        <w:t xml:space="preserve">. </w:t>
      </w:r>
      <w:r w:rsidR="008A654C" w:rsidRPr="00E11EC2">
        <w:rPr>
          <w:rFonts w:ascii="Arial" w:eastAsia="Calibri" w:hAnsi="Arial" w:cs="Arial"/>
          <w:bCs/>
          <w:sz w:val="20"/>
          <w:szCs w:val="20"/>
        </w:rPr>
        <w:t xml:space="preserve">A meta-analysis has suggested </w:t>
      </w:r>
      <w:r w:rsidR="00E402A8" w:rsidRPr="00E11EC2">
        <w:rPr>
          <w:rFonts w:ascii="Arial" w:eastAsia="Calibri" w:hAnsi="Arial" w:cs="Arial"/>
          <w:bCs/>
          <w:sz w:val="20"/>
          <w:szCs w:val="20"/>
        </w:rPr>
        <w:t>greater NC is associated with an increased risk of T2DM and gestational diabetes mellitus</w:t>
      </w:r>
      <w:r w:rsidR="00CD37CB" w:rsidRPr="00E11EC2">
        <w:rPr>
          <w:rFonts w:ascii="Arial" w:eastAsia="Calibri" w:hAnsi="Arial" w:cs="Arial"/>
          <w:bCs/>
          <w:sz w:val="20"/>
          <w:szCs w:val="20"/>
        </w:rPr>
        <w:t xml:space="preserve"> </w:t>
      </w:r>
      <w:r w:rsidR="00553CF5" w:rsidRPr="00E11EC2">
        <w:rPr>
          <w:rFonts w:ascii="Arial" w:eastAsia="Calibri" w:hAnsi="Arial" w:cs="Arial"/>
          <w:bCs/>
          <w:sz w:val="20"/>
          <w:szCs w:val="20"/>
        </w:rPr>
        <w:t>(</w:t>
      </w:r>
      <w:bookmarkStart w:id="3" w:name="_Hlk214398533"/>
      <w:r w:rsidR="00553CF5" w:rsidRPr="00E11EC2">
        <w:rPr>
          <w:rFonts w:ascii="Arial" w:eastAsia="Calibri" w:hAnsi="Arial" w:cs="Arial"/>
          <w:bCs/>
          <w:sz w:val="20"/>
          <w:szCs w:val="20"/>
        </w:rPr>
        <w:t>Li et al</w:t>
      </w:r>
      <w:r w:rsidR="00CD37CB" w:rsidRPr="00E11EC2">
        <w:rPr>
          <w:rFonts w:ascii="Arial" w:eastAsia="Calibri" w:hAnsi="Arial" w:cs="Arial"/>
          <w:bCs/>
          <w:sz w:val="20"/>
          <w:szCs w:val="20"/>
        </w:rPr>
        <w:t>., 2023</w:t>
      </w:r>
      <w:bookmarkEnd w:id="3"/>
      <w:r w:rsidR="00CD37CB" w:rsidRPr="00E11EC2">
        <w:rPr>
          <w:rFonts w:ascii="Arial" w:eastAsia="Calibri" w:hAnsi="Arial" w:cs="Arial"/>
          <w:bCs/>
          <w:sz w:val="20"/>
          <w:szCs w:val="20"/>
        </w:rPr>
        <w:t xml:space="preserve">). </w:t>
      </w:r>
      <w:r w:rsidR="00F86CA8" w:rsidRPr="00E11EC2">
        <w:rPr>
          <w:rFonts w:ascii="Arial" w:eastAsia="Calibri" w:hAnsi="Arial" w:cs="Arial"/>
          <w:bCs/>
          <w:sz w:val="20"/>
          <w:szCs w:val="20"/>
        </w:rPr>
        <w:t xml:space="preserve">Studies have shown the association between </w:t>
      </w:r>
      <w:r w:rsidR="00B01A3F" w:rsidRPr="00E11EC2">
        <w:rPr>
          <w:rFonts w:ascii="Arial" w:eastAsia="Calibri" w:hAnsi="Arial" w:cs="Arial"/>
          <w:bCs/>
          <w:sz w:val="20"/>
          <w:szCs w:val="20"/>
        </w:rPr>
        <w:t>NC</w:t>
      </w:r>
      <w:r w:rsidR="00875DB5" w:rsidRPr="00E11EC2">
        <w:rPr>
          <w:rFonts w:ascii="Arial" w:eastAsia="Calibri" w:hAnsi="Arial" w:cs="Arial"/>
          <w:bCs/>
          <w:sz w:val="20"/>
          <w:szCs w:val="20"/>
        </w:rPr>
        <w:t xml:space="preserve">, </w:t>
      </w:r>
      <w:r w:rsidR="004633D7" w:rsidRPr="00E11EC2">
        <w:rPr>
          <w:rFonts w:ascii="Arial" w:eastAsia="Calibri" w:hAnsi="Arial" w:cs="Arial"/>
          <w:bCs/>
          <w:sz w:val="20"/>
          <w:szCs w:val="20"/>
        </w:rPr>
        <w:t>central obesity</w:t>
      </w:r>
      <w:r w:rsidR="000A5F5D" w:rsidRPr="00E11EC2">
        <w:rPr>
          <w:rFonts w:ascii="Arial" w:eastAsia="Calibri" w:hAnsi="Arial" w:cs="Arial"/>
          <w:bCs/>
          <w:sz w:val="20"/>
          <w:szCs w:val="20"/>
        </w:rPr>
        <w:t xml:space="preserve"> a</w:t>
      </w:r>
      <w:r w:rsidR="00875DB5" w:rsidRPr="00E11EC2">
        <w:rPr>
          <w:rFonts w:ascii="Arial" w:eastAsia="Calibri" w:hAnsi="Arial" w:cs="Arial"/>
          <w:bCs/>
          <w:sz w:val="20"/>
          <w:szCs w:val="20"/>
        </w:rPr>
        <w:t xml:space="preserve">nd </w:t>
      </w:r>
      <w:r w:rsidR="000A5F5D" w:rsidRPr="00E11EC2">
        <w:rPr>
          <w:rFonts w:ascii="Arial" w:eastAsia="Calibri" w:hAnsi="Arial" w:cs="Arial"/>
          <w:bCs/>
          <w:sz w:val="20"/>
          <w:szCs w:val="20"/>
        </w:rPr>
        <w:t xml:space="preserve">components of </w:t>
      </w:r>
      <w:r w:rsidR="003969A3" w:rsidRPr="00E11EC2">
        <w:rPr>
          <w:rFonts w:ascii="Arial" w:eastAsia="Calibri" w:hAnsi="Arial" w:cs="Arial"/>
          <w:bCs/>
          <w:sz w:val="20"/>
          <w:szCs w:val="20"/>
        </w:rPr>
        <w:t>metabolic syndrome</w:t>
      </w:r>
      <w:r w:rsidR="00F6021A" w:rsidRPr="00E11EC2">
        <w:rPr>
          <w:rFonts w:ascii="Arial" w:eastAsia="Calibri" w:hAnsi="Arial" w:cs="Arial"/>
          <w:bCs/>
          <w:sz w:val="20"/>
          <w:szCs w:val="20"/>
        </w:rPr>
        <w:t xml:space="preserve"> </w:t>
      </w:r>
      <w:r w:rsidR="00C0119C" w:rsidRPr="00E11EC2">
        <w:rPr>
          <w:rFonts w:ascii="Arial" w:eastAsia="Calibri" w:hAnsi="Arial" w:cs="Arial"/>
          <w:bCs/>
          <w:sz w:val="20"/>
          <w:szCs w:val="20"/>
        </w:rPr>
        <w:t>(</w:t>
      </w:r>
      <w:r w:rsidR="002B75EE" w:rsidRPr="00E11EC2">
        <w:rPr>
          <w:rFonts w:ascii="Arial" w:hAnsi="Arial" w:cs="Arial"/>
          <w:sz w:val="20"/>
          <w:szCs w:val="20"/>
        </w:rPr>
        <w:t xml:space="preserve">Stabe et al., 2013; </w:t>
      </w:r>
      <w:r w:rsidR="002B75EE" w:rsidRPr="00E11EC2">
        <w:rPr>
          <w:rFonts w:ascii="Arial" w:eastAsia="Calibri" w:hAnsi="Arial" w:cs="Arial"/>
          <w:bCs/>
          <w:sz w:val="20"/>
          <w:szCs w:val="20"/>
        </w:rPr>
        <w:t>Li et al., 2023</w:t>
      </w:r>
      <w:r w:rsidR="00F6021A" w:rsidRPr="00E11EC2">
        <w:rPr>
          <w:rFonts w:ascii="Arial" w:eastAsia="Calibri" w:hAnsi="Arial" w:cs="Arial"/>
          <w:bCs/>
          <w:sz w:val="20"/>
          <w:szCs w:val="20"/>
        </w:rPr>
        <w:t>).</w:t>
      </w:r>
      <w:r w:rsidR="004230AF" w:rsidRPr="00E11EC2">
        <w:rPr>
          <w:rFonts w:ascii="Arial" w:eastAsia="Calibri" w:hAnsi="Arial" w:cs="Arial"/>
          <w:bCs/>
          <w:sz w:val="20"/>
          <w:szCs w:val="20"/>
        </w:rPr>
        <w:t xml:space="preserve"> </w:t>
      </w:r>
      <w:r w:rsidR="00D270E9" w:rsidRPr="00E11EC2">
        <w:rPr>
          <w:rFonts w:ascii="Arial" w:eastAsia="Calibri" w:hAnsi="Arial" w:cs="Arial"/>
          <w:bCs/>
          <w:sz w:val="20"/>
          <w:szCs w:val="20"/>
        </w:rPr>
        <w:t xml:space="preserve">However, evidence </w:t>
      </w:r>
      <w:r w:rsidR="00AF5517" w:rsidRPr="00E11EC2">
        <w:rPr>
          <w:rFonts w:ascii="Arial" w:eastAsia="Calibri" w:hAnsi="Arial" w:cs="Arial"/>
          <w:bCs/>
          <w:sz w:val="20"/>
          <w:szCs w:val="20"/>
        </w:rPr>
        <w:t xml:space="preserve">for such association is </w:t>
      </w:r>
      <w:r w:rsidR="00457F2C" w:rsidRPr="00E11EC2">
        <w:rPr>
          <w:rFonts w:ascii="Arial" w:eastAsia="Calibri" w:hAnsi="Arial" w:cs="Arial"/>
          <w:bCs/>
          <w:sz w:val="20"/>
          <w:szCs w:val="20"/>
        </w:rPr>
        <w:t xml:space="preserve">scarce in </w:t>
      </w:r>
      <w:r w:rsidR="00D65EE3" w:rsidRPr="00E11EC2">
        <w:rPr>
          <w:rFonts w:ascii="Arial" w:eastAsia="Calibri" w:hAnsi="Arial" w:cs="Arial"/>
          <w:bCs/>
          <w:sz w:val="20"/>
          <w:szCs w:val="20"/>
        </w:rPr>
        <w:t>sub</w:t>
      </w:r>
      <w:r w:rsidR="005A3B88" w:rsidRPr="00E11EC2">
        <w:rPr>
          <w:rFonts w:ascii="Arial" w:eastAsia="Calibri" w:hAnsi="Arial" w:cs="Arial"/>
          <w:bCs/>
          <w:sz w:val="20"/>
          <w:szCs w:val="20"/>
        </w:rPr>
        <w:t xml:space="preserve">-Saharan Africa. </w:t>
      </w:r>
      <w:r w:rsidR="006E2AAD" w:rsidRPr="00E11EC2">
        <w:rPr>
          <w:rFonts w:ascii="Arial" w:eastAsia="Calibri" w:hAnsi="Arial" w:cs="Arial"/>
          <w:bCs/>
          <w:sz w:val="20"/>
          <w:szCs w:val="20"/>
        </w:rPr>
        <w:t xml:space="preserve">Understanding the different factors linked to </w:t>
      </w:r>
      <w:r w:rsidR="008874F3" w:rsidRPr="00E11EC2">
        <w:rPr>
          <w:rFonts w:ascii="Arial" w:eastAsia="Calibri" w:hAnsi="Arial" w:cs="Arial"/>
          <w:bCs/>
          <w:sz w:val="20"/>
          <w:szCs w:val="20"/>
        </w:rPr>
        <w:t xml:space="preserve">insulin resistance could help develop </w:t>
      </w:r>
      <w:r w:rsidR="00C318F1" w:rsidRPr="00E11EC2">
        <w:rPr>
          <w:rFonts w:ascii="Arial" w:eastAsia="Calibri" w:hAnsi="Arial" w:cs="Arial"/>
          <w:bCs/>
          <w:sz w:val="20"/>
          <w:szCs w:val="20"/>
        </w:rPr>
        <w:t xml:space="preserve">preventive </w:t>
      </w:r>
      <w:r w:rsidR="008874F3" w:rsidRPr="00E11EC2">
        <w:rPr>
          <w:rFonts w:ascii="Arial" w:eastAsia="Calibri" w:hAnsi="Arial" w:cs="Arial"/>
          <w:bCs/>
          <w:sz w:val="20"/>
          <w:szCs w:val="20"/>
        </w:rPr>
        <w:t>strategies</w:t>
      </w:r>
      <w:r w:rsidR="00C318F1" w:rsidRPr="00E11EC2">
        <w:rPr>
          <w:rFonts w:ascii="Arial" w:eastAsia="Calibri" w:hAnsi="Arial" w:cs="Arial"/>
          <w:bCs/>
          <w:sz w:val="20"/>
          <w:szCs w:val="20"/>
        </w:rPr>
        <w:t xml:space="preserve"> for T2DM. </w:t>
      </w:r>
      <w:r w:rsidR="00587506" w:rsidRPr="00E11EC2">
        <w:rPr>
          <w:rFonts w:ascii="Arial" w:eastAsia="Calibri" w:hAnsi="Arial" w:cs="Arial"/>
          <w:bCs/>
          <w:sz w:val="20"/>
          <w:szCs w:val="20"/>
        </w:rPr>
        <w:t xml:space="preserve">This study </w:t>
      </w:r>
      <w:r w:rsidR="001864A7" w:rsidRPr="00E11EC2">
        <w:rPr>
          <w:rFonts w:ascii="Arial" w:eastAsia="Calibri" w:hAnsi="Arial" w:cs="Arial"/>
          <w:bCs/>
          <w:sz w:val="20"/>
          <w:szCs w:val="20"/>
        </w:rPr>
        <w:t xml:space="preserve">determined to </w:t>
      </w:r>
      <w:r w:rsidR="004B0A9A" w:rsidRPr="00E11EC2">
        <w:rPr>
          <w:rFonts w:ascii="Arial" w:eastAsia="Calibri" w:hAnsi="Arial" w:cs="Arial"/>
          <w:bCs/>
          <w:sz w:val="20"/>
          <w:szCs w:val="20"/>
        </w:rPr>
        <w:t xml:space="preserve">evaluate the </w:t>
      </w:r>
      <w:r w:rsidR="00BA24CF" w:rsidRPr="00E11EC2">
        <w:rPr>
          <w:rFonts w:ascii="Arial" w:eastAsia="Calibri" w:hAnsi="Arial" w:cs="Arial"/>
          <w:bCs/>
          <w:sz w:val="20"/>
          <w:szCs w:val="20"/>
        </w:rPr>
        <w:t xml:space="preserve">relationship between neck circumference </w:t>
      </w:r>
      <w:r w:rsidR="00EB53F6" w:rsidRPr="00E11EC2">
        <w:rPr>
          <w:rFonts w:ascii="Arial" w:eastAsia="Calibri" w:hAnsi="Arial" w:cs="Arial"/>
          <w:bCs/>
          <w:sz w:val="20"/>
          <w:szCs w:val="20"/>
        </w:rPr>
        <w:t xml:space="preserve">and insulin resistance and </w:t>
      </w:r>
      <w:r w:rsidR="00F56D08" w:rsidRPr="00E11EC2">
        <w:rPr>
          <w:rFonts w:ascii="Arial" w:eastAsia="Calibri" w:hAnsi="Arial" w:cs="Arial"/>
          <w:bCs/>
          <w:sz w:val="20"/>
          <w:szCs w:val="20"/>
        </w:rPr>
        <w:t xml:space="preserve">cardiometabolic risk factors amongst patients with T2DM attending a </w:t>
      </w:r>
      <w:r w:rsidR="008B0FFC" w:rsidRPr="00E11EC2">
        <w:rPr>
          <w:rFonts w:ascii="Arial" w:eastAsia="Calibri" w:hAnsi="Arial" w:cs="Arial"/>
          <w:bCs/>
          <w:sz w:val="20"/>
          <w:szCs w:val="20"/>
        </w:rPr>
        <w:t xml:space="preserve">tertiary </w:t>
      </w:r>
      <w:r w:rsidR="00F8517C" w:rsidRPr="00E11EC2">
        <w:rPr>
          <w:rFonts w:ascii="Arial" w:eastAsia="Calibri" w:hAnsi="Arial" w:cs="Arial"/>
          <w:bCs/>
          <w:sz w:val="20"/>
          <w:szCs w:val="20"/>
        </w:rPr>
        <w:t xml:space="preserve">health </w:t>
      </w:r>
      <w:r w:rsidR="008B0FFC" w:rsidRPr="00E11EC2">
        <w:rPr>
          <w:rFonts w:ascii="Arial" w:eastAsia="Calibri" w:hAnsi="Arial" w:cs="Arial"/>
          <w:bCs/>
          <w:sz w:val="20"/>
          <w:szCs w:val="20"/>
        </w:rPr>
        <w:t>facility in Nigeria.</w:t>
      </w:r>
    </w:p>
    <w:p w14:paraId="2E8D93B4" w14:textId="77777777" w:rsidR="003B518B" w:rsidRDefault="003B518B" w:rsidP="00EE098D">
      <w:pPr>
        <w:spacing w:line="480" w:lineRule="auto"/>
        <w:jc w:val="both"/>
        <w:rPr>
          <w:rFonts w:ascii="Arial" w:eastAsia="Calibri" w:hAnsi="Arial" w:cs="Arial"/>
          <w:bCs/>
          <w:sz w:val="20"/>
          <w:szCs w:val="20"/>
        </w:rPr>
      </w:pPr>
    </w:p>
    <w:p w14:paraId="5C882D17" w14:textId="77777777" w:rsidR="00144F9A" w:rsidRDefault="00144F9A" w:rsidP="00EE098D">
      <w:pPr>
        <w:spacing w:line="480" w:lineRule="auto"/>
        <w:jc w:val="both"/>
        <w:rPr>
          <w:rFonts w:ascii="Arial" w:eastAsia="Calibri" w:hAnsi="Arial" w:cs="Arial"/>
          <w:bCs/>
          <w:sz w:val="20"/>
          <w:szCs w:val="20"/>
        </w:rPr>
      </w:pPr>
    </w:p>
    <w:p w14:paraId="1F6406B2" w14:textId="77777777" w:rsidR="0064229A" w:rsidRPr="00E11EC2" w:rsidRDefault="0064229A" w:rsidP="00EE098D">
      <w:pPr>
        <w:spacing w:line="480" w:lineRule="auto"/>
        <w:jc w:val="both"/>
        <w:rPr>
          <w:rFonts w:ascii="Arial" w:eastAsia="Calibri" w:hAnsi="Arial" w:cs="Arial"/>
          <w:bCs/>
          <w:sz w:val="20"/>
          <w:szCs w:val="20"/>
        </w:rPr>
      </w:pPr>
    </w:p>
    <w:p w14:paraId="0409C27B" w14:textId="07C8095E" w:rsidR="001F3109" w:rsidRPr="00EC6FA0" w:rsidRDefault="00F62958" w:rsidP="00EC6FA0">
      <w:pPr>
        <w:pStyle w:val="ListParagraph"/>
        <w:numPr>
          <w:ilvl w:val="0"/>
          <w:numId w:val="4"/>
        </w:numPr>
        <w:autoSpaceDE w:val="0"/>
        <w:autoSpaceDN w:val="0"/>
        <w:adjustRightInd w:val="0"/>
        <w:spacing w:after="0" w:line="480" w:lineRule="auto"/>
        <w:ind w:left="357" w:hanging="357"/>
        <w:rPr>
          <w:rFonts w:ascii="Arial" w:hAnsi="Arial" w:cs="Arial"/>
          <w:b/>
          <w:sz w:val="22"/>
          <w:szCs w:val="22"/>
        </w:rPr>
      </w:pPr>
      <w:r w:rsidRPr="00EC6FA0">
        <w:rPr>
          <w:rFonts w:ascii="Arial" w:hAnsi="Arial" w:cs="Arial"/>
          <w:b/>
          <w:sz w:val="22"/>
          <w:szCs w:val="22"/>
        </w:rPr>
        <w:t xml:space="preserve">MATERIALS AND </w:t>
      </w:r>
      <w:r w:rsidR="001F008B" w:rsidRPr="00EC6FA0">
        <w:rPr>
          <w:rFonts w:ascii="Arial" w:hAnsi="Arial" w:cs="Arial"/>
          <w:b/>
          <w:sz w:val="22"/>
          <w:szCs w:val="22"/>
        </w:rPr>
        <w:t>METHODS</w:t>
      </w:r>
    </w:p>
    <w:p w14:paraId="7D85A3FB" w14:textId="0AF0E014" w:rsidR="00E07D95" w:rsidRPr="00172A54" w:rsidRDefault="00B46D10" w:rsidP="009D5780">
      <w:pPr>
        <w:pStyle w:val="ListParagraph"/>
        <w:numPr>
          <w:ilvl w:val="1"/>
          <w:numId w:val="4"/>
        </w:numPr>
        <w:autoSpaceDE w:val="0"/>
        <w:autoSpaceDN w:val="0"/>
        <w:adjustRightInd w:val="0"/>
        <w:spacing w:after="0" w:line="480" w:lineRule="auto"/>
        <w:ind w:left="357" w:hanging="357"/>
        <w:rPr>
          <w:rFonts w:ascii="Arial" w:hAnsi="Arial" w:cs="Arial"/>
          <w:b/>
          <w:bCs/>
          <w:sz w:val="22"/>
          <w:szCs w:val="22"/>
        </w:rPr>
      </w:pPr>
      <w:r w:rsidRPr="00172A54">
        <w:rPr>
          <w:rFonts w:ascii="Arial" w:hAnsi="Arial" w:cs="Arial"/>
          <w:b/>
          <w:bCs/>
          <w:sz w:val="22"/>
          <w:szCs w:val="22"/>
        </w:rPr>
        <w:t>Study Design and Population</w:t>
      </w:r>
    </w:p>
    <w:p w14:paraId="0479DB47" w14:textId="70E0DCDB" w:rsidR="001F008B" w:rsidRPr="00172A54" w:rsidRDefault="001F008B" w:rsidP="00172A54">
      <w:pPr>
        <w:autoSpaceDE w:val="0"/>
        <w:autoSpaceDN w:val="0"/>
        <w:adjustRightInd w:val="0"/>
        <w:spacing w:after="0" w:line="480" w:lineRule="auto"/>
        <w:jc w:val="both"/>
        <w:rPr>
          <w:rFonts w:ascii="Arial" w:hAnsi="Arial" w:cs="Arial"/>
          <w:sz w:val="20"/>
          <w:szCs w:val="20"/>
        </w:rPr>
      </w:pPr>
      <w:r w:rsidRPr="00172A54">
        <w:rPr>
          <w:rFonts w:ascii="Arial" w:hAnsi="Arial" w:cs="Arial"/>
          <w:sz w:val="20"/>
          <w:szCs w:val="20"/>
        </w:rPr>
        <w:t>Th</w:t>
      </w:r>
      <w:r w:rsidR="00AF646C" w:rsidRPr="00172A54">
        <w:rPr>
          <w:rFonts w:ascii="Arial" w:hAnsi="Arial" w:cs="Arial"/>
          <w:sz w:val="20"/>
          <w:szCs w:val="20"/>
        </w:rPr>
        <w:t>e study</w:t>
      </w:r>
      <w:r w:rsidRPr="00172A54">
        <w:rPr>
          <w:rFonts w:ascii="Arial" w:hAnsi="Arial" w:cs="Arial"/>
          <w:sz w:val="20"/>
          <w:szCs w:val="20"/>
        </w:rPr>
        <w:t xml:space="preserve"> was a comparative cross-sectional study among 120 persons with T2DM attending the Diabetes clinic of </w:t>
      </w:r>
      <w:r w:rsidR="00CC7A00" w:rsidRPr="00172A54">
        <w:rPr>
          <w:rFonts w:ascii="Arial" w:hAnsi="Arial" w:cs="Arial"/>
          <w:sz w:val="20"/>
          <w:szCs w:val="20"/>
        </w:rPr>
        <w:t>a tertiary health facility in Nigeria</w:t>
      </w:r>
      <w:r w:rsidR="006653E3" w:rsidRPr="00172A54">
        <w:rPr>
          <w:rFonts w:ascii="Arial" w:hAnsi="Arial" w:cs="Arial"/>
          <w:sz w:val="20"/>
          <w:szCs w:val="20"/>
        </w:rPr>
        <w:t xml:space="preserve"> and </w:t>
      </w:r>
      <w:r w:rsidR="006A558B" w:rsidRPr="00172A54">
        <w:rPr>
          <w:rFonts w:ascii="Arial" w:hAnsi="Arial" w:cs="Arial"/>
          <w:sz w:val="20"/>
          <w:szCs w:val="20"/>
        </w:rPr>
        <w:t>60 apparently healthy control subjects, giving a total sample size of 180</w:t>
      </w:r>
      <w:r w:rsidR="006046E5" w:rsidRPr="00172A54">
        <w:rPr>
          <w:rFonts w:ascii="Arial" w:hAnsi="Arial" w:cs="Arial"/>
          <w:sz w:val="20"/>
          <w:szCs w:val="20"/>
        </w:rPr>
        <w:t xml:space="preserve"> </w:t>
      </w:r>
      <w:r w:rsidR="007B1537" w:rsidRPr="00172A54">
        <w:rPr>
          <w:rFonts w:ascii="Arial" w:hAnsi="Arial" w:cs="Arial"/>
          <w:sz w:val="20"/>
          <w:szCs w:val="20"/>
        </w:rPr>
        <w:t xml:space="preserve">which was </w:t>
      </w:r>
      <w:r w:rsidR="00E30866" w:rsidRPr="00172A54">
        <w:rPr>
          <w:rFonts w:ascii="Arial" w:hAnsi="Arial" w:cs="Arial"/>
          <w:sz w:val="20"/>
          <w:szCs w:val="20"/>
        </w:rPr>
        <w:t>utilized</w:t>
      </w:r>
      <w:r w:rsidR="006046E5" w:rsidRPr="00172A54">
        <w:rPr>
          <w:rFonts w:ascii="Arial" w:hAnsi="Arial" w:cs="Arial"/>
          <w:sz w:val="20"/>
          <w:szCs w:val="20"/>
        </w:rPr>
        <w:t xml:space="preserve"> in this </w:t>
      </w:r>
      <w:r w:rsidR="00742699" w:rsidRPr="00172A54">
        <w:rPr>
          <w:rFonts w:ascii="Arial" w:hAnsi="Arial" w:cs="Arial"/>
          <w:sz w:val="20"/>
          <w:szCs w:val="20"/>
        </w:rPr>
        <w:t>study</w:t>
      </w:r>
      <w:r w:rsidR="006046E5" w:rsidRPr="00172A54">
        <w:rPr>
          <w:rFonts w:ascii="Arial" w:hAnsi="Arial" w:cs="Arial"/>
          <w:sz w:val="20"/>
          <w:szCs w:val="20"/>
        </w:rPr>
        <w:t xml:space="preserve"> based on</w:t>
      </w:r>
      <w:r w:rsidR="00983840" w:rsidRPr="00172A54">
        <w:rPr>
          <w:rFonts w:ascii="Arial" w:hAnsi="Arial" w:cs="Arial"/>
          <w:sz w:val="20"/>
          <w:szCs w:val="20"/>
        </w:rPr>
        <w:t xml:space="preserve"> a previous </w:t>
      </w:r>
      <w:r w:rsidR="00742699" w:rsidRPr="00172A54">
        <w:rPr>
          <w:rFonts w:ascii="Arial" w:hAnsi="Arial" w:cs="Arial"/>
          <w:sz w:val="20"/>
          <w:szCs w:val="20"/>
        </w:rPr>
        <w:t>work</w:t>
      </w:r>
      <w:r w:rsidR="00983840" w:rsidRPr="00172A54">
        <w:rPr>
          <w:rFonts w:ascii="Arial" w:hAnsi="Arial" w:cs="Arial"/>
          <w:sz w:val="20"/>
          <w:szCs w:val="20"/>
        </w:rPr>
        <w:t xml:space="preserve"> by Haffner et al</w:t>
      </w:r>
      <w:r w:rsidR="00016F62" w:rsidRPr="00172A54">
        <w:rPr>
          <w:rFonts w:ascii="Arial" w:hAnsi="Arial" w:cs="Arial"/>
          <w:sz w:val="20"/>
          <w:szCs w:val="20"/>
        </w:rPr>
        <w:t xml:space="preserve"> </w:t>
      </w:r>
      <w:r w:rsidR="00300B0C" w:rsidRPr="00172A54">
        <w:rPr>
          <w:rFonts w:ascii="Arial" w:hAnsi="Arial" w:cs="Arial"/>
          <w:sz w:val="20"/>
          <w:szCs w:val="20"/>
        </w:rPr>
        <w:t>(</w:t>
      </w:r>
      <w:r w:rsidR="00300B0C" w:rsidRPr="00172A54">
        <w:rPr>
          <w:rFonts w:ascii="Arial" w:eastAsia="Calibri" w:hAnsi="Arial" w:cs="Arial"/>
          <w:sz w:val="20"/>
          <w:szCs w:val="20"/>
        </w:rPr>
        <w:t>Haffner et al</w:t>
      </w:r>
      <w:r w:rsidR="009304D5" w:rsidRPr="00172A54">
        <w:rPr>
          <w:rFonts w:ascii="Arial" w:eastAsia="Calibri" w:hAnsi="Arial" w:cs="Arial"/>
          <w:sz w:val="20"/>
          <w:szCs w:val="20"/>
        </w:rPr>
        <w:t>., 1999)</w:t>
      </w:r>
      <w:r w:rsidR="00016F62" w:rsidRPr="00172A54">
        <w:rPr>
          <w:rFonts w:ascii="Arial" w:hAnsi="Arial" w:cs="Arial"/>
          <w:sz w:val="20"/>
          <w:szCs w:val="20"/>
        </w:rPr>
        <w:t xml:space="preserve">. </w:t>
      </w:r>
      <w:r w:rsidR="00453FFE" w:rsidRPr="00172A54">
        <w:rPr>
          <w:rFonts w:ascii="Arial" w:hAnsi="Arial" w:cs="Arial"/>
          <w:sz w:val="20"/>
          <w:szCs w:val="20"/>
        </w:rPr>
        <w:t>A</w:t>
      </w:r>
      <w:r w:rsidRPr="00172A54">
        <w:rPr>
          <w:rFonts w:ascii="Arial" w:hAnsi="Arial" w:cs="Arial"/>
          <w:sz w:val="20"/>
          <w:szCs w:val="20"/>
        </w:rPr>
        <w:t xml:space="preserve">pproval for the study was obtained from the </w:t>
      </w:r>
      <w:r w:rsidR="00453FFE" w:rsidRPr="00172A54">
        <w:rPr>
          <w:rFonts w:ascii="Arial" w:hAnsi="Arial" w:cs="Arial"/>
          <w:sz w:val="20"/>
          <w:szCs w:val="20"/>
        </w:rPr>
        <w:t>e</w:t>
      </w:r>
      <w:r w:rsidRPr="00172A54">
        <w:rPr>
          <w:rFonts w:ascii="Arial" w:hAnsi="Arial" w:cs="Arial"/>
          <w:sz w:val="20"/>
          <w:szCs w:val="20"/>
        </w:rPr>
        <w:t xml:space="preserve">thics </w:t>
      </w:r>
      <w:r w:rsidR="00453FFE" w:rsidRPr="00172A54">
        <w:rPr>
          <w:rFonts w:ascii="Arial" w:hAnsi="Arial" w:cs="Arial"/>
          <w:sz w:val="20"/>
          <w:szCs w:val="20"/>
        </w:rPr>
        <w:t>c</w:t>
      </w:r>
      <w:r w:rsidRPr="00172A54">
        <w:rPr>
          <w:rFonts w:ascii="Arial" w:hAnsi="Arial" w:cs="Arial"/>
          <w:sz w:val="20"/>
          <w:szCs w:val="20"/>
        </w:rPr>
        <w:t xml:space="preserve">ommittee. </w:t>
      </w:r>
    </w:p>
    <w:p w14:paraId="0046AAF9" w14:textId="245F6C34" w:rsidR="001B0B9E" w:rsidRPr="00E11EC2" w:rsidRDefault="001B0B9E" w:rsidP="00EE098D">
      <w:pPr>
        <w:autoSpaceDE w:val="0"/>
        <w:autoSpaceDN w:val="0"/>
        <w:adjustRightInd w:val="0"/>
        <w:spacing w:after="0" w:line="480" w:lineRule="auto"/>
        <w:jc w:val="both"/>
        <w:rPr>
          <w:rFonts w:ascii="Arial" w:hAnsi="Arial" w:cs="Arial"/>
          <w:sz w:val="20"/>
          <w:szCs w:val="20"/>
        </w:rPr>
      </w:pPr>
      <w:r w:rsidRPr="00E11EC2">
        <w:rPr>
          <w:rFonts w:ascii="Arial" w:eastAsia="Times New Roman" w:hAnsi="Arial" w:cs="Arial"/>
          <w:sz w:val="20"/>
          <w:szCs w:val="20"/>
        </w:rPr>
        <w:t>Patients with T2DM, aged 30-65 years and on oral glucose lowering agents and consented to participate in the study were recruited for the study.</w:t>
      </w:r>
    </w:p>
    <w:p w14:paraId="49D1CB7D" w14:textId="67B2A40C" w:rsidR="001F008B" w:rsidRPr="00E11EC2" w:rsidRDefault="009C7E29" w:rsidP="00EE098D">
      <w:pPr>
        <w:autoSpaceDE w:val="0"/>
        <w:autoSpaceDN w:val="0"/>
        <w:adjustRightInd w:val="0"/>
        <w:spacing w:after="0" w:line="480" w:lineRule="auto"/>
        <w:jc w:val="both"/>
        <w:rPr>
          <w:rFonts w:ascii="Arial" w:hAnsi="Arial" w:cs="Arial"/>
          <w:sz w:val="20"/>
          <w:szCs w:val="20"/>
        </w:rPr>
      </w:pPr>
      <w:r w:rsidRPr="00E11EC2">
        <w:rPr>
          <w:rFonts w:ascii="Arial" w:hAnsi="Arial" w:cs="Arial"/>
          <w:sz w:val="20"/>
          <w:szCs w:val="20"/>
        </w:rPr>
        <w:t>Apparently healthy m</w:t>
      </w:r>
      <w:r w:rsidR="001F008B" w:rsidRPr="00E11EC2">
        <w:rPr>
          <w:rFonts w:ascii="Arial" w:hAnsi="Arial" w:cs="Arial"/>
          <w:sz w:val="20"/>
          <w:szCs w:val="20"/>
        </w:rPr>
        <w:t xml:space="preserve">embers of staff and relatives of patients in the hospital served as controls. </w:t>
      </w:r>
      <w:r w:rsidR="00651228" w:rsidRPr="00E11EC2">
        <w:rPr>
          <w:rFonts w:ascii="Arial" w:hAnsi="Arial" w:cs="Arial"/>
          <w:sz w:val="20"/>
          <w:szCs w:val="20"/>
        </w:rPr>
        <w:t>These were individuals greater than or equal to 30 years of age who did not have a history of diabetes mellitus, had a normal fasting plasma glucose (FPG &lt;110mg/dl) and gave consent to participate in the study</w:t>
      </w:r>
      <w:r w:rsidR="004F573C" w:rsidRPr="00E11EC2">
        <w:rPr>
          <w:rFonts w:ascii="Arial" w:hAnsi="Arial" w:cs="Arial"/>
          <w:sz w:val="20"/>
          <w:szCs w:val="20"/>
        </w:rPr>
        <w:t>.</w:t>
      </w:r>
    </w:p>
    <w:p w14:paraId="53044C49" w14:textId="66E4A07B" w:rsidR="004F573C" w:rsidRDefault="00E11E21" w:rsidP="00EE098D">
      <w:pPr>
        <w:autoSpaceDE w:val="0"/>
        <w:autoSpaceDN w:val="0"/>
        <w:adjustRightInd w:val="0"/>
        <w:spacing w:after="0" w:line="480" w:lineRule="auto"/>
        <w:jc w:val="both"/>
        <w:rPr>
          <w:rFonts w:ascii="Arial" w:hAnsi="Arial" w:cs="Arial"/>
          <w:sz w:val="20"/>
          <w:szCs w:val="20"/>
        </w:rPr>
      </w:pPr>
      <w:r w:rsidRPr="00E11EC2">
        <w:rPr>
          <w:rFonts w:ascii="Arial" w:hAnsi="Arial" w:cs="Arial"/>
          <w:sz w:val="20"/>
          <w:szCs w:val="20"/>
        </w:rPr>
        <w:t>Pregnant women, patients with thyroid disease</w:t>
      </w:r>
      <w:r w:rsidR="00D37E86" w:rsidRPr="00E11EC2">
        <w:rPr>
          <w:rFonts w:ascii="Arial" w:hAnsi="Arial" w:cs="Arial"/>
          <w:sz w:val="20"/>
          <w:szCs w:val="20"/>
        </w:rPr>
        <w:t>, goiter</w:t>
      </w:r>
      <w:r w:rsidR="006613C9" w:rsidRPr="00E11EC2">
        <w:rPr>
          <w:rFonts w:ascii="Arial" w:hAnsi="Arial" w:cs="Arial"/>
          <w:sz w:val="20"/>
          <w:szCs w:val="20"/>
        </w:rPr>
        <w:t xml:space="preserve"> or previous neck surgery</w:t>
      </w:r>
      <w:r w:rsidRPr="00E11EC2">
        <w:rPr>
          <w:rFonts w:ascii="Arial" w:hAnsi="Arial" w:cs="Arial"/>
          <w:sz w:val="20"/>
          <w:szCs w:val="20"/>
        </w:rPr>
        <w:t xml:space="preserve"> were excluded from the study</w:t>
      </w:r>
      <w:r w:rsidR="007B0B21" w:rsidRPr="00E11EC2">
        <w:rPr>
          <w:rFonts w:ascii="Arial" w:hAnsi="Arial" w:cs="Arial"/>
          <w:sz w:val="20"/>
          <w:szCs w:val="20"/>
        </w:rPr>
        <w:t>.</w:t>
      </w:r>
    </w:p>
    <w:p w14:paraId="0E15CBE1" w14:textId="0DB38EE5" w:rsidR="005F70EA" w:rsidRPr="00C45B79" w:rsidRDefault="005F70EA" w:rsidP="00C45B79">
      <w:pPr>
        <w:autoSpaceDE w:val="0"/>
        <w:autoSpaceDN w:val="0"/>
        <w:adjustRightInd w:val="0"/>
        <w:spacing w:after="0" w:line="480" w:lineRule="auto"/>
        <w:rPr>
          <w:rFonts w:ascii="Arial" w:hAnsi="Arial" w:cs="Arial"/>
          <w:b/>
          <w:bCs/>
        </w:rPr>
      </w:pPr>
      <w:r w:rsidRPr="00C45B79">
        <w:rPr>
          <w:rFonts w:ascii="Arial" w:hAnsi="Arial" w:cs="Arial"/>
          <w:b/>
          <w:bCs/>
        </w:rPr>
        <w:t>2.2 Data Collection</w:t>
      </w:r>
    </w:p>
    <w:p w14:paraId="1993F429" w14:textId="7C8014B9" w:rsidR="001F008B" w:rsidRPr="00E11EC2" w:rsidRDefault="001F008B" w:rsidP="00EE098D">
      <w:pPr>
        <w:spacing w:after="0" w:line="480" w:lineRule="auto"/>
        <w:jc w:val="both"/>
        <w:rPr>
          <w:rFonts w:ascii="Arial" w:hAnsi="Arial" w:cs="Arial"/>
          <w:sz w:val="20"/>
          <w:szCs w:val="20"/>
          <w:vertAlign w:val="superscript"/>
        </w:rPr>
      </w:pPr>
      <w:r w:rsidRPr="00E11EC2">
        <w:rPr>
          <w:rFonts w:ascii="Arial" w:hAnsi="Arial" w:cs="Arial"/>
          <w:sz w:val="20"/>
          <w:szCs w:val="20"/>
        </w:rPr>
        <w:t xml:space="preserve">Socio-demographic characteristics of the participants were obtained with the use of a pretested structured questionnaire. The following anthropometric measures were obtained </w:t>
      </w:r>
      <w:r w:rsidR="000E694C" w:rsidRPr="00E11EC2">
        <w:rPr>
          <w:rFonts w:ascii="Arial" w:hAnsi="Arial" w:cs="Arial"/>
          <w:sz w:val="20"/>
          <w:szCs w:val="20"/>
        </w:rPr>
        <w:t xml:space="preserve">following </w:t>
      </w:r>
      <w:r w:rsidR="00DB45CB" w:rsidRPr="00E11EC2">
        <w:rPr>
          <w:rFonts w:ascii="Arial" w:hAnsi="Arial" w:cs="Arial"/>
          <w:sz w:val="20"/>
          <w:szCs w:val="20"/>
        </w:rPr>
        <w:t xml:space="preserve">standard techniques </w:t>
      </w:r>
      <w:r w:rsidRPr="00E11EC2">
        <w:rPr>
          <w:rFonts w:ascii="Arial" w:hAnsi="Arial" w:cs="Arial"/>
          <w:sz w:val="20"/>
          <w:szCs w:val="20"/>
        </w:rPr>
        <w:t xml:space="preserve">and </w:t>
      </w:r>
      <w:r w:rsidR="006611BB" w:rsidRPr="00E11EC2">
        <w:rPr>
          <w:rFonts w:ascii="Arial" w:hAnsi="Arial" w:cs="Arial"/>
          <w:sz w:val="20"/>
          <w:szCs w:val="20"/>
        </w:rPr>
        <w:t>analyzed</w:t>
      </w:r>
      <w:r w:rsidRPr="00E11EC2">
        <w:rPr>
          <w:rFonts w:ascii="Arial" w:hAnsi="Arial" w:cs="Arial"/>
          <w:sz w:val="20"/>
          <w:szCs w:val="20"/>
        </w:rPr>
        <w:t xml:space="preserve">: </w:t>
      </w:r>
      <w:r w:rsidR="00F769B7" w:rsidRPr="00E11EC2">
        <w:rPr>
          <w:rFonts w:ascii="Arial" w:hAnsi="Arial" w:cs="Arial"/>
          <w:sz w:val="20"/>
          <w:szCs w:val="20"/>
        </w:rPr>
        <w:t xml:space="preserve">neck circumference (cm), </w:t>
      </w:r>
      <w:r w:rsidRPr="00E11EC2">
        <w:rPr>
          <w:rFonts w:ascii="Arial" w:hAnsi="Arial" w:cs="Arial"/>
          <w:sz w:val="20"/>
          <w:szCs w:val="20"/>
        </w:rPr>
        <w:t>weight (kg), height (m) and waist circumference (cm).</w:t>
      </w:r>
      <w:r w:rsidR="004E5E70" w:rsidRPr="00E11EC2">
        <w:rPr>
          <w:rFonts w:ascii="Arial" w:hAnsi="Arial" w:cs="Arial"/>
          <w:sz w:val="20"/>
          <w:szCs w:val="20"/>
        </w:rPr>
        <w:t xml:space="preserve"> </w:t>
      </w:r>
      <w:r w:rsidRPr="00E11EC2">
        <w:rPr>
          <w:rFonts w:ascii="Arial" w:hAnsi="Arial" w:cs="Arial"/>
          <w:sz w:val="20"/>
          <w:szCs w:val="20"/>
          <w:vertAlign w:val="superscript"/>
        </w:rPr>
        <w:t xml:space="preserve">            </w:t>
      </w:r>
    </w:p>
    <w:p w14:paraId="3C0005A7" w14:textId="77777777" w:rsidR="00AC7029" w:rsidRPr="00E11EC2" w:rsidRDefault="002A166C" w:rsidP="00EE098D">
      <w:pPr>
        <w:spacing w:after="0" w:line="480" w:lineRule="auto"/>
        <w:jc w:val="both"/>
        <w:rPr>
          <w:rFonts w:ascii="Arial" w:eastAsia="Calibri" w:hAnsi="Arial" w:cs="Arial"/>
          <w:sz w:val="20"/>
          <w:szCs w:val="20"/>
        </w:rPr>
      </w:pPr>
      <w:r w:rsidRPr="00E11EC2">
        <w:rPr>
          <w:rFonts w:ascii="Arial" w:eastAsia="Calibri" w:hAnsi="Arial" w:cs="Arial"/>
          <w:sz w:val="20"/>
          <w:szCs w:val="20"/>
        </w:rPr>
        <w:t xml:space="preserve">Neck circumference </w:t>
      </w:r>
      <w:r w:rsidR="007A2A62" w:rsidRPr="00E11EC2">
        <w:rPr>
          <w:rFonts w:ascii="Arial" w:eastAsia="Calibri" w:hAnsi="Arial" w:cs="Arial"/>
          <w:sz w:val="20"/>
          <w:szCs w:val="20"/>
        </w:rPr>
        <w:t>was</w:t>
      </w:r>
      <w:r w:rsidRPr="00E11EC2">
        <w:rPr>
          <w:rFonts w:ascii="Arial" w:eastAsia="Calibri" w:hAnsi="Arial" w:cs="Arial"/>
          <w:sz w:val="20"/>
          <w:szCs w:val="20"/>
        </w:rPr>
        <w:t xml:space="preserve"> measured </w:t>
      </w:r>
      <w:r w:rsidR="007A2A62" w:rsidRPr="00E11EC2">
        <w:rPr>
          <w:rFonts w:ascii="Arial" w:eastAsia="Calibri" w:hAnsi="Arial" w:cs="Arial"/>
          <w:sz w:val="20"/>
          <w:szCs w:val="20"/>
        </w:rPr>
        <w:t>with the tape measure</w:t>
      </w:r>
      <w:r w:rsidR="00137B2C" w:rsidRPr="00E11EC2">
        <w:rPr>
          <w:rFonts w:ascii="Arial" w:eastAsia="Calibri" w:hAnsi="Arial" w:cs="Arial"/>
          <w:sz w:val="20"/>
          <w:szCs w:val="20"/>
        </w:rPr>
        <w:t xml:space="preserve">, </w:t>
      </w:r>
      <w:r w:rsidR="003964FD" w:rsidRPr="00E11EC2">
        <w:rPr>
          <w:rFonts w:ascii="Arial" w:eastAsia="Calibri" w:hAnsi="Arial" w:cs="Arial"/>
          <w:sz w:val="20"/>
          <w:szCs w:val="20"/>
        </w:rPr>
        <w:t xml:space="preserve">which </w:t>
      </w:r>
      <w:r w:rsidR="007919EC" w:rsidRPr="00E11EC2">
        <w:rPr>
          <w:rFonts w:ascii="Arial" w:eastAsia="Calibri" w:hAnsi="Arial" w:cs="Arial"/>
          <w:sz w:val="20"/>
          <w:szCs w:val="20"/>
        </w:rPr>
        <w:t>was</w:t>
      </w:r>
      <w:r w:rsidR="003964FD" w:rsidRPr="00E11EC2">
        <w:rPr>
          <w:rFonts w:ascii="Arial" w:eastAsia="Calibri" w:hAnsi="Arial" w:cs="Arial"/>
          <w:sz w:val="20"/>
          <w:szCs w:val="20"/>
        </w:rPr>
        <w:t xml:space="preserve"> </w:t>
      </w:r>
      <w:r w:rsidR="00B2715F" w:rsidRPr="00E11EC2">
        <w:rPr>
          <w:rFonts w:ascii="Arial" w:eastAsia="Calibri" w:hAnsi="Arial" w:cs="Arial"/>
          <w:sz w:val="20"/>
          <w:szCs w:val="20"/>
        </w:rPr>
        <w:t xml:space="preserve">held perpendicular to the long axis </w:t>
      </w:r>
      <w:r w:rsidR="00761EE0" w:rsidRPr="00E11EC2">
        <w:rPr>
          <w:rFonts w:ascii="Arial" w:eastAsia="Calibri" w:hAnsi="Arial" w:cs="Arial"/>
          <w:sz w:val="20"/>
          <w:szCs w:val="20"/>
        </w:rPr>
        <w:t xml:space="preserve">of the neck </w:t>
      </w:r>
      <w:r w:rsidR="00137B2C" w:rsidRPr="00E11EC2">
        <w:rPr>
          <w:rFonts w:ascii="Arial" w:eastAsia="Calibri" w:hAnsi="Arial" w:cs="Arial"/>
          <w:sz w:val="20"/>
          <w:szCs w:val="20"/>
        </w:rPr>
        <w:t xml:space="preserve">with </w:t>
      </w:r>
      <w:r w:rsidRPr="00E11EC2">
        <w:rPr>
          <w:rFonts w:ascii="Arial" w:eastAsia="Calibri" w:hAnsi="Arial" w:cs="Arial"/>
          <w:sz w:val="20"/>
          <w:szCs w:val="20"/>
        </w:rPr>
        <w:t>the superior border of the tape measure placed</w:t>
      </w:r>
      <w:r w:rsidR="008D1A28" w:rsidRPr="00E11EC2">
        <w:rPr>
          <w:rFonts w:ascii="Arial" w:eastAsia="Calibri" w:hAnsi="Arial" w:cs="Arial"/>
          <w:sz w:val="20"/>
          <w:szCs w:val="20"/>
        </w:rPr>
        <w:t xml:space="preserve"> </w:t>
      </w:r>
      <w:r w:rsidRPr="00E11EC2">
        <w:rPr>
          <w:rFonts w:ascii="Arial" w:eastAsia="Calibri" w:hAnsi="Arial" w:cs="Arial"/>
          <w:sz w:val="20"/>
          <w:szCs w:val="20"/>
        </w:rPr>
        <w:t>just below the laryngeal prominence</w:t>
      </w:r>
      <w:r w:rsidR="008C79BB" w:rsidRPr="00E11EC2">
        <w:rPr>
          <w:rFonts w:ascii="Arial" w:eastAsia="Calibri" w:hAnsi="Arial" w:cs="Arial"/>
          <w:sz w:val="20"/>
          <w:szCs w:val="20"/>
        </w:rPr>
        <w:t xml:space="preserve"> </w:t>
      </w:r>
      <w:r w:rsidR="00F466D2" w:rsidRPr="00E11EC2">
        <w:rPr>
          <w:rFonts w:ascii="Arial" w:eastAsia="Calibri" w:hAnsi="Arial" w:cs="Arial"/>
          <w:sz w:val="20"/>
          <w:szCs w:val="20"/>
        </w:rPr>
        <w:t>(</w:t>
      </w:r>
      <w:r w:rsidR="00F466D2" w:rsidRPr="0042542F">
        <w:rPr>
          <w:rFonts w:ascii="Arial" w:eastAsia="Calibri" w:hAnsi="Arial" w:cs="Arial"/>
          <w:sz w:val="20"/>
          <w:szCs w:val="20"/>
        </w:rPr>
        <w:t>Kumar</w:t>
      </w:r>
      <w:r w:rsidR="003D707F" w:rsidRPr="00E11EC2">
        <w:rPr>
          <w:rFonts w:ascii="Arial" w:eastAsia="Calibri" w:hAnsi="Arial" w:cs="Arial"/>
          <w:sz w:val="20"/>
          <w:szCs w:val="20"/>
        </w:rPr>
        <w:t xml:space="preserve"> et al</w:t>
      </w:r>
      <w:r w:rsidR="00320938" w:rsidRPr="00E11EC2">
        <w:rPr>
          <w:rFonts w:ascii="Arial" w:eastAsia="Calibri" w:hAnsi="Arial" w:cs="Arial"/>
          <w:sz w:val="20"/>
          <w:szCs w:val="20"/>
        </w:rPr>
        <w:t xml:space="preserve">., 2014; </w:t>
      </w:r>
      <w:r w:rsidR="00896DE7" w:rsidRPr="0042542F">
        <w:rPr>
          <w:rFonts w:ascii="Arial" w:eastAsia="Calibri" w:hAnsi="Arial" w:cs="Arial"/>
          <w:sz w:val="20"/>
          <w:szCs w:val="20"/>
        </w:rPr>
        <w:t>Ben-Noun</w:t>
      </w:r>
      <w:r w:rsidR="00896DE7" w:rsidRPr="00E11EC2">
        <w:rPr>
          <w:rFonts w:ascii="Arial" w:eastAsia="Calibri" w:hAnsi="Arial" w:cs="Arial"/>
          <w:sz w:val="20"/>
          <w:szCs w:val="20"/>
        </w:rPr>
        <w:t xml:space="preserve"> </w:t>
      </w:r>
      <w:r w:rsidR="00896DE7" w:rsidRPr="0042542F">
        <w:rPr>
          <w:rFonts w:ascii="Arial" w:eastAsia="Calibri" w:hAnsi="Arial" w:cs="Arial"/>
          <w:sz w:val="20"/>
          <w:szCs w:val="20"/>
        </w:rPr>
        <w:t xml:space="preserve">&amp; Laor, 2006). </w:t>
      </w:r>
      <w:r w:rsidR="00F466D2" w:rsidRPr="00E11EC2">
        <w:rPr>
          <w:rFonts w:ascii="Arial" w:eastAsia="Calibri" w:hAnsi="Arial" w:cs="Arial"/>
          <w:sz w:val="20"/>
          <w:szCs w:val="20"/>
        </w:rPr>
        <w:t xml:space="preserve">  </w:t>
      </w:r>
      <w:r w:rsidRPr="00E11EC2">
        <w:rPr>
          <w:rFonts w:ascii="Arial" w:eastAsia="Calibri" w:hAnsi="Arial" w:cs="Arial"/>
          <w:sz w:val="20"/>
          <w:szCs w:val="20"/>
        </w:rPr>
        <w:t xml:space="preserve">Normal value: </w:t>
      </w:r>
      <w:r w:rsidR="0076425F" w:rsidRPr="00E11EC2">
        <w:rPr>
          <w:rFonts w:ascii="Arial" w:eastAsia="Calibri" w:hAnsi="Arial" w:cs="Arial"/>
          <w:sz w:val="20"/>
          <w:szCs w:val="20"/>
        </w:rPr>
        <w:t>i</w:t>
      </w:r>
      <w:r w:rsidRPr="00E11EC2">
        <w:rPr>
          <w:rFonts w:ascii="Arial" w:eastAsia="Calibri" w:hAnsi="Arial" w:cs="Arial"/>
          <w:sz w:val="20"/>
          <w:szCs w:val="20"/>
        </w:rPr>
        <w:t xml:space="preserve">n males &lt; 37cms and in females &lt; 34 </w:t>
      </w:r>
      <w:proofErr w:type="spellStart"/>
      <w:r w:rsidRPr="00E11EC2">
        <w:rPr>
          <w:rFonts w:ascii="Arial" w:eastAsia="Calibri" w:hAnsi="Arial" w:cs="Arial"/>
          <w:sz w:val="20"/>
          <w:szCs w:val="20"/>
        </w:rPr>
        <w:t>cms</w:t>
      </w:r>
      <w:proofErr w:type="spellEnd"/>
      <w:r w:rsidR="007A52B2" w:rsidRPr="00E11EC2">
        <w:rPr>
          <w:rFonts w:ascii="Arial" w:eastAsia="Calibri" w:hAnsi="Arial" w:cs="Arial"/>
          <w:sz w:val="20"/>
          <w:szCs w:val="20"/>
        </w:rPr>
        <w:t xml:space="preserve"> </w:t>
      </w:r>
      <w:r w:rsidR="008C79BB" w:rsidRPr="00E11EC2">
        <w:rPr>
          <w:rFonts w:ascii="Arial" w:hAnsi="Arial" w:cs="Arial"/>
          <w:sz w:val="20"/>
          <w:szCs w:val="20"/>
        </w:rPr>
        <w:t>(</w:t>
      </w:r>
      <w:r w:rsidR="008C79BB" w:rsidRPr="0042542F">
        <w:rPr>
          <w:rFonts w:ascii="Arial" w:eastAsia="Calibri" w:hAnsi="Arial" w:cs="Arial"/>
          <w:sz w:val="20"/>
          <w:szCs w:val="20"/>
        </w:rPr>
        <w:t>Kumar</w:t>
      </w:r>
      <w:r w:rsidR="008C79BB" w:rsidRPr="00E11EC2">
        <w:rPr>
          <w:rFonts w:ascii="Arial" w:eastAsia="Calibri" w:hAnsi="Arial" w:cs="Arial"/>
          <w:sz w:val="20"/>
          <w:szCs w:val="20"/>
        </w:rPr>
        <w:t xml:space="preserve"> et al., 2014)</w:t>
      </w:r>
      <w:r w:rsidR="00AC7029" w:rsidRPr="00E11EC2">
        <w:rPr>
          <w:rFonts w:ascii="Arial" w:eastAsia="Calibri" w:hAnsi="Arial" w:cs="Arial"/>
          <w:sz w:val="20"/>
          <w:szCs w:val="20"/>
        </w:rPr>
        <w:t>.</w:t>
      </w:r>
    </w:p>
    <w:p w14:paraId="45F26087" w14:textId="1164A62E" w:rsidR="001434C9" w:rsidRPr="00E11EC2" w:rsidRDefault="001F008B" w:rsidP="00EE098D">
      <w:pPr>
        <w:spacing w:after="0" w:line="480" w:lineRule="auto"/>
        <w:jc w:val="both"/>
        <w:rPr>
          <w:rFonts w:ascii="Arial" w:hAnsi="Arial" w:cs="Arial"/>
          <w:sz w:val="20"/>
          <w:szCs w:val="20"/>
        </w:rPr>
      </w:pPr>
      <w:r w:rsidRPr="00E11EC2">
        <w:rPr>
          <w:rFonts w:ascii="Arial" w:hAnsi="Arial" w:cs="Arial"/>
          <w:sz w:val="20"/>
          <w:szCs w:val="20"/>
        </w:rPr>
        <w:t xml:space="preserve">Fasting plasma glucose was analyzed by glucose oxidase method. Fasting plasma insulin levels were determined using the </w:t>
      </w:r>
      <w:proofErr w:type="spellStart"/>
      <w:r w:rsidRPr="00E11EC2">
        <w:rPr>
          <w:rFonts w:ascii="Arial" w:hAnsi="Arial" w:cs="Arial"/>
          <w:sz w:val="20"/>
          <w:szCs w:val="20"/>
        </w:rPr>
        <w:t>Calbiotech</w:t>
      </w:r>
      <w:proofErr w:type="spellEnd"/>
      <w:r w:rsidRPr="00E11EC2">
        <w:rPr>
          <w:rFonts w:ascii="Arial" w:hAnsi="Arial" w:cs="Arial"/>
          <w:sz w:val="20"/>
          <w:szCs w:val="20"/>
        </w:rPr>
        <w:t xml:space="preserve"> Human Insulin ELISA kit</w:t>
      </w:r>
      <w:r w:rsidRPr="00E11EC2">
        <w:rPr>
          <w:rFonts w:ascii="Arial" w:eastAsia="Calibri" w:hAnsi="Arial" w:cs="Arial"/>
          <w:sz w:val="20"/>
          <w:szCs w:val="20"/>
        </w:rPr>
        <w:t xml:space="preserve">. Insulin resistance was </w:t>
      </w:r>
      <w:r w:rsidR="0082580F" w:rsidRPr="00E11EC2">
        <w:rPr>
          <w:rFonts w:ascii="Arial" w:eastAsia="Calibri" w:hAnsi="Arial" w:cs="Arial"/>
          <w:sz w:val="20"/>
          <w:szCs w:val="20"/>
        </w:rPr>
        <w:t>determined</w:t>
      </w:r>
      <w:r w:rsidRPr="00E11EC2">
        <w:rPr>
          <w:rFonts w:ascii="Arial" w:eastAsia="Calibri" w:hAnsi="Arial" w:cs="Arial"/>
          <w:sz w:val="20"/>
          <w:szCs w:val="20"/>
        </w:rPr>
        <w:t xml:space="preserve"> using the Homeostatic Model Assessment-Insulin Resistance (HOMA-IR) model, as derived from the formula</w:t>
      </w:r>
      <w:r w:rsidR="007D4ACC" w:rsidRPr="00E11EC2">
        <w:rPr>
          <w:rFonts w:ascii="Arial" w:eastAsia="Calibri" w:hAnsi="Arial" w:cs="Arial"/>
          <w:sz w:val="20"/>
          <w:szCs w:val="20"/>
        </w:rPr>
        <w:t xml:space="preserve"> </w:t>
      </w:r>
      <w:r w:rsidR="00D95C01" w:rsidRPr="00E11EC2">
        <w:rPr>
          <w:rFonts w:ascii="Arial" w:eastAsia="Calibri" w:hAnsi="Arial" w:cs="Arial"/>
          <w:sz w:val="20"/>
          <w:szCs w:val="20"/>
        </w:rPr>
        <w:t>(</w:t>
      </w:r>
      <w:r w:rsidR="00D95C01" w:rsidRPr="00C907D4">
        <w:rPr>
          <w:rFonts w:ascii="Arial" w:eastAsia="Calibri" w:hAnsi="Arial" w:cs="Arial"/>
          <w:sz w:val="20"/>
          <w:szCs w:val="20"/>
        </w:rPr>
        <w:t>Matthews</w:t>
      </w:r>
      <w:r w:rsidR="00D95C01" w:rsidRPr="00E11EC2">
        <w:rPr>
          <w:rFonts w:ascii="Arial" w:eastAsia="Calibri" w:hAnsi="Arial" w:cs="Arial"/>
          <w:sz w:val="20"/>
          <w:szCs w:val="20"/>
        </w:rPr>
        <w:t xml:space="preserve"> et al</w:t>
      </w:r>
      <w:r w:rsidR="00264B1D" w:rsidRPr="00E11EC2">
        <w:rPr>
          <w:rFonts w:ascii="Arial" w:eastAsia="Calibri" w:hAnsi="Arial" w:cs="Arial"/>
          <w:sz w:val="20"/>
          <w:szCs w:val="20"/>
        </w:rPr>
        <w:t xml:space="preserve">., </w:t>
      </w:r>
      <w:proofErr w:type="gramStart"/>
      <w:r w:rsidR="00264B1D" w:rsidRPr="00E11EC2">
        <w:rPr>
          <w:rFonts w:ascii="Arial" w:eastAsia="Calibri" w:hAnsi="Arial" w:cs="Arial"/>
          <w:sz w:val="20"/>
          <w:szCs w:val="20"/>
        </w:rPr>
        <w:t xml:space="preserve">1985; </w:t>
      </w:r>
      <w:r w:rsidR="00D95C01" w:rsidRPr="00E11EC2">
        <w:rPr>
          <w:rFonts w:ascii="Arial" w:eastAsia="Calibri" w:hAnsi="Arial" w:cs="Arial"/>
          <w:sz w:val="20"/>
          <w:szCs w:val="20"/>
        </w:rPr>
        <w:t xml:space="preserve"> </w:t>
      </w:r>
      <w:r w:rsidR="00DD2601" w:rsidRPr="00C907D4">
        <w:rPr>
          <w:rFonts w:ascii="Arial" w:eastAsia="Calibri" w:hAnsi="Arial" w:cs="Arial"/>
          <w:sz w:val="20"/>
          <w:szCs w:val="20"/>
        </w:rPr>
        <w:t>Wallace</w:t>
      </w:r>
      <w:proofErr w:type="gramEnd"/>
      <w:r w:rsidR="00DD2601" w:rsidRPr="00E11EC2">
        <w:rPr>
          <w:rFonts w:ascii="Arial" w:eastAsia="Calibri" w:hAnsi="Arial" w:cs="Arial"/>
          <w:sz w:val="20"/>
          <w:szCs w:val="20"/>
        </w:rPr>
        <w:t xml:space="preserve"> et al</w:t>
      </w:r>
      <w:r w:rsidR="007D4ACC" w:rsidRPr="00E11EC2">
        <w:rPr>
          <w:rFonts w:ascii="Arial" w:eastAsia="Calibri" w:hAnsi="Arial" w:cs="Arial"/>
          <w:sz w:val="20"/>
          <w:szCs w:val="20"/>
        </w:rPr>
        <w:t>., 2004)</w:t>
      </w:r>
      <w:r w:rsidR="00D0737B" w:rsidRPr="00E11EC2">
        <w:rPr>
          <w:rFonts w:ascii="Arial" w:eastAsia="Calibri" w:hAnsi="Arial" w:cs="Arial"/>
          <w:sz w:val="20"/>
          <w:szCs w:val="20"/>
        </w:rPr>
        <w:t>:</w:t>
      </w:r>
    </w:p>
    <w:p w14:paraId="161909F1" w14:textId="77777777" w:rsidR="007A52B2" w:rsidRPr="00E11EC2" w:rsidRDefault="007A52B2" w:rsidP="00EE098D">
      <w:pPr>
        <w:spacing w:after="0" w:line="480" w:lineRule="auto"/>
        <w:jc w:val="both"/>
        <w:rPr>
          <w:rFonts w:ascii="Arial" w:eastAsia="Calibri" w:hAnsi="Arial" w:cs="Arial"/>
          <w:sz w:val="20"/>
          <w:szCs w:val="20"/>
        </w:rPr>
      </w:pPr>
    </w:p>
    <w:p w14:paraId="1ADBE878" w14:textId="77777777" w:rsidR="001F008B" w:rsidRPr="00E11EC2" w:rsidRDefault="001F008B" w:rsidP="00EE098D">
      <w:pPr>
        <w:autoSpaceDE w:val="0"/>
        <w:autoSpaceDN w:val="0"/>
        <w:adjustRightInd w:val="0"/>
        <w:spacing w:after="0" w:line="480" w:lineRule="auto"/>
        <w:jc w:val="both"/>
        <w:rPr>
          <w:rFonts w:ascii="Arial" w:eastAsia="Calibri" w:hAnsi="Arial" w:cs="Arial"/>
          <w:sz w:val="20"/>
          <w:szCs w:val="20"/>
          <w:u w:val="single"/>
        </w:rPr>
      </w:pPr>
      <w:r w:rsidRPr="00E11EC2">
        <w:rPr>
          <w:rFonts w:ascii="Arial" w:eastAsia="Calibri" w:hAnsi="Arial" w:cs="Arial"/>
          <w:sz w:val="20"/>
          <w:szCs w:val="20"/>
        </w:rPr>
        <w:lastRenderedPageBreak/>
        <w:t xml:space="preserve">      HOMA-IR = </w:t>
      </w:r>
      <w:r w:rsidRPr="00E11EC2">
        <w:rPr>
          <w:rFonts w:ascii="Arial" w:eastAsia="Calibri" w:hAnsi="Arial" w:cs="Arial"/>
          <w:sz w:val="20"/>
          <w:szCs w:val="20"/>
          <w:u w:val="single"/>
        </w:rPr>
        <w:t>fasting glucose (mmol/L) X fasting insulin (</w:t>
      </w:r>
      <w:proofErr w:type="spellStart"/>
      <w:r w:rsidRPr="00E11EC2">
        <w:rPr>
          <w:rFonts w:ascii="Arial" w:eastAsia="Calibri" w:hAnsi="Arial" w:cs="Arial"/>
          <w:sz w:val="20"/>
          <w:szCs w:val="20"/>
          <w:u w:val="single"/>
        </w:rPr>
        <w:t>mU</w:t>
      </w:r>
      <w:proofErr w:type="spellEnd"/>
      <w:r w:rsidRPr="00E11EC2">
        <w:rPr>
          <w:rFonts w:ascii="Arial" w:eastAsia="Calibri" w:hAnsi="Arial" w:cs="Arial"/>
          <w:sz w:val="20"/>
          <w:szCs w:val="20"/>
          <w:u w:val="single"/>
        </w:rPr>
        <w:t xml:space="preserve">/L)    </w:t>
      </w:r>
    </w:p>
    <w:p w14:paraId="0172017D" w14:textId="77777777" w:rsidR="001F008B" w:rsidRPr="00E11EC2" w:rsidRDefault="001F008B" w:rsidP="00EE098D">
      <w:pPr>
        <w:spacing w:after="0" w:line="480" w:lineRule="auto"/>
        <w:jc w:val="both"/>
        <w:rPr>
          <w:rFonts w:ascii="Arial" w:eastAsia="Calibri" w:hAnsi="Arial" w:cs="Arial"/>
          <w:sz w:val="20"/>
          <w:szCs w:val="20"/>
        </w:rPr>
      </w:pPr>
      <w:r w:rsidRPr="00E11EC2">
        <w:rPr>
          <w:rFonts w:ascii="Arial" w:eastAsia="Calibri" w:hAnsi="Arial" w:cs="Arial"/>
          <w:sz w:val="20"/>
          <w:szCs w:val="20"/>
        </w:rPr>
        <w:tab/>
      </w:r>
      <w:r w:rsidRPr="00E11EC2">
        <w:rPr>
          <w:rFonts w:ascii="Arial" w:eastAsia="Calibri" w:hAnsi="Arial" w:cs="Arial"/>
          <w:sz w:val="20"/>
          <w:szCs w:val="20"/>
        </w:rPr>
        <w:tab/>
        <w:t xml:space="preserve">                             22.5                             </w:t>
      </w:r>
    </w:p>
    <w:p w14:paraId="6787AF20" w14:textId="2F0AA6C4" w:rsidR="004617CC" w:rsidRPr="00E11EC2" w:rsidRDefault="004617CC" w:rsidP="00EE098D">
      <w:pPr>
        <w:autoSpaceDE w:val="0"/>
        <w:autoSpaceDN w:val="0"/>
        <w:adjustRightInd w:val="0"/>
        <w:spacing w:after="0" w:line="480" w:lineRule="auto"/>
        <w:jc w:val="both"/>
        <w:rPr>
          <w:rFonts w:ascii="Arial" w:hAnsi="Arial" w:cs="Arial"/>
          <w:sz w:val="20"/>
          <w:szCs w:val="20"/>
        </w:rPr>
      </w:pPr>
      <w:r w:rsidRPr="00E11EC2">
        <w:rPr>
          <w:rFonts w:ascii="Arial" w:hAnsi="Arial" w:cs="Arial"/>
          <w:sz w:val="20"/>
          <w:szCs w:val="20"/>
        </w:rPr>
        <w:t xml:space="preserve">The study </w:t>
      </w:r>
      <w:r w:rsidR="00AB3F5A" w:rsidRPr="00E11EC2">
        <w:rPr>
          <w:rFonts w:ascii="Arial" w:hAnsi="Arial" w:cs="Arial"/>
          <w:sz w:val="20"/>
          <w:szCs w:val="20"/>
        </w:rPr>
        <w:t>was carried out over</w:t>
      </w:r>
      <w:r w:rsidRPr="00E11EC2">
        <w:rPr>
          <w:rFonts w:ascii="Arial" w:hAnsi="Arial" w:cs="Arial"/>
          <w:sz w:val="20"/>
          <w:szCs w:val="20"/>
        </w:rPr>
        <w:t xml:space="preserve"> 6 months. Informed consent was obtained from each study participant. </w:t>
      </w:r>
    </w:p>
    <w:p w14:paraId="13A03BBB" w14:textId="77777777" w:rsidR="006D4599" w:rsidRPr="00E11EC2" w:rsidRDefault="006D4599" w:rsidP="00EE098D">
      <w:pPr>
        <w:autoSpaceDE w:val="0"/>
        <w:autoSpaceDN w:val="0"/>
        <w:adjustRightInd w:val="0"/>
        <w:spacing w:after="0" w:line="480" w:lineRule="auto"/>
        <w:jc w:val="both"/>
        <w:rPr>
          <w:rFonts w:ascii="Arial" w:hAnsi="Arial" w:cs="Arial"/>
          <w:sz w:val="20"/>
          <w:szCs w:val="20"/>
        </w:rPr>
      </w:pPr>
    </w:p>
    <w:p w14:paraId="7C114556" w14:textId="7A7B2914" w:rsidR="001F3109" w:rsidRPr="001433CD" w:rsidRDefault="00203B9C" w:rsidP="001433CD">
      <w:pPr>
        <w:autoSpaceDE w:val="0"/>
        <w:autoSpaceDN w:val="0"/>
        <w:adjustRightInd w:val="0"/>
        <w:spacing w:after="0" w:line="480" w:lineRule="auto"/>
        <w:rPr>
          <w:rFonts w:ascii="Arial" w:hAnsi="Arial" w:cs="Arial"/>
          <w:b/>
          <w:bCs/>
        </w:rPr>
      </w:pPr>
      <w:r w:rsidRPr="001433CD">
        <w:rPr>
          <w:rFonts w:ascii="Arial" w:hAnsi="Arial" w:cs="Arial"/>
          <w:b/>
          <w:bCs/>
        </w:rPr>
        <w:t>2.3</w:t>
      </w:r>
      <w:r w:rsidR="001433CD" w:rsidRPr="001433CD">
        <w:rPr>
          <w:rFonts w:ascii="Arial" w:hAnsi="Arial" w:cs="Arial"/>
          <w:b/>
          <w:bCs/>
        </w:rPr>
        <w:t xml:space="preserve"> </w:t>
      </w:r>
      <w:r w:rsidR="001F3109" w:rsidRPr="001433CD">
        <w:rPr>
          <w:rFonts w:ascii="Arial" w:hAnsi="Arial" w:cs="Arial"/>
          <w:b/>
          <w:bCs/>
        </w:rPr>
        <w:t>Data Analysis</w:t>
      </w:r>
    </w:p>
    <w:p w14:paraId="2C6152D0" w14:textId="6A0C1509" w:rsidR="001F008B" w:rsidRPr="00E11EC2" w:rsidRDefault="001F008B" w:rsidP="00EE098D">
      <w:pPr>
        <w:spacing w:after="0" w:line="480" w:lineRule="auto"/>
        <w:jc w:val="both"/>
        <w:rPr>
          <w:rFonts w:ascii="Arial" w:eastAsia="Calibri" w:hAnsi="Arial" w:cs="Arial"/>
          <w:sz w:val="20"/>
          <w:szCs w:val="20"/>
        </w:rPr>
      </w:pPr>
      <w:r w:rsidRPr="00E11EC2">
        <w:rPr>
          <w:rFonts w:ascii="Arial" w:hAnsi="Arial" w:cs="Arial"/>
          <w:sz w:val="20"/>
          <w:szCs w:val="20"/>
        </w:rPr>
        <w:t xml:space="preserve">Statistical analysis was done using Statistical Package for Social Sciences version 22. </w:t>
      </w:r>
      <w:r w:rsidRPr="00E11EC2">
        <w:rPr>
          <w:rFonts w:ascii="Arial" w:eastAsia="Calibri" w:hAnsi="Arial" w:cs="Arial"/>
          <w:sz w:val="20"/>
          <w:szCs w:val="20"/>
        </w:rPr>
        <w:t xml:space="preserve">Categorical variables such as sociodemographic characteristics, lifestyle variables and medical history were presented using frequency tables, and histograms while quantitative variables were presented as means ± standard deviation and median (interquartile range) where appropriate. The comparison of means between patients with T2DM and control subjects was done using the student t-test. Chi-square, Fisher’s exact test and spearman’s correlation analysis were utilized as applicable. </w:t>
      </w:r>
      <w:r w:rsidR="0063035F" w:rsidRPr="00E11EC2">
        <w:rPr>
          <w:rFonts w:ascii="Arial" w:eastAsia="Calibri" w:hAnsi="Arial" w:cs="Arial"/>
          <w:i/>
          <w:iCs/>
          <w:sz w:val="20"/>
          <w:szCs w:val="20"/>
        </w:rPr>
        <w:t>P</w:t>
      </w:r>
      <w:r w:rsidRPr="00E11EC2">
        <w:rPr>
          <w:rFonts w:ascii="Arial" w:eastAsia="Calibri" w:hAnsi="Arial" w:cs="Arial"/>
          <w:sz w:val="20"/>
          <w:szCs w:val="20"/>
        </w:rPr>
        <w:t xml:space="preserve"> value &lt;0.05 was considered statistically significant. </w:t>
      </w:r>
    </w:p>
    <w:p w14:paraId="24C273F5" w14:textId="77777777" w:rsidR="001F008B" w:rsidRPr="00E11EC2" w:rsidRDefault="001F008B" w:rsidP="00EE098D">
      <w:pPr>
        <w:spacing w:after="0" w:line="480" w:lineRule="auto"/>
        <w:jc w:val="both"/>
        <w:rPr>
          <w:rFonts w:ascii="Arial" w:eastAsia="Calibri" w:hAnsi="Arial" w:cs="Arial"/>
          <w:sz w:val="20"/>
          <w:szCs w:val="20"/>
        </w:rPr>
      </w:pPr>
    </w:p>
    <w:p w14:paraId="0E3EE0DF" w14:textId="7200A61F" w:rsidR="001F008B" w:rsidRPr="00DD01CF" w:rsidRDefault="00634CBB" w:rsidP="00DD01CF">
      <w:pPr>
        <w:pStyle w:val="ListParagraph"/>
        <w:numPr>
          <w:ilvl w:val="0"/>
          <w:numId w:val="4"/>
        </w:numPr>
        <w:spacing w:after="0" w:line="480" w:lineRule="auto"/>
        <w:ind w:left="357" w:hanging="357"/>
        <w:rPr>
          <w:rFonts w:ascii="Arial" w:eastAsia="Calibri" w:hAnsi="Arial" w:cs="Arial"/>
          <w:b/>
          <w:bCs/>
          <w:sz w:val="22"/>
          <w:szCs w:val="22"/>
        </w:rPr>
      </w:pPr>
      <w:r w:rsidRPr="00DD01CF">
        <w:rPr>
          <w:rFonts w:ascii="Arial" w:eastAsia="Calibri" w:hAnsi="Arial" w:cs="Arial"/>
          <w:b/>
          <w:bCs/>
          <w:sz w:val="22"/>
          <w:szCs w:val="22"/>
        </w:rPr>
        <w:t>RESULTS</w:t>
      </w:r>
    </w:p>
    <w:p w14:paraId="5D2BC700" w14:textId="63483171" w:rsidR="00634CBB" w:rsidRPr="00E11EC2" w:rsidRDefault="00A75588" w:rsidP="00EE098D">
      <w:pPr>
        <w:spacing w:after="0" w:line="480" w:lineRule="auto"/>
        <w:jc w:val="both"/>
        <w:rPr>
          <w:rFonts w:ascii="Arial" w:eastAsia="Calibri" w:hAnsi="Arial" w:cs="Arial"/>
          <w:sz w:val="20"/>
          <w:szCs w:val="20"/>
        </w:rPr>
      </w:pPr>
      <w:r w:rsidRPr="00E11EC2">
        <w:rPr>
          <w:rFonts w:ascii="Arial" w:eastAsia="Calibri" w:hAnsi="Arial" w:cs="Arial"/>
          <w:sz w:val="20"/>
          <w:szCs w:val="20"/>
        </w:rPr>
        <w:t>S</w:t>
      </w:r>
      <w:r w:rsidR="007E1B71" w:rsidRPr="00E11EC2">
        <w:rPr>
          <w:rFonts w:ascii="Arial" w:eastAsia="Calibri" w:hAnsi="Arial" w:cs="Arial"/>
          <w:sz w:val="20"/>
          <w:szCs w:val="20"/>
        </w:rPr>
        <w:t xml:space="preserve">ubjects with </w:t>
      </w:r>
      <w:r w:rsidR="003C54F7" w:rsidRPr="00E11EC2">
        <w:rPr>
          <w:rFonts w:ascii="Arial" w:eastAsia="Calibri" w:hAnsi="Arial" w:cs="Arial"/>
          <w:sz w:val="20"/>
          <w:szCs w:val="20"/>
        </w:rPr>
        <w:t>T2DM</w:t>
      </w:r>
      <w:r w:rsidRPr="00E11EC2">
        <w:rPr>
          <w:rFonts w:ascii="Arial" w:eastAsia="Calibri" w:hAnsi="Arial" w:cs="Arial"/>
          <w:sz w:val="20"/>
          <w:szCs w:val="20"/>
        </w:rPr>
        <w:t xml:space="preserve"> comprised of</w:t>
      </w:r>
      <w:r w:rsidR="003C54F7" w:rsidRPr="00E11EC2">
        <w:rPr>
          <w:rFonts w:ascii="Arial" w:eastAsia="Calibri" w:hAnsi="Arial" w:cs="Arial"/>
          <w:sz w:val="20"/>
          <w:szCs w:val="20"/>
        </w:rPr>
        <w:t xml:space="preserve"> 86 </w:t>
      </w:r>
      <w:r w:rsidR="006F1DFD" w:rsidRPr="00E11EC2">
        <w:rPr>
          <w:rFonts w:ascii="Arial" w:eastAsia="Calibri" w:hAnsi="Arial" w:cs="Arial"/>
          <w:sz w:val="20"/>
          <w:szCs w:val="20"/>
        </w:rPr>
        <w:t>females</w:t>
      </w:r>
      <w:r w:rsidR="003C54F7" w:rsidRPr="00E11EC2">
        <w:rPr>
          <w:rFonts w:ascii="Arial" w:eastAsia="Calibri" w:hAnsi="Arial" w:cs="Arial"/>
          <w:sz w:val="20"/>
          <w:szCs w:val="20"/>
        </w:rPr>
        <w:t>, while</w:t>
      </w:r>
      <w:r w:rsidR="006F1DFD" w:rsidRPr="00E11EC2">
        <w:rPr>
          <w:rFonts w:ascii="Arial" w:eastAsia="Calibri" w:hAnsi="Arial" w:cs="Arial"/>
          <w:sz w:val="20"/>
          <w:szCs w:val="20"/>
        </w:rPr>
        <w:t xml:space="preserve"> 34 were males</w:t>
      </w:r>
      <w:r w:rsidR="00094DBD" w:rsidRPr="00E11EC2">
        <w:rPr>
          <w:rFonts w:ascii="Arial" w:eastAsia="Calibri" w:hAnsi="Arial" w:cs="Arial"/>
          <w:sz w:val="20"/>
          <w:szCs w:val="20"/>
        </w:rPr>
        <w:t xml:space="preserve">, with </w:t>
      </w:r>
      <w:r w:rsidR="006D7579" w:rsidRPr="00E11EC2">
        <w:rPr>
          <w:rFonts w:ascii="Arial" w:eastAsia="Calibri" w:hAnsi="Arial" w:cs="Arial"/>
          <w:sz w:val="20"/>
          <w:szCs w:val="20"/>
        </w:rPr>
        <w:t xml:space="preserve">52.5% of T2DM subjects in the </w:t>
      </w:r>
      <w:proofErr w:type="gramStart"/>
      <w:r w:rsidR="006D7579" w:rsidRPr="00E11EC2">
        <w:rPr>
          <w:rFonts w:ascii="Arial" w:eastAsia="Calibri" w:hAnsi="Arial" w:cs="Arial"/>
          <w:sz w:val="20"/>
          <w:szCs w:val="20"/>
        </w:rPr>
        <w:t>51-60 year</w:t>
      </w:r>
      <w:proofErr w:type="gramEnd"/>
      <w:r w:rsidR="006D7579" w:rsidRPr="00E11EC2">
        <w:rPr>
          <w:rFonts w:ascii="Arial" w:eastAsia="Calibri" w:hAnsi="Arial" w:cs="Arial"/>
          <w:sz w:val="20"/>
          <w:szCs w:val="20"/>
        </w:rPr>
        <w:t xml:space="preserve"> age group</w:t>
      </w:r>
      <w:r w:rsidR="00E21882" w:rsidRPr="00E11EC2">
        <w:rPr>
          <w:rFonts w:ascii="Arial" w:eastAsia="Calibri" w:hAnsi="Arial" w:cs="Arial"/>
          <w:sz w:val="20"/>
          <w:szCs w:val="20"/>
        </w:rPr>
        <w:t xml:space="preserve"> (Table 1)</w:t>
      </w:r>
      <w:r w:rsidR="006B6DDB" w:rsidRPr="00E11EC2">
        <w:rPr>
          <w:rFonts w:ascii="Arial" w:eastAsia="Calibri" w:hAnsi="Arial" w:cs="Arial"/>
          <w:sz w:val="20"/>
          <w:szCs w:val="20"/>
        </w:rPr>
        <w:t>.</w:t>
      </w:r>
      <w:r w:rsidR="003C54F7" w:rsidRPr="00E11EC2">
        <w:rPr>
          <w:rFonts w:ascii="Arial" w:eastAsia="Calibri" w:hAnsi="Arial" w:cs="Arial"/>
          <w:sz w:val="20"/>
          <w:szCs w:val="20"/>
        </w:rPr>
        <w:t xml:space="preserve"> </w:t>
      </w:r>
    </w:p>
    <w:p w14:paraId="078D311B" w14:textId="0A6DC77D" w:rsidR="0087676F" w:rsidRPr="00E11EC2" w:rsidRDefault="0087676F" w:rsidP="00EE098D">
      <w:pPr>
        <w:spacing w:line="480" w:lineRule="auto"/>
        <w:jc w:val="both"/>
        <w:rPr>
          <w:rFonts w:ascii="Arial" w:hAnsi="Arial" w:cs="Arial"/>
          <w:sz w:val="20"/>
          <w:szCs w:val="20"/>
        </w:rPr>
      </w:pPr>
      <w:r w:rsidRPr="00E11EC2">
        <w:rPr>
          <w:rFonts w:ascii="Arial" w:hAnsi="Arial" w:cs="Arial"/>
          <w:sz w:val="20"/>
          <w:szCs w:val="20"/>
        </w:rPr>
        <w:t xml:space="preserve">The mean ± SD NC among </w:t>
      </w:r>
      <w:r w:rsidR="00636D31" w:rsidRPr="00E11EC2">
        <w:rPr>
          <w:rFonts w:ascii="Arial" w:hAnsi="Arial" w:cs="Arial"/>
          <w:sz w:val="20"/>
          <w:szCs w:val="20"/>
        </w:rPr>
        <w:t xml:space="preserve">subjects with </w:t>
      </w:r>
      <w:r w:rsidRPr="00E11EC2">
        <w:rPr>
          <w:rFonts w:ascii="Arial" w:hAnsi="Arial" w:cs="Arial"/>
          <w:sz w:val="20"/>
          <w:szCs w:val="20"/>
        </w:rPr>
        <w:t xml:space="preserve">T2DM was </w:t>
      </w:r>
      <w:r w:rsidR="00E24045" w:rsidRPr="00E11EC2">
        <w:rPr>
          <w:rFonts w:ascii="Arial" w:hAnsi="Arial" w:cs="Arial"/>
          <w:sz w:val="20"/>
          <w:szCs w:val="20"/>
        </w:rPr>
        <w:t>34.30 ± 3.09</w:t>
      </w:r>
      <w:r w:rsidR="00636D31" w:rsidRPr="00E11EC2">
        <w:rPr>
          <w:rFonts w:ascii="Arial" w:hAnsi="Arial" w:cs="Arial"/>
          <w:sz w:val="20"/>
          <w:szCs w:val="20"/>
        </w:rPr>
        <w:t xml:space="preserve"> and this</w:t>
      </w:r>
      <w:r w:rsidR="001F488E" w:rsidRPr="00E11EC2">
        <w:rPr>
          <w:rFonts w:ascii="Arial" w:hAnsi="Arial" w:cs="Arial"/>
          <w:sz w:val="20"/>
          <w:szCs w:val="20"/>
        </w:rPr>
        <w:t xml:space="preserve"> was</w:t>
      </w:r>
      <w:r w:rsidR="00E24045" w:rsidRPr="00E11EC2">
        <w:rPr>
          <w:rFonts w:ascii="Arial" w:hAnsi="Arial" w:cs="Arial"/>
          <w:sz w:val="20"/>
          <w:szCs w:val="20"/>
        </w:rPr>
        <w:t xml:space="preserve"> </w:t>
      </w:r>
      <w:r w:rsidRPr="00E11EC2">
        <w:rPr>
          <w:rFonts w:ascii="Arial" w:hAnsi="Arial" w:cs="Arial"/>
          <w:sz w:val="20"/>
          <w:szCs w:val="20"/>
        </w:rPr>
        <w:t xml:space="preserve">found to be slightly lower than the value obtained for controls (34.81 ± 2.61) but not statistically </w:t>
      </w:r>
      <w:r w:rsidR="00EF7098" w:rsidRPr="00E11EC2">
        <w:rPr>
          <w:rFonts w:ascii="Arial" w:hAnsi="Arial" w:cs="Arial"/>
          <w:sz w:val="20"/>
          <w:szCs w:val="20"/>
        </w:rPr>
        <w:t>significant,</w:t>
      </w:r>
      <w:r w:rsidR="001F488E" w:rsidRPr="00E11EC2">
        <w:rPr>
          <w:rFonts w:ascii="Arial" w:hAnsi="Arial" w:cs="Arial"/>
          <w:sz w:val="20"/>
          <w:szCs w:val="20"/>
        </w:rPr>
        <w:t xml:space="preserve"> </w:t>
      </w:r>
      <w:r w:rsidR="0063035F" w:rsidRPr="00E11EC2">
        <w:rPr>
          <w:rFonts w:ascii="Arial" w:hAnsi="Arial" w:cs="Arial"/>
          <w:i/>
          <w:iCs/>
          <w:sz w:val="20"/>
          <w:szCs w:val="20"/>
        </w:rPr>
        <w:t>P</w:t>
      </w:r>
      <w:r w:rsidRPr="00E11EC2">
        <w:rPr>
          <w:rFonts w:ascii="Arial" w:hAnsi="Arial" w:cs="Arial"/>
          <w:sz w:val="20"/>
          <w:szCs w:val="20"/>
        </w:rPr>
        <w:t>&gt;0.05</w:t>
      </w:r>
      <w:r w:rsidR="001F488E" w:rsidRPr="00E11EC2">
        <w:rPr>
          <w:rFonts w:ascii="Arial" w:hAnsi="Arial" w:cs="Arial"/>
          <w:sz w:val="20"/>
          <w:szCs w:val="20"/>
        </w:rPr>
        <w:t xml:space="preserve"> (Table </w:t>
      </w:r>
      <w:r w:rsidR="00E21882" w:rsidRPr="00E11EC2">
        <w:rPr>
          <w:rFonts w:ascii="Arial" w:hAnsi="Arial" w:cs="Arial"/>
          <w:sz w:val="20"/>
          <w:szCs w:val="20"/>
        </w:rPr>
        <w:t>2</w:t>
      </w:r>
      <w:r w:rsidR="001F488E" w:rsidRPr="00E11EC2">
        <w:rPr>
          <w:rFonts w:ascii="Arial" w:hAnsi="Arial" w:cs="Arial"/>
          <w:sz w:val="20"/>
          <w:szCs w:val="20"/>
        </w:rPr>
        <w:t>)</w:t>
      </w:r>
      <w:r w:rsidRPr="00E11EC2">
        <w:rPr>
          <w:rFonts w:ascii="Arial" w:hAnsi="Arial" w:cs="Arial"/>
          <w:sz w:val="20"/>
          <w:szCs w:val="20"/>
        </w:rPr>
        <w:t>.</w:t>
      </w:r>
      <w:r w:rsidR="00453A1E" w:rsidRPr="00E11EC2">
        <w:rPr>
          <w:rFonts w:ascii="Arial" w:hAnsi="Arial" w:cs="Arial"/>
          <w:sz w:val="20"/>
          <w:szCs w:val="20"/>
        </w:rPr>
        <w:t xml:space="preserve"> </w:t>
      </w:r>
      <w:r w:rsidR="00F71D0F" w:rsidRPr="00E11EC2">
        <w:rPr>
          <w:rFonts w:ascii="Arial" w:hAnsi="Arial" w:cs="Arial"/>
          <w:sz w:val="20"/>
          <w:szCs w:val="20"/>
        </w:rPr>
        <w:t xml:space="preserve">However, </w:t>
      </w:r>
      <w:r w:rsidR="00F71D0F" w:rsidRPr="00E11EC2">
        <w:rPr>
          <w:rFonts w:ascii="Arial" w:eastAsia="Calibri" w:hAnsi="Arial" w:cs="Arial"/>
          <w:sz w:val="20"/>
          <w:szCs w:val="20"/>
        </w:rPr>
        <w:t xml:space="preserve">median </w:t>
      </w:r>
      <w:r w:rsidR="00F71D0F" w:rsidRPr="00E11EC2">
        <w:rPr>
          <w:rFonts w:ascii="Arial" w:hAnsi="Arial" w:cs="Arial"/>
          <w:sz w:val="20"/>
          <w:szCs w:val="20"/>
        </w:rPr>
        <w:t xml:space="preserve">HOMA-IR of the T2DM subjects was significantly higher than that of controls [2.26 (2.57) vs 1.59 (1.53), </w:t>
      </w:r>
      <w:r w:rsidR="001E773D" w:rsidRPr="00E11EC2">
        <w:rPr>
          <w:rFonts w:ascii="Arial" w:hAnsi="Arial" w:cs="Arial"/>
          <w:i/>
          <w:iCs/>
          <w:sz w:val="20"/>
          <w:szCs w:val="20"/>
        </w:rPr>
        <w:t>P</w:t>
      </w:r>
      <w:r w:rsidR="00F71D0F" w:rsidRPr="00E11EC2">
        <w:rPr>
          <w:rFonts w:ascii="Arial" w:hAnsi="Arial" w:cs="Arial"/>
          <w:sz w:val="20"/>
          <w:szCs w:val="20"/>
        </w:rPr>
        <w:t>=0.002]</w:t>
      </w:r>
      <w:r w:rsidR="00E33D10" w:rsidRPr="00E11EC2">
        <w:rPr>
          <w:rFonts w:ascii="Arial" w:hAnsi="Arial" w:cs="Arial"/>
          <w:sz w:val="20"/>
          <w:szCs w:val="20"/>
        </w:rPr>
        <w:t xml:space="preserve"> as depicted in Table 2.</w:t>
      </w:r>
    </w:p>
    <w:p w14:paraId="6E1A5B3A" w14:textId="54CDADDA" w:rsidR="000C5F67" w:rsidRPr="00E11EC2" w:rsidRDefault="000C5F67" w:rsidP="00EE098D">
      <w:pPr>
        <w:spacing w:line="480" w:lineRule="auto"/>
        <w:jc w:val="both"/>
        <w:rPr>
          <w:rFonts w:ascii="Arial" w:hAnsi="Arial" w:cs="Arial"/>
          <w:sz w:val="20"/>
          <w:szCs w:val="20"/>
        </w:rPr>
      </w:pPr>
      <w:r w:rsidRPr="00E11EC2">
        <w:rPr>
          <w:rFonts w:ascii="Arial" w:hAnsi="Arial" w:cs="Arial"/>
          <w:sz w:val="20"/>
          <w:szCs w:val="20"/>
        </w:rPr>
        <w:t>T</w:t>
      </w:r>
      <w:r w:rsidR="00A466BE" w:rsidRPr="00E11EC2">
        <w:rPr>
          <w:rFonts w:ascii="Arial" w:hAnsi="Arial" w:cs="Arial"/>
          <w:sz w:val="20"/>
          <w:szCs w:val="20"/>
        </w:rPr>
        <w:t xml:space="preserve">able </w:t>
      </w:r>
      <w:r w:rsidR="006E017E" w:rsidRPr="00E11EC2">
        <w:rPr>
          <w:rFonts w:ascii="Arial" w:hAnsi="Arial" w:cs="Arial"/>
          <w:sz w:val="20"/>
          <w:szCs w:val="20"/>
        </w:rPr>
        <w:t>3</w:t>
      </w:r>
      <w:r w:rsidR="00A466BE" w:rsidRPr="00E11EC2">
        <w:rPr>
          <w:rFonts w:ascii="Arial" w:hAnsi="Arial" w:cs="Arial"/>
          <w:sz w:val="20"/>
          <w:szCs w:val="20"/>
        </w:rPr>
        <w:t xml:space="preserve"> shows that male participants with T2DM had higher NC compared to their female counterparts and this was </w:t>
      </w:r>
      <w:r w:rsidR="00757E9B" w:rsidRPr="00E11EC2">
        <w:rPr>
          <w:rFonts w:ascii="Arial" w:hAnsi="Arial" w:cs="Arial"/>
          <w:sz w:val="20"/>
          <w:szCs w:val="20"/>
        </w:rPr>
        <w:t>statistically</w:t>
      </w:r>
      <w:r w:rsidR="00A466BE" w:rsidRPr="00E11EC2">
        <w:rPr>
          <w:rFonts w:ascii="Arial" w:hAnsi="Arial" w:cs="Arial"/>
          <w:sz w:val="20"/>
          <w:szCs w:val="20"/>
        </w:rPr>
        <w:t xml:space="preserve"> significant</w:t>
      </w:r>
      <w:r w:rsidR="00757E9B" w:rsidRPr="00E11EC2">
        <w:rPr>
          <w:rFonts w:ascii="Arial" w:hAnsi="Arial" w:cs="Arial"/>
          <w:sz w:val="20"/>
          <w:szCs w:val="20"/>
        </w:rPr>
        <w:t xml:space="preserve"> </w:t>
      </w:r>
      <w:r w:rsidR="00B42ADA" w:rsidRPr="00E11EC2">
        <w:rPr>
          <w:rFonts w:ascii="Arial" w:hAnsi="Arial" w:cs="Arial"/>
          <w:sz w:val="20"/>
          <w:szCs w:val="20"/>
        </w:rPr>
        <w:t>(</w:t>
      </w:r>
      <w:r w:rsidR="001E773D" w:rsidRPr="00E11EC2">
        <w:rPr>
          <w:rFonts w:ascii="Arial" w:hAnsi="Arial" w:cs="Arial"/>
          <w:i/>
          <w:iCs/>
          <w:sz w:val="20"/>
          <w:szCs w:val="20"/>
        </w:rPr>
        <w:t>P</w:t>
      </w:r>
      <w:r w:rsidR="00B42ADA" w:rsidRPr="00E11EC2">
        <w:rPr>
          <w:rFonts w:ascii="Arial" w:hAnsi="Arial" w:cs="Arial"/>
          <w:sz w:val="20"/>
          <w:szCs w:val="20"/>
        </w:rPr>
        <w:t>=0.01).</w:t>
      </w:r>
      <w:r w:rsidR="0054166D" w:rsidRPr="00E11EC2">
        <w:rPr>
          <w:rFonts w:ascii="Arial" w:hAnsi="Arial" w:cs="Arial"/>
          <w:sz w:val="20"/>
          <w:szCs w:val="20"/>
        </w:rPr>
        <w:t xml:space="preserve"> </w:t>
      </w:r>
      <w:r w:rsidR="00971C4A" w:rsidRPr="00E11EC2">
        <w:rPr>
          <w:rFonts w:ascii="Arial" w:hAnsi="Arial" w:cs="Arial"/>
          <w:sz w:val="20"/>
          <w:szCs w:val="20"/>
        </w:rPr>
        <w:t>A similar</w:t>
      </w:r>
      <w:r w:rsidR="0054166D" w:rsidRPr="00E11EC2">
        <w:rPr>
          <w:rFonts w:ascii="Arial" w:hAnsi="Arial" w:cs="Arial"/>
          <w:sz w:val="20"/>
          <w:szCs w:val="20"/>
        </w:rPr>
        <w:t xml:space="preserve"> pattern was observed among the controls but without statistical significance.</w:t>
      </w:r>
    </w:p>
    <w:p w14:paraId="779E4C46" w14:textId="393622FE" w:rsidR="00997B12" w:rsidRPr="00E11EC2" w:rsidRDefault="00997B12" w:rsidP="00EE098D">
      <w:pPr>
        <w:spacing w:after="0" w:line="480" w:lineRule="auto"/>
        <w:jc w:val="both"/>
        <w:rPr>
          <w:rFonts w:ascii="Arial" w:hAnsi="Arial" w:cs="Arial"/>
          <w:sz w:val="20"/>
          <w:szCs w:val="20"/>
        </w:rPr>
      </w:pPr>
      <w:r w:rsidRPr="00E11EC2">
        <w:rPr>
          <w:rFonts w:ascii="Arial" w:hAnsi="Arial" w:cs="Arial"/>
          <w:sz w:val="20"/>
          <w:szCs w:val="20"/>
        </w:rPr>
        <w:t xml:space="preserve">Table </w:t>
      </w:r>
      <w:r w:rsidR="006E017E" w:rsidRPr="00E11EC2">
        <w:rPr>
          <w:rFonts w:ascii="Arial" w:hAnsi="Arial" w:cs="Arial"/>
          <w:sz w:val="20"/>
          <w:szCs w:val="20"/>
        </w:rPr>
        <w:t>4</w:t>
      </w:r>
      <w:r w:rsidRPr="00E11EC2">
        <w:rPr>
          <w:rFonts w:ascii="Arial" w:hAnsi="Arial" w:cs="Arial"/>
          <w:sz w:val="20"/>
          <w:szCs w:val="20"/>
        </w:rPr>
        <w:t xml:space="preserve"> shows the relationship between NC and HOMA-IR among </w:t>
      </w:r>
      <w:r w:rsidR="0044767C" w:rsidRPr="00E11EC2">
        <w:rPr>
          <w:rFonts w:ascii="Arial" w:hAnsi="Arial" w:cs="Arial"/>
          <w:sz w:val="20"/>
          <w:szCs w:val="20"/>
        </w:rPr>
        <w:t xml:space="preserve">subjects with </w:t>
      </w:r>
      <w:r w:rsidRPr="00E11EC2">
        <w:rPr>
          <w:rFonts w:ascii="Arial" w:hAnsi="Arial" w:cs="Arial"/>
          <w:sz w:val="20"/>
          <w:szCs w:val="20"/>
        </w:rPr>
        <w:t xml:space="preserve">T2DM and controls. A moderate significant correlation was observed between NC and HOMA-IR among controls (rho = 0.34; </w:t>
      </w:r>
      <w:r w:rsidR="001E773D" w:rsidRPr="00E11EC2">
        <w:rPr>
          <w:rFonts w:ascii="Arial" w:hAnsi="Arial" w:cs="Arial"/>
          <w:i/>
          <w:iCs/>
          <w:sz w:val="20"/>
          <w:szCs w:val="20"/>
        </w:rPr>
        <w:t>P</w:t>
      </w:r>
      <w:r w:rsidRPr="00E11EC2">
        <w:rPr>
          <w:rFonts w:ascii="Arial" w:hAnsi="Arial" w:cs="Arial"/>
          <w:sz w:val="20"/>
          <w:szCs w:val="20"/>
        </w:rPr>
        <w:t xml:space="preserve"> = 0.01) but not among </w:t>
      </w:r>
      <w:r w:rsidR="0075377A" w:rsidRPr="00E11EC2">
        <w:rPr>
          <w:rFonts w:ascii="Arial" w:hAnsi="Arial" w:cs="Arial"/>
          <w:sz w:val="20"/>
          <w:szCs w:val="20"/>
        </w:rPr>
        <w:t xml:space="preserve">participants with </w:t>
      </w:r>
      <w:r w:rsidRPr="00E11EC2">
        <w:rPr>
          <w:rFonts w:ascii="Arial" w:hAnsi="Arial" w:cs="Arial"/>
          <w:sz w:val="20"/>
          <w:szCs w:val="20"/>
        </w:rPr>
        <w:t xml:space="preserve">T2DM (rho = 0.13; </w:t>
      </w:r>
      <w:r w:rsidR="001E773D" w:rsidRPr="00E11EC2">
        <w:rPr>
          <w:rFonts w:ascii="Arial" w:hAnsi="Arial" w:cs="Arial"/>
          <w:i/>
          <w:iCs/>
          <w:sz w:val="20"/>
          <w:szCs w:val="20"/>
        </w:rPr>
        <w:t>P</w:t>
      </w:r>
      <w:r w:rsidRPr="00E11EC2">
        <w:rPr>
          <w:rFonts w:ascii="Arial" w:hAnsi="Arial" w:cs="Arial"/>
          <w:sz w:val="20"/>
          <w:szCs w:val="20"/>
        </w:rPr>
        <w:t>=0.16).</w:t>
      </w:r>
    </w:p>
    <w:p w14:paraId="1C8B1562" w14:textId="77777777" w:rsidR="004846A6" w:rsidRDefault="00693AFB" w:rsidP="004846A6">
      <w:pPr>
        <w:spacing w:line="480" w:lineRule="auto"/>
        <w:jc w:val="both"/>
        <w:rPr>
          <w:rFonts w:ascii="Arial" w:hAnsi="Arial" w:cs="Arial"/>
          <w:sz w:val="20"/>
          <w:szCs w:val="20"/>
        </w:rPr>
      </w:pPr>
      <w:r w:rsidRPr="00E11EC2">
        <w:rPr>
          <w:rFonts w:ascii="Arial" w:hAnsi="Arial" w:cs="Arial"/>
          <w:sz w:val="20"/>
          <w:szCs w:val="20"/>
        </w:rPr>
        <w:t xml:space="preserve">Table </w:t>
      </w:r>
      <w:r w:rsidR="006D368E" w:rsidRPr="00E11EC2">
        <w:rPr>
          <w:rFonts w:ascii="Arial" w:hAnsi="Arial" w:cs="Arial"/>
          <w:sz w:val="20"/>
          <w:szCs w:val="20"/>
        </w:rPr>
        <w:t>5</w:t>
      </w:r>
      <w:r w:rsidRPr="00E11EC2">
        <w:rPr>
          <w:rFonts w:ascii="Arial" w:hAnsi="Arial" w:cs="Arial"/>
          <w:sz w:val="20"/>
          <w:szCs w:val="20"/>
        </w:rPr>
        <w:t xml:space="preserve"> shows the relationship between NC and other cardiometabolic factors, including body mass index (BMI), waist circumference, waist-hip ratio, blood pressure, </w:t>
      </w:r>
      <w:r w:rsidR="00CA02B2" w:rsidRPr="00E11EC2">
        <w:rPr>
          <w:rFonts w:ascii="Arial" w:hAnsi="Arial" w:cs="Arial"/>
          <w:sz w:val="20"/>
          <w:szCs w:val="20"/>
        </w:rPr>
        <w:t xml:space="preserve">and </w:t>
      </w:r>
      <w:r w:rsidRPr="00E11EC2">
        <w:rPr>
          <w:rFonts w:ascii="Arial" w:hAnsi="Arial" w:cs="Arial"/>
          <w:sz w:val="20"/>
          <w:szCs w:val="20"/>
        </w:rPr>
        <w:t xml:space="preserve">lipid profiles </w:t>
      </w:r>
      <w:r w:rsidRPr="00E11EC2">
        <w:rPr>
          <w:rFonts w:ascii="Arial" w:hAnsi="Arial" w:cs="Arial"/>
          <w:bCs/>
          <w:sz w:val="20"/>
          <w:szCs w:val="20"/>
        </w:rPr>
        <w:t xml:space="preserve">among </w:t>
      </w:r>
      <w:r w:rsidR="00CA02B2" w:rsidRPr="00E11EC2">
        <w:rPr>
          <w:rFonts w:ascii="Arial" w:hAnsi="Arial" w:cs="Arial"/>
          <w:bCs/>
          <w:sz w:val="20"/>
          <w:szCs w:val="20"/>
        </w:rPr>
        <w:t xml:space="preserve">patients with </w:t>
      </w:r>
      <w:r w:rsidRPr="00E11EC2">
        <w:rPr>
          <w:rFonts w:ascii="Arial" w:hAnsi="Arial" w:cs="Arial"/>
          <w:bCs/>
          <w:sz w:val="20"/>
          <w:szCs w:val="20"/>
        </w:rPr>
        <w:t>T2DM</w:t>
      </w:r>
      <w:r w:rsidRPr="00E11EC2">
        <w:rPr>
          <w:rFonts w:ascii="Arial" w:hAnsi="Arial" w:cs="Arial"/>
          <w:sz w:val="20"/>
          <w:szCs w:val="20"/>
        </w:rPr>
        <w:t xml:space="preserve">. </w:t>
      </w:r>
      <w:r w:rsidR="007E6645" w:rsidRPr="00E11EC2">
        <w:rPr>
          <w:rFonts w:ascii="Arial" w:hAnsi="Arial" w:cs="Arial"/>
          <w:sz w:val="20"/>
          <w:szCs w:val="20"/>
        </w:rPr>
        <w:t>A</w:t>
      </w:r>
      <w:r w:rsidRPr="00E11EC2">
        <w:rPr>
          <w:rFonts w:ascii="Arial" w:hAnsi="Arial" w:cs="Arial"/>
          <w:sz w:val="20"/>
          <w:szCs w:val="20"/>
        </w:rPr>
        <w:t xml:space="preserve"> moderate significant relationship existed between NC and BMI (rho = 0.30; </w:t>
      </w:r>
      <w:r w:rsidR="00286CFD" w:rsidRPr="00E11EC2">
        <w:rPr>
          <w:rFonts w:ascii="Arial" w:hAnsi="Arial" w:cs="Arial"/>
          <w:i/>
          <w:iCs/>
          <w:sz w:val="20"/>
          <w:szCs w:val="20"/>
        </w:rPr>
        <w:t>P</w:t>
      </w:r>
      <w:r w:rsidRPr="00E11EC2">
        <w:rPr>
          <w:rFonts w:ascii="Arial" w:hAnsi="Arial" w:cs="Arial"/>
          <w:sz w:val="20"/>
          <w:szCs w:val="20"/>
        </w:rPr>
        <w:t xml:space="preserve"> = 0.001), waist </w:t>
      </w:r>
      <w:r w:rsidRPr="00E11EC2">
        <w:rPr>
          <w:rFonts w:ascii="Arial" w:hAnsi="Arial" w:cs="Arial"/>
          <w:sz w:val="20"/>
          <w:szCs w:val="20"/>
        </w:rPr>
        <w:lastRenderedPageBreak/>
        <w:t xml:space="preserve">circumference (rho = 0.48; </w:t>
      </w:r>
      <w:r w:rsidR="00286CFD" w:rsidRPr="00E11EC2">
        <w:rPr>
          <w:rFonts w:ascii="Arial" w:hAnsi="Arial" w:cs="Arial"/>
          <w:i/>
          <w:iCs/>
          <w:sz w:val="20"/>
          <w:szCs w:val="20"/>
        </w:rPr>
        <w:t>P</w:t>
      </w:r>
      <w:r w:rsidRPr="00E11EC2">
        <w:rPr>
          <w:rFonts w:ascii="Arial" w:hAnsi="Arial" w:cs="Arial"/>
          <w:sz w:val="20"/>
          <w:szCs w:val="20"/>
        </w:rPr>
        <w:t xml:space="preserve">&lt;0.001) and WHR (rho = 0.26; </w:t>
      </w:r>
      <w:r w:rsidR="00286CFD" w:rsidRPr="00E11EC2">
        <w:rPr>
          <w:rFonts w:ascii="Arial" w:hAnsi="Arial" w:cs="Arial"/>
          <w:i/>
          <w:iCs/>
          <w:sz w:val="20"/>
          <w:szCs w:val="20"/>
        </w:rPr>
        <w:t>P</w:t>
      </w:r>
      <w:r w:rsidRPr="00E11EC2">
        <w:rPr>
          <w:rFonts w:ascii="Arial" w:hAnsi="Arial" w:cs="Arial"/>
          <w:sz w:val="20"/>
          <w:szCs w:val="20"/>
        </w:rPr>
        <w:t xml:space="preserve"> = 0.004). </w:t>
      </w:r>
      <w:r w:rsidR="00E646FB" w:rsidRPr="00E11EC2">
        <w:rPr>
          <w:rFonts w:ascii="Arial" w:hAnsi="Arial" w:cs="Arial"/>
          <w:sz w:val="20"/>
          <w:szCs w:val="20"/>
        </w:rPr>
        <w:t>The scatter plot</w:t>
      </w:r>
      <w:r w:rsidR="00B22D15" w:rsidRPr="00E11EC2">
        <w:rPr>
          <w:rFonts w:ascii="Arial" w:hAnsi="Arial" w:cs="Arial"/>
          <w:sz w:val="20"/>
          <w:szCs w:val="20"/>
        </w:rPr>
        <w:t>s</w:t>
      </w:r>
      <w:r w:rsidR="00E646FB" w:rsidRPr="00E11EC2">
        <w:rPr>
          <w:rFonts w:ascii="Arial" w:hAnsi="Arial" w:cs="Arial"/>
          <w:sz w:val="20"/>
          <w:szCs w:val="20"/>
        </w:rPr>
        <w:t xml:space="preserve"> shown in </w:t>
      </w:r>
      <w:r w:rsidR="00222961" w:rsidRPr="00E11EC2">
        <w:rPr>
          <w:rFonts w:ascii="Arial" w:hAnsi="Arial" w:cs="Arial"/>
          <w:sz w:val="20"/>
          <w:szCs w:val="20"/>
        </w:rPr>
        <w:t>Figures</w:t>
      </w:r>
      <w:r w:rsidR="00E646FB" w:rsidRPr="00E11EC2">
        <w:rPr>
          <w:rFonts w:ascii="Arial" w:hAnsi="Arial" w:cs="Arial"/>
          <w:sz w:val="20"/>
          <w:szCs w:val="20"/>
        </w:rPr>
        <w:t xml:space="preserve"> 1 and 2 depict the significant positive correlation of </w:t>
      </w:r>
      <w:r w:rsidR="00941406" w:rsidRPr="00E11EC2">
        <w:rPr>
          <w:rFonts w:ascii="Arial" w:hAnsi="Arial" w:cs="Arial"/>
          <w:sz w:val="20"/>
          <w:szCs w:val="20"/>
        </w:rPr>
        <w:t>neck circumference</w:t>
      </w:r>
      <w:r w:rsidR="00E646FB" w:rsidRPr="00E11EC2">
        <w:rPr>
          <w:rFonts w:ascii="Arial" w:hAnsi="Arial" w:cs="Arial"/>
          <w:sz w:val="20"/>
          <w:szCs w:val="20"/>
        </w:rPr>
        <w:t xml:space="preserve"> with </w:t>
      </w:r>
      <w:r w:rsidR="00941406" w:rsidRPr="00E11EC2">
        <w:rPr>
          <w:rFonts w:ascii="Arial" w:hAnsi="Arial" w:cs="Arial"/>
          <w:sz w:val="20"/>
          <w:szCs w:val="20"/>
        </w:rPr>
        <w:t>BMI and waist circumference</w:t>
      </w:r>
      <w:r w:rsidR="00E646FB" w:rsidRPr="00E11EC2">
        <w:rPr>
          <w:rFonts w:ascii="Arial" w:hAnsi="Arial" w:cs="Arial"/>
          <w:sz w:val="20"/>
          <w:szCs w:val="20"/>
        </w:rPr>
        <w:t xml:space="preserve"> among subjects with T2DM </w:t>
      </w:r>
      <w:r w:rsidR="005564CD" w:rsidRPr="00E11EC2">
        <w:rPr>
          <w:rFonts w:ascii="Arial" w:hAnsi="Arial" w:cs="Arial"/>
          <w:sz w:val="20"/>
          <w:szCs w:val="20"/>
        </w:rPr>
        <w:t>respectively</w:t>
      </w:r>
      <w:r w:rsidR="00E646FB" w:rsidRPr="00E11EC2">
        <w:rPr>
          <w:rFonts w:ascii="Arial" w:hAnsi="Arial" w:cs="Arial"/>
          <w:sz w:val="20"/>
          <w:szCs w:val="20"/>
        </w:rPr>
        <w:t xml:space="preserve">. </w:t>
      </w:r>
    </w:p>
    <w:p w14:paraId="7F57D942" w14:textId="05E0CFA8" w:rsidR="0074439F" w:rsidRPr="004846A6" w:rsidRDefault="0074439F" w:rsidP="004846A6">
      <w:pPr>
        <w:spacing w:line="480" w:lineRule="auto"/>
        <w:jc w:val="both"/>
        <w:rPr>
          <w:rFonts w:ascii="Arial" w:hAnsi="Arial" w:cs="Arial"/>
          <w:sz w:val="20"/>
          <w:szCs w:val="20"/>
        </w:rPr>
      </w:pPr>
      <w:r w:rsidRPr="00D46EAC">
        <w:rPr>
          <w:rFonts w:ascii="Arial" w:hAnsi="Arial" w:cs="Arial"/>
          <w:b/>
          <w:sz w:val="20"/>
          <w:szCs w:val="20"/>
        </w:rPr>
        <w:t>Table 1: Socio-demographic characteristics of study subjects and controls</w:t>
      </w:r>
    </w:p>
    <w:tbl>
      <w:tblPr>
        <w:tblStyle w:val="ListTable6Colorful"/>
        <w:tblW w:w="10292" w:type="dxa"/>
        <w:tblInd w:w="-142" w:type="dxa"/>
        <w:tblCellMar>
          <w:left w:w="0" w:type="dxa"/>
          <w:right w:w="0" w:type="dxa"/>
        </w:tblCellMar>
        <w:tblLook w:val="04A0" w:firstRow="1" w:lastRow="0" w:firstColumn="1" w:lastColumn="0" w:noHBand="0" w:noVBand="1"/>
      </w:tblPr>
      <w:tblGrid>
        <w:gridCol w:w="4078"/>
        <w:gridCol w:w="1873"/>
        <w:gridCol w:w="2156"/>
        <w:gridCol w:w="872"/>
        <w:gridCol w:w="1313"/>
      </w:tblGrid>
      <w:tr w:rsidR="0074439F" w:rsidRPr="00D46EAC" w14:paraId="1F154CB9" w14:textId="77777777" w:rsidTr="00824C6C">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4078" w:type="dxa"/>
          </w:tcPr>
          <w:p w14:paraId="6836B73B"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Sociodemographic Characteristics</w:t>
            </w:r>
          </w:p>
        </w:tc>
        <w:tc>
          <w:tcPr>
            <w:tcW w:w="1873" w:type="dxa"/>
          </w:tcPr>
          <w:p w14:paraId="16202ED3"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Cases; N=120</w:t>
            </w:r>
          </w:p>
          <w:p w14:paraId="6BB106B4"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f (%)</w:t>
            </w:r>
          </w:p>
        </w:tc>
        <w:tc>
          <w:tcPr>
            <w:tcW w:w="2156" w:type="dxa"/>
          </w:tcPr>
          <w:p w14:paraId="015B0E1F"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Controls; N=60</w:t>
            </w:r>
          </w:p>
          <w:p w14:paraId="1D396FF0"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f (%)</w:t>
            </w:r>
          </w:p>
        </w:tc>
        <w:tc>
          <w:tcPr>
            <w:tcW w:w="872" w:type="dxa"/>
          </w:tcPr>
          <w:p w14:paraId="3F881844"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D46EAC">
              <w:rPr>
                <w:rFonts w:ascii="Arial" w:hAnsi="Arial" w:cs="Arial"/>
                <w:i/>
                <w:sz w:val="20"/>
                <w:szCs w:val="20"/>
              </w:rPr>
              <w:t>X</w:t>
            </w:r>
            <w:r w:rsidRPr="00D46EAC">
              <w:rPr>
                <w:rFonts w:ascii="Arial" w:hAnsi="Arial" w:cs="Arial"/>
                <w:i/>
                <w:sz w:val="20"/>
                <w:szCs w:val="20"/>
                <w:vertAlign w:val="superscript"/>
              </w:rPr>
              <w:t>2</w:t>
            </w:r>
          </w:p>
        </w:tc>
        <w:tc>
          <w:tcPr>
            <w:tcW w:w="1313" w:type="dxa"/>
          </w:tcPr>
          <w:p w14:paraId="6317B205" w14:textId="56B142D7" w:rsidR="0074439F" w:rsidRPr="00D46EAC" w:rsidRDefault="006762B4"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i/>
                <w:iCs/>
                <w:sz w:val="20"/>
                <w:szCs w:val="20"/>
              </w:rPr>
              <w:t>P</w:t>
            </w:r>
            <w:r w:rsidR="0074439F" w:rsidRPr="00D46EAC">
              <w:rPr>
                <w:rFonts w:ascii="Arial" w:hAnsi="Arial" w:cs="Arial"/>
                <w:sz w:val="20"/>
                <w:szCs w:val="20"/>
              </w:rPr>
              <w:t>-value</w:t>
            </w:r>
          </w:p>
        </w:tc>
      </w:tr>
      <w:tr w:rsidR="0074439F" w:rsidRPr="00D46EAC" w14:paraId="62915738" w14:textId="77777777" w:rsidTr="00824C6C">
        <w:trPr>
          <w:cnfStyle w:val="000000100000" w:firstRow="0" w:lastRow="0" w:firstColumn="0" w:lastColumn="0" w:oddVBand="0" w:evenVBand="0" w:oddHBand="1" w:evenHBand="0" w:firstRowFirstColumn="0" w:firstRowLastColumn="0" w:lastRowFirstColumn="0" w:lastRowLastColumn="0"/>
          <w:trHeight w:val="1451"/>
        </w:trPr>
        <w:tc>
          <w:tcPr>
            <w:cnfStyle w:val="001000000000" w:firstRow="0" w:lastRow="0" w:firstColumn="1" w:lastColumn="0" w:oddVBand="0" w:evenVBand="0" w:oddHBand="0" w:evenHBand="0" w:firstRowFirstColumn="0" w:firstRowLastColumn="0" w:lastRowFirstColumn="0" w:lastRowLastColumn="0"/>
            <w:tcW w:w="4078" w:type="dxa"/>
            <w:shd w:val="clear" w:color="auto" w:fill="auto"/>
          </w:tcPr>
          <w:p w14:paraId="0F2D260F"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Age (Years)</w:t>
            </w:r>
          </w:p>
          <w:p w14:paraId="5219C08D"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≤40</w:t>
            </w:r>
          </w:p>
          <w:p w14:paraId="40FCB66B"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41-50</w:t>
            </w:r>
          </w:p>
          <w:p w14:paraId="39EEEE81"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51-60</w:t>
            </w:r>
          </w:p>
          <w:p w14:paraId="1E40973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&gt;60</w:t>
            </w:r>
          </w:p>
          <w:p w14:paraId="2EF5F65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Mean ± SD</w:t>
            </w:r>
          </w:p>
          <w:p w14:paraId="2CF84DE2" w14:textId="77777777" w:rsidR="0074439F" w:rsidRPr="00D46EAC" w:rsidRDefault="0074439F" w:rsidP="00F46962">
            <w:pPr>
              <w:spacing w:line="480" w:lineRule="auto"/>
              <w:rPr>
                <w:rFonts w:ascii="Arial" w:hAnsi="Arial" w:cs="Arial"/>
                <w:sz w:val="20"/>
                <w:szCs w:val="20"/>
              </w:rPr>
            </w:pPr>
          </w:p>
        </w:tc>
        <w:tc>
          <w:tcPr>
            <w:tcW w:w="1873" w:type="dxa"/>
            <w:shd w:val="clear" w:color="auto" w:fill="auto"/>
          </w:tcPr>
          <w:p w14:paraId="4CD0AE9E"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CC7C33A"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5 (4.2)</w:t>
            </w:r>
          </w:p>
          <w:p w14:paraId="1699947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22 (18.3)</w:t>
            </w:r>
          </w:p>
          <w:p w14:paraId="1CE2422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63 (52.5)</w:t>
            </w:r>
          </w:p>
          <w:p w14:paraId="2F1165C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30 (25.0)</w:t>
            </w:r>
          </w:p>
          <w:p w14:paraId="497979C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bookmarkStart w:id="4" w:name="_Hlk63714120"/>
            <w:r w:rsidRPr="00D46EAC">
              <w:rPr>
                <w:rFonts w:ascii="Arial" w:hAnsi="Arial" w:cs="Arial"/>
                <w:b/>
                <w:bCs/>
                <w:sz w:val="20"/>
                <w:szCs w:val="20"/>
              </w:rPr>
              <w:t>55.22 ± 6.94</w:t>
            </w:r>
          </w:p>
          <w:bookmarkEnd w:id="4"/>
          <w:p w14:paraId="54427B6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56" w:type="dxa"/>
            <w:shd w:val="clear" w:color="auto" w:fill="auto"/>
          </w:tcPr>
          <w:p w14:paraId="1584CE4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EB1613"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 (5.0)</w:t>
            </w:r>
          </w:p>
          <w:p w14:paraId="2FBA8FE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12 (20.0)</w:t>
            </w:r>
          </w:p>
          <w:p w14:paraId="23303358"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31 (51.7)</w:t>
            </w:r>
          </w:p>
          <w:p w14:paraId="0B2E6BF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14 (23.3)</w:t>
            </w:r>
          </w:p>
          <w:p w14:paraId="0EEFE68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bookmarkStart w:id="5" w:name="_Hlk63714260"/>
            <w:r w:rsidRPr="00D46EAC">
              <w:rPr>
                <w:rFonts w:ascii="Arial" w:hAnsi="Arial" w:cs="Arial"/>
                <w:b/>
                <w:bCs/>
                <w:sz w:val="20"/>
                <w:szCs w:val="20"/>
              </w:rPr>
              <w:t xml:space="preserve">54.22 ± 8.03 </w:t>
            </w:r>
          </w:p>
          <w:bookmarkEnd w:id="5"/>
          <w:p w14:paraId="246A903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72" w:type="dxa"/>
            <w:shd w:val="clear" w:color="auto" w:fill="auto"/>
          </w:tcPr>
          <w:p w14:paraId="272AA3E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9DDE72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0.17</w:t>
            </w:r>
          </w:p>
        </w:tc>
        <w:tc>
          <w:tcPr>
            <w:tcW w:w="1313" w:type="dxa"/>
            <w:shd w:val="clear" w:color="auto" w:fill="auto"/>
          </w:tcPr>
          <w:p w14:paraId="40F972A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CB11078"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0.98</w:t>
            </w:r>
          </w:p>
          <w:p w14:paraId="6FD19938"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6EFDA13"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A8DF7E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6CFD9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46EAC">
              <w:rPr>
                <w:rFonts w:ascii="Arial" w:hAnsi="Arial" w:cs="Arial"/>
                <w:b/>
                <w:bCs/>
                <w:sz w:val="20"/>
                <w:szCs w:val="20"/>
              </w:rPr>
              <w:t>0.39</w:t>
            </w:r>
          </w:p>
          <w:p w14:paraId="47495010"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439F" w:rsidRPr="00D46EAC" w14:paraId="02C09484" w14:textId="77777777" w:rsidTr="00824C6C">
        <w:trPr>
          <w:trHeight w:val="838"/>
        </w:trPr>
        <w:tc>
          <w:tcPr>
            <w:cnfStyle w:val="001000000000" w:firstRow="0" w:lastRow="0" w:firstColumn="1" w:lastColumn="0" w:oddVBand="0" w:evenVBand="0" w:oddHBand="0" w:evenHBand="0" w:firstRowFirstColumn="0" w:firstRowLastColumn="0" w:lastRowFirstColumn="0" w:lastRowLastColumn="0"/>
            <w:tcW w:w="4078" w:type="dxa"/>
          </w:tcPr>
          <w:p w14:paraId="7CCBDE46"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Sex</w:t>
            </w:r>
          </w:p>
          <w:p w14:paraId="341B28F4"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Female</w:t>
            </w:r>
          </w:p>
          <w:p w14:paraId="10FEE67F"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Male</w:t>
            </w:r>
          </w:p>
        </w:tc>
        <w:tc>
          <w:tcPr>
            <w:tcW w:w="1873" w:type="dxa"/>
          </w:tcPr>
          <w:p w14:paraId="1DDD3F0D"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BC88FF1"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86 (71.7)</w:t>
            </w:r>
          </w:p>
          <w:p w14:paraId="6846EF8F"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34 (28.3)</w:t>
            </w:r>
          </w:p>
        </w:tc>
        <w:tc>
          <w:tcPr>
            <w:tcW w:w="2156" w:type="dxa"/>
          </w:tcPr>
          <w:p w14:paraId="04612715"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24F3D9"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43 (71.7)</w:t>
            </w:r>
          </w:p>
          <w:p w14:paraId="0AAB8D8C"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17 (28.3)</w:t>
            </w:r>
          </w:p>
          <w:p w14:paraId="7261F2CC"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72" w:type="dxa"/>
          </w:tcPr>
          <w:p w14:paraId="32AC6C21"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BCF6BF"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0.00</w:t>
            </w:r>
          </w:p>
        </w:tc>
        <w:tc>
          <w:tcPr>
            <w:tcW w:w="1313" w:type="dxa"/>
          </w:tcPr>
          <w:p w14:paraId="3B52BF2D"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7CE741"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1.00</w:t>
            </w:r>
          </w:p>
        </w:tc>
      </w:tr>
      <w:tr w:rsidR="0074439F" w:rsidRPr="00D46EAC" w14:paraId="3A06428F" w14:textId="77777777" w:rsidTr="00824C6C">
        <w:trPr>
          <w:cnfStyle w:val="000000100000" w:firstRow="0" w:lastRow="0" w:firstColumn="0" w:lastColumn="0" w:oddVBand="0" w:evenVBand="0" w:oddHBand="1" w:evenHBand="0" w:firstRowFirstColumn="0" w:firstRowLastColumn="0" w:lastRowFirstColumn="0" w:lastRowLastColumn="0"/>
          <w:trHeight w:val="1292"/>
        </w:trPr>
        <w:tc>
          <w:tcPr>
            <w:cnfStyle w:val="001000000000" w:firstRow="0" w:lastRow="0" w:firstColumn="1" w:lastColumn="0" w:oddVBand="0" w:evenVBand="0" w:oddHBand="0" w:evenHBand="0" w:firstRowFirstColumn="0" w:firstRowLastColumn="0" w:lastRowFirstColumn="0" w:lastRowLastColumn="0"/>
            <w:tcW w:w="4078" w:type="dxa"/>
            <w:shd w:val="clear" w:color="auto" w:fill="auto"/>
          </w:tcPr>
          <w:p w14:paraId="310E2EA5"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Educational Status</w:t>
            </w:r>
          </w:p>
          <w:p w14:paraId="08204D9C"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Tertiary</w:t>
            </w:r>
          </w:p>
          <w:p w14:paraId="5A4DFFBC"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Secondary</w:t>
            </w:r>
          </w:p>
          <w:p w14:paraId="7D58B39F"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Primary</w:t>
            </w:r>
          </w:p>
          <w:p w14:paraId="4EEFE34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No Education</w:t>
            </w:r>
          </w:p>
        </w:tc>
        <w:tc>
          <w:tcPr>
            <w:tcW w:w="1873" w:type="dxa"/>
            <w:shd w:val="clear" w:color="auto" w:fill="auto"/>
          </w:tcPr>
          <w:p w14:paraId="63EF193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6A67D69"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54 (45.0)</w:t>
            </w:r>
          </w:p>
          <w:p w14:paraId="1C2614B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39 (32.5)</w:t>
            </w:r>
          </w:p>
          <w:p w14:paraId="7BF575B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15 (12.5)</w:t>
            </w:r>
          </w:p>
          <w:p w14:paraId="12B1C10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12 (10.0)</w:t>
            </w:r>
          </w:p>
        </w:tc>
        <w:tc>
          <w:tcPr>
            <w:tcW w:w="2156" w:type="dxa"/>
            <w:shd w:val="clear" w:color="auto" w:fill="auto"/>
          </w:tcPr>
          <w:p w14:paraId="4846F16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A7B74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52 (86.7)</w:t>
            </w:r>
          </w:p>
          <w:p w14:paraId="11304910"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8 (13.3)</w:t>
            </w:r>
          </w:p>
          <w:p w14:paraId="046FABDB"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 (0.0)</w:t>
            </w:r>
          </w:p>
          <w:p w14:paraId="4B209725"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 (0.0)</w:t>
            </w:r>
          </w:p>
          <w:p w14:paraId="3C535530"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72" w:type="dxa"/>
            <w:shd w:val="clear" w:color="auto" w:fill="auto"/>
          </w:tcPr>
          <w:p w14:paraId="63F7D7B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1C94E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33.20</w:t>
            </w:r>
            <w:r w:rsidRPr="00D46EAC">
              <w:rPr>
                <w:rFonts w:ascii="Arial" w:hAnsi="Arial" w:cs="Arial"/>
                <w:sz w:val="20"/>
                <w:szCs w:val="20"/>
                <w:vertAlign w:val="superscript"/>
              </w:rPr>
              <w:t>#</w:t>
            </w:r>
          </w:p>
        </w:tc>
        <w:tc>
          <w:tcPr>
            <w:tcW w:w="1313" w:type="dxa"/>
            <w:shd w:val="clear" w:color="auto" w:fill="auto"/>
          </w:tcPr>
          <w:p w14:paraId="01892595"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73796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&lt;0.001**</w:t>
            </w:r>
          </w:p>
        </w:tc>
      </w:tr>
      <w:tr w:rsidR="0074439F" w:rsidRPr="00D46EAC" w14:paraId="448A7C90" w14:textId="77777777" w:rsidTr="00824C6C">
        <w:trPr>
          <w:trHeight w:val="1013"/>
        </w:trPr>
        <w:tc>
          <w:tcPr>
            <w:cnfStyle w:val="001000000000" w:firstRow="0" w:lastRow="0" w:firstColumn="1" w:lastColumn="0" w:oddVBand="0" w:evenVBand="0" w:oddHBand="0" w:evenHBand="0" w:firstRowFirstColumn="0" w:firstRowLastColumn="0" w:lastRowFirstColumn="0" w:lastRowLastColumn="0"/>
            <w:tcW w:w="4078" w:type="dxa"/>
          </w:tcPr>
          <w:p w14:paraId="1D3445DF"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Alcohol Use</w:t>
            </w:r>
          </w:p>
          <w:p w14:paraId="79692F09"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Does not drink alcohol</w:t>
            </w:r>
          </w:p>
          <w:p w14:paraId="533E60DB"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Drank but stopped at least 1 year ago</w:t>
            </w:r>
          </w:p>
          <w:p w14:paraId="1B16A3AD"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 xml:space="preserve">Still drinking alcohol                                                    </w:t>
            </w:r>
          </w:p>
          <w:p w14:paraId="4E91EFD3" w14:textId="77777777" w:rsidR="0074439F" w:rsidRPr="00D46EAC" w:rsidRDefault="0074439F" w:rsidP="00F46962">
            <w:pPr>
              <w:spacing w:line="480" w:lineRule="auto"/>
              <w:rPr>
                <w:rFonts w:ascii="Arial" w:hAnsi="Arial" w:cs="Arial"/>
                <w:sz w:val="20"/>
                <w:szCs w:val="20"/>
              </w:rPr>
            </w:pPr>
          </w:p>
        </w:tc>
        <w:tc>
          <w:tcPr>
            <w:tcW w:w="1873" w:type="dxa"/>
          </w:tcPr>
          <w:p w14:paraId="4FAA5289"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42D264A"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101 (84.2)</w:t>
            </w:r>
          </w:p>
          <w:p w14:paraId="6322BA86"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9 (7.5)</w:t>
            </w:r>
          </w:p>
          <w:p w14:paraId="465A981F"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10 (8.3)         </w:t>
            </w:r>
          </w:p>
          <w:p w14:paraId="1C8AB741"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56" w:type="dxa"/>
          </w:tcPr>
          <w:p w14:paraId="10A4F1DD"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DF5612"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49 (81.7)</w:t>
            </w:r>
          </w:p>
          <w:p w14:paraId="6CF5BF83"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0 (0.0) </w:t>
            </w:r>
          </w:p>
          <w:p w14:paraId="2AC0EFAA"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11 (18.3)              </w:t>
            </w:r>
          </w:p>
        </w:tc>
        <w:tc>
          <w:tcPr>
            <w:tcW w:w="872" w:type="dxa"/>
          </w:tcPr>
          <w:p w14:paraId="46B715F6"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8D269F6"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0.65</w:t>
            </w:r>
            <w:r w:rsidRPr="00D46EAC">
              <w:rPr>
                <w:rFonts w:ascii="Arial" w:hAnsi="Arial" w:cs="Arial"/>
                <w:sz w:val="20"/>
                <w:szCs w:val="20"/>
                <w:vertAlign w:val="superscript"/>
              </w:rPr>
              <w:t>#</w:t>
            </w:r>
          </w:p>
        </w:tc>
        <w:tc>
          <w:tcPr>
            <w:tcW w:w="1313" w:type="dxa"/>
          </w:tcPr>
          <w:p w14:paraId="3B37FC47"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D5F7A6"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0.13</w:t>
            </w:r>
          </w:p>
        </w:tc>
      </w:tr>
      <w:tr w:rsidR="0074439F" w:rsidRPr="00D46EAC" w14:paraId="676A1D9D" w14:textId="77777777" w:rsidTr="00824C6C">
        <w:trPr>
          <w:cnfStyle w:val="000000100000" w:firstRow="0" w:lastRow="0" w:firstColumn="0" w:lastColumn="0" w:oddVBand="0" w:evenVBand="0" w:oddHBand="1" w:evenHBand="0" w:firstRowFirstColumn="0" w:firstRowLastColumn="0" w:lastRowFirstColumn="0" w:lastRowLastColumn="0"/>
          <w:trHeight w:hRule="exact" w:val="1418"/>
        </w:trPr>
        <w:tc>
          <w:tcPr>
            <w:cnfStyle w:val="001000000000" w:firstRow="0" w:lastRow="0" w:firstColumn="1" w:lastColumn="0" w:oddVBand="0" w:evenVBand="0" w:oddHBand="0" w:evenHBand="0" w:firstRowFirstColumn="0" w:firstRowLastColumn="0" w:lastRowFirstColumn="0" w:lastRowLastColumn="0"/>
            <w:tcW w:w="4078" w:type="dxa"/>
            <w:shd w:val="clear" w:color="auto" w:fill="auto"/>
          </w:tcPr>
          <w:p w14:paraId="0FD97177"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lastRenderedPageBreak/>
              <w:t>Smoking History</w:t>
            </w:r>
          </w:p>
          <w:p w14:paraId="23E28AD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Non-smoker</w:t>
            </w:r>
          </w:p>
          <w:p w14:paraId="44F5452E"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Ex-smoker</w:t>
            </w:r>
          </w:p>
          <w:p w14:paraId="106BBED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Current smoker</w:t>
            </w:r>
          </w:p>
        </w:tc>
        <w:tc>
          <w:tcPr>
            <w:tcW w:w="1873" w:type="dxa"/>
            <w:shd w:val="clear" w:color="auto" w:fill="auto"/>
          </w:tcPr>
          <w:p w14:paraId="108522B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925DF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119 (99.2)</w:t>
            </w:r>
          </w:p>
          <w:p w14:paraId="302B9423"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 (0.8)</w:t>
            </w:r>
          </w:p>
          <w:p w14:paraId="12DEE08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 (0.0)</w:t>
            </w:r>
          </w:p>
        </w:tc>
        <w:tc>
          <w:tcPr>
            <w:tcW w:w="2156" w:type="dxa"/>
            <w:shd w:val="clear" w:color="auto" w:fill="auto"/>
          </w:tcPr>
          <w:p w14:paraId="0B585E68"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82A7A9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58 (96.7)</w:t>
            </w:r>
          </w:p>
          <w:p w14:paraId="70AD151E"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2 (3.3)</w:t>
            </w:r>
          </w:p>
          <w:p w14:paraId="3B10172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 (0.0)</w:t>
            </w:r>
          </w:p>
          <w:p w14:paraId="7356468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FDBBA4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B86E42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EA9CC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38C7EFE"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72" w:type="dxa"/>
            <w:shd w:val="clear" w:color="auto" w:fill="auto"/>
          </w:tcPr>
          <w:p w14:paraId="3FF098C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C23226E"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1.53</w:t>
            </w:r>
            <w:r w:rsidRPr="00D46EAC">
              <w:rPr>
                <w:rFonts w:ascii="Arial" w:hAnsi="Arial" w:cs="Arial"/>
                <w:sz w:val="20"/>
                <w:szCs w:val="20"/>
                <w:vertAlign w:val="superscript"/>
              </w:rPr>
              <w:t>#</w:t>
            </w:r>
          </w:p>
        </w:tc>
        <w:tc>
          <w:tcPr>
            <w:tcW w:w="1313" w:type="dxa"/>
            <w:shd w:val="clear" w:color="auto" w:fill="auto"/>
          </w:tcPr>
          <w:p w14:paraId="3AEC98A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1A8E51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0.26</w:t>
            </w:r>
          </w:p>
        </w:tc>
      </w:tr>
    </w:tbl>
    <w:p w14:paraId="6CFF03F2" w14:textId="523073DC" w:rsidR="0074439F" w:rsidRPr="00F01AC5" w:rsidRDefault="0074439F" w:rsidP="00945E79">
      <w:pPr>
        <w:spacing w:line="240" w:lineRule="auto"/>
        <w:rPr>
          <w:rFonts w:ascii="Arial" w:hAnsi="Arial" w:cs="Arial"/>
          <w:b/>
          <w:sz w:val="18"/>
          <w:szCs w:val="18"/>
        </w:rPr>
      </w:pPr>
      <w:r w:rsidRPr="00F01AC5">
        <w:rPr>
          <w:rFonts w:ascii="Arial" w:hAnsi="Arial" w:cs="Arial"/>
          <w:b/>
          <w:sz w:val="18"/>
          <w:szCs w:val="18"/>
        </w:rPr>
        <w:t xml:space="preserve">** </w:t>
      </w:r>
      <w:r w:rsidR="006762B4" w:rsidRPr="00F01AC5">
        <w:rPr>
          <w:rFonts w:ascii="Arial" w:hAnsi="Arial" w:cs="Arial"/>
          <w:b/>
          <w:i/>
          <w:iCs/>
          <w:sz w:val="18"/>
          <w:szCs w:val="18"/>
        </w:rPr>
        <w:t>P</w:t>
      </w:r>
      <w:r w:rsidRPr="00F01AC5">
        <w:rPr>
          <w:rFonts w:ascii="Arial" w:hAnsi="Arial" w:cs="Arial"/>
          <w:b/>
          <w:sz w:val="18"/>
          <w:szCs w:val="18"/>
        </w:rPr>
        <w:t xml:space="preserve">-value &lt;0.001, * </w:t>
      </w:r>
      <w:r w:rsidR="006762B4" w:rsidRPr="00F01AC5">
        <w:rPr>
          <w:rFonts w:ascii="Arial" w:hAnsi="Arial" w:cs="Arial"/>
          <w:b/>
          <w:i/>
          <w:iCs/>
          <w:sz w:val="18"/>
          <w:szCs w:val="18"/>
        </w:rPr>
        <w:t>P</w:t>
      </w:r>
      <w:r w:rsidRPr="00F01AC5">
        <w:rPr>
          <w:rFonts w:ascii="Arial" w:hAnsi="Arial" w:cs="Arial"/>
          <w:b/>
          <w:sz w:val="18"/>
          <w:szCs w:val="18"/>
        </w:rPr>
        <w:t xml:space="preserve">-value &lt; 0.05    #Fisher Exact    </w:t>
      </w:r>
      <w:r w:rsidRPr="00F01AC5">
        <w:rPr>
          <w:rFonts w:ascii="Arial" w:hAnsi="Arial" w:cs="Arial"/>
          <w:b/>
          <w:i/>
          <w:sz w:val="18"/>
          <w:szCs w:val="18"/>
        </w:rPr>
        <w:t>X</w:t>
      </w:r>
      <w:r w:rsidRPr="00F01AC5">
        <w:rPr>
          <w:rFonts w:ascii="Arial" w:hAnsi="Arial" w:cs="Arial"/>
          <w:b/>
          <w:i/>
          <w:sz w:val="18"/>
          <w:szCs w:val="18"/>
          <w:vertAlign w:val="superscript"/>
        </w:rPr>
        <w:t xml:space="preserve">2   </w:t>
      </w:r>
      <w:r w:rsidRPr="00F01AC5">
        <w:rPr>
          <w:rFonts w:ascii="Arial" w:hAnsi="Arial" w:cs="Arial"/>
          <w:b/>
          <w:sz w:val="18"/>
          <w:szCs w:val="18"/>
        </w:rPr>
        <w:t>Pearson Chi Square</w:t>
      </w:r>
    </w:p>
    <w:p w14:paraId="0E475B0B" w14:textId="77777777" w:rsidR="0074439F" w:rsidRPr="00F01AC5" w:rsidRDefault="0074439F" w:rsidP="00945E79">
      <w:pPr>
        <w:spacing w:line="240" w:lineRule="auto"/>
        <w:rPr>
          <w:rFonts w:ascii="Arial" w:hAnsi="Arial" w:cs="Arial"/>
          <w:bCs/>
          <w:sz w:val="18"/>
          <w:szCs w:val="18"/>
        </w:rPr>
      </w:pPr>
      <w:r w:rsidRPr="00F01AC5">
        <w:rPr>
          <w:rFonts w:ascii="Arial" w:hAnsi="Arial" w:cs="Arial"/>
          <w:bCs/>
          <w:sz w:val="18"/>
          <w:szCs w:val="18"/>
        </w:rPr>
        <w:t>SD: Standard deviation</w:t>
      </w:r>
    </w:p>
    <w:p w14:paraId="6AFCD656" w14:textId="77777777" w:rsidR="0074439F" w:rsidRPr="005D05B3" w:rsidRDefault="0074439F" w:rsidP="0074439F">
      <w:pPr>
        <w:spacing w:line="240" w:lineRule="auto"/>
        <w:rPr>
          <w:rFonts w:ascii="Arial" w:hAnsi="Arial" w:cs="Arial"/>
          <w:bCs/>
        </w:rPr>
      </w:pPr>
    </w:p>
    <w:p w14:paraId="00B7A173" w14:textId="77777777" w:rsidR="0074439F" w:rsidRPr="00844AE1" w:rsidRDefault="0074439F" w:rsidP="00382B40">
      <w:pPr>
        <w:spacing w:line="480" w:lineRule="auto"/>
        <w:rPr>
          <w:rFonts w:ascii="Arial" w:hAnsi="Arial" w:cs="Arial"/>
          <w:b/>
          <w:sz w:val="20"/>
          <w:szCs w:val="20"/>
        </w:rPr>
      </w:pPr>
      <w:r w:rsidRPr="00844AE1">
        <w:rPr>
          <w:rFonts w:ascii="Arial" w:hAnsi="Arial" w:cs="Arial"/>
          <w:b/>
          <w:sz w:val="20"/>
          <w:szCs w:val="20"/>
        </w:rPr>
        <w:t>Table 2: Neck circumference and HOMA-IR between T2DM and controls</w:t>
      </w:r>
    </w:p>
    <w:tbl>
      <w:tblPr>
        <w:tblStyle w:val="ListTable6Colourful1"/>
        <w:tblW w:w="9720" w:type="dxa"/>
        <w:tblLook w:val="04A0" w:firstRow="1" w:lastRow="0" w:firstColumn="1" w:lastColumn="0" w:noHBand="0" w:noVBand="1"/>
      </w:tblPr>
      <w:tblGrid>
        <w:gridCol w:w="3510"/>
        <w:gridCol w:w="2302"/>
        <w:gridCol w:w="1985"/>
        <w:gridCol w:w="753"/>
        <w:gridCol w:w="1170"/>
      </w:tblGrid>
      <w:tr w:rsidR="0074439F" w:rsidRPr="00844AE1" w14:paraId="35A5B4E1" w14:textId="77777777" w:rsidTr="00824C6C">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510" w:type="dxa"/>
          </w:tcPr>
          <w:p w14:paraId="1FB9642A" w14:textId="77777777" w:rsidR="0074439F" w:rsidRPr="00844AE1" w:rsidRDefault="0074439F" w:rsidP="00382B40">
            <w:pPr>
              <w:spacing w:line="480" w:lineRule="auto"/>
              <w:rPr>
                <w:rFonts w:ascii="Arial" w:hAnsi="Arial" w:cs="Arial"/>
                <w:b w:val="0"/>
                <w:bCs w:val="0"/>
                <w:sz w:val="20"/>
                <w:szCs w:val="20"/>
              </w:rPr>
            </w:pPr>
            <w:r w:rsidRPr="00844AE1">
              <w:rPr>
                <w:rFonts w:ascii="Arial" w:hAnsi="Arial" w:cs="Arial"/>
                <w:sz w:val="20"/>
                <w:szCs w:val="20"/>
              </w:rPr>
              <w:t xml:space="preserve">Variables </w:t>
            </w:r>
          </w:p>
          <w:p w14:paraId="26445941" w14:textId="77777777" w:rsidR="0074439F" w:rsidRPr="00844AE1" w:rsidRDefault="0074439F" w:rsidP="00382B40">
            <w:pPr>
              <w:spacing w:line="480" w:lineRule="auto"/>
              <w:rPr>
                <w:rFonts w:ascii="Arial" w:hAnsi="Arial" w:cs="Arial"/>
                <w:b w:val="0"/>
                <w:bCs w:val="0"/>
                <w:sz w:val="20"/>
                <w:szCs w:val="20"/>
              </w:rPr>
            </w:pPr>
          </w:p>
          <w:p w14:paraId="2720E838" w14:textId="77777777" w:rsidR="0074439F" w:rsidRPr="00844AE1" w:rsidRDefault="0074439F" w:rsidP="00382B40">
            <w:pPr>
              <w:spacing w:line="480" w:lineRule="auto"/>
              <w:rPr>
                <w:rFonts w:ascii="Arial" w:hAnsi="Arial" w:cs="Arial"/>
                <w:b w:val="0"/>
                <w:bCs w:val="0"/>
                <w:sz w:val="20"/>
                <w:szCs w:val="20"/>
              </w:rPr>
            </w:pPr>
          </w:p>
        </w:tc>
        <w:tc>
          <w:tcPr>
            <w:tcW w:w="2302" w:type="dxa"/>
          </w:tcPr>
          <w:p w14:paraId="3479871F"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sz w:val="20"/>
                <w:szCs w:val="20"/>
              </w:rPr>
              <w:t xml:space="preserve">     T2DM; N=120</w:t>
            </w:r>
          </w:p>
          <w:p w14:paraId="35417921"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sz w:val="20"/>
                <w:szCs w:val="20"/>
              </w:rPr>
              <w:t xml:space="preserve">    (mean ± SD)</w:t>
            </w:r>
          </w:p>
        </w:tc>
        <w:tc>
          <w:tcPr>
            <w:tcW w:w="1985" w:type="dxa"/>
          </w:tcPr>
          <w:p w14:paraId="2BD0C669"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sz w:val="20"/>
                <w:szCs w:val="20"/>
              </w:rPr>
              <w:t>Controls; N=60</w:t>
            </w:r>
          </w:p>
          <w:p w14:paraId="03587D0F"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sz w:val="20"/>
                <w:szCs w:val="20"/>
              </w:rPr>
              <w:t xml:space="preserve">  (mean ± SD)</w:t>
            </w:r>
          </w:p>
        </w:tc>
        <w:tc>
          <w:tcPr>
            <w:tcW w:w="753" w:type="dxa"/>
          </w:tcPr>
          <w:p w14:paraId="74C2482E"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0"/>
                <w:szCs w:val="20"/>
              </w:rPr>
            </w:pPr>
            <w:r w:rsidRPr="00844AE1">
              <w:rPr>
                <w:rFonts w:ascii="Arial" w:hAnsi="Arial" w:cs="Arial"/>
                <w:i/>
                <w:sz w:val="20"/>
                <w:szCs w:val="20"/>
              </w:rPr>
              <w:t>t-test</w:t>
            </w:r>
          </w:p>
        </w:tc>
        <w:tc>
          <w:tcPr>
            <w:tcW w:w="1170" w:type="dxa"/>
          </w:tcPr>
          <w:p w14:paraId="5C57F6D8" w14:textId="6455A506" w:rsidR="0074439F" w:rsidRPr="00844AE1" w:rsidRDefault="006762B4"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i/>
                <w:iCs/>
                <w:sz w:val="20"/>
                <w:szCs w:val="20"/>
              </w:rPr>
              <w:t>P</w:t>
            </w:r>
            <w:r w:rsidR="0074439F" w:rsidRPr="00844AE1">
              <w:rPr>
                <w:rFonts w:ascii="Arial" w:hAnsi="Arial" w:cs="Arial"/>
                <w:sz w:val="20"/>
                <w:szCs w:val="20"/>
              </w:rPr>
              <w:t>-value</w:t>
            </w:r>
          </w:p>
        </w:tc>
      </w:tr>
      <w:tr w:rsidR="0074439F" w:rsidRPr="00844AE1" w14:paraId="49F675B4" w14:textId="77777777" w:rsidTr="00824C6C">
        <w:trPr>
          <w:trHeight w:val="485"/>
        </w:trPr>
        <w:tc>
          <w:tcPr>
            <w:cnfStyle w:val="001000000000" w:firstRow="0" w:lastRow="0" w:firstColumn="1" w:lastColumn="0" w:oddVBand="0" w:evenVBand="0" w:oddHBand="0" w:evenHBand="0" w:firstRowFirstColumn="0" w:firstRowLastColumn="0" w:lastRowFirstColumn="0" w:lastRowLastColumn="0"/>
            <w:tcW w:w="3510" w:type="dxa"/>
          </w:tcPr>
          <w:p w14:paraId="3118F19B" w14:textId="77777777" w:rsidR="0074439F" w:rsidRPr="00844AE1" w:rsidRDefault="0074439F" w:rsidP="00382B40">
            <w:pPr>
              <w:spacing w:line="480" w:lineRule="auto"/>
              <w:rPr>
                <w:rFonts w:ascii="Arial" w:hAnsi="Arial" w:cs="Arial"/>
                <w:b w:val="0"/>
                <w:bCs w:val="0"/>
                <w:sz w:val="20"/>
                <w:szCs w:val="20"/>
              </w:rPr>
            </w:pPr>
            <w:r w:rsidRPr="00844AE1">
              <w:rPr>
                <w:rFonts w:ascii="Arial" w:hAnsi="Arial" w:cs="Arial"/>
                <w:b w:val="0"/>
                <w:bCs w:val="0"/>
                <w:sz w:val="20"/>
                <w:szCs w:val="20"/>
              </w:rPr>
              <w:t xml:space="preserve"> </w:t>
            </w:r>
          </w:p>
          <w:p w14:paraId="24F9A74B" w14:textId="77777777" w:rsidR="0074439F" w:rsidRPr="00844AE1" w:rsidRDefault="0074439F" w:rsidP="00382B40">
            <w:pPr>
              <w:spacing w:line="480" w:lineRule="auto"/>
              <w:rPr>
                <w:rFonts w:ascii="Arial" w:hAnsi="Arial" w:cs="Arial"/>
                <w:sz w:val="20"/>
                <w:szCs w:val="20"/>
              </w:rPr>
            </w:pPr>
            <w:r w:rsidRPr="00844AE1">
              <w:rPr>
                <w:rFonts w:ascii="Arial" w:hAnsi="Arial" w:cs="Arial"/>
                <w:sz w:val="20"/>
                <w:szCs w:val="20"/>
              </w:rPr>
              <w:t>NC</w:t>
            </w:r>
          </w:p>
        </w:tc>
        <w:tc>
          <w:tcPr>
            <w:tcW w:w="2302" w:type="dxa"/>
          </w:tcPr>
          <w:p w14:paraId="1893B5E0"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5B50CBE" w14:textId="77777777" w:rsidR="0074439F" w:rsidRPr="00844AE1" w:rsidRDefault="0074439F" w:rsidP="00382B4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 xml:space="preserve">       34.30 ± 3.09</w:t>
            </w:r>
          </w:p>
          <w:p w14:paraId="3DB6C1F8"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85" w:type="dxa"/>
          </w:tcPr>
          <w:p w14:paraId="273C2521"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693B41" w14:textId="77777777" w:rsidR="0074439F" w:rsidRPr="00844AE1" w:rsidRDefault="0074439F" w:rsidP="00382B4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 xml:space="preserve">    34.81 ± 2.61</w:t>
            </w:r>
          </w:p>
          <w:p w14:paraId="65130567"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dxa"/>
          </w:tcPr>
          <w:p w14:paraId="25C323A0"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3A777B" w14:textId="77777777" w:rsidR="0074439F" w:rsidRPr="00844AE1" w:rsidRDefault="0074439F" w:rsidP="00382B4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-1.11</w:t>
            </w:r>
          </w:p>
        </w:tc>
        <w:tc>
          <w:tcPr>
            <w:tcW w:w="1170" w:type="dxa"/>
          </w:tcPr>
          <w:p w14:paraId="40069907"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829783C" w14:textId="77777777" w:rsidR="0074439F" w:rsidRPr="00844AE1" w:rsidRDefault="0074439F" w:rsidP="00382B4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0.09</w:t>
            </w:r>
          </w:p>
        </w:tc>
      </w:tr>
      <w:tr w:rsidR="0074439F" w:rsidRPr="00844AE1" w14:paraId="74D842AD" w14:textId="77777777" w:rsidTr="00824C6C">
        <w:tc>
          <w:tcPr>
            <w:cnfStyle w:val="001000000000" w:firstRow="0" w:lastRow="0" w:firstColumn="1" w:lastColumn="0" w:oddVBand="0" w:evenVBand="0" w:oddHBand="0" w:evenHBand="0" w:firstRowFirstColumn="0" w:firstRowLastColumn="0" w:lastRowFirstColumn="0" w:lastRowLastColumn="0"/>
            <w:tcW w:w="3510" w:type="dxa"/>
          </w:tcPr>
          <w:p w14:paraId="0F0E676A" w14:textId="77777777" w:rsidR="0074439F" w:rsidRPr="00844AE1" w:rsidRDefault="0074439F" w:rsidP="00382B40">
            <w:pPr>
              <w:spacing w:line="480" w:lineRule="auto"/>
              <w:rPr>
                <w:rFonts w:ascii="Arial" w:hAnsi="Arial" w:cs="Arial"/>
                <w:sz w:val="20"/>
                <w:szCs w:val="20"/>
              </w:rPr>
            </w:pPr>
            <w:r w:rsidRPr="00844AE1">
              <w:rPr>
                <w:rFonts w:ascii="Arial" w:hAnsi="Arial" w:cs="Arial"/>
                <w:sz w:val="20"/>
                <w:szCs w:val="20"/>
              </w:rPr>
              <w:t>HOMA-IR; median (IQR)</w:t>
            </w:r>
          </w:p>
        </w:tc>
        <w:tc>
          <w:tcPr>
            <w:tcW w:w="2302" w:type="dxa"/>
          </w:tcPr>
          <w:p w14:paraId="36A20C00"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2.26 (2.57)</w:t>
            </w:r>
          </w:p>
        </w:tc>
        <w:tc>
          <w:tcPr>
            <w:tcW w:w="1985" w:type="dxa"/>
          </w:tcPr>
          <w:p w14:paraId="01B32236"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1.59 (1.53)</w:t>
            </w:r>
          </w:p>
        </w:tc>
        <w:tc>
          <w:tcPr>
            <w:tcW w:w="753" w:type="dxa"/>
          </w:tcPr>
          <w:p w14:paraId="50342CA9"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1.40</w:t>
            </w:r>
          </w:p>
        </w:tc>
        <w:tc>
          <w:tcPr>
            <w:tcW w:w="1170" w:type="dxa"/>
          </w:tcPr>
          <w:p w14:paraId="7CA22E54"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0.002*</w:t>
            </w:r>
          </w:p>
        </w:tc>
      </w:tr>
    </w:tbl>
    <w:p w14:paraId="2782D1EC" w14:textId="1975FDA4" w:rsidR="0074439F" w:rsidRPr="00844AE1" w:rsidRDefault="0074439F" w:rsidP="00382B40">
      <w:pPr>
        <w:spacing w:line="240" w:lineRule="auto"/>
        <w:rPr>
          <w:rFonts w:ascii="Arial" w:hAnsi="Arial" w:cs="Arial"/>
          <w:bCs/>
          <w:sz w:val="18"/>
          <w:szCs w:val="18"/>
        </w:rPr>
      </w:pPr>
      <w:r w:rsidRPr="00844AE1">
        <w:rPr>
          <w:rFonts w:ascii="Arial" w:hAnsi="Arial" w:cs="Arial"/>
          <w:b/>
          <w:sz w:val="18"/>
          <w:szCs w:val="18"/>
        </w:rPr>
        <w:t xml:space="preserve">* </w:t>
      </w:r>
      <w:r w:rsidR="006762B4" w:rsidRPr="00844AE1">
        <w:rPr>
          <w:rFonts w:ascii="Arial" w:hAnsi="Arial" w:cs="Arial"/>
          <w:b/>
          <w:i/>
          <w:iCs/>
          <w:sz w:val="18"/>
          <w:szCs w:val="18"/>
        </w:rPr>
        <w:t>P</w:t>
      </w:r>
      <w:r w:rsidRPr="00844AE1">
        <w:rPr>
          <w:rFonts w:ascii="Arial" w:hAnsi="Arial" w:cs="Arial"/>
          <w:b/>
          <w:sz w:val="18"/>
          <w:szCs w:val="18"/>
        </w:rPr>
        <w:t xml:space="preserve">-value &lt; 0.05    </w:t>
      </w:r>
    </w:p>
    <w:p w14:paraId="60BC13F0" w14:textId="77777777" w:rsidR="0074439F" w:rsidRPr="00844AE1" w:rsidRDefault="0074439F" w:rsidP="00382B40">
      <w:pPr>
        <w:spacing w:line="240" w:lineRule="auto"/>
        <w:rPr>
          <w:rFonts w:ascii="Arial" w:hAnsi="Arial" w:cs="Arial"/>
          <w:bCs/>
          <w:sz w:val="18"/>
          <w:szCs w:val="18"/>
        </w:rPr>
      </w:pPr>
      <w:r w:rsidRPr="00844AE1">
        <w:rPr>
          <w:rFonts w:ascii="Arial" w:hAnsi="Arial" w:cs="Arial"/>
          <w:bCs/>
          <w:sz w:val="18"/>
          <w:szCs w:val="18"/>
        </w:rPr>
        <w:t>NC= Neck circumference</w:t>
      </w:r>
    </w:p>
    <w:p w14:paraId="2A55C9C9" w14:textId="77777777" w:rsidR="0074439F" w:rsidRPr="00844AE1" w:rsidRDefault="0074439F" w:rsidP="00382B40">
      <w:pPr>
        <w:spacing w:line="240" w:lineRule="auto"/>
        <w:rPr>
          <w:rFonts w:ascii="Arial" w:hAnsi="Arial" w:cs="Arial"/>
          <w:sz w:val="18"/>
          <w:szCs w:val="18"/>
        </w:rPr>
      </w:pPr>
      <w:r w:rsidRPr="00844AE1">
        <w:rPr>
          <w:rFonts w:ascii="Arial" w:hAnsi="Arial" w:cs="Arial"/>
          <w:bCs/>
          <w:sz w:val="18"/>
          <w:szCs w:val="18"/>
        </w:rPr>
        <w:t>HOMA-IR: Homeostatic model assessment-insulin resistance</w:t>
      </w:r>
    </w:p>
    <w:p w14:paraId="55A1BC6C" w14:textId="77777777" w:rsidR="0074439F" w:rsidRDefault="0074439F" w:rsidP="0074439F">
      <w:pPr>
        <w:spacing w:after="0" w:line="480" w:lineRule="auto"/>
        <w:jc w:val="both"/>
        <w:rPr>
          <w:rFonts w:ascii="Arial" w:eastAsia="Calibri" w:hAnsi="Arial" w:cs="Arial"/>
          <w:sz w:val="18"/>
          <w:szCs w:val="18"/>
        </w:rPr>
      </w:pPr>
    </w:p>
    <w:p w14:paraId="73AB5859" w14:textId="77777777" w:rsidR="00DD09A0" w:rsidRPr="00844AE1" w:rsidRDefault="00DD09A0" w:rsidP="0074439F">
      <w:pPr>
        <w:spacing w:after="0" w:line="480" w:lineRule="auto"/>
        <w:jc w:val="both"/>
        <w:rPr>
          <w:rFonts w:ascii="Arial" w:eastAsia="Calibri" w:hAnsi="Arial" w:cs="Arial"/>
          <w:sz w:val="18"/>
          <w:szCs w:val="18"/>
        </w:rPr>
      </w:pPr>
    </w:p>
    <w:p w14:paraId="2ACED62E" w14:textId="77777777" w:rsidR="0074439F" w:rsidRPr="00382B40" w:rsidRDefault="0074439F" w:rsidP="00382B40">
      <w:pPr>
        <w:spacing w:line="480" w:lineRule="auto"/>
        <w:jc w:val="both"/>
        <w:rPr>
          <w:rFonts w:ascii="Arial" w:hAnsi="Arial" w:cs="Arial"/>
          <w:b/>
          <w:sz w:val="20"/>
          <w:szCs w:val="20"/>
        </w:rPr>
      </w:pPr>
      <w:r w:rsidRPr="00382B40">
        <w:rPr>
          <w:rFonts w:ascii="Arial" w:hAnsi="Arial" w:cs="Arial"/>
          <w:b/>
          <w:sz w:val="20"/>
          <w:szCs w:val="20"/>
        </w:rPr>
        <w:t>Table 3: Relationship between T2DM status and Neck circumference stratified by sex</w:t>
      </w:r>
    </w:p>
    <w:tbl>
      <w:tblPr>
        <w:tblStyle w:val="TableGrid"/>
        <w:tblW w:w="10343" w:type="dxa"/>
        <w:tblLook w:val="04A0" w:firstRow="1" w:lastRow="0" w:firstColumn="1" w:lastColumn="0" w:noHBand="0" w:noVBand="1"/>
      </w:tblPr>
      <w:tblGrid>
        <w:gridCol w:w="2389"/>
        <w:gridCol w:w="1717"/>
        <w:gridCol w:w="1559"/>
        <w:gridCol w:w="964"/>
        <w:gridCol w:w="1308"/>
        <w:gridCol w:w="1416"/>
        <w:gridCol w:w="990"/>
      </w:tblGrid>
      <w:tr w:rsidR="0074439F" w:rsidRPr="00382B40" w14:paraId="089B3D45" w14:textId="77777777" w:rsidTr="00824C6C">
        <w:trPr>
          <w:trHeight w:val="1070"/>
        </w:trPr>
        <w:tc>
          <w:tcPr>
            <w:tcW w:w="2389" w:type="dxa"/>
            <w:vMerge w:val="restart"/>
            <w:tcBorders>
              <w:left w:val="nil"/>
            </w:tcBorders>
          </w:tcPr>
          <w:p w14:paraId="5BFB74C2"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Parameter</w:t>
            </w:r>
          </w:p>
        </w:tc>
        <w:tc>
          <w:tcPr>
            <w:tcW w:w="4240" w:type="dxa"/>
            <w:gridSpan w:val="3"/>
          </w:tcPr>
          <w:p w14:paraId="58BB0C58" w14:textId="77777777" w:rsidR="0074439F" w:rsidRPr="00382B40" w:rsidRDefault="0074439F" w:rsidP="00382B40">
            <w:pPr>
              <w:spacing w:line="480" w:lineRule="auto"/>
              <w:jc w:val="both"/>
              <w:rPr>
                <w:rFonts w:ascii="Arial" w:hAnsi="Arial" w:cs="Arial"/>
                <w:b/>
                <w:bCs/>
                <w:sz w:val="20"/>
                <w:szCs w:val="20"/>
              </w:rPr>
            </w:pPr>
            <w:r w:rsidRPr="00382B40">
              <w:rPr>
                <w:rFonts w:ascii="Arial" w:hAnsi="Arial" w:cs="Arial"/>
                <w:b/>
                <w:bCs/>
                <w:sz w:val="20"/>
                <w:szCs w:val="20"/>
              </w:rPr>
              <w:t>T2DM</w:t>
            </w:r>
          </w:p>
        </w:tc>
        <w:tc>
          <w:tcPr>
            <w:tcW w:w="3714" w:type="dxa"/>
            <w:gridSpan w:val="3"/>
            <w:tcBorders>
              <w:right w:val="nil"/>
            </w:tcBorders>
          </w:tcPr>
          <w:p w14:paraId="1AD56BF4" w14:textId="77777777" w:rsidR="0074439F" w:rsidRPr="00382B40" w:rsidRDefault="0074439F" w:rsidP="00382B40">
            <w:pPr>
              <w:spacing w:line="480" w:lineRule="auto"/>
              <w:jc w:val="both"/>
              <w:rPr>
                <w:rFonts w:ascii="Arial" w:hAnsi="Arial" w:cs="Arial"/>
                <w:b/>
                <w:bCs/>
                <w:sz w:val="20"/>
                <w:szCs w:val="20"/>
              </w:rPr>
            </w:pPr>
            <w:r w:rsidRPr="00382B40">
              <w:rPr>
                <w:rFonts w:ascii="Arial" w:hAnsi="Arial" w:cs="Arial"/>
                <w:b/>
                <w:bCs/>
                <w:sz w:val="20"/>
                <w:szCs w:val="20"/>
              </w:rPr>
              <w:t>Controls</w:t>
            </w:r>
          </w:p>
        </w:tc>
      </w:tr>
      <w:tr w:rsidR="0074439F" w:rsidRPr="00382B40" w14:paraId="6BBC5FE0" w14:textId="77777777" w:rsidTr="00824C6C">
        <w:tc>
          <w:tcPr>
            <w:tcW w:w="2389" w:type="dxa"/>
            <w:vMerge/>
            <w:tcBorders>
              <w:left w:val="nil"/>
              <w:bottom w:val="single" w:sz="4" w:space="0" w:color="auto"/>
            </w:tcBorders>
          </w:tcPr>
          <w:p w14:paraId="468A3A6F" w14:textId="77777777" w:rsidR="0074439F" w:rsidRPr="00382B40" w:rsidRDefault="0074439F" w:rsidP="00382B40">
            <w:pPr>
              <w:spacing w:line="480" w:lineRule="auto"/>
              <w:jc w:val="both"/>
              <w:rPr>
                <w:rFonts w:ascii="Arial" w:hAnsi="Arial" w:cs="Arial"/>
                <w:sz w:val="20"/>
                <w:szCs w:val="20"/>
              </w:rPr>
            </w:pPr>
          </w:p>
        </w:tc>
        <w:tc>
          <w:tcPr>
            <w:tcW w:w="1717" w:type="dxa"/>
          </w:tcPr>
          <w:p w14:paraId="3FF0A145"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Male</w:t>
            </w:r>
          </w:p>
        </w:tc>
        <w:tc>
          <w:tcPr>
            <w:tcW w:w="1559" w:type="dxa"/>
          </w:tcPr>
          <w:p w14:paraId="0D67B1F4"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Female</w:t>
            </w:r>
          </w:p>
          <w:p w14:paraId="5E22A7F8" w14:textId="77777777" w:rsidR="0074439F" w:rsidRPr="00382B40" w:rsidRDefault="0074439F" w:rsidP="00382B40">
            <w:pPr>
              <w:spacing w:line="480" w:lineRule="auto"/>
              <w:jc w:val="both"/>
              <w:rPr>
                <w:rFonts w:ascii="Arial" w:hAnsi="Arial" w:cs="Arial"/>
                <w:sz w:val="20"/>
                <w:szCs w:val="20"/>
              </w:rPr>
            </w:pPr>
          </w:p>
        </w:tc>
        <w:tc>
          <w:tcPr>
            <w:tcW w:w="964" w:type="dxa"/>
          </w:tcPr>
          <w:p w14:paraId="7292B620" w14:textId="609B2C33" w:rsidR="0074439F" w:rsidRPr="00382B40" w:rsidRDefault="006762B4" w:rsidP="00382B40">
            <w:pPr>
              <w:spacing w:line="480" w:lineRule="auto"/>
              <w:jc w:val="both"/>
              <w:rPr>
                <w:rFonts w:ascii="Arial" w:hAnsi="Arial" w:cs="Arial"/>
                <w:sz w:val="20"/>
                <w:szCs w:val="20"/>
              </w:rPr>
            </w:pPr>
            <w:r w:rsidRPr="00382B40">
              <w:rPr>
                <w:rFonts w:ascii="Arial" w:hAnsi="Arial" w:cs="Arial"/>
                <w:i/>
                <w:iCs/>
                <w:sz w:val="20"/>
                <w:szCs w:val="20"/>
              </w:rPr>
              <w:t>P</w:t>
            </w:r>
            <w:r w:rsidR="0074439F" w:rsidRPr="00382B40">
              <w:rPr>
                <w:rFonts w:ascii="Arial" w:hAnsi="Arial" w:cs="Arial"/>
                <w:sz w:val="20"/>
                <w:szCs w:val="20"/>
              </w:rPr>
              <w:t>-value</w:t>
            </w:r>
          </w:p>
        </w:tc>
        <w:tc>
          <w:tcPr>
            <w:tcW w:w="1308" w:type="dxa"/>
          </w:tcPr>
          <w:p w14:paraId="0161CC16"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Male</w:t>
            </w:r>
          </w:p>
        </w:tc>
        <w:tc>
          <w:tcPr>
            <w:tcW w:w="1416" w:type="dxa"/>
          </w:tcPr>
          <w:p w14:paraId="1FDF0F2F"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Female</w:t>
            </w:r>
          </w:p>
          <w:p w14:paraId="4B56317A" w14:textId="77777777" w:rsidR="0074439F" w:rsidRPr="00382B40" w:rsidRDefault="0074439F" w:rsidP="00382B40">
            <w:pPr>
              <w:spacing w:line="480" w:lineRule="auto"/>
              <w:jc w:val="both"/>
              <w:rPr>
                <w:rFonts w:ascii="Arial" w:hAnsi="Arial" w:cs="Arial"/>
                <w:sz w:val="20"/>
                <w:szCs w:val="20"/>
              </w:rPr>
            </w:pPr>
          </w:p>
        </w:tc>
        <w:tc>
          <w:tcPr>
            <w:tcW w:w="990" w:type="dxa"/>
            <w:tcBorders>
              <w:bottom w:val="single" w:sz="4" w:space="0" w:color="auto"/>
              <w:right w:val="nil"/>
            </w:tcBorders>
          </w:tcPr>
          <w:p w14:paraId="44B4EB86" w14:textId="2F01B5D7" w:rsidR="0074439F" w:rsidRPr="00382B40" w:rsidRDefault="007811F8" w:rsidP="00382B40">
            <w:pPr>
              <w:spacing w:line="480" w:lineRule="auto"/>
              <w:jc w:val="both"/>
              <w:rPr>
                <w:rFonts w:ascii="Arial" w:hAnsi="Arial" w:cs="Arial"/>
                <w:sz w:val="20"/>
                <w:szCs w:val="20"/>
              </w:rPr>
            </w:pPr>
            <w:r w:rsidRPr="00382B40">
              <w:rPr>
                <w:rFonts w:ascii="Arial" w:hAnsi="Arial" w:cs="Arial"/>
                <w:i/>
                <w:iCs/>
                <w:sz w:val="20"/>
                <w:szCs w:val="20"/>
              </w:rPr>
              <w:t>P</w:t>
            </w:r>
            <w:r w:rsidR="0074439F" w:rsidRPr="00382B40">
              <w:rPr>
                <w:rFonts w:ascii="Arial" w:hAnsi="Arial" w:cs="Arial"/>
                <w:sz w:val="20"/>
                <w:szCs w:val="20"/>
              </w:rPr>
              <w:t>-value</w:t>
            </w:r>
          </w:p>
        </w:tc>
      </w:tr>
      <w:tr w:rsidR="0074439F" w:rsidRPr="00382B40" w14:paraId="6B1969B0" w14:textId="77777777" w:rsidTr="00824C6C">
        <w:trPr>
          <w:trHeight w:val="342"/>
        </w:trPr>
        <w:tc>
          <w:tcPr>
            <w:tcW w:w="2389" w:type="dxa"/>
            <w:tcBorders>
              <w:left w:val="nil"/>
            </w:tcBorders>
          </w:tcPr>
          <w:p w14:paraId="34B6F94E" w14:textId="77777777" w:rsidR="0074439F" w:rsidRPr="00382B40" w:rsidRDefault="0074439F" w:rsidP="00382B40">
            <w:pPr>
              <w:spacing w:line="480" w:lineRule="auto"/>
              <w:jc w:val="both"/>
              <w:rPr>
                <w:rFonts w:ascii="Arial" w:hAnsi="Arial" w:cs="Arial"/>
                <w:bCs/>
                <w:sz w:val="20"/>
                <w:szCs w:val="20"/>
              </w:rPr>
            </w:pPr>
            <w:r w:rsidRPr="00382B40">
              <w:rPr>
                <w:rFonts w:ascii="Arial" w:hAnsi="Arial" w:cs="Arial"/>
                <w:bCs/>
                <w:sz w:val="20"/>
                <w:szCs w:val="20"/>
              </w:rPr>
              <w:t>NC; mean ± SD</w:t>
            </w:r>
          </w:p>
        </w:tc>
        <w:tc>
          <w:tcPr>
            <w:tcW w:w="1717" w:type="dxa"/>
          </w:tcPr>
          <w:p w14:paraId="6A86F296"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37.46±2.97</w:t>
            </w:r>
          </w:p>
        </w:tc>
        <w:tc>
          <w:tcPr>
            <w:tcW w:w="1559" w:type="dxa"/>
          </w:tcPr>
          <w:p w14:paraId="561548BF"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33.05±2.09</w:t>
            </w:r>
          </w:p>
        </w:tc>
        <w:tc>
          <w:tcPr>
            <w:tcW w:w="964" w:type="dxa"/>
          </w:tcPr>
          <w:p w14:paraId="0994A294"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0.01*</w:t>
            </w:r>
          </w:p>
        </w:tc>
        <w:tc>
          <w:tcPr>
            <w:tcW w:w="1308" w:type="dxa"/>
          </w:tcPr>
          <w:p w14:paraId="262DBD6B"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37.21±2.46</w:t>
            </w:r>
          </w:p>
        </w:tc>
        <w:tc>
          <w:tcPr>
            <w:tcW w:w="1416" w:type="dxa"/>
          </w:tcPr>
          <w:p w14:paraId="43C86772"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33.87±2.01</w:t>
            </w:r>
          </w:p>
        </w:tc>
        <w:tc>
          <w:tcPr>
            <w:tcW w:w="990" w:type="dxa"/>
            <w:tcBorders>
              <w:right w:val="nil"/>
            </w:tcBorders>
          </w:tcPr>
          <w:p w14:paraId="7A355561"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0.24</w:t>
            </w:r>
          </w:p>
        </w:tc>
      </w:tr>
    </w:tbl>
    <w:p w14:paraId="48F88417" w14:textId="61283E6C" w:rsidR="0074439F" w:rsidRPr="00382B40" w:rsidRDefault="0074439F" w:rsidP="00945E79">
      <w:pPr>
        <w:spacing w:after="0" w:line="240" w:lineRule="auto"/>
        <w:jc w:val="both"/>
        <w:rPr>
          <w:rFonts w:ascii="Arial" w:eastAsia="Calibri" w:hAnsi="Arial" w:cs="Arial"/>
          <w:sz w:val="18"/>
          <w:szCs w:val="18"/>
        </w:rPr>
      </w:pPr>
      <w:r w:rsidRPr="00382B40">
        <w:rPr>
          <w:rFonts w:ascii="Arial" w:hAnsi="Arial" w:cs="Arial"/>
          <w:b/>
          <w:sz w:val="18"/>
          <w:szCs w:val="18"/>
        </w:rPr>
        <w:t xml:space="preserve">* </w:t>
      </w:r>
      <w:r w:rsidR="007811F8" w:rsidRPr="00382B40">
        <w:rPr>
          <w:rFonts w:ascii="Arial" w:hAnsi="Arial" w:cs="Arial"/>
          <w:b/>
          <w:i/>
          <w:iCs/>
          <w:sz w:val="18"/>
          <w:szCs w:val="18"/>
        </w:rPr>
        <w:t>P</w:t>
      </w:r>
      <w:r w:rsidRPr="00382B40">
        <w:rPr>
          <w:rFonts w:ascii="Arial" w:hAnsi="Arial" w:cs="Arial"/>
          <w:b/>
          <w:sz w:val="18"/>
          <w:szCs w:val="18"/>
        </w:rPr>
        <w:t xml:space="preserve">-value &lt; 0.05    </w:t>
      </w:r>
    </w:p>
    <w:p w14:paraId="00F049A4" w14:textId="77777777" w:rsidR="0074439F" w:rsidRPr="005D05B3" w:rsidRDefault="0074439F" w:rsidP="00945E79">
      <w:pPr>
        <w:spacing w:after="0" w:line="240" w:lineRule="auto"/>
        <w:jc w:val="both"/>
        <w:rPr>
          <w:rFonts w:ascii="Arial" w:eastAsia="Calibri" w:hAnsi="Arial" w:cs="Arial"/>
          <w:sz w:val="24"/>
          <w:szCs w:val="24"/>
        </w:rPr>
      </w:pPr>
      <w:r w:rsidRPr="00382B40">
        <w:rPr>
          <w:rFonts w:ascii="Arial" w:eastAsia="Calibri" w:hAnsi="Arial" w:cs="Arial"/>
          <w:sz w:val="18"/>
          <w:szCs w:val="18"/>
        </w:rPr>
        <w:t>NC: neck circumference</w:t>
      </w:r>
    </w:p>
    <w:p w14:paraId="1D45BF8B" w14:textId="77777777" w:rsidR="0074439F" w:rsidRPr="005D05B3" w:rsidRDefault="0074439F" w:rsidP="00945E79">
      <w:pPr>
        <w:spacing w:after="0" w:line="240" w:lineRule="auto"/>
        <w:jc w:val="both"/>
        <w:rPr>
          <w:rFonts w:ascii="Arial" w:eastAsia="Calibri" w:hAnsi="Arial" w:cs="Arial"/>
          <w:sz w:val="24"/>
          <w:szCs w:val="24"/>
        </w:rPr>
      </w:pPr>
    </w:p>
    <w:p w14:paraId="17D1FC5C" w14:textId="77777777" w:rsidR="0074439F" w:rsidRPr="005D05B3" w:rsidRDefault="0074439F" w:rsidP="0074439F">
      <w:pPr>
        <w:spacing w:after="0" w:line="480" w:lineRule="auto"/>
        <w:jc w:val="both"/>
        <w:rPr>
          <w:rFonts w:ascii="Arial" w:eastAsia="Calibri" w:hAnsi="Arial" w:cs="Arial"/>
          <w:sz w:val="24"/>
          <w:szCs w:val="24"/>
        </w:rPr>
      </w:pPr>
    </w:p>
    <w:p w14:paraId="6DCB11A0" w14:textId="77777777" w:rsidR="0074439F" w:rsidRPr="005D05B3" w:rsidRDefault="0074439F" w:rsidP="0074439F">
      <w:pPr>
        <w:spacing w:after="0" w:line="480" w:lineRule="auto"/>
        <w:jc w:val="both"/>
        <w:rPr>
          <w:rFonts w:ascii="Arial" w:eastAsia="Calibri" w:hAnsi="Arial" w:cs="Arial"/>
          <w:sz w:val="24"/>
          <w:szCs w:val="24"/>
        </w:rPr>
      </w:pPr>
    </w:p>
    <w:p w14:paraId="2270122A" w14:textId="77777777" w:rsidR="0074439F" w:rsidRDefault="0074439F" w:rsidP="0074439F">
      <w:pPr>
        <w:spacing w:after="0" w:line="480" w:lineRule="auto"/>
        <w:jc w:val="both"/>
        <w:rPr>
          <w:rFonts w:ascii="Arial" w:eastAsia="Calibri" w:hAnsi="Arial" w:cs="Arial"/>
          <w:sz w:val="24"/>
          <w:szCs w:val="24"/>
        </w:rPr>
      </w:pPr>
    </w:p>
    <w:p w14:paraId="45D607A6" w14:textId="77777777" w:rsidR="00A62944" w:rsidRDefault="00A62944" w:rsidP="0074439F">
      <w:pPr>
        <w:spacing w:after="0" w:line="480" w:lineRule="auto"/>
        <w:jc w:val="both"/>
        <w:rPr>
          <w:rFonts w:ascii="Arial" w:eastAsia="Calibri" w:hAnsi="Arial" w:cs="Arial"/>
          <w:sz w:val="24"/>
          <w:szCs w:val="24"/>
        </w:rPr>
      </w:pPr>
    </w:p>
    <w:p w14:paraId="1FF8CC61" w14:textId="77777777" w:rsidR="00A62944" w:rsidRDefault="00A62944" w:rsidP="0074439F">
      <w:pPr>
        <w:spacing w:after="0" w:line="480" w:lineRule="auto"/>
        <w:jc w:val="both"/>
        <w:rPr>
          <w:rFonts w:ascii="Arial" w:eastAsia="Calibri" w:hAnsi="Arial" w:cs="Arial"/>
          <w:sz w:val="24"/>
          <w:szCs w:val="24"/>
        </w:rPr>
      </w:pPr>
    </w:p>
    <w:p w14:paraId="7CA12DDF" w14:textId="77777777" w:rsidR="00A62944" w:rsidRDefault="00A62944" w:rsidP="0074439F">
      <w:pPr>
        <w:spacing w:after="0" w:line="480" w:lineRule="auto"/>
        <w:jc w:val="both"/>
        <w:rPr>
          <w:rFonts w:ascii="Arial" w:eastAsia="Calibri" w:hAnsi="Arial" w:cs="Arial"/>
          <w:sz w:val="24"/>
          <w:szCs w:val="24"/>
        </w:rPr>
      </w:pPr>
    </w:p>
    <w:p w14:paraId="4B3FFC3A" w14:textId="77777777" w:rsidR="00A62944" w:rsidRPr="005D05B3" w:rsidRDefault="00A62944" w:rsidP="0074439F">
      <w:pPr>
        <w:spacing w:after="0" w:line="480" w:lineRule="auto"/>
        <w:jc w:val="both"/>
        <w:rPr>
          <w:rFonts w:ascii="Arial" w:eastAsia="Calibri" w:hAnsi="Arial" w:cs="Arial"/>
          <w:sz w:val="24"/>
          <w:szCs w:val="24"/>
        </w:rPr>
      </w:pPr>
    </w:p>
    <w:p w14:paraId="33D7B652" w14:textId="77777777" w:rsidR="0074439F" w:rsidRPr="0046299C" w:rsidRDefault="0074439F" w:rsidP="0046299C">
      <w:pPr>
        <w:spacing w:line="480" w:lineRule="auto"/>
        <w:jc w:val="both"/>
        <w:rPr>
          <w:rFonts w:ascii="Arial" w:hAnsi="Arial" w:cs="Arial"/>
          <w:b/>
          <w:sz w:val="20"/>
          <w:szCs w:val="20"/>
        </w:rPr>
      </w:pPr>
      <w:r w:rsidRPr="0046299C">
        <w:rPr>
          <w:rFonts w:ascii="Arial" w:hAnsi="Arial" w:cs="Arial"/>
          <w:b/>
          <w:sz w:val="20"/>
          <w:szCs w:val="20"/>
        </w:rPr>
        <w:t>Table 4: Relationship between neck circumference and HOMA-IR among T2DM and controls</w:t>
      </w:r>
    </w:p>
    <w:tbl>
      <w:tblPr>
        <w:tblStyle w:val="ListTable6Colorful1"/>
        <w:tblW w:w="9350" w:type="dxa"/>
        <w:tblInd w:w="5" w:type="dxa"/>
        <w:shd w:val="clear" w:color="auto" w:fill="FFFFFF"/>
        <w:tblLook w:val="04A0" w:firstRow="1" w:lastRow="0" w:firstColumn="1" w:lastColumn="0" w:noHBand="0" w:noVBand="1"/>
      </w:tblPr>
      <w:tblGrid>
        <w:gridCol w:w="3195"/>
        <w:gridCol w:w="1526"/>
        <w:gridCol w:w="1421"/>
        <w:gridCol w:w="1604"/>
        <w:gridCol w:w="1604"/>
      </w:tblGrid>
      <w:tr w:rsidR="0074439F" w:rsidRPr="0046299C" w14:paraId="01A87B7A" w14:textId="77777777" w:rsidTr="00824C6C">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195" w:type="dxa"/>
            <w:vMerge w:val="restart"/>
            <w:tcBorders>
              <w:top w:val="single" w:sz="4" w:space="0" w:color="000000"/>
              <w:bottom w:val="single" w:sz="4" w:space="0" w:color="auto"/>
              <w:right w:val="single" w:sz="4" w:space="0" w:color="auto"/>
            </w:tcBorders>
            <w:shd w:val="clear" w:color="auto" w:fill="FFFFFF"/>
          </w:tcPr>
          <w:p w14:paraId="757A2707" w14:textId="77777777" w:rsidR="0074439F" w:rsidRPr="0046299C" w:rsidRDefault="0074439F" w:rsidP="0046299C">
            <w:pPr>
              <w:tabs>
                <w:tab w:val="left" w:pos="1680"/>
              </w:tabs>
              <w:spacing w:line="480" w:lineRule="auto"/>
              <w:rPr>
                <w:rFonts w:ascii="Arial" w:eastAsia="Calibri" w:hAnsi="Arial" w:cs="Arial"/>
                <w:b w:val="0"/>
                <w:bCs w:val="0"/>
                <w:sz w:val="20"/>
                <w:szCs w:val="20"/>
              </w:rPr>
            </w:pPr>
            <w:r w:rsidRPr="0046299C">
              <w:rPr>
                <w:rFonts w:ascii="Arial" w:eastAsia="Calibri" w:hAnsi="Arial" w:cs="Arial"/>
                <w:sz w:val="20"/>
                <w:szCs w:val="20"/>
              </w:rPr>
              <w:t>Cardio-metabolic parameters</w:t>
            </w:r>
          </w:p>
        </w:tc>
        <w:tc>
          <w:tcPr>
            <w:tcW w:w="2947" w:type="dxa"/>
            <w:gridSpan w:val="2"/>
            <w:tcBorders>
              <w:top w:val="single" w:sz="4" w:space="0" w:color="000000"/>
              <w:left w:val="single" w:sz="4" w:space="0" w:color="auto"/>
              <w:bottom w:val="nil"/>
              <w:right w:val="single" w:sz="4" w:space="0" w:color="auto"/>
            </w:tcBorders>
            <w:shd w:val="clear" w:color="auto" w:fill="FFFFFF"/>
          </w:tcPr>
          <w:p w14:paraId="6A381D12" w14:textId="77777777" w:rsidR="0074439F" w:rsidRPr="0046299C" w:rsidRDefault="0074439F" w:rsidP="0046299C">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46299C">
              <w:rPr>
                <w:rFonts w:ascii="Arial" w:eastAsia="Calibri" w:hAnsi="Arial" w:cs="Arial"/>
                <w:sz w:val="20"/>
                <w:szCs w:val="20"/>
              </w:rPr>
              <w:t>T2DM</w:t>
            </w:r>
          </w:p>
        </w:tc>
        <w:tc>
          <w:tcPr>
            <w:tcW w:w="3208" w:type="dxa"/>
            <w:gridSpan w:val="2"/>
            <w:vMerge w:val="restart"/>
            <w:tcBorders>
              <w:left w:val="single" w:sz="4" w:space="0" w:color="auto"/>
            </w:tcBorders>
            <w:shd w:val="clear" w:color="auto" w:fill="FFFFFF"/>
          </w:tcPr>
          <w:p w14:paraId="05C01A2D" w14:textId="77777777" w:rsidR="0074439F" w:rsidRPr="0046299C" w:rsidRDefault="0074439F" w:rsidP="0046299C">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Control</w:t>
            </w:r>
          </w:p>
          <w:p w14:paraId="35B8F3A2" w14:textId="77777777" w:rsidR="0074439F" w:rsidRPr="0046299C" w:rsidRDefault="0074439F" w:rsidP="0046299C">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13676C0A" w14:textId="77777777" w:rsidR="0074439F" w:rsidRPr="0046299C" w:rsidRDefault="0074439F" w:rsidP="0046299C">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46299C">
              <w:rPr>
                <w:rFonts w:ascii="Arial" w:eastAsia="Calibri" w:hAnsi="Arial" w:cs="Arial"/>
                <w:sz w:val="20"/>
                <w:szCs w:val="20"/>
              </w:rPr>
              <w:t>NC</w:t>
            </w:r>
          </w:p>
        </w:tc>
      </w:tr>
      <w:tr w:rsidR="0074439F" w:rsidRPr="0046299C" w14:paraId="186DE4A9" w14:textId="77777777" w:rsidTr="00824C6C">
        <w:trPr>
          <w:trHeight w:val="530"/>
        </w:trPr>
        <w:tc>
          <w:tcPr>
            <w:cnfStyle w:val="001000000000" w:firstRow="0" w:lastRow="0" w:firstColumn="1" w:lastColumn="0" w:oddVBand="0" w:evenVBand="0" w:oddHBand="0" w:evenHBand="0" w:firstRowFirstColumn="0" w:firstRowLastColumn="0" w:lastRowFirstColumn="0" w:lastRowLastColumn="0"/>
            <w:tcW w:w="3195" w:type="dxa"/>
            <w:vMerge/>
            <w:tcBorders>
              <w:top w:val="nil"/>
              <w:bottom w:val="single" w:sz="4" w:space="0" w:color="auto"/>
              <w:right w:val="single" w:sz="4" w:space="0" w:color="auto"/>
            </w:tcBorders>
            <w:shd w:val="clear" w:color="auto" w:fill="FFFFFF"/>
          </w:tcPr>
          <w:p w14:paraId="3795A181" w14:textId="77777777" w:rsidR="0074439F" w:rsidRPr="0046299C" w:rsidRDefault="0074439F" w:rsidP="0046299C">
            <w:pPr>
              <w:tabs>
                <w:tab w:val="left" w:pos="1680"/>
              </w:tabs>
              <w:spacing w:line="480" w:lineRule="auto"/>
              <w:rPr>
                <w:rFonts w:ascii="Arial" w:eastAsia="Calibri" w:hAnsi="Arial" w:cs="Arial"/>
                <w:b w:val="0"/>
                <w:bCs w:val="0"/>
                <w:sz w:val="20"/>
                <w:szCs w:val="20"/>
              </w:rPr>
            </w:pPr>
          </w:p>
        </w:tc>
        <w:tc>
          <w:tcPr>
            <w:tcW w:w="2947" w:type="dxa"/>
            <w:gridSpan w:val="2"/>
            <w:tcBorders>
              <w:top w:val="nil"/>
              <w:left w:val="single" w:sz="4" w:space="0" w:color="auto"/>
              <w:bottom w:val="single" w:sz="4" w:space="0" w:color="auto"/>
              <w:right w:val="single" w:sz="4" w:space="0" w:color="auto"/>
            </w:tcBorders>
            <w:shd w:val="clear" w:color="auto" w:fill="FFFFFF"/>
          </w:tcPr>
          <w:p w14:paraId="0261B5D3"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6299C">
              <w:rPr>
                <w:rFonts w:ascii="Arial" w:eastAsia="Calibri" w:hAnsi="Arial" w:cs="Arial"/>
                <w:b/>
                <w:bCs/>
                <w:sz w:val="20"/>
                <w:szCs w:val="20"/>
              </w:rPr>
              <w:t>NC</w:t>
            </w:r>
          </w:p>
        </w:tc>
        <w:tc>
          <w:tcPr>
            <w:tcW w:w="3208" w:type="dxa"/>
            <w:gridSpan w:val="2"/>
            <w:vMerge/>
            <w:tcBorders>
              <w:left w:val="single" w:sz="4" w:space="0" w:color="auto"/>
              <w:bottom w:val="single" w:sz="4" w:space="0" w:color="auto"/>
            </w:tcBorders>
            <w:shd w:val="clear" w:color="auto" w:fill="FFFFFF"/>
          </w:tcPr>
          <w:p w14:paraId="79890410"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p>
        </w:tc>
      </w:tr>
      <w:tr w:rsidR="0074439F" w:rsidRPr="0046299C" w14:paraId="123FFBDB" w14:textId="77777777" w:rsidTr="00824C6C">
        <w:tc>
          <w:tcPr>
            <w:cnfStyle w:val="001000000000" w:firstRow="0" w:lastRow="0" w:firstColumn="1" w:lastColumn="0" w:oddVBand="0" w:evenVBand="0" w:oddHBand="0" w:evenHBand="0" w:firstRowFirstColumn="0" w:firstRowLastColumn="0" w:lastRowFirstColumn="0" w:lastRowLastColumn="0"/>
            <w:tcW w:w="3195" w:type="dxa"/>
            <w:vMerge/>
            <w:tcBorders>
              <w:top w:val="nil"/>
              <w:bottom w:val="single" w:sz="4" w:space="0" w:color="auto"/>
              <w:right w:val="single" w:sz="4" w:space="0" w:color="auto"/>
            </w:tcBorders>
            <w:shd w:val="clear" w:color="auto" w:fill="FFFFFF"/>
          </w:tcPr>
          <w:p w14:paraId="4AE9E1C3" w14:textId="77777777" w:rsidR="0074439F" w:rsidRPr="0046299C" w:rsidRDefault="0074439F" w:rsidP="0046299C">
            <w:pPr>
              <w:spacing w:line="480" w:lineRule="auto"/>
              <w:rPr>
                <w:rFonts w:ascii="Arial" w:eastAsia="Calibri" w:hAnsi="Arial" w:cs="Arial"/>
                <w:b w:val="0"/>
                <w:bCs w:val="0"/>
                <w:sz w:val="20"/>
                <w:szCs w:val="20"/>
              </w:rPr>
            </w:pPr>
          </w:p>
        </w:tc>
        <w:tc>
          <w:tcPr>
            <w:tcW w:w="1526" w:type="dxa"/>
            <w:tcBorders>
              <w:top w:val="single" w:sz="4" w:space="0" w:color="auto"/>
              <w:left w:val="single" w:sz="4" w:space="0" w:color="auto"/>
              <w:bottom w:val="single" w:sz="4" w:space="0" w:color="auto"/>
            </w:tcBorders>
            <w:shd w:val="clear" w:color="auto" w:fill="FFFFFF"/>
          </w:tcPr>
          <w:p w14:paraId="0986E2CA"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r w:rsidRPr="0046299C">
              <w:rPr>
                <w:rFonts w:ascii="Arial" w:eastAsia="Calibri" w:hAnsi="Arial" w:cs="Arial"/>
                <w:bCs/>
                <w:sz w:val="20"/>
                <w:szCs w:val="20"/>
              </w:rPr>
              <w:t>rho</w:t>
            </w:r>
          </w:p>
        </w:tc>
        <w:tc>
          <w:tcPr>
            <w:tcW w:w="1421" w:type="dxa"/>
            <w:tcBorders>
              <w:top w:val="single" w:sz="4" w:space="0" w:color="auto"/>
              <w:bottom w:val="single" w:sz="4" w:space="0" w:color="auto"/>
              <w:right w:val="single" w:sz="4" w:space="0" w:color="auto"/>
            </w:tcBorders>
            <w:shd w:val="clear" w:color="auto" w:fill="FFFFFF"/>
          </w:tcPr>
          <w:p w14:paraId="16B716E8" w14:textId="04731C07" w:rsidR="0074439F" w:rsidRPr="0046299C" w:rsidRDefault="007811F8"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r w:rsidRPr="0046299C">
              <w:rPr>
                <w:rFonts w:ascii="Arial" w:eastAsia="Calibri" w:hAnsi="Arial" w:cs="Arial"/>
                <w:bCs/>
                <w:i/>
                <w:iCs/>
                <w:sz w:val="20"/>
                <w:szCs w:val="20"/>
              </w:rPr>
              <w:t>P</w:t>
            </w:r>
            <w:r w:rsidR="0074439F" w:rsidRPr="0046299C">
              <w:rPr>
                <w:rFonts w:ascii="Arial" w:eastAsia="Calibri" w:hAnsi="Arial" w:cs="Arial"/>
                <w:bCs/>
                <w:sz w:val="20"/>
                <w:szCs w:val="20"/>
              </w:rPr>
              <w:t>-value</w:t>
            </w:r>
          </w:p>
          <w:p w14:paraId="08F68C9D"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p>
        </w:tc>
        <w:tc>
          <w:tcPr>
            <w:tcW w:w="1604" w:type="dxa"/>
            <w:tcBorders>
              <w:top w:val="single" w:sz="4" w:space="0" w:color="auto"/>
              <w:left w:val="single" w:sz="4" w:space="0" w:color="auto"/>
              <w:bottom w:val="single" w:sz="4" w:space="0" w:color="auto"/>
            </w:tcBorders>
            <w:shd w:val="clear" w:color="auto" w:fill="FFFFFF"/>
          </w:tcPr>
          <w:p w14:paraId="757D1DB3"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r w:rsidRPr="0046299C">
              <w:rPr>
                <w:rFonts w:ascii="Arial" w:eastAsia="Calibri" w:hAnsi="Arial" w:cs="Arial"/>
                <w:bCs/>
                <w:sz w:val="20"/>
                <w:szCs w:val="20"/>
              </w:rPr>
              <w:t>rho</w:t>
            </w:r>
          </w:p>
        </w:tc>
        <w:tc>
          <w:tcPr>
            <w:tcW w:w="1604" w:type="dxa"/>
            <w:tcBorders>
              <w:top w:val="single" w:sz="4" w:space="0" w:color="auto"/>
              <w:bottom w:val="single" w:sz="4" w:space="0" w:color="auto"/>
            </w:tcBorders>
            <w:shd w:val="clear" w:color="auto" w:fill="FFFFFF"/>
          </w:tcPr>
          <w:p w14:paraId="5BE964D8" w14:textId="55DEA167" w:rsidR="0074439F" w:rsidRPr="0046299C" w:rsidRDefault="007811F8"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r w:rsidRPr="0046299C">
              <w:rPr>
                <w:rFonts w:ascii="Arial" w:eastAsia="Calibri" w:hAnsi="Arial" w:cs="Arial"/>
                <w:bCs/>
                <w:i/>
                <w:iCs/>
                <w:sz w:val="20"/>
                <w:szCs w:val="20"/>
              </w:rPr>
              <w:t>P</w:t>
            </w:r>
            <w:r w:rsidR="0074439F" w:rsidRPr="0046299C">
              <w:rPr>
                <w:rFonts w:ascii="Arial" w:eastAsia="Calibri" w:hAnsi="Arial" w:cs="Arial"/>
                <w:bCs/>
                <w:sz w:val="20"/>
                <w:szCs w:val="20"/>
              </w:rPr>
              <w:t>-value</w:t>
            </w:r>
          </w:p>
          <w:p w14:paraId="23CEA663"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p>
          <w:p w14:paraId="49D1D75E"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p>
        </w:tc>
      </w:tr>
      <w:tr w:rsidR="0074439F" w:rsidRPr="0046299C" w14:paraId="65B6B4B1" w14:textId="77777777" w:rsidTr="00824C6C">
        <w:trPr>
          <w:trHeight w:val="342"/>
        </w:trPr>
        <w:tc>
          <w:tcPr>
            <w:cnfStyle w:val="001000000000" w:firstRow="0" w:lastRow="0" w:firstColumn="1" w:lastColumn="0" w:oddVBand="0" w:evenVBand="0" w:oddHBand="0" w:evenHBand="0" w:firstRowFirstColumn="0" w:firstRowLastColumn="0" w:lastRowFirstColumn="0" w:lastRowLastColumn="0"/>
            <w:tcW w:w="3195" w:type="dxa"/>
            <w:tcBorders>
              <w:top w:val="single" w:sz="4" w:space="0" w:color="auto"/>
              <w:right w:val="single" w:sz="4" w:space="0" w:color="auto"/>
            </w:tcBorders>
            <w:shd w:val="clear" w:color="auto" w:fill="FFFFFF"/>
          </w:tcPr>
          <w:p w14:paraId="3BADB7B5" w14:textId="77777777" w:rsidR="0074439F" w:rsidRPr="0046299C" w:rsidRDefault="0074439F" w:rsidP="0046299C">
            <w:pPr>
              <w:tabs>
                <w:tab w:val="left" w:pos="1680"/>
              </w:tabs>
              <w:spacing w:line="480" w:lineRule="auto"/>
              <w:rPr>
                <w:rFonts w:ascii="Arial" w:eastAsia="Calibri" w:hAnsi="Arial" w:cs="Arial"/>
                <w:sz w:val="20"/>
                <w:szCs w:val="20"/>
              </w:rPr>
            </w:pPr>
            <w:r w:rsidRPr="0046299C">
              <w:rPr>
                <w:rFonts w:ascii="Arial" w:eastAsia="Calibri" w:hAnsi="Arial" w:cs="Arial"/>
                <w:b w:val="0"/>
                <w:bCs w:val="0"/>
                <w:sz w:val="20"/>
                <w:szCs w:val="20"/>
              </w:rPr>
              <w:t>HOMA-IR</w:t>
            </w:r>
          </w:p>
        </w:tc>
        <w:tc>
          <w:tcPr>
            <w:tcW w:w="1526" w:type="dxa"/>
            <w:tcBorders>
              <w:top w:val="single" w:sz="4" w:space="0" w:color="auto"/>
              <w:left w:val="single" w:sz="4" w:space="0" w:color="auto"/>
            </w:tcBorders>
            <w:shd w:val="clear" w:color="auto" w:fill="FFFFFF"/>
          </w:tcPr>
          <w:p w14:paraId="126D689C"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0.13</w:t>
            </w:r>
          </w:p>
        </w:tc>
        <w:tc>
          <w:tcPr>
            <w:tcW w:w="1421" w:type="dxa"/>
            <w:tcBorders>
              <w:top w:val="single" w:sz="4" w:space="0" w:color="auto"/>
              <w:right w:val="single" w:sz="4" w:space="0" w:color="auto"/>
            </w:tcBorders>
            <w:shd w:val="clear" w:color="auto" w:fill="FFFFFF"/>
          </w:tcPr>
          <w:p w14:paraId="0A52D196"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0.16</w:t>
            </w:r>
          </w:p>
        </w:tc>
        <w:tc>
          <w:tcPr>
            <w:tcW w:w="1604" w:type="dxa"/>
            <w:tcBorders>
              <w:top w:val="single" w:sz="4" w:space="0" w:color="auto"/>
              <w:left w:val="single" w:sz="4" w:space="0" w:color="auto"/>
            </w:tcBorders>
            <w:shd w:val="clear" w:color="auto" w:fill="FFFFFF"/>
          </w:tcPr>
          <w:p w14:paraId="263F21B7"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0.34</w:t>
            </w:r>
          </w:p>
        </w:tc>
        <w:tc>
          <w:tcPr>
            <w:tcW w:w="1604" w:type="dxa"/>
            <w:tcBorders>
              <w:top w:val="single" w:sz="4" w:space="0" w:color="auto"/>
            </w:tcBorders>
            <w:shd w:val="clear" w:color="auto" w:fill="FFFFFF"/>
          </w:tcPr>
          <w:p w14:paraId="5EFD2220"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0.01*</w:t>
            </w:r>
          </w:p>
          <w:p w14:paraId="30130BC1"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bl>
    <w:p w14:paraId="2D3ED261" w14:textId="11EA807A" w:rsidR="0074439F" w:rsidRPr="0046299C" w:rsidRDefault="0074439F" w:rsidP="0046299C">
      <w:pPr>
        <w:spacing w:line="240" w:lineRule="auto"/>
        <w:jc w:val="both"/>
        <w:rPr>
          <w:rFonts w:ascii="Arial" w:hAnsi="Arial" w:cs="Arial"/>
          <w:b/>
          <w:sz w:val="18"/>
          <w:szCs w:val="18"/>
        </w:rPr>
      </w:pPr>
      <w:r w:rsidRPr="0046299C">
        <w:rPr>
          <w:rFonts w:ascii="Arial" w:hAnsi="Arial" w:cs="Arial"/>
          <w:b/>
          <w:sz w:val="18"/>
          <w:szCs w:val="18"/>
        </w:rPr>
        <w:t xml:space="preserve">* </w:t>
      </w:r>
      <w:r w:rsidR="007811F8" w:rsidRPr="0046299C">
        <w:rPr>
          <w:rFonts w:ascii="Arial" w:hAnsi="Arial" w:cs="Arial"/>
          <w:b/>
          <w:i/>
          <w:iCs/>
          <w:sz w:val="18"/>
          <w:szCs w:val="18"/>
        </w:rPr>
        <w:t>P</w:t>
      </w:r>
      <w:r w:rsidRPr="0046299C">
        <w:rPr>
          <w:rFonts w:ascii="Arial" w:hAnsi="Arial" w:cs="Arial"/>
          <w:b/>
          <w:sz w:val="18"/>
          <w:szCs w:val="18"/>
        </w:rPr>
        <w:t xml:space="preserve">-value &lt; 0.05    </w:t>
      </w:r>
    </w:p>
    <w:p w14:paraId="5E19922D" w14:textId="77777777" w:rsidR="0074439F" w:rsidRPr="0046299C" w:rsidRDefault="0074439F" w:rsidP="0046299C">
      <w:pPr>
        <w:spacing w:line="240" w:lineRule="auto"/>
        <w:rPr>
          <w:rFonts w:ascii="Arial" w:hAnsi="Arial" w:cs="Arial"/>
          <w:sz w:val="18"/>
          <w:szCs w:val="18"/>
        </w:rPr>
      </w:pPr>
      <w:r w:rsidRPr="0046299C">
        <w:rPr>
          <w:rFonts w:ascii="Arial" w:hAnsi="Arial" w:cs="Arial"/>
          <w:bCs/>
          <w:sz w:val="18"/>
          <w:szCs w:val="18"/>
        </w:rPr>
        <w:t>HOMA-IR: Homeostatic model assessment-insulin resistance</w:t>
      </w:r>
    </w:p>
    <w:p w14:paraId="1609B85E" w14:textId="77777777" w:rsidR="0074439F" w:rsidRPr="0046299C" w:rsidRDefault="0074439F" w:rsidP="0046299C">
      <w:pPr>
        <w:spacing w:after="0" w:line="240" w:lineRule="auto"/>
        <w:jc w:val="both"/>
        <w:rPr>
          <w:rFonts w:ascii="Arial" w:eastAsia="Calibri" w:hAnsi="Arial" w:cs="Arial"/>
          <w:sz w:val="18"/>
          <w:szCs w:val="18"/>
        </w:rPr>
      </w:pPr>
    </w:p>
    <w:p w14:paraId="54E9767A" w14:textId="1B0761F3" w:rsidR="0074439F" w:rsidRPr="00DD09A0" w:rsidRDefault="0074439F" w:rsidP="00DD09A0">
      <w:pPr>
        <w:spacing w:line="480" w:lineRule="auto"/>
        <w:jc w:val="both"/>
        <w:rPr>
          <w:rFonts w:ascii="Arial" w:hAnsi="Arial" w:cs="Arial"/>
          <w:b/>
          <w:sz w:val="20"/>
          <w:szCs w:val="20"/>
        </w:rPr>
      </w:pPr>
      <w:r w:rsidRPr="00DD09A0">
        <w:rPr>
          <w:rFonts w:ascii="Arial" w:hAnsi="Arial" w:cs="Arial"/>
          <w:b/>
          <w:sz w:val="20"/>
          <w:szCs w:val="20"/>
        </w:rPr>
        <w:t>Table 5: Relationship between neck circumference and Cardio-metabolic factors among patients with type 2 diabetes mellitus</w:t>
      </w:r>
    </w:p>
    <w:tbl>
      <w:tblPr>
        <w:tblStyle w:val="ListTable6Colorful11"/>
        <w:tblW w:w="8820" w:type="dxa"/>
        <w:tblLook w:val="04A0" w:firstRow="1" w:lastRow="0" w:firstColumn="1" w:lastColumn="0" w:noHBand="0" w:noVBand="1"/>
      </w:tblPr>
      <w:tblGrid>
        <w:gridCol w:w="3771"/>
        <w:gridCol w:w="4037"/>
        <w:gridCol w:w="1012"/>
      </w:tblGrid>
      <w:tr w:rsidR="0074439F" w:rsidRPr="00DD09A0" w14:paraId="2566AE7D" w14:textId="77777777" w:rsidTr="00824C6C">
        <w:trPr>
          <w:cnfStyle w:val="100000000000" w:firstRow="1" w:lastRow="0" w:firstColumn="0" w:lastColumn="0" w:oddVBand="0" w:evenVBand="0" w:oddHBand="0"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3771" w:type="dxa"/>
            <w:vMerge w:val="restart"/>
          </w:tcPr>
          <w:p w14:paraId="1B731B49" w14:textId="77777777" w:rsidR="0074439F" w:rsidRPr="00DD09A0" w:rsidRDefault="0074439F" w:rsidP="00DD09A0">
            <w:pPr>
              <w:tabs>
                <w:tab w:val="left" w:pos="1680"/>
              </w:tabs>
              <w:spacing w:line="480" w:lineRule="auto"/>
              <w:rPr>
                <w:rFonts w:ascii="Arial" w:eastAsia="Calibri" w:hAnsi="Arial" w:cs="Arial"/>
                <w:b w:val="0"/>
                <w:bCs w:val="0"/>
                <w:sz w:val="20"/>
                <w:szCs w:val="20"/>
              </w:rPr>
            </w:pPr>
            <w:r w:rsidRPr="00DD09A0">
              <w:rPr>
                <w:rFonts w:ascii="Arial" w:eastAsia="Calibri" w:hAnsi="Arial" w:cs="Arial"/>
                <w:sz w:val="20"/>
                <w:szCs w:val="20"/>
              </w:rPr>
              <w:t>Cardio-metabolic parameters</w:t>
            </w:r>
          </w:p>
        </w:tc>
        <w:tc>
          <w:tcPr>
            <w:tcW w:w="5049" w:type="dxa"/>
            <w:gridSpan w:val="2"/>
            <w:tcBorders>
              <w:bottom w:val="single" w:sz="4" w:space="0" w:color="auto"/>
            </w:tcBorders>
          </w:tcPr>
          <w:p w14:paraId="29EA87C1" w14:textId="77777777" w:rsidR="0074439F" w:rsidRPr="00DD09A0" w:rsidRDefault="0074439F" w:rsidP="00DD09A0">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DD09A0">
              <w:rPr>
                <w:rFonts w:ascii="Arial" w:eastAsia="Calibri" w:hAnsi="Arial" w:cs="Arial"/>
                <w:sz w:val="20"/>
                <w:szCs w:val="20"/>
              </w:rPr>
              <w:t>NC</w:t>
            </w:r>
          </w:p>
        </w:tc>
      </w:tr>
      <w:tr w:rsidR="0074439F" w:rsidRPr="00DD09A0" w14:paraId="4F5CC7D3" w14:textId="77777777" w:rsidTr="00824C6C">
        <w:tc>
          <w:tcPr>
            <w:cnfStyle w:val="001000000000" w:firstRow="0" w:lastRow="0" w:firstColumn="1" w:lastColumn="0" w:oddVBand="0" w:evenVBand="0" w:oddHBand="0" w:evenHBand="0" w:firstRowFirstColumn="0" w:firstRowLastColumn="0" w:lastRowFirstColumn="0" w:lastRowLastColumn="0"/>
            <w:tcW w:w="3771" w:type="dxa"/>
            <w:vMerge/>
          </w:tcPr>
          <w:p w14:paraId="6F40ADCD" w14:textId="77777777" w:rsidR="0074439F" w:rsidRPr="00DD09A0" w:rsidRDefault="0074439F" w:rsidP="00DD09A0">
            <w:pPr>
              <w:spacing w:line="480" w:lineRule="auto"/>
              <w:rPr>
                <w:rFonts w:ascii="Arial" w:eastAsia="Calibri" w:hAnsi="Arial" w:cs="Arial"/>
                <w:b w:val="0"/>
                <w:bCs w:val="0"/>
                <w:sz w:val="20"/>
                <w:szCs w:val="20"/>
              </w:rPr>
            </w:pPr>
          </w:p>
        </w:tc>
        <w:tc>
          <w:tcPr>
            <w:tcW w:w="4037" w:type="dxa"/>
            <w:tcBorders>
              <w:top w:val="single" w:sz="4" w:space="0" w:color="auto"/>
              <w:bottom w:val="single" w:sz="4" w:space="0" w:color="auto"/>
            </w:tcBorders>
          </w:tcPr>
          <w:p w14:paraId="1F587AC0"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DD09A0">
              <w:rPr>
                <w:rFonts w:ascii="Arial" w:eastAsia="Calibri" w:hAnsi="Arial" w:cs="Arial"/>
                <w:b/>
                <w:sz w:val="20"/>
                <w:szCs w:val="20"/>
              </w:rPr>
              <w:t>rho</w:t>
            </w:r>
          </w:p>
        </w:tc>
        <w:tc>
          <w:tcPr>
            <w:tcW w:w="1012" w:type="dxa"/>
            <w:tcBorders>
              <w:top w:val="single" w:sz="4" w:space="0" w:color="auto"/>
              <w:bottom w:val="single" w:sz="4" w:space="0" w:color="auto"/>
            </w:tcBorders>
          </w:tcPr>
          <w:p w14:paraId="2069D32C" w14:textId="3EF9E20B" w:rsidR="0074439F" w:rsidRPr="00DD09A0" w:rsidRDefault="007811F8"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DD09A0">
              <w:rPr>
                <w:rFonts w:ascii="Arial" w:eastAsia="Calibri" w:hAnsi="Arial" w:cs="Arial"/>
                <w:b/>
                <w:i/>
                <w:iCs/>
                <w:sz w:val="20"/>
                <w:szCs w:val="20"/>
              </w:rPr>
              <w:t>P</w:t>
            </w:r>
            <w:r w:rsidR="0074439F" w:rsidRPr="00DD09A0">
              <w:rPr>
                <w:rFonts w:ascii="Arial" w:eastAsia="Calibri" w:hAnsi="Arial" w:cs="Arial"/>
                <w:b/>
                <w:sz w:val="20"/>
                <w:szCs w:val="20"/>
              </w:rPr>
              <w:t>-value</w:t>
            </w:r>
          </w:p>
          <w:p w14:paraId="16D6F409"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p>
        </w:tc>
      </w:tr>
      <w:tr w:rsidR="0074439F" w:rsidRPr="00DD09A0" w14:paraId="0F009149" w14:textId="77777777" w:rsidTr="00824C6C">
        <w:trPr>
          <w:trHeight w:val="342"/>
        </w:trPr>
        <w:tc>
          <w:tcPr>
            <w:cnfStyle w:val="001000000000" w:firstRow="0" w:lastRow="0" w:firstColumn="1" w:lastColumn="0" w:oddVBand="0" w:evenVBand="0" w:oddHBand="0" w:evenHBand="0" w:firstRowFirstColumn="0" w:firstRowLastColumn="0" w:lastRowFirstColumn="0" w:lastRowLastColumn="0"/>
            <w:tcW w:w="3771" w:type="dxa"/>
          </w:tcPr>
          <w:p w14:paraId="356AB93A"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BMI (kg/m</w:t>
            </w:r>
            <w:r w:rsidRPr="00DD09A0">
              <w:rPr>
                <w:rFonts w:ascii="Arial" w:eastAsia="Calibri" w:hAnsi="Arial" w:cs="Arial"/>
                <w:b w:val="0"/>
                <w:bCs w:val="0"/>
                <w:sz w:val="20"/>
                <w:szCs w:val="20"/>
                <w:vertAlign w:val="superscript"/>
              </w:rPr>
              <w:t>2</w:t>
            </w:r>
            <w:r w:rsidRPr="00DD09A0">
              <w:rPr>
                <w:rFonts w:ascii="Arial" w:eastAsia="Calibri" w:hAnsi="Arial" w:cs="Arial"/>
                <w:b w:val="0"/>
                <w:bCs w:val="0"/>
                <w:sz w:val="20"/>
                <w:szCs w:val="20"/>
              </w:rPr>
              <w:t>)</w:t>
            </w:r>
          </w:p>
        </w:tc>
        <w:tc>
          <w:tcPr>
            <w:tcW w:w="4037" w:type="dxa"/>
            <w:tcBorders>
              <w:top w:val="single" w:sz="4" w:space="0" w:color="auto"/>
            </w:tcBorders>
          </w:tcPr>
          <w:p w14:paraId="5A50BC29"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0.30</w:t>
            </w:r>
          </w:p>
        </w:tc>
        <w:tc>
          <w:tcPr>
            <w:tcW w:w="1012" w:type="dxa"/>
            <w:tcBorders>
              <w:top w:val="single" w:sz="4" w:space="0" w:color="auto"/>
            </w:tcBorders>
          </w:tcPr>
          <w:p w14:paraId="664F65C8"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0.001*</w:t>
            </w:r>
          </w:p>
        </w:tc>
      </w:tr>
      <w:tr w:rsidR="0074439F" w:rsidRPr="00DD09A0" w14:paraId="6FA28E46"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23D25904"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Waist Circumference (cm)</w:t>
            </w:r>
          </w:p>
        </w:tc>
        <w:tc>
          <w:tcPr>
            <w:tcW w:w="4037" w:type="dxa"/>
          </w:tcPr>
          <w:p w14:paraId="57ADAA78"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0.48</w:t>
            </w:r>
          </w:p>
        </w:tc>
        <w:tc>
          <w:tcPr>
            <w:tcW w:w="1012" w:type="dxa"/>
          </w:tcPr>
          <w:p w14:paraId="3C71AA64"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&lt;0.001*</w:t>
            </w:r>
          </w:p>
        </w:tc>
      </w:tr>
      <w:tr w:rsidR="0074439F" w:rsidRPr="00DD09A0" w14:paraId="43C99DE1"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4A390C5D"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WHR</w:t>
            </w:r>
          </w:p>
        </w:tc>
        <w:tc>
          <w:tcPr>
            <w:tcW w:w="4037" w:type="dxa"/>
          </w:tcPr>
          <w:p w14:paraId="099C2C39"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0.26</w:t>
            </w:r>
          </w:p>
        </w:tc>
        <w:tc>
          <w:tcPr>
            <w:tcW w:w="1012" w:type="dxa"/>
          </w:tcPr>
          <w:p w14:paraId="4759316B"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0.004*</w:t>
            </w:r>
          </w:p>
        </w:tc>
      </w:tr>
      <w:tr w:rsidR="0074439F" w:rsidRPr="00DD09A0" w14:paraId="55E6C276"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28BA8992"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 xml:space="preserve">Systolic Blood Pressure (mmHg) </w:t>
            </w:r>
          </w:p>
        </w:tc>
        <w:tc>
          <w:tcPr>
            <w:tcW w:w="4037" w:type="dxa"/>
          </w:tcPr>
          <w:p w14:paraId="173C6ECC"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-0.003</w:t>
            </w:r>
          </w:p>
        </w:tc>
        <w:tc>
          <w:tcPr>
            <w:tcW w:w="1012" w:type="dxa"/>
          </w:tcPr>
          <w:p w14:paraId="047349E6"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0.97</w:t>
            </w:r>
          </w:p>
        </w:tc>
      </w:tr>
      <w:tr w:rsidR="0074439F" w:rsidRPr="00DD09A0" w14:paraId="360C3201"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10BF14C4"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Diastolic Blood Pressure (mmHg)</w:t>
            </w:r>
          </w:p>
        </w:tc>
        <w:tc>
          <w:tcPr>
            <w:tcW w:w="4037" w:type="dxa"/>
          </w:tcPr>
          <w:p w14:paraId="0D8C6C43"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0.15</w:t>
            </w:r>
          </w:p>
        </w:tc>
        <w:tc>
          <w:tcPr>
            <w:tcW w:w="1012" w:type="dxa"/>
          </w:tcPr>
          <w:p w14:paraId="5F21FDA3"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0.10</w:t>
            </w:r>
          </w:p>
        </w:tc>
      </w:tr>
      <w:tr w:rsidR="0074439F" w:rsidRPr="00DD09A0" w14:paraId="2CB30BB9"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0CE71766"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HDL-C (mg/dl)</w:t>
            </w:r>
          </w:p>
        </w:tc>
        <w:tc>
          <w:tcPr>
            <w:tcW w:w="4037" w:type="dxa"/>
          </w:tcPr>
          <w:p w14:paraId="18795F07"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-0.05</w:t>
            </w:r>
          </w:p>
        </w:tc>
        <w:tc>
          <w:tcPr>
            <w:tcW w:w="1012" w:type="dxa"/>
          </w:tcPr>
          <w:p w14:paraId="033F4126"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0.59</w:t>
            </w:r>
          </w:p>
        </w:tc>
      </w:tr>
      <w:tr w:rsidR="0074439F" w:rsidRPr="00DD09A0" w14:paraId="5304E039"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6BD58588"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LDL-C (mg/dl)</w:t>
            </w:r>
          </w:p>
        </w:tc>
        <w:tc>
          <w:tcPr>
            <w:tcW w:w="4037" w:type="dxa"/>
          </w:tcPr>
          <w:p w14:paraId="7970B4A1"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-0.15</w:t>
            </w:r>
          </w:p>
        </w:tc>
        <w:tc>
          <w:tcPr>
            <w:tcW w:w="1012" w:type="dxa"/>
          </w:tcPr>
          <w:p w14:paraId="73CE7900"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0.10</w:t>
            </w:r>
          </w:p>
        </w:tc>
      </w:tr>
      <w:tr w:rsidR="0074439F" w:rsidRPr="00DD09A0" w14:paraId="49EEEAC7"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7D1AC1D8"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lastRenderedPageBreak/>
              <w:t>Triglyceride (mg/dl)</w:t>
            </w:r>
          </w:p>
        </w:tc>
        <w:tc>
          <w:tcPr>
            <w:tcW w:w="4037" w:type="dxa"/>
          </w:tcPr>
          <w:p w14:paraId="068B8531"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0.38</w:t>
            </w:r>
          </w:p>
        </w:tc>
        <w:tc>
          <w:tcPr>
            <w:tcW w:w="1012" w:type="dxa"/>
          </w:tcPr>
          <w:p w14:paraId="318156E2"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0.68</w:t>
            </w:r>
          </w:p>
        </w:tc>
      </w:tr>
      <w:tr w:rsidR="0074439F" w:rsidRPr="00DD09A0" w14:paraId="1461B579"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6DB1A37D"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Total Cholesterol (mg/dl)</w:t>
            </w:r>
          </w:p>
        </w:tc>
        <w:tc>
          <w:tcPr>
            <w:tcW w:w="4037" w:type="dxa"/>
          </w:tcPr>
          <w:p w14:paraId="52D9F263"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-0.15</w:t>
            </w:r>
          </w:p>
        </w:tc>
        <w:tc>
          <w:tcPr>
            <w:tcW w:w="1012" w:type="dxa"/>
          </w:tcPr>
          <w:p w14:paraId="0E34A319"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0.10</w:t>
            </w:r>
          </w:p>
        </w:tc>
      </w:tr>
    </w:tbl>
    <w:p w14:paraId="037BB010" w14:textId="20690EA9" w:rsidR="0074439F" w:rsidRPr="009F6F93" w:rsidRDefault="0074439F" w:rsidP="009F6F93">
      <w:pPr>
        <w:spacing w:line="240" w:lineRule="auto"/>
        <w:jc w:val="both"/>
        <w:rPr>
          <w:rFonts w:ascii="Arial" w:hAnsi="Arial" w:cs="Arial"/>
          <w:b/>
          <w:sz w:val="18"/>
          <w:szCs w:val="18"/>
        </w:rPr>
      </w:pPr>
      <w:r w:rsidRPr="009F6F93">
        <w:rPr>
          <w:rFonts w:ascii="Arial" w:hAnsi="Arial" w:cs="Arial"/>
          <w:b/>
          <w:sz w:val="18"/>
          <w:szCs w:val="18"/>
        </w:rPr>
        <w:t xml:space="preserve">* </w:t>
      </w:r>
      <w:r w:rsidR="007811F8" w:rsidRPr="009F6F93">
        <w:rPr>
          <w:rFonts w:ascii="Arial" w:hAnsi="Arial" w:cs="Arial"/>
          <w:b/>
          <w:i/>
          <w:iCs/>
          <w:sz w:val="18"/>
          <w:szCs w:val="18"/>
        </w:rPr>
        <w:t>P</w:t>
      </w:r>
      <w:r w:rsidRPr="009F6F93">
        <w:rPr>
          <w:rFonts w:ascii="Arial" w:hAnsi="Arial" w:cs="Arial"/>
          <w:b/>
          <w:sz w:val="18"/>
          <w:szCs w:val="18"/>
        </w:rPr>
        <w:t xml:space="preserve">-value &lt; 0.05    </w:t>
      </w:r>
    </w:p>
    <w:p w14:paraId="3B1E05C4" w14:textId="77777777" w:rsidR="0074439F" w:rsidRPr="009F6F93" w:rsidRDefault="0074439F" w:rsidP="009F6F93">
      <w:pPr>
        <w:spacing w:line="240" w:lineRule="auto"/>
        <w:rPr>
          <w:rFonts w:ascii="Arial" w:eastAsia="Calibri" w:hAnsi="Arial" w:cs="Arial"/>
          <w:bCs/>
          <w:sz w:val="18"/>
          <w:szCs w:val="18"/>
        </w:rPr>
      </w:pPr>
      <w:r w:rsidRPr="009F6F93">
        <w:rPr>
          <w:rFonts w:ascii="Arial" w:eastAsia="Calibri" w:hAnsi="Arial" w:cs="Arial"/>
          <w:bCs/>
          <w:sz w:val="18"/>
          <w:szCs w:val="18"/>
        </w:rPr>
        <w:t>BMI: Body Mass Index</w:t>
      </w:r>
    </w:p>
    <w:p w14:paraId="09D013A3" w14:textId="77777777" w:rsidR="0074439F" w:rsidRPr="009F6F93" w:rsidRDefault="0074439F" w:rsidP="009F6F93">
      <w:pPr>
        <w:spacing w:line="240" w:lineRule="auto"/>
        <w:rPr>
          <w:rFonts w:ascii="Arial" w:eastAsia="Calibri" w:hAnsi="Arial" w:cs="Arial"/>
          <w:bCs/>
          <w:sz w:val="18"/>
          <w:szCs w:val="18"/>
        </w:rPr>
      </w:pPr>
      <w:r w:rsidRPr="009F6F93">
        <w:rPr>
          <w:rFonts w:ascii="Arial" w:eastAsia="Calibri" w:hAnsi="Arial" w:cs="Arial"/>
          <w:bCs/>
          <w:sz w:val="18"/>
          <w:szCs w:val="18"/>
        </w:rPr>
        <w:t>WHR: Waist-hip-ratio</w:t>
      </w:r>
    </w:p>
    <w:p w14:paraId="0E8E091E" w14:textId="77777777" w:rsidR="0074439F" w:rsidRPr="009F6F93" w:rsidRDefault="0074439F" w:rsidP="009F6F93">
      <w:pPr>
        <w:spacing w:line="240" w:lineRule="auto"/>
        <w:rPr>
          <w:rFonts w:ascii="Arial" w:eastAsia="Calibri" w:hAnsi="Arial" w:cs="Arial"/>
          <w:bCs/>
          <w:sz w:val="18"/>
          <w:szCs w:val="18"/>
        </w:rPr>
      </w:pPr>
      <w:r w:rsidRPr="009F6F93">
        <w:rPr>
          <w:rFonts w:ascii="Arial" w:eastAsia="Calibri" w:hAnsi="Arial" w:cs="Arial"/>
          <w:bCs/>
          <w:sz w:val="18"/>
          <w:szCs w:val="18"/>
        </w:rPr>
        <w:t>HDL-C= High density Lipoprotein Cholesterol</w:t>
      </w:r>
    </w:p>
    <w:p w14:paraId="7A008083" w14:textId="77777777" w:rsidR="0074439F" w:rsidRPr="009F6F93" w:rsidRDefault="0074439F" w:rsidP="009F6F93">
      <w:pPr>
        <w:spacing w:line="240" w:lineRule="auto"/>
        <w:rPr>
          <w:rFonts w:ascii="Arial" w:eastAsia="Calibri" w:hAnsi="Arial" w:cs="Arial"/>
          <w:bCs/>
          <w:sz w:val="18"/>
          <w:szCs w:val="18"/>
        </w:rPr>
      </w:pPr>
      <w:r w:rsidRPr="009F6F93">
        <w:rPr>
          <w:rFonts w:ascii="Arial" w:eastAsia="Calibri" w:hAnsi="Arial" w:cs="Arial"/>
          <w:bCs/>
          <w:sz w:val="18"/>
          <w:szCs w:val="18"/>
        </w:rPr>
        <w:t>LDL-C= Low density Lipoprotein Cholesterol</w:t>
      </w:r>
    </w:p>
    <w:p w14:paraId="4E07CE6D" w14:textId="77777777" w:rsidR="00482857" w:rsidRDefault="00482857" w:rsidP="00482857">
      <w:pPr>
        <w:jc w:val="both"/>
        <w:rPr>
          <w:rFonts w:ascii="Times New Roman" w:hAnsi="Times New Roman" w:cs="Times New Roman"/>
          <w:b/>
          <w:sz w:val="24"/>
          <w:szCs w:val="24"/>
        </w:rPr>
      </w:pPr>
    </w:p>
    <w:p w14:paraId="014A7DFD" w14:textId="33BBD99F" w:rsidR="00482857" w:rsidRPr="00A0500D" w:rsidRDefault="00482857" w:rsidP="00482857">
      <w:pPr>
        <w:jc w:val="both"/>
        <w:rPr>
          <w:rFonts w:ascii="Arial" w:hAnsi="Arial" w:cs="Arial"/>
          <w:b/>
          <w:sz w:val="20"/>
          <w:szCs w:val="20"/>
        </w:rPr>
      </w:pPr>
      <w:r w:rsidRPr="006E59B4">
        <w:rPr>
          <w:rFonts w:ascii="Arial" w:hAnsi="Arial" w:cs="Arial"/>
          <w:noProof/>
          <w:sz w:val="20"/>
          <w:szCs w:val="20"/>
        </w:rPr>
        <w:drawing>
          <wp:inline distT="0" distB="0" distL="0" distR="0" wp14:anchorId="7A4B512C" wp14:editId="367603D7">
            <wp:extent cx="5731510" cy="3110891"/>
            <wp:effectExtent l="0" t="0" r="2540" b="0"/>
            <wp:docPr id="71141164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0500D">
        <w:rPr>
          <w:rFonts w:ascii="Arial" w:hAnsi="Arial" w:cs="Arial"/>
          <w:b/>
          <w:sz w:val="20"/>
          <w:szCs w:val="20"/>
        </w:rPr>
        <w:t>Figure 1: Linear relationship between Neck circumference and Body mass index (BMI)</w:t>
      </w:r>
    </w:p>
    <w:p w14:paraId="21CFF18F" w14:textId="77777777" w:rsidR="00482857" w:rsidRDefault="00482857" w:rsidP="00482857">
      <w:pPr>
        <w:jc w:val="both"/>
        <w:rPr>
          <w:rFonts w:ascii="Times New Roman" w:hAnsi="Times New Roman" w:cs="Times New Roman"/>
          <w:b/>
          <w:sz w:val="24"/>
          <w:szCs w:val="24"/>
        </w:rPr>
      </w:pPr>
    </w:p>
    <w:p w14:paraId="4172B997" w14:textId="77777777" w:rsidR="00482857" w:rsidRDefault="00482857" w:rsidP="00482857">
      <w:pPr>
        <w:jc w:val="both"/>
        <w:rPr>
          <w:rFonts w:ascii="Times New Roman" w:hAnsi="Times New Roman" w:cs="Times New Roman"/>
          <w:b/>
          <w:sz w:val="24"/>
          <w:szCs w:val="24"/>
        </w:rPr>
      </w:pPr>
    </w:p>
    <w:p w14:paraId="202B6818" w14:textId="77777777" w:rsidR="00482857" w:rsidRDefault="00482857" w:rsidP="00482857">
      <w:pPr>
        <w:jc w:val="both"/>
        <w:rPr>
          <w:rFonts w:ascii="Times New Roman" w:hAnsi="Times New Roman" w:cs="Times New Roman"/>
          <w:b/>
          <w:sz w:val="24"/>
          <w:szCs w:val="24"/>
        </w:rPr>
      </w:pPr>
    </w:p>
    <w:p w14:paraId="3046DB2A" w14:textId="77777777" w:rsidR="00482857" w:rsidRDefault="00482857" w:rsidP="00482857">
      <w:pPr>
        <w:jc w:val="both"/>
        <w:rPr>
          <w:rFonts w:ascii="Times New Roman" w:hAnsi="Times New Roman" w:cs="Times New Roman"/>
          <w:b/>
          <w:sz w:val="24"/>
          <w:szCs w:val="24"/>
        </w:rPr>
      </w:pPr>
    </w:p>
    <w:p w14:paraId="6310A90E" w14:textId="0707500A" w:rsidR="00482857" w:rsidRPr="00432AF6" w:rsidRDefault="00482857" w:rsidP="00482857">
      <w:pPr>
        <w:jc w:val="both"/>
        <w:rPr>
          <w:rFonts w:ascii="Times New Roman" w:hAnsi="Times New Roman" w:cs="Times New Roman"/>
          <w:b/>
          <w:sz w:val="24"/>
          <w:szCs w:val="24"/>
        </w:rPr>
      </w:pPr>
      <w:r>
        <w:rPr>
          <w:noProof/>
        </w:rPr>
        <w:lastRenderedPageBreak/>
        <w:drawing>
          <wp:inline distT="0" distB="0" distL="0" distR="0" wp14:anchorId="687E1683" wp14:editId="48327D66">
            <wp:extent cx="5617210" cy="2651125"/>
            <wp:effectExtent l="0" t="0" r="2540" b="0"/>
            <wp:docPr id="10575583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0500D">
        <w:rPr>
          <w:rFonts w:ascii="Arial" w:hAnsi="Arial" w:cs="Arial"/>
          <w:b/>
          <w:sz w:val="20"/>
          <w:szCs w:val="20"/>
        </w:rPr>
        <w:t>Figure 2: Linear relationship between Neck circumference and Waist circumference (WC)</w:t>
      </w:r>
    </w:p>
    <w:p w14:paraId="113278AC" w14:textId="77777777" w:rsidR="00482857" w:rsidRDefault="00482857" w:rsidP="00482857"/>
    <w:p w14:paraId="584C1841" w14:textId="77777777" w:rsidR="00482857" w:rsidRDefault="00482857" w:rsidP="00482857"/>
    <w:p w14:paraId="4C3A0117" w14:textId="77777777" w:rsidR="00D50065" w:rsidRDefault="00D50065" w:rsidP="0074439F">
      <w:pPr>
        <w:jc w:val="both"/>
        <w:rPr>
          <w:rFonts w:ascii="Arial" w:hAnsi="Arial" w:cs="Arial"/>
          <w:b/>
          <w:sz w:val="24"/>
          <w:szCs w:val="24"/>
        </w:rPr>
      </w:pPr>
    </w:p>
    <w:p w14:paraId="4844A12E" w14:textId="77777777" w:rsidR="00D50065" w:rsidRDefault="00D50065" w:rsidP="0074439F">
      <w:pPr>
        <w:jc w:val="both"/>
        <w:rPr>
          <w:rFonts w:ascii="Arial" w:hAnsi="Arial" w:cs="Arial"/>
          <w:b/>
          <w:sz w:val="24"/>
          <w:szCs w:val="24"/>
        </w:rPr>
      </w:pPr>
    </w:p>
    <w:p w14:paraId="654D3865" w14:textId="77777777" w:rsidR="00D50065" w:rsidRPr="005D05B3" w:rsidRDefault="00D50065" w:rsidP="0074439F">
      <w:pPr>
        <w:jc w:val="both"/>
        <w:rPr>
          <w:rFonts w:ascii="Arial" w:hAnsi="Arial" w:cs="Arial"/>
          <w:b/>
          <w:sz w:val="24"/>
          <w:szCs w:val="24"/>
        </w:rPr>
      </w:pPr>
    </w:p>
    <w:p w14:paraId="3E53BBAE" w14:textId="153CDE46" w:rsidR="00634CBB" w:rsidRPr="00432A20" w:rsidRDefault="00634CBB" w:rsidP="00C03C60">
      <w:pPr>
        <w:pStyle w:val="ListParagraph"/>
        <w:numPr>
          <w:ilvl w:val="0"/>
          <w:numId w:val="4"/>
        </w:numPr>
        <w:spacing w:after="0" w:line="480" w:lineRule="auto"/>
        <w:ind w:left="357" w:hanging="357"/>
        <w:rPr>
          <w:rFonts w:ascii="Arial" w:eastAsia="Calibri" w:hAnsi="Arial" w:cs="Arial"/>
          <w:b/>
          <w:bCs/>
          <w:sz w:val="22"/>
          <w:szCs w:val="22"/>
        </w:rPr>
      </w:pPr>
      <w:r w:rsidRPr="00432A20">
        <w:rPr>
          <w:rFonts w:ascii="Arial" w:eastAsia="Calibri" w:hAnsi="Arial" w:cs="Arial"/>
          <w:b/>
          <w:bCs/>
          <w:sz w:val="22"/>
          <w:szCs w:val="22"/>
        </w:rPr>
        <w:t>DISCUSSION</w:t>
      </w:r>
    </w:p>
    <w:p w14:paraId="40EA4679" w14:textId="5FA31C82" w:rsidR="00516B90" w:rsidRPr="00C03C60" w:rsidRDefault="003B13A4" w:rsidP="00C03C60">
      <w:pPr>
        <w:spacing w:after="0" w:line="240" w:lineRule="auto"/>
        <w:jc w:val="both"/>
        <w:rPr>
          <w:rFonts w:ascii="Arial" w:eastAsia="Calibri" w:hAnsi="Arial" w:cs="Arial"/>
          <w:sz w:val="20"/>
          <w:szCs w:val="20"/>
        </w:rPr>
      </w:pPr>
      <w:r w:rsidRPr="00C03C60">
        <w:rPr>
          <w:rFonts w:ascii="Arial" w:eastAsia="Calibri" w:hAnsi="Arial" w:cs="Arial"/>
          <w:sz w:val="20"/>
          <w:szCs w:val="20"/>
        </w:rPr>
        <w:t>In this study, the</w:t>
      </w:r>
      <w:r w:rsidR="00BA449E" w:rsidRPr="00C03C60">
        <w:rPr>
          <w:rFonts w:ascii="Arial" w:eastAsia="Calibri" w:hAnsi="Arial" w:cs="Arial"/>
          <w:sz w:val="20"/>
          <w:szCs w:val="20"/>
        </w:rPr>
        <w:t>re was</w:t>
      </w:r>
      <w:r w:rsidR="00512917" w:rsidRPr="00C03C60">
        <w:rPr>
          <w:rFonts w:ascii="Arial" w:eastAsia="Calibri" w:hAnsi="Arial" w:cs="Arial"/>
          <w:sz w:val="20"/>
          <w:szCs w:val="20"/>
        </w:rPr>
        <w:t xml:space="preserve"> </w:t>
      </w:r>
      <w:r w:rsidR="00D34C3F" w:rsidRPr="00C03C60">
        <w:rPr>
          <w:rFonts w:ascii="Arial" w:eastAsia="Calibri" w:hAnsi="Arial" w:cs="Arial"/>
          <w:sz w:val="20"/>
          <w:szCs w:val="20"/>
        </w:rPr>
        <w:t xml:space="preserve">no </w:t>
      </w:r>
      <w:r w:rsidR="00E8502F" w:rsidRPr="00C03C60">
        <w:rPr>
          <w:rFonts w:ascii="Arial" w:eastAsia="Calibri" w:hAnsi="Arial" w:cs="Arial"/>
          <w:sz w:val="20"/>
          <w:szCs w:val="20"/>
        </w:rPr>
        <w:t xml:space="preserve">significant </w:t>
      </w:r>
      <w:r w:rsidR="00512917" w:rsidRPr="00C03C60">
        <w:rPr>
          <w:rFonts w:ascii="Arial" w:eastAsia="Calibri" w:hAnsi="Arial" w:cs="Arial"/>
          <w:sz w:val="20"/>
          <w:szCs w:val="20"/>
        </w:rPr>
        <w:t>difference between the</w:t>
      </w:r>
      <w:r w:rsidRPr="00C03C60">
        <w:rPr>
          <w:rFonts w:ascii="Arial" w:eastAsia="Calibri" w:hAnsi="Arial" w:cs="Arial"/>
          <w:sz w:val="20"/>
          <w:szCs w:val="20"/>
        </w:rPr>
        <w:t xml:space="preserve"> mean NC </w:t>
      </w:r>
      <w:r w:rsidR="009F21C2" w:rsidRPr="00C03C60">
        <w:rPr>
          <w:rFonts w:ascii="Arial" w:eastAsia="Calibri" w:hAnsi="Arial" w:cs="Arial"/>
          <w:sz w:val="20"/>
          <w:szCs w:val="20"/>
        </w:rPr>
        <w:t xml:space="preserve">of patients </w:t>
      </w:r>
      <w:r w:rsidR="003D3AE6" w:rsidRPr="00C03C60">
        <w:rPr>
          <w:rFonts w:ascii="Arial" w:eastAsia="Calibri" w:hAnsi="Arial" w:cs="Arial"/>
          <w:sz w:val="20"/>
          <w:szCs w:val="20"/>
        </w:rPr>
        <w:t>with T2DM</w:t>
      </w:r>
      <w:r w:rsidR="009F21C2" w:rsidRPr="00C03C60">
        <w:rPr>
          <w:rFonts w:ascii="Arial" w:eastAsia="Calibri" w:hAnsi="Arial" w:cs="Arial"/>
          <w:sz w:val="20"/>
          <w:szCs w:val="20"/>
        </w:rPr>
        <w:t xml:space="preserve"> and </w:t>
      </w:r>
      <w:r w:rsidR="00D34C3F" w:rsidRPr="00C03C60">
        <w:rPr>
          <w:rFonts w:ascii="Arial" w:eastAsia="Calibri" w:hAnsi="Arial" w:cs="Arial"/>
          <w:sz w:val="20"/>
          <w:szCs w:val="20"/>
        </w:rPr>
        <w:t>the control participants</w:t>
      </w:r>
      <w:r w:rsidR="00AC7834" w:rsidRPr="00C03C60">
        <w:rPr>
          <w:rFonts w:ascii="Arial" w:eastAsia="Calibri" w:hAnsi="Arial" w:cs="Arial"/>
          <w:sz w:val="20"/>
          <w:szCs w:val="20"/>
        </w:rPr>
        <w:t xml:space="preserve">, </w:t>
      </w:r>
      <w:r w:rsidR="00E84BCE" w:rsidRPr="00C03C60">
        <w:rPr>
          <w:rFonts w:ascii="Arial" w:eastAsia="Calibri" w:hAnsi="Arial" w:cs="Arial"/>
          <w:sz w:val="20"/>
          <w:szCs w:val="20"/>
        </w:rPr>
        <w:t xml:space="preserve">similar to the findings by </w:t>
      </w:r>
      <w:proofErr w:type="spellStart"/>
      <w:r w:rsidR="00236436" w:rsidRPr="00C03C60">
        <w:rPr>
          <w:rFonts w:ascii="Arial" w:eastAsia="Calibri" w:hAnsi="Arial" w:cs="Arial"/>
          <w:sz w:val="20"/>
          <w:szCs w:val="20"/>
        </w:rPr>
        <w:t>Aguh</w:t>
      </w:r>
      <w:proofErr w:type="spellEnd"/>
      <w:r w:rsidR="00236436" w:rsidRPr="00C03C60">
        <w:rPr>
          <w:rFonts w:ascii="Arial" w:eastAsia="Calibri" w:hAnsi="Arial" w:cs="Arial"/>
          <w:sz w:val="20"/>
          <w:szCs w:val="20"/>
        </w:rPr>
        <w:t xml:space="preserve"> et al in Nigeria</w:t>
      </w:r>
      <w:r w:rsidR="0017329A" w:rsidRPr="00C03C60">
        <w:rPr>
          <w:rFonts w:ascii="Arial" w:eastAsia="Calibri" w:hAnsi="Arial" w:cs="Arial"/>
          <w:sz w:val="20"/>
          <w:szCs w:val="20"/>
        </w:rPr>
        <w:t xml:space="preserve"> (</w:t>
      </w:r>
      <w:proofErr w:type="spellStart"/>
      <w:r w:rsidR="0017329A" w:rsidRPr="00C907D4">
        <w:rPr>
          <w:rFonts w:ascii="Arial" w:eastAsia="Calibri" w:hAnsi="Arial" w:cs="Arial"/>
          <w:sz w:val="20"/>
          <w:szCs w:val="20"/>
        </w:rPr>
        <w:t>Aguh</w:t>
      </w:r>
      <w:proofErr w:type="spellEnd"/>
      <w:r w:rsidR="0017329A" w:rsidRPr="00C03C60">
        <w:rPr>
          <w:rFonts w:ascii="Arial" w:eastAsia="Calibri" w:hAnsi="Arial" w:cs="Arial"/>
          <w:sz w:val="20"/>
          <w:szCs w:val="20"/>
        </w:rPr>
        <w:t xml:space="preserve"> et al., 2021)</w:t>
      </w:r>
      <w:r w:rsidR="007047CE" w:rsidRPr="00C03C60">
        <w:rPr>
          <w:rFonts w:ascii="Arial" w:eastAsia="Calibri" w:hAnsi="Arial" w:cs="Arial"/>
          <w:sz w:val="20"/>
          <w:szCs w:val="20"/>
        </w:rPr>
        <w:t xml:space="preserve">. </w:t>
      </w:r>
      <w:r w:rsidR="00B47319" w:rsidRPr="00C03C60">
        <w:rPr>
          <w:rFonts w:ascii="Arial" w:eastAsia="Calibri" w:hAnsi="Arial" w:cs="Arial"/>
          <w:sz w:val="20"/>
          <w:szCs w:val="20"/>
        </w:rPr>
        <w:t>A</w:t>
      </w:r>
      <w:r w:rsidR="00790CA5" w:rsidRPr="00C03C60">
        <w:rPr>
          <w:rFonts w:ascii="Arial" w:eastAsia="Calibri" w:hAnsi="Arial" w:cs="Arial"/>
          <w:sz w:val="20"/>
          <w:szCs w:val="20"/>
        </w:rPr>
        <w:t xml:space="preserve">mong subjects with T2DM, the male participants had higher </w:t>
      </w:r>
      <w:r w:rsidR="00C74D78" w:rsidRPr="00C03C60">
        <w:rPr>
          <w:rFonts w:ascii="Arial" w:eastAsia="Calibri" w:hAnsi="Arial" w:cs="Arial"/>
          <w:sz w:val="20"/>
          <w:szCs w:val="20"/>
        </w:rPr>
        <w:t>NC than the female participants</w:t>
      </w:r>
      <w:r w:rsidR="00BC5E0C" w:rsidRPr="00C03C60">
        <w:rPr>
          <w:rFonts w:ascii="Arial" w:eastAsia="Calibri" w:hAnsi="Arial" w:cs="Arial"/>
          <w:sz w:val="20"/>
          <w:szCs w:val="20"/>
        </w:rPr>
        <w:t xml:space="preserve">, which is also in agreement with </w:t>
      </w:r>
      <w:r w:rsidR="003D3AE6" w:rsidRPr="00C03C60">
        <w:rPr>
          <w:rFonts w:ascii="Arial" w:eastAsia="Calibri" w:hAnsi="Arial" w:cs="Arial"/>
          <w:sz w:val="20"/>
          <w:szCs w:val="20"/>
        </w:rPr>
        <w:t xml:space="preserve">the study done by </w:t>
      </w:r>
      <w:r w:rsidR="00C74D78" w:rsidRPr="00C03C60">
        <w:rPr>
          <w:rFonts w:ascii="Arial" w:eastAsia="Calibri" w:hAnsi="Arial" w:cs="Arial"/>
          <w:sz w:val="20"/>
          <w:szCs w:val="20"/>
        </w:rPr>
        <w:t xml:space="preserve">Dada et al </w:t>
      </w:r>
      <w:r w:rsidR="007F0F2B" w:rsidRPr="00C03C60">
        <w:rPr>
          <w:rFonts w:ascii="Arial" w:eastAsia="Calibri" w:hAnsi="Arial" w:cs="Arial"/>
          <w:sz w:val="20"/>
          <w:szCs w:val="20"/>
        </w:rPr>
        <w:t>in Lagos, Nigeria</w:t>
      </w:r>
      <w:r w:rsidR="00DF25DA" w:rsidRPr="00C03C60">
        <w:rPr>
          <w:rFonts w:ascii="Arial" w:eastAsia="Calibri" w:hAnsi="Arial" w:cs="Arial"/>
          <w:sz w:val="20"/>
          <w:szCs w:val="20"/>
        </w:rPr>
        <w:t>;</w:t>
      </w:r>
      <w:r w:rsidR="00307AFE" w:rsidRPr="00C03C60">
        <w:rPr>
          <w:rFonts w:ascii="Arial" w:eastAsia="Calibri" w:hAnsi="Arial" w:cs="Arial"/>
          <w:sz w:val="20"/>
          <w:szCs w:val="20"/>
          <w:vertAlign w:val="superscript"/>
        </w:rPr>
        <w:t xml:space="preserve"> </w:t>
      </w:r>
      <w:r w:rsidR="0093640E" w:rsidRPr="00C03C60">
        <w:rPr>
          <w:rFonts w:ascii="Arial" w:eastAsia="Calibri" w:hAnsi="Arial" w:cs="Arial"/>
          <w:sz w:val="20"/>
          <w:szCs w:val="20"/>
        </w:rPr>
        <w:t>Ala et al</w:t>
      </w:r>
      <w:r w:rsidR="007F0F2B" w:rsidRPr="00C03C60">
        <w:rPr>
          <w:rFonts w:ascii="Arial" w:eastAsia="Calibri" w:hAnsi="Arial" w:cs="Arial"/>
          <w:sz w:val="20"/>
          <w:szCs w:val="20"/>
        </w:rPr>
        <w:t xml:space="preserve"> </w:t>
      </w:r>
      <w:r w:rsidR="00C74D78" w:rsidRPr="00C03C60">
        <w:rPr>
          <w:rFonts w:ascii="Arial" w:eastAsia="Calibri" w:hAnsi="Arial" w:cs="Arial"/>
          <w:sz w:val="20"/>
          <w:szCs w:val="20"/>
        </w:rPr>
        <w:t>in Lagos, Nigeria</w:t>
      </w:r>
      <w:r w:rsidR="00DF25DA" w:rsidRPr="00C03C60">
        <w:rPr>
          <w:rFonts w:ascii="Arial" w:eastAsia="Calibri" w:hAnsi="Arial" w:cs="Arial"/>
          <w:sz w:val="20"/>
          <w:szCs w:val="20"/>
        </w:rPr>
        <w:t>,</w:t>
      </w:r>
      <w:r w:rsidR="00307AFE" w:rsidRPr="00C03C60">
        <w:rPr>
          <w:rFonts w:ascii="Arial" w:eastAsia="Calibri" w:hAnsi="Arial" w:cs="Arial"/>
          <w:sz w:val="20"/>
          <w:szCs w:val="20"/>
          <w:vertAlign w:val="superscript"/>
        </w:rPr>
        <w:t xml:space="preserve"> </w:t>
      </w:r>
      <w:r w:rsidR="007F0F2B" w:rsidRPr="00C03C60">
        <w:rPr>
          <w:rFonts w:ascii="Arial" w:eastAsia="Calibri" w:hAnsi="Arial" w:cs="Arial"/>
          <w:sz w:val="20"/>
          <w:szCs w:val="20"/>
        </w:rPr>
        <w:t xml:space="preserve">Cho et al in </w:t>
      </w:r>
      <w:r w:rsidR="00307B98" w:rsidRPr="00C03C60">
        <w:rPr>
          <w:rFonts w:ascii="Arial" w:eastAsia="Calibri" w:hAnsi="Arial" w:cs="Arial"/>
          <w:sz w:val="20"/>
          <w:szCs w:val="20"/>
        </w:rPr>
        <w:t>Korea</w:t>
      </w:r>
      <w:r w:rsidR="00307AFE" w:rsidRPr="00C03C60">
        <w:rPr>
          <w:rFonts w:ascii="Arial" w:eastAsia="Calibri" w:hAnsi="Arial" w:cs="Arial"/>
          <w:sz w:val="20"/>
          <w:szCs w:val="20"/>
          <w:vertAlign w:val="superscript"/>
        </w:rPr>
        <w:t xml:space="preserve"> </w:t>
      </w:r>
      <w:r w:rsidR="00307B98" w:rsidRPr="00C03C60">
        <w:rPr>
          <w:rFonts w:ascii="Arial" w:eastAsia="Calibri" w:hAnsi="Arial" w:cs="Arial"/>
          <w:sz w:val="20"/>
          <w:szCs w:val="20"/>
        </w:rPr>
        <w:t xml:space="preserve">and </w:t>
      </w:r>
      <w:r w:rsidR="00974DE3" w:rsidRPr="00C03C60">
        <w:rPr>
          <w:rFonts w:ascii="Arial" w:eastAsia="Calibri" w:hAnsi="Arial" w:cs="Arial"/>
          <w:sz w:val="20"/>
          <w:szCs w:val="20"/>
        </w:rPr>
        <w:t>Lucas et al in Brazil</w:t>
      </w:r>
      <w:r w:rsidR="00307AFE" w:rsidRPr="00C03C60">
        <w:rPr>
          <w:rFonts w:ascii="Arial" w:eastAsia="Calibri" w:hAnsi="Arial" w:cs="Arial"/>
          <w:sz w:val="20"/>
          <w:szCs w:val="20"/>
        </w:rPr>
        <w:t xml:space="preserve"> </w:t>
      </w:r>
      <w:r w:rsidR="00263DB7" w:rsidRPr="00C03C60">
        <w:rPr>
          <w:rFonts w:ascii="Arial" w:eastAsia="Calibri" w:hAnsi="Arial" w:cs="Arial"/>
          <w:sz w:val="20"/>
          <w:szCs w:val="20"/>
        </w:rPr>
        <w:t>(</w:t>
      </w:r>
      <w:r w:rsidR="0053018C" w:rsidRPr="00C03C60">
        <w:rPr>
          <w:rFonts w:ascii="Arial" w:eastAsia="Calibri" w:hAnsi="Arial" w:cs="Arial"/>
          <w:sz w:val="20"/>
          <w:szCs w:val="20"/>
        </w:rPr>
        <w:t xml:space="preserve">Dada et al., </w:t>
      </w:r>
      <w:r w:rsidR="00AB7696" w:rsidRPr="00C03C60">
        <w:rPr>
          <w:rFonts w:ascii="Arial" w:eastAsia="Calibri" w:hAnsi="Arial" w:cs="Arial"/>
          <w:sz w:val="20"/>
          <w:szCs w:val="20"/>
        </w:rPr>
        <w:t>2023; Ala et al., 2025;</w:t>
      </w:r>
      <w:r w:rsidR="002B4545" w:rsidRPr="00C03C60">
        <w:rPr>
          <w:rFonts w:ascii="Arial" w:eastAsia="Calibri" w:hAnsi="Arial" w:cs="Arial"/>
          <w:sz w:val="20"/>
          <w:szCs w:val="20"/>
        </w:rPr>
        <w:t xml:space="preserve"> </w:t>
      </w:r>
      <w:bookmarkStart w:id="6" w:name="_Hlk214399964"/>
      <w:r w:rsidR="002B4545" w:rsidRPr="00C03C60">
        <w:rPr>
          <w:rFonts w:ascii="Arial" w:eastAsia="Calibri" w:hAnsi="Arial" w:cs="Arial"/>
          <w:sz w:val="20"/>
          <w:szCs w:val="20"/>
        </w:rPr>
        <w:t xml:space="preserve">Cho et al., 2015; </w:t>
      </w:r>
      <w:r w:rsidR="009D461E" w:rsidRPr="00C03C60">
        <w:rPr>
          <w:rFonts w:ascii="Arial" w:eastAsia="Calibri" w:hAnsi="Arial" w:cs="Arial"/>
          <w:sz w:val="20"/>
          <w:szCs w:val="20"/>
        </w:rPr>
        <w:t xml:space="preserve">Lucas et al., </w:t>
      </w:r>
      <w:r w:rsidR="00307AFE" w:rsidRPr="00C03C60">
        <w:rPr>
          <w:rFonts w:ascii="Arial" w:eastAsia="Calibri" w:hAnsi="Arial" w:cs="Arial"/>
          <w:sz w:val="20"/>
          <w:szCs w:val="20"/>
        </w:rPr>
        <w:t>2016</w:t>
      </w:r>
      <w:bookmarkEnd w:id="6"/>
      <w:r w:rsidR="00263DB7" w:rsidRPr="00C03C60">
        <w:rPr>
          <w:rFonts w:ascii="Arial" w:eastAsia="Calibri" w:hAnsi="Arial" w:cs="Arial"/>
          <w:sz w:val="20"/>
          <w:szCs w:val="20"/>
        </w:rPr>
        <w:t>)</w:t>
      </w:r>
      <w:r w:rsidR="00C52526" w:rsidRPr="00C03C60">
        <w:rPr>
          <w:rFonts w:ascii="Arial" w:eastAsia="Calibri" w:hAnsi="Arial" w:cs="Arial"/>
          <w:sz w:val="20"/>
          <w:szCs w:val="20"/>
        </w:rPr>
        <w:t xml:space="preserve">. </w:t>
      </w:r>
      <w:r w:rsidR="004A67E1" w:rsidRPr="00C03C60">
        <w:rPr>
          <w:rFonts w:ascii="Arial" w:eastAsia="Calibri" w:hAnsi="Arial" w:cs="Arial"/>
          <w:sz w:val="20"/>
          <w:szCs w:val="20"/>
        </w:rPr>
        <w:t>This could be related to the degree of obesity</w:t>
      </w:r>
      <w:r w:rsidR="00F46E35" w:rsidRPr="00C03C60">
        <w:rPr>
          <w:rFonts w:ascii="Arial" w:eastAsia="Calibri" w:hAnsi="Arial" w:cs="Arial"/>
          <w:sz w:val="20"/>
          <w:szCs w:val="20"/>
        </w:rPr>
        <w:t xml:space="preserve"> (Cho et al., 2015; Lucas et al., 2016)</w:t>
      </w:r>
      <w:r w:rsidR="00516B90" w:rsidRPr="00C03C60">
        <w:rPr>
          <w:rFonts w:ascii="Arial" w:eastAsia="Calibri" w:hAnsi="Arial" w:cs="Arial"/>
          <w:sz w:val="20"/>
          <w:szCs w:val="20"/>
        </w:rPr>
        <w:t>.</w:t>
      </w:r>
    </w:p>
    <w:p w14:paraId="4495873A" w14:textId="18670C65" w:rsidR="003B13A4" w:rsidRPr="00C03C60" w:rsidRDefault="005E7342" w:rsidP="00C03C60">
      <w:pPr>
        <w:spacing w:after="0" w:line="240" w:lineRule="auto"/>
        <w:jc w:val="both"/>
        <w:rPr>
          <w:rFonts w:ascii="Arial" w:eastAsia="Calibri" w:hAnsi="Arial" w:cs="Arial"/>
          <w:sz w:val="20"/>
          <w:szCs w:val="20"/>
        </w:rPr>
      </w:pPr>
      <w:r w:rsidRPr="00C03C60">
        <w:rPr>
          <w:rFonts w:ascii="Arial" w:eastAsia="Calibri" w:hAnsi="Arial" w:cs="Arial"/>
          <w:sz w:val="20"/>
          <w:szCs w:val="20"/>
        </w:rPr>
        <w:t>Homeostat</w:t>
      </w:r>
      <w:r w:rsidR="00E52C59" w:rsidRPr="00C03C60">
        <w:rPr>
          <w:rFonts w:ascii="Arial" w:eastAsia="Calibri" w:hAnsi="Arial" w:cs="Arial"/>
          <w:sz w:val="20"/>
          <w:szCs w:val="20"/>
        </w:rPr>
        <w:t>ic model assessment-in</w:t>
      </w:r>
      <w:r w:rsidR="006B3BC7" w:rsidRPr="00C03C60">
        <w:rPr>
          <w:rFonts w:ascii="Arial" w:eastAsia="Calibri" w:hAnsi="Arial" w:cs="Arial"/>
          <w:sz w:val="20"/>
          <w:szCs w:val="20"/>
        </w:rPr>
        <w:t>s</w:t>
      </w:r>
      <w:r w:rsidR="00E52C59" w:rsidRPr="00C03C60">
        <w:rPr>
          <w:rFonts w:ascii="Arial" w:eastAsia="Calibri" w:hAnsi="Arial" w:cs="Arial"/>
          <w:sz w:val="20"/>
          <w:szCs w:val="20"/>
        </w:rPr>
        <w:t>ulin resistance (HOMA-IR)</w:t>
      </w:r>
      <w:r w:rsidR="008053F6" w:rsidRPr="00C03C60">
        <w:rPr>
          <w:rFonts w:ascii="Arial" w:eastAsia="Calibri" w:hAnsi="Arial" w:cs="Arial"/>
          <w:sz w:val="20"/>
          <w:szCs w:val="20"/>
        </w:rPr>
        <w:t xml:space="preserve"> </w:t>
      </w:r>
      <w:r w:rsidR="006B3BC7" w:rsidRPr="00C03C60">
        <w:rPr>
          <w:rFonts w:ascii="Arial" w:eastAsia="Calibri" w:hAnsi="Arial" w:cs="Arial"/>
          <w:sz w:val="20"/>
          <w:szCs w:val="20"/>
        </w:rPr>
        <w:t>has been identified as a tool of measuring insulin resistance</w:t>
      </w:r>
      <w:r w:rsidR="00C9139C" w:rsidRPr="00C03C60">
        <w:rPr>
          <w:rFonts w:ascii="Arial" w:eastAsia="Calibri" w:hAnsi="Arial" w:cs="Arial"/>
          <w:sz w:val="20"/>
          <w:szCs w:val="20"/>
        </w:rPr>
        <w:t xml:space="preserve">. The current study showed </w:t>
      </w:r>
      <w:r w:rsidR="005A17A7" w:rsidRPr="00C03C60">
        <w:rPr>
          <w:rFonts w:ascii="Arial" w:eastAsia="Calibri" w:hAnsi="Arial" w:cs="Arial"/>
          <w:sz w:val="20"/>
          <w:szCs w:val="20"/>
        </w:rPr>
        <w:t xml:space="preserve">a correlation between NC and HOMA-IR among the control participants </w:t>
      </w:r>
      <w:r w:rsidR="00713109" w:rsidRPr="00C03C60">
        <w:rPr>
          <w:rFonts w:ascii="Arial" w:eastAsia="Calibri" w:hAnsi="Arial" w:cs="Arial"/>
          <w:sz w:val="20"/>
          <w:szCs w:val="20"/>
        </w:rPr>
        <w:t>but</w:t>
      </w:r>
      <w:r w:rsidR="005F2A19" w:rsidRPr="00C03C60">
        <w:rPr>
          <w:rFonts w:ascii="Arial" w:eastAsia="Calibri" w:hAnsi="Arial" w:cs="Arial"/>
          <w:sz w:val="20"/>
          <w:szCs w:val="20"/>
        </w:rPr>
        <w:t xml:space="preserve"> unexpectedly, this was not detected</w:t>
      </w:r>
      <w:r w:rsidR="005A17A7" w:rsidRPr="00C03C60">
        <w:rPr>
          <w:rFonts w:ascii="Arial" w:eastAsia="Calibri" w:hAnsi="Arial" w:cs="Arial"/>
          <w:sz w:val="20"/>
          <w:szCs w:val="20"/>
        </w:rPr>
        <w:t xml:space="preserve"> </w:t>
      </w:r>
      <w:r w:rsidR="00F55EEE" w:rsidRPr="00C03C60">
        <w:rPr>
          <w:rFonts w:ascii="Arial" w:eastAsia="Calibri" w:hAnsi="Arial" w:cs="Arial"/>
          <w:sz w:val="20"/>
          <w:szCs w:val="20"/>
        </w:rPr>
        <w:t xml:space="preserve">among patients with T2DM. </w:t>
      </w:r>
      <w:bookmarkStart w:id="7" w:name="_Hlk214400025"/>
      <w:proofErr w:type="spellStart"/>
      <w:r w:rsidR="004D4F00" w:rsidRPr="00C03C60">
        <w:rPr>
          <w:rFonts w:ascii="Arial" w:eastAsia="Calibri" w:hAnsi="Arial" w:cs="Arial"/>
          <w:sz w:val="20"/>
          <w:szCs w:val="20"/>
        </w:rPr>
        <w:t>Stabe</w:t>
      </w:r>
      <w:proofErr w:type="spellEnd"/>
      <w:r w:rsidR="004D4F00" w:rsidRPr="00C03C60">
        <w:rPr>
          <w:rFonts w:ascii="Arial" w:eastAsia="Calibri" w:hAnsi="Arial" w:cs="Arial"/>
          <w:sz w:val="20"/>
          <w:szCs w:val="20"/>
        </w:rPr>
        <w:t xml:space="preserve"> et al </w:t>
      </w:r>
      <w:bookmarkEnd w:id="7"/>
      <w:r w:rsidR="004D4F00" w:rsidRPr="00C03C60">
        <w:rPr>
          <w:rFonts w:ascii="Arial" w:eastAsia="Calibri" w:hAnsi="Arial" w:cs="Arial"/>
          <w:sz w:val="20"/>
          <w:szCs w:val="20"/>
        </w:rPr>
        <w:t>in Brazil</w:t>
      </w:r>
      <w:r w:rsidR="00FD512A" w:rsidRPr="00C03C60">
        <w:rPr>
          <w:rFonts w:ascii="Arial" w:eastAsia="Calibri" w:hAnsi="Arial" w:cs="Arial"/>
          <w:sz w:val="20"/>
          <w:szCs w:val="20"/>
        </w:rPr>
        <w:t xml:space="preserve">, </w:t>
      </w:r>
      <w:r w:rsidR="00186B2C" w:rsidRPr="00C03C60">
        <w:rPr>
          <w:rFonts w:ascii="Arial" w:eastAsia="Calibri" w:hAnsi="Arial" w:cs="Arial"/>
          <w:sz w:val="20"/>
          <w:szCs w:val="20"/>
        </w:rPr>
        <w:t xml:space="preserve">Cho et al in Korea </w:t>
      </w:r>
      <w:proofErr w:type="gramStart"/>
      <w:r w:rsidR="00FD512A" w:rsidRPr="00C03C60">
        <w:rPr>
          <w:rFonts w:ascii="Arial" w:eastAsia="Calibri" w:hAnsi="Arial" w:cs="Arial"/>
          <w:sz w:val="20"/>
          <w:szCs w:val="20"/>
        </w:rPr>
        <w:t xml:space="preserve">and  </w:t>
      </w:r>
      <w:proofErr w:type="spellStart"/>
      <w:r w:rsidR="0080315E" w:rsidRPr="00C03C60">
        <w:rPr>
          <w:rFonts w:ascii="Arial" w:eastAsia="Calibri" w:hAnsi="Arial" w:cs="Arial"/>
          <w:sz w:val="20"/>
          <w:szCs w:val="20"/>
          <w:lang w:val="en-GB"/>
        </w:rPr>
        <w:t>Scovronec</w:t>
      </w:r>
      <w:proofErr w:type="spellEnd"/>
      <w:proofErr w:type="gramEnd"/>
      <w:r w:rsidR="0080315E" w:rsidRPr="00C03C60">
        <w:rPr>
          <w:rFonts w:ascii="Arial" w:eastAsia="Calibri" w:hAnsi="Arial" w:cs="Arial"/>
          <w:sz w:val="20"/>
          <w:szCs w:val="20"/>
          <w:lang w:val="en-GB"/>
        </w:rPr>
        <w:t xml:space="preserve"> et al in </w:t>
      </w:r>
      <w:r w:rsidR="00FD512A" w:rsidRPr="00C03C60">
        <w:rPr>
          <w:rFonts w:ascii="Arial" w:eastAsia="Calibri" w:hAnsi="Arial" w:cs="Arial"/>
          <w:sz w:val="20"/>
          <w:szCs w:val="20"/>
        </w:rPr>
        <w:t xml:space="preserve"> </w:t>
      </w:r>
      <w:r w:rsidR="00E87682" w:rsidRPr="00C03C60">
        <w:rPr>
          <w:rFonts w:ascii="Arial" w:eastAsia="Calibri" w:hAnsi="Arial" w:cs="Arial"/>
          <w:sz w:val="20"/>
          <w:szCs w:val="20"/>
        </w:rPr>
        <w:t>Canada</w:t>
      </w:r>
      <w:r w:rsidR="00FD512A" w:rsidRPr="00C03C60">
        <w:rPr>
          <w:rFonts w:ascii="Arial" w:eastAsia="Calibri" w:hAnsi="Arial" w:cs="Arial"/>
          <w:sz w:val="20"/>
          <w:szCs w:val="20"/>
        </w:rPr>
        <w:t xml:space="preserve"> </w:t>
      </w:r>
      <w:r w:rsidR="00DE2CD9" w:rsidRPr="00C03C60">
        <w:rPr>
          <w:rFonts w:ascii="Arial" w:eastAsia="Calibri" w:hAnsi="Arial" w:cs="Arial"/>
          <w:sz w:val="20"/>
          <w:szCs w:val="20"/>
        </w:rPr>
        <w:t>in their studies</w:t>
      </w:r>
      <w:r w:rsidR="003A049D" w:rsidRPr="00C03C60">
        <w:rPr>
          <w:rFonts w:ascii="Arial" w:eastAsia="Calibri" w:hAnsi="Arial" w:cs="Arial"/>
          <w:sz w:val="20"/>
          <w:szCs w:val="20"/>
        </w:rPr>
        <w:t xml:space="preserve"> showed</w:t>
      </w:r>
      <w:r w:rsidR="00635A05" w:rsidRPr="00C03C60">
        <w:rPr>
          <w:rFonts w:ascii="Arial" w:eastAsia="Calibri" w:hAnsi="Arial" w:cs="Arial"/>
          <w:sz w:val="20"/>
          <w:szCs w:val="20"/>
        </w:rPr>
        <w:t xml:space="preserve"> correlation of NC with HOMA-IR amongst patients without diabetes, similar to the current study</w:t>
      </w:r>
      <w:r w:rsidR="009763F3" w:rsidRPr="00C03C60">
        <w:rPr>
          <w:rFonts w:ascii="Arial" w:eastAsia="Calibri" w:hAnsi="Arial" w:cs="Arial"/>
          <w:sz w:val="20"/>
          <w:szCs w:val="20"/>
        </w:rPr>
        <w:t xml:space="preserve"> </w:t>
      </w:r>
      <w:r w:rsidR="00E7395C" w:rsidRPr="00C03C60">
        <w:rPr>
          <w:rFonts w:ascii="Arial" w:eastAsia="Calibri" w:hAnsi="Arial" w:cs="Arial"/>
          <w:sz w:val="20"/>
          <w:szCs w:val="20"/>
        </w:rPr>
        <w:t>(</w:t>
      </w:r>
      <w:bookmarkStart w:id="8" w:name="_Hlk214400632"/>
      <w:r w:rsidR="00E7395C" w:rsidRPr="00C03C60">
        <w:rPr>
          <w:rFonts w:ascii="Arial" w:eastAsia="Calibri" w:hAnsi="Arial" w:cs="Arial"/>
          <w:sz w:val="20"/>
          <w:szCs w:val="20"/>
        </w:rPr>
        <w:t xml:space="preserve">Stabe et al., </w:t>
      </w:r>
      <w:r w:rsidR="00EB60B1" w:rsidRPr="00C03C60">
        <w:rPr>
          <w:rFonts w:ascii="Arial" w:eastAsia="Calibri" w:hAnsi="Arial" w:cs="Arial"/>
          <w:sz w:val="20"/>
          <w:szCs w:val="20"/>
        </w:rPr>
        <w:t>2013</w:t>
      </w:r>
      <w:bookmarkEnd w:id="8"/>
      <w:r w:rsidR="00EB60B1" w:rsidRPr="00C03C60">
        <w:rPr>
          <w:rFonts w:ascii="Arial" w:eastAsia="Calibri" w:hAnsi="Arial" w:cs="Arial"/>
          <w:sz w:val="20"/>
          <w:szCs w:val="20"/>
        </w:rPr>
        <w:t xml:space="preserve">; </w:t>
      </w:r>
      <w:bookmarkStart w:id="9" w:name="_Hlk214400512"/>
      <w:r w:rsidR="00EB60B1" w:rsidRPr="00C03C60">
        <w:rPr>
          <w:rFonts w:ascii="Arial" w:eastAsia="Calibri" w:hAnsi="Arial" w:cs="Arial"/>
          <w:sz w:val="20"/>
          <w:szCs w:val="20"/>
        </w:rPr>
        <w:t xml:space="preserve">Cho et al., </w:t>
      </w:r>
      <w:r w:rsidR="00142454" w:rsidRPr="00C03C60">
        <w:rPr>
          <w:rFonts w:ascii="Arial" w:eastAsia="Calibri" w:hAnsi="Arial" w:cs="Arial"/>
          <w:sz w:val="20"/>
          <w:szCs w:val="20"/>
        </w:rPr>
        <w:t xml:space="preserve">2015; </w:t>
      </w:r>
      <w:proofErr w:type="spellStart"/>
      <w:r w:rsidR="00A0684A" w:rsidRPr="00C03C60">
        <w:rPr>
          <w:rFonts w:ascii="Arial" w:eastAsia="Calibri" w:hAnsi="Arial" w:cs="Arial"/>
          <w:sz w:val="20"/>
          <w:szCs w:val="20"/>
          <w:lang w:val="en-GB"/>
        </w:rPr>
        <w:t>Scovronec</w:t>
      </w:r>
      <w:proofErr w:type="spellEnd"/>
      <w:r w:rsidR="00A0684A" w:rsidRPr="00C03C60">
        <w:rPr>
          <w:rFonts w:ascii="Arial" w:eastAsia="Calibri" w:hAnsi="Arial" w:cs="Arial"/>
          <w:sz w:val="20"/>
          <w:szCs w:val="20"/>
          <w:lang w:val="en-GB"/>
        </w:rPr>
        <w:t xml:space="preserve"> et al., 2022</w:t>
      </w:r>
      <w:bookmarkEnd w:id="9"/>
      <w:r w:rsidR="00A0684A" w:rsidRPr="00C03C60">
        <w:rPr>
          <w:rFonts w:ascii="Arial" w:eastAsia="Calibri" w:hAnsi="Arial" w:cs="Arial"/>
          <w:sz w:val="20"/>
          <w:szCs w:val="20"/>
          <w:lang w:val="en-GB"/>
        </w:rPr>
        <w:t>)</w:t>
      </w:r>
      <w:r w:rsidR="00A0684A" w:rsidRPr="00C03C60">
        <w:rPr>
          <w:rFonts w:ascii="Arial" w:eastAsia="Calibri" w:hAnsi="Arial" w:cs="Arial"/>
          <w:sz w:val="20"/>
          <w:szCs w:val="20"/>
        </w:rPr>
        <w:t xml:space="preserve">. </w:t>
      </w:r>
      <w:r w:rsidR="00474164" w:rsidRPr="00C03C60">
        <w:rPr>
          <w:rFonts w:ascii="Arial" w:eastAsia="Calibri" w:hAnsi="Arial" w:cs="Arial"/>
          <w:sz w:val="20"/>
          <w:szCs w:val="20"/>
        </w:rPr>
        <w:t xml:space="preserve">Furthermore, </w:t>
      </w:r>
      <w:bookmarkStart w:id="10" w:name="_Hlk214400175"/>
      <w:proofErr w:type="spellStart"/>
      <w:r w:rsidR="00474164" w:rsidRPr="00C03C60">
        <w:rPr>
          <w:rFonts w:ascii="Arial" w:eastAsia="Calibri" w:hAnsi="Arial" w:cs="Arial"/>
          <w:sz w:val="20"/>
          <w:szCs w:val="20"/>
        </w:rPr>
        <w:t>Saneei</w:t>
      </w:r>
      <w:proofErr w:type="spellEnd"/>
      <w:r w:rsidR="00474164" w:rsidRPr="00C03C60">
        <w:rPr>
          <w:rFonts w:ascii="Arial" w:eastAsia="Calibri" w:hAnsi="Arial" w:cs="Arial"/>
          <w:sz w:val="20"/>
          <w:szCs w:val="20"/>
        </w:rPr>
        <w:t xml:space="preserve"> et al</w:t>
      </w:r>
      <w:bookmarkEnd w:id="10"/>
      <w:r w:rsidR="00474164" w:rsidRPr="00C03C60">
        <w:rPr>
          <w:rFonts w:ascii="Arial" w:eastAsia="Calibri" w:hAnsi="Arial" w:cs="Arial"/>
          <w:sz w:val="20"/>
          <w:szCs w:val="20"/>
        </w:rPr>
        <w:t xml:space="preserve"> in a systematic review and </w:t>
      </w:r>
      <w:r w:rsidR="00007FDA" w:rsidRPr="00C03C60">
        <w:rPr>
          <w:rFonts w:ascii="Arial" w:eastAsia="Calibri" w:hAnsi="Arial" w:cs="Arial"/>
          <w:sz w:val="20"/>
          <w:szCs w:val="20"/>
        </w:rPr>
        <w:t>meta-analysis</w:t>
      </w:r>
      <w:r w:rsidR="00474164" w:rsidRPr="00C03C60">
        <w:rPr>
          <w:rFonts w:ascii="Arial" w:eastAsia="Calibri" w:hAnsi="Arial" w:cs="Arial"/>
          <w:sz w:val="20"/>
          <w:szCs w:val="20"/>
        </w:rPr>
        <w:t xml:space="preserve"> </w:t>
      </w:r>
      <w:r w:rsidR="0033696B" w:rsidRPr="00C03C60">
        <w:rPr>
          <w:rFonts w:ascii="Arial" w:eastAsia="Calibri" w:hAnsi="Arial" w:cs="Arial"/>
          <w:sz w:val="20"/>
          <w:szCs w:val="20"/>
        </w:rPr>
        <w:t xml:space="preserve">revealed a </w:t>
      </w:r>
      <w:r w:rsidR="00B2028C" w:rsidRPr="00C03C60">
        <w:rPr>
          <w:rFonts w:ascii="Arial" w:eastAsia="Calibri" w:hAnsi="Arial" w:cs="Arial"/>
          <w:sz w:val="20"/>
          <w:szCs w:val="20"/>
        </w:rPr>
        <w:t>significant</w:t>
      </w:r>
      <w:r w:rsidR="0033696B" w:rsidRPr="00C03C60">
        <w:rPr>
          <w:rFonts w:ascii="Arial" w:eastAsia="Calibri" w:hAnsi="Arial" w:cs="Arial"/>
          <w:sz w:val="20"/>
          <w:szCs w:val="20"/>
        </w:rPr>
        <w:t xml:space="preserve"> correlation between NC and HOMA-IR</w:t>
      </w:r>
      <w:r w:rsidR="00351161" w:rsidRPr="00C03C60">
        <w:rPr>
          <w:rFonts w:ascii="Arial" w:eastAsia="Calibri" w:hAnsi="Arial" w:cs="Arial"/>
          <w:sz w:val="20"/>
          <w:szCs w:val="20"/>
        </w:rPr>
        <w:t xml:space="preserve"> (</w:t>
      </w:r>
      <w:proofErr w:type="spellStart"/>
      <w:r w:rsidR="009763F3" w:rsidRPr="00C03C60">
        <w:rPr>
          <w:rFonts w:ascii="Arial" w:eastAsia="Calibri" w:hAnsi="Arial" w:cs="Arial"/>
          <w:sz w:val="20"/>
          <w:szCs w:val="20"/>
        </w:rPr>
        <w:t>Saneei</w:t>
      </w:r>
      <w:proofErr w:type="spellEnd"/>
      <w:r w:rsidR="009763F3" w:rsidRPr="00C03C60">
        <w:rPr>
          <w:rFonts w:ascii="Arial" w:eastAsia="Calibri" w:hAnsi="Arial" w:cs="Arial"/>
          <w:sz w:val="20"/>
          <w:szCs w:val="20"/>
        </w:rPr>
        <w:t xml:space="preserve"> et al</w:t>
      </w:r>
      <w:r w:rsidR="00351161" w:rsidRPr="00C03C60">
        <w:rPr>
          <w:rFonts w:ascii="Arial" w:eastAsia="Calibri" w:hAnsi="Arial" w:cs="Arial"/>
          <w:sz w:val="20"/>
          <w:szCs w:val="20"/>
        </w:rPr>
        <w:t>., 2019)</w:t>
      </w:r>
      <w:r w:rsidR="00AF36DE" w:rsidRPr="00C03C60">
        <w:rPr>
          <w:rFonts w:ascii="Arial" w:eastAsia="Calibri" w:hAnsi="Arial" w:cs="Arial"/>
          <w:sz w:val="20"/>
          <w:szCs w:val="20"/>
        </w:rPr>
        <w:t>.</w:t>
      </w:r>
      <w:r w:rsidR="009763F3" w:rsidRPr="00C03C60">
        <w:rPr>
          <w:rFonts w:ascii="Arial" w:eastAsia="Calibri" w:hAnsi="Arial" w:cs="Arial"/>
          <w:sz w:val="20"/>
          <w:szCs w:val="20"/>
        </w:rPr>
        <w:t xml:space="preserve"> </w:t>
      </w:r>
      <w:r w:rsidR="007B2AC5" w:rsidRPr="00C03C60">
        <w:rPr>
          <w:rFonts w:ascii="Arial" w:eastAsia="Calibri" w:hAnsi="Arial" w:cs="Arial"/>
          <w:sz w:val="20"/>
          <w:szCs w:val="20"/>
        </w:rPr>
        <w:t xml:space="preserve">Contrary to the findings </w:t>
      </w:r>
      <w:r w:rsidR="005B49E6" w:rsidRPr="00C03C60">
        <w:rPr>
          <w:rFonts w:ascii="Arial" w:eastAsia="Calibri" w:hAnsi="Arial" w:cs="Arial"/>
          <w:sz w:val="20"/>
          <w:szCs w:val="20"/>
        </w:rPr>
        <w:t xml:space="preserve">in this study, Gowda et al in India found a </w:t>
      </w:r>
      <w:r w:rsidR="000B34A3" w:rsidRPr="00C03C60">
        <w:rPr>
          <w:rFonts w:ascii="Arial" w:eastAsia="Calibri" w:hAnsi="Arial" w:cs="Arial"/>
          <w:sz w:val="20"/>
          <w:szCs w:val="20"/>
        </w:rPr>
        <w:t xml:space="preserve">significant </w:t>
      </w:r>
      <w:r w:rsidR="005B49E6" w:rsidRPr="00C03C60">
        <w:rPr>
          <w:rFonts w:ascii="Arial" w:eastAsia="Calibri" w:hAnsi="Arial" w:cs="Arial"/>
          <w:sz w:val="20"/>
          <w:szCs w:val="20"/>
        </w:rPr>
        <w:t xml:space="preserve">correlation between </w:t>
      </w:r>
      <w:r w:rsidR="00C40229" w:rsidRPr="00C03C60">
        <w:rPr>
          <w:rFonts w:ascii="Arial" w:eastAsia="Calibri" w:hAnsi="Arial" w:cs="Arial"/>
          <w:sz w:val="20"/>
          <w:szCs w:val="20"/>
        </w:rPr>
        <w:t xml:space="preserve">NC and HOMA-IR amongst patients with T2DM, </w:t>
      </w:r>
      <w:r w:rsidR="00A82A4D" w:rsidRPr="00C03C60">
        <w:rPr>
          <w:rFonts w:ascii="Arial" w:eastAsia="Calibri" w:hAnsi="Arial" w:cs="Arial"/>
          <w:sz w:val="20"/>
          <w:szCs w:val="20"/>
        </w:rPr>
        <w:t>though their study had a larger sample size</w:t>
      </w:r>
      <w:r w:rsidR="0077760F" w:rsidRPr="00C03C60">
        <w:rPr>
          <w:rFonts w:ascii="Arial" w:eastAsia="Calibri" w:hAnsi="Arial" w:cs="Arial"/>
          <w:sz w:val="20"/>
          <w:szCs w:val="20"/>
        </w:rPr>
        <w:t xml:space="preserve">, </w:t>
      </w:r>
      <w:r w:rsidR="00460FED" w:rsidRPr="00C03C60">
        <w:rPr>
          <w:rFonts w:ascii="Arial" w:eastAsia="Calibri" w:hAnsi="Arial" w:cs="Arial"/>
          <w:sz w:val="20"/>
          <w:szCs w:val="20"/>
        </w:rPr>
        <w:t>hi</w:t>
      </w:r>
      <w:r w:rsidR="00692EF0" w:rsidRPr="00C03C60">
        <w:rPr>
          <w:rFonts w:ascii="Arial" w:eastAsia="Calibri" w:hAnsi="Arial" w:cs="Arial"/>
          <w:sz w:val="20"/>
          <w:szCs w:val="20"/>
        </w:rPr>
        <w:t xml:space="preserve">gher mean NC </w:t>
      </w:r>
      <w:r w:rsidR="002C5B9A" w:rsidRPr="00C03C60">
        <w:rPr>
          <w:rFonts w:ascii="Arial" w:eastAsia="Calibri" w:hAnsi="Arial" w:cs="Arial"/>
          <w:sz w:val="20"/>
          <w:szCs w:val="20"/>
        </w:rPr>
        <w:t>than present study</w:t>
      </w:r>
      <w:r w:rsidR="00AB4114" w:rsidRPr="00C03C60">
        <w:rPr>
          <w:rFonts w:ascii="Arial" w:eastAsia="Calibri" w:hAnsi="Arial" w:cs="Arial"/>
          <w:sz w:val="20"/>
          <w:szCs w:val="20"/>
        </w:rPr>
        <w:t xml:space="preserve">, with </w:t>
      </w:r>
      <w:r w:rsidR="0095762D" w:rsidRPr="00C03C60">
        <w:rPr>
          <w:rFonts w:ascii="Arial" w:eastAsia="Calibri" w:hAnsi="Arial" w:cs="Arial"/>
          <w:sz w:val="20"/>
          <w:szCs w:val="20"/>
        </w:rPr>
        <w:t xml:space="preserve">higher proportion </w:t>
      </w:r>
      <w:r w:rsidR="00B431E7" w:rsidRPr="00C03C60">
        <w:rPr>
          <w:rFonts w:ascii="Arial" w:eastAsia="Calibri" w:hAnsi="Arial" w:cs="Arial"/>
          <w:sz w:val="20"/>
          <w:szCs w:val="20"/>
        </w:rPr>
        <w:t xml:space="preserve">of </w:t>
      </w:r>
      <w:r w:rsidR="0095762D" w:rsidRPr="00C03C60">
        <w:rPr>
          <w:rFonts w:ascii="Arial" w:eastAsia="Calibri" w:hAnsi="Arial" w:cs="Arial"/>
          <w:sz w:val="20"/>
          <w:szCs w:val="20"/>
        </w:rPr>
        <w:t>male participants than females cont</w:t>
      </w:r>
      <w:r w:rsidR="00102E82" w:rsidRPr="00C03C60">
        <w:rPr>
          <w:rFonts w:ascii="Arial" w:eastAsia="Calibri" w:hAnsi="Arial" w:cs="Arial"/>
          <w:sz w:val="20"/>
          <w:szCs w:val="20"/>
        </w:rPr>
        <w:t>rary to the present study</w:t>
      </w:r>
      <w:r w:rsidR="00C51846" w:rsidRPr="00C03C60">
        <w:rPr>
          <w:rFonts w:ascii="Arial" w:eastAsia="Calibri" w:hAnsi="Arial" w:cs="Arial"/>
          <w:sz w:val="20"/>
          <w:szCs w:val="20"/>
        </w:rPr>
        <w:t xml:space="preserve"> </w:t>
      </w:r>
      <w:bookmarkStart w:id="11" w:name="_Hlk214400307"/>
      <w:r w:rsidR="00BB2CA8" w:rsidRPr="00C03C60">
        <w:rPr>
          <w:rFonts w:ascii="Arial" w:eastAsia="Calibri" w:hAnsi="Arial" w:cs="Arial"/>
          <w:sz w:val="20"/>
          <w:szCs w:val="20"/>
        </w:rPr>
        <w:t xml:space="preserve">(Gowda et al., </w:t>
      </w:r>
      <w:r w:rsidR="00C51846" w:rsidRPr="00C03C60">
        <w:rPr>
          <w:rFonts w:ascii="Arial" w:eastAsia="Calibri" w:hAnsi="Arial" w:cs="Arial"/>
          <w:sz w:val="20"/>
          <w:szCs w:val="20"/>
        </w:rPr>
        <w:t>2024).</w:t>
      </w:r>
      <w:bookmarkEnd w:id="11"/>
    </w:p>
    <w:p w14:paraId="6EF668D6" w14:textId="18765A73" w:rsidR="00BA7F24" w:rsidRPr="00C03C60" w:rsidRDefault="006556AB" w:rsidP="00C03C60">
      <w:pPr>
        <w:spacing w:after="0" w:line="240" w:lineRule="auto"/>
        <w:jc w:val="both"/>
        <w:rPr>
          <w:rFonts w:ascii="Arial" w:eastAsia="Calibri" w:hAnsi="Arial" w:cs="Arial"/>
          <w:sz w:val="20"/>
          <w:szCs w:val="20"/>
        </w:rPr>
      </w:pPr>
      <w:r w:rsidRPr="00C03C60">
        <w:rPr>
          <w:rFonts w:ascii="Arial" w:eastAsia="Calibri" w:hAnsi="Arial" w:cs="Arial"/>
          <w:sz w:val="20"/>
          <w:szCs w:val="20"/>
        </w:rPr>
        <w:t xml:space="preserve">In addition, this study </w:t>
      </w:r>
      <w:r w:rsidR="00EC4056" w:rsidRPr="00C03C60">
        <w:rPr>
          <w:rFonts w:ascii="Arial" w:eastAsia="Calibri" w:hAnsi="Arial" w:cs="Arial"/>
          <w:sz w:val="20"/>
          <w:szCs w:val="20"/>
        </w:rPr>
        <w:t xml:space="preserve">revealed a </w:t>
      </w:r>
      <w:r w:rsidR="00D76FA9" w:rsidRPr="00C03C60">
        <w:rPr>
          <w:rFonts w:ascii="Arial" w:eastAsia="Calibri" w:hAnsi="Arial" w:cs="Arial"/>
          <w:sz w:val="20"/>
          <w:szCs w:val="20"/>
        </w:rPr>
        <w:t xml:space="preserve">significant </w:t>
      </w:r>
      <w:r w:rsidR="00EC4056" w:rsidRPr="00C03C60">
        <w:rPr>
          <w:rFonts w:ascii="Arial" w:eastAsia="Calibri" w:hAnsi="Arial" w:cs="Arial"/>
          <w:sz w:val="20"/>
          <w:szCs w:val="20"/>
        </w:rPr>
        <w:t>positive correlation between</w:t>
      </w:r>
      <w:r w:rsidR="00D76FA9" w:rsidRPr="00C03C60">
        <w:rPr>
          <w:rFonts w:ascii="Arial" w:eastAsia="Calibri" w:hAnsi="Arial" w:cs="Arial"/>
          <w:sz w:val="20"/>
          <w:szCs w:val="20"/>
        </w:rPr>
        <w:t xml:space="preserve"> </w:t>
      </w:r>
      <w:r w:rsidR="00E2622A" w:rsidRPr="00C03C60">
        <w:rPr>
          <w:rFonts w:ascii="Arial" w:eastAsia="Calibri" w:hAnsi="Arial" w:cs="Arial"/>
          <w:sz w:val="20"/>
          <w:szCs w:val="20"/>
        </w:rPr>
        <w:t>neck circumference and cardiometabolic factors such as</w:t>
      </w:r>
      <w:r w:rsidR="00A77A4B" w:rsidRPr="00C03C60">
        <w:rPr>
          <w:rFonts w:ascii="Arial" w:eastAsia="Calibri" w:hAnsi="Arial" w:cs="Arial"/>
          <w:sz w:val="20"/>
          <w:szCs w:val="20"/>
        </w:rPr>
        <w:t xml:space="preserve"> body mass index (BMI),</w:t>
      </w:r>
      <w:r w:rsidR="00E2622A" w:rsidRPr="00C03C60">
        <w:rPr>
          <w:rFonts w:ascii="Arial" w:eastAsia="Calibri" w:hAnsi="Arial" w:cs="Arial"/>
          <w:sz w:val="20"/>
          <w:szCs w:val="20"/>
        </w:rPr>
        <w:t xml:space="preserve"> waist circumference</w:t>
      </w:r>
      <w:r w:rsidR="00A77A4B" w:rsidRPr="00C03C60">
        <w:rPr>
          <w:rFonts w:ascii="Arial" w:eastAsia="Calibri" w:hAnsi="Arial" w:cs="Arial"/>
          <w:sz w:val="20"/>
          <w:szCs w:val="20"/>
        </w:rPr>
        <w:t xml:space="preserve"> (WC)</w:t>
      </w:r>
      <w:r w:rsidR="00E2622A" w:rsidRPr="00C03C60">
        <w:rPr>
          <w:rFonts w:ascii="Arial" w:eastAsia="Calibri" w:hAnsi="Arial" w:cs="Arial"/>
          <w:sz w:val="20"/>
          <w:szCs w:val="20"/>
        </w:rPr>
        <w:t xml:space="preserve">, </w:t>
      </w:r>
      <w:r w:rsidR="00A77A4B" w:rsidRPr="00C03C60">
        <w:rPr>
          <w:rFonts w:ascii="Arial" w:eastAsia="Calibri" w:hAnsi="Arial" w:cs="Arial"/>
          <w:sz w:val="20"/>
          <w:szCs w:val="20"/>
        </w:rPr>
        <w:t>waist-hip-ratio (WHR)</w:t>
      </w:r>
      <w:r w:rsidR="00397AC9" w:rsidRPr="00C03C60">
        <w:rPr>
          <w:rFonts w:ascii="Arial" w:eastAsia="Calibri" w:hAnsi="Arial" w:cs="Arial"/>
          <w:sz w:val="20"/>
          <w:szCs w:val="20"/>
        </w:rPr>
        <w:t xml:space="preserve"> among patients with T2DM. </w:t>
      </w:r>
      <w:r w:rsidR="007B1377" w:rsidRPr="00C03C60">
        <w:rPr>
          <w:rFonts w:ascii="Arial" w:eastAsia="Calibri" w:hAnsi="Arial" w:cs="Arial"/>
          <w:sz w:val="20"/>
          <w:szCs w:val="20"/>
        </w:rPr>
        <w:t xml:space="preserve">Similar findings </w:t>
      </w:r>
      <w:r w:rsidR="008E03A5" w:rsidRPr="00C03C60">
        <w:rPr>
          <w:rFonts w:ascii="Arial" w:eastAsia="Calibri" w:hAnsi="Arial" w:cs="Arial"/>
          <w:sz w:val="20"/>
          <w:szCs w:val="20"/>
        </w:rPr>
        <w:t xml:space="preserve">were reported by </w:t>
      </w:r>
      <w:r w:rsidR="0028347A" w:rsidRPr="00C03C60">
        <w:rPr>
          <w:rFonts w:ascii="Arial" w:eastAsia="Calibri" w:hAnsi="Arial" w:cs="Arial"/>
          <w:sz w:val="20"/>
          <w:szCs w:val="20"/>
        </w:rPr>
        <w:t>Gowd</w:t>
      </w:r>
      <w:r w:rsidR="00694695" w:rsidRPr="00C03C60">
        <w:rPr>
          <w:rFonts w:ascii="Arial" w:eastAsia="Calibri" w:hAnsi="Arial" w:cs="Arial"/>
          <w:sz w:val="20"/>
          <w:szCs w:val="20"/>
        </w:rPr>
        <w:t>a et al in India</w:t>
      </w:r>
      <w:r w:rsidR="001B3342" w:rsidRPr="00C03C60">
        <w:rPr>
          <w:rFonts w:ascii="Arial" w:eastAsia="Calibri" w:hAnsi="Arial" w:cs="Arial"/>
          <w:sz w:val="20"/>
          <w:szCs w:val="20"/>
        </w:rPr>
        <w:t xml:space="preserve"> (Gowda et al., 2024). </w:t>
      </w:r>
      <w:r w:rsidR="00002BA4" w:rsidRPr="00C03C60">
        <w:rPr>
          <w:rFonts w:ascii="Arial" w:eastAsia="Calibri" w:hAnsi="Arial" w:cs="Arial"/>
          <w:sz w:val="20"/>
          <w:szCs w:val="20"/>
        </w:rPr>
        <w:t xml:space="preserve">Dada et al in Nigeria also </w:t>
      </w:r>
      <w:r w:rsidR="00DC034B" w:rsidRPr="00C03C60">
        <w:rPr>
          <w:rFonts w:ascii="Arial" w:eastAsia="Calibri" w:hAnsi="Arial" w:cs="Arial"/>
          <w:sz w:val="20"/>
          <w:szCs w:val="20"/>
        </w:rPr>
        <w:t>discovered</w:t>
      </w:r>
      <w:r w:rsidR="00002BA4" w:rsidRPr="00C03C60">
        <w:rPr>
          <w:rFonts w:ascii="Arial" w:eastAsia="Calibri" w:hAnsi="Arial" w:cs="Arial"/>
          <w:sz w:val="20"/>
          <w:szCs w:val="20"/>
        </w:rPr>
        <w:t xml:space="preserve"> significant positive correlation between NC and </w:t>
      </w:r>
      <w:r w:rsidR="00E22F94" w:rsidRPr="00C03C60">
        <w:rPr>
          <w:rFonts w:ascii="Arial" w:eastAsia="Calibri" w:hAnsi="Arial" w:cs="Arial"/>
          <w:sz w:val="20"/>
          <w:szCs w:val="20"/>
        </w:rPr>
        <w:t>BMI, waist circumference and hip circumference</w:t>
      </w:r>
      <w:r w:rsidR="00FE591E" w:rsidRPr="00C03C60">
        <w:rPr>
          <w:rFonts w:ascii="Arial" w:eastAsia="Calibri" w:hAnsi="Arial" w:cs="Arial"/>
          <w:sz w:val="20"/>
          <w:szCs w:val="20"/>
        </w:rPr>
        <w:t xml:space="preserve"> (Dada et al., 2023). </w:t>
      </w:r>
      <w:r w:rsidR="00694695" w:rsidRPr="00C03C60">
        <w:rPr>
          <w:rFonts w:ascii="Arial" w:eastAsia="Calibri" w:hAnsi="Arial" w:cs="Arial"/>
          <w:sz w:val="20"/>
          <w:szCs w:val="20"/>
        </w:rPr>
        <w:t xml:space="preserve">This </w:t>
      </w:r>
      <w:r w:rsidR="00585546" w:rsidRPr="00C03C60">
        <w:rPr>
          <w:rFonts w:ascii="Arial" w:eastAsia="Calibri" w:hAnsi="Arial" w:cs="Arial"/>
          <w:sz w:val="20"/>
          <w:szCs w:val="20"/>
        </w:rPr>
        <w:t>substantiates</w:t>
      </w:r>
      <w:r w:rsidR="00694695" w:rsidRPr="00C03C60">
        <w:rPr>
          <w:rFonts w:ascii="Arial" w:eastAsia="Calibri" w:hAnsi="Arial" w:cs="Arial"/>
          <w:sz w:val="20"/>
          <w:szCs w:val="20"/>
        </w:rPr>
        <w:t xml:space="preserve"> the </w:t>
      </w:r>
      <w:r w:rsidR="00585546" w:rsidRPr="00C03C60">
        <w:rPr>
          <w:rFonts w:ascii="Arial" w:eastAsia="Calibri" w:hAnsi="Arial" w:cs="Arial"/>
          <w:sz w:val="20"/>
          <w:szCs w:val="20"/>
        </w:rPr>
        <w:t xml:space="preserve">possible </w:t>
      </w:r>
      <w:r w:rsidR="00694695" w:rsidRPr="00C03C60">
        <w:rPr>
          <w:rFonts w:ascii="Arial" w:eastAsia="Calibri" w:hAnsi="Arial" w:cs="Arial"/>
          <w:sz w:val="20"/>
          <w:szCs w:val="20"/>
        </w:rPr>
        <w:t xml:space="preserve">link between NC and </w:t>
      </w:r>
      <w:r w:rsidR="00585546" w:rsidRPr="00C03C60">
        <w:rPr>
          <w:rFonts w:ascii="Arial" w:eastAsia="Calibri" w:hAnsi="Arial" w:cs="Arial"/>
          <w:sz w:val="20"/>
          <w:szCs w:val="20"/>
        </w:rPr>
        <w:t xml:space="preserve">risk factors for obesity </w:t>
      </w:r>
      <w:r w:rsidR="00145096" w:rsidRPr="00C03C60">
        <w:rPr>
          <w:rFonts w:ascii="Arial" w:eastAsia="Calibri" w:hAnsi="Arial" w:cs="Arial"/>
          <w:sz w:val="20"/>
          <w:szCs w:val="20"/>
        </w:rPr>
        <w:t xml:space="preserve">and </w:t>
      </w:r>
      <w:r w:rsidR="00DE7B43" w:rsidRPr="00C03C60">
        <w:rPr>
          <w:rFonts w:ascii="Arial" w:eastAsia="Calibri" w:hAnsi="Arial" w:cs="Arial"/>
          <w:sz w:val="20"/>
          <w:szCs w:val="20"/>
        </w:rPr>
        <w:t>consequent disorder</w:t>
      </w:r>
      <w:r w:rsidR="004E612C" w:rsidRPr="00C03C60">
        <w:rPr>
          <w:rFonts w:ascii="Arial" w:eastAsia="Calibri" w:hAnsi="Arial" w:cs="Arial"/>
          <w:sz w:val="20"/>
          <w:szCs w:val="20"/>
        </w:rPr>
        <w:t>s</w:t>
      </w:r>
      <w:r w:rsidR="00413A25" w:rsidRPr="00C03C60">
        <w:rPr>
          <w:rFonts w:ascii="Arial" w:eastAsia="Calibri" w:hAnsi="Arial" w:cs="Arial"/>
          <w:sz w:val="20"/>
          <w:szCs w:val="20"/>
        </w:rPr>
        <w:t xml:space="preserve"> </w:t>
      </w:r>
      <w:r w:rsidR="005519B2" w:rsidRPr="00C03C60">
        <w:rPr>
          <w:rFonts w:ascii="Arial" w:eastAsia="Calibri" w:hAnsi="Arial" w:cs="Arial"/>
          <w:sz w:val="20"/>
          <w:szCs w:val="20"/>
        </w:rPr>
        <w:t>(</w:t>
      </w:r>
      <w:bookmarkStart w:id="12" w:name="_Hlk214400796"/>
      <w:r w:rsidR="005519B2" w:rsidRPr="00C03C60">
        <w:rPr>
          <w:rFonts w:ascii="Arial" w:eastAsia="Calibri" w:hAnsi="Arial" w:cs="Arial"/>
          <w:sz w:val="20"/>
          <w:szCs w:val="20"/>
        </w:rPr>
        <w:t xml:space="preserve">Cho </w:t>
      </w:r>
      <w:proofErr w:type="gramStart"/>
      <w:r w:rsidR="005519B2" w:rsidRPr="00C03C60">
        <w:rPr>
          <w:rFonts w:ascii="Arial" w:eastAsia="Calibri" w:hAnsi="Arial" w:cs="Arial"/>
          <w:sz w:val="20"/>
          <w:szCs w:val="20"/>
        </w:rPr>
        <w:t>et</w:t>
      </w:r>
      <w:r w:rsidR="00960D36" w:rsidRPr="00C03C60">
        <w:rPr>
          <w:rFonts w:ascii="Arial" w:eastAsia="Calibri" w:hAnsi="Arial" w:cs="Arial"/>
          <w:sz w:val="20"/>
          <w:szCs w:val="20"/>
        </w:rPr>
        <w:t xml:space="preserve"> </w:t>
      </w:r>
      <w:r w:rsidR="005519B2" w:rsidRPr="00C03C60">
        <w:rPr>
          <w:rFonts w:ascii="Arial" w:eastAsia="Calibri" w:hAnsi="Arial" w:cs="Arial"/>
          <w:sz w:val="20"/>
          <w:szCs w:val="20"/>
        </w:rPr>
        <w:t xml:space="preserve"> al.</w:t>
      </w:r>
      <w:proofErr w:type="gramEnd"/>
      <w:r w:rsidR="005519B2" w:rsidRPr="00C03C60">
        <w:rPr>
          <w:rFonts w:ascii="Arial" w:eastAsia="Calibri" w:hAnsi="Arial" w:cs="Arial"/>
          <w:sz w:val="20"/>
          <w:szCs w:val="20"/>
        </w:rPr>
        <w:t>, 2015</w:t>
      </w:r>
      <w:bookmarkEnd w:id="12"/>
      <w:r w:rsidR="005519B2" w:rsidRPr="00C03C60">
        <w:rPr>
          <w:rFonts w:ascii="Arial" w:eastAsia="Calibri" w:hAnsi="Arial" w:cs="Arial"/>
          <w:sz w:val="20"/>
          <w:szCs w:val="20"/>
        </w:rPr>
        <w:t xml:space="preserve">; </w:t>
      </w:r>
      <w:proofErr w:type="spellStart"/>
      <w:r w:rsidR="005519B2" w:rsidRPr="00C03C60">
        <w:rPr>
          <w:rFonts w:ascii="Arial" w:eastAsia="Calibri" w:hAnsi="Arial" w:cs="Arial"/>
          <w:sz w:val="20"/>
          <w:szCs w:val="20"/>
          <w:lang w:val="en-GB"/>
        </w:rPr>
        <w:t>Scovronec</w:t>
      </w:r>
      <w:proofErr w:type="spellEnd"/>
      <w:r w:rsidR="005519B2" w:rsidRPr="00C03C60">
        <w:rPr>
          <w:rFonts w:ascii="Arial" w:eastAsia="Calibri" w:hAnsi="Arial" w:cs="Arial"/>
          <w:sz w:val="20"/>
          <w:szCs w:val="20"/>
          <w:lang w:val="en-GB"/>
        </w:rPr>
        <w:t xml:space="preserve"> et al., 2022</w:t>
      </w:r>
      <w:r w:rsidR="00AE40B8" w:rsidRPr="00C03C60">
        <w:rPr>
          <w:rFonts w:ascii="Arial" w:eastAsia="Calibri" w:hAnsi="Arial" w:cs="Arial"/>
          <w:sz w:val="20"/>
          <w:szCs w:val="20"/>
          <w:lang w:val="en-GB"/>
        </w:rPr>
        <w:t xml:space="preserve">; </w:t>
      </w:r>
      <w:proofErr w:type="spellStart"/>
      <w:r w:rsidR="007446F8" w:rsidRPr="00C03C60">
        <w:rPr>
          <w:rFonts w:ascii="Arial" w:eastAsia="Calibri" w:hAnsi="Arial" w:cs="Arial"/>
          <w:sz w:val="20"/>
          <w:szCs w:val="20"/>
        </w:rPr>
        <w:t>Saneei</w:t>
      </w:r>
      <w:proofErr w:type="spellEnd"/>
      <w:r w:rsidR="007446F8" w:rsidRPr="00C03C60">
        <w:rPr>
          <w:rFonts w:ascii="Arial" w:eastAsia="Calibri" w:hAnsi="Arial" w:cs="Arial"/>
          <w:sz w:val="20"/>
          <w:szCs w:val="20"/>
        </w:rPr>
        <w:t xml:space="preserve"> et al., 2019; </w:t>
      </w:r>
      <w:r w:rsidR="00960D36" w:rsidRPr="00C03C60">
        <w:rPr>
          <w:rFonts w:ascii="Arial" w:eastAsia="Calibri" w:hAnsi="Arial" w:cs="Arial"/>
          <w:sz w:val="20"/>
          <w:szCs w:val="20"/>
        </w:rPr>
        <w:t xml:space="preserve">Gowda et al., 2024). </w:t>
      </w:r>
      <w:r w:rsidR="007639AF" w:rsidRPr="00C03C60">
        <w:rPr>
          <w:rFonts w:ascii="Arial" w:eastAsia="Calibri" w:hAnsi="Arial" w:cs="Arial"/>
          <w:sz w:val="20"/>
          <w:szCs w:val="20"/>
        </w:rPr>
        <w:t xml:space="preserve">It has been </w:t>
      </w:r>
      <w:r w:rsidR="00E36B88" w:rsidRPr="00C03C60">
        <w:rPr>
          <w:rFonts w:ascii="Arial" w:eastAsia="Calibri" w:hAnsi="Arial" w:cs="Arial"/>
          <w:sz w:val="20"/>
          <w:szCs w:val="20"/>
        </w:rPr>
        <w:t xml:space="preserve">postulated that </w:t>
      </w:r>
      <w:r w:rsidR="00751659" w:rsidRPr="00C03C60">
        <w:rPr>
          <w:rFonts w:ascii="Arial" w:eastAsia="Calibri" w:hAnsi="Arial" w:cs="Arial"/>
          <w:sz w:val="20"/>
          <w:szCs w:val="20"/>
        </w:rPr>
        <w:t xml:space="preserve">persons with </w:t>
      </w:r>
      <w:r w:rsidR="00E36B88" w:rsidRPr="00C03C60">
        <w:rPr>
          <w:rFonts w:ascii="Arial" w:eastAsia="Calibri" w:hAnsi="Arial" w:cs="Arial"/>
          <w:sz w:val="20"/>
          <w:szCs w:val="20"/>
        </w:rPr>
        <w:t>larger neck circumference</w:t>
      </w:r>
      <w:r w:rsidR="00B545F9" w:rsidRPr="00C03C60">
        <w:rPr>
          <w:rFonts w:ascii="Arial" w:eastAsia="Calibri" w:hAnsi="Arial" w:cs="Arial"/>
          <w:sz w:val="20"/>
          <w:szCs w:val="20"/>
        </w:rPr>
        <w:t xml:space="preserve"> could </w:t>
      </w:r>
      <w:r w:rsidR="00751659" w:rsidRPr="00C03C60">
        <w:rPr>
          <w:rFonts w:ascii="Arial" w:eastAsia="Calibri" w:hAnsi="Arial" w:cs="Arial"/>
          <w:sz w:val="20"/>
          <w:szCs w:val="20"/>
        </w:rPr>
        <w:t xml:space="preserve">experience </w:t>
      </w:r>
      <w:r w:rsidR="00101B4B" w:rsidRPr="00C03C60">
        <w:rPr>
          <w:rFonts w:ascii="Arial" w:eastAsia="Calibri" w:hAnsi="Arial" w:cs="Arial"/>
          <w:sz w:val="20"/>
          <w:szCs w:val="20"/>
        </w:rPr>
        <w:t xml:space="preserve">sleep-disordered breathing, </w:t>
      </w:r>
      <w:r w:rsidR="00DD61A5" w:rsidRPr="00C03C60">
        <w:rPr>
          <w:rFonts w:ascii="Arial" w:eastAsia="Calibri" w:hAnsi="Arial" w:cs="Arial"/>
          <w:sz w:val="20"/>
          <w:szCs w:val="20"/>
        </w:rPr>
        <w:t xml:space="preserve">in form of </w:t>
      </w:r>
      <w:r w:rsidR="00101B4B" w:rsidRPr="00C03C60">
        <w:rPr>
          <w:rFonts w:ascii="Arial" w:eastAsia="Calibri" w:hAnsi="Arial" w:cs="Arial"/>
          <w:sz w:val="20"/>
          <w:szCs w:val="20"/>
        </w:rPr>
        <w:t>sleep apnea</w:t>
      </w:r>
      <w:r w:rsidR="00DD61A5" w:rsidRPr="00C03C60">
        <w:rPr>
          <w:rFonts w:ascii="Arial" w:eastAsia="Calibri" w:hAnsi="Arial" w:cs="Arial"/>
          <w:sz w:val="20"/>
          <w:szCs w:val="20"/>
        </w:rPr>
        <w:t>, which</w:t>
      </w:r>
      <w:r w:rsidR="003109D4" w:rsidRPr="00C03C60">
        <w:rPr>
          <w:rFonts w:ascii="Arial" w:eastAsia="Calibri" w:hAnsi="Arial" w:cs="Arial"/>
          <w:sz w:val="20"/>
          <w:szCs w:val="20"/>
        </w:rPr>
        <w:t xml:space="preserve"> is strongly associated with obesity</w:t>
      </w:r>
      <w:r w:rsidR="0051516F" w:rsidRPr="00C03C60">
        <w:rPr>
          <w:rFonts w:ascii="Arial" w:eastAsia="Calibri" w:hAnsi="Arial" w:cs="Arial"/>
          <w:sz w:val="20"/>
          <w:szCs w:val="20"/>
        </w:rPr>
        <w:t xml:space="preserve"> and</w:t>
      </w:r>
      <w:r w:rsidR="00DD61A5" w:rsidRPr="00C03C60">
        <w:rPr>
          <w:rFonts w:ascii="Arial" w:eastAsia="Calibri" w:hAnsi="Arial" w:cs="Arial"/>
          <w:sz w:val="20"/>
          <w:szCs w:val="20"/>
        </w:rPr>
        <w:t xml:space="preserve"> has been</w:t>
      </w:r>
      <w:r w:rsidR="00101B4B" w:rsidRPr="00C03C60">
        <w:rPr>
          <w:rFonts w:ascii="Arial" w:eastAsia="Calibri" w:hAnsi="Arial" w:cs="Arial"/>
          <w:sz w:val="20"/>
          <w:szCs w:val="20"/>
        </w:rPr>
        <w:t xml:space="preserve"> associated with </w:t>
      </w:r>
      <w:r w:rsidR="00B83686" w:rsidRPr="00C03C60">
        <w:rPr>
          <w:rFonts w:ascii="Arial" w:eastAsia="Calibri" w:hAnsi="Arial" w:cs="Arial"/>
          <w:sz w:val="20"/>
          <w:szCs w:val="20"/>
        </w:rPr>
        <w:t xml:space="preserve">diabetes, insulin resistance, </w:t>
      </w:r>
      <w:r w:rsidR="00101B4B" w:rsidRPr="00C03C60">
        <w:rPr>
          <w:rFonts w:ascii="Arial" w:eastAsia="Calibri" w:hAnsi="Arial" w:cs="Arial"/>
          <w:sz w:val="20"/>
          <w:szCs w:val="20"/>
        </w:rPr>
        <w:t xml:space="preserve">hypertension, high total cholesterol, </w:t>
      </w:r>
      <w:r w:rsidR="00E20A81" w:rsidRPr="00C03C60">
        <w:rPr>
          <w:rFonts w:ascii="Arial" w:eastAsia="Calibri" w:hAnsi="Arial" w:cs="Arial"/>
          <w:sz w:val="20"/>
          <w:szCs w:val="20"/>
        </w:rPr>
        <w:t xml:space="preserve">and </w:t>
      </w:r>
      <w:r w:rsidR="00101B4B" w:rsidRPr="00C03C60">
        <w:rPr>
          <w:rFonts w:ascii="Arial" w:eastAsia="Calibri" w:hAnsi="Arial" w:cs="Arial"/>
          <w:sz w:val="20"/>
          <w:szCs w:val="20"/>
        </w:rPr>
        <w:t>low HDL cholesterol</w:t>
      </w:r>
      <w:r w:rsidR="004853C9" w:rsidRPr="00C03C60">
        <w:rPr>
          <w:rFonts w:ascii="Arial" w:eastAsia="Calibri" w:hAnsi="Arial" w:cs="Arial"/>
          <w:sz w:val="20"/>
          <w:szCs w:val="20"/>
        </w:rPr>
        <w:t xml:space="preserve"> </w:t>
      </w:r>
      <w:r w:rsidR="00D154DE" w:rsidRPr="00C03C60">
        <w:rPr>
          <w:rFonts w:ascii="Arial" w:eastAsia="Calibri" w:hAnsi="Arial" w:cs="Arial"/>
          <w:sz w:val="20"/>
          <w:szCs w:val="20"/>
        </w:rPr>
        <w:t>(Stabe et al., 2013</w:t>
      </w:r>
      <w:r w:rsidR="00B2124B" w:rsidRPr="00C03C60">
        <w:rPr>
          <w:rFonts w:ascii="Arial" w:eastAsia="Calibri" w:hAnsi="Arial" w:cs="Arial"/>
          <w:sz w:val="20"/>
          <w:szCs w:val="20"/>
        </w:rPr>
        <w:t xml:space="preserve">; </w:t>
      </w:r>
      <w:r w:rsidR="004853C9" w:rsidRPr="005E5544">
        <w:rPr>
          <w:rFonts w:ascii="Arial" w:eastAsia="Calibri" w:hAnsi="Arial" w:cs="Arial"/>
          <w:sz w:val="20"/>
          <w:szCs w:val="20"/>
        </w:rPr>
        <w:t>Reichmuth</w:t>
      </w:r>
      <w:r w:rsidR="004853C9" w:rsidRPr="00C03C60">
        <w:rPr>
          <w:rFonts w:ascii="Arial" w:eastAsia="Calibri" w:hAnsi="Arial" w:cs="Arial"/>
          <w:sz w:val="20"/>
          <w:szCs w:val="20"/>
        </w:rPr>
        <w:t xml:space="preserve"> et al., 2005).</w:t>
      </w:r>
      <w:r w:rsidR="00D154DE" w:rsidRPr="00C03C60">
        <w:rPr>
          <w:rFonts w:ascii="Arial" w:eastAsia="Calibri" w:hAnsi="Arial" w:cs="Arial"/>
          <w:sz w:val="20"/>
          <w:szCs w:val="20"/>
        </w:rPr>
        <w:t xml:space="preserve"> </w:t>
      </w:r>
      <w:r w:rsidR="00216101" w:rsidRPr="00C03C60">
        <w:rPr>
          <w:rFonts w:ascii="Arial" w:eastAsia="Calibri" w:hAnsi="Arial" w:cs="Arial"/>
          <w:sz w:val="20"/>
          <w:szCs w:val="20"/>
        </w:rPr>
        <w:t>Alteration in peripheral blood flow</w:t>
      </w:r>
      <w:r w:rsidR="004D0614" w:rsidRPr="00C03C60">
        <w:rPr>
          <w:rFonts w:ascii="Arial" w:eastAsia="Calibri" w:hAnsi="Arial" w:cs="Arial"/>
          <w:sz w:val="20"/>
          <w:szCs w:val="20"/>
        </w:rPr>
        <w:t xml:space="preserve"> leading to endothelial dysfunction</w:t>
      </w:r>
      <w:r w:rsidR="00216101" w:rsidRPr="00C03C60">
        <w:rPr>
          <w:rFonts w:ascii="Arial" w:eastAsia="Calibri" w:hAnsi="Arial" w:cs="Arial"/>
          <w:sz w:val="20"/>
          <w:szCs w:val="20"/>
        </w:rPr>
        <w:t>, increased sympathetic acti</w:t>
      </w:r>
      <w:r w:rsidR="004D0614" w:rsidRPr="00C03C60">
        <w:rPr>
          <w:rFonts w:ascii="Arial" w:eastAsia="Calibri" w:hAnsi="Arial" w:cs="Arial"/>
          <w:sz w:val="20"/>
          <w:szCs w:val="20"/>
        </w:rPr>
        <w:t>vity</w:t>
      </w:r>
      <w:r w:rsidR="006E1825" w:rsidRPr="00C03C60">
        <w:rPr>
          <w:rFonts w:ascii="Arial" w:eastAsia="Calibri" w:hAnsi="Arial" w:cs="Arial"/>
          <w:sz w:val="20"/>
          <w:szCs w:val="20"/>
        </w:rPr>
        <w:t xml:space="preserve">, </w:t>
      </w:r>
      <w:r w:rsidR="00A94863" w:rsidRPr="00C03C60">
        <w:rPr>
          <w:rFonts w:ascii="Arial" w:eastAsia="Calibri" w:hAnsi="Arial" w:cs="Arial"/>
          <w:sz w:val="20"/>
          <w:szCs w:val="20"/>
        </w:rPr>
        <w:t>potential</w:t>
      </w:r>
      <w:r w:rsidR="0028539D" w:rsidRPr="00C03C60">
        <w:rPr>
          <w:rFonts w:ascii="Arial" w:eastAsia="Calibri" w:hAnsi="Arial" w:cs="Arial"/>
          <w:sz w:val="20"/>
          <w:szCs w:val="20"/>
        </w:rPr>
        <w:t xml:space="preserve"> for </w:t>
      </w:r>
      <w:r w:rsidR="0028539D" w:rsidRPr="00C03C60">
        <w:rPr>
          <w:rFonts w:ascii="Arial" w:eastAsia="Calibri" w:hAnsi="Arial" w:cs="Arial"/>
          <w:sz w:val="20"/>
          <w:szCs w:val="20"/>
        </w:rPr>
        <w:lastRenderedPageBreak/>
        <w:t>raised inflammatory markers and cytokines causing oxidative stress</w:t>
      </w:r>
      <w:r w:rsidR="007D0190" w:rsidRPr="00C03C60">
        <w:rPr>
          <w:rFonts w:ascii="Arial" w:eastAsia="Calibri" w:hAnsi="Arial" w:cs="Arial"/>
          <w:sz w:val="20"/>
          <w:szCs w:val="20"/>
        </w:rPr>
        <w:t xml:space="preserve"> </w:t>
      </w:r>
      <w:r w:rsidR="0036332F" w:rsidRPr="00C03C60">
        <w:rPr>
          <w:rFonts w:ascii="Arial" w:eastAsia="Calibri" w:hAnsi="Arial" w:cs="Arial"/>
          <w:sz w:val="20"/>
          <w:szCs w:val="20"/>
        </w:rPr>
        <w:t xml:space="preserve">have been suggested as contributing to </w:t>
      </w:r>
      <w:r w:rsidR="00F940DF" w:rsidRPr="00C03C60">
        <w:rPr>
          <w:rFonts w:ascii="Arial" w:eastAsia="Calibri" w:hAnsi="Arial" w:cs="Arial"/>
          <w:sz w:val="20"/>
          <w:szCs w:val="20"/>
        </w:rPr>
        <w:t xml:space="preserve">metabolic risk factors and development of T2DM </w:t>
      </w:r>
      <w:r w:rsidR="007D0190" w:rsidRPr="00C03C60">
        <w:rPr>
          <w:rFonts w:ascii="Arial" w:eastAsia="Calibri" w:hAnsi="Arial" w:cs="Arial"/>
          <w:sz w:val="20"/>
          <w:szCs w:val="20"/>
        </w:rPr>
        <w:t>in the setting of larger neck circumference</w:t>
      </w:r>
      <w:r w:rsidR="00B40845" w:rsidRPr="00C03C60">
        <w:rPr>
          <w:rFonts w:ascii="Arial" w:eastAsia="Calibri" w:hAnsi="Arial" w:cs="Arial"/>
          <w:sz w:val="20"/>
          <w:szCs w:val="20"/>
        </w:rPr>
        <w:t xml:space="preserve"> (Cho </w:t>
      </w:r>
      <w:proofErr w:type="gramStart"/>
      <w:r w:rsidR="00413A25" w:rsidRPr="00C03C60">
        <w:rPr>
          <w:rFonts w:ascii="Arial" w:eastAsia="Calibri" w:hAnsi="Arial" w:cs="Arial"/>
          <w:sz w:val="20"/>
          <w:szCs w:val="20"/>
        </w:rPr>
        <w:t>et  al.</w:t>
      </w:r>
      <w:proofErr w:type="gramEnd"/>
      <w:r w:rsidR="00413A25" w:rsidRPr="00C03C60">
        <w:rPr>
          <w:rFonts w:ascii="Arial" w:eastAsia="Calibri" w:hAnsi="Arial" w:cs="Arial"/>
          <w:sz w:val="20"/>
          <w:szCs w:val="20"/>
        </w:rPr>
        <w:t>, 2015</w:t>
      </w:r>
      <w:r w:rsidR="00B40845" w:rsidRPr="00C03C60">
        <w:rPr>
          <w:rFonts w:ascii="Arial" w:eastAsia="Calibri" w:hAnsi="Arial" w:cs="Arial"/>
          <w:sz w:val="20"/>
          <w:szCs w:val="20"/>
        </w:rPr>
        <w:t xml:space="preserve">; </w:t>
      </w:r>
      <w:r w:rsidR="00EA638C" w:rsidRPr="001A3D41">
        <w:rPr>
          <w:rFonts w:ascii="Arial" w:eastAsia="Calibri" w:hAnsi="Arial" w:cs="Arial"/>
          <w:sz w:val="20"/>
          <w:szCs w:val="20"/>
        </w:rPr>
        <w:t>Donath</w:t>
      </w:r>
      <w:r w:rsidR="00EA638C" w:rsidRPr="00C03C60">
        <w:rPr>
          <w:rFonts w:ascii="Arial" w:eastAsia="Calibri" w:hAnsi="Arial" w:cs="Arial"/>
          <w:sz w:val="20"/>
          <w:szCs w:val="20"/>
        </w:rPr>
        <w:t xml:space="preserve"> </w:t>
      </w:r>
      <w:r w:rsidR="00EA638C" w:rsidRPr="001A3D41">
        <w:rPr>
          <w:rFonts w:ascii="Arial" w:eastAsia="Calibri" w:hAnsi="Arial" w:cs="Arial"/>
          <w:sz w:val="20"/>
          <w:szCs w:val="20"/>
        </w:rPr>
        <w:t xml:space="preserve">&amp; </w:t>
      </w:r>
      <w:proofErr w:type="spellStart"/>
      <w:r w:rsidR="00EA638C" w:rsidRPr="001A3D41">
        <w:rPr>
          <w:rFonts w:ascii="Arial" w:eastAsia="Calibri" w:hAnsi="Arial" w:cs="Arial"/>
          <w:sz w:val="20"/>
          <w:szCs w:val="20"/>
        </w:rPr>
        <w:t>Shoelson</w:t>
      </w:r>
      <w:proofErr w:type="spellEnd"/>
      <w:r w:rsidR="00EA638C" w:rsidRPr="001A3D41">
        <w:rPr>
          <w:rFonts w:ascii="Arial" w:eastAsia="Calibri" w:hAnsi="Arial" w:cs="Arial"/>
          <w:sz w:val="20"/>
          <w:szCs w:val="20"/>
        </w:rPr>
        <w:t>, 2011</w:t>
      </w:r>
      <w:r w:rsidR="00EA638C" w:rsidRPr="00C03C60">
        <w:rPr>
          <w:rFonts w:ascii="Arial" w:eastAsia="Calibri" w:hAnsi="Arial" w:cs="Arial"/>
          <w:sz w:val="20"/>
          <w:szCs w:val="20"/>
        </w:rPr>
        <w:t>).</w:t>
      </w:r>
      <w:r w:rsidR="00413CEB" w:rsidRPr="00C03C60">
        <w:rPr>
          <w:rFonts w:ascii="Arial" w:eastAsia="Calibri" w:hAnsi="Arial" w:cs="Arial"/>
          <w:sz w:val="20"/>
          <w:szCs w:val="20"/>
        </w:rPr>
        <w:t xml:space="preserve"> </w:t>
      </w:r>
      <w:r w:rsidR="00194767" w:rsidRPr="00C03C60">
        <w:rPr>
          <w:rFonts w:ascii="Arial" w:eastAsia="Calibri" w:hAnsi="Arial" w:cs="Arial"/>
          <w:sz w:val="20"/>
          <w:szCs w:val="20"/>
        </w:rPr>
        <w:t xml:space="preserve">The association between NC and </w:t>
      </w:r>
      <w:r w:rsidR="00F32E98" w:rsidRPr="00C03C60">
        <w:rPr>
          <w:rFonts w:ascii="Arial" w:eastAsia="Calibri" w:hAnsi="Arial" w:cs="Arial"/>
          <w:sz w:val="20"/>
          <w:szCs w:val="20"/>
        </w:rPr>
        <w:t xml:space="preserve">some </w:t>
      </w:r>
      <w:r w:rsidR="00194767" w:rsidRPr="00C03C60">
        <w:rPr>
          <w:rFonts w:ascii="Arial" w:eastAsia="Calibri" w:hAnsi="Arial" w:cs="Arial"/>
          <w:sz w:val="20"/>
          <w:szCs w:val="20"/>
        </w:rPr>
        <w:t xml:space="preserve">cardiometabolic factors </w:t>
      </w:r>
      <w:r w:rsidR="00F32E98" w:rsidRPr="00C03C60">
        <w:rPr>
          <w:rFonts w:ascii="Arial" w:eastAsia="Calibri" w:hAnsi="Arial" w:cs="Arial"/>
          <w:sz w:val="20"/>
          <w:szCs w:val="20"/>
        </w:rPr>
        <w:t xml:space="preserve">as seen in this study </w:t>
      </w:r>
      <w:r w:rsidR="00F959AD" w:rsidRPr="00C03C60">
        <w:rPr>
          <w:rFonts w:ascii="Arial" w:eastAsia="Calibri" w:hAnsi="Arial" w:cs="Arial"/>
          <w:sz w:val="20"/>
          <w:szCs w:val="20"/>
        </w:rPr>
        <w:t xml:space="preserve">gives </w:t>
      </w:r>
      <w:r w:rsidR="004A4A24" w:rsidRPr="00C03C60">
        <w:rPr>
          <w:rFonts w:ascii="Arial" w:eastAsia="Calibri" w:hAnsi="Arial" w:cs="Arial"/>
          <w:sz w:val="20"/>
          <w:szCs w:val="20"/>
        </w:rPr>
        <w:t xml:space="preserve">an insight </w:t>
      </w:r>
      <w:r w:rsidR="00116C27" w:rsidRPr="00C03C60">
        <w:rPr>
          <w:rFonts w:ascii="Arial" w:eastAsia="Calibri" w:hAnsi="Arial" w:cs="Arial"/>
          <w:sz w:val="20"/>
          <w:szCs w:val="20"/>
        </w:rPr>
        <w:t xml:space="preserve">into </w:t>
      </w:r>
      <w:r w:rsidR="00E50506" w:rsidRPr="00C03C60">
        <w:rPr>
          <w:rFonts w:ascii="Arial" w:eastAsia="Calibri" w:hAnsi="Arial" w:cs="Arial"/>
          <w:sz w:val="20"/>
          <w:szCs w:val="20"/>
        </w:rPr>
        <w:t>an</w:t>
      </w:r>
      <w:r w:rsidR="00844387" w:rsidRPr="00C03C60">
        <w:rPr>
          <w:rFonts w:ascii="Arial" w:eastAsia="Calibri" w:hAnsi="Arial" w:cs="Arial"/>
          <w:sz w:val="20"/>
          <w:szCs w:val="20"/>
        </w:rPr>
        <w:t>other</w:t>
      </w:r>
      <w:r w:rsidR="00E50506" w:rsidRPr="00C03C60">
        <w:rPr>
          <w:rFonts w:ascii="Arial" w:eastAsia="Calibri" w:hAnsi="Arial" w:cs="Arial"/>
          <w:sz w:val="20"/>
          <w:szCs w:val="20"/>
        </w:rPr>
        <w:t xml:space="preserve"> area that could be further explored </w:t>
      </w:r>
      <w:r w:rsidR="007151D9" w:rsidRPr="00C03C60">
        <w:rPr>
          <w:rFonts w:ascii="Arial" w:eastAsia="Calibri" w:hAnsi="Arial" w:cs="Arial"/>
          <w:sz w:val="20"/>
          <w:szCs w:val="20"/>
        </w:rPr>
        <w:t xml:space="preserve">as regards different </w:t>
      </w:r>
      <w:r w:rsidR="006911FD" w:rsidRPr="00C03C60">
        <w:rPr>
          <w:rFonts w:ascii="Arial" w:eastAsia="Calibri" w:hAnsi="Arial" w:cs="Arial"/>
          <w:sz w:val="20"/>
          <w:szCs w:val="20"/>
        </w:rPr>
        <w:t>factors that could have a</w:t>
      </w:r>
      <w:r w:rsidR="007327C7" w:rsidRPr="00C03C60">
        <w:rPr>
          <w:rFonts w:ascii="Arial" w:eastAsia="Calibri" w:hAnsi="Arial" w:cs="Arial"/>
          <w:sz w:val="20"/>
          <w:szCs w:val="20"/>
        </w:rPr>
        <w:t xml:space="preserve">n impact </w:t>
      </w:r>
      <w:r w:rsidR="00A873ED" w:rsidRPr="00C03C60">
        <w:rPr>
          <w:rFonts w:ascii="Arial" w:eastAsia="Calibri" w:hAnsi="Arial" w:cs="Arial"/>
          <w:sz w:val="20"/>
          <w:szCs w:val="20"/>
        </w:rPr>
        <w:t xml:space="preserve">on </w:t>
      </w:r>
      <w:r w:rsidR="006911FD" w:rsidRPr="00C03C60">
        <w:rPr>
          <w:rFonts w:ascii="Arial" w:eastAsia="Calibri" w:hAnsi="Arial" w:cs="Arial"/>
          <w:sz w:val="20"/>
          <w:szCs w:val="20"/>
        </w:rPr>
        <w:t xml:space="preserve">the </w:t>
      </w:r>
      <w:r w:rsidR="00AB132F" w:rsidRPr="00C03C60">
        <w:rPr>
          <w:rFonts w:ascii="Arial" w:eastAsia="Calibri" w:hAnsi="Arial" w:cs="Arial"/>
          <w:sz w:val="20"/>
          <w:szCs w:val="20"/>
        </w:rPr>
        <w:t xml:space="preserve">risk of </w:t>
      </w:r>
      <w:r w:rsidR="00F73F34" w:rsidRPr="00C03C60">
        <w:rPr>
          <w:rFonts w:ascii="Arial" w:eastAsia="Calibri" w:hAnsi="Arial" w:cs="Arial"/>
          <w:sz w:val="20"/>
          <w:szCs w:val="20"/>
        </w:rPr>
        <w:t>type 2 diabetes</w:t>
      </w:r>
      <w:r w:rsidR="007327C7" w:rsidRPr="00C03C60">
        <w:rPr>
          <w:rFonts w:ascii="Arial" w:eastAsia="Calibri" w:hAnsi="Arial" w:cs="Arial"/>
          <w:sz w:val="20"/>
          <w:szCs w:val="20"/>
        </w:rPr>
        <w:t>, e</w:t>
      </w:r>
      <w:r w:rsidR="00257F73" w:rsidRPr="00C03C60">
        <w:rPr>
          <w:rFonts w:ascii="Arial" w:eastAsia="Calibri" w:hAnsi="Arial" w:cs="Arial"/>
          <w:sz w:val="20"/>
          <w:szCs w:val="20"/>
        </w:rPr>
        <w:t>specially considering</w:t>
      </w:r>
      <w:r w:rsidR="007327C7" w:rsidRPr="00C03C60">
        <w:rPr>
          <w:rFonts w:ascii="Arial" w:eastAsia="Calibri" w:hAnsi="Arial" w:cs="Arial"/>
          <w:sz w:val="20"/>
          <w:szCs w:val="20"/>
        </w:rPr>
        <w:t xml:space="preserve"> the relationship between NC and other risk factors linked to obesity.</w:t>
      </w:r>
      <w:r w:rsidR="00D53ED2" w:rsidRPr="00C03C60">
        <w:rPr>
          <w:rFonts w:ascii="Arial" w:eastAsia="Calibri" w:hAnsi="Arial" w:cs="Arial"/>
          <w:sz w:val="20"/>
          <w:szCs w:val="20"/>
        </w:rPr>
        <w:t xml:space="preserve"> </w:t>
      </w:r>
    </w:p>
    <w:p w14:paraId="5D5A78F4" w14:textId="77777777" w:rsidR="00C25B03" w:rsidRPr="00C03C60" w:rsidRDefault="00C25B03" w:rsidP="00C03C60">
      <w:pPr>
        <w:spacing w:after="0" w:line="240" w:lineRule="auto"/>
        <w:jc w:val="both"/>
        <w:rPr>
          <w:rFonts w:ascii="Arial" w:eastAsia="Calibri" w:hAnsi="Arial" w:cs="Arial"/>
          <w:sz w:val="20"/>
          <w:szCs w:val="20"/>
        </w:rPr>
      </w:pPr>
    </w:p>
    <w:p w14:paraId="6DBC94D6" w14:textId="64A18621" w:rsidR="00634CBB" w:rsidRPr="00DA328F" w:rsidRDefault="00634CBB" w:rsidP="00C24EF1">
      <w:pPr>
        <w:pStyle w:val="ListParagraph"/>
        <w:numPr>
          <w:ilvl w:val="0"/>
          <w:numId w:val="4"/>
        </w:numPr>
        <w:spacing w:after="0" w:line="480" w:lineRule="auto"/>
        <w:ind w:left="357" w:hanging="357"/>
        <w:rPr>
          <w:rFonts w:ascii="Arial" w:eastAsia="Calibri" w:hAnsi="Arial" w:cs="Arial"/>
          <w:b/>
          <w:bCs/>
          <w:sz w:val="22"/>
          <w:szCs w:val="22"/>
        </w:rPr>
      </w:pPr>
      <w:r w:rsidRPr="00DA328F">
        <w:rPr>
          <w:rFonts w:ascii="Arial" w:eastAsia="Calibri" w:hAnsi="Arial" w:cs="Arial"/>
          <w:b/>
          <w:bCs/>
          <w:sz w:val="22"/>
          <w:szCs w:val="22"/>
        </w:rPr>
        <w:t>CONCLUSION</w:t>
      </w:r>
    </w:p>
    <w:p w14:paraId="7D6BCCB8" w14:textId="117DCCA1" w:rsidR="00634CBB" w:rsidRPr="00C24EF1" w:rsidRDefault="00EC2771" w:rsidP="00C24EF1">
      <w:pPr>
        <w:spacing w:after="0" w:line="240" w:lineRule="auto"/>
        <w:jc w:val="both"/>
        <w:rPr>
          <w:rFonts w:ascii="Arial" w:eastAsia="Calibri" w:hAnsi="Arial" w:cs="Arial"/>
          <w:sz w:val="20"/>
          <w:szCs w:val="20"/>
        </w:rPr>
      </w:pPr>
      <w:r w:rsidRPr="00C24EF1">
        <w:rPr>
          <w:rFonts w:ascii="Arial" w:eastAsia="Calibri" w:hAnsi="Arial" w:cs="Arial"/>
          <w:sz w:val="20"/>
          <w:szCs w:val="20"/>
        </w:rPr>
        <w:t xml:space="preserve">This study has attempted to examine the relationship between neck circumference and </w:t>
      </w:r>
      <w:r w:rsidR="00DE46CC" w:rsidRPr="00C24EF1">
        <w:rPr>
          <w:rFonts w:ascii="Arial" w:eastAsia="Calibri" w:hAnsi="Arial" w:cs="Arial"/>
          <w:sz w:val="20"/>
          <w:szCs w:val="20"/>
        </w:rPr>
        <w:t>insulin resistance with other cardiometabolic risk factors</w:t>
      </w:r>
      <w:r w:rsidR="00815105" w:rsidRPr="00C24EF1">
        <w:rPr>
          <w:rFonts w:ascii="Arial" w:eastAsia="Calibri" w:hAnsi="Arial" w:cs="Arial"/>
          <w:sz w:val="20"/>
          <w:szCs w:val="20"/>
        </w:rPr>
        <w:t xml:space="preserve"> at a tertiary facility in South-</w:t>
      </w:r>
      <w:r w:rsidR="00E73082" w:rsidRPr="00C24EF1">
        <w:rPr>
          <w:rFonts w:ascii="Arial" w:eastAsia="Calibri" w:hAnsi="Arial" w:cs="Arial"/>
          <w:sz w:val="20"/>
          <w:szCs w:val="20"/>
        </w:rPr>
        <w:t>Western</w:t>
      </w:r>
      <w:r w:rsidR="00815105" w:rsidRPr="00C24EF1">
        <w:rPr>
          <w:rFonts w:ascii="Arial" w:eastAsia="Calibri" w:hAnsi="Arial" w:cs="Arial"/>
          <w:sz w:val="20"/>
          <w:szCs w:val="20"/>
        </w:rPr>
        <w:t xml:space="preserve"> Nigeria</w:t>
      </w:r>
      <w:r w:rsidR="009C0A33" w:rsidRPr="00C24EF1">
        <w:rPr>
          <w:rFonts w:ascii="Arial" w:eastAsia="Calibri" w:hAnsi="Arial" w:cs="Arial"/>
          <w:sz w:val="20"/>
          <w:szCs w:val="20"/>
        </w:rPr>
        <w:t xml:space="preserve">. The findings </w:t>
      </w:r>
      <w:r w:rsidR="00AC5B35" w:rsidRPr="00C24EF1">
        <w:rPr>
          <w:rFonts w:ascii="Arial" w:eastAsia="Calibri" w:hAnsi="Arial" w:cs="Arial"/>
          <w:sz w:val="20"/>
          <w:szCs w:val="20"/>
        </w:rPr>
        <w:t xml:space="preserve">further </w:t>
      </w:r>
      <w:r w:rsidR="00E73082" w:rsidRPr="00C24EF1">
        <w:rPr>
          <w:rFonts w:ascii="Arial" w:eastAsia="Calibri" w:hAnsi="Arial" w:cs="Arial"/>
          <w:sz w:val="20"/>
          <w:szCs w:val="20"/>
        </w:rPr>
        <w:t>strengthen</w:t>
      </w:r>
      <w:r w:rsidR="00AC5B35" w:rsidRPr="00C24EF1">
        <w:rPr>
          <w:rFonts w:ascii="Arial" w:eastAsia="Calibri" w:hAnsi="Arial" w:cs="Arial"/>
          <w:sz w:val="20"/>
          <w:szCs w:val="20"/>
        </w:rPr>
        <w:t xml:space="preserve"> the </w:t>
      </w:r>
      <w:r w:rsidR="00F37544" w:rsidRPr="00C24EF1">
        <w:rPr>
          <w:rFonts w:ascii="Arial" w:eastAsia="Calibri" w:hAnsi="Arial" w:cs="Arial"/>
          <w:sz w:val="20"/>
          <w:szCs w:val="20"/>
        </w:rPr>
        <w:t>possibility of using neck circumference</w:t>
      </w:r>
      <w:r w:rsidR="000D3821" w:rsidRPr="00C24EF1">
        <w:rPr>
          <w:rFonts w:ascii="Arial" w:eastAsia="Calibri" w:hAnsi="Arial" w:cs="Arial"/>
          <w:sz w:val="20"/>
          <w:szCs w:val="20"/>
        </w:rPr>
        <w:t>,</w:t>
      </w:r>
      <w:r w:rsidR="00F37544" w:rsidRPr="00C24EF1">
        <w:rPr>
          <w:rFonts w:ascii="Arial" w:eastAsia="Calibri" w:hAnsi="Arial" w:cs="Arial"/>
          <w:sz w:val="20"/>
          <w:szCs w:val="20"/>
        </w:rPr>
        <w:t xml:space="preserve"> </w:t>
      </w:r>
      <w:r w:rsidR="009076BC" w:rsidRPr="00C24EF1">
        <w:rPr>
          <w:rFonts w:ascii="Arial" w:eastAsia="Calibri" w:hAnsi="Arial" w:cs="Arial"/>
          <w:sz w:val="20"/>
          <w:szCs w:val="20"/>
        </w:rPr>
        <w:t>which is an easy and convenient measurement as a supplementary</w:t>
      </w:r>
      <w:r w:rsidR="00EE5321" w:rsidRPr="00C24EF1">
        <w:rPr>
          <w:rFonts w:ascii="Arial" w:eastAsia="Calibri" w:hAnsi="Arial" w:cs="Arial"/>
          <w:sz w:val="20"/>
          <w:szCs w:val="20"/>
        </w:rPr>
        <w:t xml:space="preserve"> </w:t>
      </w:r>
      <w:r w:rsidR="00D370FF" w:rsidRPr="00C24EF1">
        <w:rPr>
          <w:rFonts w:ascii="Arial" w:eastAsia="Calibri" w:hAnsi="Arial" w:cs="Arial"/>
          <w:sz w:val="20"/>
          <w:szCs w:val="20"/>
        </w:rPr>
        <w:t xml:space="preserve">or surrogate </w:t>
      </w:r>
      <w:r w:rsidR="00EE5321" w:rsidRPr="00C24EF1">
        <w:rPr>
          <w:rFonts w:ascii="Arial" w:eastAsia="Calibri" w:hAnsi="Arial" w:cs="Arial"/>
          <w:sz w:val="20"/>
          <w:szCs w:val="20"/>
        </w:rPr>
        <w:t xml:space="preserve">marker of </w:t>
      </w:r>
      <w:r w:rsidR="004851F1" w:rsidRPr="00C24EF1">
        <w:rPr>
          <w:rFonts w:ascii="Arial" w:eastAsia="Calibri" w:hAnsi="Arial" w:cs="Arial"/>
          <w:sz w:val="20"/>
          <w:szCs w:val="20"/>
        </w:rPr>
        <w:t xml:space="preserve">central obesity. </w:t>
      </w:r>
      <w:r w:rsidR="0026214B" w:rsidRPr="00C24EF1">
        <w:rPr>
          <w:rFonts w:ascii="Arial" w:eastAsia="Calibri" w:hAnsi="Arial" w:cs="Arial"/>
          <w:sz w:val="20"/>
          <w:szCs w:val="20"/>
        </w:rPr>
        <w:t xml:space="preserve">It is possible that other mechanisms may play a role in determining existence of a link between NC and insulin resistance in the setting T2DM </w:t>
      </w:r>
      <w:r w:rsidR="00E5272E" w:rsidRPr="00C24EF1">
        <w:rPr>
          <w:rFonts w:ascii="Arial" w:eastAsia="Calibri" w:hAnsi="Arial" w:cs="Arial"/>
          <w:sz w:val="20"/>
          <w:szCs w:val="20"/>
        </w:rPr>
        <w:t>and this could be explored</w:t>
      </w:r>
      <w:r w:rsidR="004802B8" w:rsidRPr="00C24EF1">
        <w:rPr>
          <w:rFonts w:ascii="Arial" w:eastAsia="Calibri" w:hAnsi="Arial" w:cs="Arial"/>
          <w:sz w:val="20"/>
          <w:szCs w:val="20"/>
        </w:rPr>
        <w:t xml:space="preserve"> via further research</w:t>
      </w:r>
      <w:r w:rsidR="00E5272E" w:rsidRPr="00C24EF1">
        <w:rPr>
          <w:rFonts w:ascii="Arial" w:eastAsia="Calibri" w:hAnsi="Arial" w:cs="Arial"/>
          <w:sz w:val="20"/>
          <w:szCs w:val="20"/>
        </w:rPr>
        <w:t xml:space="preserve">. </w:t>
      </w:r>
    </w:p>
    <w:p w14:paraId="211A415B" w14:textId="7293E9F3" w:rsidR="00764883" w:rsidRPr="005D05B3" w:rsidRDefault="00764883" w:rsidP="002F7000">
      <w:pPr>
        <w:spacing w:line="480" w:lineRule="auto"/>
        <w:rPr>
          <w:rFonts w:ascii="Arial" w:hAnsi="Arial" w:cs="Arial"/>
          <w:sz w:val="24"/>
          <w:szCs w:val="24"/>
        </w:rPr>
      </w:pPr>
    </w:p>
    <w:p w14:paraId="4023E5FD" w14:textId="0768AFD8" w:rsidR="00764883" w:rsidRPr="00180B71" w:rsidRDefault="00764883" w:rsidP="009F061C">
      <w:pPr>
        <w:tabs>
          <w:tab w:val="left" w:pos="2810"/>
        </w:tabs>
        <w:spacing w:after="0" w:line="480" w:lineRule="auto"/>
        <w:jc w:val="both"/>
        <w:rPr>
          <w:rFonts w:ascii="Arial" w:eastAsia="Calibri" w:hAnsi="Arial" w:cs="Arial"/>
          <w:b/>
          <w:bCs/>
        </w:rPr>
      </w:pPr>
      <w:r w:rsidRPr="00180B71">
        <w:rPr>
          <w:rFonts w:ascii="Arial" w:eastAsia="Calibri" w:hAnsi="Arial" w:cs="Arial"/>
          <w:b/>
          <w:bCs/>
        </w:rPr>
        <w:t>ETHICAL APPROVAL</w:t>
      </w:r>
      <w:r w:rsidR="009F061C" w:rsidRPr="00180B71">
        <w:rPr>
          <w:rFonts w:ascii="Arial" w:eastAsia="Calibri" w:hAnsi="Arial" w:cs="Arial"/>
          <w:b/>
          <w:bCs/>
        </w:rPr>
        <w:t xml:space="preserve"> AND CONSENT</w:t>
      </w:r>
    </w:p>
    <w:p w14:paraId="7FA6E38D" w14:textId="1D8F1131" w:rsidR="00D56BB4" w:rsidRPr="005D05B3" w:rsidRDefault="009A6B28" w:rsidP="00EE098D">
      <w:pPr>
        <w:spacing w:line="480" w:lineRule="auto"/>
        <w:jc w:val="both"/>
        <w:rPr>
          <w:rFonts w:ascii="Arial" w:eastAsia="Calibri" w:hAnsi="Arial" w:cs="Arial"/>
          <w:b/>
          <w:bCs/>
          <w:sz w:val="24"/>
          <w:szCs w:val="24"/>
        </w:rPr>
      </w:pPr>
      <w:r w:rsidRPr="00B40BBE">
        <w:rPr>
          <w:rFonts w:ascii="Arial" w:hAnsi="Arial" w:cs="Arial"/>
          <w:sz w:val="20"/>
          <w:szCs w:val="20"/>
        </w:rPr>
        <w:t xml:space="preserve">Ethical approval for the study was obtained from the Joint University of Ibadan/University College Hospital (UI/UCH) Research Ethics Committee. </w:t>
      </w:r>
      <w:r w:rsidR="001D24D0" w:rsidRPr="00B40BBE">
        <w:rPr>
          <w:rFonts w:ascii="Arial" w:hAnsi="Arial" w:cs="Arial"/>
          <w:sz w:val="20"/>
          <w:szCs w:val="20"/>
        </w:rPr>
        <w:t xml:space="preserve">Written informed consent was </w:t>
      </w:r>
      <w:r w:rsidR="00C828B6" w:rsidRPr="00B40BBE">
        <w:rPr>
          <w:rFonts w:ascii="Arial" w:hAnsi="Arial" w:cs="Arial"/>
          <w:sz w:val="20"/>
          <w:szCs w:val="20"/>
        </w:rPr>
        <w:t xml:space="preserve">obtained </w:t>
      </w:r>
      <w:r w:rsidR="005E524C" w:rsidRPr="00B40BBE">
        <w:rPr>
          <w:rFonts w:ascii="Arial" w:hAnsi="Arial" w:cs="Arial"/>
          <w:sz w:val="20"/>
          <w:szCs w:val="20"/>
        </w:rPr>
        <w:t xml:space="preserve">from the participants after explanation of the </w:t>
      </w:r>
      <w:r w:rsidR="003D6D4F" w:rsidRPr="00B40BBE">
        <w:rPr>
          <w:rFonts w:ascii="Arial" w:hAnsi="Arial" w:cs="Arial"/>
          <w:sz w:val="20"/>
          <w:szCs w:val="20"/>
        </w:rPr>
        <w:t>research objectives</w:t>
      </w:r>
      <w:r w:rsidR="003D6D4F" w:rsidRPr="005D05B3">
        <w:rPr>
          <w:rFonts w:ascii="Arial" w:hAnsi="Arial" w:cs="Arial"/>
        </w:rPr>
        <w:t xml:space="preserve">. </w:t>
      </w:r>
    </w:p>
    <w:p w14:paraId="5E39DE52" w14:textId="77777777" w:rsidR="00C25B03" w:rsidRPr="005D05B3" w:rsidRDefault="00C25B03" w:rsidP="00EE098D">
      <w:pPr>
        <w:spacing w:after="0" w:line="480" w:lineRule="auto"/>
        <w:jc w:val="both"/>
        <w:rPr>
          <w:rFonts w:ascii="Arial" w:eastAsia="Calibri" w:hAnsi="Arial" w:cs="Arial"/>
          <w:sz w:val="24"/>
          <w:szCs w:val="24"/>
        </w:rPr>
      </w:pPr>
    </w:p>
    <w:p w14:paraId="66B46B2E" w14:textId="08DFE29D" w:rsidR="001E5BA0" w:rsidRPr="00EB3B68" w:rsidRDefault="000C1D3C" w:rsidP="00682A2A">
      <w:pPr>
        <w:spacing w:after="0" w:line="480" w:lineRule="auto"/>
        <w:rPr>
          <w:rFonts w:ascii="Arial" w:hAnsi="Arial" w:cs="Arial"/>
          <w:b/>
          <w:bCs/>
        </w:rPr>
      </w:pPr>
      <w:r w:rsidRPr="00EB3B68">
        <w:rPr>
          <w:rFonts w:ascii="Arial" w:eastAsia="Calibri" w:hAnsi="Arial" w:cs="Arial"/>
          <w:b/>
          <w:bCs/>
        </w:rPr>
        <w:t>REFERENCES</w:t>
      </w:r>
    </w:p>
    <w:p w14:paraId="32809FF3" w14:textId="77777777" w:rsidR="001E5BA0" w:rsidRPr="0022614A" w:rsidRDefault="001E5BA0" w:rsidP="0022614A">
      <w:pPr>
        <w:spacing w:after="0" w:line="240" w:lineRule="auto"/>
        <w:rPr>
          <w:rFonts w:ascii="Arial" w:eastAsia="Calibri" w:hAnsi="Arial" w:cs="Arial"/>
          <w:sz w:val="20"/>
          <w:szCs w:val="20"/>
        </w:rPr>
      </w:pPr>
      <w:r w:rsidRPr="0022614A">
        <w:rPr>
          <w:rFonts w:ascii="Arial" w:hAnsi="Arial" w:cs="Arial"/>
          <w:sz w:val="20"/>
          <w:szCs w:val="20"/>
        </w:rPr>
        <w:t xml:space="preserve">Vazquez, G., Duval, S., Jacobs Jr, D. R., &amp; </w:t>
      </w:r>
      <w:proofErr w:type="spellStart"/>
      <w:r w:rsidRPr="0022614A">
        <w:rPr>
          <w:rFonts w:ascii="Arial" w:hAnsi="Arial" w:cs="Arial"/>
          <w:sz w:val="20"/>
          <w:szCs w:val="20"/>
        </w:rPr>
        <w:t>Silventoinen</w:t>
      </w:r>
      <w:proofErr w:type="spellEnd"/>
      <w:r w:rsidRPr="0022614A">
        <w:rPr>
          <w:rFonts w:ascii="Arial" w:hAnsi="Arial" w:cs="Arial"/>
          <w:sz w:val="20"/>
          <w:szCs w:val="20"/>
        </w:rPr>
        <w:t xml:space="preserve">, K. (2007). Comparison of body mass index, waist circumference, and waist/hip ratio in predicting incident diabetes: a meta-analysis. </w:t>
      </w:r>
      <w:r w:rsidRPr="0022614A">
        <w:rPr>
          <w:rFonts w:ascii="Arial" w:hAnsi="Arial" w:cs="Arial"/>
          <w:i/>
          <w:iCs/>
          <w:sz w:val="20"/>
          <w:szCs w:val="20"/>
        </w:rPr>
        <w:t>Epidemiologic reviews</w:t>
      </w:r>
      <w:r w:rsidRPr="0022614A">
        <w:rPr>
          <w:rFonts w:ascii="Arial" w:hAnsi="Arial" w:cs="Arial"/>
          <w:sz w:val="20"/>
          <w:szCs w:val="20"/>
        </w:rPr>
        <w:t xml:space="preserve">, </w:t>
      </w:r>
      <w:r w:rsidRPr="0022614A">
        <w:rPr>
          <w:rFonts w:ascii="Arial" w:hAnsi="Arial" w:cs="Arial"/>
          <w:i/>
          <w:iCs/>
          <w:sz w:val="20"/>
          <w:szCs w:val="20"/>
        </w:rPr>
        <w:t>29</w:t>
      </w:r>
      <w:r w:rsidRPr="0022614A">
        <w:rPr>
          <w:rFonts w:ascii="Arial" w:hAnsi="Arial" w:cs="Arial"/>
          <w:sz w:val="20"/>
          <w:szCs w:val="20"/>
        </w:rPr>
        <w:t xml:space="preserve">(1), 115-128.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10.1093/</w:t>
      </w:r>
      <w:proofErr w:type="spellStart"/>
      <w:r w:rsidRPr="0022614A">
        <w:rPr>
          <w:rFonts w:ascii="Arial" w:eastAsia="Calibri" w:hAnsi="Arial" w:cs="Arial"/>
          <w:sz w:val="20"/>
          <w:szCs w:val="20"/>
        </w:rPr>
        <w:t>epirev</w:t>
      </w:r>
      <w:proofErr w:type="spellEnd"/>
      <w:r w:rsidRPr="0022614A">
        <w:rPr>
          <w:rFonts w:ascii="Arial" w:eastAsia="Calibri" w:hAnsi="Arial" w:cs="Arial"/>
          <w:sz w:val="20"/>
          <w:szCs w:val="20"/>
        </w:rPr>
        <w:t>/mxm008</w:t>
      </w:r>
    </w:p>
    <w:p w14:paraId="0B84F7C2" w14:textId="77777777" w:rsidR="001E5BA0" w:rsidRPr="0022614A" w:rsidRDefault="001E5BA0" w:rsidP="0022614A">
      <w:pPr>
        <w:spacing w:after="0" w:line="240" w:lineRule="auto"/>
        <w:rPr>
          <w:rFonts w:ascii="Arial" w:eastAsia="Calibri" w:hAnsi="Arial" w:cs="Arial"/>
          <w:sz w:val="20"/>
          <w:szCs w:val="20"/>
        </w:rPr>
      </w:pPr>
      <w:r w:rsidRPr="0022614A">
        <w:rPr>
          <w:rFonts w:ascii="Arial" w:eastAsia="Calibri" w:hAnsi="Arial" w:cs="Arial"/>
          <w:sz w:val="20"/>
          <w:szCs w:val="20"/>
        </w:rPr>
        <w:t xml:space="preserve">International Diabetes Federation. IDF Diabetes Atlas, 11th </w:t>
      </w:r>
      <w:proofErr w:type="spellStart"/>
      <w:r w:rsidRPr="0022614A">
        <w:rPr>
          <w:rFonts w:ascii="Arial" w:eastAsia="Calibri" w:hAnsi="Arial" w:cs="Arial"/>
          <w:sz w:val="20"/>
          <w:szCs w:val="20"/>
        </w:rPr>
        <w:t>edn</w:t>
      </w:r>
      <w:proofErr w:type="spellEnd"/>
      <w:r w:rsidRPr="0022614A">
        <w:rPr>
          <w:rFonts w:ascii="Arial" w:eastAsia="Calibri" w:hAnsi="Arial" w:cs="Arial"/>
          <w:sz w:val="20"/>
          <w:szCs w:val="20"/>
        </w:rPr>
        <w:t>. Brussels, Belgium: International Diabetes Federation, 2025. http://www.diabetesatlas.org. Accessed October 7, 2025.</w:t>
      </w:r>
    </w:p>
    <w:p w14:paraId="07219616"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DeFronzo, R. A. (2009). From the triumvirate to the ominous octet: a new paradigm for the treatment of type 2 diabetes mellitus. </w:t>
      </w:r>
      <w:r w:rsidRPr="0022614A">
        <w:rPr>
          <w:rFonts w:ascii="Arial" w:eastAsia="Calibri" w:hAnsi="Arial" w:cs="Arial"/>
          <w:i/>
          <w:iCs/>
          <w:sz w:val="20"/>
          <w:szCs w:val="20"/>
        </w:rPr>
        <w:t>diabetes</w:t>
      </w:r>
      <w:r w:rsidRPr="0022614A">
        <w:rPr>
          <w:rFonts w:ascii="Arial" w:eastAsia="Calibri" w:hAnsi="Arial" w:cs="Arial"/>
          <w:sz w:val="20"/>
          <w:szCs w:val="20"/>
        </w:rPr>
        <w:t xml:space="preserve">, </w:t>
      </w:r>
      <w:r w:rsidRPr="0022614A">
        <w:rPr>
          <w:rFonts w:ascii="Arial" w:eastAsia="Calibri" w:hAnsi="Arial" w:cs="Arial"/>
          <w:i/>
          <w:iCs/>
          <w:sz w:val="20"/>
          <w:szCs w:val="20"/>
        </w:rPr>
        <w:t>58</w:t>
      </w:r>
      <w:r w:rsidRPr="0022614A">
        <w:rPr>
          <w:rFonts w:ascii="Arial" w:eastAsia="Calibri" w:hAnsi="Arial" w:cs="Arial"/>
          <w:sz w:val="20"/>
          <w:szCs w:val="20"/>
        </w:rPr>
        <w:t>(4), 773-795.</w:t>
      </w:r>
    </w:p>
    <w:p w14:paraId="2E877DD8" w14:textId="77777777" w:rsidR="001E5BA0" w:rsidRPr="0022614A" w:rsidRDefault="001E5BA0" w:rsidP="0022614A">
      <w:pPr>
        <w:spacing w:after="0" w:line="240" w:lineRule="auto"/>
        <w:rPr>
          <w:rFonts w:ascii="Arial" w:eastAsia="Calibri" w:hAnsi="Arial" w:cs="Arial"/>
          <w:sz w:val="20"/>
          <w:szCs w:val="20"/>
        </w:rPr>
      </w:pPr>
      <w:r w:rsidRPr="0022614A">
        <w:rPr>
          <w:rFonts w:ascii="Arial" w:eastAsia="Calibri" w:hAnsi="Arial" w:cs="Arial"/>
          <w:sz w:val="20"/>
          <w:szCs w:val="20"/>
        </w:rPr>
        <w:t>Preis, S.R., Massaro, J.M., Hoffmann, U., D’Agostino, R.B., Levy D., Robins, S.J., et al. (2010). Neck circumference as a novel measure of cardiometabolic risk: the Framingham Heart study.</w:t>
      </w:r>
      <w:r w:rsidRPr="0022614A">
        <w:rPr>
          <w:i/>
          <w:iCs/>
          <w:sz w:val="20"/>
          <w:szCs w:val="20"/>
        </w:rPr>
        <w:t xml:space="preserve"> </w:t>
      </w:r>
      <w:r w:rsidRPr="0022614A">
        <w:rPr>
          <w:rFonts w:ascii="Arial" w:eastAsia="Calibri" w:hAnsi="Arial" w:cs="Arial"/>
          <w:i/>
          <w:iCs/>
          <w:sz w:val="20"/>
          <w:szCs w:val="20"/>
        </w:rPr>
        <w:t>The Journal of Clinical Endocrinology &amp; Metabolism</w:t>
      </w:r>
      <w:r w:rsidRPr="0022614A">
        <w:rPr>
          <w:rFonts w:ascii="Arial" w:eastAsia="Calibri" w:hAnsi="Arial" w:cs="Arial"/>
          <w:sz w:val="20"/>
          <w:szCs w:val="20"/>
        </w:rPr>
        <w:t xml:space="preserve">, 95:3701–10.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10.1210/jc.2009-1779</w:t>
      </w:r>
    </w:p>
    <w:p w14:paraId="1EF3959F" w14:textId="77777777" w:rsidR="001E5BA0" w:rsidRPr="0022614A" w:rsidRDefault="001E5BA0" w:rsidP="0022614A">
      <w:pPr>
        <w:spacing w:after="0" w:line="240" w:lineRule="auto"/>
        <w:rPr>
          <w:rFonts w:ascii="Arial" w:eastAsia="Calibri" w:hAnsi="Arial" w:cs="Arial"/>
          <w:sz w:val="20"/>
          <w:szCs w:val="20"/>
        </w:rPr>
      </w:pPr>
      <w:r w:rsidRPr="0022614A">
        <w:rPr>
          <w:rFonts w:ascii="Arial" w:hAnsi="Arial" w:cs="Arial"/>
          <w:sz w:val="20"/>
          <w:szCs w:val="20"/>
        </w:rPr>
        <w:t xml:space="preserve">Stabe, C., Vasques, A. C. J., Lima, M. M. O., </w:t>
      </w:r>
      <w:proofErr w:type="spellStart"/>
      <w:r w:rsidRPr="0022614A">
        <w:rPr>
          <w:rFonts w:ascii="Arial" w:hAnsi="Arial" w:cs="Arial"/>
          <w:sz w:val="20"/>
          <w:szCs w:val="20"/>
        </w:rPr>
        <w:t>Tambascia</w:t>
      </w:r>
      <w:proofErr w:type="spellEnd"/>
      <w:r w:rsidRPr="0022614A">
        <w:rPr>
          <w:rFonts w:ascii="Arial" w:hAnsi="Arial" w:cs="Arial"/>
          <w:sz w:val="20"/>
          <w:szCs w:val="20"/>
        </w:rPr>
        <w:t xml:space="preserve">, M. A., Pareja, J. C., Yamanaka, A., &amp; </w:t>
      </w:r>
      <w:proofErr w:type="spellStart"/>
      <w:r w:rsidRPr="0022614A">
        <w:rPr>
          <w:rFonts w:ascii="Arial" w:hAnsi="Arial" w:cs="Arial"/>
          <w:sz w:val="20"/>
          <w:szCs w:val="20"/>
        </w:rPr>
        <w:t>Geloneze</w:t>
      </w:r>
      <w:proofErr w:type="spellEnd"/>
      <w:r w:rsidRPr="0022614A">
        <w:rPr>
          <w:rFonts w:ascii="Arial" w:hAnsi="Arial" w:cs="Arial"/>
          <w:sz w:val="20"/>
          <w:szCs w:val="20"/>
        </w:rPr>
        <w:t xml:space="preserve">, B. (2013). Neck circumference as a simple tool for identifying the metabolic syndrome and insulin resistance: results from the Brazilian Metabolic Syndrome Study. </w:t>
      </w:r>
      <w:r w:rsidRPr="0022614A">
        <w:rPr>
          <w:rFonts w:ascii="Arial" w:hAnsi="Arial" w:cs="Arial"/>
          <w:i/>
          <w:iCs/>
          <w:sz w:val="20"/>
          <w:szCs w:val="20"/>
        </w:rPr>
        <w:t>Clinical endocrinology</w:t>
      </w:r>
      <w:r w:rsidRPr="0022614A">
        <w:rPr>
          <w:rFonts w:ascii="Arial" w:hAnsi="Arial" w:cs="Arial"/>
          <w:sz w:val="20"/>
          <w:szCs w:val="20"/>
        </w:rPr>
        <w:t xml:space="preserve">, </w:t>
      </w:r>
      <w:r w:rsidRPr="0022614A">
        <w:rPr>
          <w:rFonts w:ascii="Arial" w:hAnsi="Arial" w:cs="Arial"/>
          <w:i/>
          <w:iCs/>
          <w:sz w:val="20"/>
          <w:szCs w:val="20"/>
        </w:rPr>
        <w:t>78</w:t>
      </w:r>
      <w:r w:rsidRPr="0022614A">
        <w:rPr>
          <w:rFonts w:ascii="Arial" w:hAnsi="Arial" w:cs="Arial"/>
          <w:sz w:val="20"/>
          <w:szCs w:val="20"/>
        </w:rPr>
        <w:t>(6), 874-881.</w:t>
      </w:r>
    </w:p>
    <w:p w14:paraId="01BFB98D" w14:textId="77777777" w:rsidR="001E5BA0" w:rsidRPr="0022614A" w:rsidRDefault="001E5BA0" w:rsidP="0022614A">
      <w:pPr>
        <w:spacing w:line="240" w:lineRule="auto"/>
        <w:rPr>
          <w:rFonts w:ascii="Arial" w:eastAsia="Calibri" w:hAnsi="Arial" w:cs="Arial"/>
          <w:sz w:val="20"/>
          <w:szCs w:val="20"/>
        </w:rPr>
      </w:pPr>
      <w:proofErr w:type="spellStart"/>
      <w:r w:rsidRPr="0022614A">
        <w:rPr>
          <w:rFonts w:ascii="Arial" w:eastAsia="Calibri" w:hAnsi="Arial" w:cs="Arial"/>
          <w:sz w:val="20"/>
          <w:szCs w:val="20"/>
        </w:rPr>
        <w:t>Ataie</w:t>
      </w:r>
      <w:proofErr w:type="spellEnd"/>
      <w:r w:rsidRPr="0022614A">
        <w:rPr>
          <w:rFonts w:ascii="Arial" w:eastAsia="Calibri" w:hAnsi="Arial" w:cs="Arial"/>
          <w:sz w:val="20"/>
          <w:szCs w:val="20"/>
        </w:rPr>
        <w:t xml:space="preserve">-Jafari, A., Namazi, N., </w:t>
      </w:r>
      <w:proofErr w:type="spellStart"/>
      <w:r w:rsidRPr="0022614A">
        <w:rPr>
          <w:rFonts w:ascii="Arial" w:eastAsia="Calibri" w:hAnsi="Arial" w:cs="Arial"/>
          <w:sz w:val="20"/>
          <w:szCs w:val="20"/>
        </w:rPr>
        <w:t>Djalalinia</w:t>
      </w:r>
      <w:proofErr w:type="spellEnd"/>
      <w:r w:rsidRPr="0022614A">
        <w:rPr>
          <w:rFonts w:ascii="Arial" w:eastAsia="Calibri" w:hAnsi="Arial" w:cs="Arial"/>
          <w:sz w:val="20"/>
          <w:szCs w:val="20"/>
        </w:rPr>
        <w:t xml:space="preserve">, S., </w:t>
      </w:r>
      <w:proofErr w:type="spellStart"/>
      <w:r w:rsidRPr="0022614A">
        <w:rPr>
          <w:rFonts w:ascii="Arial" w:eastAsia="Calibri" w:hAnsi="Arial" w:cs="Arial"/>
          <w:sz w:val="20"/>
          <w:szCs w:val="20"/>
        </w:rPr>
        <w:t>Chaghamirzayi</w:t>
      </w:r>
      <w:proofErr w:type="spellEnd"/>
      <w:r w:rsidRPr="0022614A">
        <w:rPr>
          <w:rFonts w:ascii="Arial" w:eastAsia="Calibri" w:hAnsi="Arial" w:cs="Arial"/>
          <w:sz w:val="20"/>
          <w:szCs w:val="20"/>
        </w:rPr>
        <w:t xml:space="preserve">, P., Abdar, M. E., </w:t>
      </w:r>
      <w:proofErr w:type="spellStart"/>
      <w:r w:rsidRPr="0022614A">
        <w:rPr>
          <w:rFonts w:ascii="Arial" w:eastAsia="Calibri" w:hAnsi="Arial" w:cs="Arial"/>
          <w:sz w:val="20"/>
          <w:szCs w:val="20"/>
        </w:rPr>
        <w:t>Zadehe</w:t>
      </w:r>
      <w:proofErr w:type="spellEnd"/>
      <w:r w:rsidRPr="0022614A">
        <w:rPr>
          <w:rFonts w:ascii="Arial" w:eastAsia="Calibri" w:hAnsi="Arial" w:cs="Arial"/>
          <w:sz w:val="20"/>
          <w:szCs w:val="20"/>
        </w:rPr>
        <w:t xml:space="preserve">, S. S., et al. (2018). Neck circumference and its association with cardiometabolic risk factors: a systematic review and meta-analysis. </w:t>
      </w:r>
      <w:r w:rsidRPr="0022614A">
        <w:rPr>
          <w:rFonts w:ascii="Arial" w:eastAsia="Calibri" w:hAnsi="Arial" w:cs="Arial"/>
          <w:i/>
          <w:iCs/>
          <w:sz w:val="20"/>
          <w:szCs w:val="20"/>
        </w:rPr>
        <w:t>Diabetology &amp; metabolic syndrome</w:t>
      </w:r>
      <w:r w:rsidRPr="0022614A">
        <w:rPr>
          <w:rFonts w:ascii="Arial" w:eastAsia="Calibri" w:hAnsi="Arial" w:cs="Arial"/>
          <w:sz w:val="20"/>
          <w:szCs w:val="20"/>
        </w:rPr>
        <w:t xml:space="preserve">, </w:t>
      </w:r>
      <w:r w:rsidRPr="0022614A">
        <w:rPr>
          <w:rFonts w:ascii="Arial" w:eastAsia="Calibri" w:hAnsi="Arial" w:cs="Arial"/>
          <w:i/>
          <w:iCs/>
          <w:sz w:val="20"/>
          <w:szCs w:val="20"/>
        </w:rPr>
        <w:t>10</w:t>
      </w:r>
      <w:r w:rsidRPr="0022614A">
        <w:rPr>
          <w:rFonts w:ascii="Arial" w:eastAsia="Calibri" w:hAnsi="Arial" w:cs="Arial"/>
          <w:sz w:val="20"/>
          <w:szCs w:val="20"/>
        </w:rPr>
        <w:t xml:space="preserve">(1), 72.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10.1186/s13098-018-0373-y.</w:t>
      </w:r>
    </w:p>
    <w:p w14:paraId="333DFFF5" w14:textId="77777777" w:rsidR="001E5BA0" w:rsidRPr="0022614A" w:rsidRDefault="001E5BA0" w:rsidP="0022614A">
      <w:pPr>
        <w:spacing w:line="240" w:lineRule="auto"/>
        <w:rPr>
          <w:rFonts w:ascii="Arial" w:eastAsia="Calibri" w:hAnsi="Arial" w:cs="Arial"/>
          <w:sz w:val="20"/>
          <w:szCs w:val="20"/>
        </w:rPr>
      </w:pPr>
      <w:proofErr w:type="spellStart"/>
      <w:r w:rsidRPr="0022614A">
        <w:rPr>
          <w:rFonts w:ascii="Arial" w:eastAsia="Calibri" w:hAnsi="Arial" w:cs="Arial"/>
          <w:sz w:val="20"/>
          <w:szCs w:val="20"/>
        </w:rPr>
        <w:t>Marcadenti</w:t>
      </w:r>
      <w:proofErr w:type="spellEnd"/>
      <w:r w:rsidRPr="0022614A">
        <w:rPr>
          <w:rFonts w:ascii="Arial" w:eastAsia="Calibri" w:hAnsi="Arial" w:cs="Arial"/>
          <w:sz w:val="20"/>
          <w:szCs w:val="20"/>
        </w:rPr>
        <w:t xml:space="preserve">, A., Fuchs, F. D., Moreira, L. B., Gus, M., &amp; Fuchs, S. C. (2017). Adiposity phenotypes are associated with type-2 diabetes: LAP index, body adiposity index, and neck circumference. </w:t>
      </w:r>
      <w:r w:rsidRPr="0022614A">
        <w:rPr>
          <w:rFonts w:ascii="Arial" w:eastAsia="Calibri" w:hAnsi="Arial" w:cs="Arial"/>
          <w:i/>
          <w:iCs/>
          <w:sz w:val="20"/>
          <w:szCs w:val="20"/>
        </w:rPr>
        <w:t>Atherosclerosis</w:t>
      </w:r>
      <w:r w:rsidRPr="0022614A">
        <w:rPr>
          <w:rFonts w:ascii="Arial" w:eastAsia="Calibri" w:hAnsi="Arial" w:cs="Arial"/>
          <w:sz w:val="20"/>
          <w:szCs w:val="20"/>
        </w:rPr>
        <w:t xml:space="preserve">, </w:t>
      </w:r>
      <w:r w:rsidRPr="0022614A">
        <w:rPr>
          <w:rFonts w:ascii="Arial" w:eastAsia="Calibri" w:hAnsi="Arial" w:cs="Arial"/>
          <w:i/>
          <w:iCs/>
          <w:sz w:val="20"/>
          <w:szCs w:val="20"/>
        </w:rPr>
        <w:t>266</w:t>
      </w:r>
      <w:r w:rsidRPr="0022614A">
        <w:rPr>
          <w:rFonts w:ascii="Arial" w:eastAsia="Calibri" w:hAnsi="Arial" w:cs="Arial"/>
          <w:sz w:val="20"/>
          <w:szCs w:val="20"/>
        </w:rPr>
        <w:t>, 145-150.</w:t>
      </w:r>
    </w:p>
    <w:p w14:paraId="6C913A83"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Li, D., Zhao, Y., Zhang, L., You, Q., Jiang, Q., Yin, X., &amp; Cao, S. (2023). Association between neck circumference and diabetes mellitus: a systematic review and meta-analysis. </w:t>
      </w:r>
      <w:r w:rsidRPr="0022614A">
        <w:rPr>
          <w:rFonts w:ascii="Arial" w:eastAsia="Calibri" w:hAnsi="Arial" w:cs="Arial"/>
          <w:i/>
          <w:iCs/>
          <w:sz w:val="20"/>
          <w:szCs w:val="20"/>
        </w:rPr>
        <w:t>Diabetology &amp; Metabolic Syndrome</w:t>
      </w:r>
      <w:r w:rsidRPr="0022614A">
        <w:rPr>
          <w:rFonts w:ascii="Arial" w:eastAsia="Calibri" w:hAnsi="Arial" w:cs="Arial"/>
          <w:sz w:val="20"/>
          <w:szCs w:val="20"/>
        </w:rPr>
        <w:t xml:space="preserve">, </w:t>
      </w:r>
      <w:r w:rsidRPr="0022614A">
        <w:rPr>
          <w:rFonts w:ascii="Arial" w:eastAsia="Calibri" w:hAnsi="Arial" w:cs="Arial"/>
          <w:i/>
          <w:iCs/>
          <w:sz w:val="20"/>
          <w:szCs w:val="20"/>
        </w:rPr>
        <w:t>15</w:t>
      </w:r>
      <w:r w:rsidRPr="0022614A">
        <w:rPr>
          <w:rFonts w:ascii="Arial" w:eastAsia="Calibri" w:hAnsi="Arial" w:cs="Arial"/>
          <w:sz w:val="20"/>
          <w:szCs w:val="20"/>
        </w:rPr>
        <w:t xml:space="preserve">(1), 133.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10.1186/s13098-023-01111-z.</w:t>
      </w:r>
    </w:p>
    <w:p w14:paraId="1A7EA2A3"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Haffner, S. M., D'Agostino Jr, R., Mykkänen, L. E. E. N. A., Tracy, R. U. S. S. E. L. L., Howard, B. A. R. B. A. R. A., Rewers, M. A. R. I. A. N., et al. (1999). Insulin sensitivity in subjects with type 2 </w:t>
      </w:r>
      <w:r w:rsidRPr="0022614A">
        <w:rPr>
          <w:rFonts w:ascii="Arial" w:eastAsia="Calibri" w:hAnsi="Arial" w:cs="Arial"/>
          <w:sz w:val="20"/>
          <w:szCs w:val="20"/>
        </w:rPr>
        <w:lastRenderedPageBreak/>
        <w:t xml:space="preserve">diabetes. Relationship to cardiovascular risk factors: </w:t>
      </w:r>
      <w:proofErr w:type="gramStart"/>
      <w:r w:rsidRPr="0022614A">
        <w:rPr>
          <w:rFonts w:ascii="Arial" w:eastAsia="Calibri" w:hAnsi="Arial" w:cs="Arial"/>
          <w:sz w:val="20"/>
          <w:szCs w:val="20"/>
        </w:rPr>
        <w:t>the</w:t>
      </w:r>
      <w:proofErr w:type="gramEnd"/>
      <w:r w:rsidRPr="0022614A">
        <w:rPr>
          <w:rFonts w:ascii="Arial" w:eastAsia="Calibri" w:hAnsi="Arial" w:cs="Arial"/>
          <w:sz w:val="20"/>
          <w:szCs w:val="20"/>
        </w:rPr>
        <w:t xml:space="preserve"> Insulin Resistance Atherosclerosis Study. </w:t>
      </w:r>
      <w:r w:rsidRPr="0022614A">
        <w:rPr>
          <w:rFonts w:ascii="Arial" w:eastAsia="Calibri" w:hAnsi="Arial" w:cs="Arial"/>
          <w:i/>
          <w:iCs/>
          <w:sz w:val="20"/>
          <w:szCs w:val="20"/>
        </w:rPr>
        <w:t>Diabetes care</w:t>
      </w:r>
      <w:r w:rsidRPr="0022614A">
        <w:rPr>
          <w:rFonts w:ascii="Arial" w:eastAsia="Calibri" w:hAnsi="Arial" w:cs="Arial"/>
          <w:sz w:val="20"/>
          <w:szCs w:val="20"/>
        </w:rPr>
        <w:t xml:space="preserve">, </w:t>
      </w:r>
      <w:r w:rsidRPr="0022614A">
        <w:rPr>
          <w:rFonts w:ascii="Arial" w:eastAsia="Calibri" w:hAnsi="Arial" w:cs="Arial"/>
          <w:i/>
          <w:iCs/>
          <w:sz w:val="20"/>
          <w:szCs w:val="20"/>
        </w:rPr>
        <w:t>22</w:t>
      </w:r>
      <w:r w:rsidRPr="0022614A">
        <w:rPr>
          <w:rFonts w:ascii="Arial" w:eastAsia="Calibri" w:hAnsi="Arial" w:cs="Arial"/>
          <w:sz w:val="20"/>
          <w:szCs w:val="20"/>
        </w:rPr>
        <w:t>(4), 562-568.</w:t>
      </w:r>
    </w:p>
    <w:p w14:paraId="07320230"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Kumar, N. V., Ismail, M. H., &amp; Tripathy, M. (2014). Neck circumference and cardio-metabolic syndrome. </w:t>
      </w:r>
      <w:r w:rsidRPr="0022614A">
        <w:rPr>
          <w:rFonts w:ascii="Arial" w:eastAsia="Calibri" w:hAnsi="Arial" w:cs="Arial"/>
          <w:i/>
          <w:iCs/>
          <w:sz w:val="20"/>
          <w:szCs w:val="20"/>
        </w:rPr>
        <w:t>Journal of Clinical and Diagnostic Research: JCDR</w:t>
      </w:r>
      <w:r w:rsidRPr="0022614A">
        <w:rPr>
          <w:rFonts w:ascii="Arial" w:eastAsia="Calibri" w:hAnsi="Arial" w:cs="Arial"/>
          <w:sz w:val="20"/>
          <w:szCs w:val="20"/>
        </w:rPr>
        <w:t xml:space="preserve">, </w:t>
      </w:r>
      <w:r w:rsidRPr="0022614A">
        <w:rPr>
          <w:rFonts w:ascii="Arial" w:eastAsia="Calibri" w:hAnsi="Arial" w:cs="Arial"/>
          <w:i/>
          <w:iCs/>
          <w:sz w:val="20"/>
          <w:szCs w:val="20"/>
        </w:rPr>
        <w:t>8</w:t>
      </w:r>
      <w:r w:rsidRPr="0022614A">
        <w:rPr>
          <w:rFonts w:ascii="Arial" w:eastAsia="Calibri" w:hAnsi="Arial" w:cs="Arial"/>
          <w:sz w:val="20"/>
          <w:szCs w:val="20"/>
        </w:rPr>
        <w:t>(7), MC23. Doi:10.7860/JCDR/2014/8455.4641.</w:t>
      </w:r>
    </w:p>
    <w:p w14:paraId="248A9D0B"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Ben-Noun, L. L., &amp; Laor, A. (2006). Relationship between changes in neck circumference and cardiovascular risk factors. </w:t>
      </w:r>
      <w:r w:rsidRPr="0022614A">
        <w:rPr>
          <w:rFonts w:ascii="Arial" w:eastAsia="Calibri" w:hAnsi="Arial" w:cs="Arial"/>
          <w:i/>
          <w:iCs/>
          <w:sz w:val="20"/>
          <w:szCs w:val="20"/>
        </w:rPr>
        <w:t>Experimental &amp; Clinical Cardiology</w:t>
      </w:r>
      <w:r w:rsidRPr="0022614A">
        <w:rPr>
          <w:rFonts w:ascii="Arial" w:eastAsia="Calibri" w:hAnsi="Arial" w:cs="Arial"/>
          <w:sz w:val="20"/>
          <w:szCs w:val="20"/>
        </w:rPr>
        <w:t xml:space="preserve">, </w:t>
      </w:r>
      <w:r w:rsidRPr="0022614A">
        <w:rPr>
          <w:rFonts w:ascii="Arial" w:eastAsia="Calibri" w:hAnsi="Arial" w:cs="Arial"/>
          <w:i/>
          <w:iCs/>
          <w:sz w:val="20"/>
          <w:szCs w:val="20"/>
        </w:rPr>
        <w:t>11</w:t>
      </w:r>
      <w:r w:rsidRPr="0022614A">
        <w:rPr>
          <w:rFonts w:ascii="Arial" w:eastAsia="Calibri" w:hAnsi="Arial" w:cs="Arial"/>
          <w:sz w:val="20"/>
          <w:szCs w:val="20"/>
        </w:rPr>
        <w:t>(1), 14.</w:t>
      </w:r>
    </w:p>
    <w:p w14:paraId="74B76BE9"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Matthews, D. R., Hosker, J. P., Rudenski, A. S., Naylor, B. A., Treacher, D. F., &amp; Turner, R. (1985). Homeostasis model assessment: insulin resistance and β-cell function from fasting plasma glucose and insulin concentrations in man. </w:t>
      </w:r>
      <w:proofErr w:type="spellStart"/>
      <w:r w:rsidRPr="0022614A">
        <w:rPr>
          <w:rFonts w:ascii="Arial" w:eastAsia="Calibri" w:hAnsi="Arial" w:cs="Arial"/>
          <w:i/>
          <w:iCs/>
          <w:sz w:val="20"/>
          <w:szCs w:val="20"/>
        </w:rPr>
        <w:t>diabetologia</w:t>
      </w:r>
      <w:proofErr w:type="spellEnd"/>
      <w:r w:rsidRPr="0022614A">
        <w:rPr>
          <w:rFonts w:ascii="Arial" w:eastAsia="Calibri" w:hAnsi="Arial" w:cs="Arial"/>
          <w:sz w:val="20"/>
          <w:szCs w:val="20"/>
        </w:rPr>
        <w:t xml:space="preserve">, </w:t>
      </w:r>
      <w:r w:rsidRPr="0022614A">
        <w:rPr>
          <w:rFonts w:ascii="Arial" w:eastAsia="Calibri" w:hAnsi="Arial" w:cs="Arial"/>
          <w:i/>
          <w:iCs/>
          <w:sz w:val="20"/>
          <w:szCs w:val="20"/>
        </w:rPr>
        <w:t>28</w:t>
      </w:r>
      <w:r w:rsidRPr="0022614A">
        <w:rPr>
          <w:rFonts w:ascii="Arial" w:eastAsia="Calibri" w:hAnsi="Arial" w:cs="Arial"/>
          <w:sz w:val="20"/>
          <w:szCs w:val="20"/>
        </w:rPr>
        <w:t>(7), 412-419.</w:t>
      </w:r>
    </w:p>
    <w:p w14:paraId="3BB3BD56"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Wallace, T. M., Levy, J. C., &amp; Matthews, D. R. (2004). Use and abuse of HOMA modeling. </w:t>
      </w:r>
      <w:r w:rsidRPr="0022614A">
        <w:rPr>
          <w:rFonts w:ascii="Arial" w:eastAsia="Calibri" w:hAnsi="Arial" w:cs="Arial"/>
          <w:i/>
          <w:iCs/>
          <w:sz w:val="20"/>
          <w:szCs w:val="20"/>
        </w:rPr>
        <w:t>Diabetes care</w:t>
      </w:r>
      <w:r w:rsidRPr="0022614A">
        <w:rPr>
          <w:rFonts w:ascii="Arial" w:eastAsia="Calibri" w:hAnsi="Arial" w:cs="Arial"/>
          <w:sz w:val="20"/>
          <w:szCs w:val="20"/>
        </w:rPr>
        <w:t xml:space="preserve">, </w:t>
      </w:r>
      <w:r w:rsidRPr="0022614A">
        <w:rPr>
          <w:rFonts w:ascii="Arial" w:eastAsia="Calibri" w:hAnsi="Arial" w:cs="Arial"/>
          <w:i/>
          <w:iCs/>
          <w:sz w:val="20"/>
          <w:szCs w:val="20"/>
        </w:rPr>
        <w:t>27</w:t>
      </w:r>
      <w:r w:rsidRPr="0022614A">
        <w:rPr>
          <w:rFonts w:ascii="Arial" w:eastAsia="Calibri" w:hAnsi="Arial" w:cs="Arial"/>
          <w:sz w:val="20"/>
          <w:szCs w:val="20"/>
        </w:rPr>
        <w:t>(6), 1487-1495.</w:t>
      </w:r>
    </w:p>
    <w:p w14:paraId="79735119" w14:textId="77777777" w:rsidR="001E5BA0" w:rsidRPr="0022614A" w:rsidRDefault="001E5BA0" w:rsidP="0022614A">
      <w:pPr>
        <w:spacing w:line="240" w:lineRule="auto"/>
        <w:rPr>
          <w:rFonts w:ascii="Arial" w:eastAsia="Calibri" w:hAnsi="Arial" w:cs="Arial"/>
          <w:sz w:val="20"/>
          <w:szCs w:val="20"/>
        </w:rPr>
      </w:pPr>
      <w:proofErr w:type="spellStart"/>
      <w:r w:rsidRPr="0022614A">
        <w:rPr>
          <w:rFonts w:ascii="Arial" w:eastAsia="Calibri" w:hAnsi="Arial" w:cs="Arial"/>
          <w:sz w:val="20"/>
          <w:szCs w:val="20"/>
        </w:rPr>
        <w:t>Aguh</w:t>
      </w:r>
      <w:proofErr w:type="spellEnd"/>
      <w:r w:rsidRPr="0022614A">
        <w:rPr>
          <w:rFonts w:ascii="Arial" w:eastAsia="Calibri" w:hAnsi="Arial" w:cs="Arial"/>
          <w:sz w:val="20"/>
          <w:szCs w:val="20"/>
        </w:rPr>
        <w:t xml:space="preserve">, I. B., Sani, Z. R., </w:t>
      </w:r>
      <w:proofErr w:type="spellStart"/>
      <w:r w:rsidRPr="0022614A">
        <w:rPr>
          <w:rFonts w:ascii="Arial" w:eastAsia="Calibri" w:hAnsi="Arial" w:cs="Arial"/>
          <w:sz w:val="20"/>
          <w:szCs w:val="20"/>
        </w:rPr>
        <w:t>Ohaleme</w:t>
      </w:r>
      <w:proofErr w:type="spellEnd"/>
      <w:r w:rsidRPr="0022614A">
        <w:rPr>
          <w:rFonts w:ascii="Arial" w:eastAsia="Calibri" w:hAnsi="Arial" w:cs="Arial"/>
          <w:sz w:val="20"/>
          <w:szCs w:val="20"/>
        </w:rPr>
        <w:t xml:space="preserve">, L. C., &amp; Agba, A. A. (2021). Anthropometric indices as novel markers of risk in type 2 diabetes mellitus (T2DM) among Nigerian adults in Zamfara State. </w:t>
      </w:r>
      <w:r w:rsidRPr="0022614A">
        <w:rPr>
          <w:rFonts w:ascii="Arial" w:eastAsia="Calibri" w:hAnsi="Arial" w:cs="Arial"/>
          <w:i/>
          <w:iCs/>
          <w:sz w:val="20"/>
          <w:szCs w:val="20"/>
        </w:rPr>
        <w:t>Bio-Research</w:t>
      </w:r>
      <w:r w:rsidRPr="0022614A">
        <w:rPr>
          <w:rFonts w:ascii="Arial" w:eastAsia="Calibri" w:hAnsi="Arial" w:cs="Arial"/>
          <w:sz w:val="20"/>
          <w:szCs w:val="20"/>
        </w:rPr>
        <w:t xml:space="preserve">, </w:t>
      </w:r>
      <w:r w:rsidRPr="0022614A">
        <w:rPr>
          <w:rFonts w:ascii="Arial" w:eastAsia="Calibri" w:hAnsi="Arial" w:cs="Arial"/>
          <w:i/>
          <w:iCs/>
          <w:sz w:val="20"/>
          <w:szCs w:val="20"/>
        </w:rPr>
        <w:t>19</w:t>
      </w:r>
      <w:r w:rsidRPr="0022614A">
        <w:rPr>
          <w:rFonts w:ascii="Arial" w:eastAsia="Calibri" w:hAnsi="Arial" w:cs="Arial"/>
          <w:sz w:val="20"/>
          <w:szCs w:val="20"/>
        </w:rPr>
        <w:t>(1), 1237-1245.</w:t>
      </w:r>
    </w:p>
    <w:p w14:paraId="57FB2983"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Dada, A. O., Mumani, A. A., &amp; </w:t>
      </w:r>
      <w:proofErr w:type="spellStart"/>
      <w:r w:rsidRPr="0022614A">
        <w:rPr>
          <w:rFonts w:ascii="Arial" w:eastAsia="Calibri" w:hAnsi="Arial" w:cs="Arial"/>
          <w:sz w:val="20"/>
          <w:szCs w:val="20"/>
        </w:rPr>
        <w:t>Okunowo</w:t>
      </w:r>
      <w:proofErr w:type="spellEnd"/>
      <w:r w:rsidRPr="0022614A">
        <w:rPr>
          <w:rFonts w:ascii="Arial" w:eastAsia="Calibri" w:hAnsi="Arial" w:cs="Arial"/>
          <w:sz w:val="20"/>
          <w:szCs w:val="20"/>
        </w:rPr>
        <w:t xml:space="preserve">, B. O. (2023). Neck circumference and cardiometabolic syndrome in adult patients at a tertiary hospital in Lagos, Nigeria: A cross-sectional study. </w:t>
      </w:r>
      <w:r w:rsidRPr="0022614A">
        <w:rPr>
          <w:rFonts w:ascii="Arial" w:eastAsia="Calibri" w:hAnsi="Arial" w:cs="Arial"/>
          <w:i/>
          <w:iCs/>
          <w:sz w:val="20"/>
          <w:szCs w:val="20"/>
        </w:rPr>
        <w:t>Journal of Clinical Sciences</w:t>
      </w:r>
      <w:r w:rsidRPr="0022614A">
        <w:rPr>
          <w:rFonts w:ascii="Arial" w:eastAsia="Calibri" w:hAnsi="Arial" w:cs="Arial"/>
          <w:sz w:val="20"/>
          <w:szCs w:val="20"/>
        </w:rPr>
        <w:t xml:space="preserve">, </w:t>
      </w:r>
      <w:r w:rsidRPr="0022614A">
        <w:rPr>
          <w:rFonts w:ascii="Arial" w:eastAsia="Calibri" w:hAnsi="Arial" w:cs="Arial"/>
          <w:i/>
          <w:iCs/>
          <w:sz w:val="20"/>
          <w:szCs w:val="20"/>
        </w:rPr>
        <w:t>20</w:t>
      </w:r>
      <w:r w:rsidRPr="0022614A">
        <w:rPr>
          <w:rFonts w:ascii="Arial" w:eastAsia="Calibri" w:hAnsi="Arial" w:cs="Arial"/>
          <w:sz w:val="20"/>
          <w:szCs w:val="20"/>
        </w:rPr>
        <w:t>(3), 98-103. DOI: 10.4103/jcls.jcls_10_23</w:t>
      </w:r>
    </w:p>
    <w:p w14:paraId="59746320" w14:textId="77777777" w:rsidR="001E5BA0" w:rsidRPr="0022614A" w:rsidRDefault="001E5BA0" w:rsidP="0022614A">
      <w:pPr>
        <w:spacing w:after="0" w:line="240" w:lineRule="auto"/>
        <w:rPr>
          <w:rFonts w:ascii="Arial" w:eastAsia="Calibri" w:hAnsi="Arial" w:cs="Arial"/>
          <w:sz w:val="20"/>
          <w:szCs w:val="20"/>
        </w:rPr>
      </w:pPr>
      <w:r w:rsidRPr="0022614A">
        <w:rPr>
          <w:rFonts w:ascii="Arial" w:eastAsia="Calibri" w:hAnsi="Arial" w:cs="Arial"/>
          <w:sz w:val="20"/>
          <w:szCs w:val="20"/>
        </w:rPr>
        <w:t>Ala, O.A., Akinwusi, P.O., Oni, O., Odeyemi, A.O., Israel. G.M., &amp; Israel O.K. (2025). Neck Circumference as a Reliable Predictor of Obesity and Metabolic Syndrome in Rural South-West Nigeria: A Cross-Sectional Study. The Nigerian Health Journal, 25(1):371 –379.https://doi.org/10.71637/tnhj.v25i1.992</w:t>
      </w:r>
    </w:p>
    <w:p w14:paraId="610BA8FA"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Cho, N. H., Oh, T. J., Kim, K. M., Choi, S. H., Lee, J. H., Park, K. S., et al. (2015). Neck circumference and incidence of diabetes mellitus over 10 years in the Korean Genome and Epidemiology Study (</w:t>
      </w:r>
      <w:proofErr w:type="spellStart"/>
      <w:r w:rsidRPr="0022614A">
        <w:rPr>
          <w:rFonts w:ascii="Arial" w:eastAsia="Calibri" w:hAnsi="Arial" w:cs="Arial"/>
          <w:sz w:val="20"/>
          <w:szCs w:val="20"/>
        </w:rPr>
        <w:t>KoGES</w:t>
      </w:r>
      <w:proofErr w:type="spellEnd"/>
      <w:r w:rsidRPr="0022614A">
        <w:rPr>
          <w:rFonts w:ascii="Arial" w:eastAsia="Calibri" w:hAnsi="Arial" w:cs="Arial"/>
          <w:sz w:val="20"/>
          <w:szCs w:val="20"/>
        </w:rPr>
        <w:t xml:space="preserve">). </w:t>
      </w:r>
      <w:r w:rsidRPr="0022614A">
        <w:rPr>
          <w:rFonts w:ascii="Arial" w:eastAsia="Calibri" w:hAnsi="Arial" w:cs="Arial"/>
          <w:i/>
          <w:iCs/>
          <w:sz w:val="20"/>
          <w:szCs w:val="20"/>
        </w:rPr>
        <w:t>Scientific reports</w:t>
      </w:r>
      <w:r w:rsidRPr="0022614A">
        <w:rPr>
          <w:rFonts w:ascii="Arial" w:eastAsia="Calibri" w:hAnsi="Arial" w:cs="Arial"/>
          <w:sz w:val="20"/>
          <w:szCs w:val="20"/>
        </w:rPr>
        <w:t xml:space="preserve">, </w:t>
      </w:r>
      <w:r w:rsidRPr="0022614A">
        <w:rPr>
          <w:rFonts w:ascii="Arial" w:eastAsia="Calibri" w:hAnsi="Arial" w:cs="Arial"/>
          <w:i/>
          <w:iCs/>
          <w:sz w:val="20"/>
          <w:szCs w:val="20"/>
        </w:rPr>
        <w:t>5</w:t>
      </w:r>
      <w:r w:rsidRPr="0022614A">
        <w:rPr>
          <w:rFonts w:ascii="Arial" w:eastAsia="Calibri" w:hAnsi="Arial" w:cs="Arial"/>
          <w:sz w:val="20"/>
          <w:szCs w:val="20"/>
        </w:rPr>
        <w:t xml:space="preserve">(1), 18565.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10.1038/srep18565.</w:t>
      </w:r>
    </w:p>
    <w:p w14:paraId="175E5D4F"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Lucas, R. E., Fonseca, A. L. F., &amp; Dantas, R. O. (2016). Neck circumference can differentiate obese from nonobese individuals. </w:t>
      </w:r>
      <w:proofErr w:type="spellStart"/>
      <w:r w:rsidRPr="0022614A">
        <w:rPr>
          <w:rFonts w:ascii="Arial" w:eastAsia="Calibri" w:hAnsi="Arial" w:cs="Arial"/>
          <w:i/>
          <w:iCs/>
          <w:sz w:val="20"/>
          <w:szCs w:val="20"/>
        </w:rPr>
        <w:t>MedicalExpress</w:t>
      </w:r>
      <w:proofErr w:type="spellEnd"/>
      <w:r w:rsidRPr="0022614A">
        <w:rPr>
          <w:rFonts w:ascii="Arial" w:eastAsia="Calibri" w:hAnsi="Arial" w:cs="Arial"/>
          <w:sz w:val="20"/>
          <w:szCs w:val="20"/>
        </w:rPr>
        <w:t xml:space="preserve">, </w:t>
      </w:r>
      <w:r w:rsidRPr="0022614A">
        <w:rPr>
          <w:rFonts w:ascii="Arial" w:eastAsia="Calibri" w:hAnsi="Arial" w:cs="Arial"/>
          <w:i/>
          <w:iCs/>
          <w:sz w:val="20"/>
          <w:szCs w:val="20"/>
        </w:rPr>
        <w:t>3</w:t>
      </w:r>
      <w:r w:rsidRPr="0022614A">
        <w:rPr>
          <w:rFonts w:ascii="Arial" w:eastAsia="Calibri" w:hAnsi="Arial" w:cs="Arial"/>
          <w:sz w:val="20"/>
          <w:szCs w:val="20"/>
        </w:rPr>
        <w:t>(4), M160403.</w:t>
      </w:r>
    </w:p>
    <w:p w14:paraId="1A2E550D" w14:textId="77777777" w:rsidR="001E5BA0" w:rsidRPr="0022614A" w:rsidRDefault="001E5BA0" w:rsidP="0022614A">
      <w:pPr>
        <w:spacing w:after="0" w:line="240" w:lineRule="auto"/>
        <w:rPr>
          <w:rFonts w:ascii="Arial" w:eastAsia="Calibri" w:hAnsi="Arial" w:cs="Arial"/>
          <w:sz w:val="20"/>
          <w:szCs w:val="20"/>
        </w:rPr>
      </w:pPr>
      <w:proofErr w:type="spellStart"/>
      <w:r w:rsidRPr="0022614A">
        <w:rPr>
          <w:rFonts w:ascii="Arial" w:eastAsia="Calibri" w:hAnsi="Arial" w:cs="Arial"/>
          <w:sz w:val="20"/>
          <w:szCs w:val="20"/>
        </w:rPr>
        <w:t>Scovronec</w:t>
      </w:r>
      <w:proofErr w:type="spellEnd"/>
      <w:r w:rsidRPr="0022614A">
        <w:rPr>
          <w:rFonts w:ascii="Arial" w:eastAsia="Calibri" w:hAnsi="Arial" w:cs="Arial"/>
          <w:sz w:val="20"/>
          <w:szCs w:val="20"/>
        </w:rPr>
        <w:t xml:space="preserve">, A., Provencher, A., </w:t>
      </w:r>
      <w:proofErr w:type="spellStart"/>
      <w:r w:rsidRPr="0022614A">
        <w:rPr>
          <w:rFonts w:ascii="Arial" w:eastAsia="Calibri" w:hAnsi="Arial" w:cs="Arial"/>
          <w:sz w:val="20"/>
          <w:szCs w:val="20"/>
        </w:rPr>
        <w:t>Iceta</w:t>
      </w:r>
      <w:proofErr w:type="spellEnd"/>
      <w:r w:rsidRPr="0022614A">
        <w:rPr>
          <w:rFonts w:ascii="Arial" w:eastAsia="Calibri" w:hAnsi="Arial" w:cs="Arial"/>
          <w:sz w:val="20"/>
          <w:szCs w:val="20"/>
        </w:rPr>
        <w:t xml:space="preserve">, S., Pelletier, M., Leblanc, V., Nadeau, M., et al. (2022). Neck circumference is a better correlate of insulin resistance markers than other standard anthropometric indices in patients presenting severe obesity. Obesity Research &amp; Clinical Practice,16(4):307-313.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10.1016/j.orcp.2022.07.005.</w:t>
      </w:r>
    </w:p>
    <w:p w14:paraId="7E8193C8" w14:textId="77777777" w:rsidR="001E5BA0" w:rsidRPr="0022614A" w:rsidRDefault="001E5BA0" w:rsidP="0022614A">
      <w:pPr>
        <w:spacing w:line="240" w:lineRule="auto"/>
        <w:rPr>
          <w:rFonts w:ascii="Arial" w:eastAsia="Calibri" w:hAnsi="Arial" w:cs="Arial"/>
          <w:sz w:val="20"/>
          <w:szCs w:val="20"/>
        </w:rPr>
      </w:pPr>
      <w:proofErr w:type="spellStart"/>
      <w:r w:rsidRPr="0022614A">
        <w:rPr>
          <w:rFonts w:ascii="Arial" w:eastAsia="Calibri" w:hAnsi="Arial" w:cs="Arial"/>
          <w:sz w:val="20"/>
          <w:szCs w:val="20"/>
        </w:rPr>
        <w:t>Saneei</w:t>
      </w:r>
      <w:proofErr w:type="spellEnd"/>
      <w:r w:rsidRPr="0022614A">
        <w:rPr>
          <w:rFonts w:ascii="Arial" w:eastAsia="Calibri" w:hAnsi="Arial" w:cs="Arial"/>
          <w:sz w:val="20"/>
          <w:szCs w:val="20"/>
        </w:rPr>
        <w:t xml:space="preserve">, P., </w:t>
      </w:r>
      <w:proofErr w:type="spellStart"/>
      <w:r w:rsidRPr="0022614A">
        <w:rPr>
          <w:rFonts w:ascii="Arial" w:eastAsia="Calibri" w:hAnsi="Arial" w:cs="Arial"/>
          <w:sz w:val="20"/>
          <w:szCs w:val="20"/>
        </w:rPr>
        <w:t>Shahdadian</w:t>
      </w:r>
      <w:proofErr w:type="spellEnd"/>
      <w:r w:rsidRPr="0022614A">
        <w:rPr>
          <w:rFonts w:ascii="Arial" w:eastAsia="Calibri" w:hAnsi="Arial" w:cs="Arial"/>
          <w:sz w:val="20"/>
          <w:szCs w:val="20"/>
        </w:rPr>
        <w:t xml:space="preserve">, F., Moradi, S., Ghavami, A., Mohammadi, H., &amp; Rouhani, M. H. (2019). Neck circumference in relation to glycemic parameters: a systematic review and meta-analysis of observational studies. </w:t>
      </w:r>
      <w:r w:rsidRPr="0022614A">
        <w:rPr>
          <w:rFonts w:ascii="Arial" w:eastAsia="Calibri" w:hAnsi="Arial" w:cs="Arial"/>
          <w:i/>
          <w:iCs/>
          <w:sz w:val="20"/>
          <w:szCs w:val="20"/>
        </w:rPr>
        <w:t>Diabetology &amp; metabolic syndrome</w:t>
      </w:r>
      <w:r w:rsidRPr="0022614A">
        <w:rPr>
          <w:rFonts w:ascii="Arial" w:eastAsia="Calibri" w:hAnsi="Arial" w:cs="Arial"/>
          <w:sz w:val="20"/>
          <w:szCs w:val="20"/>
        </w:rPr>
        <w:t xml:space="preserve">, </w:t>
      </w:r>
      <w:r w:rsidRPr="0022614A">
        <w:rPr>
          <w:rFonts w:ascii="Arial" w:eastAsia="Calibri" w:hAnsi="Arial" w:cs="Arial"/>
          <w:i/>
          <w:iCs/>
          <w:sz w:val="20"/>
          <w:szCs w:val="20"/>
        </w:rPr>
        <w:t>11</w:t>
      </w:r>
      <w:r w:rsidRPr="0022614A">
        <w:rPr>
          <w:rFonts w:ascii="Arial" w:eastAsia="Calibri" w:hAnsi="Arial" w:cs="Arial"/>
          <w:sz w:val="20"/>
          <w:szCs w:val="20"/>
        </w:rPr>
        <w:t xml:space="preserve">(1), 50.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10.1186/s13098-019-0445-7.</w:t>
      </w:r>
    </w:p>
    <w:p w14:paraId="4C0F6B79" w14:textId="77777777" w:rsidR="001E5BA0" w:rsidRPr="0022614A" w:rsidRDefault="001E5BA0" w:rsidP="0022614A">
      <w:pPr>
        <w:spacing w:after="0" w:line="240" w:lineRule="auto"/>
        <w:rPr>
          <w:rFonts w:ascii="Arial" w:eastAsia="Calibri" w:hAnsi="Arial" w:cs="Arial"/>
          <w:sz w:val="20"/>
          <w:szCs w:val="20"/>
        </w:rPr>
      </w:pPr>
      <w:r w:rsidRPr="0022614A">
        <w:rPr>
          <w:rFonts w:ascii="Arial" w:eastAsia="Calibri" w:hAnsi="Arial" w:cs="Arial"/>
          <w:sz w:val="20"/>
          <w:szCs w:val="20"/>
        </w:rPr>
        <w:t xml:space="preserve">Gowda, K.S., Reshma, S., Asharani, N., &amp; Dsa, J. (2024). Neck Circumference as an Indicator of Glycemic Status in Type 2 Diabetes Mellitus: Evidence from a Tertiary Care Hospital of </w:t>
      </w:r>
      <w:proofErr w:type="spellStart"/>
      <w:r w:rsidRPr="0022614A">
        <w:rPr>
          <w:rFonts w:ascii="Arial" w:eastAsia="Calibri" w:hAnsi="Arial" w:cs="Arial"/>
          <w:sz w:val="20"/>
          <w:szCs w:val="20"/>
        </w:rPr>
        <w:t>Mangaluru</w:t>
      </w:r>
      <w:proofErr w:type="spellEnd"/>
      <w:r w:rsidRPr="0022614A">
        <w:rPr>
          <w:rFonts w:ascii="Arial" w:eastAsia="Calibri" w:hAnsi="Arial" w:cs="Arial"/>
          <w:sz w:val="20"/>
          <w:szCs w:val="20"/>
        </w:rPr>
        <w:t xml:space="preserve">. YMER Digital, 1367.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10.37896/YMER23.10/A0</w:t>
      </w:r>
    </w:p>
    <w:p w14:paraId="069AD8B4"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Reichmuth, K. J., Austin, D., Skatrud, J. B., &amp; Young, T. (2005). Association of sleep apnea and type II diabetes: a population-based study. </w:t>
      </w:r>
      <w:r w:rsidRPr="0022614A">
        <w:rPr>
          <w:rFonts w:ascii="Arial" w:eastAsia="Calibri" w:hAnsi="Arial" w:cs="Arial"/>
          <w:i/>
          <w:iCs/>
          <w:sz w:val="20"/>
          <w:szCs w:val="20"/>
        </w:rPr>
        <w:t>American journal of respiratory and critical care medicine</w:t>
      </w:r>
      <w:r w:rsidRPr="0022614A">
        <w:rPr>
          <w:rFonts w:ascii="Arial" w:eastAsia="Calibri" w:hAnsi="Arial" w:cs="Arial"/>
          <w:sz w:val="20"/>
          <w:szCs w:val="20"/>
        </w:rPr>
        <w:t xml:space="preserve">, </w:t>
      </w:r>
      <w:r w:rsidRPr="0022614A">
        <w:rPr>
          <w:rFonts w:ascii="Arial" w:eastAsia="Calibri" w:hAnsi="Arial" w:cs="Arial"/>
          <w:i/>
          <w:iCs/>
          <w:sz w:val="20"/>
          <w:szCs w:val="20"/>
        </w:rPr>
        <w:t>172</w:t>
      </w:r>
      <w:r w:rsidRPr="0022614A">
        <w:rPr>
          <w:rFonts w:ascii="Arial" w:eastAsia="Calibri" w:hAnsi="Arial" w:cs="Arial"/>
          <w:sz w:val="20"/>
          <w:szCs w:val="20"/>
        </w:rPr>
        <w:t xml:space="preserve">(12), 1590-1595.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10.1164/rccm.200504-637OC.</w:t>
      </w:r>
    </w:p>
    <w:p w14:paraId="7D781966"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Donath, M. Y., &amp; </w:t>
      </w:r>
      <w:proofErr w:type="spellStart"/>
      <w:r w:rsidRPr="0022614A">
        <w:rPr>
          <w:rFonts w:ascii="Arial" w:eastAsia="Calibri" w:hAnsi="Arial" w:cs="Arial"/>
          <w:sz w:val="20"/>
          <w:szCs w:val="20"/>
        </w:rPr>
        <w:t>Shoelson</w:t>
      </w:r>
      <w:proofErr w:type="spellEnd"/>
      <w:r w:rsidRPr="0022614A">
        <w:rPr>
          <w:rFonts w:ascii="Arial" w:eastAsia="Calibri" w:hAnsi="Arial" w:cs="Arial"/>
          <w:sz w:val="20"/>
          <w:szCs w:val="20"/>
        </w:rPr>
        <w:t xml:space="preserve">, S. E. (2011). Type 2 diabetes as an inflammatory disease. </w:t>
      </w:r>
      <w:r w:rsidRPr="0022614A">
        <w:rPr>
          <w:rFonts w:ascii="Arial" w:eastAsia="Calibri" w:hAnsi="Arial" w:cs="Arial"/>
          <w:i/>
          <w:iCs/>
          <w:sz w:val="20"/>
          <w:szCs w:val="20"/>
        </w:rPr>
        <w:t>Nature reviews immunology</w:t>
      </w:r>
      <w:r w:rsidRPr="0022614A">
        <w:rPr>
          <w:rFonts w:ascii="Arial" w:eastAsia="Calibri" w:hAnsi="Arial" w:cs="Arial"/>
          <w:sz w:val="20"/>
          <w:szCs w:val="20"/>
        </w:rPr>
        <w:t xml:space="preserve">, </w:t>
      </w:r>
      <w:r w:rsidRPr="0022614A">
        <w:rPr>
          <w:rFonts w:ascii="Arial" w:eastAsia="Calibri" w:hAnsi="Arial" w:cs="Arial"/>
          <w:i/>
          <w:iCs/>
          <w:sz w:val="20"/>
          <w:szCs w:val="20"/>
        </w:rPr>
        <w:t>11</w:t>
      </w:r>
      <w:r w:rsidRPr="0022614A">
        <w:rPr>
          <w:rFonts w:ascii="Arial" w:eastAsia="Calibri" w:hAnsi="Arial" w:cs="Arial"/>
          <w:sz w:val="20"/>
          <w:szCs w:val="20"/>
        </w:rPr>
        <w:t xml:space="preserve">(2), 98-107.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10.1038/nri2925.</w:t>
      </w:r>
    </w:p>
    <w:p w14:paraId="03735E1C" w14:textId="77777777" w:rsidR="001E5BA0" w:rsidRPr="0022614A" w:rsidRDefault="001E5BA0" w:rsidP="0022614A">
      <w:pPr>
        <w:pStyle w:val="ListParagraph"/>
        <w:spacing w:after="0" w:line="240" w:lineRule="auto"/>
        <w:rPr>
          <w:rFonts w:ascii="Arial" w:eastAsia="Calibri" w:hAnsi="Arial" w:cs="Arial"/>
          <w:sz w:val="20"/>
          <w:szCs w:val="20"/>
        </w:rPr>
      </w:pPr>
    </w:p>
    <w:p w14:paraId="7BEE1BFB" w14:textId="77777777" w:rsidR="001E5BA0" w:rsidRPr="0022614A" w:rsidRDefault="001E5BA0" w:rsidP="0022614A">
      <w:pPr>
        <w:spacing w:after="0" w:line="240" w:lineRule="auto"/>
        <w:rPr>
          <w:rFonts w:ascii="Arial" w:eastAsia="Calibri" w:hAnsi="Arial" w:cs="Arial"/>
          <w:sz w:val="20"/>
          <w:szCs w:val="20"/>
          <w:lang w:val="en-GB"/>
        </w:rPr>
      </w:pPr>
    </w:p>
    <w:p w14:paraId="78B454C8" w14:textId="77777777" w:rsidR="001E5BA0" w:rsidRPr="0022614A" w:rsidRDefault="001E5BA0" w:rsidP="0022614A">
      <w:pPr>
        <w:spacing w:after="0" w:line="240" w:lineRule="auto"/>
        <w:rPr>
          <w:rFonts w:ascii="Arial" w:eastAsia="Calibri" w:hAnsi="Arial" w:cs="Arial"/>
          <w:sz w:val="20"/>
          <w:szCs w:val="20"/>
        </w:rPr>
      </w:pPr>
    </w:p>
    <w:p w14:paraId="39256C60" w14:textId="77777777" w:rsidR="001E5BA0" w:rsidRPr="0022614A" w:rsidRDefault="001E5BA0" w:rsidP="0022614A">
      <w:pPr>
        <w:spacing w:after="0" w:line="240" w:lineRule="auto"/>
        <w:rPr>
          <w:rFonts w:ascii="Arial" w:eastAsia="Calibri" w:hAnsi="Arial" w:cs="Arial"/>
          <w:sz w:val="20"/>
          <w:szCs w:val="20"/>
        </w:rPr>
      </w:pPr>
      <w:bookmarkStart w:id="13" w:name="_Hlk200233518"/>
    </w:p>
    <w:bookmarkEnd w:id="13"/>
    <w:p w14:paraId="6BBB721E" w14:textId="77777777" w:rsidR="001E5BA0" w:rsidRPr="0022614A" w:rsidRDefault="001E5BA0" w:rsidP="0022614A">
      <w:pPr>
        <w:spacing w:after="0" w:line="240" w:lineRule="auto"/>
        <w:rPr>
          <w:rFonts w:ascii="Arial" w:eastAsia="Calibri" w:hAnsi="Arial" w:cs="Arial"/>
          <w:sz w:val="20"/>
          <w:szCs w:val="20"/>
        </w:rPr>
      </w:pPr>
    </w:p>
    <w:p w14:paraId="1115E189" w14:textId="77777777" w:rsidR="001E5BA0" w:rsidRPr="0022614A" w:rsidRDefault="001E5BA0" w:rsidP="0022614A">
      <w:pPr>
        <w:spacing w:line="240" w:lineRule="auto"/>
        <w:rPr>
          <w:rFonts w:ascii="Arial" w:eastAsia="Calibri" w:hAnsi="Arial" w:cs="Arial"/>
          <w:bCs/>
          <w:sz w:val="20"/>
          <w:szCs w:val="20"/>
        </w:rPr>
      </w:pPr>
    </w:p>
    <w:p w14:paraId="0F7A0955" w14:textId="77777777" w:rsidR="001E5BA0" w:rsidRPr="0022614A" w:rsidRDefault="001E5BA0" w:rsidP="0022614A">
      <w:pPr>
        <w:spacing w:line="240" w:lineRule="auto"/>
        <w:rPr>
          <w:rFonts w:ascii="Arial" w:eastAsia="Calibri" w:hAnsi="Arial" w:cs="Arial"/>
          <w:bCs/>
          <w:sz w:val="20"/>
          <w:szCs w:val="20"/>
        </w:rPr>
      </w:pPr>
    </w:p>
    <w:p w14:paraId="57C4BD12" w14:textId="77777777" w:rsidR="001E5BA0" w:rsidRPr="0022614A" w:rsidRDefault="001E5BA0" w:rsidP="0022614A">
      <w:pPr>
        <w:spacing w:line="240" w:lineRule="auto"/>
        <w:rPr>
          <w:rFonts w:ascii="Arial" w:eastAsia="Calibri" w:hAnsi="Arial" w:cs="Arial"/>
          <w:bCs/>
          <w:sz w:val="20"/>
          <w:szCs w:val="20"/>
        </w:rPr>
      </w:pPr>
    </w:p>
    <w:p w14:paraId="31964869" w14:textId="77777777" w:rsidR="001E5BA0" w:rsidRPr="0022614A" w:rsidRDefault="001E5BA0" w:rsidP="0022614A">
      <w:pPr>
        <w:spacing w:line="240" w:lineRule="auto"/>
        <w:rPr>
          <w:rFonts w:ascii="Arial" w:eastAsia="Calibri" w:hAnsi="Arial" w:cs="Arial"/>
          <w:b/>
          <w:bCs/>
          <w:sz w:val="20"/>
          <w:szCs w:val="20"/>
        </w:rPr>
      </w:pPr>
    </w:p>
    <w:p w14:paraId="6D64BB0F" w14:textId="77777777" w:rsidR="001E5BA0" w:rsidRPr="0022614A" w:rsidRDefault="001E5BA0" w:rsidP="0022614A">
      <w:pPr>
        <w:spacing w:line="240" w:lineRule="auto"/>
        <w:rPr>
          <w:rFonts w:ascii="Arial" w:hAnsi="Arial" w:cs="Arial"/>
          <w:sz w:val="20"/>
          <w:szCs w:val="20"/>
        </w:rPr>
      </w:pPr>
    </w:p>
    <w:p w14:paraId="4C692343" w14:textId="77777777" w:rsidR="001E5BA0" w:rsidRPr="0022614A" w:rsidRDefault="001E5BA0" w:rsidP="0022614A">
      <w:pPr>
        <w:spacing w:line="240" w:lineRule="auto"/>
        <w:rPr>
          <w:rFonts w:ascii="Arial" w:hAnsi="Arial" w:cs="Arial"/>
          <w:sz w:val="20"/>
          <w:szCs w:val="20"/>
        </w:rPr>
      </w:pPr>
    </w:p>
    <w:p w14:paraId="787AA212" w14:textId="77777777" w:rsidR="001E5BA0" w:rsidRPr="0022614A" w:rsidRDefault="001E5BA0" w:rsidP="0022614A">
      <w:pPr>
        <w:spacing w:line="240" w:lineRule="auto"/>
        <w:rPr>
          <w:rFonts w:ascii="Arial" w:hAnsi="Arial" w:cs="Arial"/>
          <w:sz w:val="20"/>
          <w:szCs w:val="20"/>
        </w:rPr>
      </w:pPr>
    </w:p>
    <w:p w14:paraId="1EDF1287" w14:textId="77777777" w:rsidR="007E2147" w:rsidRPr="0022614A" w:rsidRDefault="007E2147" w:rsidP="0022614A">
      <w:pPr>
        <w:spacing w:line="240" w:lineRule="auto"/>
        <w:rPr>
          <w:rFonts w:ascii="Arial" w:eastAsia="Calibri" w:hAnsi="Arial" w:cs="Arial"/>
          <w:bCs/>
          <w:sz w:val="20"/>
          <w:szCs w:val="20"/>
        </w:rPr>
      </w:pPr>
    </w:p>
    <w:p w14:paraId="3877EE59" w14:textId="77777777" w:rsidR="007E2147" w:rsidRPr="0022614A" w:rsidRDefault="007E2147" w:rsidP="0022614A">
      <w:pPr>
        <w:spacing w:line="240" w:lineRule="auto"/>
        <w:rPr>
          <w:rFonts w:ascii="Arial" w:eastAsia="Calibri" w:hAnsi="Arial" w:cs="Arial"/>
          <w:bCs/>
          <w:sz w:val="20"/>
          <w:szCs w:val="20"/>
        </w:rPr>
      </w:pPr>
    </w:p>
    <w:p w14:paraId="2D40F408" w14:textId="77777777" w:rsidR="006A5B8C" w:rsidRPr="0022614A" w:rsidRDefault="006A5B8C" w:rsidP="0022614A">
      <w:pPr>
        <w:spacing w:line="240" w:lineRule="auto"/>
        <w:rPr>
          <w:rFonts w:ascii="Arial" w:eastAsia="Calibri" w:hAnsi="Arial" w:cs="Arial"/>
          <w:b/>
          <w:bCs/>
          <w:sz w:val="20"/>
          <w:szCs w:val="20"/>
        </w:rPr>
      </w:pPr>
    </w:p>
    <w:p w14:paraId="2FDEA25C" w14:textId="77777777" w:rsidR="006A5B8C" w:rsidRPr="0022614A" w:rsidRDefault="006A5B8C" w:rsidP="0022614A">
      <w:pPr>
        <w:spacing w:line="240" w:lineRule="auto"/>
        <w:rPr>
          <w:rFonts w:ascii="Arial" w:hAnsi="Arial" w:cs="Arial"/>
          <w:sz w:val="20"/>
          <w:szCs w:val="20"/>
        </w:rPr>
      </w:pPr>
    </w:p>
    <w:p w14:paraId="5E3C03EA" w14:textId="77777777" w:rsidR="006D4F77" w:rsidRPr="0022614A" w:rsidRDefault="006D4F77" w:rsidP="0022614A">
      <w:pPr>
        <w:spacing w:line="240" w:lineRule="auto"/>
        <w:rPr>
          <w:rFonts w:ascii="Arial" w:hAnsi="Arial" w:cs="Arial"/>
          <w:sz w:val="20"/>
          <w:szCs w:val="20"/>
        </w:rPr>
      </w:pPr>
    </w:p>
    <w:sectPr w:rsidR="006D4F77" w:rsidRPr="002261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87BFE" w14:textId="77777777" w:rsidR="007E1400" w:rsidRDefault="007E1400" w:rsidP="00830BC6">
      <w:pPr>
        <w:spacing w:after="0" w:line="240" w:lineRule="auto"/>
      </w:pPr>
      <w:r>
        <w:separator/>
      </w:r>
    </w:p>
  </w:endnote>
  <w:endnote w:type="continuationSeparator" w:id="0">
    <w:p w14:paraId="4FDF02A0" w14:textId="77777777" w:rsidR="007E1400" w:rsidRDefault="007E1400" w:rsidP="0083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E07" w14:textId="77777777" w:rsidR="00830BC6" w:rsidRDefault="0083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132BE" w14:textId="77777777" w:rsidR="00830BC6" w:rsidRDefault="00830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8143" w14:textId="77777777" w:rsidR="00830BC6" w:rsidRDefault="0083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007BC" w14:textId="77777777" w:rsidR="007E1400" w:rsidRDefault="007E1400" w:rsidP="00830BC6">
      <w:pPr>
        <w:spacing w:after="0" w:line="240" w:lineRule="auto"/>
      </w:pPr>
      <w:r>
        <w:separator/>
      </w:r>
    </w:p>
  </w:footnote>
  <w:footnote w:type="continuationSeparator" w:id="0">
    <w:p w14:paraId="41DF72D7" w14:textId="77777777" w:rsidR="007E1400" w:rsidRDefault="007E1400" w:rsidP="00830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A298" w14:textId="6A68B8D4" w:rsidR="00830BC6" w:rsidRDefault="00830BC6">
    <w:pPr>
      <w:pStyle w:val="Header"/>
    </w:pPr>
    <w:r>
      <w:rPr>
        <w:noProof/>
      </w:rPr>
      <w:pict w14:anchorId="77DCB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5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3B5A" w14:textId="37072D76" w:rsidR="00830BC6" w:rsidRDefault="00830BC6">
    <w:pPr>
      <w:pStyle w:val="Header"/>
    </w:pPr>
    <w:r>
      <w:rPr>
        <w:noProof/>
      </w:rPr>
      <w:pict w14:anchorId="72335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5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E87DC" w14:textId="24321479" w:rsidR="00830BC6" w:rsidRDefault="00830BC6">
    <w:pPr>
      <w:pStyle w:val="Header"/>
    </w:pPr>
    <w:r>
      <w:rPr>
        <w:noProof/>
      </w:rPr>
      <w:pict w14:anchorId="1CC09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5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7040"/>
    <w:multiLevelType w:val="multilevel"/>
    <w:tmpl w:val="905C9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851CBE"/>
    <w:multiLevelType w:val="hybridMultilevel"/>
    <w:tmpl w:val="4744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36631"/>
    <w:multiLevelType w:val="hybridMultilevel"/>
    <w:tmpl w:val="19E26D58"/>
    <w:lvl w:ilvl="0" w:tplc="D570D176">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F238A"/>
    <w:multiLevelType w:val="hybridMultilevel"/>
    <w:tmpl w:val="EEE68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F1FFB"/>
    <w:multiLevelType w:val="hybridMultilevel"/>
    <w:tmpl w:val="C3AA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77"/>
    <w:rsid w:val="00002BA4"/>
    <w:rsid w:val="000049A5"/>
    <w:rsid w:val="00006057"/>
    <w:rsid w:val="00007FDA"/>
    <w:rsid w:val="00011319"/>
    <w:rsid w:val="000115FC"/>
    <w:rsid w:val="00016B66"/>
    <w:rsid w:val="00016F62"/>
    <w:rsid w:val="0002195E"/>
    <w:rsid w:val="00024717"/>
    <w:rsid w:val="00026032"/>
    <w:rsid w:val="00033971"/>
    <w:rsid w:val="00034E82"/>
    <w:rsid w:val="00041EB6"/>
    <w:rsid w:val="00043D96"/>
    <w:rsid w:val="00046A11"/>
    <w:rsid w:val="000472CC"/>
    <w:rsid w:val="0004736D"/>
    <w:rsid w:val="000664A4"/>
    <w:rsid w:val="00075D25"/>
    <w:rsid w:val="00080CF3"/>
    <w:rsid w:val="000920B6"/>
    <w:rsid w:val="0009351A"/>
    <w:rsid w:val="00094DBD"/>
    <w:rsid w:val="00095629"/>
    <w:rsid w:val="000A019F"/>
    <w:rsid w:val="000A360F"/>
    <w:rsid w:val="000A5F5D"/>
    <w:rsid w:val="000B0804"/>
    <w:rsid w:val="000B34A3"/>
    <w:rsid w:val="000B4030"/>
    <w:rsid w:val="000C0F63"/>
    <w:rsid w:val="000C1D3C"/>
    <w:rsid w:val="000C36CC"/>
    <w:rsid w:val="000C5F67"/>
    <w:rsid w:val="000C6AB5"/>
    <w:rsid w:val="000D2B83"/>
    <w:rsid w:val="000D3821"/>
    <w:rsid w:val="000D51D2"/>
    <w:rsid w:val="000D794B"/>
    <w:rsid w:val="000E1B5B"/>
    <w:rsid w:val="000E403A"/>
    <w:rsid w:val="000E40A1"/>
    <w:rsid w:val="000E5A60"/>
    <w:rsid w:val="000E694C"/>
    <w:rsid w:val="000E786B"/>
    <w:rsid w:val="000E7BAD"/>
    <w:rsid w:val="000F1CDC"/>
    <w:rsid w:val="000F2A09"/>
    <w:rsid w:val="000F3C1F"/>
    <w:rsid w:val="00101521"/>
    <w:rsid w:val="00101B4B"/>
    <w:rsid w:val="00102E82"/>
    <w:rsid w:val="00111EE3"/>
    <w:rsid w:val="00115026"/>
    <w:rsid w:val="00116C27"/>
    <w:rsid w:val="0011786D"/>
    <w:rsid w:val="0012305A"/>
    <w:rsid w:val="001248F6"/>
    <w:rsid w:val="001267EB"/>
    <w:rsid w:val="00134763"/>
    <w:rsid w:val="001365AC"/>
    <w:rsid w:val="00136BC8"/>
    <w:rsid w:val="00137056"/>
    <w:rsid w:val="00137B2C"/>
    <w:rsid w:val="00142454"/>
    <w:rsid w:val="001433CD"/>
    <w:rsid w:val="001434C9"/>
    <w:rsid w:val="001440F7"/>
    <w:rsid w:val="00144F9A"/>
    <w:rsid w:val="00145096"/>
    <w:rsid w:val="001529C2"/>
    <w:rsid w:val="0016180E"/>
    <w:rsid w:val="00163E8E"/>
    <w:rsid w:val="0016560D"/>
    <w:rsid w:val="00165F45"/>
    <w:rsid w:val="0016627E"/>
    <w:rsid w:val="00166A4D"/>
    <w:rsid w:val="00170A2F"/>
    <w:rsid w:val="0017271D"/>
    <w:rsid w:val="00172A54"/>
    <w:rsid w:val="0017329A"/>
    <w:rsid w:val="00180B71"/>
    <w:rsid w:val="001810CB"/>
    <w:rsid w:val="00181CA9"/>
    <w:rsid w:val="001864A7"/>
    <w:rsid w:val="001868F2"/>
    <w:rsid w:val="00186B2C"/>
    <w:rsid w:val="00191000"/>
    <w:rsid w:val="00191A46"/>
    <w:rsid w:val="001923F9"/>
    <w:rsid w:val="00194767"/>
    <w:rsid w:val="00196311"/>
    <w:rsid w:val="001A37BA"/>
    <w:rsid w:val="001A6A97"/>
    <w:rsid w:val="001B0B9E"/>
    <w:rsid w:val="001B3342"/>
    <w:rsid w:val="001B4C4F"/>
    <w:rsid w:val="001B6AAD"/>
    <w:rsid w:val="001B73F8"/>
    <w:rsid w:val="001C1842"/>
    <w:rsid w:val="001C2A83"/>
    <w:rsid w:val="001C47DF"/>
    <w:rsid w:val="001C4E37"/>
    <w:rsid w:val="001D1E75"/>
    <w:rsid w:val="001D24D0"/>
    <w:rsid w:val="001D31CC"/>
    <w:rsid w:val="001D419E"/>
    <w:rsid w:val="001E2296"/>
    <w:rsid w:val="001E41DA"/>
    <w:rsid w:val="001E4D85"/>
    <w:rsid w:val="001E55EF"/>
    <w:rsid w:val="001E587B"/>
    <w:rsid w:val="001E5BA0"/>
    <w:rsid w:val="001E69D2"/>
    <w:rsid w:val="001E773D"/>
    <w:rsid w:val="001F008B"/>
    <w:rsid w:val="001F2B36"/>
    <w:rsid w:val="001F3109"/>
    <w:rsid w:val="001F488E"/>
    <w:rsid w:val="00200990"/>
    <w:rsid w:val="00203B9C"/>
    <w:rsid w:val="0021389E"/>
    <w:rsid w:val="00216101"/>
    <w:rsid w:val="002167FD"/>
    <w:rsid w:val="00217B87"/>
    <w:rsid w:val="002206A7"/>
    <w:rsid w:val="002212FB"/>
    <w:rsid w:val="0022138B"/>
    <w:rsid w:val="002214F5"/>
    <w:rsid w:val="00222961"/>
    <w:rsid w:val="002231D6"/>
    <w:rsid w:val="0022614A"/>
    <w:rsid w:val="00227F30"/>
    <w:rsid w:val="00230371"/>
    <w:rsid w:val="00230619"/>
    <w:rsid w:val="00236436"/>
    <w:rsid w:val="002408AA"/>
    <w:rsid w:val="002409B7"/>
    <w:rsid w:val="00242EB2"/>
    <w:rsid w:val="00243DF7"/>
    <w:rsid w:val="002440A9"/>
    <w:rsid w:val="00244745"/>
    <w:rsid w:val="00245E29"/>
    <w:rsid w:val="00254F1F"/>
    <w:rsid w:val="00257F73"/>
    <w:rsid w:val="0026214B"/>
    <w:rsid w:val="0026273E"/>
    <w:rsid w:val="00263DB7"/>
    <w:rsid w:val="00264B1D"/>
    <w:rsid w:val="00264EC9"/>
    <w:rsid w:val="002677EF"/>
    <w:rsid w:val="00271B0A"/>
    <w:rsid w:val="002770ED"/>
    <w:rsid w:val="00280C2C"/>
    <w:rsid w:val="0028347A"/>
    <w:rsid w:val="00284C28"/>
    <w:rsid w:val="0028539D"/>
    <w:rsid w:val="00286CEE"/>
    <w:rsid w:val="00286CFD"/>
    <w:rsid w:val="002874D9"/>
    <w:rsid w:val="00287A1D"/>
    <w:rsid w:val="0029285D"/>
    <w:rsid w:val="002941A1"/>
    <w:rsid w:val="00297888"/>
    <w:rsid w:val="002A166C"/>
    <w:rsid w:val="002A63B6"/>
    <w:rsid w:val="002B2343"/>
    <w:rsid w:val="002B4520"/>
    <w:rsid w:val="002B4545"/>
    <w:rsid w:val="002B5516"/>
    <w:rsid w:val="002B75EE"/>
    <w:rsid w:val="002C5B9A"/>
    <w:rsid w:val="002D2507"/>
    <w:rsid w:val="002D3A7E"/>
    <w:rsid w:val="002E0DC4"/>
    <w:rsid w:val="002E151B"/>
    <w:rsid w:val="002E22FC"/>
    <w:rsid w:val="002F7000"/>
    <w:rsid w:val="00300B0C"/>
    <w:rsid w:val="00303208"/>
    <w:rsid w:val="003038F6"/>
    <w:rsid w:val="00305EE5"/>
    <w:rsid w:val="00307AFE"/>
    <w:rsid w:val="00307B98"/>
    <w:rsid w:val="003109D4"/>
    <w:rsid w:val="003141ED"/>
    <w:rsid w:val="00314DAF"/>
    <w:rsid w:val="00317826"/>
    <w:rsid w:val="00320938"/>
    <w:rsid w:val="00321F0F"/>
    <w:rsid w:val="00327570"/>
    <w:rsid w:val="00334A99"/>
    <w:rsid w:val="0033696B"/>
    <w:rsid w:val="00341B8A"/>
    <w:rsid w:val="0034674A"/>
    <w:rsid w:val="00350085"/>
    <w:rsid w:val="00351161"/>
    <w:rsid w:val="00351D0E"/>
    <w:rsid w:val="00353D27"/>
    <w:rsid w:val="003566C2"/>
    <w:rsid w:val="00356C57"/>
    <w:rsid w:val="0036332F"/>
    <w:rsid w:val="003638E4"/>
    <w:rsid w:val="003640C9"/>
    <w:rsid w:val="00366F02"/>
    <w:rsid w:val="0037504F"/>
    <w:rsid w:val="00375743"/>
    <w:rsid w:val="00376CA9"/>
    <w:rsid w:val="0038179D"/>
    <w:rsid w:val="00382B40"/>
    <w:rsid w:val="00390E3E"/>
    <w:rsid w:val="00392878"/>
    <w:rsid w:val="00392E1D"/>
    <w:rsid w:val="003959F6"/>
    <w:rsid w:val="003964FD"/>
    <w:rsid w:val="003965E2"/>
    <w:rsid w:val="003969A3"/>
    <w:rsid w:val="00397AC9"/>
    <w:rsid w:val="003A049D"/>
    <w:rsid w:val="003A1359"/>
    <w:rsid w:val="003B0BE3"/>
    <w:rsid w:val="003B13A4"/>
    <w:rsid w:val="003B174C"/>
    <w:rsid w:val="003B518B"/>
    <w:rsid w:val="003C17DA"/>
    <w:rsid w:val="003C3D1C"/>
    <w:rsid w:val="003C54F7"/>
    <w:rsid w:val="003D0DF8"/>
    <w:rsid w:val="003D3AE6"/>
    <w:rsid w:val="003D59C6"/>
    <w:rsid w:val="003D6D4F"/>
    <w:rsid w:val="003D707F"/>
    <w:rsid w:val="003E217E"/>
    <w:rsid w:val="003E6252"/>
    <w:rsid w:val="003F05B7"/>
    <w:rsid w:val="003F13BB"/>
    <w:rsid w:val="004030E3"/>
    <w:rsid w:val="004064BB"/>
    <w:rsid w:val="00407594"/>
    <w:rsid w:val="00413390"/>
    <w:rsid w:val="00413A25"/>
    <w:rsid w:val="00413CEB"/>
    <w:rsid w:val="00414808"/>
    <w:rsid w:val="004171D7"/>
    <w:rsid w:val="00421A6C"/>
    <w:rsid w:val="004230AF"/>
    <w:rsid w:val="00424151"/>
    <w:rsid w:val="00424998"/>
    <w:rsid w:val="00425A75"/>
    <w:rsid w:val="00432A20"/>
    <w:rsid w:val="00432AF6"/>
    <w:rsid w:val="00434771"/>
    <w:rsid w:val="00443473"/>
    <w:rsid w:val="0044767C"/>
    <w:rsid w:val="004479D6"/>
    <w:rsid w:val="00452AF8"/>
    <w:rsid w:val="004535AF"/>
    <w:rsid w:val="00453A1E"/>
    <w:rsid w:val="00453FFE"/>
    <w:rsid w:val="004562BF"/>
    <w:rsid w:val="00457F2C"/>
    <w:rsid w:val="00460FED"/>
    <w:rsid w:val="00461080"/>
    <w:rsid w:val="00461521"/>
    <w:rsid w:val="004617CC"/>
    <w:rsid w:val="0046299C"/>
    <w:rsid w:val="00462BBF"/>
    <w:rsid w:val="004633D7"/>
    <w:rsid w:val="00466CFC"/>
    <w:rsid w:val="0047297C"/>
    <w:rsid w:val="00474164"/>
    <w:rsid w:val="00475ACD"/>
    <w:rsid w:val="004802B8"/>
    <w:rsid w:val="00482857"/>
    <w:rsid w:val="00483C6C"/>
    <w:rsid w:val="004846A6"/>
    <w:rsid w:val="00484803"/>
    <w:rsid w:val="00484EB3"/>
    <w:rsid w:val="004851F1"/>
    <w:rsid w:val="004853C9"/>
    <w:rsid w:val="0048542E"/>
    <w:rsid w:val="004861E6"/>
    <w:rsid w:val="0048661F"/>
    <w:rsid w:val="0048720D"/>
    <w:rsid w:val="004874FC"/>
    <w:rsid w:val="00491344"/>
    <w:rsid w:val="004942B3"/>
    <w:rsid w:val="004953D1"/>
    <w:rsid w:val="00496437"/>
    <w:rsid w:val="004A4A24"/>
    <w:rsid w:val="004A67E1"/>
    <w:rsid w:val="004A7F3C"/>
    <w:rsid w:val="004B0A9A"/>
    <w:rsid w:val="004B266F"/>
    <w:rsid w:val="004B466C"/>
    <w:rsid w:val="004B50C4"/>
    <w:rsid w:val="004B5A3E"/>
    <w:rsid w:val="004B6521"/>
    <w:rsid w:val="004B79E6"/>
    <w:rsid w:val="004C5E85"/>
    <w:rsid w:val="004C7402"/>
    <w:rsid w:val="004C758D"/>
    <w:rsid w:val="004D0614"/>
    <w:rsid w:val="004D1476"/>
    <w:rsid w:val="004D4F00"/>
    <w:rsid w:val="004E55E5"/>
    <w:rsid w:val="004E5E70"/>
    <w:rsid w:val="004E612C"/>
    <w:rsid w:val="004F491A"/>
    <w:rsid w:val="004F573C"/>
    <w:rsid w:val="00500851"/>
    <w:rsid w:val="00512669"/>
    <w:rsid w:val="00512917"/>
    <w:rsid w:val="00513173"/>
    <w:rsid w:val="00514225"/>
    <w:rsid w:val="0051426F"/>
    <w:rsid w:val="0051516F"/>
    <w:rsid w:val="00515852"/>
    <w:rsid w:val="00516B90"/>
    <w:rsid w:val="00517D80"/>
    <w:rsid w:val="0052256B"/>
    <w:rsid w:val="005250BD"/>
    <w:rsid w:val="0053018C"/>
    <w:rsid w:val="00536734"/>
    <w:rsid w:val="0054166D"/>
    <w:rsid w:val="00541B4D"/>
    <w:rsid w:val="00542521"/>
    <w:rsid w:val="0054643D"/>
    <w:rsid w:val="0055004C"/>
    <w:rsid w:val="005505FA"/>
    <w:rsid w:val="00550781"/>
    <w:rsid w:val="00550AAF"/>
    <w:rsid w:val="00551656"/>
    <w:rsid w:val="005519B2"/>
    <w:rsid w:val="00551EC2"/>
    <w:rsid w:val="00553CF5"/>
    <w:rsid w:val="005564CD"/>
    <w:rsid w:val="00556B50"/>
    <w:rsid w:val="00556DB0"/>
    <w:rsid w:val="0056242D"/>
    <w:rsid w:val="005723CC"/>
    <w:rsid w:val="0057370C"/>
    <w:rsid w:val="00574832"/>
    <w:rsid w:val="00575F22"/>
    <w:rsid w:val="00580333"/>
    <w:rsid w:val="005815FF"/>
    <w:rsid w:val="00585546"/>
    <w:rsid w:val="00586102"/>
    <w:rsid w:val="00587506"/>
    <w:rsid w:val="00590400"/>
    <w:rsid w:val="00591B7A"/>
    <w:rsid w:val="00594B09"/>
    <w:rsid w:val="0059676F"/>
    <w:rsid w:val="005A11F4"/>
    <w:rsid w:val="005A17A7"/>
    <w:rsid w:val="005A1C30"/>
    <w:rsid w:val="005A3B88"/>
    <w:rsid w:val="005B1A32"/>
    <w:rsid w:val="005B49E6"/>
    <w:rsid w:val="005C38A2"/>
    <w:rsid w:val="005D05B3"/>
    <w:rsid w:val="005D09F8"/>
    <w:rsid w:val="005E0FE9"/>
    <w:rsid w:val="005E524C"/>
    <w:rsid w:val="005E592F"/>
    <w:rsid w:val="005E7342"/>
    <w:rsid w:val="005F044B"/>
    <w:rsid w:val="005F14DC"/>
    <w:rsid w:val="005F2A19"/>
    <w:rsid w:val="005F67DC"/>
    <w:rsid w:val="005F70EA"/>
    <w:rsid w:val="006017E5"/>
    <w:rsid w:val="0060226D"/>
    <w:rsid w:val="006046E5"/>
    <w:rsid w:val="00605B9B"/>
    <w:rsid w:val="00607537"/>
    <w:rsid w:val="00607D14"/>
    <w:rsid w:val="0061158B"/>
    <w:rsid w:val="00611A89"/>
    <w:rsid w:val="00612E1B"/>
    <w:rsid w:val="0061341F"/>
    <w:rsid w:val="006144D6"/>
    <w:rsid w:val="00616767"/>
    <w:rsid w:val="00623EB4"/>
    <w:rsid w:val="00624EE2"/>
    <w:rsid w:val="0063035F"/>
    <w:rsid w:val="00630470"/>
    <w:rsid w:val="00634CBB"/>
    <w:rsid w:val="00634CC7"/>
    <w:rsid w:val="00635A05"/>
    <w:rsid w:val="00636D31"/>
    <w:rsid w:val="006373AF"/>
    <w:rsid w:val="00637DB7"/>
    <w:rsid w:val="0064037B"/>
    <w:rsid w:val="0064229A"/>
    <w:rsid w:val="0064366D"/>
    <w:rsid w:val="00651228"/>
    <w:rsid w:val="00651367"/>
    <w:rsid w:val="006556AB"/>
    <w:rsid w:val="00660A9F"/>
    <w:rsid w:val="006611BB"/>
    <w:rsid w:val="006613C9"/>
    <w:rsid w:val="00662F49"/>
    <w:rsid w:val="006648FA"/>
    <w:rsid w:val="00664A46"/>
    <w:rsid w:val="006653E3"/>
    <w:rsid w:val="006655A0"/>
    <w:rsid w:val="00665DE3"/>
    <w:rsid w:val="00666BC1"/>
    <w:rsid w:val="00674BE0"/>
    <w:rsid w:val="006762B4"/>
    <w:rsid w:val="00677ACD"/>
    <w:rsid w:val="00680296"/>
    <w:rsid w:val="00681079"/>
    <w:rsid w:val="00682A2A"/>
    <w:rsid w:val="006911FD"/>
    <w:rsid w:val="00692B26"/>
    <w:rsid w:val="00692EF0"/>
    <w:rsid w:val="00693AFB"/>
    <w:rsid w:val="00694695"/>
    <w:rsid w:val="00694E96"/>
    <w:rsid w:val="00695120"/>
    <w:rsid w:val="006A0FC1"/>
    <w:rsid w:val="006A1739"/>
    <w:rsid w:val="006A558B"/>
    <w:rsid w:val="006A5B8C"/>
    <w:rsid w:val="006A78C7"/>
    <w:rsid w:val="006A7AE9"/>
    <w:rsid w:val="006B3BC7"/>
    <w:rsid w:val="006B484D"/>
    <w:rsid w:val="006B4A5A"/>
    <w:rsid w:val="006B4D72"/>
    <w:rsid w:val="006B6DDB"/>
    <w:rsid w:val="006C7497"/>
    <w:rsid w:val="006D368E"/>
    <w:rsid w:val="006D4599"/>
    <w:rsid w:val="006D4F77"/>
    <w:rsid w:val="006D7579"/>
    <w:rsid w:val="006E017E"/>
    <w:rsid w:val="006E0913"/>
    <w:rsid w:val="006E1825"/>
    <w:rsid w:val="006E2AAD"/>
    <w:rsid w:val="006E2CA0"/>
    <w:rsid w:val="006E3508"/>
    <w:rsid w:val="006E59B4"/>
    <w:rsid w:val="006F1DFD"/>
    <w:rsid w:val="006F2FEF"/>
    <w:rsid w:val="00702088"/>
    <w:rsid w:val="007047CE"/>
    <w:rsid w:val="007110E5"/>
    <w:rsid w:val="00713109"/>
    <w:rsid w:val="00713969"/>
    <w:rsid w:val="007151D9"/>
    <w:rsid w:val="00717516"/>
    <w:rsid w:val="00717CD7"/>
    <w:rsid w:val="007213F9"/>
    <w:rsid w:val="00722665"/>
    <w:rsid w:val="00725A4F"/>
    <w:rsid w:val="00727AF5"/>
    <w:rsid w:val="007307B8"/>
    <w:rsid w:val="0073148B"/>
    <w:rsid w:val="007327C7"/>
    <w:rsid w:val="0074252C"/>
    <w:rsid w:val="00742699"/>
    <w:rsid w:val="00742A36"/>
    <w:rsid w:val="0074439F"/>
    <w:rsid w:val="007446F8"/>
    <w:rsid w:val="00746E60"/>
    <w:rsid w:val="0074766F"/>
    <w:rsid w:val="00751659"/>
    <w:rsid w:val="0075346E"/>
    <w:rsid w:val="0075377A"/>
    <w:rsid w:val="00757E9B"/>
    <w:rsid w:val="00761EE0"/>
    <w:rsid w:val="007639AF"/>
    <w:rsid w:val="0076425F"/>
    <w:rsid w:val="00764883"/>
    <w:rsid w:val="0077243F"/>
    <w:rsid w:val="0077760F"/>
    <w:rsid w:val="007811F8"/>
    <w:rsid w:val="00790CA5"/>
    <w:rsid w:val="007918F7"/>
    <w:rsid w:val="007919EC"/>
    <w:rsid w:val="00796818"/>
    <w:rsid w:val="007A2A62"/>
    <w:rsid w:val="007A52B2"/>
    <w:rsid w:val="007B0B21"/>
    <w:rsid w:val="007B1377"/>
    <w:rsid w:val="007B1537"/>
    <w:rsid w:val="007B269F"/>
    <w:rsid w:val="007B2AC5"/>
    <w:rsid w:val="007B5D4F"/>
    <w:rsid w:val="007C1DA0"/>
    <w:rsid w:val="007C3EFB"/>
    <w:rsid w:val="007C7999"/>
    <w:rsid w:val="007D0190"/>
    <w:rsid w:val="007D0DEB"/>
    <w:rsid w:val="007D1127"/>
    <w:rsid w:val="007D25A0"/>
    <w:rsid w:val="007D42FF"/>
    <w:rsid w:val="007D4ACC"/>
    <w:rsid w:val="007E00C7"/>
    <w:rsid w:val="007E1400"/>
    <w:rsid w:val="007E1B71"/>
    <w:rsid w:val="007E2147"/>
    <w:rsid w:val="007E3991"/>
    <w:rsid w:val="007E4E87"/>
    <w:rsid w:val="007E523C"/>
    <w:rsid w:val="007E6645"/>
    <w:rsid w:val="007E73D0"/>
    <w:rsid w:val="007F0F2B"/>
    <w:rsid w:val="007F1686"/>
    <w:rsid w:val="007F3B00"/>
    <w:rsid w:val="0080315E"/>
    <w:rsid w:val="00804521"/>
    <w:rsid w:val="008053F6"/>
    <w:rsid w:val="00811FB5"/>
    <w:rsid w:val="00815105"/>
    <w:rsid w:val="00815756"/>
    <w:rsid w:val="00822585"/>
    <w:rsid w:val="00824677"/>
    <w:rsid w:val="0082580F"/>
    <w:rsid w:val="00827CF8"/>
    <w:rsid w:val="0083085B"/>
    <w:rsid w:val="00830BC6"/>
    <w:rsid w:val="00831F88"/>
    <w:rsid w:val="008338CB"/>
    <w:rsid w:val="008367DF"/>
    <w:rsid w:val="00836D9F"/>
    <w:rsid w:val="00841F03"/>
    <w:rsid w:val="00844387"/>
    <w:rsid w:val="00844AE1"/>
    <w:rsid w:val="00845A0A"/>
    <w:rsid w:val="00852590"/>
    <w:rsid w:val="00855250"/>
    <w:rsid w:val="00861A46"/>
    <w:rsid w:val="008643A2"/>
    <w:rsid w:val="008670A3"/>
    <w:rsid w:val="00867965"/>
    <w:rsid w:val="00871C10"/>
    <w:rsid w:val="008729EE"/>
    <w:rsid w:val="00875DB5"/>
    <w:rsid w:val="0087676F"/>
    <w:rsid w:val="008778D1"/>
    <w:rsid w:val="00880B0C"/>
    <w:rsid w:val="008874F3"/>
    <w:rsid w:val="0089278F"/>
    <w:rsid w:val="00892FFC"/>
    <w:rsid w:val="00896DE7"/>
    <w:rsid w:val="008A543B"/>
    <w:rsid w:val="008A654C"/>
    <w:rsid w:val="008A7F4C"/>
    <w:rsid w:val="008B0FFC"/>
    <w:rsid w:val="008B2F8A"/>
    <w:rsid w:val="008B6090"/>
    <w:rsid w:val="008B65F7"/>
    <w:rsid w:val="008B7E89"/>
    <w:rsid w:val="008C1062"/>
    <w:rsid w:val="008C2EBE"/>
    <w:rsid w:val="008C472F"/>
    <w:rsid w:val="008C79BB"/>
    <w:rsid w:val="008D1A28"/>
    <w:rsid w:val="008D708C"/>
    <w:rsid w:val="008E03A5"/>
    <w:rsid w:val="008E1C0B"/>
    <w:rsid w:val="008E6FC2"/>
    <w:rsid w:val="008F1187"/>
    <w:rsid w:val="008F20A2"/>
    <w:rsid w:val="008F23F2"/>
    <w:rsid w:val="008F4026"/>
    <w:rsid w:val="00900B12"/>
    <w:rsid w:val="009076BC"/>
    <w:rsid w:val="00911B69"/>
    <w:rsid w:val="0091248A"/>
    <w:rsid w:val="0091464B"/>
    <w:rsid w:val="0091646D"/>
    <w:rsid w:val="00920B90"/>
    <w:rsid w:val="00921A3E"/>
    <w:rsid w:val="0092507B"/>
    <w:rsid w:val="009304D5"/>
    <w:rsid w:val="0093397B"/>
    <w:rsid w:val="00934236"/>
    <w:rsid w:val="009356A4"/>
    <w:rsid w:val="0093640E"/>
    <w:rsid w:val="00936B65"/>
    <w:rsid w:val="00937B7A"/>
    <w:rsid w:val="00941406"/>
    <w:rsid w:val="00941C94"/>
    <w:rsid w:val="00945E79"/>
    <w:rsid w:val="00947667"/>
    <w:rsid w:val="0095762D"/>
    <w:rsid w:val="00960A09"/>
    <w:rsid w:val="00960D36"/>
    <w:rsid w:val="00963156"/>
    <w:rsid w:val="009665FB"/>
    <w:rsid w:val="009678D9"/>
    <w:rsid w:val="00971C4A"/>
    <w:rsid w:val="009735A6"/>
    <w:rsid w:val="00974DE3"/>
    <w:rsid w:val="009763F3"/>
    <w:rsid w:val="0097650D"/>
    <w:rsid w:val="00977F24"/>
    <w:rsid w:val="00981B65"/>
    <w:rsid w:val="0098268D"/>
    <w:rsid w:val="00983840"/>
    <w:rsid w:val="00985A96"/>
    <w:rsid w:val="009870E3"/>
    <w:rsid w:val="00987423"/>
    <w:rsid w:val="00991D71"/>
    <w:rsid w:val="009920E6"/>
    <w:rsid w:val="00994A25"/>
    <w:rsid w:val="00997B12"/>
    <w:rsid w:val="00997EE4"/>
    <w:rsid w:val="009A202D"/>
    <w:rsid w:val="009A6B28"/>
    <w:rsid w:val="009B2041"/>
    <w:rsid w:val="009B27E9"/>
    <w:rsid w:val="009B38BA"/>
    <w:rsid w:val="009C0A33"/>
    <w:rsid w:val="009C3CD1"/>
    <w:rsid w:val="009C7E29"/>
    <w:rsid w:val="009D06E8"/>
    <w:rsid w:val="009D146D"/>
    <w:rsid w:val="009D461E"/>
    <w:rsid w:val="009D5780"/>
    <w:rsid w:val="009D665A"/>
    <w:rsid w:val="009E0A0D"/>
    <w:rsid w:val="009E1CAF"/>
    <w:rsid w:val="009E6E22"/>
    <w:rsid w:val="009F061C"/>
    <w:rsid w:val="009F21C2"/>
    <w:rsid w:val="009F3BA4"/>
    <w:rsid w:val="009F52ED"/>
    <w:rsid w:val="009F6F93"/>
    <w:rsid w:val="00A0383E"/>
    <w:rsid w:val="00A0500D"/>
    <w:rsid w:val="00A0684A"/>
    <w:rsid w:val="00A06A9F"/>
    <w:rsid w:val="00A12D91"/>
    <w:rsid w:val="00A1576D"/>
    <w:rsid w:val="00A25D7F"/>
    <w:rsid w:val="00A269E8"/>
    <w:rsid w:val="00A30130"/>
    <w:rsid w:val="00A3147F"/>
    <w:rsid w:val="00A40B17"/>
    <w:rsid w:val="00A436F5"/>
    <w:rsid w:val="00A466BE"/>
    <w:rsid w:val="00A510B9"/>
    <w:rsid w:val="00A560C1"/>
    <w:rsid w:val="00A62944"/>
    <w:rsid w:val="00A6385F"/>
    <w:rsid w:val="00A6402B"/>
    <w:rsid w:val="00A65AC8"/>
    <w:rsid w:val="00A721C3"/>
    <w:rsid w:val="00A732E5"/>
    <w:rsid w:val="00A75588"/>
    <w:rsid w:val="00A77A4B"/>
    <w:rsid w:val="00A81CCE"/>
    <w:rsid w:val="00A82A4D"/>
    <w:rsid w:val="00A831D0"/>
    <w:rsid w:val="00A8724E"/>
    <w:rsid w:val="00A873ED"/>
    <w:rsid w:val="00A90139"/>
    <w:rsid w:val="00A901A5"/>
    <w:rsid w:val="00A913C6"/>
    <w:rsid w:val="00A94278"/>
    <w:rsid w:val="00A94863"/>
    <w:rsid w:val="00AA00E8"/>
    <w:rsid w:val="00AA039F"/>
    <w:rsid w:val="00AA5B57"/>
    <w:rsid w:val="00AA5DF8"/>
    <w:rsid w:val="00AB01AB"/>
    <w:rsid w:val="00AB132F"/>
    <w:rsid w:val="00AB2EFA"/>
    <w:rsid w:val="00AB3F5A"/>
    <w:rsid w:val="00AB4114"/>
    <w:rsid w:val="00AB5295"/>
    <w:rsid w:val="00AB7696"/>
    <w:rsid w:val="00AC06B0"/>
    <w:rsid w:val="00AC0D14"/>
    <w:rsid w:val="00AC15D4"/>
    <w:rsid w:val="00AC16EF"/>
    <w:rsid w:val="00AC2DDC"/>
    <w:rsid w:val="00AC52C2"/>
    <w:rsid w:val="00AC591A"/>
    <w:rsid w:val="00AC5B35"/>
    <w:rsid w:val="00AC7029"/>
    <w:rsid w:val="00AC7834"/>
    <w:rsid w:val="00AD5442"/>
    <w:rsid w:val="00AD7055"/>
    <w:rsid w:val="00AD7D7E"/>
    <w:rsid w:val="00AE0E3D"/>
    <w:rsid w:val="00AE40B8"/>
    <w:rsid w:val="00AE588B"/>
    <w:rsid w:val="00AE6C9D"/>
    <w:rsid w:val="00AF1315"/>
    <w:rsid w:val="00AF36DE"/>
    <w:rsid w:val="00AF5517"/>
    <w:rsid w:val="00AF646C"/>
    <w:rsid w:val="00AF7478"/>
    <w:rsid w:val="00AF7513"/>
    <w:rsid w:val="00B014F9"/>
    <w:rsid w:val="00B018EB"/>
    <w:rsid w:val="00B01A3F"/>
    <w:rsid w:val="00B022CF"/>
    <w:rsid w:val="00B05BBE"/>
    <w:rsid w:val="00B07D2E"/>
    <w:rsid w:val="00B15AA0"/>
    <w:rsid w:val="00B15F4E"/>
    <w:rsid w:val="00B17650"/>
    <w:rsid w:val="00B2028C"/>
    <w:rsid w:val="00B2124B"/>
    <w:rsid w:val="00B22D15"/>
    <w:rsid w:val="00B24635"/>
    <w:rsid w:val="00B2715F"/>
    <w:rsid w:val="00B276F7"/>
    <w:rsid w:val="00B40845"/>
    <w:rsid w:val="00B40BBE"/>
    <w:rsid w:val="00B42630"/>
    <w:rsid w:val="00B42ADA"/>
    <w:rsid w:val="00B42EFD"/>
    <w:rsid w:val="00B431E7"/>
    <w:rsid w:val="00B46D10"/>
    <w:rsid w:val="00B47319"/>
    <w:rsid w:val="00B53F61"/>
    <w:rsid w:val="00B545F9"/>
    <w:rsid w:val="00B54AD0"/>
    <w:rsid w:val="00B55887"/>
    <w:rsid w:val="00B83686"/>
    <w:rsid w:val="00B84491"/>
    <w:rsid w:val="00B91214"/>
    <w:rsid w:val="00B92AED"/>
    <w:rsid w:val="00BA11AC"/>
    <w:rsid w:val="00BA24CF"/>
    <w:rsid w:val="00BA3DEC"/>
    <w:rsid w:val="00BA449E"/>
    <w:rsid w:val="00BA662F"/>
    <w:rsid w:val="00BA743F"/>
    <w:rsid w:val="00BA7F24"/>
    <w:rsid w:val="00BB09B9"/>
    <w:rsid w:val="00BB2CA8"/>
    <w:rsid w:val="00BB3ECD"/>
    <w:rsid w:val="00BB595A"/>
    <w:rsid w:val="00BC4862"/>
    <w:rsid w:val="00BC5E0C"/>
    <w:rsid w:val="00BD0906"/>
    <w:rsid w:val="00BD5448"/>
    <w:rsid w:val="00BE4F46"/>
    <w:rsid w:val="00BE6C4F"/>
    <w:rsid w:val="00BF36FC"/>
    <w:rsid w:val="00BF37CC"/>
    <w:rsid w:val="00C0119C"/>
    <w:rsid w:val="00C03C60"/>
    <w:rsid w:val="00C053B1"/>
    <w:rsid w:val="00C07608"/>
    <w:rsid w:val="00C07DD3"/>
    <w:rsid w:val="00C16F14"/>
    <w:rsid w:val="00C228C0"/>
    <w:rsid w:val="00C24EF1"/>
    <w:rsid w:val="00C25B03"/>
    <w:rsid w:val="00C318F1"/>
    <w:rsid w:val="00C34DE1"/>
    <w:rsid w:val="00C361F5"/>
    <w:rsid w:val="00C40229"/>
    <w:rsid w:val="00C408A4"/>
    <w:rsid w:val="00C452BD"/>
    <w:rsid w:val="00C45748"/>
    <w:rsid w:val="00C45B79"/>
    <w:rsid w:val="00C4737B"/>
    <w:rsid w:val="00C50A70"/>
    <w:rsid w:val="00C51846"/>
    <w:rsid w:val="00C52526"/>
    <w:rsid w:val="00C52E31"/>
    <w:rsid w:val="00C53239"/>
    <w:rsid w:val="00C55330"/>
    <w:rsid w:val="00C62747"/>
    <w:rsid w:val="00C628D3"/>
    <w:rsid w:val="00C71E56"/>
    <w:rsid w:val="00C72B2C"/>
    <w:rsid w:val="00C738C4"/>
    <w:rsid w:val="00C74D78"/>
    <w:rsid w:val="00C75D94"/>
    <w:rsid w:val="00C75F9C"/>
    <w:rsid w:val="00C769CE"/>
    <w:rsid w:val="00C774AC"/>
    <w:rsid w:val="00C828B6"/>
    <w:rsid w:val="00C84399"/>
    <w:rsid w:val="00C90B18"/>
    <w:rsid w:val="00C9139C"/>
    <w:rsid w:val="00C9322E"/>
    <w:rsid w:val="00C95E63"/>
    <w:rsid w:val="00C96E88"/>
    <w:rsid w:val="00CA02B2"/>
    <w:rsid w:val="00CA05D6"/>
    <w:rsid w:val="00CA3EB4"/>
    <w:rsid w:val="00CA50AF"/>
    <w:rsid w:val="00CB22B0"/>
    <w:rsid w:val="00CB345D"/>
    <w:rsid w:val="00CB3DA9"/>
    <w:rsid w:val="00CB41F0"/>
    <w:rsid w:val="00CB534C"/>
    <w:rsid w:val="00CC68C3"/>
    <w:rsid w:val="00CC7A00"/>
    <w:rsid w:val="00CD1CD0"/>
    <w:rsid w:val="00CD37CB"/>
    <w:rsid w:val="00CD5B33"/>
    <w:rsid w:val="00CD6F2E"/>
    <w:rsid w:val="00CE0E82"/>
    <w:rsid w:val="00CE24A8"/>
    <w:rsid w:val="00CE2889"/>
    <w:rsid w:val="00CF0646"/>
    <w:rsid w:val="00CF1635"/>
    <w:rsid w:val="00CF5057"/>
    <w:rsid w:val="00CF6DC7"/>
    <w:rsid w:val="00CF78FF"/>
    <w:rsid w:val="00D003D3"/>
    <w:rsid w:val="00D01C25"/>
    <w:rsid w:val="00D04CB0"/>
    <w:rsid w:val="00D064E8"/>
    <w:rsid w:val="00D0737B"/>
    <w:rsid w:val="00D1157F"/>
    <w:rsid w:val="00D13850"/>
    <w:rsid w:val="00D154DE"/>
    <w:rsid w:val="00D20964"/>
    <w:rsid w:val="00D20FA3"/>
    <w:rsid w:val="00D21617"/>
    <w:rsid w:val="00D22769"/>
    <w:rsid w:val="00D228BB"/>
    <w:rsid w:val="00D270E9"/>
    <w:rsid w:val="00D312E6"/>
    <w:rsid w:val="00D32B14"/>
    <w:rsid w:val="00D34C3F"/>
    <w:rsid w:val="00D370FF"/>
    <w:rsid w:val="00D37E86"/>
    <w:rsid w:val="00D41869"/>
    <w:rsid w:val="00D430C1"/>
    <w:rsid w:val="00D46EAC"/>
    <w:rsid w:val="00D50065"/>
    <w:rsid w:val="00D50B8E"/>
    <w:rsid w:val="00D51E55"/>
    <w:rsid w:val="00D534D9"/>
    <w:rsid w:val="00D53ED2"/>
    <w:rsid w:val="00D5549E"/>
    <w:rsid w:val="00D56BB4"/>
    <w:rsid w:val="00D576F6"/>
    <w:rsid w:val="00D616E5"/>
    <w:rsid w:val="00D629E9"/>
    <w:rsid w:val="00D62B32"/>
    <w:rsid w:val="00D65EE3"/>
    <w:rsid w:val="00D6640E"/>
    <w:rsid w:val="00D67659"/>
    <w:rsid w:val="00D71C51"/>
    <w:rsid w:val="00D76FA9"/>
    <w:rsid w:val="00D77D72"/>
    <w:rsid w:val="00D8073E"/>
    <w:rsid w:val="00D859AD"/>
    <w:rsid w:val="00D924B7"/>
    <w:rsid w:val="00D94DE9"/>
    <w:rsid w:val="00D95C01"/>
    <w:rsid w:val="00D96EE1"/>
    <w:rsid w:val="00DA0E5C"/>
    <w:rsid w:val="00DA2E85"/>
    <w:rsid w:val="00DA328F"/>
    <w:rsid w:val="00DA482F"/>
    <w:rsid w:val="00DA6762"/>
    <w:rsid w:val="00DB36FB"/>
    <w:rsid w:val="00DB3AA8"/>
    <w:rsid w:val="00DB45CB"/>
    <w:rsid w:val="00DB7D91"/>
    <w:rsid w:val="00DC034B"/>
    <w:rsid w:val="00DC5809"/>
    <w:rsid w:val="00DD01CF"/>
    <w:rsid w:val="00DD054E"/>
    <w:rsid w:val="00DD09A0"/>
    <w:rsid w:val="00DD2601"/>
    <w:rsid w:val="00DD51A8"/>
    <w:rsid w:val="00DD61A5"/>
    <w:rsid w:val="00DD6A13"/>
    <w:rsid w:val="00DE1BFC"/>
    <w:rsid w:val="00DE2CD9"/>
    <w:rsid w:val="00DE336D"/>
    <w:rsid w:val="00DE389A"/>
    <w:rsid w:val="00DE46CC"/>
    <w:rsid w:val="00DE5110"/>
    <w:rsid w:val="00DE5BA3"/>
    <w:rsid w:val="00DE6262"/>
    <w:rsid w:val="00DE6B76"/>
    <w:rsid w:val="00DE7B43"/>
    <w:rsid w:val="00DF25DA"/>
    <w:rsid w:val="00DF30E2"/>
    <w:rsid w:val="00E06EDF"/>
    <w:rsid w:val="00E07D95"/>
    <w:rsid w:val="00E10BEA"/>
    <w:rsid w:val="00E11E21"/>
    <w:rsid w:val="00E11EC2"/>
    <w:rsid w:val="00E13D7E"/>
    <w:rsid w:val="00E20A81"/>
    <w:rsid w:val="00E217AA"/>
    <w:rsid w:val="00E21882"/>
    <w:rsid w:val="00E22F94"/>
    <w:rsid w:val="00E24045"/>
    <w:rsid w:val="00E2622A"/>
    <w:rsid w:val="00E273D1"/>
    <w:rsid w:val="00E30866"/>
    <w:rsid w:val="00E32A73"/>
    <w:rsid w:val="00E32E7A"/>
    <w:rsid w:val="00E33860"/>
    <w:rsid w:val="00E33D10"/>
    <w:rsid w:val="00E36B88"/>
    <w:rsid w:val="00E37EA1"/>
    <w:rsid w:val="00E402A8"/>
    <w:rsid w:val="00E45CEE"/>
    <w:rsid w:val="00E50212"/>
    <w:rsid w:val="00E50506"/>
    <w:rsid w:val="00E51477"/>
    <w:rsid w:val="00E52576"/>
    <w:rsid w:val="00E5272E"/>
    <w:rsid w:val="00E52C59"/>
    <w:rsid w:val="00E57AC1"/>
    <w:rsid w:val="00E63611"/>
    <w:rsid w:val="00E646FB"/>
    <w:rsid w:val="00E67795"/>
    <w:rsid w:val="00E72E9B"/>
    <w:rsid w:val="00E73082"/>
    <w:rsid w:val="00E7395C"/>
    <w:rsid w:val="00E73E70"/>
    <w:rsid w:val="00E767D9"/>
    <w:rsid w:val="00E80FFC"/>
    <w:rsid w:val="00E812A7"/>
    <w:rsid w:val="00E84BCE"/>
    <w:rsid w:val="00E8502F"/>
    <w:rsid w:val="00E87682"/>
    <w:rsid w:val="00E87A3A"/>
    <w:rsid w:val="00E924DD"/>
    <w:rsid w:val="00EA0E45"/>
    <w:rsid w:val="00EA2D9D"/>
    <w:rsid w:val="00EA3CF4"/>
    <w:rsid w:val="00EA638C"/>
    <w:rsid w:val="00EA74A9"/>
    <w:rsid w:val="00EA7F7C"/>
    <w:rsid w:val="00EB3B68"/>
    <w:rsid w:val="00EB4252"/>
    <w:rsid w:val="00EB53F6"/>
    <w:rsid w:val="00EB60B1"/>
    <w:rsid w:val="00EB6D8E"/>
    <w:rsid w:val="00EB6F06"/>
    <w:rsid w:val="00EB7603"/>
    <w:rsid w:val="00EC2771"/>
    <w:rsid w:val="00EC286D"/>
    <w:rsid w:val="00EC2EDD"/>
    <w:rsid w:val="00EC3D9A"/>
    <w:rsid w:val="00EC4056"/>
    <w:rsid w:val="00EC55B8"/>
    <w:rsid w:val="00EC6FA0"/>
    <w:rsid w:val="00ED1D59"/>
    <w:rsid w:val="00ED23BF"/>
    <w:rsid w:val="00ED3A8B"/>
    <w:rsid w:val="00ED51B8"/>
    <w:rsid w:val="00EE098D"/>
    <w:rsid w:val="00EE49ED"/>
    <w:rsid w:val="00EE4B9F"/>
    <w:rsid w:val="00EE5321"/>
    <w:rsid w:val="00EE7B94"/>
    <w:rsid w:val="00EE7F78"/>
    <w:rsid w:val="00EF289D"/>
    <w:rsid w:val="00EF5CB0"/>
    <w:rsid w:val="00EF7098"/>
    <w:rsid w:val="00EF765B"/>
    <w:rsid w:val="00F01AC5"/>
    <w:rsid w:val="00F106E5"/>
    <w:rsid w:val="00F10E31"/>
    <w:rsid w:val="00F13EC3"/>
    <w:rsid w:val="00F15C67"/>
    <w:rsid w:val="00F16B1A"/>
    <w:rsid w:val="00F20A0B"/>
    <w:rsid w:val="00F23F82"/>
    <w:rsid w:val="00F30C21"/>
    <w:rsid w:val="00F32E98"/>
    <w:rsid w:val="00F35248"/>
    <w:rsid w:val="00F3620D"/>
    <w:rsid w:val="00F37544"/>
    <w:rsid w:val="00F4131A"/>
    <w:rsid w:val="00F442D6"/>
    <w:rsid w:val="00F466D2"/>
    <w:rsid w:val="00F46962"/>
    <w:rsid w:val="00F46E35"/>
    <w:rsid w:val="00F4787B"/>
    <w:rsid w:val="00F5109E"/>
    <w:rsid w:val="00F55146"/>
    <w:rsid w:val="00F55EEE"/>
    <w:rsid w:val="00F56D08"/>
    <w:rsid w:val="00F6021A"/>
    <w:rsid w:val="00F62958"/>
    <w:rsid w:val="00F66249"/>
    <w:rsid w:val="00F66B32"/>
    <w:rsid w:val="00F66EEC"/>
    <w:rsid w:val="00F712C7"/>
    <w:rsid w:val="00F71500"/>
    <w:rsid w:val="00F71D0F"/>
    <w:rsid w:val="00F73F34"/>
    <w:rsid w:val="00F769B7"/>
    <w:rsid w:val="00F77110"/>
    <w:rsid w:val="00F8060E"/>
    <w:rsid w:val="00F846D2"/>
    <w:rsid w:val="00F84A7D"/>
    <w:rsid w:val="00F84C94"/>
    <w:rsid w:val="00F8517C"/>
    <w:rsid w:val="00F86CA8"/>
    <w:rsid w:val="00F87B8F"/>
    <w:rsid w:val="00F87EF6"/>
    <w:rsid w:val="00F940DF"/>
    <w:rsid w:val="00F959AD"/>
    <w:rsid w:val="00FA0179"/>
    <w:rsid w:val="00FA1397"/>
    <w:rsid w:val="00FA2448"/>
    <w:rsid w:val="00FA25DC"/>
    <w:rsid w:val="00FA65CC"/>
    <w:rsid w:val="00FB40A1"/>
    <w:rsid w:val="00FB76C5"/>
    <w:rsid w:val="00FB7EF2"/>
    <w:rsid w:val="00FC029E"/>
    <w:rsid w:val="00FC0FD3"/>
    <w:rsid w:val="00FC23C3"/>
    <w:rsid w:val="00FC2D57"/>
    <w:rsid w:val="00FC45B8"/>
    <w:rsid w:val="00FD0B80"/>
    <w:rsid w:val="00FD0F3C"/>
    <w:rsid w:val="00FD2396"/>
    <w:rsid w:val="00FD512A"/>
    <w:rsid w:val="00FE11ED"/>
    <w:rsid w:val="00FE591E"/>
    <w:rsid w:val="00FF0536"/>
    <w:rsid w:val="00FF56E9"/>
    <w:rsid w:val="00FF6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A467A9"/>
  <w15:chartTrackingRefBased/>
  <w15:docId w15:val="{7E67D064-A3BB-423B-9EE3-52AF59F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F7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D4F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D4F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D4F77"/>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D4F77"/>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6D4F77"/>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6D4F77"/>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6D4F77"/>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6D4F77"/>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6D4F77"/>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77"/>
    <w:rPr>
      <w:rFonts w:eastAsiaTheme="majorEastAsia" w:cstheme="majorBidi"/>
      <w:color w:val="272727" w:themeColor="text1" w:themeTint="D8"/>
    </w:rPr>
  </w:style>
  <w:style w:type="paragraph" w:styleId="Title">
    <w:name w:val="Title"/>
    <w:basedOn w:val="Normal"/>
    <w:next w:val="Normal"/>
    <w:link w:val="TitleChar"/>
    <w:uiPriority w:val="10"/>
    <w:qFormat/>
    <w:rsid w:val="006D4F77"/>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D4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77"/>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D4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77"/>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6D4F77"/>
    <w:rPr>
      <w:i/>
      <w:iCs/>
      <w:color w:val="404040" w:themeColor="text1" w:themeTint="BF"/>
    </w:rPr>
  </w:style>
  <w:style w:type="paragraph" w:styleId="ListParagraph">
    <w:name w:val="List Paragraph"/>
    <w:basedOn w:val="Normal"/>
    <w:uiPriority w:val="34"/>
    <w:qFormat/>
    <w:rsid w:val="006D4F77"/>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6D4F77"/>
    <w:rPr>
      <w:i/>
      <w:iCs/>
      <w:color w:val="0F4761" w:themeColor="accent1" w:themeShade="BF"/>
    </w:rPr>
  </w:style>
  <w:style w:type="paragraph" w:styleId="IntenseQuote">
    <w:name w:val="Intense Quote"/>
    <w:basedOn w:val="Normal"/>
    <w:next w:val="Normal"/>
    <w:link w:val="IntenseQuoteChar"/>
    <w:uiPriority w:val="30"/>
    <w:qFormat/>
    <w:rsid w:val="006D4F7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6D4F77"/>
    <w:rPr>
      <w:i/>
      <w:iCs/>
      <w:color w:val="0F4761" w:themeColor="accent1" w:themeShade="BF"/>
    </w:rPr>
  </w:style>
  <w:style w:type="character" w:styleId="IntenseReference">
    <w:name w:val="Intense Reference"/>
    <w:basedOn w:val="DefaultParagraphFont"/>
    <w:uiPriority w:val="32"/>
    <w:qFormat/>
    <w:rsid w:val="006D4F77"/>
    <w:rPr>
      <w:b/>
      <w:bCs/>
      <w:smallCaps/>
      <w:color w:val="0F4761" w:themeColor="accent1" w:themeShade="BF"/>
      <w:spacing w:val="5"/>
    </w:rPr>
  </w:style>
  <w:style w:type="character" w:styleId="Hyperlink">
    <w:name w:val="Hyperlink"/>
    <w:basedOn w:val="DefaultParagraphFont"/>
    <w:uiPriority w:val="99"/>
    <w:unhideWhenUsed/>
    <w:qFormat/>
    <w:rsid w:val="00C95E63"/>
    <w:rPr>
      <w:color w:val="467886" w:themeColor="hyperlink"/>
      <w:u w:val="single"/>
    </w:rPr>
  </w:style>
  <w:style w:type="character" w:styleId="UnresolvedMention">
    <w:name w:val="Unresolved Mention"/>
    <w:basedOn w:val="DefaultParagraphFont"/>
    <w:uiPriority w:val="99"/>
    <w:semiHidden/>
    <w:unhideWhenUsed/>
    <w:rsid w:val="002A166C"/>
    <w:rPr>
      <w:color w:val="605E5C"/>
      <w:shd w:val="clear" w:color="auto" w:fill="E1DFDD"/>
    </w:rPr>
  </w:style>
  <w:style w:type="table" w:customStyle="1" w:styleId="ListTable6Colourful1">
    <w:name w:val="List Table 6 Colourful1"/>
    <w:basedOn w:val="TableNormal"/>
    <w:uiPriority w:val="51"/>
    <w:rsid w:val="0087676F"/>
    <w:pPr>
      <w:spacing w:after="0" w:line="240" w:lineRule="auto"/>
    </w:pPr>
    <w:rPr>
      <w:color w:val="000000" w:themeColor="text1"/>
      <w:kern w:val="0"/>
      <w:sz w:val="20"/>
      <w:szCs w:val="20"/>
      <w:lang w:eastAsia="en-GB"/>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B40A1"/>
    <w:pPr>
      <w:spacing w:after="0" w:line="240" w:lineRule="auto"/>
    </w:pPr>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3">
    <w:name w:val="List Table 6 Colorful13"/>
    <w:basedOn w:val="TableNormal"/>
    <w:uiPriority w:val="51"/>
    <w:rsid w:val="00EA0E45"/>
    <w:pPr>
      <w:spacing w:after="0" w:line="240" w:lineRule="auto"/>
    </w:pPr>
    <w:rPr>
      <w:color w:val="000000"/>
      <w:kern w:val="0"/>
      <w:sz w:val="20"/>
      <w:szCs w:val="20"/>
      <w:lang w:eastAsia="en-GB"/>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997B12"/>
    <w:pPr>
      <w:spacing w:after="0" w:line="240" w:lineRule="auto"/>
    </w:pPr>
    <w:rPr>
      <w:color w:val="000000"/>
      <w:kern w:val="0"/>
      <w:sz w:val="20"/>
      <w:szCs w:val="20"/>
      <w:lang w:eastAsia="en-GB"/>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693AFB"/>
    <w:pPr>
      <w:spacing w:after="0" w:line="240" w:lineRule="auto"/>
    </w:pPr>
    <w:rPr>
      <w:color w:val="000000"/>
      <w:kern w:val="0"/>
      <w:sz w:val="20"/>
      <w:szCs w:val="20"/>
      <w:lang w:eastAsia="en-GB"/>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CA3EB4"/>
    <w:pPr>
      <w:spacing w:after="0" w:line="240" w:lineRule="auto"/>
    </w:pPr>
    <w:rPr>
      <w:color w:val="000000" w:themeColor="text1"/>
      <w:kern w:val="0"/>
      <w:sz w:val="22"/>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A510B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0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BC6"/>
    <w:rPr>
      <w:kern w:val="0"/>
      <w:sz w:val="22"/>
      <w:szCs w:val="22"/>
      <w:lang w:val="en-US"/>
      <w14:ligatures w14:val="none"/>
    </w:rPr>
  </w:style>
  <w:style w:type="paragraph" w:styleId="Footer">
    <w:name w:val="footer"/>
    <w:basedOn w:val="Normal"/>
    <w:link w:val="FooterChar"/>
    <w:uiPriority w:val="99"/>
    <w:unhideWhenUsed/>
    <w:rsid w:val="0083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BC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581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37">
          <w:marLeft w:val="0"/>
          <w:marRight w:val="0"/>
          <w:marTop w:val="0"/>
          <w:marBottom w:val="0"/>
          <w:divBdr>
            <w:top w:val="none" w:sz="0" w:space="0" w:color="auto"/>
            <w:left w:val="none" w:sz="0" w:space="0" w:color="auto"/>
            <w:bottom w:val="none" w:sz="0" w:space="0" w:color="auto"/>
            <w:right w:val="none" w:sz="0" w:space="0" w:color="auto"/>
          </w:divBdr>
        </w:div>
      </w:divsChild>
    </w:div>
    <w:div w:id="1430927240">
      <w:bodyDiv w:val="1"/>
      <w:marLeft w:val="0"/>
      <w:marRight w:val="0"/>
      <w:marTop w:val="0"/>
      <w:marBottom w:val="0"/>
      <w:divBdr>
        <w:top w:val="none" w:sz="0" w:space="0" w:color="auto"/>
        <w:left w:val="none" w:sz="0" w:space="0" w:color="auto"/>
        <w:bottom w:val="none" w:sz="0" w:space="0" w:color="auto"/>
        <w:right w:val="none" w:sz="0" w:space="0" w:color="auto"/>
      </w:divBdr>
      <w:divsChild>
        <w:div w:id="263660695">
          <w:marLeft w:val="0"/>
          <w:marRight w:val="0"/>
          <w:marTop w:val="0"/>
          <w:marBottom w:val="0"/>
          <w:divBdr>
            <w:top w:val="none" w:sz="0" w:space="0" w:color="auto"/>
            <w:left w:val="none" w:sz="0" w:space="0" w:color="auto"/>
            <w:bottom w:val="none" w:sz="0" w:space="0" w:color="auto"/>
            <w:right w:val="none" w:sz="0" w:space="0" w:color="auto"/>
          </w:divBdr>
        </w:div>
      </w:divsChild>
    </w:div>
    <w:div w:id="1614050129">
      <w:bodyDiv w:val="1"/>
      <w:marLeft w:val="0"/>
      <w:marRight w:val="0"/>
      <w:marTop w:val="0"/>
      <w:marBottom w:val="0"/>
      <w:divBdr>
        <w:top w:val="none" w:sz="0" w:space="0" w:color="auto"/>
        <w:left w:val="none" w:sz="0" w:space="0" w:color="auto"/>
        <w:bottom w:val="none" w:sz="0" w:space="0" w:color="auto"/>
        <w:right w:val="none" w:sz="0" w:space="0" w:color="auto"/>
      </w:divBdr>
      <w:divsChild>
        <w:div w:id="516315969">
          <w:marLeft w:val="0"/>
          <w:marRight w:val="0"/>
          <w:marTop w:val="0"/>
          <w:marBottom w:val="0"/>
          <w:divBdr>
            <w:top w:val="none" w:sz="0" w:space="0" w:color="auto"/>
            <w:left w:val="none" w:sz="0" w:space="0" w:color="auto"/>
            <w:bottom w:val="none" w:sz="0" w:space="0" w:color="auto"/>
            <w:right w:val="none" w:sz="0" w:space="0" w:color="auto"/>
          </w:divBdr>
        </w:div>
      </w:divsChild>
    </w:div>
    <w:div w:id="1641810881">
      <w:bodyDiv w:val="1"/>
      <w:marLeft w:val="0"/>
      <w:marRight w:val="0"/>
      <w:marTop w:val="0"/>
      <w:marBottom w:val="0"/>
      <w:divBdr>
        <w:top w:val="none" w:sz="0" w:space="0" w:color="auto"/>
        <w:left w:val="none" w:sz="0" w:space="0" w:color="auto"/>
        <w:bottom w:val="none" w:sz="0" w:space="0" w:color="auto"/>
        <w:right w:val="none" w:sz="0" w:space="0" w:color="auto"/>
      </w:divBdr>
      <w:divsChild>
        <w:div w:id="1118182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24129227061413"/>
                  <c:y val="-8.4577234594142001E-2"/>
                </c:manualLayout>
              </c:layout>
              <c:numFmt formatCode="General" sourceLinked="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rendlineLbl>
          </c:trendline>
          <c:xVal>
            <c:numRef>
              <c:f>Sheet1!$A$1:$A$180</c:f>
              <c:numCache>
                <c:formatCode>General</c:formatCode>
                <c:ptCount val="180"/>
                <c:pt idx="0">
                  <c:v>30</c:v>
                </c:pt>
                <c:pt idx="1">
                  <c:v>37</c:v>
                </c:pt>
                <c:pt idx="2">
                  <c:v>36</c:v>
                </c:pt>
                <c:pt idx="3">
                  <c:v>36</c:v>
                </c:pt>
                <c:pt idx="4">
                  <c:v>35</c:v>
                </c:pt>
                <c:pt idx="5">
                  <c:v>32.5</c:v>
                </c:pt>
                <c:pt idx="6">
                  <c:v>33</c:v>
                </c:pt>
                <c:pt idx="7">
                  <c:v>35</c:v>
                </c:pt>
                <c:pt idx="8">
                  <c:v>34</c:v>
                </c:pt>
                <c:pt idx="9">
                  <c:v>35</c:v>
                </c:pt>
                <c:pt idx="10">
                  <c:v>39.5</c:v>
                </c:pt>
                <c:pt idx="11">
                  <c:v>32.5</c:v>
                </c:pt>
                <c:pt idx="12">
                  <c:v>31</c:v>
                </c:pt>
                <c:pt idx="13">
                  <c:v>31</c:v>
                </c:pt>
                <c:pt idx="14">
                  <c:v>34.5</c:v>
                </c:pt>
                <c:pt idx="15">
                  <c:v>32</c:v>
                </c:pt>
                <c:pt idx="16">
                  <c:v>34</c:v>
                </c:pt>
                <c:pt idx="17">
                  <c:v>34</c:v>
                </c:pt>
                <c:pt idx="18">
                  <c:v>38</c:v>
                </c:pt>
                <c:pt idx="19">
                  <c:v>31</c:v>
                </c:pt>
                <c:pt idx="20">
                  <c:v>38</c:v>
                </c:pt>
                <c:pt idx="21">
                  <c:v>32</c:v>
                </c:pt>
                <c:pt idx="22">
                  <c:v>35</c:v>
                </c:pt>
                <c:pt idx="23">
                  <c:v>34</c:v>
                </c:pt>
                <c:pt idx="24">
                  <c:v>34.5</c:v>
                </c:pt>
                <c:pt idx="25">
                  <c:v>31</c:v>
                </c:pt>
                <c:pt idx="26">
                  <c:v>44</c:v>
                </c:pt>
                <c:pt idx="27">
                  <c:v>32</c:v>
                </c:pt>
                <c:pt idx="28">
                  <c:v>29.5</c:v>
                </c:pt>
                <c:pt idx="29">
                  <c:v>33</c:v>
                </c:pt>
                <c:pt idx="30">
                  <c:v>42.5</c:v>
                </c:pt>
                <c:pt idx="31">
                  <c:v>32.5</c:v>
                </c:pt>
                <c:pt idx="32">
                  <c:v>32.5</c:v>
                </c:pt>
                <c:pt idx="33">
                  <c:v>36</c:v>
                </c:pt>
                <c:pt idx="34">
                  <c:v>39</c:v>
                </c:pt>
                <c:pt idx="35">
                  <c:v>37</c:v>
                </c:pt>
                <c:pt idx="36">
                  <c:v>32</c:v>
                </c:pt>
                <c:pt idx="37">
                  <c:v>32</c:v>
                </c:pt>
                <c:pt idx="38">
                  <c:v>40</c:v>
                </c:pt>
                <c:pt idx="39">
                  <c:v>34</c:v>
                </c:pt>
                <c:pt idx="40">
                  <c:v>29</c:v>
                </c:pt>
                <c:pt idx="41">
                  <c:v>31</c:v>
                </c:pt>
                <c:pt idx="42">
                  <c:v>36</c:v>
                </c:pt>
                <c:pt idx="43">
                  <c:v>33</c:v>
                </c:pt>
                <c:pt idx="44">
                  <c:v>37</c:v>
                </c:pt>
                <c:pt idx="45">
                  <c:v>33</c:v>
                </c:pt>
                <c:pt idx="46">
                  <c:v>40</c:v>
                </c:pt>
                <c:pt idx="47">
                  <c:v>33</c:v>
                </c:pt>
                <c:pt idx="48">
                  <c:v>30</c:v>
                </c:pt>
                <c:pt idx="49">
                  <c:v>35</c:v>
                </c:pt>
                <c:pt idx="50">
                  <c:v>42</c:v>
                </c:pt>
                <c:pt idx="51">
                  <c:v>35</c:v>
                </c:pt>
                <c:pt idx="52">
                  <c:v>37</c:v>
                </c:pt>
                <c:pt idx="53">
                  <c:v>31</c:v>
                </c:pt>
                <c:pt idx="54">
                  <c:v>32</c:v>
                </c:pt>
                <c:pt idx="55">
                  <c:v>32</c:v>
                </c:pt>
                <c:pt idx="56">
                  <c:v>34</c:v>
                </c:pt>
                <c:pt idx="57">
                  <c:v>33</c:v>
                </c:pt>
                <c:pt idx="58">
                  <c:v>35</c:v>
                </c:pt>
                <c:pt idx="59">
                  <c:v>31</c:v>
                </c:pt>
                <c:pt idx="60">
                  <c:v>37</c:v>
                </c:pt>
                <c:pt idx="61">
                  <c:v>40</c:v>
                </c:pt>
                <c:pt idx="62">
                  <c:v>34</c:v>
                </c:pt>
                <c:pt idx="63">
                  <c:v>31.5</c:v>
                </c:pt>
                <c:pt idx="64">
                  <c:v>36</c:v>
                </c:pt>
                <c:pt idx="65">
                  <c:v>38</c:v>
                </c:pt>
                <c:pt idx="66">
                  <c:v>32</c:v>
                </c:pt>
                <c:pt idx="67">
                  <c:v>38</c:v>
                </c:pt>
                <c:pt idx="68">
                  <c:v>34</c:v>
                </c:pt>
                <c:pt idx="69">
                  <c:v>31.5</c:v>
                </c:pt>
                <c:pt idx="70">
                  <c:v>32</c:v>
                </c:pt>
                <c:pt idx="71">
                  <c:v>34</c:v>
                </c:pt>
                <c:pt idx="72">
                  <c:v>39</c:v>
                </c:pt>
                <c:pt idx="73">
                  <c:v>34</c:v>
                </c:pt>
                <c:pt idx="74">
                  <c:v>34</c:v>
                </c:pt>
                <c:pt idx="75">
                  <c:v>35</c:v>
                </c:pt>
                <c:pt idx="76">
                  <c:v>32</c:v>
                </c:pt>
                <c:pt idx="77">
                  <c:v>36</c:v>
                </c:pt>
                <c:pt idx="78">
                  <c:v>29</c:v>
                </c:pt>
                <c:pt idx="79">
                  <c:v>35</c:v>
                </c:pt>
                <c:pt idx="80">
                  <c:v>41</c:v>
                </c:pt>
                <c:pt idx="81">
                  <c:v>34.5</c:v>
                </c:pt>
                <c:pt idx="82">
                  <c:v>31.5</c:v>
                </c:pt>
                <c:pt idx="83">
                  <c:v>33</c:v>
                </c:pt>
                <c:pt idx="84">
                  <c:v>31</c:v>
                </c:pt>
                <c:pt idx="85">
                  <c:v>32</c:v>
                </c:pt>
                <c:pt idx="86">
                  <c:v>32</c:v>
                </c:pt>
                <c:pt idx="87">
                  <c:v>32.5</c:v>
                </c:pt>
                <c:pt idx="88">
                  <c:v>33.5</c:v>
                </c:pt>
                <c:pt idx="89">
                  <c:v>34</c:v>
                </c:pt>
                <c:pt idx="90">
                  <c:v>32.5</c:v>
                </c:pt>
                <c:pt idx="91">
                  <c:v>34</c:v>
                </c:pt>
                <c:pt idx="92">
                  <c:v>31.5</c:v>
                </c:pt>
                <c:pt idx="93">
                  <c:v>34.5</c:v>
                </c:pt>
                <c:pt idx="94">
                  <c:v>32</c:v>
                </c:pt>
                <c:pt idx="95">
                  <c:v>30</c:v>
                </c:pt>
                <c:pt idx="96">
                  <c:v>32</c:v>
                </c:pt>
                <c:pt idx="97">
                  <c:v>36</c:v>
                </c:pt>
                <c:pt idx="98">
                  <c:v>39</c:v>
                </c:pt>
                <c:pt idx="99">
                  <c:v>37</c:v>
                </c:pt>
                <c:pt idx="100">
                  <c:v>34</c:v>
                </c:pt>
                <c:pt idx="101">
                  <c:v>35</c:v>
                </c:pt>
                <c:pt idx="102">
                  <c:v>40</c:v>
                </c:pt>
                <c:pt idx="103">
                  <c:v>30.5</c:v>
                </c:pt>
                <c:pt idx="104">
                  <c:v>39</c:v>
                </c:pt>
                <c:pt idx="105">
                  <c:v>30.5</c:v>
                </c:pt>
                <c:pt idx="106">
                  <c:v>32</c:v>
                </c:pt>
                <c:pt idx="107">
                  <c:v>34</c:v>
                </c:pt>
                <c:pt idx="108">
                  <c:v>33</c:v>
                </c:pt>
                <c:pt idx="109">
                  <c:v>30</c:v>
                </c:pt>
                <c:pt idx="110">
                  <c:v>32</c:v>
                </c:pt>
                <c:pt idx="111">
                  <c:v>36</c:v>
                </c:pt>
                <c:pt idx="112">
                  <c:v>33</c:v>
                </c:pt>
                <c:pt idx="113">
                  <c:v>38</c:v>
                </c:pt>
                <c:pt idx="114">
                  <c:v>40</c:v>
                </c:pt>
                <c:pt idx="115">
                  <c:v>35</c:v>
                </c:pt>
                <c:pt idx="116">
                  <c:v>39</c:v>
                </c:pt>
                <c:pt idx="117">
                  <c:v>33</c:v>
                </c:pt>
                <c:pt idx="118">
                  <c:v>34</c:v>
                </c:pt>
                <c:pt idx="119">
                  <c:v>32</c:v>
                </c:pt>
                <c:pt idx="120">
                  <c:v>37</c:v>
                </c:pt>
                <c:pt idx="121">
                  <c:v>36.5</c:v>
                </c:pt>
                <c:pt idx="122">
                  <c:v>31</c:v>
                </c:pt>
                <c:pt idx="123">
                  <c:v>39</c:v>
                </c:pt>
                <c:pt idx="124">
                  <c:v>32</c:v>
                </c:pt>
                <c:pt idx="125">
                  <c:v>34</c:v>
                </c:pt>
                <c:pt idx="126">
                  <c:v>40</c:v>
                </c:pt>
                <c:pt idx="127">
                  <c:v>35</c:v>
                </c:pt>
                <c:pt idx="128">
                  <c:v>33</c:v>
                </c:pt>
                <c:pt idx="129">
                  <c:v>43</c:v>
                </c:pt>
                <c:pt idx="130">
                  <c:v>36</c:v>
                </c:pt>
                <c:pt idx="131">
                  <c:v>33</c:v>
                </c:pt>
                <c:pt idx="132">
                  <c:v>33</c:v>
                </c:pt>
                <c:pt idx="133">
                  <c:v>27</c:v>
                </c:pt>
                <c:pt idx="134">
                  <c:v>36</c:v>
                </c:pt>
                <c:pt idx="135">
                  <c:v>35</c:v>
                </c:pt>
                <c:pt idx="136">
                  <c:v>31</c:v>
                </c:pt>
                <c:pt idx="137">
                  <c:v>36</c:v>
                </c:pt>
                <c:pt idx="138">
                  <c:v>35</c:v>
                </c:pt>
                <c:pt idx="139">
                  <c:v>33</c:v>
                </c:pt>
                <c:pt idx="140">
                  <c:v>37</c:v>
                </c:pt>
                <c:pt idx="141">
                  <c:v>35</c:v>
                </c:pt>
                <c:pt idx="142">
                  <c:v>32.5</c:v>
                </c:pt>
                <c:pt idx="143">
                  <c:v>32</c:v>
                </c:pt>
                <c:pt idx="144">
                  <c:v>34</c:v>
                </c:pt>
                <c:pt idx="145">
                  <c:v>36</c:v>
                </c:pt>
                <c:pt idx="146">
                  <c:v>35</c:v>
                </c:pt>
                <c:pt idx="147">
                  <c:v>39</c:v>
                </c:pt>
                <c:pt idx="148">
                  <c:v>33.5</c:v>
                </c:pt>
                <c:pt idx="149">
                  <c:v>34</c:v>
                </c:pt>
                <c:pt idx="150">
                  <c:v>36</c:v>
                </c:pt>
                <c:pt idx="151">
                  <c:v>36</c:v>
                </c:pt>
                <c:pt idx="152">
                  <c:v>36.5</c:v>
                </c:pt>
                <c:pt idx="153">
                  <c:v>37</c:v>
                </c:pt>
                <c:pt idx="154">
                  <c:v>34.5</c:v>
                </c:pt>
                <c:pt idx="155">
                  <c:v>37</c:v>
                </c:pt>
                <c:pt idx="156">
                  <c:v>34</c:v>
                </c:pt>
                <c:pt idx="157">
                  <c:v>35</c:v>
                </c:pt>
                <c:pt idx="158">
                  <c:v>34</c:v>
                </c:pt>
                <c:pt idx="159">
                  <c:v>34</c:v>
                </c:pt>
                <c:pt idx="160">
                  <c:v>34</c:v>
                </c:pt>
                <c:pt idx="161">
                  <c:v>34</c:v>
                </c:pt>
                <c:pt idx="162">
                  <c:v>34.5</c:v>
                </c:pt>
                <c:pt idx="163">
                  <c:v>36</c:v>
                </c:pt>
                <c:pt idx="164">
                  <c:v>34</c:v>
                </c:pt>
                <c:pt idx="165">
                  <c:v>39</c:v>
                </c:pt>
                <c:pt idx="166">
                  <c:v>37.5</c:v>
                </c:pt>
                <c:pt idx="167">
                  <c:v>35</c:v>
                </c:pt>
                <c:pt idx="168">
                  <c:v>36</c:v>
                </c:pt>
                <c:pt idx="169">
                  <c:v>40</c:v>
                </c:pt>
                <c:pt idx="170">
                  <c:v>32</c:v>
                </c:pt>
                <c:pt idx="171">
                  <c:v>33</c:v>
                </c:pt>
                <c:pt idx="172">
                  <c:v>32</c:v>
                </c:pt>
                <c:pt idx="173">
                  <c:v>32</c:v>
                </c:pt>
                <c:pt idx="174">
                  <c:v>34</c:v>
                </c:pt>
                <c:pt idx="175">
                  <c:v>31</c:v>
                </c:pt>
                <c:pt idx="176">
                  <c:v>36</c:v>
                </c:pt>
                <c:pt idx="177">
                  <c:v>32</c:v>
                </c:pt>
                <c:pt idx="178">
                  <c:v>34</c:v>
                </c:pt>
                <c:pt idx="179">
                  <c:v>35.5</c:v>
                </c:pt>
              </c:numCache>
            </c:numRef>
          </c:xVal>
          <c:yVal>
            <c:numRef>
              <c:f>Sheet1!$B$1:$B$180</c:f>
              <c:numCache>
                <c:formatCode>General</c:formatCode>
                <c:ptCount val="180"/>
                <c:pt idx="0">
                  <c:v>22.7</c:v>
                </c:pt>
                <c:pt idx="1">
                  <c:v>34</c:v>
                </c:pt>
                <c:pt idx="2">
                  <c:v>21.9</c:v>
                </c:pt>
                <c:pt idx="3">
                  <c:v>32.5</c:v>
                </c:pt>
                <c:pt idx="4">
                  <c:v>36.5</c:v>
                </c:pt>
                <c:pt idx="5">
                  <c:v>18.5</c:v>
                </c:pt>
                <c:pt idx="6">
                  <c:v>39.6</c:v>
                </c:pt>
                <c:pt idx="7">
                  <c:v>35.9</c:v>
                </c:pt>
                <c:pt idx="8">
                  <c:v>22.6</c:v>
                </c:pt>
                <c:pt idx="9">
                  <c:v>26</c:v>
                </c:pt>
                <c:pt idx="10">
                  <c:v>37.1</c:v>
                </c:pt>
                <c:pt idx="11">
                  <c:v>24</c:v>
                </c:pt>
                <c:pt idx="12">
                  <c:v>30.6</c:v>
                </c:pt>
                <c:pt idx="13">
                  <c:v>27.5</c:v>
                </c:pt>
                <c:pt idx="14">
                  <c:v>31.2</c:v>
                </c:pt>
                <c:pt idx="15">
                  <c:v>23.2</c:v>
                </c:pt>
                <c:pt idx="16">
                  <c:v>28.2</c:v>
                </c:pt>
                <c:pt idx="17">
                  <c:v>32.700000000000003</c:v>
                </c:pt>
                <c:pt idx="18">
                  <c:v>22.6</c:v>
                </c:pt>
                <c:pt idx="19">
                  <c:v>21.5</c:v>
                </c:pt>
                <c:pt idx="20">
                  <c:v>24.2</c:v>
                </c:pt>
                <c:pt idx="21">
                  <c:v>21.6</c:v>
                </c:pt>
                <c:pt idx="22">
                  <c:v>31.4</c:v>
                </c:pt>
                <c:pt idx="23">
                  <c:v>29.1</c:v>
                </c:pt>
                <c:pt idx="24">
                  <c:v>37.5</c:v>
                </c:pt>
                <c:pt idx="25">
                  <c:v>27.1</c:v>
                </c:pt>
                <c:pt idx="26">
                  <c:v>36</c:v>
                </c:pt>
                <c:pt idx="27">
                  <c:v>28.8</c:v>
                </c:pt>
                <c:pt idx="28">
                  <c:v>25.3</c:v>
                </c:pt>
                <c:pt idx="29">
                  <c:v>30.7</c:v>
                </c:pt>
                <c:pt idx="30">
                  <c:v>36.700000000000003</c:v>
                </c:pt>
                <c:pt idx="31">
                  <c:v>31.1</c:v>
                </c:pt>
                <c:pt idx="32">
                  <c:v>24.7</c:v>
                </c:pt>
                <c:pt idx="33">
                  <c:v>21.5</c:v>
                </c:pt>
                <c:pt idx="34">
                  <c:v>28.7</c:v>
                </c:pt>
                <c:pt idx="35">
                  <c:v>29.6</c:v>
                </c:pt>
                <c:pt idx="36">
                  <c:v>22.6</c:v>
                </c:pt>
                <c:pt idx="37">
                  <c:v>25.6</c:v>
                </c:pt>
                <c:pt idx="38">
                  <c:v>33.200000000000003</c:v>
                </c:pt>
                <c:pt idx="39">
                  <c:v>40.1</c:v>
                </c:pt>
                <c:pt idx="40">
                  <c:v>23.3</c:v>
                </c:pt>
                <c:pt idx="41">
                  <c:v>35.700000000000003</c:v>
                </c:pt>
                <c:pt idx="42">
                  <c:v>24.6</c:v>
                </c:pt>
                <c:pt idx="43">
                  <c:v>31.6</c:v>
                </c:pt>
                <c:pt idx="44">
                  <c:v>31.9</c:v>
                </c:pt>
                <c:pt idx="45">
                  <c:v>26.9</c:v>
                </c:pt>
                <c:pt idx="46">
                  <c:v>30.7</c:v>
                </c:pt>
                <c:pt idx="47">
                  <c:v>26.5</c:v>
                </c:pt>
                <c:pt idx="48">
                  <c:v>23.3</c:v>
                </c:pt>
                <c:pt idx="49">
                  <c:v>22.3</c:v>
                </c:pt>
                <c:pt idx="50">
                  <c:v>36.299999999999997</c:v>
                </c:pt>
                <c:pt idx="51">
                  <c:v>36</c:v>
                </c:pt>
                <c:pt idx="52">
                  <c:v>26</c:v>
                </c:pt>
                <c:pt idx="53">
                  <c:v>26</c:v>
                </c:pt>
                <c:pt idx="54">
                  <c:v>47.1</c:v>
                </c:pt>
                <c:pt idx="55">
                  <c:v>33.700000000000003</c:v>
                </c:pt>
                <c:pt idx="56">
                  <c:v>35.200000000000003</c:v>
                </c:pt>
                <c:pt idx="57">
                  <c:v>25.9</c:v>
                </c:pt>
                <c:pt idx="58">
                  <c:v>27.3</c:v>
                </c:pt>
                <c:pt idx="59">
                  <c:v>21.5</c:v>
                </c:pt>
                <c:pt idx="60">
                  <c:v>31.8</c:v>
                </c:pt>
                <c:pt idx="61">
                  <c:v>31.6</c:v>
                </c:pt>
                <c:pt idx="62">
                  <c:v>29.8</c:v>
                </c:pt>
                <c:pt idx="63">
                  <c:v>27.7</c:v>
                </c:pt>
                <c:pt idx="64">
                  <c:v>33</c:v>
                </c:pt>
                <c:pt idx="65">
                  <c:v>29.4</c:v>
                </c:pt>
                <c:pt idx="66">
                  <c:v>34.1</c:v>
                </c:pt>
                <c:pt idx="67">
                  <c:v>28.7</c:v>
                </c:pt>
                <c:pt idx="68">
                  <c:v>37.9</c:v>
                </c:pt>
                <c:pt idx="69">
                  <c:v>26.6</c:v>
                </c:pt>
                <c:pt idx="70">
                  <c:v>37.700000000000003</c:v>
                </c:pt>
                <c:pt idx="71">
                  <c:v>41.1</c:v>
                </c:pt>
                <c:pt idx="72">
                  <c:v>34.1</c:v>
                </c:pt>
                <c:pt idx="73">
                  <c:v>40.1</c:v>
                </c:pt>
                <c:pt idx="74">
                  <c:v>36</c:v>
                </c:pt>
                <c:pt idx="75">
                  <c:v>36.9</c:v>
                </c:pt>
                <c:pt idx="76">
                  <c:v>33.799999999999997</c:v>
                </c:pt>
                <c:pt idx="77">
                  <c:v>38.9</c:v>
                </c:pt>
                <c:pt idx="78">
                  <c:v>21</c:v>
                </c:pt>
                <c:pt idx="79">
                  <c:v>22.9</c:v>
                </c:pt>
                <c:pt idx="80">
                  <c:v>27.8</c:v>
                </c:pt>
                <c:pt idx="81">
                  <c:v>25.5</c:v>
                </c:pt>
                <c:pt idx="82">
                  <c:v>25.3</c:v>
                </c:pt>
                <c:pt idx="83">
                  <c:v>27.8</c:v>
                </c:pt>
                <c:pt idx="84">
                  <c:v>26.8</c:v>
                </c:pt>
                <c:pt idx="85">
                  <c:v>28.8</c:v>
                </c:pt>
                <c:pt idx="86">
                  <c:v>28.1</c:v>
                </c:pt>
                <c:pt idx="87">
                  <c:v>35.6</c:v>
                </c:pt>
                <c:pt idx="88">
                  <c:v>33.299999999999997</c:v>
                </c:pt>
                <c:pt idx="89">
                  <c:v>30.1</c:v>
                </c:pt>
                <c:pt idx="90">
                  <c:v>26.4</c:v>
                </c:pt>
                <c:pt idx="91">
                  <c:v>32.9</c:v>
                </c:pt>
                <c:pt idx="92">
                  <c:v>30</c:v>
                </c:pt>
                <c:pt idx="93">
                  <c:v>25.6</c:v>
                </c:pt>
                <c:pt idx="94">
                  <c:v>26.7</c:v>
                </c:pt>
                <c:pt idx="95">
                  <c:v>24.7</c:v>
                </c:pt>
                <c:pt idx="96">
                  <c:v>24.4</c:v>
                </c:pt>
                <c:pt idx="97">
                  <c:v>38.799999999999997</c:v>
                </c:pt>
                <c:pt idx="98">
                  <c:v>27</c:v>
                </c:pt>
                <c:pt idx="99">
                  <c:v>37.4</c:v>
                </c:pt>
                <c:pt idx="100">
                  <c:v>27.3</c:v>
                </c:pt>
                <c:pt idx="101">
                  <c:v>28.9</c:v>
                </c:pt>
                <c:pt idx="102">
                  <c:v>32.299999999999997</c:v>
                </c:pt>
                <c:pt idx="103">
                  <c:v>27.4</c:v>
                </c:pt>
                <c:pt idx="104">
                  <c:v>29.8</c:v>
                </c:pt>
                <c:pt idx="105">
                  <c:v>25.8</c:v>
                </c:pt>
                <c:pt idx="106">
                  <c:v>22.2</c:v>
                </c:pt>
                <c:pt idx="107">
                  <c:v>36.1</c:v>
                </c:pt>
                <c:pt idx="108">
                  <c:v>23</c:v>
                </c:pt>
                <c:pt idx="109">
                  <c:v>26.6</c:v>
                </c:pt>
                <c:pt idx="110">
                  <c:v>29.9</c:v>
                </c:pt>
                <c:pt idx="111">
                  <c:v>29.7</c:v>
                </c:pt>
                <c:pt idx="112">
                  <c:v>28.6</c:v>
                </c:pt>
                <c:pt idx="113">
                  <c:v>27.1</c:v>
                </c:pt>
                <c:pt idx="114">
                  <c:v>29.8</c:v>
                </c:pt>
                <c:pt idx="115">
                  <c:v>21.4</c:v>
                </c:pt>
                <c:pt idx="116">
                  <c:v>30.9</c:v>
                </c:pt>
                <c:pt idx="117">
                  <c:v>25.6</c:v>
                </c:pt>
                <c:pt idx="118">
                  <c:v>27.3</c:v>
                </c:pt>
                <c:pt idx="119">
                  <c:v>23.7</c:v>
                </c:pt>
                <c:pt idx="120">
                  <c:v>30.1</c:v>
                </c:pt>
                <c:pt idx="121">
                  <c:v>22.9</c:v>
                </c:pt>
                <c:pt idx="122">
                  <c:v>23.3</c:v>
                </c:pt>
                <c:pt idx="123">
                  <c:v>28.7</c:v>
                </c:pt>
                <c:pt idx="124">
                  <c:v>20.7</c:v>
                </c:pt>
                <c:pt idx="125">
                  <c:v>30.1</c:v>
                </c:pt>
                <c:pt idx="126">
                  <c:v>28.3</c:v>
                </c:pt>
                <c:pt idx="127">
                  <c:v>23.5</c:v>
                </c:pt>
                <c:pt idx="128">
                  <c:v>30.4</c:v>
                </c:pt>
                <c:pt idx="129">
                  <c:v>36.6</c:v>
                </c:pt>
                <c:pt idx="130">
                  <c:v>30.9</c:v>
                </c:pt>
                <c:pt idx="131">
                  <c:v>36.200000000000003</c:v>
                </c:pt>
                <c:pt idx="132">
                  <c:v>29.5</c:v>
                </c:pt>
                <c:pt idx="133">
                  <c:v>22.9</c:v>
                </c:pt>
                <c:pt idx="134">
                  <c:v>29.5</c:v>
                </c:pt>
                <c:pt idx="135">
                  <c:v>34.200000000000003</c:v>
                </c:pt>
                <c:pt idx="136">
                  <c:v>34</c:v>
                </c:pt>
                <c:pt idx="137">
                  <c:v>25.1</c:v>
                </c:pt>
                <c:pt idx="138">
                  <c:v>33.9</c:v>
                </c:pt>
                <c:pt idx="139">
                  <c:v>29.3</c:v>
                </c:pt>
                <c:pt idx="140">
                  <c:v>28.7</c:v>
                </c:pt>
                <c:pt idx="141">
                  <c:v>28.8</c:v>
                </c:pt>
                <c:pt idx="142">
                  <c:v>30.3</c:v>
                </c:pt>
                <c:pt idx="143">
                  <c:v>34.200000000000003</c:v>
                </c:pt>
                <c:pt idx="144">
                  <c:v>30.5</c:v>
                </c:pt>
                <c:pt idx="145">
                  <c:v>21.5</c:v>
                </c:pt>
                <c:pt idx="146">
                  <c:v>37.1</c:v>
                </c:pt>
                <c:pt idx="147">
                  <c:v>29.4</c:v>
                </c:pt>
                <c:pt idx="148">
                  <c:v>35.6</c:v>
                </c:pt>
                <c:pt idx="149">
                  <c:v>33.299999999999997</c:v>
                </c:pt>
                <c:pt idx="150">
                  <c:v>39.4</c:v>
                </c:pt>
                <c:pt idx="151">
                  <c:v>25.7</c:v>
                </c:pt>
                <c:pt idx="152">
                  <c:v>30.9</c:v>
                </c:pt>
                <c:pt idx="153">
                  <c:v>25.8</c:v>
                </c:pt>
                <c:pt idx="154">
                  <c:v>30.8</c:v>
                </c:pt>
                <c:pt idx="155">
                  <c:v>29.9</c:v>
                </c:pt>
                <c:pt idx="156">
                  <c:v>37</c:v>
                </c:pt>
                <c:pt idx="157">
                  <c:v>21.5</c:v>
                </c:pt>
                <c:pt idx="158">
                  <c:v>19.600000000000001</c:v>
                </c:pt>
                <c:pt idx="159">
                  <c:v>20.3</c:v>
                </c:pt>
                <c:pt idx="160">
                  <c:v>29.3</c:v>
                </c:pt>
                <c:pt idx="161">
                  <c:v>26.4</c:v>
                </c:pt>
                <c:pt idx="162">
                  <c:v>20.100000000000001</c:v>
                </c:pt>
                <c:pt idx="163">
                  <c:v>38</c:v>
                </c:pt>
                <c:pt idx="164">
                  <c:v>23.1</c:v>
                </c:pt>
                <c:pt idx="165">
                  <c:v>23.7</c:v>
                </c:pt>
                <c:pt idx="166">
                  <c:v>28</c:v>
                </c:pt>
                <c:pt idx="167">
                  <c:v>27.3</c:v>
                </c:pt>
                <c:pt idx="168">
                  <c:v>26</c:v>
                </c:pt>
                <c:pt idx="169">
                  <c:v>31.8</c:v>
                </c:pt>
                <c:pt idx="170">
                  <c:v>24.2</c:v>
                </c:pt>
                <c:pt idx="171">
                  <c:v>30</c:v>
                </c:pt>
                <c:pt idx="172">
                  <c:v>22.5</c:v>
                </c:pt>
                <c:pt idx="173">
                  <c:v>25.7</c:v>
                </c:pt>
                <c:pt idx="174">
                  <c:v>23.4</c:v>
                </c:pt>
                <c:pt idx="175">
                  <c:v>23.4</c:v>
                </c:pt>
                <c:pt idx="176">
                  <c:v>37</c:v>
                </c:pt>
                <c:pt idx="177">
                  <c:v>21.8</c:v>
                </c:pt>
                <c:pt idx="178">
                  <c:v>29.8</c:v>
                </c:pt>
                <c:pt idx="179">
                  <c:v>27.7</c:v>
                </c:pt>
              </c:numCache>
            </c:numRef>
          </c:yVal>
          <c:smooth val="0"/>
          <c:extLst>
            <c:ext xmlns:c16="http://schemas.microsoft.com/office/drawing/2014/chart" uri="{C3380CC4-5D6E-409C-BE32-E72D297353CC}">
              <c16:uniqueId val="{00000003-FFD2-48E5-9FB5-F856EE3AA960}"/>
            </c:ext>
          </c:extLst>
        </c:ser>
        <c:dLbls>
          <c:showLegendKey val="0"/>
          <c:showVal val="0"/>
          <c:showCatName val="0"/>
          <c:showSerName val="0"/>
          <c:showPercent val="0"/>
          <c:showBubbleSize val="0"/>
        </c:dLbls>
        <c:axId val="1856844591"/>
        <c:axId val="1914400287"/>
      </c:scatterChart>
      <c:valAx>
        <c:axId val="1856844591"/>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BMI (Kg/m2)</a:t>
                </a:r>
              </a:p>
            </c:rich>
          </c:tx>
          <c:layout>
            <c:manualLayout>
              <c:xMode val="edge"/>
              <c:yMode val="edge"/>
              <c:x val="0.48363515442599297"/>
              <c:y val="0.90779032620922395"/>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914400287"/>
        <c:crosses val="autoZero"/>
        <c:crossBetween val="midCat"/>
      </c:valAx>
      <c:valAx>
        <c:axId val="1914400287"/>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NC (m)</a:t>
                </a:r>
              </a:p>
            </c:rich>
          </c:tx>
          <c:layout>
            <c:manualLayout>
              <c:xMode val="edge"/>
              <c:yMode val="edge"/>
              <c:x val="9.4562633672100899E-3"/>
              <c:y val="0.36306981627296597"/>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856844591"/>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2577751078118"/>
                  <c:y val="-2.1258019830854499E-2"/>
                </c:manualLayout>
              </c:layout>
              <c:numFmt formatCode="General" sourceLinked="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rendlineLbl>
          </c:trendline>
          <c:xVal>
            <c:numRef>
              <c:f>Sheet1!$E$1:$E$180</c:f>
              <c:numCache>
                <c:formatCode>General</c:formatCode>
                <c:ptCount val="180"/>
                <c:pt idx="0">
                  <c:v>30</c:v>
                </c:pt>
                <c:pt idx="1">
                  <c:v>37</c:v>
                </c:pt>
                <c:pt idx="2">
                  <c:v>36</c:v>
                </c:pt>
                <c:pt idx="3">
                  <c:v>36</c:v>
                </c:pt>
                <c:pt idx="4">
                  <c:v>35</c:v>
                </c:pt>
                <c:pt idx="5">
                  <c:v>32.5</c:v>
                </c:pt>
                <c:pt idx="6">
                  <c:v>33</c:v>
                </c:pt>
                <c:pt idx="7">
                  <c:v>35</c:v>
                </c:pt>
                <c:pt idx="8">
                  <c:v>34</c:v>
                </c:pt>
                <c:pt idx="9">
                  <c:v>35</c:v>
                </c:pt>
                <c:pt idx="10">
                  <c:v>39.5</c:v>
                </c:pt>
                <c:pt idx="11">
                  <c:v>32.5</c:v>
                </c:pt>
                <c:pt idx="12">
                  <c:v>31</c:v>
                </c:pt>
                <c:pt idx="13">
                  <c:v>31</c:v>
                </c:pt>
                <c:pt idx="14">
                  <c:v>34.5</c:v>
                </c:pt>
                <c:pt idx="15">
                  <c:v>32</c:v>
                </c:pt>
                <c:pt idx="16">
                  <c:v>34</c:v>
                </c:pt>
                <c:pt idx="17">
                  <c:v>34</c:v>
                </c:pt>
                <c:pt idx="18">
                  <c:v>38</c:v>
                </c:pt>
                <c:pt idx="19">
                  <c:v>31</c:v>
                </c:pt>
                <c:pt idx="20">
                  <c:v>38</c:v>
                </c:pt>
                <c:pt idx="21">
                  <c:v>32</c:v>
                </c:pt>
                <c:pt idx="22">
                  <c:v>35</c:v>
                </c:pt>
                <c:pt idx="23">
                  <c:v>34</c:v>
                </c:pt>
                <c:pt idx="24">
                  <c:v>34.5</c:v>
                </c:pt>
                <c:pt idx="25">
                  <c:v>31</c:v>
                </c:pt>
                <c:pt idx="26">
                  <c:v>44</c:v>
                </c:pt>
                <c:pt idx="27">
                  <c:v>32</c:v>
                </c:pt>
                <c:pt idx="28">
                  <c:v>29.5</c:v>
                </c:pt>
                <c:pt idx="29">
                  <c:v>33</c:v>
                </c:pt>
                <c:pt idx="30">
                  <c:v>42.5</c:v>
                </c:pt>
                <c:pt idx="31">
                  <c:v>32.5</c:v>
                </c:pt>
                <c:pt idx="32">
                  <c:v>32.5</c:v>
                </c:pt>
                <c:pt idx="33">
                  <c:v>36</c:v>
                </c:pt>
                <c:pt idx="34">
                  <c:v>39</c:v>
                </c:pt>
                <c:pt idx="35">
                  <c:v>37</c:v>
                </c:pt>
                <c:pt idx="36">
                  <c:v>32</c:v>
                </c:pt>
                <c:pt idx="37">
                  <c:v>32</c:v>
                </c:pt>
                <c:pt idx="38">
                  <c:v>40</c:v>
                </c:pt>
                <c:pt idx="39">
                  <c:v>34</c:v>
                </c:pt>
                <c:pt idx="40">
                  <c:v>29</c:v>
                </c:pt>
                <c:pt idx="41">
                  <c:v>31</c:v>
                </c:pt>
                <c:pt idx="42">
                  <c:v>36</c:v>
                </c:pt>
                <c:pt idx="43">
                  <c:v>33</c:v>
                </c:pt>
                <c:pt idx="44">
                  <c:v>37</c:v>
                </c:pt>
                <c:pt idx="45">
                  <c:v>33</c:v>
                </c:pt>
                <c:pt idx="46">
                  <c:v>40</c:v>
                </c:pt>
                <c:pt idx="47">
                  <c:v>33</c:v>
                </c:pt>
                <c:pt idx="48">
                  <c:v>30</c:v>
                </c:pt>
                <c:pt idx="49">
                  <c:v>35</c:v>
                </c:pt>
                <c:pt idx="50">
                  <c:v>42</c:v>
                </c:pt>
                <c:pt idx="51">
                  <c:v>35</c:v>
                </c:pt>
                <c:pt idx="52">
                  <c:v>37</c:v>
                </c:pt>
                <c:pt idx="53">
                  <c:v>31</c:v>
                </c:pt>
                <c:pt idx="54">
                  <c:v>32</c:v>
                </c:pt>
                <c:pt idx="55">
                  <c:v>32</c:v>
                </c:pt>
                <c:pt idx="56">
                  <c:v>34</c:v>
                </c:pt>
                <c:pt idx="57">
                  <c:v>33</c:v>
                </c:pt>
                <c:pt idx="58">
                  <c:v>35</c:v>
                </c:pt>
                <c:pt idx="59">
                  <c:v>31</c:v>
                </c:pt>
                <c:pt idx="60">
                  <c:v>37</c:v>
                </c:pt>
                <c:pt idx="61">
                  <c:v>40</c:v>
                </c:pt>
                <c:pt idx="62">
                  <c:v>34</c:v>
                </c:pt>
                <c:pt idx="63">
                  <c:v>31.5</c:v>
                </c:pt>
                <c:pt idx="64">
                  <c:v>36</c:v>
                </c:pt>
                <c:pt idx="65">
                  <c:v>38</c:v>
                </c:pt>
                <c:pt idx="66">
                  <c:v>32</c:v>
                </c:pt>
                <c:pt idx="67">
                  <c:v>38</c:v>
                </c:pt>
                <c:pt idx="68">
                  <c:v>34</c:v>
                </c:pt>
                <c:pt idx="69">
                  <c:v>31.5</c:v>
                </c:pt>
                <c:pt idx="70">
                  <c:v>32</c:v>
                </c:pt>
                <c:pt idx="71">
                  <c:v>34</c:v>
                </c:pt>
                <c:pt idx="72">
                  <c:v>39</c:v>
                </c:pt>
                <c:pt idx="73">
                  <c:v>34</c:v>
                </c:pt>
                <c:pt idx="74">
                  <c:v>34</c:v>
                </c:pt>
                <c:pt idx="75">
                  <c:v>35</c:v>
                </c:pt>
                <c:pt idx="76">
                  <c:v>32</c:v>
                </c:pt>
                <c:pt idx="77">
                  <c:v>36</c:v>
                </c:pt>
                <c:pt idx="78">
                  <c:v>29</c:v>
                </c:pt>
                <c:pt idx="79">
                  <c:v>35</c:v>
                </c:pt>
                <c:pt idx="80">
                  <c:v>41</c:v>
                </c:pt>
                <c:pt idx="81">
                  <c:v>34.5</c:v>
                </c:pt>
                <c:pt idx="82">
                  <c:v>31.5</c:v>
                </c:pt>
                <c:pt idx="83">
                  <c:v>33</c:v>
                </c:pt>
                <c:pt idx="84">
                  <c:v>31</c:v>
                </c:pt>
                <c:pt idx="85">
                  <c:v>32</c:v>
                </c:pt>
                <c:pt idx="86">
                  <c:v>32</c:v>
                </c:pt>
                <c:pt idx="87">
                  <c:v>32.5</c:v>
                </c:pt>
                <c:pt idx="88">
                  <c:v>33.5</c:v>
                </c:pt>
                <c:pt idx="89">
                  <c:v>34</c:v>
                </c:pt>
                <c:pt idx="90">
                  <c:v>32.5</c:v>
                </c:pt>
                <c:pt idx="91">
                  <c:v>34</c:v>
                </c:pt>
                <c:pt idx="92">
                  <c:v>31.5</c:v>
                </c:pt>
                <c:pt idx="93">
                  <c:v>34.5</c:v>
                </c:pt>
                <c:pt idx="94">
                  <c:v>32</c:v>
                </c:pt>
                <c:pt idx="95">
                  <c:v>30</c:v>
                </c:pt>
                <c:pt idx="96">
                  <c:v>32</c:v>
                </c:pt>
                <c:pt idx="97">
                  <c:v>36</c:v>
                </c:pt>
                <c:pt idx="98">
                  <c:v>39</c:v>
                </c:pt>
                <c:pt idx="99">
                  <c:v>37</c:v>
                </c:pt>
                <c:pt idx="100">
                  <c:v>34</c:v>
                </c:pt>
                <c:pt idx="101">
                  <c:v>35</c:v>
                </c:pt>
                <c:pt idx="102">
                  <c:v>40</c:v>
                </c:pt>
                <c:pt idx="103">
                  <c:v>30.5</c:v>
                </c:pt>
                <c:pt idx="104">
                  <c:v>39</c:v>
                </c:pt>
                <c:pt idx="105">
                  <c:v>30.5</c:v>
                </c:pt>
                <c:pt idx="106">
                  <c:v>32</c:v>
                </c:pt>
                <c:pt idx="107">
                  <c:v>34</c:v>
                </c:pt>
                <c:pt idx="108">
                  <c:v>33</c:v>
                </c:pt>
                <c:pt idx="109">
                  <c:v>30</c:v>
                </c:pt>
                <c:pt idx="110">
                  <c:v>32</c:v>
                </c:pt>
                <c:pt idx="111">
                  <c:v>36</c:v>
                </c:pt>
                <c:pt idx="112">
                  <c:v>33</c:v>
                </c:pt>
                <c:pt idx="113">
                  <c:v>38</c:v>
                </c:pt>
                <c:pt idx="114">
                  <c:v>40</c:v>
                </c:pt>
                <c:pt idx="115">
                  <c:v>35</c:v>
                </c:pt>
                <c:pt idx="116">
                  <c:v>39</c:v>
                </c:pt>
                <c:pt idx="117">
                  <c:v>33</c:v>
                </c:pt>
                <c:pt idx="118">
                  <c:v>34</c:v>
                </c:pt>
                <c:pt idx="119">
                  <c:v>32</c:v>
                </c:pt>
                <c:pt idx="120">
                  <c:v>37</c:v>
                </c:pt>
                <c:pt idx="121">
                  <c:v>36.5</c:v>
                </c:pt>
                <c:pt idx="122">
                  <c:v>31</c:v>
                </c:pt>
                <c:pt idx="123">
                  <c:v>39</c:v>
                </c:pt>
                <c:pt idx="124">
                  <c:v>32</c:v>
                </c:pt>
                <c:pt idx="125">
                  <c:v>34</c:v>
                </c:pt>
                <c:pt idx="126">
                  <c:v>40</c:v>
                </c:pt>
                <c:pt idx="127">
                  <c:v>35</c:v>
                </c:pt>
                <c:pt idx="128">
                  <c:v>33</c:v>
                </c:pt>
                <c:pt idx="129">
                  <c:v>43</c:v>
                </c:pt>
                <c:pt idx="130">
                  <c:v>36</c:v>
                </c:pt>
                <c:pt idx="131">
                  <c:v>33</c:v>
                </c:pt>
                <c:pt idx="132">
                  <c:v>33</c:v>
                </c:pt>
                <c:pt idx="133">
                  <c:v>27</c:v>
                </c:pt>
                <c:pt idx="134">
                  <c:v>36</c:v>
                </c:pt>
                <c:pt idx="135">
                  <c:v>35</c:v>
                </c:pt>
                <c:pt idx="136">
                  <c:v>31</c:v>
                </c:pt>
                <c:pt idx="137">
                  <c:v>36</c:v>
                </c:pt>
                <c:pt idx="138">
                  <c:v>35</c:v>
                </c:pt>
                <c:pt idx="139">
                  <c:v>33</c:v>
                </c:pt>
                <c:pt idx="140">
                  <c:v>37</c:v>
                </c:pt>
                <c:pt idx="141">
                  <c:v>35</c:v>
                </c:pt>
                <c:pt idx="142">
                  <c:v>32.5</c:v>
                </c:pt>
                <c:pt idx="143">
                  <c:v>32</c:v>
                </c:pt>
                <c:pt idx="144">
                  <c:v>34</c:v>
                </c:pt>
                <c:pt idx="145">
                  <c:v>36</c:v>
                </c:pt>
                <c:pt idx="146">
                  <c:v>35</c:v>
                </c:pt>
                <c:pt idx="147">
                  <c:v>39</c:v>
                </c:pt>
                <c:pt idx="148">
                  <c:v>33.5</c:v>
                </c:pt>
                <c:pt idx="149">
                  <c:v>34</c:v>
                </c:pt>
                <c:pt idx="150">
                  <c:v>36</c:v>
                </c:pt>
                <c:pt idx="151">
                  <c:v>36</c:v>
                </c:pt>
                <c:pt idx="152">
                  <c:v>36.5</c:v>
                </c:pt>
                <c:pt idx="153">
                  <c:v>37</c:v>
                </c:pt>
                <c:pt idx="154">
                  <c:v>34.5</c:v>
                </c:pt>
                <c:pt idx="155">
                  <c:v>37</c:v>
                </c:pt>
                <c:pt idx="156">
                  <c:v>34</c:v>
                </c:pt>
                <c:pt idx="157">
                  <c:v>35</c:v>
                </c:pt>
                <c:pt idx="158">
                  <c:v>34</c:v>
                </c:pt>
                <c:pt idx="159">
                  <c:v>34</c:v>
                </c:pt>
                <c:pt idx="160">
                  <c:v>34</c:v>
                </c:pt>
                <c:pt idx="161">
                  <c:v>34</c:v>
                </c:pt>
                <c:pt idx="162">
                  <c:v>34.5</c:v>
                </c:pt>
                <c:pt idx="163">
                  <c:v>36</c:v>
                </c:pt>
                <c:pt idx="164">
                  <c:v>34</c:v>
                </c:pt>
                <c:pt idx="165">
                  <c:v>39</c:v>
                </c:pt>
                <c:pt idx="166">
                  <c:v>37.5</c:v>
                </c:pt>
                <c:pt idx="167">
                  <c:v>35</c:v>
                </c:pt>
                <c:pt idx="168">
                  <c:v>36</c:v>
                </c:pt>
                <c:pt idx="169">
                  <c:v>40</c:v>
                </c:pt>
                <c:pt idx="170">
                  <c:v>32</c:v>
                </c:pt>
                <c:pt idx="171">
                  <c:v>33</c:v>
                </c:pt>
                <c:pt idx="172">
                  <c:v>32</c:v>
                </c:pt>
                <c:pt idx="173">
                  <c:v>32</c:v>
                </c:pt>
                <c:pt idx="174">
                  <c:v>34</c:v>
                </c:pt>
                <c:pt idx="175">
                  <c:v>31</c:v>
                </c:pt>
                <c:pt idx="176">
                  <c:v>36</c:v>
                </c:pt>
                <c:pt idx="177">
                  <c:v>32</c:v>
                </c:pt>
                <c:pt idx="178">
                  <c:v>34</c:v>
                </c:pt>
                <c:pt idx="179">
                  <c:v>35.5</c:v>
                </c:pt>
              </c:numCache>
            </c:numRef>
          </c:xVal>
          <c:yVal>
            <c:numRef>
              <c:f>Sheet1!$F$1:$F$180</c:f>
              <c:numCache>
                <c:formatCode>General</c:formatCode>
                <c:ptCount val="180"/>
                <c:pt idx="0">
                  <c:v>80</c:v>
                </c:pt>
                <c:pt idx="1">
                  <c:v>98</c:v>
                </c:pt>
                <c:pt idx="2">
                  <c:v>81</c:v>
                </c:pt>
                <c:pt idx="3">
                  <c:v>98</c:v>
                </c:pt>
                <c:pt idx="4">
                  <c:v>103</c:v>
                </c:pt>
                <c:pt idx="5">
                  <c:v>68</c:v>
                </c:pt>
                <c:pt idx="6">
                  <c:v>106</c:v>
                </c:pt>
                <c:pt idx="7">
                  <c:v>114</c:v>
                </c:pt>
                <c:pt idx="8">
                  <c:v>79</c:v>
                </c:pt>
                <c:pt idx="9">
                  <c:v>98</c:v>
                </c:pt>
                <c:pt idx="10">
                  <c:v>98</c:v>
                </c:pt>
                <c:pt idx="11">
                  <c:v>86</c:v>
                </c:pt>
                <c:pt idx="12">
                  <c:v>94</c:v>
                </c:pt>
                <c:pt idx="13">
                  <c:v>84</c:v>
                </c:pt>
                <c:pt idx="14">
                  <c:v>97</c:v>
                </c:pt>
                <c:pt idx="15">
                  <c:v>86</c:v>
                </c:pt>
                <c:pt idx="16">
                  <c:v>90</c:v>
                </c:pt>
                <c:pt idx="17">
                  <c:v>100.5</c:v>
                </c:pt>
                <c:pt idx="18">
                  <c:v>82</c:v>
                </c:pt>
                <c:pt idx="19">
                  <c:v>73</c:v>
                </c:pt>
                <c:pt idx="20">
                  <c:v>83</c:v>
                </c:pt>
                <c:pt idx="21">
                  <c:v>81</c:v>
                </c:pt>
                <c:pt idx="22">
                  <c:v>96</c:v>
                </c:pt>
                <c:pt idx="23">
                  <c:v>97</c:v>
                </c:pt>
                <c:pt idx="24">
                  <c:v>108</c:v>
                </c:pt>
                <c:pt idx="25">
                  <c:v>85</c:v>
                </c:pt>
                <c:pt idx="26">
                  <c:v>107</c:v>
                </c:pt>
                <c:pt idx="27">
                  <c:v>83</c:v>
                </c:pt>
                <c:pt idx="28">
                  <c:v>82</c:v>
                </c:pt>
                <c:pt idx="29">
                  <c:v>93</c:v>
                </c:pt>
                <c:pt idx="30">
                  <c:v>115</c:v>
                </c:pt>
                <c:pt idx="31">
                  <c:v>96</c:v>
                </c:pt>
                <c:pt idx="32">
                  <c:v>81</c:v>
                </c:pt>
                <c:pt idx="33">
                  <c:v>81</c:v>
                </c:pt>
                <c:pt idx="34">
                  <c:v>91</c:v>
                </c:pt>
                <c:pt idx="35">
                  <c:v>89</c:v>
                </c:pt>
                <c:pt idx="36">
                  <c:v>81</c:v>
                </c:pt>
                <c:pt idx="37">
                  <c:v>88</c:v>
                </c:pt>
                <c:pt idx="38">
                  <c:v>116</c:v>
                </c:pt>
                <c:pt idx="39">
                  <c:v>106.5</c:v>
                </c:pt>
                <c:pt idx="40">
                  <c:v>85</c:v>
                </c:pt>
                <c:pt idx="41">
                  <c:v>103</c:v>
                </c:pt>
                <c:pt idx="42">
                  <c:v>87</c:v>
                </c:pt>
                <c:pt idx="43">
                  <c:v>101</c:v>
                </c:pt>
                <c:pt idx="44">
                  <c:v>98</c:v>
                </c:pt>
                <c:pt idx="45">
                  <c:v>79</c:v>
                </c:pt>
                <c:pt idx="46">
                  <c:v>103</c:v>
                </c:pt>
                <c:pt idx="47">
                  <c:v>89</c:v>
                </c:pt>
                <c:pt idx="48">
                  <c:v>81</c:v>
                </c:pt>
                <c:pt idx="49">
                  <c:v>76</c:v>
                </c:pt>
                <c:pt idx="50">
                  <c:v>121</c:v>
                </c:pt>
                <c:pt idx="51">
                  <c:v>97</c:v>
                </c:pt>
                <c:pt idx="52">
                  <c:v>90</c:v>
                </c:pt>
                <c:pt idx="53">
                  <c:v>96</c:v>
                </c:pt>
                <c:pt idx="54">
                  <c:v>107</c:v>
                </c:pt>
                <c:pt idx="55">
                  <c:v>104</c:v>
                </c:pt>
                <c:pt idx="56">
                  <c:v>101</c:v>
                </c:pt>
                <c:pt idx="57">
                  <c:v>89</c:v>
                </c:pt>
                <c:pt idx="58">
                  <c:v>92</c:v>
                </c:pt>
                <c:pt idx="59">
                  <c:v>79</c:v>
                </c:pt>
                <c:pt idx="60">
                  <c:v>98</c:v>
                </c:pt>
                <c:pt idx="61">
                  <c:v>113</c:v>
                </c:pt>
                <c:pt idx="62">
                  <c:v>100</c:v>
                </c:pt>
                <c:pt idx="63">
                  <c:v>95</c:v>
                </c:pt>
                <c:pt idx="64">
                  <c:v>102</c:v>
                </c:pt>
                <c:pt idx="65">
                  <c:v>100</c:v>
                </c:pt>
                <c:pt idx="66">
                  <c:v>105</c:v>
                </c:pt>
                <c:pt idx="67">
                  <c:v>96.5</c:v>
                </c:pt>
                <c:pt idx="68">
                  <c:v>106.5</c:v>
                </c:pt>
                <c:pt idx="69">
                  <c:v>90</c:v>
                </c:pt>
                <c:pt idx="70">
                  <c:v>97</c:v>
                </c:pt>
                <c:pt idx="71">
                  <c:v>102</c:v>
                </c:pt>
                <c:pt idx="72">
                  <c:v>102</c:v>
                </c:pt>
                <c:pt idx="73">
                  <c:v>111</c:v>
                </c:pt>
                <c:pt idx="74">
                  <c:v>106</c:v>
                </c:pt>
                <c:pt idx="75">
                  <c:v>99</c:v>
                </c:pt>
                <c:pt idx="76">
                  <c:v>93</c:v>
                </c:pt>
                <c:pt idx="77">
                  <c:v>100</c:v>
                </c:pt>
                <c:pt idx="78">
                  <c:v>80</c:v>
                </c:pt>
                <c:pt idx="79">
                  <c:v>82</c:v>
                </c:pt>
                <c:pt idx="80">
                  <c:v>97</c:v>
                </c:pt>
                <c:pt idx="81">
                  <c:v>96</c:v>
                </c:pt>
                <c:pt idx="82">
                  <c:v>81.5</c:v>
                </c:pt>
                <c:pt idx="83">
                  <c:v>91</c:v>
                </c:pt>
                <c:pt idx="84">
                  <c:v>98</c:v>
                </c:pt>
                <c:pt idx="85">
                  <c:v>92</c:v>
                </c:pt>
                <c:pt idx="86">
                  <c:v>89</c:v>
                </c:pt>
                <c:pt idx="87">
                  <c:v>107.5</c:v>
                </c:pt>
                <c:pt idx="88">
                  <c:v>92.5</c:v>
                </c:pt>
                <c:pt idx="89">
                  <c:v>98</c:v>
                </c:pt>
                <c:pt idx="90">
                  <c:v>91</c:v>
                </c:pt>
                <c:pt idx="91">
                  <c:v>100.5</c:v>
                </c:pt>
                <c:pt idx="92">
                  <c:v>94</c:v>
                </c:pt>
                <c:pt idx="93">
                  <c:v>83</c:v>
                </c:pt>
                <c:pt idx="94">
                  <c:v>91</c:v>
                </c:pt>
                <c:pt idx="95">
                  <c:v>95</c:v>
                </c:pt>
                <c:pt idx="96">
                  <c:v>81</c:v>
                </c:pt>
                <c:pt idx="97">
                  <c:v>100.5</c:v>
                </c:pt>
                <c:pt idx="98">
                  <c:v>89</c:v>
                </c:pt>
                <c:pt idx="99">
                  <c:v>110</c:v>
                </c:pt>
                <c:pt idx="100">
                  <c:v>98</c:v>
                </c:pt>
                <c:pt idx="101">
                  <c:v>91</c:v>
                </c:pt>
                <c:pt idx="102">
                  <c:v>101</c:v>
                </c:pt>
                <c:pt idx="103">
                  <c:v>86</c:v>
                </c:pt>
                <c:pt idx="104">
                  <c:v>97</c:v>
                </c:pt>
                <c:pt idx="105">
                  <c:v>82.5</c:v>
                </c:pt>
                <c:pt idx="106">
                  <c:v>71.5</c:v>
                </c:pt>
                <c:pt idx="107">
                  <c:v>97</c:v>
                </c:pt>
                <c:pt idx="108">
                  <c:v>81</c:v>
                </c:pt>
                <c:pt idx="109">
                  <c:v>86</c:v>
                </c:pt>
                <c:pt idx="110">
                  <c:v>98.5</c:v>
                </c:pt>
                <c:pt idx="111">
                  <c:v>94</c:v>
                </c:pt>
                <c:pt idx="112">
                  <c:v>90</c:v>
                </c:pt>
                <c:pt idx="113">
                  <c:v>96.5</c:v>
                </c:pt>
                <c:pt idx="114">
                  <c:v>106</c:v>
                </c:pt>
                <c:pt idx="115">
                  <c:v>78</c:v>
                </c:pt>
                <c:pt idx="116">
                  <c:v>103</c:v>
                </c:pt>
                <c:pt idx="117">
                  <c:v>85</c:v>
                </c:pt>
                <c:pt idx="118">
                  <c:v>88</c:v>
                </c:pt>
                <c:pt idx="119">
                  <c:v>86</c:v>
                </c:pt>
                <c:pt idx="120">
                  <c:v>94</c:v>
                </c:pt>
                <c:pt idx="121">
                  <c:v>79</c:v>
                </c:pt>
                <c:pt idx="122">
                  <c:v>76</c:v>
                </c:pt>
                <c:pt idx="123">
                  <c:v>97</c:v>
                </c:pt>
                <c:pt idx="124">
                  <c:v>69</c:v>
                </c:pt>
                <c:pt idx="125">
                  <c:v>89.5</c:v>
                </c:pt>
                <c:pt idx="126">
                  <c:v>87</c:v>
                </c:pt>
                <c:pt idx="127">
                  <c:v>79</c:v>
                </c:pt>
                <c:pt idx="128">
                  <c:v>87</c:v>
                </c:pt>
                <c:pt idx="129">
                  <c:v>119</c:v>
                </c:pt>
                <c:pt idx="130">
                  <c:v>95</c:v>
                </c:pt>
                <c:pt idx="131">
                  <c:v>97</c:v>
                </c:pt>
                <c:pt idx="132">
                  <c:v>84</c:v>
                </c:pt>
                <c:pt idx="133">
                  <c:v>75</c:v>
                </c:pt>
                <c:pt idx="134">
                  <c:v>89</c:v>
                </c:pt>
                <c:pt idx="135">
                  <c:v>91.5</c:v>
                </c:pt>
                <c:pt idx="136">
                  <c:v>85</c:v>
                </c:pt>
                <c:pt idx="137">
                  <c:v>72</c:v>
                </c:pt>
                <c:pt idx="138">
                  <c:v>93</c:v>
                </c:pt>
                <c:pt idx="139">
                  <c:v>78</c:v>
                </c:pt>
                <c:pt idx="140">
                  <c:v>92</c:v>
                </c:pt>
                <c:pt idx="141">
                  <c:v>88</c:v>
                </c:pt>
                <c:pt idx="142">
                  <c:v>86</c:v>
                </c:pt>
                <c:pt idx="143">
                  <c:v>92</c:v>
                </c:pt>
                <c:pt idx="144">
                  <c:v>87</c:v>
                </c:pt>
                <c:pt idx="145">
                  <c:v>70</c:v>
                </c:pt>
                <c:pt idx="146">
                  <c:v>111</c:v>
                </c:pt>
                <c:pt idx="147">
                  <c:v>92</c:v>
                </c:pt>
                <c:pt idx="148">
                  <c:v>93</c:v>
                </c:pt>
                <c:pt idx="149">
                  <c:v>97</c:v>
                </c:pt>
                <c:pt idx="150">
                  <c:v>99</c:v>
                </c:pt>
                <c:pt idx="151">
                  <c:v>82</c:v>
                </c:pt>
                <c:pt idx="152">
                  <c:v>96</c:v>
                </c:pt>
                <c:pt idx="153">
                  <c:v>76</c:v>
                </c:pt>
                <c:pt idx="154">
                  <c:v>99</c:v>
                </c:pt>
                <c:pt idx="155">
                  <c:v>84</c:v>
                </c:pt>
                <c:pt idx="156">
                  <c:v>95</c:v>
                </c:pt>
                <c:pt idx="157">
                  <c:v>83</c:v>
                </c:pt>
                <c:pt idx="158">
                  <c:v>77</c:v>
                </c:pt>
                <c:pt idx="159">
                  <c:v>70</c:v>
                </c:pt>
                <c:pt idx="160">
                  <c:v>92</c:v>
                </c:pt>
                <c:pt idx="161">
                  <c:v>88</c:v>
                </c:pt>
                <c:pt idx="162">
                  <c:v>74</c:v>
                </c:pt>
                <c:pt idx="163">
                  <c:v>106</c:v>
                </c:pt>
                <c:pt idx="164">
                  <c:v>81</c:v>
                </c:pt>
                <c:pt idx="165">
                  <c:v>87</c:v>
                </c:pt>
                <c:pt idx="166">
                  <c:v>83</c:v>
                </c:pt>
                <c:pt idx="167">
                  <c:v>94</c:v>
                </c:pt>
                <c:pt idx="168">
                  <c:v>86</c:v>
                </c:pt>
                <c:pt idx="169">
                  <c:v>117</c:v>
                </c:pt>
                <c:pt idx="170">
                  <c:v>82</c:v>
                </c:pt>
                <c:pt idx="171">
                  <c:v>84</c:v>
                </c:pt>
                <c:pt idx="172">
                  <c:v>84</c:v>
                </c:pt>
                <c:pt idx="173">
                  <c:v>84</c:v>
                </c:pt>
                <c:pt idx="174">
                  <c:v>84</c:v>
                </c:pt>
                <c:pt idx="175">
                  <c:v>71</c:v>
                </c:pt>
                <c:pt idx="176">
                  <c:v>99</c:v>
                </c:pt>
                <c:pt idx="177">
                  <c:v>72</c:v>
                </c:pt>
                <c:pt idx="178">
                  <c:v>99</c:v>
                </c:pt>
                <c:pt idx="179">
                  <c:v>86</c:v>
                </c:pt>
              </c:numCache>
            </c:numRef>
          </c:yVal>
          <c:smooth val="0"/>
          <c:extLst>
            <c:ext xmlns:c16="http://schemas.microsoft.com/office/drawing/2014/chart" uri="{C3380CC4-5D6E-409C-BE32-E72D297353CC}">
              <c16:uniqueId val="{00000002-B000-404E-9419-D06FFD33ECB9}"/>
            </c:ext>
          </c:extLst>
        </c:ser>
        <c:dLbls>
          <c:showLegendKey val="0"/>
          <c:showVal val="0"/>
          <c:showCatName val="0"/>
          <c:showSerName val="0"/>
          <c:showPercent val="0"/>
          <c:showBubbleSize val="0"/>
        </c:dLbls>
        <c:axId val="2040582399"/>
        <c:axId val="2046664511"/>
      </c:scatterChart>
      <c:valAx>
        <c:axId val="2040582399"/>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NC (m)</a:t>
                </a:r>
              </a:p>
            </c:rich>
          </c:tx>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crossAx val="2046664511"/>
        <c:crosses val="autoZero"/>
        <c:crossBetween val="midCat"/>
      </c:valAx>
      <c:valAx>
        <c:axId val="2046664511"/>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WC (m)</a:t>
                </a:r>
              </a:p>
            </c:rich>
          </c:tx>
          <c:layout>
            <c:manualLayout>
              <c:xMode val="edge"/>
              <c:yMode val="edge"/>
              <c:x val="6.5395095367847397E-3"/>
              <c:y val="0.29604549431321098"/>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2040582399"/>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714</TotalTime>
  <Pages>12</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Emuze</dc:creator>
  <cp:keywords/>
  <dc:description/>
  <cp:lastModifiedBy>SDI 1180</cp:lastModifiedBy>
  <cp:revision>511</cp:revision>
  <dcterms:created xsi:type="dcterms:W3CDTF">2025-07-11T16:07:00Z</dcterms:created>
  <dcterms:modified xsi:type="dcterms:W3CDTF">2025-11-19T11:29:00Z</dcterms:modified>
</cp:coreProperties>
</file>