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C0965" w14:textId="77777777" w:rsidR="00D970B8" w:rsidRDefault="00D970B8" w:rsidP="00920878">
      <w:pPr>
        <w:jc w:val="center"/>
        <w:rPr>
          <w:rFonts w:asciiTheme="majorHAnsi" w:hAnsiTheme="majorHAnsi" w:cstheme="majorHAnsi"/>
          <w:b/>
          <w:bCs/>
          <w:sz w:val="24"/>
          <w:szCs w:val="24"/>
        </w:rPr>
      </w:pPr>
      <w:r>
        <w:rPr>
          <w:rFonts w:ascii="Arial" w:hAnsi="Arial" w:cs="Arial"/>
          <w:bCs/>
          <w:i/>
          <w:iCs/>
          <w:kern w:val="28"/>
          <w:sz w:val="36"/>
          <w:u w:val="single"/>
        </w:rPr>
        <w:t>Short Research Article</w:t>
      </w:r>
      <w:r w:rsidRPr="004A0B96">
        <w:rPr>
          <w:rFonts w:asciiTheme="majorHAnsi" w:hAnsiTheme="majorHAnsi" w:cstheme="majorHAnsi"/>
          <w:b/>
          <w:bCs/>
          <w:sz w:val="24"/>
          <w:szCs w:val="24"/>
        </w:rPr>
        <w:t xml:space="preserve"> </w:t>
      </w:r>
    </w:p>
    <w:p w14:paraId="1985DAE2" w14:textId="29A79215" w:rsidR="00920878" w:rsidRPr="004A0B96" w:rsidRDefault="00920878" w:rsidP="00920878">
      <w:pPr>
        <w:jc w:val="center"/>
        <w:rPr>
          <w:rFonts w:asciiTheme="majorHAnsi" w:hAnsiTheme="majorHAnsi" w:cstheme="majorHAnsi"/>
          <w:b/>
          <w:bCs/>
          <w:sz w:val="24"/>
          <w:szCs w:val="24"/>
        </w:rPr>
      </w:pPr>
      <w:r w:rsidRPr="004A0B96">
        <w:rPr>
          <w:rFonts w:asciiTheme="majorHAnsi" w:hAnsiTheme="majorHAnsi" w:cstheme="majorHAnsi"/>
          <w:b/>
          <w:bCs/>
          <w:sz w:val="24"/>
          <w:szCs w:val="24"/>
        </w:rPr>
        <w:t>PERIPHERAL BLOOD IL-6 LEVELS AS A POTENTIAL BIOMARKER FOR PEDIATRIC BRONCHIAL ASTHMA</w:t>
      </w:r>
    </w:p>
    <w:p w14:paraId="1344F616" w14:textId="631DCFFA" w:rsidR="002C57D2" w:rsidRDefault="002C57D2" w:rsidP="00441B6F">
      <w:pPr>
        <w:pStyle w:val="Affiliation"/>
        <w:spacing w:after="0" w:line="240" w:lineRule="auto"/>
        <w:jc w:val="both"/>
        <w:rPr>
          <w:rFonts w:ascii="Arial" w:hAnsi="Arial" w:cs="Arial"/>
        </w:rPr>
      </w:pPr>
    </w:p>
    <w:p w14:paraId="09C09067" w14:textId="77777777" w:rsidR="00227B9C" w:rsidRPr="00FB3A86" w:rsidRDefault="00227B9C" w:rsidP="00441B6F">
      <w:pPr>
        <w:pStyle w:val="Affiliation"/>
        <w:spacing w:after="0" w:line="240" w:lineRule="auto"/>
        <w:jc w:val="both"/>
        <w:rPr>
          <w:rFonts w:ascii="Arial" w:hAnsi="Arial" w:cs="Arial"/>
        </w:rPr>
      </w:pPr>
    </w:p>
    <w:p w14:paraId="57A15C88" w14:textId="4E10EF9C" w:rsidR="00B01FCD" w:rsidRPr="00FB3A86" w:rsidRDefault="00753FF9" w:rsidP="00441B6F">
      <w:pPr>
        <w:pStyle w:val="Copyright"/>
        <w:spacing w:after="0" w:line="240" w:lineRule="auto"/>
        <w:jc w:val="both"/>
        <w:rPr>
          <w:rFonts w:ascii="Arial" w:hAnsi="Arial" w:cs="Arial"/>
        </w:rPr>
        <w:sectPr w:rsidR="00B01FCD" w:rsidRPr="00FB3A86" w:rsidSect="00227B9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95096CA" wp14:editId="35F689CB">
                <wp:extent cx="5303520" cy="635"/>
                <wp:effectExtent l="13335" t="9525" r="17145" b="9525"/>
                <wp:docPr id="13637776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7F2D22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467A7E1" w14:textId="7BAAD7E3"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7A05C6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790"/>
      </w:tblGrid>
      <w:tr w:rsidR="00296529" w:rsidRPr="001E44FE" w14:paraId="00215915" w14:textId="77777777" w:rsidTr="00753FF9">
        <w:tc>
          <w:tcPr>
            <w:tcW w:w="10881" w:type="dxa"/>
            <w:shd w:val="clear" w:color="auto" w:fill="F2F2F2"/>
          </w:tcPr>
          <w:p w14:paraId="3EDA1D76" w14:textId="77777777" w:rsidR="00E3114E" w:rsidRPr="00920878" w:rsidRDefault="00E3114E" w:rsidP="00441B6F">
            <w:pPr>
              <w:pStyle w:val="Body"/>
              <w:spacing w:after="0"/>
              <w:rPr>
                <w:rFonts w:ascii="Arial" w:eastAsia="Calibri" w:hAnsi="Arial" w:cs="Arial"/>
                <w:b/>
                <w:szCs w:val="22"/>
                <w:lang w:val="vi-VN"/>
              </w:rPr>
            </w:pPr>
          </w:p>
          <w:p w14:paraId="50A90BB6" w14:textId="58F04EEA"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920878" w:rsidRPr="00920878">
              <w:rPr>
                <w:rFonts w:ascii="Arial" w:eastAsia="Calibri" w:hAnsi="Arial" w:cs="Arial"/>
                <w:szCs w:val="22"/>
              </w:rPr>
              <w:t>To determine the association between increased IL-6 concentration and BMI, several systemic inflammatory markers, asthma control levels, and the severity of exacerbations in pediatric bronchial asthma.</w:t>
            </w:r>
          </w:p>
          <w:p w14:paraId="003328C7" w14:textId="753CCB00"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920878" w:rsidRPr="00920878">
              <w:rPr>
                <w:rFonts w:ascii="Arial" w:eastAsia="Calibri" w:hAnsi="Arial" w:cs="Arial"/>
                <w:szCs w:val="22"/>
              </w:rPr>
              <w:t>Prospective descriptive cross-sectional study</w:t>
            </w:r>
            <w:r w:rsidRPr="00BA1B01">
              <w:rPr>
                <w:rFonts w:ascii="Arial" w:eastAsia="Calibri" w:hAnsi="Arial" w:cs="Arial"/>
                <w:szCs w:val="22"/>
              </w:rPr>
              <w:t>.</w:t>
            </w:r>
          </w:p>
          <w:p w14:paraId="45AFFDBC" w14:textId="3AEFE1DF"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920878" w:rsidRPr="00920878">
              <w:rPr>
                <w:rFonts w:ascii="Arial" w:eastAsia="Calibri" w:hAnsi="Arial" w:cs="Arial"/>
                <w:szCs w:val="22"/>
              </w:rPr>
              <w:t>A cross-sectional descriptive study was conducted on 59 pediatric patients with bronchial asthma aged over 5 years, treated at Can Tho Children's Hospital from April 2023 to July 2024.</w:t>
            </w:r>
          </w:p>
          <w:p w14:paraId="0BA5EBEB" w14:textId="7BAE05BF"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920878" w:rsidRPr="00920878">
              <w:rPr>
                <w:rFonts w:ascii="Arial" w:eastAsia="Calibri" w:hAnsi="Arial" w:cs="Arial"/>
                <w:szCs w:val="22"/>
              </w:rPr>
              <w:t>Serum IL-6 levels were quantified and analyzed for associations with BMI, leukocyte count, neutrophil count, CRP, number of annual hospitalizations, frequency of acute asthma exacerbations, and exacerbation severity.</w:t>
            </w:r>
          </w:p>
          <w:p w14:paraId="69069AEF" w14:textId="77777777" w:rsidR="00920878" w:rsidRDefault="00BA1B01" w:rsidP="00441B6F">
            <w:pPr>
              <w:pStyle w:val="Body"/>
              <w:spacing w:after="0"/>
              <w:rPr>
                <w:rFonts w:ascii="Arial" w:eastAsia="Calibri" w:hAnsi="Arial" w:cs="Arial"/>
                <w:szCs w:val="22"/>
                <w:lang w:val="vi-VN"/>
              </w:rPr>
            </w:pPr>
            <w:r w:rsidRPr="00BA1B01">
              <w:rPr>
                <w:rFonts w:ascii="Arial" w:eastAsia="Calibri" w:hAnsi="Arial" w:cs="Arial"/>
                <w:b/>
                <w:bCs/>
                <w:szCs w:val="22"/>
              </w:rPr>
              <w:t>Results:</w:t>
            </w:r>
            <w:r w:rsidRPr="00BA1B01">
              <w:rPr>
                <w:rFonts w:ascii="Arial" w:eastAsia="Calibri" w:hAnsi="Arial" w:cs="Arial"/>
                <w:szCs w:val="22"/>
              </w:rPr>
              <w:t xml:space="preserve"> </w:t>
            </w:r>
            <w:r w:rsidR="00920878" w:rsidRPr="00920878">
              <w:rPr>
                <w:rFonts w:ascii="Arial" w:eastAsia="Calibri" w:hAnsi="Arial" w:cs="Arial"/>
                <w:szCs w:val="22"/>
              </w:rPr>
              <w:t xml:space="preserve">Elevated IL-6 levels were observed in 69.5% of patients. IL-6 elevation was significantly associated with overweight/obesity (p = 0.021), increased neutrophil counts (p = 0.047), elevated CRP levels (p = 0.028), and higher annual hospitalization and acute exacerbation frequencies (p = 0.011). No significant association was found between IL-6 elevation and the severity of acute asthma attacks (p = 0.156). </w:t>
            </w:r>
          </w:p>
          <w:p w14:paraId="131B443A" w14:textId="11DDDA4C" w:rsidR="00636EB2"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920878" w:rsidRPr="00920878">
              <w:rPr>
                <w:rFonts w:ascii="Arial" w:eastAsia="Calibri" w:hAnsi="Arial" w:cs="Arial"/>
                <w:szCs w:val="22"/>
              </w:rPr>
              <w:t>IL-6 is associated with systemic inflammation and asthma control, particularly among overweight and obese children, highlighting its potential as a novel biomarker for phenotype stratification and prognosis in pediatric bronchial asthma</w:t>
            </w:r>
            <w:proofErr w:type="gramStart"/>
            <w:r w:rsidR="00920878" w:rsidRPr="00920878">
              <w:rPr>
                <w:rFonts w:ascii="Arial" w:eastAsia="Calibri" w:hAnsi="Arial" w:cs="Arial"/>
                <w:szCs w:val="22"/>
              </w:rPr>
              <w:t xml:space="preserve">. </w:t>
            </w:r>
            <w:r w:rsidRPr="00BA1B01">
              <w:rPr>
                <w:rFonts w:ascii="Arial" w:eastAsia="Calibri" w:hAnsi="Arial" w:cs="Arial"/>
                <w:szCs w:val="22"/>
              </w:rPr>
              <w:t>.</w:t>
            </w:r>
            <w:proofErr w:type="gramEnd"/>
          </w:p>
          <w:p w14:paraId="181531BA" w14:textId="4A31EEE2" w:rsidR="00505F06" w:rsidRPr="00BA1B01" w:rsidRDefault="00505F06" w:rsidP="00441B6F">
            <w:pPr>
              <w:pStyle w:val="Body"/>
              <w:spacing w:after="0"/>
              <w:rPr>
                <w:rFonts w:ascii="Arial" w:eastAsia="Calibri" w:hAnsi="Arial" w:cs="Arial"/>
                <w:szCs w:val="22"/>
              </w:rPr>
            </w:pPr>
          </w:p>
        </w:tc>
      </w:tr>
    </w:tbl>
    <w:p w14:paraId="1A632A10" w14:textId="77777777" w:rsidR="00636EB2" w:rsidRDefault="00636EB2" w:rsidP="00441B6F">
      <w:pPr>
        <w:pStyle w:val="Body"/>
        <w:spacing w:after="0"/>
        <w:rPr>
          <w:rFonts w:ascii="Arial" w:hAnsi="Arial" w:cs="Arial"/>
          <w:i/>
        </w:rPr>
      </w:pPr>
    </w:p>
    <w:p w14:paraId="69515A77" w14:textId="5DD57FF4" w:rsidR="00A24E7E" w:rsidRDefault="00A24E7E" w:rsidP="00441B6F">
      <w:pPr>
        <w:pStyle w:val="Body"/>
        <w:spacing w:after="0"/>
        <w:rPr>
          <w:rFonts w:ascii="Arial" w:hAnsi="Arial" w:cs="Arial"/>
          <w:i/>
        </w:rPr>
      </w:pPr>
      <w:r>
        <w:rPr>
          <w:rFonts w:ascii="Arial" w:hAnsi="Arial" w:cs="Arial"/>
          <w:i/>
        </w:rPr>
        <w:t xml:space="preserve">Keywords: </w:t>
      </w:r>
      <w:r w:rsidR="00F90D69" w:rsidRPr="00F90D69">
        <w:rPr>
          <w:rFonts w:ascii="Arial" w:hAnsi="Arial" w:cs="Arial"/>
          <w:i/>
        </w:rPr>
        <w:t>IL-6, bronchial asthma, asthma control, biomarker.</w:t>
      </w:r>
    </w:p>
    <w:p w14:paraId="6A0BF421" w14:textId="77777777" w:rsidR="00505F06" w:rsidRPr="00F90D69" w:rsidRDefault="00505F06" w:rsidP="00441B6F">
      <w:pPr>
        <w:pStyle w:val="Body"/>
        <w:spacing w:after="0"/>
        <w:rPr>
          <w:rFonts w:ascii="Arial" w:hAnsi="Arial" w:cs="Arial"/>
          <w:i/>
          <w:lang w:val="vi-VN"/>
        </w:rPr>
      </w:pPr>
    </w:p>
    <w:p w14:paraId="15D7B6FF" w14:textId="77777777" w:rsidR="00753FF9" w:rsidRDefault="00902823" w:rsidP="00441B6F">
      <w:pPr>
        <w:pStyle w:val="AbstHead"/>
        <w:spacing w:after="0"/>
        <w:jc w:val="both"/>
        <w:rPr>
          <w:rFonts w:ascii="Arial" w:hAnsi="Arial" w:cs="Arial"/>
          <w:lang w:val="vi-VN"/>
        </w:rPr>
      </w:pPr>
      <w:r>
        <w:rPr>
          <w:rFonts w:ascii="Arial" w:hAnsi="Arial" w:cs="Arial"/>
        </w:rPr>
        <w:t xml:space="preserve">1. </w:t>
      </w:r>
      <w:r w:rsidR="00B01FCD" w:rsidRPr="00FB3A86">
        <w:rPr>
          <w:rFonts w:ascii="Arial" w:hAnsi="Arial" w:cs="Arial"/>
        </w:rPr>
        <w:t>INTRODUCTION</w:t>
      </w:r>
    </w:p>
    <w:p w14:paraId="37DA3353" w14:textId="17FB1169" w:rsidR="00790ADA" w:rsidRPr="00FB3A86" w:rsidRDefault="007F7B32" w:rsidP="00441B6F">
      <w:pPr>
        <w:pStyle w:val="AbstHead"/>
        <w:spacing w:after="0"/>
        <w:jc w:val="both"/>
        <w:rPr>
          <w:rFonts w:ascii="Arial" w:hAnsi="Arial" w:cs="Arial"/>
        </w:rPr>
      </w:pPr>
      <w:r>
        <w:rPr>
          <w:rFonts w:ascii="Arial" w:hAnsi="Arial" w:cs="Arial"/>
        </w:rPr>
        <w:t xml:space="preserve"> </w:t>
      </w:r>
    </w:p>
    <w:p w14:paraId="6BDEC5EF" w14:textId="77777777" w:rsidR="00F90D69" w:rsidRPr="00F90D69" w:rsidRDefault="00F90D69" w:rsidP="00F90D69">
      <w:pPr>
        <w:pStyle w:val="Body"/>
        <w:ind w:firstLine="720"/>
        <w:rPr>
          <w:rFonts w:ascii="Arial" w:hAnsi="Arial" w:cs="Arial"/>
        </w:rPr>
      </w:pPr>
      <w:r w:rsidRPr="00F90D69">
        <w:rPr>
          <w:rFonts w:ascii="Arial" w:hAnsi="Arial" w:cs="Arial"/>
        </w:rPr>
        <w:t xml:space="preserve">Bronchial asthma is one of the most common chronic inflammatory respiratory diseases in children. Globally, there are currently over 262 million people with asthma, causing over 400,000 deaths annually [1], with children accounting for a significant proportion. In Vietnam, recent studies indicate that the prevalence of bronchial asthma (BA) in children ranges from 8–12% and is trending upward, especially in large urban areas [2]. Bronchial asthma is a heterogeneous disease with multiple phenotypes and diverse pathophysiological mechanisms, leading to persistent difficulties in diagnosis, prognosis, and treatment. In recent years, pro-inflammatory cytokines have been regarded as critical mediators involved in regulating airway inflammatory responses and are being investigated as new therapeutic targets for asthma, particularly anti-cytokine monoclonal antibodies. Among these, interleukin-6 (IL-6) stands out as a multifunctional cytokine, playing roles in immunomodulation, systemic inflammatory responses, and the progression of chronic respiratory diseases. Many international studies have shown elevated peripheral blood IL-6 levels in BA patients, especially in severe asthma, asthma in obese children, or poorly controlled asthma, suggesting IL-6 as a potential biomarker for assessing inflammation levels and disease prognosis [3], [4]. </w:t>
      </w:r>
    </w:p>
    <w:p w14:paraId="351E87D3" w14:textId="5C5C4D0C" w:rsidR="00790ADA" w:rsidRDefault="00F90D69" w:rsidP="00F90D69">
      <w:pPr>
        <w:pStyle w:val="Body"/>
        <w:spacing w:after="0"/>
        <w:ind w:firstLine="720"/>
        <w:rPr>
          <w:rFonts w:ascii="Arial" w:hAnsi="Arial" w:cs="Arial"/>
          <w:lang w:val="vi-VN"/>
        </w:rPr>
      </w:pPr>
      <w:r w:rsidRPr="00F90D69">
        <w:rPr>
          <w:rFonts w:ascii="Arial" w:hAnsi="Arial" w:cs="Arial"/>
        </w:rPr>
        <w:t>In Vietnam, although several studies have addressed the immunological and cytokine characteristics in asthmatic children, specific data on the role of IL-6 in the diagnosis and treatment of pediatric asthma remain very limited [5]. Based on this reality, we conducted the research topic "Peripheral blood IL-6 concentration – A potential biomarker in pediatric bronchial asthma" to help clarify the role of IL-6 in the pathogenesis and progression of pediatric BA. Concurrently, this study aims to provide a scientific basis for applying IL-6 as an indicator to support diagnosis, prognosis, and therapeutic orientation for asthma in Vietnam. The objective of this study is: To determine the association between increased IL-6 concentration and BMI, several systemic inflammatory markers, asthma control levels, and the severity of exacerbations in pediatric bronchial asthma.</w:t>
      </w:r>
    </w:p>
    <w:p w14:paraId="575DCF92" w14:textId="77777777" w:rsidR="00753FF9" w:rsidRPr="00753FF9" w:rsidRDefault="00753FF9" w:rsidP="00F90D69">
      <w:pPr>
        <w:pStyle w:val="Body"/>
        <w:spacing w:after="0"/>
        <w:ind w:firstLine="720"/>
        <w:rPr>
          <w:rFonts w:ascii="Arial" w:hAnsi="Arial" w:cs="Arial"/>
          <w:lang w:val="vi-VN"/>
        </w:rPr>
      </w:pPr>
    </w:p>
    <w:p w14:paraId="0AC8D550" w14:textId="315E5412" w:rsidR="00790ADA" w:rsidRDefault="00902823" w:rsidP="00441B6F">
      <w:pPr>
        <w:pStyle w:val="AbstHead"/>
        <w:spacing w:after="0"/>
        <w:jc w:val="both"/>
        <w:rPr>
          <w:rFonts w:ascii="Arial" w:hAnsi="Arial" w:cs="Arial"/>
          <w:lang w:val="vi-VN"/>
        </w:rPr>
      </w:pPr>
      <w:r>
        <w:rPr>
          <w:rFonts w:ascii="Arial" w:hAnsi="Arial" w:cs="Arial"/>
        </w:rPr>
        <w:lastRenderedPageBreak/>
        <w:t>2. material and method</w:t>
      </w:r>
      <w:r w:rsidR="00000F8F">
        <w:rPr>
          <w:rFonts w:ascii="Arial" w:hAnsi="Arial" w:cs="Arial"/>
        </w:rPr>
        <w:t xml:space="preserve">s </w:t>
      </w:r>
    </w:p>
    <w:p w14:paraId="7D8D29ED" w14:textId="77777777" w:rsidR="00753FF9" w:rsidRPr="00753FF9" w:rsidRDefault="00753FF9" w:rsidP="00441B6F">
      <w:pPr>
        <w:pStyle w:val="AbstHead"/>
        <w:spacing w:after="0"/>
        <w:jc w:val="both"/>
        <w:rPr>
          <w:rFonts w:ascii="Arial" w:hAnsi="Arial" w:cs="Arial"/>
          <w:lang w:val="vi-VN"/>
        </w:rPr>
      </w:pPr>
    </w:p>
    <w:p w14:paraId="5E5A7BAB" w14:textId="77777777" w:rsidR="00F90D69" w:rsidRDefault="00F90D69" w:rsidP="00F90D69">
      <w:pPr>
        <w:pStyle w:val="Body"/>
        <w:spacing w:after="0"/>
        <w:jc w:val="left"/>
        <w:rPr>
          <w:rFonts w:ascii="Arial" w:hAnsi="Arial" w:cs="Arial"/>
          <w:bCs/>
          <w:sz w:val="22"/>
          <w:lang w:val="vi-VN"/>
        </w:rPr>
      </w:pPr>
      <w:r w:rsidRPr="00F90D69">
        <w:rPr>
          <w:rFonts w:ascii="Arial" w:hAnsi="Arial" w:cs="Arial"/>
          <w:b/>
          <w:caps/>
          <w:sz w:val="22"/>
        </w:rPr>
        <w:t xml:space="preserve">2.1. </w:t>
      </w:r>
      <w:r w:rsidRPr="00F90D69">
        <w:rPr>
          <w:rFonts w:ascii="Arial" w:hAnsi="Arial" w:cs="Arial"/>
          <w:b/>
          <w:sz w:val="22"/>
        </w:rPr>
        <w:t>Study subjects</w:t>
      </w:r>
      <w:r w:rsidRPr="00F90D69">
        <w:rPr>
          <w:rFonts w:ascii="Arial" w:hAnsi="Arial" w:cs="Arial"/>
          <w:bCs/>
          <w:sz w:val="22"/>
        </w:rPr>
        <w:t xml:space="preserve">: </w:t>
      </w:r>
    </w:p>
    <w:p w14:paraId="1DE51F7E" w14:textId="4668FE28" w:rsidR="00F90D69" w:rsidRPr="00F90D69" w:rsidRDefault="00F90D69" w:rsidP="00F90D69">
      <w:pPr>
        <w:pStyle w:val="Body"/>
        <w:spacing w:after="0"/>
        <w:rPr>
          <w:rFonts w:ascii="Arial" w:hAnsi="Arial" w:cs="Arial"/>
          <w:bCs/>
          <w:caps/>
          <w:sz w:val="22"/>
        </w:rPr>
      </w:pPr>
      <w:r>
        <w:rPr>
          <w:rFonts w:ascii="Arial" w:hAnsi="Arial" w:cs="Arial"/>
          <w:bCs/>
          <w:sz w:val="22"/>
        </w:rPr>
        <w:t>P</w:t>
      </w:r>
      <w:r w:rsidRPr="00F90D69">
        <w:rPr>
          <w:rFonts w:ascii="Arial" w:hAnsi="Arial" w:cs="Arial"/>
          <w:bCs/>
          <w:sz w:val="22"/>
        </w:rPr>
        <w:t xml:space="preserve">ediatric patients over 5 years of age diagnosed and treated for bronchial asthma at can </w:t>
      </w:r>
      <w:proofErr w:type="spellStart"/>
      <w:r w:rsidRPr="00F90D69">
        <w:rPr>
          <w:rFonts w:ascii="Arial" w:hAnsi="Arial" w:cs="Arial"/>
          <w:bCs/>
          <w:sz w:val="22"/>
        </w:rPr>
        <w:t>tho</w:t>
      </w:r>
      <w:proofErr w:type="spellEnd"/>
      <w:r w:rsidRPr="00F90D69">
        <w:rPr>
          <w:rFonts w:ascii="Arial" w:hAnsi="Arial" w:cs="Arial"/>
          <w:bCs/>
          <w:sz w:val="22"/>
        </w:rPr>
        <w:t xml:space="preserve"> children's hospital.</w:t>
      </w:r>
    </w:p>
    <w:p w14:paraId="79F5EA61" w14:textId="283C3BD6" w:rsidR="00F90D69" w:rsidRPr="00F90D69" w:rsidRDefault="00F90D69" w:rsidP="00F90D69">
      <w:pPr>
        <w:pStyle w:val="Body"/>
        <w:spacing w:after="0"/>
        <w:rPr>
          <w:rFonts w:ascii="Arial" w:hAnsi="Arial" w:cs="Arial"/>
          <w:bCs/>
          <w:caps/>
          <w:sz w:val="22"/>
        </w:rPr>
      </w:pPr>
      <w:r w:rsidRPr="00F90D69">
        <w:rPr>
          <w:rFonts w:ascii="Arial" w:hAnsi="Arial" w:cs="Arial"/>
          <w:bCs/>
          <w:sz w:val="22"/>
        </w:rPr>
        <w:t>-</w:t>
      </w:r>
      <w:r>
        <w:rPr>
          <w:rFonts w:ascii="Arial" w:hAnsi="Arial" w:cs="Arial"/>
          <w:bCs/>
          <w:sz w:val="22"/>
          <w:lang w:val="vi-VN"/>
        </w:rPr>
        <w:t xml:space="preserve"> </w:t>
      </w:r>
      <w:proofErr w:type="spellStart"/>
      <w:r>
        <w:rPr>
          <w:rFonts w:ascii="Arial" w:hAnsi="Arial" w:cs="Arial"/>
          <w:bCs/>
          <w:sz w:val="22"/>
        </w:rPr>
        <w:t>I</w:t>
      </w:r>
      <w:r w:rsidRPr="00F90D69">
        <w:rPr>
          <w:rFonts w:ascii="Arial" w:hAnsi="Arial" w:cs="Arial"/>
          <w:bCs/>
          <w:sz w:val="22"/>
        </w:rPr>
        <w:t>inclusion</w:t>
      </w:r>
      <w:proofErr w:type="spellEnd"/>
      <w:r w:rsidRPr="00F90D69">
        <w:rPr>
          <w:rFonts w:ascii="Arial" w:hAnsi="Arial" w:cs="Arial"/>
          <w:bCs/>
          <w:sz w:val="22"/>
        </w:rPr>
        <w:t xml:space="preserve"> criteria: all pediatric patients over 5 years of age diagnosed with bronchial asthma at can </w:t>
      </w:r>
      <w:proofErr w:type="spellStart"/>
      <w:r w:rsidRPr="00F90D69">
        <w:rPr>
          <w:rFonts w:ascii="Arial" w:hAnsi="Arial" w:cs="Arial"/>
          <w:bCs/>
          <w:sz w:val="22"/>
        </w:rPr>
        <w:t>tho</w:t>
      </w:r>
      <w:proofErr w:type="spellEnd"/>
      <w:r w:rsidRPr="00F90D69">
        <w:rPr>
          <w:rFonts w:ascii="Arial" w:hAnsi="Arial" w:cs="Arial"/>
          <w:bCs/>
          <w:sz w:val="22"/>
        </w:rPr>
        <w:t xml:space="preserve"> children's hospital. the patient and their legal guardians consented to participate in the study.</w:t>
      </w:r>
    </w:p>
    <w:p w14:paraId="6A2D819F" w14:textId="5A04EA0B" w:rsidR="00F90D69" w:rsidRPr="00F90D69" w:rsidRDefault="00F90D69" w:rsidP="00F90D69">
      <w:pPr>
        <w:pStyle w:val="Body"/>
        <w:spacing w:after="0"/>
        <w:rPr>
          <w:rFonts w:ascii="Arial" w:hAnsi="Arial" w:cs="Arial"/>
          <w:bCs/>
          <w:caps/>
          <w:sz w:val="22"/>
        </w:rPr>
      </w:pPr>
      <w:r w:rsidRPr="00F90D69">
        <w:rPr>
          <w:rFonts w:ascii="Arial" w:hAnsi="Arial" w:cs="Arial"/>
          <w:bCs/>
          <w:sz w:val="22"/>
        </w:rPr>
        <w:t>-</w:t>
      </w:r>
      <w:r>
        <w:rPr>
          <w:rFonts w:ascii="Arial" w:hAnsi="Arial" w:cs="Arial"/>
          <w:bCs/>
          <w:sz w:val="22"/>
          <w:lang w:val="vi-VN"/>
        </w:rPr>
        <w:t xml:space="preserve">  </w:t>
      </w:r>
      <w:r>
        <w:rPr>
          <w:rFonts w:ascii="Arial" w:hAnsi="Arial" w:cs="Arial"/>
          <w:bCs/>
          <w:sz w:val="22"/>
        </w:rPr>
        <w:t>E</w:t>
      </w:r>
      <w:r w:rsidRPr="00F90D69">
        <w:rPr>
          <w:rFonts w:ascii="Arial" w:hAnsi="Arial" w:cs="Arial"/>
          <w:bCs/>
          <w:sz w:val="22"/>
        </w:rPr>
        <w:t>xclusion criteria:</w:t>
      </w:r>
    </w:p>
    <w:p w14:paraId="6ED2B0A9" w14:textId="6BDA5211" w:rsidR="00F90D69" w:rsidRPr="00F90D69" w:rsidRDefault="00F90D69" w:rsidP="00F90D69">
      <w:pPr>
        <w:pStyle w:val="Body"/>
        <w:spacing w:after="0"/>
        <w:rPr>
          <w:rFonts w:ascii="Arial" w:hAnsi="Arial" w:cs="Arial"/>
          <w:bCs/>
          <w:caps/>
          <w:sz w:val="22"/>
        </w:rPr>
      </w:pPr>
      <w:r w:rsidRPr="00F90D69">
        <w:rPr>
          <w:rFonts w:ascii="Arial" w:hAnsi="Arial" w:cs="Arial"/>
          <w:bCs/>
          <w:sz w:val="22"/>
        </w:rPr>
        <w:t xml:space="preserve">+ </w:t>
      </w:r>
      <w:r>
        <w:rPr>
          <w:rFonts w:ascii="Arial" w:hAnsi="Arial" w:cs="Arial"/>
          <w:bCs/>
          <w:sz w:val="22"/>
        </w:rPr>
        <w:t>A</w:t>
      </w:r>
      <w:r w:rsidRPr="00F90D69">
        <w:rPr>
          <w:rFonts w:ascii="Arial" w:hAnsi="Arial" w:cs="Arial"/>
          <w:bCs/>
          <w:sz w:val="22"/>
        </w:rPr>
        <w:t xml:space="preserve">sthmatic patients with other severe comorbidities such as cardiac arrhythmia, congenital heart disease, rheumatic heart disease, </w:t>
      </w:r>
      <w:proofErr w:type="gramStart"/>
      <w:r w:rsidRPr="00F90D69">
        <w:rPr>
          <w:rFonts w:ascii="Arial" w:hAnsi="Arial" w:cs="Arial"/>
          <w:bCs/>
          <w:sz w:val="22"/>
        </w:rPr>
        <w:t>etc..</w:t>
      </w:r>
      <w:proofErr w:type="gramEnd"/>
    </w:p>
    <w:p w14:paraId="23D045EC" w14:textId="3CD720EF" w:rsidR="00F90D69" w:rsidRPr="00F90D69" w:rsidRDefault="00F90D69" w:rsidP="00F90D69">
      <w:pPr>
        <w:pStyle w:val="Body"/>
        <w:spacing w:after="0"/>
        <w:rPr>
          <w:rFonts w:ascii="Arial" w:hAnsi="Arial" w:cs="Arial"/>
          <w:bCs/>
          <w:caps/>
          <w:sz w:val="22"/>
        </w:rPr>
      </w:pPr>
      <w:r w:rsidRPr="00F90D69">
        <w:rPr>
          <w:rFonts w:ascii="Arial" w:hAnsi="Arial" w:cs="Arial"/>
          <w:bCs/>
          <w:sz w:val="22"/>
        </w:rPr>
        <w:t xml:space="preserve">+ </w:t>
      </w:r>
      <w:r>
        <w:rPr>
          <w:rFonts w:ascii="Arial" w:hAnsi="Arial" w:cs="Arial"/>
          <w:bCs/>
          <w:sz w:val="22"/>
        </w:rPr>
        <w:t>A</w:t>
      </w:r>
      <w:r w:rsidRPr="00F90D69">
        <w:rPr>
          <w:rFonts w:ascii="Arial" w:hAnsi="Arial" w:cs="Arial"/>
          <w:bCs/>
          <w:sz w:val="22"/>
        </w:rPr>
        <w:t>sthmatic patients with comorbidities such as immunodeficiency or myeloid leukemia.</w:t>
      </w:r>
    </w:p>
    <w:p w14:paraId="08173266" w14:textId="655DC34D" w:rsidR="00F90D69" w:rsidRPr="00F90D69" w:rsidRDefault="00F90D69" w:rsidP="00F90D69">
      <w:pPr>
        <w:pStyle w:val="Body"/>
        <w:spacing w:after="0"/>
        <w:rPr>
          <w:rFonts w:ascii="Arial" w:hAnsi="Arial" w:cs="Arial"/>
          <w:bCs/>
          <w:caps/>
          <w:sz w:val="22"/>
        </w:rPr>
      </w:pPr>
      <w:r w:rsidRPr="00F90D69">
        <w:rPr>
          <w:rFonts w:ascii="Arial" w:hAnsi="Arial" w:cs="Arial"/>
          <w:bCs/>
          <w:sz w:val="22"/>
        </w:rPr>
        <w:t xml:space="preserve">+ </w:t>
      </w:r>
      <w:r>
        <w:rPr>
          <w:rFonts w:ascii="Arial" w:hAnsi="Arial" w:cs="Arial"/>
          <w:bCs/>
          <w:sz w:val="22"/>
        </w:rPr>
        <w:t>A</w:t>
      </w:r>
      <w:r w:rsidRPr="00F90D69">
        <w:rPr>
          <w:rFonts w:ascii="Arial" w:hAnsi="Arial" w:cs="Arial"/>
          <w:bCs/>
          <w:sz w:val="22"/>
        </w:rPr>
        <w:t>sthmatic patients presenting with dyspnea but admitted for reasons other than an acute asthma attack, such as cardiac asthma, pneumothorax, or foreign body aspiration.</w:t>
      </w:r>
    </w:p>
    <w:p w14:paraId="7CF5275A" w14:textId="28E9F5CF" w:rsidR="00F90D69" w:rsidRPr="00F90D69" w:rsidRDefault="00F90D69" w:rsidP="00F90D69">
      <w:pPr>
        <w:pStyle w:val="Body"/>
        <w:spacing w:after="0"/>
        <w:jc w:val="left"/>
        <w:rPr>
          <w:rFonts w:ascii="Arial" w:hAnsi="Arial" w:cs="Arial"/>
          <w:b/>
          <w:caps/>
          <w:sz w:val="22"/>
        </w:rPr>
      </w:pPr>
      <w:r w:rsidRPr="00F90D69">
        <w:rPr>
          <w:rFonts w:ascii="Arial" w:hAnsi="Arial" w:cs="Arial"/>
          <w:b/>
          <w:sz w:val="22"/>
        </w:rPr>
        <w:t>2.2. Research methods</w:t>
      </w:r>
    </w:p>
    <w:p w14:paraId="63F39FA7" w14:textId="7F6D6B12" w:rsidR="00F90D69" w:rsidRPr="00F90D69" w:rsidRDefault="00F90D69" w:rsidP="00F90D69">
      <w:pPr>
        <w:pStyle w:val="Body"/>
        <w:spacing w:after="0"/>
        <w:rPr>
          <w:rFonts w:ascii="Arial" w:hAnsi="Arial" w:cs="Arial"/>
          <w:bCs/>
          <w:caps/>
          <w:sz w:val="22"/>
        </w:rPr>
      </w:pPr>
      <w:r w:rsidRPr="00F90D69">
        <w:rPr>
          <w:rFonts w:ascii="Arial" w:hAnsi="Arial" w:cs="Arial"/>
          <w:bCs/>
          <w:sz w:val="22"/>
        </w:rPr>
        <w:t>-</w:t>
      </w:r>
      <w:r>
        <w:rPr>
          <w:rFonts w:ascii="Arial" w:hAnsi="Arial" w:cs="Arial"/>
          <w:bCs/>
          <w:sz w:val="22"/>
          <w:lang w:val="vi-VN"/>
        </w:rPr>
        <w:t xml:space="preserve">  </w:t>
      </w:r>
      <w:r>
        <w:rPr>
          <w:rFonts w:ascii="Arial" w:hAnsi="Arial" w:cs="Arial"/>
          <w:bCs/>
          <w:sz w:val="22"/>
        </w:rPr>
        <w:t>S</w:t>
      </w:r>
      <w:r w:rsidRPr="00F90D69">
        <w:rPr>
          <w:rFonts w:ascii="Arial" w:hAnsi="Arial" w:cs="Arial"/>
          <w:bCs/>
          <w:sz w:val="22"/>
        </w:rPr>
        <w:t>tudy design: a descriptive, cross-sectional, prospective study.</w:t>
      </w:r>
    </w:p>
    <w:p w14:paraId="1440C288" w14:textId="6E90ED77" w:rsidR="00F90D69" w:rsidRPr="00F90D69" w:rsidRDefault="00F90D69" w:rsidP="00F90D69">
      <w:pPr>
        <w:pStyle w:val="Body"/>
        <w:spacing w:after="0"/>
        <w:rPr>
          <w:rFonts w:ascii="Arial" w:hAnsi="Arial" w:cs="Arial"/>
          <w:bCs/>
          <w:caps/>
          <w:sz w:val="22"/>
        </w:rPr>
      </w:pPr>
      <w:r w:rsidRPr="00F90D69">
        <w:rPr>
          <w:rFonts w:ascii="Arial" w:hAnsi="Arial" w:cs="Arial"/>
          <w:bCs/>
          <w:sz w:val="22"/>
        </w:rPr>
        <w:t>-</w:t>
      </w:r>
      <w:r>
        <w:rPr>
          <w:rFonts w:ascii="Arial" w:hAnsi="Arial" w:cs="Arial"/>
          <w:bCs/>
          <w:sz w:val="22"/>
          <w:lang w:val="vi-VN"/>
        </w:rPr>
        <w:t xml:space="preserve">  </w:t>
      </w:r>
      <w:r>
        <w:rPr>
          <w:rFonts w:ascii="Arial" w:hAnsi="Arial" w:cs="Arial"/>
          <w:bCs/>
          <w:sz w:val="22"/>
        </w:rPr>
        <w:t>S</w:t>
      </w:r>
      <w:r w:rsidRPr="00F90D69">
        <w:rPr>
          <w:rFonts w:ascii="Arial" w:hAnsi="Arial" w:cs="Arial"/>
          <w:bCs/>
          <w:sz w:val="22"/>
        </w:rPr>
        <w:t>ample size: 59 pediatric patients with bronchial asthma.</w:t>
      </w:r>
    </w:p>
    <w:p w14:paraId="13738E5C" w14:textId="151DEA56" w:rsidR="00F90D69" w:rsidRPr="00F90D69" w:rsidRDefault="00F90D69" w:rsidP="00F90D69">
      <w:pPr>
        <w:pStyle w:val="Body"/>
        <w:spacing w:after="0"/>
        <w:rPr>
          <w:rFonts w:ascii="Arial" w:hAnsi="Arial" w:cs="Arial"/>
          <w:bCs/>
          <w:caps/>
          <w:sz w:val="22"/>
        </w:rPr>
      </w:pPr>
      <w:r w:rsidRPr="00F90D69">
        <w:rPr>
          <w:rFonts w:ascii="Arial" w:hAnsi="Arial" w:cs="Arial"/>
          <w:bCs/>
          <w:sz w:val="22"/>
        </w:rPr>
        <w:t>-</w:t>
      </w:r>
      <w:r>
        <w:rPr>
          <w:rFonts w:ascii="Arial" w:hAnsi="Arial" w:cs="Arial"/>
          <w:bCs/>
          <w:sz w:val="22"/>
          <w:lang w:val="vi-VN"/>
        </w:rPr>
        <w:t xml:space="preserve">  </w:t>
      </w:r>
      <w:r>
        <w:rPr>
          <w:rFonts w:ascii="Arial" w:hAnsi="Arial" w:cs="Arial"/>
          <w:bCs/>
          <w:sz w:val="22"/>
        </w:rPr>
        <w:t>S</w:t>
      </w:r>
      <w:r w:rsidRPr="00F90D69">
        <w:rPr>
          <w:rFonts w:ascii="Arial" w:hAnsi="Arial" w:cs="Arial"/>
          <w:bCs/>
          <w:sz w:val="22"/>
        </w:rPr>
        <w:t>ampling method: convenience sampling, including all pediatric patients who met the inclusion criteria.</w:t>
      </w:r>
    </w:p>
    <w:p w14:paraId="532926AE" w14:textId="26670E08" w:rsidR="00F90D69" w:rsidRPr="00F90D69" w:rsidRDefault="00F90D69" w:rsidP="00F90D69">
      <w:pPr>
        <w:pStyle w:val="Body"/>
        <w:spacing w:after="0"/>
        <w:rPr>
          <w:rFonts w:ascii="Arial" w:hAnsi="Arial" w:cs="Arial"/>
          <w:bCs/>
          <w:caps/>
          <w:sz w:val="22"/>
        </w:rPr>
      </w:pPr>
      <w:r w:rsidRPr="00F90D69">
        <w:rPr>
          <w:rFonts w:ascii="Arial" w:hAnsi="Arial" w:cs="Arial"/>
          <w:bCs/>
          <w:sz w:val="22"/>
        </w:rPr>
        <w:t>-</w:t>
      </w:r>
      <w:r>
        <w:rPr>
          <w:rFonts w:ascii="Arial" w:hAnsi="Arial" w:cs="Arial"/>
          <w:bCs/>
          <w:sz w:val="22"/>
          <w:lang w:val="vi-VN"/>
        </w:rPr>
        <w:t xml:space="preserve">  </w:t>
      </w:r>
      <w:r>
        <w:rPr>
          <w:rFonts w:ascii="Arial" w:hAnsi="Arial" w:cs="Arial"/>
          <w:bCs/>
          <w:sz w:val="22"/>
        </w:rPr>
        <w:t>S</w:t>
      </w:r>
      <w:r w:rsidRPr="00F90D69">
        <w:rPr>
          <w:rFonts w:ascii="Arial" w:hAnsi="Arial" w:cs="Arial"/>
          <w:bCs/>
          <w:sz w:val="22"/>
        </w:rPr>
        <w:t>tudy variables:</w:t>
      </w:r>
    </w:p>
    <w:p w14:paraId="6CBDB115" w14:textId="46ED6440" w:rsidR="00F90D69" w:rsidRPr="00F90D69" w:rsidRDefault="00F90D69" w:rsidP="00F90D69">
      <w:pPr>
        <w:pStyle w:val="Body"/>
        <w:spacing w:after="0"/>
        <w:rPr>
          <w:rFonts w:ascii="Arial" w:hAnsi="Arial" w:cs="Arial"/>
          <w:bCs/>
          <w:caps/>
          <w:sz w:val="22"/>
        </w:rPr>
      </w:pPr>
      <w:r w:rsidRPr="00F90D69">
        <w:rPr>
          <w:rFonts w:ascii="Arial" w:hAnsi="Arial" w:cs="Arial"/>
          <w:bCs/>
          <w:sz w:val="22"/>
        </w:rPr>
        <w:t xml:space="preserve">+ </w:t>
      </w:r>
      <w:r>
        <w:rPr>
          <w:rFonts w:ascii="Arial" w:hAnsi="Arial" w:cs="Arial"/>
          <w:bCs/>
          <w:sz w:val="22"/>
        </w:rPr>
        <w:t>G</w:t>
      </w:r>
      <w:r w:rsidRPr="00F90D69">
        <w:rPr>
          <w:rFonts w:ascii="Arial" w:hAnsi="Arial" w:cs="Arial"/>
          <w:bCs/>
          <w:sz w:val="22"/>
        </w:rPr>
        <w:t>eneral information of patients: mean age, age of asthma onset, gender.</w:t>
      </w:r>
    </w:p>
    <w:p w14:paraId="443F6498" w14:textId="3B6467D5" w:rsidR="00F90D69" w:rsidRPr="00F90D69" w:rsidRDefault="00F90D69" w:rsidP="00F90D69">
      <w:pPr>
        <w:pStyle w:val="Body"/>
        <w:spacing w:after="0"/>
        <w:rPr>
          <w:rFonts w:ascii="Arial" w:hAnsi="Arial" w:cs="Arial"/>
          <w:bCs/>
          <w:caps/>
          <w:sz w:val="22"/>
        </w:rPr>
      </w:pPr>
      <w:r w:rsidRPr="00F90D69">
        <w:rPr>
          <w:rFonts w:ascii="Arial" w:hAnsi="Arial" w:cs="Arial"/>
          <w:bCs/>
          <w:sz w:val="22"/>
        </w:rPr>
        <w:t xml:space="preserve">+ </w:t>
      </w:r>
      <w:r>
        <w:rPr>
          <w:rFonts w:ascii="Arial" w:hAnsi="Arial" w:cs="Arial"/>
          <w:bCs/>
          <w:sz w:val="22"/>
        </w:rPr>
        <w:t>F</w:t>
      </w:r>
      <w:r w:rsidRPr="00F90D69">
        <w:rPr>
          <w:rFonts w:ascii="Arial" w:hAnsi="Arial" w:cs="Arial"/>
          <w:bCs/>
          <w:sz w:val="22"/>
        </w:rPr>
        <w:t>actors related to elevated peripheral blood il-6 levels: nutritional status (</w:t>
      </w:r>
      <w:proofErr w:type="spellStart"/>
      <w:r w:rsidRPr="00F90D69">
        <w:rPr>
          <w:rFonts w:ascii="Arial" w:hAnsi="Arial" w:cs="Arial"/>
          <w:bCs/>
          <w:sz w:val="22"/>
        </w:rPr>
        <w:t>bmi</w:t>
      </w:r>
      <w:proofErr w:type="spellEnd"/>
      <w:r w:rsidRPr="00F90D69">
        <w:rPr>
          <w:rFonts w:ascii="Arial" w:hAnsi="Arial" w:cs="Arial"/>
          <w:bCs/>
          <w:sz w:val="22"/>
        </w:rPr>
        <w:t xml:space="preserve"> classification), systemic inflammation status (</w:t>
      </w:r>
      <w:proofErr w:type="spellStart"/>
      <w:r w:rsidRPr="00F90D69">
        <w:rPr>
          <w:rFonts w:ascii="Arial" w:hAnsi="Arial" w:cs="Arial"/>
          <w:bCs/>
          <w:sz w:val="22"/>
        </w:rPr>
        <w:t>crp</w:t>
      </w:r>
      <w:proofErr w:type="spellEnd"/>
      <w:r w:rsidRPr="00F90D69">
        <w:rPr>
          <w:rFonts w:ascii="Arial" w:hAnsi="Arial" w:cs="Arial"/>
          <w:bCs/>
          <w:sz w:val="22"/>
        </w:rPr>
        <w:t>, total leukocyte count, neutrophil count), asthma severity (classification of acute asthma attack severity), and asthma control (annual hospitalization rate and number of emergency room visits for acute asthma attacks).</w:t>
      </w:r>
    </w:p>
    <w:p w14:paraId="7D190A86" w14:textId="352DF5B7" w:rsidR="00790ADA" w:rsidRDefault="00F90D69" w:rsidP="00F90D69">
      <w:pPr>
        <w:pStyle w:val="Body"/>
        <w:spacing w:after="0"/>
        <w:rPr>
          <w:rFonts w:ascii="Arial" w:hAnsi="Arial" w:cs="Arial"/>
          <w:bCs/>
          <w:sz w:val="22"/>
          <w:lang w:val="vi-VN"/>
        </w:rPr>
      </w:pPr>
      <w:r w:rsidRPr="00F90D69">
        <w:rPr>
          <w:rFonts w:ascii="Arial" w:hAnsi="Arial" w:cs="Arial"/>
          <w:bCs/>
          <w:sz w:val="22"/>
        </w:rPr>
        <w:t>-</w:t>
      </w:r>
      <w:r>
        <w:rPr>
          <w:rFonts w:ascii="Arial" w:hAnsi="Arial" w:cs="Arial"/>
          <w:bCs/>
          <w:sz w:val="22"/>
          <w:lang w:val="vi-VN"/>
        </w:rPr>
        <w:t xml:space="preserve">  D</w:t>
      </w:r>
      <w:proofErr w:type="spellStart"/>
      <w:r w:rsidRPr="00F90D69">
        <w:rPr>
          <w:rFonts w:ascii="Arial" w:hAnsi="Arial" w:cs="Arial"/>
          <w:bCs/>
          <w:sz w:val="22"/>
        </w:rPr>
        <w:t>ata</w:t>
      </w:r>
      <w:proofErr w:type="spellEnd"/>
      <w:r w:rsidRPr="00F90D69">
        <w:rPr>
          <w:rFonts w:ascii="Arial" w:hAnsi="Arial" w:cs="Arial"/>
          <w:bCs/>
          <w:sz w:val="22"/>
        </w:rPr>
        <w:t xml:space="preserve"> analysis: data were analyzed using </w:t>
      </w:r>
      <w:proofErr w:type="spellStart"/>
      <w:r w:rsidRPr="00F90D69">
        <w:rPr>
          <w:rFonts w:ascii="Arial" w:hAnsi="Arial" w:cs="Arial"/>
          <w:bCs/>
          <w:sz w:val="22"/>
        </w:rPr>
        <w:t>spss</w:t>
      </w:r>
      <w:proofErr w:type="spellEnd"/>
      <w:r w:rsidRPr="00F90D69">
        <w:rPr>
          <w:rFonts w:ascii="Arial" w:hAnsi="Arial" w:cs="Arial"/>
          <w:bCs/>
          <w:sz w:val="22"/>
        </w:rPr>
        <w:t xml:space="preserve"> software version 20.0.</w:t>
      </w:r>
    </w:p>
    <w:p w14:paraId="39E56343" w14:textId="77777777" w:rsidR="00753FF9" w:rsidRPr="00753FF9" w:rsidRDefault="00753FF9" w:rsidP="00F90D69">
      <w:pPr>
        <w:pStyle w:val="Body"/>
        <w:spacing w:after="0"/>
        <w:rPr>
          <w:rFonts w:ascii="Arial" w:hAnsi="Arial" w:cs="Arial"/>
          <w:bCs/>
          <w:lang w:val="vi-VN"/>
        </w:rPr>
      </w:pPr>
    </w:p>
    <w:p w14:paraId="07980C0F" w14:textId="40D0DF45" w:rsidR="00790ADA" w:rsidRDefault="00000F8F" w:rsidP="00441B6F">
      <w:pPr>
        <w:pStyle w:val="Head1"/>
        <w:spacing w:after="0"/>
        <w:jc w:val="both"/>
        <w:rPr>
          <w:rFonts w:ascii="Arial" w:hAnsi="Arial" w:cs="Arial"/>
          <w:lang w:val="vi-VN"/>
        </w:rPr>
      </w:pPr>
      <w:r>
        <w:rPr>
          <w:rFonts w:ascii="Arial" w:hAnsi="Arial" w:cs="Arial"/>
        </w:rPr>
        <w:t>3</w:t>
      </w:r>
      <w:r w:rsidR="00902823">
        <w:rPr>
          <w:rFonts w:ascii="Arial" w:hAnsi="Arial" w:cs="Arial"/>
        </w:rPr>
        <w:t xml:space="preserve">. </w:t>
      </w:r>
      <w:r>
        <w:rPr>
          <w:rFonts w:ascii="Arial" w:hAnsi="Arial" w:cs="Arial"/>
        </w:rPr>
        <w:t xml:space="preserve">results </w:t>
      </w:r>
    </w:p>
    <w:p w14:paraId="163B2867" w14:textId="77777777" w:rsidR="00753FF9" w:rsidRPr="00753FF9" w:rsidRDefault="00753FF9" w:rsidP="00441B6F">
      <w:pPr>
        <w:pStyle w:val="Head1"/>
        <w:spacing w:after="0"/>
        <w:jc w:val="both"/>
        <w:rPr>
          <w:rFonts w:ascii="Arial" w:hAnsi="Arial" w:cs="Arial"/>
          <w:lang w:val="vi-VN"/>
        </w:rPr>
      </w:pPr>
    </w:p>
    <w:p w14:paraId="048482A0" w14:textId="77777777" w:rsidR="00FC60F3" w:rsidRPr="00FC60F3" w:rsidRDefault="00FC60F3" w:rsidP="00FC60F3">
      <w:pPr>
        <w:rPr>
          <w:rFonts w:ascii="Arial" w:hAnsi="Arial" w:cs="Arial"/>
          <w:sz w:val="22"/>
          <w:szCs w:val="22"/>
          <w:lang w:val="vi-VN"/>
        </w:rPr>
      </w:pPr>
      <w:r w:rsidRPr="00FC60F3">
        <w:rPr>
          <w:rFonts w:ascii="Arial" w:hAnsi="Arial" w:cs="Arial"/>
          <w:b/>
          <w:bCs/>
          <w:sz w:val="22"/>
          <w:szCs w:val="22"/>
        </w:rPr>
        <w:t>3.1. General characteristics of the study population:</w:t>
      </w:r>
      <w:r w:rsidRPr="00FC60F3">
        <w:rPr>
          <w:rFonts w:ascii="Arial" w:hAnsi="Arial" w:cs="Arial"/>
          <w:sz w:val="22"/>
          <w:szCs w:val="22"/>
        </w:rPr>
        <w:t xml:space="preserve"> </w:t>
      </w:r>
    </w:p>
    <w:p w14:paraId="48CBC979" w14:textId="15DAC356" w:rsidR="00FC60F3" w:rsidRPr="00FC60F3" w:rsidRDefault="00FC60F3" w:rsidP="00FC60F3">
      <w:pPr>
        <w:ind w:firstLine="720"/>
        <w:jc w:val="both"/>
        <w:rPr>
          <w:rFonts w:ascii="Arial" w:hAnsi="Arial" w:cs="Arial"/>
        </w:rPr>
      </w:pPr>
      <w:r w:rsidRPr="00FC60F3">
        <w:rPr>
          <w:rFonts w:ascii="Arial" w:hAnsi="Arial" w:cs="Arial"/>
        </w:rPr>
        <w:t>Our study was conducted on 59 pediatric patients with bronchial asthma at Can Tho Children's Hospital. The mean age of the study subjects was 7.75 ± 2.7 years, with males accounting for 71.2%, resulting in a male-to-female ratio of approximately 2.47:1.</w:t>
      </w:r>
    </w:p>
    <w:p w14:paraId="4CFD1015" w14:textId="77777777" w:rsidR="00FC60F3" w:rsidRPr="00FC60F3" w:rsidRDefault="00FC60F3" w:rsidP="00FC60F3">
      <w:pPr>
        <w:jc w:val="both"/>
        <w:rPr>
          <w:rFonts w:ascii="Arial" w:hAnsi="Arial" w:cs="Arial"/>
        </w:rPr>
      </w:pPr>
      <w:r w:rsidRPr="00FC60F3">
        <w:rPr>
          <w:rFonts w:ascii="Arial" w:hAnsi="Arial" w:cs="Arial"/>
        </w:rPr>
        <w:t xml:space="preserve">Table 1: Age of Bronchial Asthma Onset </w:t>
      </w:r>
    </w:p>
    <w:tbl>
      <w:tblPr>
        <w:tblW w:w="9067" w:type="dxa"/>
        <w:tblCellMar>
          <w:top w:w="15" w:type="dxa"/>
          <w:left w:w="15" w:type="dxa"/>
          <w:bottom w:w="15" w:type="dxa"/>
          <w:right w:w="15" w:type="dxa"/>
        </w:tblCellMar>
        <w:tblLook w:val="04A0" w:firstRow="1" w:lastRow="0" w:firstColumn="1" w:lastColumn="0" w:noHBand="0" w:noVBand="1"/>
      </w:tblPr>
      <w:tblGrid>
        <w:gridCol w:w="3681"/>
        <w:gridCol w:w="2693"/>
        <w:gridCol w:w="2693"/>
      </w:tblGrid>
      <w:tr w:rsidR="00FC60F3" w:rsidRPr="00FC60F3" w14:paraId="2DDFA885" w14:textId="77777777" w:rsidTr="00322813">
        <w:trPr>
          <w:trHeight w:val="298"/>
        </w:trPr>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5EC967" w14:textId="77777777" w:rsidR="00FC60F3" w:rsidRPr="00FC60F3" w:rsidRDefault="00FC60F3" w:rsidP="00322813">
            <w:pPr>
              <w:jc w:val="center"/>
              <w:rPr>
                <w:rFonts w:ascii="Arial" w:hAnsi="Arial" w:cs="Arial"/>
                <w:b/>
                <w:bCs/>
              </w:rPr>
            </w:pPr>
            <w:r w:rsidRPr="00FC60F3">
              <w:rPr>
                <w:rFonts w:ascii="Arial" w:hAnsi="Arial" w:cs="Arial"/>
                <w:b/>
                <w:bCs/>
              </w:rPr>
              <w:t>Age of asthma onset</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612ABF" w14:textId="77777777" w:rsidR="00FC60F3" w:rsidRPr="00FC60F3" w:rsidRDefault="00FC60F3" w:rsidP="00322813">
            <w:pPr>
              <w:jc w:val="center"/>
              <w:rPr>
                <w:rFonts w:ascii="Arial" w:hAnsi="Arial" w:cs="Arial"/>
                <w:b/>
                <w:bCs/>
              </w:rPr>
            </w:pPr>
            <w:r w:rsidRPr="00FC60F3">
              <w:rPr>
                <w:rFonts w:ascii="Arial" w:hAnsi="Arial" w:cs="Arial"/>
                <w:b/>
                <w:bCs/>
              </w:rPr>
              <w:t>Frequency (n)</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B188F3" w14:textId="77777777" w:rsidR="00FC60F3" w:rsidRPr="00FC60F3" w:rsidRDefault="00FC60F3" w:rsidP="00322813">
            <w:pPr>
              <w:jc w:val="center"/>
              <w:rPr>
                <w:rFonts w:ascii="Arial" w:hAnsi="Arial" w:cs="Arial"/>
                <w:b/>
                <w:bCs/>
              </w:rPr>
            </w:pPr>
            <w:r w:rsidRPr="00FC60F3">
              <w:rPr>
                <w:rFonts w:ascii="Arial" w:hAnsi="Arial" w:cs="Arial"/>
                <w:b/>
                <w:bCs/>
              </w:rPr>
              <w:t>Percentage (%)</w:t>
            </w:r>
          </w:p>
        </w:tc>
      </w:tr>
      <w:tr w:rsidR="00FC60F3" w:rsidRPr="00FC60F3" w14:paraId="36CA635A" w14:textId="77777777" w:rsidTr="00322813">
        <w:trPr>
          <w:trHeight w:val="376"/>
        </w:trPr>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50D2C6" w14:textId="77777777" w:rsidR="00FC60F3" w:rsidRPr="00FC60F3" w:rsidRDefault="00FC60F3" w:rsidP="00322813">
            <w:pPr>
              <w:jc w:val="center"/>
              <w:rPr>
                <w:rFonts w:ascii="Arial" w:hAnsi="Arial" w:cs="Arial"/>
              </w:rPr>
            </w:pPr>
            <w:r w:rsidRPr="00FC60F3">
              <w:rPr>
                <w:rFonts w:ascii="Arial" w:hAnsi="Arial" w:cs="Arial"/>
              </w:rPr>
              <w:t>&lt; 2 years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B2FBAD" w14:textId="77777777" w:rsidR="00FC60F3" w:rsidRPr="00FC60F3" w:rsidRDefault="00FC60F3" w:rsidP="00322813">
            <w:pPr>
              <w:jc w:val="center"/>
              <w:rPr>
                <w:rFonts w:ascii="Arial" w:hAnsi="Arial" w:cs="Arial"/>
              </w:rPr>
            </w:pPr>
            <w:r w:rsidRPr="00FC60F3">
              <w:rPr>
                <w:rFonts w:ascii="Arial" w:hAnsi="Arial" w:cs="Arial"/>
              </w:rPr>
              <w:t>5</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6DFE88" w14:textId="77777777" w:rsidR="00FC60F3" w:rsidRPr="00FC60F3" w:rsidRDefault="00FC60F3" w:rsidP="00322813">
            <w:pPr>
              <w:jc w:val="center"/>
              <w:rPr>
                <w:rFonts w:ascii="Arial" w:hAnsi="Arial" w:cs="Arial"/>
              </w:rPr>
            </w:pPr>
            <w:r w:rsidRPr="00FC60F3">
              <w:rPr>
                <w:rFonts w:ascii="Arial" w:hAnsi="Arial" w:cs="Arial"/>
              </w:rPr>
              <w:t>8,5</w:t>
            </w:r>
          </w:p>
        </w:tc>
      </w:tr>
      <w:tr w:rsidR="00FC60F3" w:rsidRPr="00FC60F3" w14:paraId="30587FE7" w14:textId="77777777" w:rsidTr="00322813">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52332A" w14:textId="77777777" w:rsidR="00FC60F3" w:rsidRPr="00FC60F3" w:rsidRDefault="00FC60F3" w:rsidP="00322813">
            <w:pPr>
              <w:jc w:val="center"/>
              <w:rPr>
                <w:rFonts w:ascii="Arial" w:hAnsi="Arial" w:cs="Arial"/>
              </w:rPr>
            </w:pPr>
            <w:r w:rsidRPr="00FC60F3">
              <w:rPr>
                <w:rFonts w:ascii="Arial" w:hAnsi="Arial" w:cs="Arial"/>
              </w:rPr>
              <w:t>2-5 years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817FF7" w14:textId="77777777" w:rsidR="00FC60F3" w:rsidRPr="00FC60F3" w:rsidRDefault="00FC60F3" w:rsidP="00322813">
            <w:pPr>
              <w:jc w:val="center"/>
              <w:rPr>
                <w:rFonts w:ascii="Arial" w:hAnsi="Arial" w:cs="Arial"/>
              </w:rPr>
            </w:pPr>
            <w:r w:rsidRPr="00FC60F3">
              <w:rPr>
                <w:rFonts w:ascii="Arial" w:hAnsi="Arial" w:cs="Arial"/>
              </w:rPr>
              <w:t>34</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16F8ED" w14:textId="77777777" w:rsidR="00FC60F3" w:rsidRPr="00FC60F3" w:rsidRDefault="00FC60F3" w:rsidP="00322813">
            <w:pPr>
              <w:jc w:val="center"/>
              <w:rPr>
                <w:rFonts w:ascii="Arial" w:hAnsi="Arial" w:cs="Arial"/>
              </w:rPr>
            </w:pPr>
            <w:r w:rsidRPr="00FC60F3">
              <w:rPr>
                <w:rFonts w:ascii="Arial" w:hAnsi="Arial" w:cs="Arial"/>
              </w:rPr>
              <w:t>57,6</w:t>
            </w:r>
          </w:p>
        </w:tc>
      </w:tr>
      <w:tr w:rsidR="00FC60F3" w:rsidRPr="00FC60F3" w14:paraId="57900BB6" w14:textId="77777777" w:rsidTr="00322813">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2F98A9" w14:textId="77777777" w:rsidR="00FC60F3" w:rsidRPr="00FC60F3" w:rsidRDefault="00FC60F3" w:rsidP="00322813">
            <w:pPr>
              <w:jc w:val="center"/>
              <w:rPr>
                <w:rFonts w:ascii="Arial" w:hAnsi="Arial" w:cs="Arial"/>
              </w:rPr>
            </w:pPr>
            <w:r w:rsidRPr="00FC60F3">
              <w:rPr>
                <w:rFonts w:ascii="Arial" w:hAnsi="Arial" w:cs="Arial"/>
              </w:rPr>
              <w:t>&gt; 5 years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0059C6" w14:textId="77777777" w:rsidR="00FC60F3" w:rsidRPr="00FC60F3" w:rsidRDefault="00FC60F3" w:rsidP="00322813">
            <w:pPr>
              <w:jc w:val="center"/>
              <w:rPr>
                <w:rFonts w:ascii="Arial" w:hAnsi="Arial" w:cs="Arial"/>
              </w:rPr>
            </w:pPr>
            <w:r w:rsidRPr="00FC60F3">
              <w:rPr>
                <w:rFonts w:ascii="Arial" w:hAnsi="Arial" w:cs="Arial"/>
              </w:rPr>
              <w:t>20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80B442" w14:textId="77777777" w:rsidR="00FC60F3" w:rsidRPr="00FC60F3" w:rsidRDefault="00FC60F3" w:rsidP="00322813">
            <w:pPr>
              <w:jc w:val="center"/>
              <w:rPr>
                <w:rFonts w:ascii="Arial" w:hAnsi="Arial" w:cs="Arial"/>
              </w:rPr>
            </w:pPr>
            <w:r w:rsidRPr="00FC60F3">
              <w:rPr>
                <w:rFonts w:ascii="Arial" w:hAnsi="Arial" w:cs="Arial"/>
              </w:rPr>
              <w:t>33,9</w:t>
            </w:r>
          </w:p>
        </w:tc>
      </w:tr>
      <w:tr w:rsidR="00FC60F3" w:rsidRPr="00FC60F3" w14:paraId="31E2D379" w14:textId="77777777" w:rsidTr="00322813">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1E26C0" w14:textId="77777777" w:rsidR="00FC60F3" w:rsidRPr="00FC60F3" w:rsidRDefault="00FC60F3" w:rsidP="00322813">
            <w:pPr>
              <w:jc w:val="center"/>
              <w:rPr>
                <w:rFonts w:ascii="Arial" w:hAnsi="Arial" w:cs="Arial"/>
              </w:rPr>
            </w:pPr>
            <w:r w:rsidRPr="00FC60F3">
              <w:rPr>
                <w:rFonts w:ascii="Arial" w:hAnsi="Arial" w:cs="Arial"/>
                <w:b/>
                <w:bCs/>
              </w:rPr>
              <w:t>Total</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C1613A" w14:textId="77777777" w:rsidR="00FC60F3" w:rsidRPr="00FC60F3" w:rsidRDefault="00FC60F3" w:rsidP="00322813">
            <w:pPr>
              <w:jc w:val="center"/>
              <w:rPr>
                <w:rFonts w:ascii="Arial" w:hAnsi="Arial" w:cs="Arial"/>
                <w:b/>
                <w:bCs/>
              </w:rPr>
            </w:pPr>
            <w:r w:rsidRPr="00FC60F3">
              <w:rPr>
                <w:rFonts w:ascii="Arial" w:hAnsi="Arial" w:cs="Arial"/>
                <w:b/>
                <w:bCs/>
              </w:rPr>
              <w:t>59</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BBC0DF" w14:textId="77777777" w:rsidR="00FC60F3" w:rsidRPr="00FC60F3" w:rsidRDefault="00FC60F3" w:rsidP="00322813">
            <w:pPr>
              <w:jc w:val="center"/>
              <w:rPr>
                <w:rFonts w:ascii="Arial" w:hAnsi="Arial" w:cs="Arial"/>
                <w:b/>
                <w:bCs/>
              </w:rPr>
            </w:pPr>
            <w:r w:rsidRPr="00FC60F3">
              <w:rPr>
                <w:rFonts w:ascii="Arial" w:hAnsi="Arial" w:cs="Arial"/>
                <w:b/>
                <w:bCs/>
              </w:rPr>
              <w:t>100</w:t>
            </w:r>
          </w:p>
        </w:tc>
      </w:tr>
    </w:tbl>
    <w:p w14:paraId="65D7A617" w14:textId="77777777" w:rsidR="00FC60F3" w:rsidRPr="00FC60F3" w:rsidRDefault="00FC60F3" w:rsidP="00FC60F3">
      <w:pPr>
        <w:ind w:firstLine="720"/>
        <w:jc w:val="both"/>
        <w:rPr>
          <w:rFonts w:ascii="Arial" w:hAnsi="Arial" w:cs="Arial"/>
        </w:rPr>
      </w:pPr>
      <w:r w:rsidRPr="00FC60F3">
        <w:rPr>
          <w:rFonts w:ascii="Arial" w:hAnsi="Arial" w:cs="Arial"/>
          <w:i/>
          <w:iCs/>
        </w:rPr>
        <w:t>Observation:</w:t>
      </w:r>
      <w:r w:rsidRPr="00FC60F3">
        <w:rPr>
          <w:rFonts w:ascii="Arial" w:hAnsi="Arial" w:cs="Arial"/>
        </w:rPr>
        <w:t xml:space="preserve"> Asthma onset most commonly occurred between the ages of 2-5 years (57.6%) and was least common in children under 2 years old (8.5%).</w:t>
      </w:r>
    </w:p>
    <w:p w14:paraId="1D0BB818" w14:textId="77777777" w:rsidR="00FC60F3" w:rsidRPr="00FC60F3" w:rsidRDefault="00FC60F3" w:rsidP="00FC60F3">
      <w:pPr>
        <w:jc w:val="both"/>
        <w:rPr>
          <w:rFonts w:ascii="Arial" w:hAnsi="Arial" w:cs="Arial"/>
        </w:rPr>
      </w:pPr>
      <w:r w:rsidRPr="00FC60F3">
        <w:rPr>
          <w:rFonts w:ascii="Arial" w:hAnsi="Arial" w:cs="Arial"/>
        </w:rPr>
        <w:t xml:space="preserve">Table 2: Prevalence of elevated peripheral blood IL-6 levels in pediatric asthma patients </w:t>
      </w:r>
    </w:p>
    <w:tbl>
      <w:tblPr>
        <w:tblStyle w:val="TableGrid"/>
        <w:tblW w:w="0" w:type="auto"/>
        <w:tblLook w:val="04A0" w:firstRow="1" w:lastRow="0" w:firstColumn="1" w:lastColumn="0" w:noHBand="0" w:noVBand="1"/>
      </w:tblPr>
      <w:tblGrid>
        <w:gridCol w:w="3005"/>
        <w:gridCol w:w="3005"/>
        <w:gridCol w:w="3006"/>
      </w:tblGrid>
      <w:tr w:rsidR="00FC60F3" w:rsidRPr="00FC60F3" w14:paraId="65C6FBBF" w14:textId="77777777" w:rsidTr="00322813">
        <w:tc>
          <w:tcPr>
            <w:tcW w:w="3005" w:type="dxa"/>
            <w:vAlign w:val="center"/>
          </w:tcPr>
          <w:p w14:paraId="65A22E3C" w14:textId="77777777" w:rsidR="00FC60F3" w:rsidRPr="00FC60F3" w:rsidRDefault="00FC60F3" w:rsidP="00322813">
            <w:pPr>
              <w:jc w:val="center"/>
              <w:rPr>
                <w:rFonts w:ascii="Arial" w:hAnsi="Arial" w:cs="Arial"/>
                <w:b/>
                <w:bCs/>
                <w:sz w:val="20"/>
                <w:szCs w:val="20"/>
              </w:rPr>
            </w:pPr>
            <w:r w:rsidRPr="00FC60F3">
              <w:rPr>
                <w:rFonts w:ascii="Arial" w:hAnsi="Arial" w:cs="Arial"/>
                <w:b/>
                <w:bCs/>
                <w:sz w:val="20"/>
                <w:szCs w:val="20"/>
              </w:rPr>
              <w:t>IL-6 Status</w:t>
            </w:r>
          </w:p>
        </w:tc>
        <w:tc>
          <w:tcPr>
            <w:tcW w:w="3005" w:type="dxa"/>
            <w:vAlign w:val="center"/>
          </w:tcPr>
          <w:p w14:paraId="19D49282" w14:textId="77777777" w:rsidR="00FC60F3" w:rsidRPr="00FC60F3" w:rsidRDefault="00FC60F3" w:rsidP="00322813">
            <w:pPr>
              <w:jc w:val="center"/>
              <w:rPr>
                <w:rFonts w:ascii="Arial" w:hAnsi="Arial" w:cs="Arial"/>
                <w:b/>
                <w:bCs/>
                <w:sz w:val="20"/>
                <w:szCs w:val="20"/>
              </w:rPr>
            </w:pPr>
            <w:r w:rsidRPr="00FC60F3">
              <w:rPr>
                <w:rFonts w:ascii="Arial" w:hAnsi="Arial" w:cs="Arial"/>
                <w:b/>
                <w:bCs/>
                <w:sz w:val="20"/>
                <w:szCs w:val="20"/>
              </w:rPr>
              <w:t>Frequency (n)</w:t>
            </w:r>
          </w:p>
        </w:tc>
        <w:tc>
          <w:tcPr>
            <w:tcW w:w="3006" w:type="dxa"/>
            <w:vAlign w:val="center"/>
          </w:tcPr>
          <w:p w14:paraId="0B054F7C" w14:textId="77777777" w:rsidR="00FC60F3" w:rsidRPr="00FC60F3" w:rsidRDefault="00FC60F3" w:rsidP="00322813">
            <w:pPr>
              <w:jc w:val="center"/>
              <w:rPr>
                <w:rFonts w:ascii="Arial" w:hAnsi="Arial" w:cs="Arial"/>
                <w:b/>
                <w:bCs/>
                <w:sz w:val="20"/>
                <w:szCs w:val="20"/>
              </w:rPr>
            </w:pPr>
            <w:r w:rsidRPr="00FC60F3">
              <w:rPr>
                <w:rFonts w:ascii="Arial" w:hAnsi="Arial" w:cs="Arial"/>
                <w:b/>
                <w:bCs/>
                <w:sz w:val="20"/>
                <w:szCs w:val="20"/>
              </w:rPr>
              <w:t>Percentage (%)</w:t>
            </w:r>
          </w:p>
        </w:tc>
      </w:tr>
      <w:tr w:rsidR="00FC60F3" w:rsidRPr="00FC60F3" w14:paraId="1E9D1735" w14:textId="77777777" w:rsidTr="00322813">
        <w:tc>
          <w:tcPr>
            <w:tcW w:w="3005" w:type="dxa"/>
            <w:vAlign w:val="center"/>
          </w:tcPr>
          <w:p w14:paraId="1DB4B4F7" w14:textId="77777777" w:rsidR="00FC60F3" w:rsidRPr="00FC60F3" w:rsidRDefault="00FC60F3" w:rsidP="00322813">
            <w:pPr>
              <w:jc w:val="center"/>
              <w:rPr>
                <w:rFonts w:ascii="Arial" w:hAnsi="Arial" w:cs="Arial"/>
                <w:sz w:val="20"/>
                <w:szCs w:val="20"/>
              </w:rPr>
            </w:pPr>
            <w:r w:rsidRPr="00FC60F3">
              <w:rPr>
                <w:rFonts w:ascii="Arial" w:hAnsi="Arial" w:cs="Arial"/>
                <w:sz w:val="20"/>
                <w:szCs w:val="20"/>
              </w:rPr>
              <w:t>Elevated</w:t>
            </w:r>
          </w:p>
        </w:tc>
        <w:tc>
          <w:tcPr>
            <w:tcW w:w="3005" w:type="dxa"/>
            <w:vAlign w:val="center"/>
          </w:tcPr>
          <w:p w14:paraId="388F34C2" w14:textId="77777777" w:rsidR="00FC60F3" w:rsidRPr="00FC60F3" w:rsidRDefault="00FC60F3" w:rsidP="00322813">
            <w:pPr>
              <w:jc w:val="center"/>
              <w:rPr>
                <w:rFonts w:ascii="Arial" w:hAnsi="Arial" w:cs="Arial"/>
                <w:sz w:val="20"/>
                <w:szCs w:val="20"/>
              </w:rPr>
            </w:pPr>
            <w:r w:rsidRPr="00FC60F3">
              <w:rPr>
                <w:rFonts w:ascii="Arial" w:hAnsi="Arial" w:cs="Arial"/>
                <w:sz w:val="20"/>
                <w:szCs w:val="20"/>
              </w:rPr>
              <w:t>41</w:t>
            </w:r>
          </w:p>
        </w:tc>
        <w:tc>
          <w:tcPr>
            <w:tcW w:w="3006" w:type="dxa"/>
            <w:vAlign w:val="center"/>
          </w:tcPr>
          <w:p w14:paraId="68E7C5D3" w14:textId="77777777" w:rsidR="00FC60F3" w:rsidRPr="00FC60F3" w:rsidRDefault="00FC60F3" w:rsidP="00322813">
            <w:pPr>
              <w:jc w:val="center"/>
              <w:rPr>
                <w:rFonts w:ascii="Arial" w:hAnsi="Arial" w:cs="Arial"/>
                <w:sz w:val="20"/>
                <w:szCs w:val="20"/>
              </w:rPr>
            </w:pPr>
            <w:r w:rsidRPr="00FC60F3">
              <w:rPr>
                <w:rFonts w:ascii="Arial" w:hAnsi="Arial" w:cs="Arial"/>
                <w:sz w:val="20"/>
                <w:szCs w:val="20"/>
              </w:rPr>
              <w:t>69,5</w:t>
            </w:r>
          </w:p>
        </w:tc>
      </w:tr>
      <w:tr w:rsidR="00FC60F3" w:rsidRPr="00FC60F3" w14:paraId="4914B517" w14:textId="77777777" w:rsidTr="00322813">
        <w:tc>
          <w:tcPr>
            <w:tcW w:w="3005" w:type="dxa"/>
            <w:vAlign w:val="center"/>
          </w:tcPr>
          <w:p w14:paraId="0B9000C8" w14:textId="77777777" w:rsidR="00FC60F3" w:rsidRPr="00FC60F3" w:rsidRDefault="00FC60F3" w:rsidP="00322813">
            <w:pPr>
              <w:jc w:val="center"/>
              <w:rPr>
                <w:rFonts w:ascii="Arial" w:hAnsi="Arial" w:cs="Arial"/>
                <w:sz w:val="20"/>
                <w:szCs w:val="20"/>
              </w:rPr>
            </w:pPr>
            <w:r w:rsidRPr="00FC60F3">
              <w:rPr>
                <w:rFonts w:ascii="Arial" w:hAnsi="Arial" w:cs="Arial"/>
                <w:sz w:val="20"/>
                <w:szCs w:val="20"/>
              </w:rPr>
              <w:t>Not elevated</w:t>
            </w:r>
          </w:p>
        </w:tc>
        <w:tc>
          <w:tcPr>
            <w:tcW w:w="3005" w:type="dxa"/>
            <w:vAlign w:val="center"/>
          </w:tcPr>
          <w:p w14:paraId="2E7AB8CC" w14:textId="77777777" w:rsidR="00FC60F3" w:rsidRPr="00FC60F3" w:rsidRDefault="00FC60F3" w:rsidP="00322813">
            <w:pPr>
              <w:jc w:val="center"/>
              <w:rPr>
                <w:rFonts w:ascii="Arial" w:hAnsi="Arial" w:cs="Arial"/>
                <w:sz w:val="20"/>
                <w:szCs w:val="20"/>
              </w:rPr>
            </w:pPr>
            <w:r w:rsidRPr="00FC60F3">
              <w:rPr>
                <w:rFonts w:ascii="Arial" w:hAnsi="Arial" w:cs="Arial"/>
                <w:sz w:val="20"/>
                <w:szCs w:val="20"/>
              </w:rPr>
              <w:t>18</w:t>
            </w:r>
          </w:p>
        </w:tc>
        <w:tc>
          <w:tcPr>
            <w:tcW w:w="3006" w:type="dxa"/>
            <w:vAlign w:val="center"/>
          </w:tcPr>
          <w:p w14:paraId="3510302B" w14:textId="77777777" w:rsidR="00FC60F3" w:rsidRPr="00FC60F3" w:rsidRDefault="00FC60F3" w:rsidP="00322813">
            <w:pPr>
              <w:jc w:val="center"/>
              <w:rPr>
                <w:rFonts w:ascii="Arial" w:hAnsi="Arial" w:cs="Arial"/>
                <w:sz w:val="20"/>
                <w:szCs w:val="20"/>
              </w:rPr>
            </w:pPr>
            <w:r w:rsidRPr="00FC60F3">
              <w:rPr>
                <w:rFonts w:ascii="Arial" w:hAnsi="Arial" w:cs="Arial"/>
                <w:sz w:val="20"/>
                <w:szCs w:val="20"/>
              </w:rPr>
              <w:t>30,5</w:t>
            </w:r>
          </w:p>
        </w:tc>
      </w:tr>
      <w:tr w:rsidR="00FC60F3" w:rsidRPr="00FC60F3" w14:paraId="280651AC" w14:textId="77777777" w:rsidTr="00322813">
        <w:tc>
          <w:tcPr>
            <w:tcW w:w="3005" w:type="dxa"/>
            <w:vAlign w:val="center"/>
          </w:tcPr>
          <w:p w14:paraId="3A741A88" w14:textId="77777777" w:rsidR="00FC60F3" w:rsidRPr="00FC60F3" w:rsidRDefault="00FC60F3" w:rsidP="00322813">
            <w:pPr>
              <w:jc w:val="center"/>
              <w:rPr>
                <w:rFonts w:ascii="Arial" w:hAnsi="Arial" w:cs="Arial"/>
                <w:sz w:val="20"/>
                <w:szCs w:val="20"/>
              </w:rPr>
            </w:pPr>
            <w:r w:rsidRPr="00FC60F3">
              <w:rPr>
                <w:rFonts w:ascii="Arial" w:hAnsi="Arial" w:cs="Arial"/>
                <w:b/>
                <w:bCs/>
                <w:sz w:val="20"/>
                <w:szCs w:val="20"/>
              </w:rPr>
              <w:t>Total</w:t>
            </w:r>
          </w:p>
        </w:tc>
        <w:tc>
          <w:tcPr>
            <w:tcW w:w="3005" w:type="dxa"/>
            <w:vAlign w:val="center"/>
          </w:tcPr>
          <w:p w14:paraId="132AB1D2" w14:textId="77777777" w:rsidR="00FC60F3" w:rsidRPr="00FC60F3" w:rsidRDefault="00FC60F3" w:rsidP="00322813">
            <w:pPr>
              <w:jc w:val="center"/>
              <w:rPr>
                <w:rFonts w:ascii="Arial" w:hAnsi="Arial" w:cs="Arial"/>
                <w:b/>
                <w:bCs/>
                <w:sz w:val="20"/>
                <w:szCs w:val="20"/>
              </w:rPr>
            </w:pPr>
            <w:r w:rsidRPr="00FC60F3">
              <w:rPr>
                <w:rFonts w:ascii="Arial" w:hAnsi="Arial" w:cs="Arial"/>
                <w:b/>
                <w:bCs/>
                <w:sz w:val="20"/>
                <w:szCs w:val="20"/>
              </w:rPr>
              <w:t>51</w:t>
            </w:r>
          </w:p>
        </w:tc>
        <w:tc>
          <w:tcPr>
            <w:tcW w:w="3006" w:type="dxa"/>
            <w:vAlign w:val="center"/>
          </w:tcPr>
          <w:p w14:paraId="67F473AB" w14:textId="77777777" w:rsidR="00FC60F3" w:rsidRPr="00FC60F3" w:rsidRDefault="00FC60F3" w:rsidP="00322813">
            <w:pPr>
              <w:jc w:val="center"/>
              <w:rPr>
                <w:rFonts w:ascii="Arial" w:hAnsi="Arial" w:cs="Arial"/>
                <w:b/>
                <w:bCs/>
                <w:sz w:val="20"/>
                <w:szCs w:val="20"/>
              </w:rPr>
            </w:pPr>
            <w:r w:rsidRPr="00FC60F3">
              <w:rPr>
                <w:rFonts w:ascii="Arial" w:hAnsi="Arial" w:cs="Arial"/>
                <w:b/>
                <w:bCs/>
                <w:sz w:val="20"/>
                <w:szCs w:val="20"/>
              </w:rPr>
              <w:t>100</w:t>
            </w:r>
          </w:p>
        </w:tc>
      </w:tr>
    </w:tbl>
    <w:p w14:paraId="1577F234" w14:textId="77777777" w:rsidR="00FC60F3" w:rsidRPr="00FC60F3" w:rsidRDefault="00FC60F3" w:rsidP="00FC60F3">
      <w:pPr>
        <w:ind w:firstLine="720"/>
        <w:jc w:val="both"/>
        <w:rPr>
          <w:rFonts w:ascii="Arial" w:hAnsi="Arial" w:cs="Arial"/>
        </w:rPr>
      </w:pPr>
      <w:r w:rsidRPr="00FC60F3">
        <w:rPr>
          <w:rFonts w:ascii="Arial" w:hAnsi="Arial" w:cs="Arial"/>
          <w:i/>
          <w:iCs/>
        </w:rPr>
        <w:t>Observation:</w:t>
      </w:r>
      <w:r w:rsidRPr="00FC60F3">
        <w:rPr>
          <w:rFonts w:ascii="Arial" w:hAnsi="Arial" w:cs="Arial"/>
        </w:rPr>
        <w:t xml:space="preserve"> The majority of pediatric asthma patients had elevated peripheral blood IL-6 levels (69.5%).</w:t>
      </w:r>
    </w:p>
    <w:p w14:paraId="359369A4" w14:textId="77777777" w:rsidR="00FC60F3" w:rsidRPr="00FC60F3" w:rsidRDefault="00FC60F3" w:rsidP="00FC60F3">
      <w:pPr>
        <w:rPr>
          <w:rFonts w:ascii="Arial" w:hAnsi="Arial" w:cs="Arial"/>
          <w:sz w:val="22"/>
          <w:szCs w:val="22"/>
        </w:rPr>
      </w:pPr>
      <w:r w:rsidRPr="00FC60F3">
        <w:rPr>
          <w:rFonts w:ascii="Arial" w:hAnsi="Arial" w:cs="Arial"/>
          <w:b/>
          <w:bCs/>
          <w:sz w:val="22"/>
          <w:szCs w:val="22"/>
        </w:rPr>
        <w:t>3.2. Association between elevated IL-6 levels and nutritional status</w:t>
      </w:r>
    </w:p>
    <w:p w14:paraId="73488D9E" w14:textId="77777777" w:rsidR="00FC60F3" w:rsidRPr="00FC60F3" w:rsidRDefault="00FC60F3" w:rsidP="00FC60F3">
      <w:pPr>
        <w:jc w:val="both"/>
        <w:rPr>
          <w:rFonts w:ascii="Arial" w:hAnsi="Arial" w:cs="Arial"/>
        </w:rPr>
      </w:pPr>
      <w:r w:rsidRPr="00FC60F3">
        <w:rPr>
          <w:rFonts w:ascii="Arial" w:hAnsi="Arial" w:cs="Arial"/>
        </w:rPr>
        <w:t>Table 3: Association between elevated IL-6 levels and nutritional status</w:t>
      </w:r>
    </w:p>
    <w:tbl>
      <w:tblPr>
        <w:tblStyle w:val="TableGrid"/>
        <w:tblW w:w="0" w:type="auto"/>
        <w:tblLook w:val="04A0" w:firstRow="1" w:lastRow="0" w:firstColumn="1" w:lastColumn="0" w:noHBand="0" w:noVBand="1"/>
      </w:tblPr>
      <w:tblGrid>
        <w:gridCol w:w="2830"/>
        <w:gridCol w:w="1843"/>
        <w:gridCol w:w="2410"/>
        <w:gridCol w:w="1701"/>
      </w:tblGrid>
      <w:tr w:rsidR="00FC60F3" w:rsidRPr="00FC60F3" w14:paraId="655F0ED6" w14:textId="77777777" w:rsidTr="00322813">
        <w:trPr>
          <w:trHeight w:val="1176"/>
        </w:trPr>
        <w:tc>
          <w:tcPr>
            <w:tcW w:w="2830" w:type="dxa"/>
            <w:tcBorders>
              <w:tl2br w:val="single" w:sz="4" w:space="0" w:color="auto"/>
            </w:tcBorders>
            <w:vAlign w:val="center"/>
          </w:tcPr>
          <w:p w14:paraId="416DECD2" w14:textId="77777777" w:rsidR="00FC60F3" w:rsidRPr="00FC60F3" w:rsidRDefault="00FC60F3" w:rsidP="00322813">
            <w:pPr>
              <w:jc w:val="center"/>
              <w:rPr>
                <w:rFonts w:ascii="Arial" w:hAnsi="Arial" w:cs="Arial"/>
                <w:b/>
                <w:bCs/>
                <w:sz w:val="20"/>
                <w:szCs w:val="20"/>
              </w:rPr>
            </w:pPr>
            <w:r w:rsidRPr="00FC60F3">
              <w:rPr>
                <w:rFonts w:ascii="Arial" w:hAnsi="Arial" w:cs="Arial"/>
                <w:b/>
                <w:bCs/>
                <w:sz w:val="20"/>
                <w:szCs w:val="20"/>
              </w:rPr>
              <w:t>IL-6</w:t>
            </w:r>
          </w:p>
          <w:p w14:paraId="31230909" w14:textId="77777777" w:rsidR="00FC60F3" w:rsidRPr="00FC60F3" w:rsidRDefault="00FC60F3" w:rsidP="00322813">
            <w:pPr>
              <w:jc w:val="center"/>
              <w:rPr>
                <w:rFonts w:ascii="Arial" w:hAnsi="Arial" w:cs="Arial"/>
                <w:b/>
                <w:bCs/>
                <w:sz w:val="20"/>
                <w:szCs w:val="20"/>
              </w:rPr>
            </w:pPr>
          </w:p>
          <w:p w14:paraId="281E6275" w14:textId="77777777" w:rsidR="00FC60F3" w:rsidRPr="00FC60F3" w:rsidRDefault="00FC60F3" w:rsidP="00322813">
            <w:pPr>
              <w:jc w:val="center"/>
              <w:rPr>
                <w:rFonts w:ascii="Arial" w:hAnsi="Arial" w:cs="Arial"/>
                <w:b/>
                <w:bCs/>
                <w:sz w:val="20"/>
                <w:szCs w:val="20"/>
              </w:rPr>
            </w:pPr>
          </w:p>
          <w:p w14:paraId="30B3E138" w14:textId="77777777" w:rsidR="00FC60F3" w:rsidRPr="00FC60F3" w:rsidRDefault="00FC60F3" w:rsidP="00322813">
            <w:pPr>
              <w:jc w:val="center"/>
              <w:rPr>
                <w:rFonts w:ascii="Arial" w:hAnsi="Arial" w:cs="Arial"/>
                <w:b/>
                <w:bCs/>
                <w:sz w:val="20"/>
                <w:szCs w:val="20"/>
              </w:rPr>
            </w:pPr>
            <w:r w:rsidRPr="00FC60F3">
              <w:rPr>
                <w:rFonts w:ascii="Arial" w:hAnsi="Arial" w:cs="Arial"/>
                <w:b/>
                <w:bCs/>
                <w:sz w:val="20"/>
                <w:szCs w:val="20"/>
              </w:rPr>
              <w:t>BMI Classification</w:t>
            </w:r>
          </w:p>
        </w:tc>
        <w:tc>
          <w:tcPr>
            <w:tcW w:w="1843" w:type="dxa"/>
            <w:vAlign w:val="center"/>
          </w:tcPr>
          <w:p w14:paraId="7FD3FC74" w14:textId="77777777" w:rsidR="00FC60F3" w:rsidRPr="00FC60F3" w:rsidRDefault="00FC60F3" w:rsidP="00322813">
            <w:pPr>
              <w:jc w:val="center"/>
              <w:rPr>
                <w:rFonts w:ascii="Arial" w:hAnsi="Arial" w:cs="Arial"/>
                <w:b/>
                <w:bCs/>
                <w:sz w:val="20"/>
                <w:szCs w:val="20"/>
              </w:rPr>
            </w:pPr>
            <w:r w:rsidRPr="00FC60F3">
              <w:rPr>
                <w:rFonts w:ascii="Arial" w:hAnsi="Arial" w:cs="Arial"/>
                <w:b/>
                <w:bCs/>
                <w:sz w:val="20"/>
                <w:szCs w:val="20"/>
              </w:rPr>
              <w:t>Elevated</w:t>
            </w:r>
          </w:p>
        </w:tc>
        <w:tc>
          <w:tcPr>
            <w:tcW w:w="2410" w:type="dxa"/>
            <w:vAlign w:val="center"/>
          </w:tcPr>
          <w:p w14:paraId="0288E98D" w14:textId="77777777" w:rsidR="00FC60F3" w:rsidRPr="00FC60F3" w:rsidRDefault="00FC60F3" w:rsidP="00322813">
            <w:pPr>
              <w:jc w:val="center"/>
              <w:rPr>
                <w:rFonts w:ascii="Arial" w:hAnsi="Arial" w:cs="Arial"/>
                <w:b/>
                <w:bCs/>
                <w:sz w:val="20"/>
                <w:szCs w:val="20"/>
              </w:rPr>
            </w:pPr>
            <w:r w:rsidRPr="00FC60F3">
              <w:rPr>
                <w:rFonts w:ascii="Arial" w:hAnsi="Arial" w:cs="Arial"/>
                <w:b/>
                <w:bCs/>
                <w:sz w:val="20"/>
                <w:szCs w:val="20"/>
              </w:rPr>
              <w:t>Not Elevated</w:t>
            </w:r>
          </w:p>
        </w:tc>
        <w:tc>
          <w:tcPr>
            <w:tcW w:w="1701" w:type="dxa"/>
            <w:vAlign w:val="center"/>
          </w:tcPr>
          <w:p w14:paraId="59747FFE" w14:textId="77777777" w:rsidR="00FC60F3" w:rsidRPr="00FC60F3" w:rsidRDefault="00FC60F3" w:rsidP="00322813">
            <w:pPr>
              <w:jc w:val="center"/>
              <w:rPr>
                <w:rFonts w:ascii="Arial" w:hAnsi="Arial" w:cs="Arial"/>
                <w:b/>
                <w:bCs/>
                <w:sz w:val="20"/>
                <w:szCs w:val="20"/>
              </w:rPr>
            </w:pPr>
            <w:r w:rsidRPr="00FC60F3">
              <w:rPr>
                <w:rFonts w:ascii="Arial" w:hAnsi="Arial" w:cs="Arial"/>
                <w:b/>
                <w:bCs/>
                <w:sz w:val="20"/>
                <w:szCs w:val="20"/>
              </w:rPr>
              <w:t>p-value</w:t>
            </w:r>
          </w:p>
        </w:tc>
      </w:tr>
      <w:tr w:rsidR="00FC60F3" w:rsidRPr="00FC60F3" w14:paraId="3EC4ADFC" w14:textId="77777777" w:rsidTr="00322813">
        <w:tc>
          <w:tcPr>
            <w:tcW w:w="2830" w:type="dxa"/>
            <w:vAlign w:val="center"/>
          </w:tcPr>
          <w:p w14:paraId="0AC9173D" w14:textId="77777777" w:rsidR="00FC60F3" w:rsidRPr="00FC60F3" w:rsidRDefault="00FC60F3" w:rsidP="00322813">
            <w:pPr>
              <w:jc w:val="center"/>
              <w:rPr>
                <w:rFonts w:ascii="Arial" w:hAnsi="Arial" w:cs="Arial"/>
                <w:sz w:val="20"/>
                <w:szCs w:val="20"/>
              </w:rPr>
            </w:pPr>
            <w:r w:rsidRPr="00FC60F3">
              <w:rPr>
                <w:rFonts w:ascii="Arial" w:hAnsi="Arial" w:cs="Arial"/>
                <w:sz w:val="20"/>
                <w:szCs w:val="20"/>
              </w:rPr>
              <w:t>Underweight</w:t>
            </w:r>
          </w:p>
        </w:tc>
        <w:tc>
          <w:tcPr>
            <w:tcW w:w="1843" w:type="dxa"/>
            <w:vAlign w:val="center"/>
          </w:tcPr>
          <w:p w14:paraId="5F8D3D6D" w14:textId="77777777" w:rsidR="00FC60F3" w:rsidRPr="00FC60F3" w:rsidRDefault="00FC60F3" w:rsidP="00322813">
            <w:pPr>
              <w:jc w:val="center"/>
              <w:rPr>
                <w:rFonts w:ascii="Arial" w:hAnsi="Arial" w:cs="Arial"/>
                <w:sz w:val="20"/>
                <w:szCs w:val="20"/>
              </w:rPr>
            </w:pPr>
            <w:r w:rsidRPr="00FC60F3">
              <w:rPr>
                <w:rFonts w:ascii="Arial" w:hAnsi="Arial" w:cs="Arial"/>
                <w:sz w:val="20"/>
                <w:szCs w:val="20"/>
              </w:rPr>
              <w:t>2 (3,4%)</w:t>
            </w:r>
          </w:p>
        </w:tc>
        <w:tc>
          <w:tcPr>
            <w:tcW w:w="2410" w:type="dxa"/>
            <w:vAlign w:val="center"/>
          </w:tcPr>
          <w:p w14:paraId="487A5643" w14:textId="77777777" w:rsidR="00FC60F3" w:rsidRPr="00FC60F3" w:rsidRDefault="00FC60F3" w:rsidP="00322813">
            <w:pPr>
              <w:jc w:val="center"/>
              <w:rPr>
                <w:rFonts w:ascii="Arial" w:hAnsi="Arial" w:cs="Arial"/>
                <w:sz w:val="20"/>
                <w:szCs w:val="20"/>
              </w:rPr>
            </w:pPr>
            <w:r w:rsidRPr="00FC60F3">
              <w:rPr>
                <w:rFonts w:ascii="Arial" w:hAnsi="Arial" w:cs="Arial"/>
                <w:sz w:val="20"/>
                <w:szCs w:val="20"/>
              </w:rPr>
              <w:t>2 (3,4%)</w:t>
            </w:r>
          </w:p>
        </w:tc>
        <w:tc>
          <w:tcPr>
            <w:tcW w:w="1701" w:type="dxa"/>
            <w:vMerge w:val="restart"/>
            <w:vAlign w:val="center"/>
          </w:tcPr>
          <w:p w14:paraId="184C361D" w14:textId="77777777" w:rsidR="00FC60F3" w:rsidRPr="00FC60F3" w:rsidRDefault="00FC60F3" w:rsidP="00322813">
            <w:pPr>
              <w:jc w:val="center"/>
              <w:rPr>
                <w:rFonts w:ascii="Arial" w:hAnsi="Arial" w:cs="Arial"/>
                <w:b/>
                <w:bCs/>
                <w:sz w:val="20"/>
                <w:szCs w:val="20"/>
              </w:rPr>
            </w:pPr>
            <w:r w:rsidRPr="00FC60F3">
              <w:rPr>
                <w:rFonts w:ascii="Arial" w:hAnsi="Arial" w:cs="Arial"/>
                <w:b/>
                <w:bCs/>
                <w:sz w:val="20"/>
                <w:szCs w:val="20"/>
              </w:rPr>
              <w:t>0,021</w:t>
            </w:r>
          </w:p>
        </w:tc>
      </w:tr>
      <w:tr w:rsidR="00FC60F3" w:rsidRPr="00FC60F3" w14:paraId="347D67D3" w14:textId="77777777" w:rsidTr="00322813">
        <w:tc>
          <w:tcPr>
            <w:tcW w:w="2830" w:type="dxa"/>
            <w:vAlign w:val="center"/>
          </w:tcPr>
          <w:p w14:paraId="1A535FE9" w14:textId="77777777" w:rsidR="00FC60F3" w:rsidRPr="00FC60F3" w:rsidRDefault="00FC60F3" w:rsidP="00322813">
            <w:pPr>
              <w:jc w:val="center"/>
              <w:rPr>
                <w:rFonts w:ascii="Arial" w:hAnsi="Arial" w:cs="Arial"/>
                <w:sz w:val="20"/>
                <w:szCs w:val="20"/>
              </w:rPr>
            </w:pPr>
            <w:r w:rsidRPr="00FC60F3">
              <w:rPr>
                <w:rFonts w:ascii="Arial" w:hAnsi="Arial" w:cs="Arial"/>
                <w:sz w:val="20"/>
                <w:szCs w:val="20"/>
              </w:rPr>
              <w:t>Normal weight</w:t>
            </w:r>
          </w:p>
        </w:tc>
        <w:tc>
          <w:tcPr>
            <w:tcW w:w="1843" w:type="dxa"/>
            <w:vAlign w:val="center"/>
          </w:tcPr>
          <w:p w14:paraId="0B932C70" w14:textId="77777777" w:rsidR="00FC60F3" w:rsidRPr="00FC60F3" w:rsidRDefault="00FC60F3" w:rsidP="00322813">
            <w:pPr>
              <w:jc w:val="center"/>
              <w:rPr>
                <w:rFonts w:ascii="Arial" w:hAnsi="Arial" w:cs="Arial"/>
                <w:sz w:val="20"/>
                <w:szCs w:val="20"/>
              </w:rPr>
            </w:pPr>
            <w:r w:rsidRPr="00FC60F3">
              <w:rPr>
                <w:rFonts w:ascii="Arial" w:hAnsi="Arial" w:cs="Arial"/>
                <w:sz w:val="20"/>
                <w:szCs w:val="20"/>
              </w:rPr>
              <w:t>22 (37,3%)</w:t>
            </w:r>
          </w:p>
        </w:tc>
        <w:tc>
          <w:tcPr>
            <w:tcW w:w="2410" w:type="dxa"/>
            <w:vAlign w:val="center"/>
          </w:tcPr>
          <w:p w14:paraId="281C8068" w14:textId="77777777" w:rsidR="00FC60F3" w:rsidRPr="00FC60F3" w:rsidRDefault="00FC60F3" w:rsidP="00322813">
            <w:pPr>
              <w:jc w:val="center"/>
              <w:rPr>
                <w:rFonts w:ascii="Arial" w:hAnsi="Arial" w:cs="Arial"/>
                <w:sz w:val="20"/>
                <w:szCs w:val="20"/>
              </w:rPr>
            </w:pPr>
            <w:r w:rsidRPr="00FC60F3">
              <w:rPr>
                <w:rFonts w:ascii="Arial" w:hAnsi="Arial" w:cs="Arial"/>
                <w:sz w:val="20"/>
                <w:szCs w:val="20"/>
              </w:rPr>
              <w:t>15 (25,4%)</w:t>
            </w:r>
          </w:p>
        </w:tc>
        <w:tc>
          <w:tcPr>
            <w:tcW w:w="1701" w:type="dxa"/>
            <w:vMerge/>
            <w:vAlign w:val="center"/>
          </w:tcPr>
          <w:p w14:paraId="6876E6B4" w14:textId="77777777" w:rsidR="00FC60F3" w:rsidRPr="00FC60F3" w:rsidRDefault="00FC60F3" w:rsidP="00322813">
            <w:pPr>
              <w:jc w:val="center"/>
              <w:rPr>
                <w:rFonts w:ascii="Arial" w:hAnsi="Arial" w:cs="Arial"/>
                <w:sz w:val="20"/>
                <w:szCs w:val="20"/>
              </w:rPr>
            </w:pPr>
          </w:p>
        </w:tc>
      </w:tr>
      <w:tr w:rsidR="00FC60F3" w:rsidRPr="00FC60F3" w14:paraId="7D174C64" w14:textId="77777777" w:rsidTr="00322813">
        <w:tc>
          <w:tcPr>
            <w:tcW w:w="2830" w:type="dxa"/>
            <w:vAlign w:val="center"/>
          </w:tcPr>
          <w:p w14:paraId="4A04DAB9" w14:textId="77777777" w:rsidR="00FC60F3" w:rsidRPr="00FC60F3" w:rsidRDefault="00FC60F3" w:rsidP="00322813">
            <w:pPr>
              <w:jc w:val="center"/>
              <w:rPr>
                <w:rFonts w:ascii="Arial" w:hAnsi="Arial" w:cs="Arial"/>
                <w:sz w:val="20"/>
                <w:szCs w:val="20"/>
              </w:rPr>
            </w:pPr>
            <w:r w:rsidRPr="00FC60F3">
              <w:rPr>
                <w:rFonts w:ascii="Arial" w:hAnsi="Arial" w:cs="Arial"/>
                <w:sz w:val="20"/>
                <w:szCs w:val="20"/>
              </w:rPr>
              <w:t>Overweight/Obese</w:t>
            </w:r>
          </w:p>
        </w:tc>
        <w:tc>
          <w:tcPr>
            <w:tcW w:w="1843" w:type="dxa"/>
            <w:vAlign w:val="center"/>
          </w:tcPr>
          <w:p w14:paraId="3747D994" w14:textId="77777777" w:rsidR="00FC60F3" w:rsidRPr="00FC60F3" w:rsidRDefault="00FC60F3" w:rsidP="00322813">
            <w:pPr>
              <w:jc w:val="center"/>
              <w:rPr>
                <w:rFonts w:ascii="Arial" w:hAnsi="Arial" w:cs="Arial"/>
                <w:sz w:val="20"/>
                <w:szCs w:val="20"/>
              </w:rPr>
            </w:pPr>
            <w:r w:rsidRPr="00FC60F3">
              <w:rPr>
                <w:rFonts w:ascii="Arial" w:hAnsi="Arial" w:cs="Arial"/>
                <w:sz w:val="20"/>
                <w:szCs w:val="20"/>
              </w:rPr>
              <w:t>17 (38,8%)</w:t>
            </w:r>
          </w:p>
        </w:tc>
        <w:tc>
          <w:tcPr>
            <w:tcW w:w="2410" w:type="dxa"/>
            <w:vAlign w:val="center"/>
          </w:tcPr>
          <w:p w14:paraId="5A72CB98" w14:textId="77777777" w:rsidR="00FC60F3" w:rsidRPr="00FC60F3" w:rsidRDefault="00FC60F3" w:rsidP="00322813">
            <w:pPr>
              <w:jc w:val="center"/>
              <w:rPr>
                <w:rFonts w:ascii="Arial" w:hAnsi="Arial" w:cs="Arial"/>
                <w:sz w:val="20"/>
                <w:szCs w:val="20"/>
              </w:rPr>
            </w:pPr>
            <w:r w:rsidRPr="00FC60F3">
              <w:rPr>
                <w:rFonts w:ascii="Arial" w:hAnsi="Arial" w:cs="Arial"/>
                <w:sz w:val="20"/>
                <w:szCs w:val="20"/>
              </w:rPr>
              <w:t>1 (1,7%)</w:t>
            </w:r>
          </w:p>
        </w:tc>
        <w:tc>
          <w:tcPr>
            <w:tcW w:w="1701" w:type="dxa"/>
            <w:vMerge/>
            <w:vAlign w:val="center"/>
          </w:tcPr>
          <w:p w14:paraId="00F97557" w14:textId="77777777" w:rsidR="00FC60F3" w:rsidRPr="00FC60F3" w:rsidRDefault="00FC60F3" w:rsidP="00322813">
            <w:pPr>
              <w:jc w:val="center"/>
              <w:rPr>
                <w:rFonts w:ascii="Arial" w:hAnsi="Arial" w:cs="Arial"/>
                <w:sz w:val="20"/>
                <w:szCs w:val="20"/>
              </w:rPr>
            </w:pPr>
          </w:p>
        </w:tc>
      </w:tr>
      <w:tr w:rsidR="00FC60F3" w:rsidRPr="00FC60F3" w14:paraId="4BB0CD4D" w14:textId="77777777" w:rsidTr="00322813">
        <w:tc>
          <w:tcPr>
            <w:tcW w:w="2830" w:type="dxa"/>
            <w:vAlign w:val="center"/>
          </w:tcPr>
          <w:p w14:paraId="01DA849B" w14:textId="77777777" w:rsidR="00FC60F3" w:rsidRPr="00FC60F3" w:rsidRDefault="00FC60F3" w:rsidP="00322813">
            <w:pPr>
              <w:jc w:val="center"/>
              <w:rPr>
                <w:rFonts w:ascii="Arial" w:hAnsi="Arial" w:cs="Arial"/>
                <w:b/>
                <w:bCs/>
                <w:sz w:val="20"/>
                <w:szCs w:val="20"/>
              </w:rPr>
            </w:pPr>
            <w:r w:rsidRPr="00FC60F3">
              <w:rPr>
                <w:rFonts w:ascii="Arial" w:hAnsi="Arial" w:cs="Arial"/>
                <w:b/>
                <w:bCs/>
                <w:sz w:val="20"/>
                <w:szCs w:val="20"/>
              </w:rPr>
              <w:t>Total</w:t>
            </w:r>
          </w:p>
        </w:tc>
        <w:tc>
          <w:tcPr>
            <w:tcW w:w="1843" w:type="dxa"/>
            <w:vAlign w:val="center"/>
          </w:tcPr>
          <w:p w14:paraId="371DD918" w14:textId="77777777" w:rsidR="00FC60F3" w:rsidRPr="00FC60F3" w:rsidRDefault="00FC60F3" w:rsidP="00322813">
            <w:pPr>
              <w:jc w:val="center"/>
              <w:rPr>
                <w:rFonts w:ascii="Arial" w:hAnsi="Arial" w:cs="Arial"/>
                <w:b/>
                <w:bCs/>
                <w:sz w:val="20"/>
                <w:szCs w:val="20"/>
              </w:rPr>
            </w:pPr>
            <w:r w:rsidRPr="00FC60F3">
              <w:rPr>
                <w:rFonts w:ascii="Arial" w:hAnsi="Arial" w:cs="Arial"/>
                <w:b/>
                <w:bCs/>
                <w:sz w:val="20"/>
                <w:szCs w:val="20"/>
              </w:rPr>
              <w:t>41 (69,5%)</w:t>
            </w:r>
          </w:p>
        </w:tc>
        <w:tc>
          <w:tcPr>
            <w:tcW w:w="2410" w:type="dxa"/>
            <w:vAlign w:val="center"/>
          </w:tcPr>
          <w:p w14:paraId="0F1E3CB3" w14:textId="77777777" w:rsidR="00FC60F3" w:rsidRPr="00FC60F3" w:rsidRDefault="00FC60F3" w:rsidP="00322813">
            <w:pPr>
              <w:jc w:val="center"/>
              <w:rPr>
                <w:rFonts w:ascii="Arial" w:hAnsi="Arial" w:cs="Arial"/>
                <w:b/>
                <w:bCs/>
                <w:sz w:val="20"/>
                <w:szCs w:val="20"/>
              </w:rPr>
            </w:pPr>
            <w:r w:rsidRPr="00FC60F3">
              <w:rPr>
                <w:rFonts w:ascii="Arial" w:hAnsi="Arial" w:cs="Arial"/>
                <w:b/>
                <w:bCs/>
                <w:sz w:val="20"/>
                <w:szCs w:val="20"/>
              </w:rPr>
              <w:t>18 (30,5%)</w:t>
            </w:r>
          </w:p>
        </w:tc>
        <w:tc>
          <w:tcPr>
            <w:tcW w:w="1701" w:type="dxa"/>
            <w:vMerge/>
            <w:vAlign w:val="center"/>
          </w:tcPr>
          <w:p w14:paraId="160B5461" w14:textId="77777777" w:rsidR="00FC60F3" w:rsidRPr="00FC60F3" w:rsidRDefault="00FC60F3" w:rsidP="00322813">
            <w:pPr>
              <w:jc w:val="center"/>
              <w:rPr>
                <w:rFonts w:ascii="Arial" w:hAnsi="Arial" w:cs="Arial"/>
                <w:b/>
                <w:bCs/>
                <w:sz w:val="20"/>
                <w:szCs w:val="20"/>
              </w:rPr>
            </w:pPr>
          </w:p>
        </w:tc>
      </w:tr>
    </w:tbl>
    <w:p w14:paraId="58C0E86D" w14:textId="77777777" w:rsidR="00FC60F3" w:rsidRPr="00FC60F3" w:rsidRDefault="00FC60F3" w:rsidP="00FC60F3">
      <w:pPr>
        <w:ind w:firstLine="720"/>
        <w:jc w:val="both"/>
        <w:rPr>
          <w:rFonts w:ascii="Arial" w:hAnsi="Arial" w:cs="Arial"/>
        </w:rPr>
      </w:pPr>
      <w:r w:rsidRPr="00FC60F3">
        <w:rPr>
          <w:rFonts w:ascii="Arial" w:hAnsi="Arial" w:cs="Arial"/>
          <w:i/>
          <w:iCs/>
        </w:rPr>
        <w:lastRenderedPageBreak/>
        <w:t>Observation:</w:t>
      </w:r>
      <w:r w:rsidRPr="00FC60F3">
        <w:rPr>
          <w:rFonts w:ascii="Arial" w:hAnsi="Arial" w:cs="Arial"/>
        </w:rPr>
        <w:t xml:space="preserve"> There was a significant association between elevated IL-6 levels and the nutritional status of pediatric asthma patients </w:t>
      </w:r>
      <w:r w:rsidRPr="00FC60F3">
        <w:rPr>
          <w:rFonts w:ascii="Arial" w:hAnsi="Arial" w:cs="Arial"/>
          <w:i/>
          <w:iCs/>
        </w:rPr>
        <w:t>(p</w:t>
      </w:r>
      <w:r w:rsidRPr="00FC60F3">
        <w:rPr>
          <w:rFonts w:ascii="Arial" w:hAnsi="Arial" w:cs="Arial"/>
        </w:rPr>
        <w:t xml:space="preserve"> = 0.021). Overweight/obese children showed a higher prevalence of elevated IL-6 (28.8%) compared to normal-weight (37.3%) and underweight children (3.4%).</w:t>
      </w:r>
    </w:p>
    <w:p w14:paraId="7BA1752F" w14:textId="77777777" w:rsidR="00FC60F3" w:rsidRPr="00FC60F3" w:rsidRDefault="00FC60F3" w:rsidP="00FC60F3">
      <w:pPr>
        <w:rPr>
          <w:rFonts w:ascii="Arial" w:hAnsi="Arial" w:cs="Arial"/>
          <w:sz w:val="22"/>
          <w:szCs w:val="22"/>
        </w:rPr>
      </w:pPr>
      <w:r w:rsidRPr="00FC60F3">
        <w:rPr>
          <w:rFonts w:ascii="Arial" w:hAnsi="Arial" w:cs="Arial"/>
          <w:b/>
          <w:bCs/>
          <w:sz w:val="22"/>
          <w:szCs w:val="22"/>
        </w:rPr>
        <w:t>3.3. Role of IL-6 in predicting systemic inflammation, asthma severity, and control</w:t>
      </w:r>
    </w:p>
    <w:p w14:paraId="7C19993C" w14:textId="77777777" w:rsidR="00FC60F3" w:rsidRPr="00FC60F3" w:rsidRDefault="00FC60F3" w:rsidP="00FC60F3">
      <w:pPr>
        <w:jc w:val="both"/>
        <w:rPr>
          <w:rFonts w:ascii="Arial" w:hAnsi="Arial" w:cs="Arial"/>
        </w:rPr>
      </w:pPr>
      <w:r w:rsidRPr="00FC60F3">
        <w:rPr>
          <w:rFonts w:ascii="Arial" w:hAnsi="Arial" w:cs="Arial"/>
        </w:rPr>
        <w:t xml:space="preserve">Table 4: Association between elevated IL-6 and total leukocyte count </w:t>
      </w:r>
    </w:p>
    <w:tbl>
      <w:tblPr>
        <w:tblStyle w:val="TableGrid"/>
        <w:tblW w:w="0" w:type="auto"/>
        <w:tblLook w:val="04A0" w:firstRow="1" w:lastRow="0" w:firstColumn="1" w:lastColumn="0" w:noHBand="0" w:noVBand="1"/>
      </w:tblPr>
      <w:tblGrid>
        <w:gridCol w:w="2830"/>
        <w:gridCol w:w="1843"/>
        <w:gridCol w:w="2410"/>
        <w:gridCol w:w="1701"/>
      </w:tblGrid>
      <w:tr w:rsidR="00FC60F3" w:rsidRPr="00FC60F3" w14:paraId="0EAF9D0E" w14:textId="77777777" w:rsidTr="00322813">
        <w:trPr>
          <w:trHeight w:val="904"/>
        </w:trPr>
        <w:tc>
          <w:tcPr>
            <w:tcW w:w="2830" w:type="dxa"/>
            <w:tcBorders>
              <w:tl2br w:val="single" w:sz="4" w:space="0" w:color="auto"/>
            </w:tcBorders>
            <w:vAlign w:val="center"/>
          </w:tcPr>
          <w:p w14:paraId="7D189B17" w14:textId="77777777" w:rsidR="00FC60F3" w:rsidRPr="00FC60F3" w:rsidRDefault="00FC60F3" w:rsidP="00322813">
            <w:pPr>
              <w:jc w:val="center"/>
              <w:rPr>
                <w:rFonts w:ascii="Arial" w:hAnsi="Arial" w:cs="Arial"/>
                <w:b/>
                <w:bCs/>
                <w:sz w:val="20"/>
                <w:szCs w:val="20"/>
              </w:rPr>
            </w:pPr>
            <w:r w:rsidRPr="00FC60F3">
              <w:rPr>
                <w:rFonts w:ascii="Arial" w:hAnsi="Arial" w:cs="Arial"/>
                <w:b/>
                <w:bCs/>
                <w:sz w:val="20"/>
                <w:szCs w:val="20"/>
              </w:rPr>
              <w:t>IL-6</w:t>
            </w:r>
          </w:p>
          <w:p w14:paraId="3402AAC8" w14:textId="77777777" w:rsidR="00FC60F3" w:rsidRPr="00FC60F3" w:rsidRDefault="00FC60F3" w:rsidP="00322813">
            <w:pPr>
              <w:jc w:val="center"/>
              <w:rPr>
                <w:rFonts w:ascii="Arial" w:hAnsi="Arial" w:cs="Arial"/>
                <w:b/>
                <w:bCs/>
                <w:sz w:val="20"/>
                <w:szCs w:val="20"/>
              </w:rPr>
            </w:pPr>
          </w:p>
          <w:p w14:paraId="655E8402" w14:textId="77777777" w:rsidR="00FC60F3" w:rsidRPr="00FC60F3" w:rsidRDefault="00FC60F3" w:rsidP="00322813">
            <w:pPr>
              <w:jc w:val="center"/>
              <w:rPr>
                <w:rFonts w:ascii="Arial" w:hAnsi="Arial" w:cs="Arial"/>
                <w:b/>
                <w:bCs/>
                <w:sz w:val="20"/>
                <w:szCs w:val="20"/>
              </w:rPr>
            </w:pPr>
          </w:p>
          <w:p w14:paraId="75FB3A42" w14:textId="77777777" w:rsidR="00FC60F3" w:rsidRPr="00FC60F3" w:rsidRDefault="00FC60F3" w:rsidP="00322813">
            <w:pPr>
              <w:jc w:val="center"/>
              <w:rPr>
                <w:rFonts w:ascii="Arial" w:hAnsi="Arial" w:cs="Arial"/>
                <w:b/>
                <w:bCs/>
                <w:sz w:val="20"/>
                <w:szCs w:val="20"/>
              </w:rPr>
            </w:pPr>
            <w:r w:rsidRPr="00FC60F3">
              <w:rPr>
                <w:rFonts w:ascii="Arial" w:hAnsi="Arial" w:cs="Arial"/>
                <w:b/>
                <w:bCs/>
                <w:sz w:val="20"/>
                <w:szCs w:val="20"/>
              </w:rPr>
              <w:t>Total Leukocyte Count</w:t>
            </w:r>
          </w:p>
        </w:tc>
        <w:tc>
          <w:tcPr>
            <w:tcW w:w="1843" w:type="dxa"/>
            <w:vAlign w:val="center"/>
          </w:tcPr>
          <w:p w14:paraId="41F6E7A5" w14:textId="77777777" w:rsidR="00FC60F3" w:rsidRPr="00FC60F3" w:rsidRDefault="00FC60F3" w:rsidP="00322813">
            <w:pPr>
              <w:jc w:val="center"/>
              <w:rPr>
                <w:rFonts w:ascii="Arial" w:hAnsi="Arial" w:cs="Arial"/>
                <w:b/>
                <w:bCs/>
                <w:sz w:val="20"/>
                <w:szCs w:val="20"/>
              </w:rPr>
            </w:pPr>
            <w:r w:rsidRPr="00FC60F3">
              <w:rPr>
                <w:rFonts w:ascii="Arial" w:hAnsi="Arial" w:cs="Arial"/>
                <w:b/>
                <w:bCs/>
                <w:sz w:val="20"/>
                <w:szCs w:val="20"/>
              </w:rPr>
              <w:t>Elevated</w:t>
            </w:r>
          </w:p>
        </w:tc>
        <w:tc>
          <w:tcPr>
            <w:tcW w:w="2410" w:type="dxa"/>
            <w:vAlign w:val="center"/>
          </w:tcPr>
          <w:p w14:paraId="38216D8C" w14:textId="77777777" w:rsidR="00FC60F3" w:rsidRPr="00FC60F3" w:rsidRDefault="00FC60F3" w:rsidP="00322813">
            <w:pPr>
              <w:jc w:val="center"/>
              <w:rPr>
                <w:rFonts w:ascii="Arial" w:hAnsi="Arial" w:cs="Arial"/>
                <w:b/>
                <w:bCs/>
                <w:sz w:val="20"/>
                <w:szCs w:val="20"/>
              </w:rPr>
            </w:pPr>
            <w:r w:rsidRPr="00FC60F3">
              <w:rPr>
                <w:rFonts w:ascii="Arial" w:hAnsi="Arial" w:cs="Arial"/>
                <w:b/>
                <w:bCs/>
                <w:sz w:val="20"/>
                <w:szCs w:val="20"/>
              </w:rPr>
              <w:t>Not Elevated</w:t>
            </w:r>
          </w:p>
        </w:tc>
        <w:tc>
          <w:tcPr>
            <w:tcW w:w="1701" w:type="dxa"/>
            <w:vAlign w:val="center"/>
          </w:tcPr>
          <w:p w14:paraId="75746E12" w14:textId="77777777" w:rsidR="00FC60F3" w:rsidRPr="00FC60F3" w:rsidRDefault="00FC60F3" w:rsidP="00322813">
            <w:pPr>
              <w:jc w:val="center"/>
              <w:rPr>
                <w:rFonts w:ascii="Arial" w:hAnsi="Arial" w:cs="Arial"/>
                <w:b/>
                <w:bCs/>
                <w:sz w:val="20"/>
                <w:szCs w:val="20"/>
              </w:rPr>
            </w:pPr>
            <w:r w:rsidRPr="00FC60F3">
              <w:rPr>
                <w:rFonts w:ascii="Arial" w:hAnsi="Arial" w:cs="Arial"/>
                <w:b/>
                <w:bCs/>
                <w:sz w:val="20"/>
                <w:szCs w:val="20"/>
              </w:rPr>
              <w:t>p-value</w:t>
            </w:r>
          </w:p>
        </w:tc>
      </w:tr>
      <w:tr w:rsidR="00FC60F3" w:rsidRPr="00FC60F3" w14:paraId="50CD3F2A" w14:textId="77777777" w:rsidTr="00322813">
        <w:tc>
          <w:tcPr>
            <w:tcW w:w="2830" w:type="dxa"/>
            <w:vAlign w:val="center"/>
          </w:tcPr>
          <w:p w14:paraId="0228E6F3" w14:textId="77777777" w:rsidR="00FC60F3" w:rsidRPr="00FC60F3" w:rsidRDefault="00FC60F3" w:rsidP="00322813">
            <w:pPr>
              <w:jc w:val="center"/>
              <w:rPr>
                <w:rFonts w:ascii="Arial" w:hAnsi="Arial" w:cs="Arial"/>
                <w:sz w:val="20"/>
                <w:szCs w:val="20"/>
              </w:rPr>
            </w:pPr>
            <w:r w:rsidRPr="00FC60F3">
              <w:rPr>
                <w:rFonts w:ascii="Arial" w:hAnsi="Arial" w:cs="Arial"/>
                <w:sz w:val="20"/>
                <w:szCs w:val="20"/>
              </w:rPr>
              <w:t>Increased</w:t>
            </w:r>
          </w:p>
        </w:tc>
        <w:tc>
          <w:tcPr>
            <w:tcW w:w="1843" w:type="dxa"/>
            <w:vAlign w:val="center"/>
          </w:tcPr>
          <w:p w14:paraId="7630A8FA" w14:textId="77777777" w:rsidR="00FC60F3" w:rsidRPr="00FC60F3" w:rsidRDefault="00FC60F3" w:rsidP="00322813">
            <w:pPr>
              <w:jc w:val="center"/>
              <w:rPr>
                <w:rFonts w:ascii="Arial" w:hAnsi="Arial" w:cs="Arial"/>
                <w:sz w:val="20"/>
                <w:szCs w:val="20"/>
              </w:rPr>
            </w:pPr>
            <w:r w:rsidRPr="00FC60F3">
              <w:rPr>
                <w:rFonts w:ascii="Arial" w:hAnsi="Arial" w:cs="Arial"/>
                <w:sz w:val="20"/>
                <w:szCs w:val="20"/>
              </w:rPr>
              <w:t>33 (55,9%)</w:t>
            </w:r>
          </w:p>
        </w:tc>
        <w:tc>
          <w:tcPr>
            <w:tcW w:w="2410" w:type="dxa"/>
            <w:vAlign w:val="center"/>
          </w:tcPr>
          <w:p w14:paraId="43CF8193" w14:textId="77777777" w:rsidR="00FC60F3" w:rsidRPr="00FC60F3" w:rsidRDefault="00FC60F3" w:rsidP="00322813">
            <w:pPr>
              <w:jc w:val="center"/>
              <w:rPr>
                <w:rFonts w:ascii="Arial" w:hAnsi="Arial" w:cs="Arial"/>
                <w:sz w:val="20"/>
                <w:szCs w:val="20"/>
              </w:rPr>
            </w:pPr>
            <w:r w:rsidRPr="00FC60F3">
              <w:rPr>
                <w:rFonts w:ascii="Arial" w:hAnsi="Arial" w:cs="Arial"/>
                <w:sz w:val="20"/>
                <w:szCs w:val="20"/>
              </w:rPr>
              <w:t>12 (20,3%)</w:t>
            </w:r>
          </w:p>
        </w:tc>
        <w:tc>
          <w:tcPr>
            <w:tcW w:w="1701" w:type="dxa"/>
            <w:vMerge w:val="restart"/>
            <w:vAlign w:val="center"/>
          </w:tcPr>
          <w:p w14:paraId="0AAAAD76" w14:textId="77777777" w:rsidR="00FC60F3" w:rsidRPr="00FC60F3" w:rsidRDefault="00FC60F3" w:rsidP="00322813">
            <w:pPr>
              <w:jc w:val="center"/>
              <w:rPr>
                <w:rFonts w:ascii="Arial" w:hAnsi="Arial" w:cs="Arial"/>
                <w:sz w:val="20"/>
                <w:szCs w:val="20"/>
              </w:rPr>
            </w:pPr>
            <w:r w:rsidRPr="00FC60F3">
              <w:rPr>
                <w:rFonts w:ascii="Arial" w:hAnsi="Arial" w:cs="Arial"/>
                <w:sz w:val="20"/>
                <w:szCs w:val="20"/>
              </w:rPr>
              <w:t>0,205</w:t>
            </w:r>
          </w:p>
        </w:tc>
      </w:tr>
      <w:tr w:rsidR="00FC60F3" w:rsidRPr="00FC60F3" w14:paraId="7D1FD9D9" w14:textId="77777777" w:rsidTr="00322813">
        <w:tc>
          <w:tcPr>
            <w:tcW w:w="2830" w:type="dxa"/>
            <w:vAlign w:val="center"/>
          </w:tcPr>
          <w:p w14:paraId="6CFD0A0B" w14:textId="77777777" w:rsidR="00FC60F3" w:rsidRPr="00FC60F3" w:rsidRDefault="00FC60F3" w:rsidP="00322813">
            <w:pPr>
              <w:jc w:val="center"/>
              <w:rPr>
                <w:rFonts w:ascii="Arial" w:hAnsi="Arial" w:cs="Arial"/>
                <w:sz w:val="20"/>
                <w:szCs w:val="20"/>
              </w:rPr>
            </w:pPr>
            <w:r w:rsidRPr="00FC60F3">
              <w:rPr>
                <w:rFonts w:ascii="Arial" w:hAnsi="Arial" w:cs="Arial"/>
                <w:sz w:val="20"/>
                <w:szCs w:val="20"/>
              </w:rPr>
              <w:t>Not increased</w:t>
            </w:r>
          </w:p>
        </w:tc>
        <w:tc>
          <w:tcPr>
            <w:tcW w:w="1843" w:type="dxa"/>
            <w:vAlign w:val="center"/>
          </w:tcPr>
          <w:p w14:paraId="42773564" w14:textId="77777777" w:rsidR="00FC60F3" w:rsidRPr="00FC60F3" w:rsidRDefault="00FC60F3" w:rsidP="00322813">
            <w:pPr>
              <w:jc w:val="center"/>
              <w:rPr>
                <w:rFonts w:ascii="Arial" w:hAnsi="Arial" w:cs="Arial"/>
                <w:sz w:val="20"/>
                <w:szCs w:val="20"/>
              </w:rPr>
            </w:pPr>
            <w:r w:rsidRPr="00FC60F3">
              <w:rPr>
                <w:rFonts w:ascii="Arial" w:hAnsi="Arial" w:cs="Arial"/>
                <w:sz w:val="20"/>
                <w:szCs w:val="20"/>
              </w:rPr>
              <w:t>8 (13,6%)</w:t>
            </w:r>
          </w:p>
        </w:tc>
        <w:tc>
          <w:tcPr>
            <w:tcW w:w="2410" w:type="dxa"/>
            <w:vAlign w:val="center"/>
          </w:tcPr>
          <w:p w14:paraId="72481EA8" w14:textId="77777777" w:rsidR="00FC60F3" w:rsidRPr="00FC60F3" w:rsidRDefault="00FC60F3" w:rsidP="00322813">
            <w:pPr>
              <w:jc w:val="center"/>
              <w:rPr>
                <w:rFonts w:ascii="Arial" w:hAnsi="Arial" w:cs="Arial"/>
                <w:sz w:val="20"/>
                <w:szCs w:val="20"/>
              </w:rPr>
            </w:pPr>
            <w:r w:rsidRPr="00FC60F3">
              <w:rPr>
                <w:rFonts w:ascii="Arial" w:hAnsi="Arial" w:cs="Arial"/>
                <w:sz w:val="20"/>
                <w:szCs w:val="20"/>
              </w:rPr>
              <w:t>6 (10,2%)</w:t>
            </w:r>
          </w:p>
        </w:tc>
        <w:tc>
          <w:tcPr>
            <w:tcW w:w="1701" w:type="dxa"/>
            <w:vMerge/>
            <w:vAlign w:val="center"/>
          </w:tcPr>
          <w:p w14:paraId="53CD115C" w14:textId="77777777" w:rsidR="00FC60F3" w:rsidRPr="00FC60F3" w:rsidRDefault="00FC60F3" w:rsidP="00322813">
            <w:pPr>
              <w:jc w:val="center"/>
              <w:rPr>
                <w:rFonts w:ascii="Arial" w:hAnsi="Arial" w:cs="Arial"/>
                <w:sz w:val="20"/>
                <w:szCs w:val="20"/>
              </w:rPr>
            </w:pPr>
          </w:p>
        </w:tc>
      </w:tr>
      <w:tr w:rsidR="00FC60F3" w:rsidRPr="00FC60F3" w14:paraId="5B050B76" w14:textId="77777777" w:rsidTr="00322813">
        <w:tc>
          <w:tcPr>
            <w:tcW w:w="2830" w:type="dxa"/>
            <w:vAlign w:val="center"/>
          </w:tcPr>
          <w:p w14:paraId="49F55B75" w14:textId="77777777" w:rsidR="00FC60F3" w:rsidRPr="00FC60F3" w:rsidRDefault="00FC60F3" w:rsidP="00322813">
            <w:pPr>
              <w:jc w:val="center"/>
              <w:rPr>
                <w:rFonts w:ascii="Arial" w:hAnsi="Arial" w:cs="Arial"/>
                <w:sz w:val="20"/>
                <w:szCs w:val="20"/>
              </w:rPr>
            </w:pPr>
            <w:r w:rsidRPr="00FC60F3">
              <w:rPr>
                <w:rFonts w:ascii="Arial" w:hAnsi="Arial" w:cs="Arial"/>
                <w:b/>
                <w:bCs/>
                <w:sz w:val="20"/>
                <w:szCs w:val="20"/>
              </w:rPr>
              <w:t>Total</w:t>
            </w:r>
          </w:p>
        </w:tc>
        <w:tc>
          <w:tcPr>
            <w:tcW w:w="1843" w:type="dxa"/>
            <w:vAlign w:val="center"/>
          </w:tcPr>
          <w:p w14:paraId="64C27AA2" w14:textId="77777777" w:rsidR="00FC60F3" w:rsidRPr="00FC60F3" w:rsidRDefault="00FC60F3" w:rsidP="00322813">
            <w:pPr>
              <w:jc w:val="center"/>
              <w:rPr>
                <w:rFonts w:ascii="Arial" w:hAnsi="Arial" w:cs="Arial"/>
                <w:b/>
                <w:bCs/>
                <w:sz w:val="20"/>
                <w:szCs w:val="20"/>
              </w:rPr>
            </w:pPr>
            <w:r w:rsidRPr="00FC60F3">
              <w:rPr>
                <w:rFonts w:ascii="Arial" w:hAnsi="Arial" w:cs="Arial"/>
                <w:b/>
                <w:bCs/>
                <w:sz w:val="20"/>
                <w:szCs w:val="20"/>
              </w:rPr>
              <w:t>41 (69,5%)</w:t>
            </w:r>
          </w:p>
        </w:tc>
        <w:tc>
          <w:tcPr>
            <w:tcW w:w="2410" w:type="dxa"/>
            <w:vAlign w:val="center"/>
          </w:tcPr>
          <w:p w14:paraId="13E77E9B" w14:textId="77777777" w:rsidR="00FC60F3" w:rsidRPr="00FC60F3" w:rsidRDefault="00FC60F3" w:rsidP="00322813">
            <w:pPr>
              <w:jc w:val="center"/>
              <w:rPr>
                <w:rFonts w:ascii="Arial" w:hAnsi="Arial" w:cs="Arial"/>
                <w:b/>
                <w:bCs/>
                <w:sz w:val="20"/>
                <w:szCs w:val="20"/>
              </w:rPr>
            </w:pPr>
            <w:r w:rsidRPr="00FC60F3">
              <w:rPr>
                <w:rFonts w:ascii="Arial" w:hAnsi="Arial" w:cs="Arial"/>
                <w:b/>
                <w:bCs/>
                <w:sz w:val="20"/>
                <w:szCs w:val="20"/>
              </w:rPr>
              <w:t>18 (30,5%)</w:t>
            </w:r>
          </w:p>
        </w:tc>
        <w:tc>
          <w:tcPr>
            <w:tcW w:w="1701" w:type="dxa"/>
            <w:vMerge/>
            <w:vAlign w:val="center"/>
          </w:tcPr>
          <w:p w14:paraId="32F0CD69" w14:textId="77777777" w:rsidR="00FC60F3" w:rsidRPr="00FC60F3" w:rsidRDefault="00FC60F3" w:rsidP="00322813">
            <w:pPr>
              <w:jc w:val="center"/>
              <w:rPr>
                <w:rFonts w:ascii="Arial" w:hAnsi="Arial" w:cs="Arial"/>
                <w:sz w:val="20"/>
                <w:szCs w:val="20"/>
              </w:rPr>
            </w:pPr>
          </w:p>
        </w:tc>
      </w:tr>
    </w:tbl>
    <w:p w14:paraId="6B95914B" w14:textId="77777777" w:rsidR="00FC60F3" w:rsidRPr="00FC60F3" w:rsidRDefault="00FC60F3" w:rsidP="00FC60F3">
      <w:pPr>
        <w:ind w:firstLine="720"/>
        <w:jc w:val="both"/>
        <w:rPr>
          <w:rFonts w:ascii="Arial" w:hAnsi="Arial" w:cs="Arial"/>
        </w:rPr>
      </w:pPr>
      <w:r w:rsidRPr="00FC60F3">
        <w:rPr>
          <w:rFonts w:ascii="Arial" w:hAnsi="Arial" w:cs="Arial"/>
          <w:i/>
          <w:iCs/>
        </w:rPr>
        <w:t>Observation:</w:t>
      </w:r>
      <w:r w:rsidRPr="00FC60F3">
        <w:rPr>
          <w:rFonts w:ascii="Arial" w:hAnsi="Arial" w:cs="Arial"/>
        </w:rPr>
        <w:t xml:space="preserve"> No statistically significant difference was observed in elevated IL-6 levels between the groups with increased and normal total leukocyte counts (</w:t>
      </w:r>
      <w:r w:rsidRPr="00FC60F3">
        <w:rPr>
          <w:rFonts w:ascii="Arial" w:hAnsi="Arial" w:cs="Arial"/>
          <w:i/>
          <w:iCs/>
        </w:rPr>
        <w:t>p</w:t>
      </w:r>
      <w:r w:rsidRPr="00FC60F3">
        <w:rPr>
          <w:rFonts w:ascii="Arial" w:hAnsi="Arial" w:cs="Arial"/>
        </w:rPr>
        <w:t xml:space="preserve"> = 0.205).</w:t>
      </w:r>
    </w:p>
    <w:p w14:paraId="63F3EBDF" w14:textId="77777777" w:rsidR="00FC60F3" w:rsidRPr="00FC60F3" w:rsidRDefault="00FC60F3" w:rsidP="00FC60F3">
      <w:pPr>
        <w:jc w:val="both"/>
        <w:rPr>
          <w:rFonts w:ascii="Arial" w:hAnsi="Arial" w:cs="Arial"/>
        </w:rPr>
      </w:pPr>
      <w:r w:rsidRPr="00FC60F3">
        <w:rPr>
          <w:rFonts w:ascii="Arial" w:hAnsi="Arial" w:cs="Arial"/>
        </w:rPr>
        <w:t>Table 5: Association between elevated il-6 and neutrophil count</w:t>
      </w:r>
    </w:p>
    <w:tbl>
      <w:tblPr>
        <w:tblStyle w:val="TableGrid"/>
        <w:tblW w:w="0" w:type="auto"/>
        <w:tblLook w:val="04A0" w:firstRow="1" w:lastRow="0" w:firstColumn="1" w:lastColumn="0" w:noHBand="0" w:noVBand="1"/>
      </w:tblPr>
      <w:tblGrid>
        <w:gridCol w:w="2830"/>
        <w:gridCol w:w="1843"/>
        <w:gridCol w:w="2410"/>
        <w:gridCol w:w="1701"/>
      </w:tblGrid>
      <w:tr w:rsidR="00FC60F3" w:rsidRPr="00FC60F3" w14:paraId="7F1F3BAF" w14:textId="77777777" w:rsidTr="00322813">
        <w:trPr>
          <w:trHeight w:val="908"/>
        </w:trPr>
        <w:tc>
          <w:tcPr>
            <w:tcW w:w="2830" w:type="dxa"/>
            <w:tcBorders>
              <w:tl2br w:val="single" w:sz="4" w:space="0" w:color="auto"/>
            </w:tcBorders>
            <w:vAlign w:val="center"/>
          </w:tcPr>
          <w:p w14:paraId="1FACAD25" w14:textId="77777777" w:rsidR="00FC60F3" w:rsidRPr="00FC60F3" w:rsidRDefault="00FC60F3" w:rsidP="00322813">
            <w:pPr>
              <w:jc w:val="center"/>
              <w:rPr>
                <w:rFonts w:ascii="Arial" w:hAnsi="Arial" w:cs="Arial"/>
                <w:b/>
                <w:bCs/>
                <w:sz w:val="20"/>
                <w:szCs w:val="20"/>
              </w:rPr>
            </w:pPr>
            <w:r w:rsidRPr="00FC60F3">
              <w:rPr>
                <w:rFonts w:ascii="Arial" w:hAnsi="Arial" w:cs="Arial"/>
                <w:b/>
                <w:bCs/>
                <w:sz w:val="20"/>
                <w:szCs w:val="20"/>
              </w:rPr>
              <w:t>IL-6</w:t>
            </w:r>
          </w:p>
          <w:p w14:paraId="3E7B23D5" w14:textId="77777777" w:rsidR="00FC60F3" w:rsidRPr="00FC60F3" w:rsidRDefault="00FC60F3" w:rsidP="00322813">
            <w:pPr>
              <w:jc w:val="center"/>
              <w:rPr>
                <w:rFonts w:ascii="Arial" w:hAnsi="Arial" w:cs="Arial"/>
                <w:b/>
                <w:bCs/>
                <w:sz w:val="20"/>
                <w:szCs w:val="20"/>
              </w:rPr>
            </w:pPr>
          </w:p>
          <w:p w14:paraId="151A6F7C" w14:textId="77777777" w:rsidR="00FC60F3" w:rsidRPr="00FC60F3" w:rsidRDefault="00FC60F3" w:rsidP="00322813">
            <w:pPr>
              <w:jc w:val="center"/>
              <w:rPr>
                <w:rFonts w:ascii="Arial" w:hAnsi="Arial" w:cs="Arial"/>
                <w:b/>
                <w:bCs/>
                <w:sz w:val="20"/>
                <w:szCs w:val="20"/>
              </w:rPr>
            </w:pPr>
            <w:r w:rsidRPr="00FC60F3">
              <w:rPr>
                <w:rFonts w:ascii="Arial" w:hAnsi="Arial" w:cs="Arial"/>
                <w:b/>
                <w:bCs/>
                <w:sz w:val="20"/>
                <w:szCs w:val="20"/>
              </w:rPr>
              <w:t>Neutrophil Count</w:t>
            </w:r>
          </w:p>
        </w:tc>
        <w:tc>
          <w:tcPr>
            <w:tcW w:w="1843" w:type="dxa"/>
            <w:vAlign w:val="center"/>
          </w:tcPr>
          <w:p w14:paraId="32339801" w14:textId="77777777" w:rsidR="00FC60F3" w:rsidRPr="00FC60F3" w:rsidRDefault="00FC60F3" w:rsidP="00322813">
            <w:pPr>
              <w:jc w:val="center"/>
              <w:rPr>
                <w:rFonts w:ascii="Arial" w:hAnsi="Arial" w:cs="Arial"/>
                <w:b/>
                <w:bCs/>
                <w:sz w:val="20"/>
                <w:szCs w:val="20"/>
              </w:rPr>
            </w:pPr>
            <w:r w:rsidRPr="00FC60F3">
              <w:rPr>
                <w:rFonts w:ascii="Arial" w:hAnsi="Arial" w:cs="Arial"/>
                <w:b/>
                <w:bCs/>
                <w:sz w:val="20"/>
                <w:szCs w:val="20"/>
              </w:rPr>
              <w:t>Elevated</w:t>
            </w:r>
          </w:p>
        </w:tc>
        <w:tc>
          <w:tcPr>
            <w:tcW w:w="2410" w:type="dxa"/>
            <w:vAlign w:val="center"/>
          </w:tcPr>
          <w:p w14:paraId="005B1B6F" w14:textId="77777777" w:rsidR="00FC60F3" w:rsidRPr="00FC60F3" w:rsidRDefault="00FC60F3" w:rsidP="00322813">
            <w:pPr>
              <w:jc w:val="center"/>
              <w:rPr>
                <w:rFonts w:ascii="Arial" w:hAnsi="Arial" w:cs="Arial"/>
                <w:b/>
                <w:bCs/>
                <w:sz w:val="20"/>
                <w:szCs w:val="20"/>
              </w:rPr>
            </w:pPr>
            <w:r w:rsidRPr="00FC60F3">
              <w:rPr>
                <w:rFonts w:ascii="Arial" w:hAnsi="Arial" w:cs="Arial"/>
                <w:b/>
                <w:bCs/>
                <w:sz w:val="20"/>
                <w:szCs w:val="20"/>
              </w:rPr>
              <w:t>Not Elevated</w:t>
            </w:r>
          </w:p>
        </w:tc>
        <w:tc>
          <w:tcPr>
            <w:tcW w:w="1701" w:type="dxa"/>
            <w:vAlign w:val="center"/>
          </w:tcPr>
          <w:p w14:paraId="42382639" w14:textId="77777777" w:rsidR="00FC60F3" w:rsidRPr="00FC60F3" w:rsidRDefault="00FC60F3" w:rsidP="00322813">
            <w:pPr>
              <w:jc w:val="center"/>
              <w:rPr>
                <w:rFonts w:ascii="Arial" w:hAnsi="Arial" w:cs="Arial"/>
                <w:b/>
                <w:bCs/>
                <w:sz w:val="20"/>
                <w:szCs w:val="20"/>
              </w:rPr>
            </w:pPr>
            <w:r w:rsidRPr="00FC60F3">
              <w:rPr>
                <w:rFonts w:ascii="Arial" w:hAnsi="Arial" w:cs="Arial"/>
                <w:b/>
                <w:bCs/>
                <w:sz w:val="20"/>
                <w:szCs w:val="20"/>
              </w:rPr>
              <w:t>p-value</w:t>
            </w:r>
          </w:p>
        </w:tc>
      </w:tr>
      <w:tr w:rsidR="00FC60F3" w:rsidRPr="00FC60F3" w14:paraId="452863F0" w14:textId="77777777" w:rsidTr="00322813">
        <w:tc>
          <w:tcPr>
            <w:tcW w:w="2830" w:type="dxa"/>
            <w:vAlign w:val="center"/>
          </w:tcPr>
          <w:p w14:paraId="6C41B523" w14:textId="77777777" w:rsidR="00FC60F3" w:rsidRPr="00FC60F3" w:rsidRDefault="00FC60F3" w:rsidP="00322813">
            <w:pPr>
              <w:jc w:val="center"/>
              <w:rPr>
                <w:rFonts w:ascii="Arial" w:hAnsi="Arial" w:cs="Arial"/>
                <w:sz w:val="20"/>
                <w:szCs w:val="20"/>
              </w:rPr>
            </w:pPr>
            <w:r w:rsidRPr="00FC60F3">
              <w:rPr>
                <w:rFonts w:ascii="Arial" w:hAnsi="Arial" w:cs="Arial"/>
                <w:sz w:val="20"/>
                <w:szCs w:val="20"/>
              </w:rPr>
              <w:t>Increased</w:t>
            </w:r>
          </w:p>
        </w:tc>
        <w:tc>
          <w:tcPr>
            <w:tcW w:w="1843" w:type="dxa"/>
            <w:vAlign w:val="center"/>
          </w:tcPr>
          <w:p w14:paraId="2FCEF6A1" w14:textId="77777777" w:rsidR="00FC60F3" w:rsidRPr="00FC60F3" w:rsidRDefault="00FC60F3" w:rsidP="00322813">
            <w:pPr>
              <w:jc w:val="center"/>
              <w:rPr>
                <w:rFonts w:ascii="Arial" w:hAnsi="Arial" w:cs="Arial"/>
                <w:sz w:val="20"/>
                <w:szCs w:val="20"/>
              </w:rPr>
            </w:pPr>
            <w:r w:rsidRPr="00FC60F3">
              <w:rPr>
                <w:rFonts w:ascii="Arial" w:hAnsi="Arial" w:cs="Arial"/>
                <w:sz w:val="20"/>
                <w:szCs w:val="20"/>
              </w:rPr>
              <w:t>25 (42,4%)</w:t>
            </w:r>
          </w:p>
        </w:tc>
        <w:tc>
          <w:tcPr>
            <w:tcW w:w="2410" w:type="dxa"/>
            <w:vAlign w:val="center"/>
          </w:tcPr>
          <w:p w14:paraId="31D83C28" w14:textId="77777777" w:rsidR="00FC60F3" w:rsidRPr="00FC60F3" w:rsidRDefault="00FC60F3" w:rsidP="00322813">
            <w:pPr>
              <w:jc w:val="center"/>
              <w:rPr>
                <w:rFonts w:ascii="Arial" w:hAnsi="Arial" w:cs="Arial"/>
                <w:sz w:val="20"/>
                <w:szCs w:val="20"/>
              </w:rPr>
            </w:pPr>
            <w:r w:rsidRPr="00FC60F3">
              <w:rPr>
                <w:rFonts w:ascii="Arial" w:hAnsi="Arial" w:cs="Arial"/>
                <w:sz w:val="20"/>
                <w:szCs w:val="20"/>
              </w:rPr>
              <w:t>6 (10,2%)</w:t>
            </w:r>
          </w:p>
        </w:tc>
        <w:tc>
          <w:tcPr>
            <w:tcW w:w="1701" w:type="dxa"/>
            <w:vMerge w:val="restart"/>
            <w:vAlign w:val="center"/>
          </w:tcPr>
          <w:p w14:paraId="4F8890D0" w14:textId="77777777" w:rsidR="00FC60F3" w:rsidRPr="00FC60F3" w:rsidRDefault="00FC60F3" w:rsidP="00322813">
            <w:pPr>
              <w:jc w:val="center"/>
              <w:rPr>
                <w:rFonts w:ascii="Arial" w:hAnsi="Arial" w:cs="Arial"/>
                <w:b/>
                <w:bCs/>
                <w:sz w:val="20"/>
                <w:szCs w:val="20"/>
              </w:rPr>
            </w:pPr>
            <w:r w:rsidRPr="00FC60F3">
              <w:rPr>
                <w:rFonts w:ascii="Arial" w:hAnsi="Arial" w:cs="Arial"/>
                <w:b/>
                <w:bCs/>
                <w:sz w:val="20"/>
                <w:szCs w:val="20"/>
              </w:rPr>
              <w:t>0,047</w:t>
            </w:r>
          </w:p>
        </w:tc>
      </w:tr>
      <w:tr w:rsidR="00FC60F3" w:rsidRPr="00FC60F3" w14:paraId="12EB5D36" w14:textId="77777777" w:rsidTr="00322813">
        <w:tc>
          <w:tcPr>
            <w:tcW w:w="2830" w:type="dxa"/>
            <w:vAlign w:val="center"/>
          </w:tcPr>
          <w:p w14:paraId="398EC900" w14:textId="77777777" w:rsidR="00FC60F3" w:rsidRPr="00FC60F3" w:rsidRDefault="00FC60F3" w:rsidP="00322813">
            <w:pPr>
              <w:jc w:val="center"/>
              <w:rPr>
                <w:rFonts w:ascii="Arial" w:hAnsi="Arial" w:cs="Arial"/>
                <w:sz w:val="20"/>
                <w:szCs w:val="20"/>
              </w:rPr>
            </w:pPr>
            <w:r w:rsidRPr="00FC60F3">
              <w:rPr>
                <w:rFonts w:ascii="Arial" w:hAnsi="Arial" w:cs="Arial"/>
                <w:sz w:val="20"/>
                <w:szCs w:val="20"/>
              </w:rPr>
              <w:t>Not increased</w:t>
            </w:r>
          </w:p>
        </w:tc>
        <w:tc>
          <w:tcPr>
            <w:tcW w:w="1843" w:type="dxa"/>
            <w:vAlign w:val="center"/>
          </w:tcPr>
          <w:p w14:paraId="35C1E489" w14:textId="77777777" w:rsidR="00FC60F3" w:rsidRPr="00FC60F3" w:rsidRDefault="00FC60F3" w:rsidP="00322813">
            <w:pPr>
              <w:jc w:val="center"/>
              <w:rPr>
                <w:rFonts w:ascii="Arial" w:hAnsi="Arial" w:cs="Arial"/>
                <w:sz w:val="20"/>
                <w:szCs w:val="20"/>
              </w:rPr>
            </w:pPr>
            <w:r w:rsidRPr="00FC60F3">
              <w:rPr>
                <w:rFonts w:ascii="Arial" w:hAnsi="Arial" w:cs="Arial"/>
                <w:sz w:val="20"/>
                <w:szCs w:val="20"/>
              </w:rPr>
              <w:t>16 (27,1%)</w:t>
            </w:r>
          </w:p>
        </w:tc>
        <w:tc>
          <w:tcPr>
            <w:tcW w:w="2410" w:type="dxa"/>
            <w:vAlign w:val="center"/>
          </w:tcPr>
          <w:p w14:paraId="6A6925F2" w14:textId="77777777" w:rsidR="00FC60F3" w:rsidRPr="00FC60F3" w:rsidRDefault="00FC60F3" w:rsidP="00322813">
            <w:pPr>
              <w:jc w:val="center"/>
              <w:rPr>
                <w:rFonts w:ascii="Arial" w:hAnsi="Arial" w:cs="Arial"/>
                <w:sz w:val="20"/>
                <w:szCs w:val="20"/>
              </w:rPr>
            </w:pPr>
            <w:r w:rsidRPr="00FC60F3">
              <w:rPr>
                <w:rFonts w:ascii="Arial" w:hAnsi="Arial" w:cs="Arial"/>
                <w:sz w:val="20"/>
                <w:szCs w:val="20"/>
              </w:rPr>
              <w:t>12 (20,3%)</w:t>
            </w:r>
          </w:p>
        </w:tc>
        <w:tc>
          <w:tcPr>
            <w:tcW w:w="1701" w:type="dxa"/>
            <w:vMerge/>
            <w:vAlign w:val="center"/>
          </w:tcPr>
          <w:p w14:paraId="5EE1AE5F" w14:textId="77777777" w:rsidR="00FC60F3" w:rsidRPr="00FC60F3" w:rsidRDefault="00FC60F3" w:rsidP="00322813">
            <w:pPr>
              <w:jc w:val="center"/>
              <w:rPr>
                <w:rFonts w:ascii="Arial" w:hAnsi="Arial" w:cs="Arial"/>
                <w:sz w:val="20"/>
                <w:szCs w:val="20"/>
              </w:rPr>
            </w:pPr>
          </w:p>
        </w:tc>
      </w:tr>
      <w:tr w:rsidR="00FC60F3" w:rsidRPr="00FC60F3" w14:paraId="0E508A47" w14:textId="77777777" w:rsidTr="00322813">
        <w:tc>
          <w:tcPr>
            <w:tcW w:w="2830" w:type="dxa"/>
            <w:vAlign w:val="center"/>
          </w:tcPr>
          <w:p w14:paraId="6A63AD44" w14:textId="77777777" w:rsidR="00FC60F3" w:rsidRPr="00FC60F3" w:rsidRDefault="00FC60F3" w:rsidP="00322813">
            <w:pPr>
              <w:jc w:val="center"/>
              <w:rPr>
                <w:rFonts w:ascii="Arial" w:hAnsi="Arial" w:cs="Arial"/>
                <w:sz w:val="20"/>
                <w:szCs w:val="20"/>
              </w:rPr>
            </w:pPr>
            <w:r w:rsidRPr="00FC60F3">
              <w:rPr>
                <w:rFonts w:ascii="Arial" w:hAnsi="Arial" w:cs="Arial"/>
                <w:b/>
                <w:bCs/>
                <w:sz w:val="20"/>
                <w:szCs w:val="20"/>
              </w:rPr>
              <w:t>Total</w:t>
            </w:r>
          </w:p>
        </w:tc>
        <w:tc>
          <w:tcPr>
            <w:tcW w:w="1843" w:type="dxa"/>
            <w:vAlign w:val="center"/>
          </w:tcPr>
          <w:p w14:paraId="0CFB02F1" w14:textId="77777777" w:rsidR="00FC60F3" w:rsidRPr="00FC60F3" w:rsidRDefault="00FC60F3" w:rsidP="00322813">
            <w:pPr>
              <w:jc w:val="center"/>
              <w:rPr>
                <w:rFonts w:ascii="Arial" w:hAnsi="Arial" w:cs="Arial"/>
                <w:b/>
                <w:bCs/>
                <w:sz w:val="20"/>
                <w:szCs w:val="20"/>
              </w:rPr>
            </w:pPr>
            <w:r w:rsidRPr="00FC60F3">
              <w:rPr>
                <w:rFonts w:ascii="Arial" w:hAnsi="Arial" w:cs="Arial"/>
                <w:b/>
                <w:bCs/>
                <w:sz w:val="20"/>
                <w:szCs w:val="20"/>
              </w:rPr>
              <w:t>41 (69,5%)</w:t>
            </w:r>
          </w:p>
        </w:tc>
        <w:tc>
          <w:tcPr>
            <w:tcW w:w="2410" w:type="dxa"/>
            <w:vAlign w:val="center"/>
          </w:tcPr>
          <w:p w14:paraId="14AC86FC" w14:textId="77777777" w:rsidR="00FC60F3" w:rsidRPr="00FC60F3" w:rsidRDefault="00FC60F3" w:rsidP="00322813">
            <w:pPr>
              <w:jc w:val="center"/>
              <w:rPr>
                <w:rFonts w:ascii="Arial" w:hAnsi="Arial" w:cs="Arial"/>
                <w:b/>
                <w:bCs/>
                <w:sz w:val="20"/>
                <w:szCs w:val="20"/>
              </w:rPr>
            </w:pPr>
            <w:r w:rsidRPr="00FC60F3">
              <w:rPr>
                <w:rFonts w:ascii="Arial" w:hAnsi="Arial" w:cs="Arial"/>
                <w:b/>
                <w:bCs/>
                <w:sz w:val="20"/>
                <w:szCs w:val="20"/>
              </w:rPr>
              <w:t>18 (30,5%)</w:t>
            </w:r>
          </w:p>
        </w:tc>
        <w:tc>
          <w:tcPr>
            <w:tcW w:w="1701" w:type="dxa"/>
            <w:vMerge/>
            <w:vAlign w:val="center"/>
          </w:tcPr>
          <w:p w14:paraId="39C32433" w14:textId="77777777" w:rsidR="00FC60F3" w:rsidRPr="00FC60F3" w:rsidRDefault="00FC60F3" w:rsidP="00322813">
            <w:pPr>
              <w:jc w:val="center"/>
              <w:rPr>
                <w:rFonts w:ascii="Arial" w:hAnsi="Arial" w:cs="Arial"/>
                <w:sz w:val="20"/>
                <w:szCs w:val="20"/>
              </w:rPr>
            </w:pPr>
          </w:p>
        </w:tc>
      </w:tr>
    </w:tbl>
    <w:p w14:paraId="1394327D" w14:textId="77777777" w:rsidR="00FC60F3" w:rsidRPr="00FC60F3" w:rsidRDefault="00FC60F3" w:rsidP="00FC60F3">
      <w:pPr>
        <w:ind w:firstLine="720"/>
        <w:jc w:val="both"/>
        <w:rPr>
          <w:rFonts w:ascii="Arial" w:hAnsi="Arial" w:cs="Arial"/>
        </w:rPr>
      </w:pPr>
      <w:proofErr w:type="spellStart"/>
      <w:proofErr w:type="gramStart"/>
      <w:r w:rsidRPr="00FC60F3">
        <w:rPr>
          <w:rFonts w:ascii="Arial" w:hAnsi="Arial" w:cs="Arial"/>
          <w:i/>
          <w:iCs/>
        </w:rPr>
        <w:t>Observation:</w:t>
      </w:r>
      <w:r w:rsidRPr="00FC60F3">
        <w:rPr>
          <w:rFonts w:ascii="Arial" w:hAnsi="Arial" w:cs="Arial"/>
        </w:rPr>
        <w:t>A</w:t>
      </w:r>
      <w:proofErr w:type="spellEnd"/>
      <w:proofErr w:type="gramEnd"/>
      <w:r w:rsidRPr="00FC60F3">
        <w:rPr>
          <w:rFonts w:ascii="Arial" w:hAnsi="Arial" w:cs="Arial"/>
        </w:rPr>
        <w:t xml:space="preserve"> significant association was found between elevated IL-6 levels and an increased peripheral neutrophil count in pediatric asthma patients (p = 0.047), wherein patients with higher neutrophil counts also had higher IL-6 levels, and vice versa.</w:t>
      </w:r>
    </w:p>
    <w:p w14:paraId="3761B18A" w14:textId="77777777" w:rsidR="00FC60F3" w:rsidRPr="00FC60F3" w:rsidRDefault="00FC60F3" w:rsidP="00FC60F3">
      <w:pPr>
        <w:jc w:val="both"/>
        <w:rPr>
          <w:rFonts w:ascii="Arial" w:hAnsi="Arial" w:cs="Arial"/>
        </w:rPr>
      </w:pPr>
      <w:r w:rsidRPr="00FC60F3">
        <w:rPr>
          <w:rFonts w:ascii="Arial" w:hAnsi="Arial" w:cs="Arial"/>
        </w:rPr>
        <w:t xml:space="preserve">Table 6: Association between elevated il-6 and CRP levels </w:t>
      </w:r>
    </w:p>
    <w:tbl>
      <w:tblPr>
        <w:tblStyle w:val="TableGrid"/>
        <w:tblW w:w="0" w:type="auto"/>
        <w:tblLook w:val="04A0" w:firstRow="1" w:lastRow="0" w:firstColumn="1" w:lastColumn="0" w:noHBand="0" w:noVBand="1"/>
      </w:tblPr>
      <w:tblGrid>
        <w:gridCol w:w="2830"/>
        <w:gridCol w:w="1843"/>
        <w:gridCol w:w="2410"/>
        <w:gridCol w:w="1701"/>
      </w:tblGrid>
      <w:tr w:rsidR="00FC60F3" w:rsidRPr="00FC60F3" w14:paraId="7D00308F" w14:textId="77777777" w:rsidTr="00322813">
        <w:trPr>
          <w:trHeight w:val="1014"/>
        </w:trPr>
        <w:tc>
          <w:tcPr>
            <w:tcW w:w="2830" w:type="dxa"/>
            <w:tcBorders>
              <w:tl2br w:val="single" w:sz="4" w:space="0" w:color="auto"/>
            </w:tcBorders>
            <w:vAlign w:val="center"/>
          </w:tcPr>
          <w:p w14:paraId="39E4C397" w14:textId="77777777" w:rsidR="00FC60F3" w:rsidRPr="00FC60F3" w:rsidRDefault="00FC60F3" w:rsidP="00322813">
            <w:pPr>
              <w:jc w:val="center"/>
              <w:rPr>
                <w:rFonts w:ascii="Arial" w:hAnsi="Arial" w:cs="Arial"/>
                <w:b/>
                <w:bCs/>
                <w:sz w:val="20"/>
                <w:szCs w:val="20"/>
              </w:rPr>
            </w:pPr>
            <w:r w:rsidRPr="00FC60F3">
              <w:rPr>
                <w:rFonts w:ascii="Arial" w:hAnsi="Arial" w:cs="Arial"/>
                <w:b/>
                <w:bCs/>
                <w:sz w:val="20"/>
                <w:szCs w:val="20"/>
              </w:rPr>
              <w:t>IL-6</w:t>
            </w:r>
          </w:p>
          <w:p w14:paraId="18304423" w14:textId="77777777" w:rsidR="00FC60F3" w:rsidRPr="00FC60F3" w:rsidRDefault="00FC60F3" w:rsidP="00322813">
            <w:pPr>
              <w:jc w:val="center"/>
              <w:rPr>
                <w:rFonts w:ascii="Arial" w:hAnsi="Arial" w:cs="Arial"/>
                <w:b/>
                <w:bCs/>
                <w:sz w:val="20"/>
                <w:szCs w:val="20"/>
              </w:rPr>
            </w:pPr>
          </w:p>
          <w:p w14:paraId="0EB2A2BF" w14:textId="77777777" w:rsidR="00FC60F3" w:rsidRPr="00FC60F3" w:rsidRDefault="00FC60F3" w:rsidP="00322813">
            <w:pPr>
              <w:jc w:val="center"/>
              <w:rPr>
                <w:rFonts w:ascii="Arial" w:hAnsi="Arial" w:cs="Arial"/>
                <w:b/>
                <w:bCs/>
                <w:sz w:val="20"/>
                <w:szCs w:val="20"/>
              </w:rPr>
            </w:pPr>
          </w:p>
          <w:p w14:paraId="761A3D6B" w14:textId="77777777" w:rsidR="00FC60F3" w:rsidRPr="00FC60F3" w:rsidRDefault="00FC60F3" w:rsidP="00322813">
            <w:pPr>
              <w:jc w:val="center"/>
              <w:rPr>
                <w:rFonts w:ascii="Arial" w:hAnsi="Arial" w:cs="Arial"/>
                <w:b/>
                <w:bCs/>
                <w:sz w:val="20"/>
                <w:szCs w:val="20"/>
              </w:rPr>
            </w:pPr>
            <w:r w:rsidRPr="00FC60F3">
              <w:rPr>
                <w:rFonts w:ascii="Arial" w:hAnsi="Arial" w:cs="Arial"/>
                <w:b/>
                <w:bCs/>
                <w:sz w:val="20"/>
                <w:szCs w:val="20"/>
              </w:rPr>
              <w:t>CRP Level</w:t>
            </w:r>
          </w:p>
        </w:tc>
        <w:tc>
          <w:tcPr>
            <w:tcW w:w="1843" w:type="dxa"/>
            <w:vAlign w:val="center"/>
          </w:tcPr>
          <w:p w14:paraId="67B32F60" w14:textId="77777777" w:rsidR="00FC60F3" w:rsidRPr="00FC60F3" w:rsidRDefault="00FC60F3" w:rsidP="00322813">
            <w:pPr>
              <w:jc w:val="center"/>
              <w:rPr>
                <w:rFonts w:ascii="Arial" w:hAnsi="Arial" w:cs="Arial"/>
                <w:b/>
                <w:bCs/>
                <w:sz w:val="20"/>
                <w:szCs w:val="20"/>
              </w:rPr>
            </w:pPr>
            <w:r w:rsidRPr="00FC60F3">
              <w:rPr>
                <w:rFonts w:ascii="Arial" w:hAnsi="Arial" w:cs="Arial"/>
                <w:b/>
                <w:bCs/>
                <w:sz w:val="20"/>
                <w:szCs w:val="20"/>
              </w:rPr>
              <w:t>Elevated</w:t>
            </w:r>
          </w:p>
        </w:tc>
        <w:tc>
          <w:tcPr>
            <w:tcW w:w="2410" w:type="dxa"/>
            <w:vAlign w:val="center"/>
          </w:tcPr>
          <w:p w14:paraId="602D594E" w14:textId="77777777" w:rsidR="00FC60F3" w:rsidRPr="00FC60F3" w:rsidRDefault="00FC60F3" w:rsidP="00322813">
            <w:pPr>
              <w:jc w:val="center"/>
              <w:rPr>
                <w:rFonts w:ascii="Arial" w:hAnsi="Arial" w:cs="Arial"/>
                <w:b/>
                <w:bCs/>
                <w:sz w:val="20"/>
                <w:szCs w:val="20"/>
              </w:rPr>
            </w:pPr>
            <w:r w:rsidRPr="00FC60F3">
              <w:rPr>
                <w:rFonts w:ascii="Arial" w:hAnsi="Arial" w:cs="Arial"/>
                <w:b/>
                <w:bCs/>
                <w:sz w:val="20"/>
                <w:szCs w:val="20"/>
              </w:rPr>
              <w:t>Not Elevated</w:t>
            </w:r>
          </w:p>
        </w:tc>
        <w:tc>
          <w:tcPr>
            <w:tcW w:w="1701" w:type="dxa"/>
            <w:vAlign w:val="center"/>
          </w:tcPr>
          <w:p w14:paraId="46C7E099" w14:textId="77777777" w:rsidR="00FC60F3" w:rsidRPr="00FC60F3" w:rsidRDefault="00FC60F3" w:rsidP="00322813">
            <w:pPr>
              <w:jc w:val="center"/>
              <w:rPr>
                <w:rFonts w:ascii="Arial" w:hAnsi="Arial" w:cs="Arial"/>
                <w:b/>
                <w:bCs/>
                <w:sz w:val="20"/>
                <w:szCs w:val="20"/>
              </w:rPr>
            </w:pPr>
            <w:r w:rsidRPr="00FC60F3">
              <w:rPr>
                <w:rFonts w:ascii="Arial" w:hAnsi="Arial" w:cs="Arial"/>
                <w:b/>
                <w:bCs/>
                <w:sz w:val="20"/>
                <w:szCs w:val="20"/>
              </w:rPr>
              <w:t>p-value</w:t>
            </w:r>
          </w:p>
        </w:tc>
      </w:tr>
      <w:tr w:rsidR="00FC60F3" w:rsidRPr="00FC60F3" w14:paraId="6B97A693" w14:textId="77777777" w:rsidTr="00322813">
        <w:tc>
          <w:tcPr>
            <w:tcW w:w="2830" w:type="dxa"/>
            <w:vAlign w:val="center"/>
          </w:tcPr>
          <w:p w14:paraId="0B53DC22" w14:textId="77777777" w:rsidR="00FC60F3" w:rsidRPr="00FC60F3" w:rsidRDefault="00FC60F3" w:rsidP="00322813">
            <w:pPr>
              <w:jc w:val="center"/>
              <w:rPr>
                <w:rFonts w:ascii="Arial" w:hAnsi="Arial" w:cs="Arial"/>
                <w:sz w:val="20"/>
                <w:szCs w:val="20"/>
              </w:rPr>
            </w:pPr>
            <w:r w:rsidRPr="00FC60F3">
              <w:rPr>
                <w:rFonts w:ascii="Arial" w:hAnsi="Arial" w:cs="Arial"/>
                <w:sz w:val="20"/>
                <w:szCs w:val="20"/>
              </w:rPr>
              <w:t>Increased</w:t>
            </w:r>
          </w:p>
        </w:tc>
        <w:tc>
          <w:tcPr>
            <w:tcW w:w="1843" w:type="dxa"/>
            <w:vAlign w:val="center"/>
          </w:tcPr>
          <w:p w14:paraId="2B30B355" w14:textId="77777777" w:rsidR="00FC60F3" w:rsidRPr="00FC60F3" w:rsidRDefault="00FC60F3" w:rsidP="00322813">
            <w:pPr>
              <w:jc w:val="center"/>
              <w:rPr>
                <w:rFonts w:ascii="Arial" w:hAnsi="Arial" w:cs="Arial"/>
                <w:sz w:val="20"/>
                <w:szCs w:val="20"/>
              </w:rPr>
            </w:pPr>
            <w:r w:rsidRPr="00FC60F3">
              <w:rPr>
                <w:rFonts w:ascii="Arial" w:hAnsi="Arial" w:cs="Arial"/>
                <w:sz w:val="20"/>
                <w:szCs w:val="20"/>
              </w:rPr>
              <w:t>24 (40,7%)</w:t>
            </w:r>
          </w:p>
        </w:tc>
        <w:tc>
          <w:tcPr>
            <w:tcW w:w="2410" w:type="dxa"/>
            <w:vAlign w:val="center"/>
          </w:tcPr>
          <w:p w14:paraId="065C9973" w14:textId="77777777" w:rsidR="00FC60F3" w:rsidRPr="00FC60F3" w:rsidRDefault="00FC60F3" w:rsidP="00322813">
            <w:pPr>
              <w:jc w:val="center"/>
              <w:rPr>
                <w:rFonts w:ascii="Arial" w:hAnsi="Arial" w:cs="Arial"/>
                <w:sz w:val="20"/>
                <w:szCs w:val="20"/>
              </w:rPr>
            </w:pPr>
            <w:r w:rsidRPr="00FC60F3">
              <w:rPr>
                <w:rFonts w:ascii="Arial" w:hAnsi="Arial" w:cs="Arial"/>
                <w:sz w:val="20"/>
                <w:szCs w:val="20"/>
              </w:rPr>
              <w:t>5 (8,5%)</w:t>
            </w:r>
          </w:p>
        </w:tc>
        <w:tc>
          <w:tcPr>
            <w:tcW w:w="1701" w:type="dxa"/>
            <w:vMerge w:val="restart"/>
            <w:vAlign w:val="center"/>
          </w:tcPr>
          <w:p w14:paraId="297794E4" w14:textId="77777777" w:rsidR="00FC60F3" w:rsidRPr="00FC60F3" w:rsidRDefault="00FC60F3" w:rsidP="00322813">
            <w:pPr>
              <w:jc w:val="center"/>
              <w:rPr>
                <w:rFonts w:ascii="Arial" w:hAnsi="Arial" w:cs="Arial"/>
                <w:b/>
                <w:bCs/>
                <w:sz w:val="20"/>
                <w:szCs w:val="20"/>
              </w:rPr>
            </w:pPr>
            <w:r w:rsidRPr="00FC60F3">
              <w:rPr>
                <w:rFonts w:ascii="Arial" w:hAnsi="Arial" w:cs="Arial"/>
                <w:b/>
                <w:bCs/>
                <w:sz w:val="20"/>
                <w:szCs w:val="20"/>
              </w:rPr>
              <w:t>0,028</w:t>
            </w:r>
          </w:p>
        </w:tc>
      </w:tr>
      <w:tr w:rsidR="00FC60F3" w:rsidRPr="00FC60F3" w14:paraId="150974D4" w14:textId="77777777" w:rsidTr="00322813">
        <w:tc>
          <w:tcPr>
            <w:tcW w:w="2830" w:type="dxa"/>
            <w:vAlign w:val="center"/>
          </w:tcPr>
          <w:p w14:paraId="33DE34A3" w14:textId="77777777" w:rsidR="00FC60F3" w:rsidRPr="00FC60F3" w:rsidRDefault="00FC60F3" w:rsidP="00322813">
            <w:pPr>
              <w:jc w:val="center"/>
              <w:rPr>
                <w:rFonts w:ascii="Arial" w:hAnsi="Arial" w:cs="Arial"/>
                <w:sz w:val="20"/>
                <w:szCs w:val="20"/>
              </w:rPr>
            </w:pPr>
            <w:r w:rsidRPr="00FC60F3">
              <w:rPr>
                <w:rFonts w:ascii="Arial" w:hAnsi="Arial" w:cs="Arial"/>
                <w:sz w:val="20"/>
                <w:szCs w:val="20"/>
              </w:rPr>
              <w:t>Not increased</w:t>
            </w:r>
          </w:p>
        </w:tc>
        <w:tc>
          <w:tcPr>
            <w:tcW w:w="1843" w:type="dxa"/>
            <w:vAlign w:val="center"/>
          </w:tcPr>
          <w:p w14:paraId="6E9625F5" w14:textId="77777777" w:rsidR="00FC60F3" w:rsidRPr="00FC60F3" w:rsidRDefault="00FC60F3" w:rsidP="00322813">
            <w:pPr>
              <w:jc w:val="center"/>
              <w:rPr>
                <w:rFonts w:ascii="Arial" w:hAnsi="Arial" w:cs="Arial"/>
                <w:sz w:val="20"/>
                <w:szCs w:val="20"/>
              </w:rPr>
            </w:pPr>
            <w:r w:rsidRPr="00FC60F3">
              <w:rPr>
                <w:rFonts w:ascii="Arial" w:hAnsi="Arial" w:cs="Arial"/>
                <w:sz w:val="20"/>
                <w:szCs w:val="20"/>
              </w:rPr>
              <w:t>17 (28,8%)</w:t>
            </w:r>
          </w:p>
        </w:tc>
        <w:tc>
          <w:tcPr>
            <w:tcW w:w="2410" w:type="dxa"/>
            <w:vAlign w:val="center"/>
          </w:tcPr>
          <w:p w14:paraId="113B128E" w14:textId="77777777" w:rsidR="00FC60F3" w:rsidRPr="00FC60F3" w:rsidRDefault="00FC60F3" w:rsidP="00322813">
            <w:pPr>
              <w:jc w:val="center"/>
              <w:rPr>
                <w:rFonts w:ascii="Arial" w:hAnsi="Arial" w:cs="Arial"/>
                <w:sz w:val="20"/>
                <w:szCs w:val="20"/>
              </w:rPr>
            </w:pPr>
            <w:r w:rsidRPr="00FC60F3">
              <w:rPr>
                <w:rFonts w:ascii="Arial" w:hAnsi="Arial" w:cs="Arial"/>
                <w:sz w:val="20"/>
                <w:szCs w:val="20"/>
              </w:rPr>
              <w:t>13 (22%)</w:t>
            </w:r>
          </w:p>
        </w:tc>
        <w:tc>
          <w:tcPr>
            <w:tcW w:w="1701" w:type="dxa"/>
            <w:vMerge/>
            <w:vAlign w:val="center"/>
          </w:tcPr>
          <w:p w14:paraId="22439074" w14:textId="77777777" w:rsidR="00FC60F3" w:rsidRPr="00FC60F3" w:rsidRDefault="00FC60F3" w:rsidP="00322813">
            <w:pPr>
              <w:jc w:val="center"/>
              <w:rPr>
                <w:rFonts w:ascii="Arial" w:hAnsi="Arial" w:cs="Arial"/>
                <w:sz w:val="20"/>
                <w:szCs w:val="20"/>
              </w:rPr>
            </w:pPr>
          </w:p>
        </w:tc>
      </w:tr>
      <w:tr w:rsidR="00FC60F3" w:rsidRPr="00FC60F3" w14:paraId="562A1E49" w14:textId="77777777" w:rsidTr="00322813">
        <w:trPr>
          <w:trHeight w:val="327"/>
        </w:trPr>
        <w:tc>
          <w:tcPr>
            <w:tcW w:w="2830" w:type="dxa"/>
            <w:vAlign w:val="center"/>
          </w:tcPr>
          <w:p w14:paraId="26D3B5D2" w14:textId="77777777" w:rsidR="00FC60F3" w:rsidRPr="00FC60F3" w:rsidRDefault="00FC60F3" w:rsidP="00322813">
            <w:pPr>
              <w:jc w:val="center"/>
              <w:rPr>
                <w:rFonts w:ascii="Arial" w:hAnsi="Arial" w:cs="Arial"/>
                <w:sz w:val="20"/>
                <w:szCs w:val="20"/>
              </w:rPr>
            </w:pPr>
            <w:r w:rsidRPr="00FC60F3">
              <w:rPr>
                <w:rFonts w:ascii="Arial" w:hAnsi="Arial" w:cs="Arial"/>
                <w:b/>
                <w:bCs/>
                <w:sz w:val="20"/>
                <w:szCs w:val="20"/>
              </w:rPr>
              <w:t>Total</w:t>
            </w:r>
          </w:p>
        </w:tc>
        <w:tc>
          <w:tcPr>
            <w:tcW w:w="1843" w:type="dxa"/>
            <w:vAlign w:val="center"/>
          </w:tcPr>
          <w:p w14:paraId="22F2F3BC" w14:textId="77777777" w:rsidR="00FC60F3" w:rsidRPr="00FC60F3" w:rsidRDefault="00FC60F3" w:rsidP="00322813">
            <w:pPr>
              <w:jc w:val="center"/>
              <w:rPr>
                <w:rFonts w:ascii="Arial" w:hAnsi="Arial" w:cs="Arial"/>
                <w:b/>
                <w:bCs/>
                <w:sz w:val="20"/>
                <w:szCs w:val="20"/>
              </w:rPr>
            </w:pPr>
            <w:r w:rsidRPr="00FC60F3">
              <w:rPr>
                <w:rFonts w:ascii="Arial" w:hAnsi="Arial" w:cs="Arial"/>
                <w:b/>
                <w:bCs/>
                <w:sz w:val="20"/>
                <w:szCs w:val="20"/>
              </w:rPr>
              <w:t>41 (69,5%)</w:t>
            </w:r>
          </w:p>
        </w:tc>
        <w:tc>
          <w:tcPr>
            <w:tcW w:w="2410" w:type="dxa"/>
            <w:vAlign w:val="center"/>
          </w:tcPr>
          <w:p w14:paraId="5D7D40D9" w14:textId="77777777" w:rsidR="00FC60F3" w:rsidRPr="00FC60F3" w:rsidRDefault="00FC60F3" w:rsidP="00322813">
            <w:pPr>
              <w:jc w:val="center"/>
              <w:rPr>
                <w:rFonts w:ascii="Arial" w:hAnsi="Arial" w:cs="Arial"/>
                <w:b/>
                <w:bCs/>
                <w:sz w:val="20"/>
                <w:szCs w:val="20"/>
              </w:rPr>
            </w:pPr>
            <w:r w:rsidRPr="00FC60F3">
              <w:rPr>
                <w:rFonts w:ascii="Arial" w:hAnsi="Arial" w:cs="Arial"/>
                <w:b/>
                <w:bCs/>
                <w:sz w:val="20"/>
                <w:szCs w:val="20"/>
              </w:rPr>
              <w:t>18 (30,5%)</w:t>
            </w:r>
          </w:p>
        </w:tc>
        <w:tc>
          <w:tcPr>
            <w:tcW w:w="1701" w:type="dxa"/>
            <w:vMerge/>
            <w:vAlign w:val="center"/>
          </w:tcPr>
          <w:p w14:paraId="292D9E99" w14:textId="77777777" w:rsidR="00FC60F3" w:rsidRPr="00FC60F3" w:rsidRDefault="00FC60F3" w:rsidP="00322813">
            <w:pPr>
              <w:jc w:val="center"/>
              <w:rPr>
                <w:rFonts w:ascii="Arial" w:hAnsi="Arial" w:cs="Arial"/>
                <w:sz w:val="20"/>
                <w:szCs w:val="20"/>
              </w:rPr>
            </w:pPr>
          </w:p>
        </w:tc>
      </w:tr>
    </w:tbl>
    <w:p w14:paraId="28D8B408" w14:textId="77777777" w:rsidR="00FC60F3" w:rsidRPr="00FC60F3" w:rsidRDefault="00FC60F3" w:rsidP="00FC60F3">
      <w:pPr>
        <w:ind w:firstLine="720"/>
        <w:jc w:val="both"/>
        <w:rPr>
          <w:rFonts w:ascii="Arial" w:hAnsi="Arial" w:cs="Arial"/>
        </w:rPr>
      </w:pPr>
      <w:r w:rsidRPr="00FC60F3">
        <w:rPr>
          <w:rFonts w:ascii="Arial" w:hAnsi="Arial" w:cs="Arial"/>
          <w:i/>
          <w:iCs/>
        </w:rPr>
        <w:t>Observation:</w:t>
      </w:r>
      <w:r w:rsidRPr="00FC60F3">
        <w:rPr>
          <w:rFonts w:ascii="Arial" w:hAnsi="Arial" w:cs="Arial"/>
        </w:rPr>
        <w:t xml:space="preserve"> There was a positive correlation between elevated IL-6 levels and increased CRP levels (</w:t>
      </w:r>
      <w:r w:rsidRPr="00FC60F3">
        <w:rPr>
          <w:rFonts w:ascii="Arial" w:hAnsi="Arial" w:cs="Arial"/>
          <w:i/>
          <w:iCs/>
        </w:rPr>
        <w:t>p</w:t>
      </w:r>
      <w:r w:rsidRPr="00FC60F3">
        <w:rPr>
          <w:rFonts w:ascii="Arial" w:hAnsi="Arial" w:cs="Arial"/>
        </w:rPr>
        <w:t xml:space="preserve"> = 0.028), with the majority of patients having both elevated CRP and IL-6 (40.7%).</w:t>
      </w:r>
    </w:p>
    <w:p w14:paraId="1C7F64C2" w14:textId="77777777" w:rsidR="00FC60F3" w:rsidRPr="00FC60F3" w:rsidRDefault="00FC60F3" w:rsidP="00FC60F3">
      <w:pPr>
        <w:jc w:val="both"/>
        <w:rPr>
          <w:rFonts w:ascii="Arial" w:hAnsi="Arial" w:cs="Arial"/>
        </w:rPr>
      </w:pPr>
      <w:r w:rsidRPr="00FC60F3">
        <w:rPr>
          <w:rFonts w:ascii="Arial" w:hAnsi="Arial" w:cs="Arial"/>
        </w:rPr>
        <w:t xml:space="preserve">Table 7: Association between Elevated IL-6 and annual hospitalization rate </w:t>
      </w:r>
    </w:p>
    <w:tbl>
      <w:tblPr>
        <w:tblStyle w:val="TableGrid"/>
        <w:tblW w:w="0" w:type="auto"/>
        <w:tblLook w:val="04A0" w:firstRow="1" w:lastRow="0" w:firstColumn="1" w:lastColumn="0" w:noHBand="0" w:noVBand="1"/>
      </w:tblPr>
      <w:tblGrid>
        <w:gridCol w:w="2830"/>
        <w:gridCol w:w="1843"/>
        <w:gridCol w:w="2410"/>
        <w:gridCol w:w="1701"/>
      </w:tblGrid>
      <w:tr w:rsidR="00FC60F3" w:rsidRPr="00FC60F3" w14:paraId="7AA934E4" w14:textId="77777777" w:rsidTr="00322813">
        <w:trPr>
          <w:trHeight w:val="891"/>
        </w:trPr>
        <w:tc>
          <w:tcPr>
            <w:tcW w:w="2830" w:type="dxa"/>
            <w:tcBorders>
              <w:tl2br w:val="single" w:sz="4" w:space="0" w:color="auto"/>
            </w:tcBorders>
          </w:tcPr>
          <w:p w14:paraId="5E4935C0" w14:textId="77777777" w:rsidR="00FC60F3" w:rsidRPr="00FC60F3" w:rsidRDefault="00FC60F3" w:rsidP="00322813">
            <w:pPr>
              <w:rPr>
                <w:rFonts w:ascii="Arial" w:hAnsi="Arial" w:cs="Arial"/>
                <w:b/>
                <w:bCs/>
                <w:sz w:val="20"/>
                <w:szCs w:val="20"/>
              </w:rPr>
            </w:pPr>
            <w:r w:rsidRPr="00FC60F3">
              <w:rPr>
                <w:rFonts w:ascii="Arial" w:hAnsi="Arial" w:cs="Arial"/>
                <w:b/>
                <w:bCs/>
                <w:sz w:val="20"/>
                <w:szCs w:val="20"/>
              </w:rPr>
              <w:t xml:space="preserve">                                IL-6</w:t>
            </w:r>
          </w:p>
          <w:p w14:paraId="399FE755" w14:textId="77777777" w:rsidR="00FC60F3" w:rsidRPr="00FC60F3" w:rsidRDefault="00FC60F3" w:rsidP="00322813">
            <w:pPr>
              <w:rPr>
                <w:rFonts w:ascii="Arial" w:hAnsi="Arial" w:cs="Arial"/>
                <w:b/>
                <w:bCs/>
                <w:sz w:val="20"/>
                <w:szCs w:val="20"/>
              </w:rPr>
            </w:pPr>
          </w:p>
          <w:p w14:paraId="467A86E3" w14:textId="77777777" w:rsidR="00FC60F3" w:rsidRPr="00FC60F3" w:rsidRDefault="00FC60F3" w:rsidP="00322813">
            <w:pPr>
              <w:rPr>
                <w:rFonts w:ascii="Arial" w:hAnsi="Arial" w:cs="Arial"/>
                <w:b/>
                <w:bCs/>
                <w:sz w:val="20"/>
                <w:szCs w:val="20"/>
              </w:rPr>
            </w:pPr>
          </w:p>
          <w:p w14:paraId="65959897" w14:textId="77777777" w:rsidR="00FC60F3" w:rsidRPr="00FC60F3" w:rsidRDefault="00FC60F3" w:rsidP="00322813">
            <w:pPr>
              <w:rPr>
                <w:rFonts w:ascii="Arial" w:hAnsi="Arial" w:cs="Arial"/>
                <w:b/>
                <w:bCs/>
                <w:sz w:val="20"/>
                <w:szCs w:val="20"/>
              </w:rPr>
            </w:pPr>
            <w:r w:rsidRPr="00FC60F3">
              <w:rPr>
                <w:rFonts w:ascii="Arial" w:hAnsi="Arial" w:cs="Arial"/>
                <w:b/>
                <w:bCs/>
                <w:sz w:val="20"/>
                <w:szCs w:val="20"/>
              </w:rPr>
              <w:t xml:space="preserve">Hospitalizations/Year </w:t>
            </w:r>
          </w:p>
        </w:tc>
        <w:tc>
          <w:tcPr>
            <w:tcW w:w="1843" w:type="dxa"/>
          </w:tcPr>
          <w:p w14:paraId="370BC8CD" w14:textId="77777777" w:rsidR="00FC60F3" w:rsidRPr="00FC60F3" w:rsidRDefault="00FC60F3" w:rsidP="00322813">
            <w:pPr>
              <w:rPr>
                <w:rFonts w:ascii="Arial" w:hAnsi="Arial" w:cs="Arial"/>
                <w:b/>
                <w:bCs/>
                <w:sz w:val="20"/>
                <w:szCs w:val="20"/>
              </w:rPr>
            </w:pPr>
            <w:r w:rsidRPr="00FC60F3">
              <w:rPr>
                <w:rFonts w:ascii="Arial" w:hAnsi="Arial" w:cs="Arial"/>
                <w:b/>
                <w:bCs/>
                <w:sz w:val="20"/>
                <w:szCs w:val="20"/>
              </w:rPr>
              <w:t xml:space="preserve">Elevated </w:t>
            </w:r>
          </w:p>
        </w:tc>
        <w:tc>
          <w:tcPr>
            <w:tcW w:w="2410" w:type="dxa"/>
          </w:tcPr>
          <w:p w14:paraId="5A23222F" w14:textId="77777777" w:rsidR="00FC60F3" w:rsidRPr="00FC60F3" w:rsidRDefault="00FC60F3" w:rsidP="00322813">
            <w:pPr>
              <w:rPr>
                <w:rFonts w:ascii="Arial" w:hAnsi="Arial" w:cs="Arial"/>
                <w:b/>
                <w:bCs/>
                <w:sz w:val="20"/>
                <w:szCs w:val="20"/>
              </w:rPr>
            </w:pPr>
            <w:r w:rsidRPr="00FC60F3">
              <w:rPr>
                <w:rFonts w:ascii="Arial" w:hAnsi="Arial" w:cs="Arial"/>
                <w:b/>
                <w:bCs/>
                <w:sz w:val="20"/>
                <w:szCs w:val="20"/>
              </w:rPr>
              <w:t xml:space="preserve">Not Elevated </w:t>
            </w:r>
          </w:p>
        </w:tc>
        <w:tc>
          <w:tcPr>
            <w:tcW w:w="1701" w:type="dxa"/>
          </w:tcPr>
          <w:p w14:paraId="10E34A61" w14:textId="77777777" w:rsidR="00FC60F3" w:rsidRPr="00FC60F3" w:rsidRDefault="00FC60F3" w:rsidP="00322813">
            <w:pPr>
              <w:rPr>
                <w:rFonts w:ascii="Arial" w:hAnsi="Arial" w:cs="Arial"/>
                <w:b/>
                <w:bCs/>
                <w:sz w:val="20"/>
                <w:szCs w:val="20"/>
              </w:rPr>
            </w:pPr>
            <w:r w:rsidRPr="00FC60F3">
              <w:rPr>
                <w:rFonts w:ascii="Arial" w:hAnsi="Arial" w:cs="Arial"/>
                <w:b/>
                <w:bCs/>
                <w:sz w:val="20"/>
                <w:szCs w:val="20"/>
              </w:rPr>
              <w:t xml:space="preserve">p-value </w:t>
            </w:r>
          </w:p>
        </w:tc>
      </w:tr>
      <w:tr w:rsidR="00FC60F3" w:rsidRPr="00FC60F3" w14:paraId="32B984E1" w14:textId="77777777" w:rsidTr="00322813">
        <w:tc>
          <w:tcPr>
            <w:tcW w:w="2830" w:type="dxa"/>
          </w:tcPr>
          <w:p w14:paraId="485EFDDF" w14:textId="77777777" w:rsidR="00FC60F3" w:rsidRPr="00FC60F3" w:rsidRDefault="00FC60F3" w:rsidP="00322813">
            <w:pPr>
              <w:rPr>
                <w:rFonts w:ascii="Arial" w:hAnsi="Arial" w:cs="Arial"/>
                <w:sz w:val="20"/>
                <w:szCs w:val="20"/>
              </w:rPr>
            </w:pPr>
            <w:r w:rsidRPr="00FC60F3">
              <w:rPr>
                <w:rFonts w:ascii="Arial" w:hAnsi="Arial" w:cs="Arial"/>
                <w:sz w:val="20"/>
                <w:szCs w:val="20"/>
              </w:rPr>
              <w:t xml:space="preserve">1 time </w:t>
            </w:r>
          </w:p>
        </w:tc>
        <w:tc>
          <w:tcPr>
            <w:tcW w:w="1843" w:type="dxa"/>
          </w:tcPr>
          <w:p w14:paraId="7F3E3557" w14:textId="77777777" w:rsidR="00FC60F3" w:rsidRPr="00FC60F3" w:rsidRDefault="00FC60F3" w:rsidP="00322813">
            <w:pPr>
              <w:rPr>
                <w:rFonts w:ascii="Arial" w:hAnsi="Arial" w:cs="Arial"/>
                <w:sz w:val="20"/>
                <w:szCs w:val="20"/>
              </w:rPr>
            </w:pPr>
            <w:r w:rsidRPr="00FC60F3">
              <w:rPr>
                <w:rFonts w:ascii="Arial" w:hAnsi="Arial" w:cs="Arial"/>
                <w:sz w:val="20"/>
                <w:szCs w:val="20"/>
              </w:rPr>
              <w:t>20 (33,9%)</w:t>
            </w:r>
          </w:p>
        </w:tc>
        <w:tc>
          <w:tcPr>
            <w:tcW w:w="2410" w:type="dxa"/>
          </w:tcPr>
          <w:p w14:paraId="109148F0" w14:textId="77777777" w:rsidR="00FC60F3" w:rsidRPr="00FC60F3" w:rsidRDefault="00FC60F3" w:rsidP="00322813">
            <w:pPr>
              <w:rPr>
                <w:rFonts w:ascii="Arial" w:hAnsi="Arial" w:cs="Arial"/>
                <w:sz w:val="20"/>
                <w:szCs w:val="20"/>
              </w:rPr>
            </w:pPr>
            <w:r w:rsidRPr="00FC60F3">
              <w:rPr>
                <w:rFonts w:ascii="Arial" w:hAnsi="Arial" w:cs="Arial"/>
                <w:sz w:val="20"/>
                <w:szCs w:val="20"/>
              </w:rPr>
              <w:t>18 (30,5%)</w:t>
            </w:r>
          </w:p>
        </w:tc>
        <w:tc>
          <w:tcPr>
            <w:tcW w:w="1701" w:type="dxa"/>
            <w:vMerge w:val="restart"/>
          </w:tcPr>
          <w:p w14:paraId="30A7DC41" w14:textId="77777777" w:rsidR="00FC60F3" w:rsidRPr="00FC60F3" w:rsidRDefault="00FC60F3" w:rsidP="00322813">
            <w:pPr>
              <w:rPr>
                <w:rFonts w:ascii="Arial" w:hAnsi="Arial" w:cs="Arial"/>
                <w:b/>
                <w:bCs/>
                <w:sz w:val="20"/>
                <w:szCs w:val="20"/>
              </w:rPr>
            </w:pPr>
            <w:r w:rsidRPr="00FC60F3">
              <w:rPr>
                <w:rFonts w:ascii="Arial" w:hAnsi="Arial" w:cs="Arial"/>
                <w:b/>
                <w:bCs/>
                <w:sz w:val="20"/>
                <w:szCs w:val="20"/>
              </w:rPr>
              <w:t>0.001</w:t>
            </w:r>
          </w:p>
        </w:tc>
      </w:tr>
      <w:tr w:rsidR="00FC60F3" w:rsidRPr="00FC60F3" w14:paraId="3C12CE9E" w14:textId="77777777" w:rsidTr="00322813">
        <w:tc>
          <w:tcPr>
            <w:tcW w:w="2830" w:type="dxa"/>
          </w:tcPr>
          <w:p w14:paraId="122B685C" w14:textId="77777777" w:rsidR="00FC60F3" w:rsidRPr="00FC60F3" w:rsidRDefault="00FC60F3" w:rsidP="00322813">
            <w:pPr>
              <w:rPr>
                <w:rFonts w:ascii="Arial" w:hAnsi="Arial" w:cs="Arial"/>
                <w:sz w:val="20"/>
                <w:szCs w:val="20"/>
              </w:rPr>
            </w:pPr>
            <w:r w:rsidRPr="00FC60F3">
              <w:rPr>
                <w:rFonts w:ascii="Arial" w:hAnsi="Arial" w:cs="Arial"/>
                <w:sz w:val="20"/>
                <w:szCs w:val="20"/>
              </w:rPr>
              <w:t xml:space="preserve">≥ 2 times </w:t>
            </w:r>
          </w:p>
        </w:tc>
        <w:tc>
          <w:tcPr>
            <w:tcW w:w="1843" w:type="dxa"/>
          </w:tcPr>
          <w:p w14:paraId="264F42E0" w14:textId="77777777" w:rsidR="00FC60F3" w:rsidRPr="00FC60F3" w:rsidRDefault="00FC60F3" w:rsidP="00322813">
            <w:pPr>
              <w:rPr>
                <w:rFonts w:ascii="Arial" w:hAnsi="Arial" w:cs="Arial"/>
                <w:sz w:val="20"/>
                <w:szCs w:val="20"/>
              </w:rPr>
            </w:pPr>
            <w:r w:rsidRPr="00FC60F3">
              <w:rPr>
                <w:rFonts w:ascii="Arial" w:hAnsi="Arial" w:cs="Arial"/>
                <w:sz w:val="20"/>
                <w:szCs w:val="20"/>
              </w:rPr>
              <w:t>21 (35,6%)</w:t>
            </w:r>
          </w:p>
        </w:tc>
        <w:tc>
          <w:tcPr>
            <w:tcW w:w="2410" w:type="dxa"/>
          </w:tcPr>
          <w:p w14:paraId="49C560B8" w14:textId="77777777" w:rsidR="00FC60F3" w:rsidRPr="00FC60F3" w:rsidRDefault="00FC60F3" w:rsidP="00322813">
            <w:pPr>
              <w:rPr>
                <w:rFonts w:ascii="Arial" w:hAnsi="Arial" w:cs="Arial"/>
                <w:sz w:val="20"/>
                <w:szCs w:val="20"/>
              </w:rPr>
            </w:pPr>
            <w:r w:rsidRPr="00FC60F3">
              <w:rPr>
                <w:rFonts w:ascii="Arial" w:hAnsi="Arial" w:cs="Arial"/>
                <w:sz w:val="20"/>
                <w:szCs w:val="20"/>
              </w:rPr>
              <w:t>0 (0%)</w:t>
            </w:r>
          </w:p>
        </w:tc>
        <w:tc>
          <w:tcPr>
            <w:tcW w:w="1701" w:type="dxa"/>
            <w:vMerge/>
          </w:tcPr>
          <w:p w14:paraId="341C486A" w14:textId="77777777" w:rsidR="00FC60F3" w:rsidRPr="00FC60F3" w:rsidRDefault="00FC60F3" w:rsidP="00322813">
            <w:pPr>
              <w:rPr>
                <w:rFonts w:ascii="Arial" w:hAnsi="Arial" w:cs="Arial"/>
                <w:sz w:val="20"/>
                <w:szCs w:val="20"/>
              </w:rPr>
            </w:pPr>
          </w:p>
        </w:tc>
      </w:tr>
      <w:tr w:rsidR="00FC60F3" w:rsidRPr="00FC60F3" w14:paraId="2430EC89" w14:textId="77777777" w:rsidTr="00322813">
        <w:tc>
          <w:tcPr>
            <w:tcW w:w="2830" w:type="dxa"/>
          </w:tcPr>
          <w:p w14:paraId="388D6182" w14:textId="77777777" w:rsidR="00FC60F3" w:rsidRPr="00FC60F3" w:rsidRDefault="00FC60F3" w:rsidP="00322813">
            <w:pPr>
              <w:rPr>
                <w:rFonts w:ascii="Arial" w:hAnsi="Arial" w:cs="Arial"/>
                <w:sz w:val="20"/>
                <w:szCs w:val="20"/>
              </w:rPr>
            </w:pPr>
            <w:r w:rsidRPr="00FC60F3">
              <w:rPr>
                <w:rFonts w:ascii="Arial" w:hAnsi="Arial" w:cs="Arial"/>
                <w:b/>
                <w:bCs/>
                <w:sz w:val="20"/>
                <w:szCs w:val="20"/>
              </w:rPr>
              <w:t>Total</w:t>
            </w:r>
            <w:r w:rsidRPr="00FC60F3">
              <w:rPr>
                <w:rFonts w:ascii="Arial" w:hAnsi="Arial" w:cs="Arial"/>
                <w:sz w:val="20"/>
                <w:szCs w:val="20"/>
              </w:rPr>
              <w:t xml:space="preserve"> </w:t>
            </w:r>
          </w:p>
        </w:tc>
        <w:tc>
          <w:tcPr>
            <w:tcW w:w="1843" w:type="dxa"/>
          </w:tcPr>
          <w:p w14:paraId="22E29776" w14:textId="77777777" w:rsidR="00FC60F3" w:rsidRPr="00FC60F3" w:rsidRDefault="00FC60F3" w:rsidP="00322813">
            <w:pPr>
              <w:rPr>
                <w:rFonts w:ascii="Arial" w:hAnsi="Arial" w:cs="Arial"/>
                <w:b/>
                <w:bCs/>
                <w:sz w:val="20"/>
                <w:szCs w:val="20"/>
              </w:rPr>
            </w:pPr>
            <w:r w:rsidRPr="00FC60F3">
              <w:rPr>
                <w:rFonts w:ascii="Arial" w:hAnsi="Arial" w:cs="Arial"/>
                <w:b/>
                <w:bCs/>
                <w:sz w:val="20"/>
                <w:szCs w:val="20"/>
              </w:rPr>
              <w:t>41 (69,5%)</w:t>
            </w:r>
          </w:p>
        </w:tc>
        <w:tc>
          <w:tcPr>
            <w:tcW w:w="2410" w:type="dxa"/>
          </w:tcPr>
          <w:p w14:paraId="69D95E89" w14:textId="77777777" w:rsidR="00FC60F3" w:rsidRPr="00FC60F3" w:rsidRDefault="00FC60F3" w:rsidP="00322813">
            <w:pPr>
              <w:rPr>
                <w:rFonts w:ascii="Arial" w:hAnsi="Arial" w:cs="Arial"/>
                <w:b/>
                <w:bCs/>
                <w:sz w:val="20"/>
                <w:szCs w:val="20"/>
              </w:rPr>
            </w:pPr>
            <w:r w:rsidRPr="00FC60F3">
              <w:rPr>
                <w:rFonts w:ascii="Arial" w:hAnsi="Arial" w:cs="Arial"/>
                <w:b/>
                <w:bCs/>
                <w:sz w:val="20"/>
                <w:szCs w:val="20"/>
              </w:rPr>
              <w:t>18 (30,5%)</w:t>
            </w:r>
          </w:p>
        </w:tc>
        <w:tc>
          <w:tcPr>
            <w:tcW w:w="1701" w:type="dxa"/>
            <w:vMerge/>
          </w:tcPr>
          <w:p w14:paraId="530C9159" w14:textId="77777777" w:rsidR="00FC60F3" w:rsidRPr="00FC60F3" w:rsidRDefault="00FC60F3" w:rsidP="00322813">
            <w:pPr>
              <w:rPr>
                <w:rFonts w:ascii="Arial" w:hAnsi="Arial" w:cs="Arial"/>
                <w:sz w:val="20"/>
                <w:szCs w:val="20"/>
              </w:rPr>
            </w:pPr>
          </w:p>
        </w:tc>
      </w:tr>
    </w:tbl>
    <w:p w14:paraId="03EEF826" w14:textId="77777777" w:rsidR="00FC60F3" w:rsidRPr="00FC60F3" w:rsidRDefault="00FC60F3" w:rsidP="00FC60F3">
      <w:pPr>
        <w:ind w:firstLine="720"/>
        <w:jc w:val="both"/>
        <w:rPr>
          <w:rFonts w:ascii="Arial" w:hAnsi="Arial" w:cs="Arial"/>
        </w:rPr>
      </w:pPr>
      <w:r w:rsidRPr="00FC60F3">
        <w:rPr>
          <w:rFonts w:ascii="Arial" w:hAnsi="Arial" w:cs="Arial"/>
        </w:rPr>
        <w:t xml:space="preserve"> </w:t>
      </w:r>
      <w:r w:rsidRPr="00FC60F3">
        <w:rPr>
          <w:rFonts w:ascii="Arial" w:hAnsi="Arial" w:cs="Arial"/>
          <w:i/>
          <w:iCs/>
        </w:rPr>
        <w:t>Observation:</w:t>
      </w:r>
      <w:r w:rsidRPr="00FC60F3">
        <w:rPr>
          <w:rFonts w:ascii="Arial" w:hAnsi="Arial" w:cs="Arial"/>
        </w:rPr>
        <w:t xml:space="preserve"> A significant association was found between elevated IL-6 and the annual hospitalization rate (</w:t>
      </w:r>
      <w:r w:rsidRPr="00FC60F3">
        <w:rPr>
          <w:rFonts w:ascii="Arial" w:hAnsi="Arial" w:cs="Arial"/>
          <w:i/>
          <w:iCs/>
        </w:rPr>
        <w:t>p</w:t>
      </w:r>
      <w:r w:rsidRPr="00FC60F3">
        <w:rPr>
          <w:rFonts w:ascii="Arial" w:hAnsi="Arial" w:cs="Arial"/>
        </w:rPr>
        <w:t xml:space="preserve"> = 0.001). Patients with elevated IL-6 had a higher frequency of hospitalization.</w:t>
      </w:r>
    </w:p>
    <w:p w14:paraId="01B27C03" w14:textId="77777777" w:rsidR="00FC60F3" w:rsidRPr="00FC60F3" w:rsidRDefault="00FC60F3" w:rsidP="00FC60F3">
      <w:pPr>
        <w:jc w:val="both"/>
        <w:rPr>
          <w:rFonts w:ascii="Arial" w:hAnsi="Arial" w:cs="Arial"/>
        </w:rPr>
      </w:pPr>
      <w:r w:rsidRPr="00FC60F3">
        <w:rPr>
          <w:rFonts w:ascii="Arial" w:hAnsi="Arial" w:cs="Arial"/>
        </w:rPr>
        <w:t xml:space="preserve">Table 8: Association between Elevated IL-6 and frequency of acute asthma attacks </w:t>
      </w:r>
    </w:p>
    <w:tbl>
      <w:tblPr>
        <w:tblStyle w:val="TableGrid"/>
        <w:tblW w:w="0" w:type="auto"/>
        <w:tblLook w:val="04A0" w:firstRow="1" w:lastRow="0" w:firstColumn="1" w:lastColumn="0" w:noHBand="0" w:noVBand="1"/>
      </w:tblPr>
      <w:tblGrid>
        <w:gridCol w:w="2830"/>
        <w:gridCol w:w="1843"/>
        <w:gridCol w:w="2410"/>
        <w:gridCol w:w="1701"/>
      </w:tblGrid>
      <w:tr w:rsidR="00FC60F3" w:rsidRPr="00FC60F3" w14:paraId="1FDF7EA3" w14:textId="77777777" w:rsidTr="00322813">
        <w:trPr>
          <w:trHeight w:val="1309"/>
        </w:trPr>
        <w:tc>
          <w:tcPr>
            <w:tcW w:w="2830" w:type="dxa"/>
            <w:tcBorders>
              <w:tl2br w:val="single" w:sz="4" w:space="0" w:color="auto"/>
            </w:tcBorders>
          </w:tcPr>
          <w:p w14:paraId="374C2707" w14:textId="77777777" w:rsidR="00FC60F3" w:rsidRPr="00FC60F3" w:rsidRDefault="00FC60F3" w:rsidP="00322813">
            <w:pPr>
              <w:rPr>
                <w:rFonts w:ascii="Arial" w:hAnsi="Arial" w:cs="Arial"/>
                <w:b/>
                <w:bCs/>
                <w:sz w:val="20"/>
                <w:szCs w:val="20"/>
              </w:rPr>
            </w:pPr>
            <w:r w:rsidRPr="00FC60F3">
              <w:rPr>
                <w:rFonts w:ascii="Arial" w:hAnsi="Arial" w:cs="Arial"/>
                <w:sz w:val="20"/>
                <w:szCs w:val="20"/>
              </w:rPr>
              <w:t xml:space="preserve">                            </w:t>
            </w:r>
            <w:r w:rsidRPr="00FC60F3">
              <w:rPr>
                <w:rFonts w:ascii="Arial" w:hAnsi="Arial" w:cs="Arial"/>
                <w:b/>
                <w:bCs/>
                <w:sz w:val="20"/>
                <w:szCs w:val="20"/>
              </w:rPr>
              <w:t>IL-6</w:t>
            </w:r>
          </w:p>
          <w:p w14:paraId="7F820A43" w14:textId="77777777" w:rsidR="00FC60F3" w:rsidRPr="00FC60F3" w:rsidRDefault="00FC60F3" w:rsidP="00322813">
            <w:pPr>
              <w:rPr>
                <w:rFonts w:ascii="Arial" w:hAnsi="Arial" w:cs="Arial"/>
                <w:b/>
                <w:bCs/>
                <w:sz w:val="20"/>
                <w:szCs w:val="20"/>
              </w:rPr>
            </w:pPr>
          </w:p>
          <w:p w14:paraId="3AD0B190" w14:textId="77777777" w:rsidR="00FC60F3" w:rsidRPr="00FC60F3" w:rsidRDefault="00FC60F3" w:rsidP="00322813">
            <w:pPr>
              <w:rPr>
                <w:rFonts w:ascii="Arial" w:hAnsi="Arial" w:cs="Arial"/>
                <w:b/>
                <w:bCs/>
                <w:sz w:val="20"/>
                <w:szCs w:val="20"/>
              </w:rPr>
            </w:pPr>
          </w:p>
          <w:p w14:paraId="7338B9A6" w14:textId="77777777" w:rsidR="00FC60F3" w:rsidRPr="00FC60F3" w:rsidRDefault="00FC60F3" w:rsidP="00322813">
            <w:pPr>
              <w:rPr>
                <w:rFonts w:ascii="Arial" w:hAnsi="Arial" w:cs="Arial"/>
                <w:b/>
                <w:bCs/>
                <w:sz w:val="20"/>
                <w:szCs w:val="20"/>
              </w:rPr>
            </w:pPr>
          </w:p>
          <w:p w14:paraId="62371B6D" w14:textId="77777777" w:rsidR="00FC60F3" w:rsidRPr="00FC60F3" w:rsidRDefault="00FC60F3" w:rsidP="00322813">
            <w:pPr>
              <w:rPr>
                <w:rFonts w:ascii="Arial" w:hAnsi="Arial" w:cs="Arial"/>
                <w:b/>
                <w:bCs/>
                <w:sz w:val="20"/>
                <w:szCs w:val="20"/>
              </w:rPr>
            </w:pPr>
            <w:r w:rsidRPr="00FC60F3">
              <w:rPr>
                <w:rFonts w:ascii="Arial" w:hAnsi="Arial" w:cs="Arial"/>
                <w:b/>
                <w:bCs/>
                <w:sz w:val="20"/>
                <w:szCs w:val="20"/>
              </w:rPr>
              <w:t>Acute Attacks</w:t>
            </w:r>
          </w:p>
          <w:p w14:paraId="772403D4" w14:textId="77777777" w:rsidR="00FC60F3" w:rsidRPr="00FC60F3" w:rsidRDefault="00FC60F3" w:rsidP="00322813">
            <w:pPr>
              <w:rPr>
                <w:rFonts w:ascii="Arial" w:hAnsi="Arial" w:cs="Arial"/>
                <w:sz w:val="20"/>
                <w:szCs w:val="20"/>
              </w:rPr>
            </w:pPr>
            <w:r w:rsidRPr="00FC60F3">
              <w:rPr>
                <w:rFonts w:ascii="Arial" w:hAnsi="Arial" w:cs="Arial"/>
                <w:b/>
                <w:bCs/>
                <w:sz w:val="20"/>
                <w:szCs w:val="20"/>
              </w:rPr>
              <w:t xml:space="preserve"> (Clinic Visits) </w:t>
            </w:r>
          </w:p>
        </w:tc>
        <w:tc>
          <w:tcPr>
            <w:tcW w:w="1843" w:type="dxa"/>
          </w:tcPr>
          <w:p w14:paraId="3BB3D70C" w14:textId="77777777" w:rsidR="00FC60F3" w:rsidRPr="00FC60F3" w:rsidRDefault="00FC60F3" w:rsidP="00322813">
            <w:pPr>
              <w:rPr>
                <w:rFonts w:ascii="Arial" w:hAnsi="Arial" w:cs="Arial"/>
                <w:sz w:val="20"/>
                <w:szCs w:val="20"/>
              </w:rPr>
            </w:pPr>
            <w:r w:rsidRPr="00FC60F3">
              <w:rPr>
                <w:rFonts w:ascii="Arial" w:hAnsi="Arial" w:cs="Arial"/>
                <w:b/>
                <w:bCs/>
                <w:sz w:val="20"/>
                <w:szCs w:val="20"/>
              </w:rPr>
              <w:t xml:space="preserve">Elevated </w:t>
            </w:r>
          </w:p>
        </w:tc>
        <w:tc>
          <w:tcPr>
            <w:tcW w:w="2410" w:type="dxa"/>
          </w:tcPr>
          <w:p w14:paraId="7D4DCB16" w14:textId="77777777" w:rsidR="00FC60F3" w:rsidRPr="00FC60F3" w:rsidRDefault="00FC60F3" w:rsidP="00322813">
            <w:pPr>
              <w:rPr>
                <w:rFonts w:ascii="Arial" w:hAnsi="Arial" w:cs="Arial"/>
                <w:sz w:val="20"/>
                <w:szCs w:val="20"/>
              </w:rPr>
            </w:pPr>
            <w:r w:rsidRPr="00FC60F3">
              <w:rPr>
                <w:rFonts w:ascii="Arial" w:hAnsi="Arial" w:cs="Arial"/>
                <w:b/>
                <w:bCs/>
                <w:sz w:val="20"/>
                <w:szCs w:val="20"/>
              </w:rPr>
              <w:t xml:space="preserve">Not Elevated </w:t>
            </w:r>
          </w:p>
        </w:tc>
        <w:tc>
          <w:tcPr>
            <w:tcW w:w="1701" w:type="dxa"/>
          </w:tcPr>
          <w:p w14:paraId="2C750221" w14:textId="77777777" w:rsidR="00FC60F3" w:rsidRPr="00FC60F3" w:rsidRDefault="00FC60F3" w:rsidP="00322813">
            <w:pPr>
              <w:rPr>
                <w:rFonts w:ascii="Arial" w:hAnsi="Arial" w:cs="Arial"/>
                <w:sz w:val="20"/>
                <w:szCs w:val="20"/>
              </w:rPr>
            </w:pPr>
            <w:r w:rsidRPr="00FC60F3">
              <w:rPr>
                <w:rFonts w:ascii="Arial" w:hAnsi="Arial" w:cs="Arial"/>
                <w:b/>
                <w:bCs/>
                <w:sz w:val="20"/>
                <w:szCs w:val="20"/>
              </w:rPr>
              <w:t xml:space="preserve">p-value </w:t>
            </w:r>
          </w:p>
        </w:tc>
      </w:tr>
      <w:tr w:rsidR="00FC60F3" w:rsidRPr="00FC60F3" w14:paraId="29517341" w14:textId="77777777" w:rsidTr="00322813">
        <w:tc>
          <w:tcPr>
            <w:tcW w:w="2830" w:type="dxa"/>
          </w:tcPr>
          <w:p w14:paraId="5C09F41A" w14:textId="77777777" w:rsidR="00FC60F3" w:rsidRPr="00FC60F3" w:rsidRDefault="00FC60F3" w:rsidP="00322813">
            <w:pPr>
              <w:rPr>
                <w:rFonts w:ascii="Arial" w:hAnsi="Arial" w:cs="Arial"/>
                <w:sz w:val="20"/>
                <w:szCs w:val="20"/>
              </w:rPr>
            </w:pPr>
            <w:r w:rsidRPr="00FC60F3">
              <w:rPr>
                <w:rFonts w:ascii="Arial" w:hAnsi="Arial" w:cs="Arial"/>
                <w:sz w:val="20"/>
                <w:szCs w:val="20"/>
              </w:rPr>
              <w:t>None</w:t>
            </w:r>
          </w:p>
        </w:tc>
        <w:tc>
          <w:tcPr>
            <w:tcW w:w="1843" w:type="dxa"/>
          </w:tcPr>
          <w:p w14:paraId="04E66ED4" w14:textId="77777777" w:rsidR="00FC60F3" w:rsidRPr="00FC60F3" w:rsidRDefault="00FC60F3" w:rsidP="00322813">
            <w:pPr>
              <w:rPr>
                <w:rFonts w:ascii="Arial" w:hAnsi="Arial" w:cs="Arial"/>
                <w:sz w:val="20"/>
                <w:szCs w:val="20"/>
              </w:rPr>
            </w:pPr>
            <w:r w:rsidRPr="00FC60F3">
              <w:rPr>
                <w:rFonts w:ascii="Arial" w:hAnsi="Arial" w:cs="Arial"/>
                <w:sz w:val="20"/>
                <w:szCs w:val="20"/>
              </w:rPr>
              <w:t>11 (18,6%)</w:t>
            </w:r>
          </w:p>
        </w:tc>
        <w:tc>
          <w:tcPr>
            <w:tcW w:w="2410" w:type="dxa"/>
          </w:tcPr>
          <w:p w14:paraId="17366547" w14:textId="77777777" w:rsidR="00FC60F3" w:rsidRPr="00FC60F3" w:rsidRDefault="00FC60F3" w:rsidP="00322813">
            <w:pPr>
              <w:rPr>
                <w:rFonts w:ascii="Arial" w:hAnsi="Arial" w:cs="Arial"/>
                <w:sz w:val="20"/>
                <w:szCs w:val="20"/>
              </w:rPr>
            </w:pPr>
            <w:r w:rsidRPr="00FC60F3">
              <w:rPr>
                <w:rFonts w:ascii="Arial" w:hAnsi="Arial" w:cs="Arial"/>
                <w:sz w:val="20"/>
                <w:szCs w:val="20"/>
              </w:rPr>
              <w:t>12 (20,3%)</w:t>
            </w:r>
          </w:p>
        </w:tc>
        <w:tc>
          <w:tcPr>
            <w:tcW w:w="1701" w:type="dxa"/>
            <w:vMerge w:val="restart"/>
          </w:tcPr>
          <w:p w14:paraId="1CD8195B" w14:textId="77777777" w:rsidR="00FC60F3" w:rsidRPr="00FC60F3" w:rsidRDefault="00FC60F3" w:rsidP="00322813">
            <w:pPr>
              <w:rPr>
                <w:rFonts w:ascii="Arial" w:hAnsi="Arial" w:cs="Arial"/>
                <w:b/>
                <w:bCs/>
                <w:sz w:val="20"/>
                <w:szCs w:val="20"/>
              </w:rPr>
            </w:pPr>
            <w:r w:rsidRPr="00FC60F3">
              <w:rPr>
                <w:rFonts w:ascii="Arial" w:hAnsi="Arial" w:cs="Arial"/>
                <w:b/>
                <w:bCs/>
                <w:sz w:val="20"/>
                <w:szCs w:val="20"/>
              </w:rPr>
              <w:t>0,011</w:t>
            </w:r>
          </w:p>
        </w:tc>
      </w:tr>
      <w:tr w:rsidR="00FC60F3" w:rsidRPr="00FC60F3" w14:paraId="69F80A33" w14:textId="77777777" w:rsidTr="00322813">
        <w:tc>
          <w:tcPr>
            <w:tcW w:w="2830" w:type="dxa"/>
          </w:tcPr>
          <w:p w14:paraId="34BF4B1F" w14:textId="77777777" w:rsidR="00FC60F3" w:rsidRPr="00FC60F3" w:rsidRDefault="00FC60F3" w:rsidP="00322813">
            <w:pPr>
              <w:rPr>
                <w:rFonts w:ascii="Arial" w:hAnsi="Arial" w:cs="Arial"/>
                <w:sz w:val="20"/>
                <w:szCs w:val="20"/>
              </w:rPr>
            </w:pPr>
            <w:r w:rsidRPr="00FC60F3">
              <w:rPr>
                <w:rFonts w:ascii="Arial" w:hAnsi="Arial" w:cs="Arial"/>
                <w:sz w:val="20"/>
                <w:szCs w:val="20"/>
              </w:rPr>
              <w:t>1-2 times</w:t>
            </w:r>
          </w:p>
        </w:tc>
        <w:tc>
          <w:tcPr>
            <w:tcW w:w="1843" w:type="dxa"/>
          </w:tcPr>
          <w:p w14:paraId="29B1BB2E" w14:textId="77777777" w:rsidR="00FC60F3" w:rsidRPr="00FC60F3" w:rsidRDefault="00FC60F3" w:rsidP="00322813">
            <w:pPr>
              <w:rPr>
                <w:rFonts w:ascii="Arial" w:hAnsi="Arial" w:cs="Arial"/>
                <w:sz w:val="20"/>
                <w:szCs w:val="20"/>
              </w:rPr>
            </w:pPr>
            <w:r w:rsidRPr="00FC60F3">
              <w:rPr>
                <w:rFonts w:ascii="Arial" w:hAnsi="Arial" w:cs="Arial"/>
                <w:sz w:val="20"/>
                <w:szCs w:val="20"/>
              </w:rPr>
              <w:t>19 (32,2%)</w:t>
            </w:r>
          </w:p>
        </w:tc>
        <w:tc>
          <w:tcPr>
            <w:tcW w:w="2410" w:type="dxa"/>
          </w:tcPr>
          <w:p w14:paraId="2266A22A" w14:textId="77777777" w:rsidR="00FC60F3" w:rsidRPr="00FC60F3" w:rsidRDefault="00FC60F3" w:rsidP="00322813">
            <w:pPr>
              <w:rPr>
                <w:rFonts w:ascii="Arial" w:hAnsi="Arial" w:cs="Arial"/>
                <w:sz w:val="20"/>
                <w:szCs w:val="20"/>
              </w:rPr>
            </w:pPr>
            <w:r w:rsidRPr="00FC60F3">
              <w:rPr>
                <w:rFonts w:ascii="Arial" w:hAnsi="Arial" w:cs="Arial"/>
                <w:sz w:val="20"/>
                <w:szCs w:val="20"/>
              </w:rPr>
              <w:t>5 (8,5%)</w:t>
            </w:r>
          </w:p>
        </w:tc>
        <w:tc>
          <w:tcPr>
            <w:tcW w:w="1701" w:type="dxa"/>
            <w:vMerge/>
          </w:tcPr>
          <w:p w14:paraId="5667DF8D" w14:textId="77777777" w:rsidR="00FC60F3" w:rsidRPr="00FC60F3" w:rsidRDefault="00FC60F3" w:rsidP="00322813">
            <w:pPr>
              <w:rPr>
                <w:rFonts w:ascii="Arial" w:hAnsi="Arial" w:cs="Arial"/>
                <w:sz w:val="20"/>
                <w:szCs w:val="20"/>
              </w:rPr>
            </w:pPr>
          </w:p>
        </w:tc>
      </w:tr>
      <w:tr w:rsidR="00FC60F3" w:rsidRPr="00FC60F3" w14:paraId="1462AA8E" w14:textId="77777777" w:rsidTr="00322813">
        <w:tc>
          <w:tcPr>
            <w:tcW w:w="2830" w:type="dxa"/>
          </w:tcPr>
          <w:p w14:paraId="6BAC2888" w14:textId="77777777" w:rsidR="00FC60F3" w:rsidRPr="00FC60F3" w:rsidRDefault="00FC60F3" w:rsidP="00322813">
            <w:pPr>
              <w:rPr>
                <w:rFonts w:ascii="Arial" w:hAnsi="Arial" w:cs="Arial"/>
                <w:sz w:val="20"/>
                <w:szCs w:val="20"/>
              </w:rPr>
            </w:pPr>
            <w:r w:rsidRPr="00FC60F3">
              <w:rPr>
                <w:rFonts w:ascii="Arial" w:hAnsi="Arial" w:cs="Arial"/>
                <w:sz w:val="20"/>
                <w:szCs w:val="20"/>
              </w:rPr>
              <w:t xml:space="preserve">&gt; 2 times </w:t>
            </w:r>
          </w:p>
        </w:tc>
        <w:tc>
          <w:tcPr>
            <w:tcW w:w="1843" w:type="dxa"/>
          </w:tcPr>
          <w:p w14:paraId="469BD9B9" w14:textId="77777777" w:rsidR="00FC60F3" w:rsidRPr="00FC60F3" w:rsidRDefault="00FC60F3" w:rsidP="00322813">
            <w:pPr>
              <w:rPr>
                <w:rFonts w:ascii="Arial" w:hAnsi="Arial" w:cs="Arial"/>
                <w:sz w:val="20"/>
                <w:szCs w:val="20"/>
              </w:rPr>
            </w:pPr>
            <w:r w:rsidRPr="00FC60F3">
              <w:rPr>
                <w:rFonts w:ascii="Arial" w:hAnsi="Arial" w:cs="Arial"/>
                <w:sz w:val="20"/>
                <w:szCs w:val="20"/>
              </w:rPr>
              <w:t>11 (18,6%)</w:t>
            </w:r>
          </w:p>
        </w:tc>
        <w:tc>
          <w:tcPr>
            <w:tcW w:w="2410" w:type="dxa"/>
          </w:tcPr>
          <w:p w14:paraId="63FC72D5" w14:textId="77777777" w:rsidR="00FC60F3" w:rsidRPr="00FC60F3" w:rsidRDefault="00FC60F3" w:rsidP="00322813">
            <w:pPr>
              <w:rPr>
                <w:rFonts w:ascii="Arial" w:hAnsi="Arial" w:cs="Arial"/>
                <w:sz w:val="20"/>
                <w:szCs w:val="20"/>
              </w:rPr>
            </w:pPr>
            <w:r w:rsidRPr="00FC60F3">
              <w:rPr>
                <w:rFonts w:ascii="Arial" w:hAnsi="Arial" w:cs="Arial"/>
                <w:sz w:val="20"/>
                <w:szCs w:val="20"/>
              </w:rPr>
              <w:t>1 (1,7%)</w:t>
            </w:r>
          </w:p>
        </w:tc>
        <w:tc>
          <w:tcPr>
            <w:tcW w:w="1701" w:type="dxa"/>
            <w:vMerge/>
          </w:tcPr>
          <w:p w14:paraId="66CE5368" w14:textId="77777777" w:rsidR="00FC60F3" w:rsidRPr="00FC60F3" w:rsidRDefault="00FC60F3" w:rsidP="00322813">
            <w:pPr>
              <w:rPr>
                <w:rFonts w:ascii="Arial" w:hAnsi="Arial" w:cs="Arial"/>
                <w:sz w:val="20"/>
                <w:szCs w:val="20"/>
              </w:rPr>
            </w:pPr>
          </w:p>
        </w:tc>
      </w:tr>
      <w:tr w:rsidR="00FC60F3" w:rsidRPr="00FC60F3" w14:paraId="1C91AF52" w14:textId="77777777" w:rsidTr="00322813">
        <w:tc>
          <w:tcPr>
            <w:tcW w:w="2830" w:type="dxa"/>
          </w:tcPr>
          <w:p w14:paraId="2835C109" w14:textId="77777777" w:rsidR="00FC60F3" w:rsidRPr="00FC60F3" w:rsidRDefault="00FC60F3" w:rsidP="00322813">
            <w:pPr>
              <w:rPr>
                <w:rFonts w:ascii="Arial" w:hAnsi="Arial" w:cs="Arial"/>
                <w:sz w:val="20"/>
                <w:szCs w:val="20"/>
              </w:rPr>
            </w:pPr>
            <w:r w:rsidRPr="00FC60F3">
              <w:rPr>
                <w:rFonts w:ascii="Arial" w:hAnsi="Arial" w:cs="Arial"/>
                <w:b/>
                <w:bCs/>
                <w:sz w:val="20"/>
                <w:szCs w:val="20"/>
              </w:rPr>
              <w:t>Total</w:t>
            </w:r>
          </w:p>
        </w:tc>
        <w:tc>
          <w:tcPr>
            <w:tcW w:w="1843" w:type="dxa"/>
          </w:tcPr>
          <w:p w14:paraId="313B39A2" w14:textId="77777777" w:rsidR="00FC60F3" w:rsidRPr="00FC60F3" w:rsidRDefault="00FC60F3" w:rsidP="00322813">
            <w:pPr>
              <w:rPr>
                <w:rFonts w:ascii="Arial" w:hAnsi="Arial" w:cs="Arial"/>
                <w:b/>
                <w:bCs/>
                <w:sz w:val="20"/>
                <w:szCs w:val="20"/>
              </w:rPr>
            </w:pPr>
            <w:r w:rsidRPr="00FC60F3">
              <w:rPr>
                <w:rFonts w:ascii="Arial" w:hAnsi="Arial" w:cs="Arial"/>
                <w:b/>
                <w:bCs/>
                <w:sz w:val="20"/>
                <w:szCs w:val="20"/>
              </w:rPr>
              <w:t>41 (69,5%)</w:t>
            </w:r>
          </w:p>
        </w:tc>
        <w:tc>
          <w:tcPr>
            <w:tcW w:w="2410" w:type="dxa"/>
          </w:tcPr>
          <w:p w14:paraId="481EBAA4" w14:textId="77777777" w:rsidR="00FC60F3" w:rsidRPr="00FC60F3" w:rsidRDefault="00FC60F3" w:rsidP="00322813">
            <w:pPr>
              <w:rPr>
                <w:rFonts w:ascii="Arial" w:hAnsi="Arial" w:cs="Arial"/>
                <w:b/>
                <w:bCs/>
                <w:sz w:val="20"/>
                <w:szCs w:val="20"/>
              </w:rPr>
            </w:pPr>
            <w:r w:rsidRPr="00FC60F3">
              <w:rPr>
                <w:rFonts w:ascii="Arial" w:hAnsi="Arial" w:cs="Arial"/>
                <w:b/>
                <w:bCs/>
                <w:sz w:val="20"/>
                <w:szCs w:val="20"/>
              </w:rPr>
              <w:t>18 (30,5%)</w:t>
            </w:r>
          </w:p>
        </w:tc>
        <w:tc>
          <w:tcPr>
            <w:tcW w:w="1701" w:type="dxa"/>
            <w:vMerge/>
          </w:tcPr>
          <w:p w14:paraId="5DEB07A8" w14:textId="77777777" w:rsidR="00FC60F3" w:rsidRPr="00FC60F3" w:rsidRDefault="00FC60F3" w:rsidP="00322813">
            <w:pPr>
              <w:rPr>
                <w:rFonts w:ascii="Arial" w:hAnsi="Arial" w:cs="Arial"/>
                <w:sz w:val="20"/>
                <w:szCs w:val="20"/>
              </w:rPr>
            </w:pPr>
          </w:p>
        </w:tc>
      </w:tr>
    </w:tbl>
    <w:p w14:paraId="1BFF96DC" w14:textId="77777777" w:rsidR="00FC60F3" w:rsidRPr="00FC60F3" w:rsidRDefault="00FC60F3" w:rsidP="00FC60F3">
      <w:pPr>
        <w:ind w:firstLine="720"/>
        <w:jc w:val="both"/>
        <w:rPr>
          <w:rFonts w:ascii="Arial" w:hAnsi="Arial" w:cs="Arial"/>
        </w:rPr>
      </w:pPr>
      <w:r w:rsidRPr="00FC60F3">
        <w:rPr>
          <w:rFonts w:ascii="Arial" w:hAnsi="Arial" w:cs="Arial"/>
          <w:i/>
          <w:iCs/>
        </w:rPr>
        <w:t>Observation:</w:t>
      </w:r>
      <w:r w:rsidRPr="00FC60F3">
        <w:rPr>
          <w:rFonts w:ascii="Arial" w:hAnsi="Arial" w:cs="Arial"/>
        </w:rPr>
        <w:t xml:space="preserve"> There was a significant association between elevated IL-6 and the frequency of acute asthma attacks requiring clinic visits (</w:t>
      </w:r>
      <w:r w:rsidRPr="00FC60F3">
        <w:rPr>
          <w:rFonts w:ascii="Arial" w:hAnsi="Arial" w:cs="Arial"/>
          <w:i/>
          <w:iCs/>
        </w:rPr>
        <w:t>p</w:t>
      </w:r>
      <w:r w:rsidRPr="00FC60F3">
        <w:rPr>
          <w:rFonts w:ascii="Arial" w:hAnsi="Arial" w:cs="Arial"/>
        </w:rPr>
        <w:t xml:space="preserve"> = 0.011).</w:t>
      </w:r>
    </w:p>
    <w:p w14:paraId="374B46FF" w14:textId="77777777" w:rsidR="00FC60F3" w:rsidRPr="00FC60F3" w:rsidRDefault="00FC60F3" w:rsidP="00FC60F3">
      <w:pPr>
        <w:jc w:val="both"/>
        <w:rPr>
          <w:rFonts w:ascii="Arial" w:hAnsi="Arial" w:cs="Arial"/>
        </w:rPr>
      </w:pPr>
      <w:r w:rsidRPr="00FC60F3">
        <w:rPr>
          <w:rFonts w:ascii="Arial" w:hAnsi="Arial" w:cs="Arial"/>
        </w:rPr>
        <w:lastRenderedPageBreak/>
        <w:t xml:space="preserve">Table 9: Association between Elevated IL-6 and severity of acute asthma attack </w:t>
      </w:r>
    </w:p>
    <w:tbl>
      <w:tblPr>
        <w:tblStyle w:val="TableGrid"/>
        <w:tblW w:w="0" w:type="auto"/>
        <w:tblLook w:val="04A0" w:firstRow="1" w:lastRow="0" w:firstColumn="1" w:lastColumn="0" w:noHBand="0" w:noVBand="1"/>
      </w:tblPr>
      <w:tblGrid>
        <w:gridCol w:w="2830"/>
        <w:gridCol w:w="1843"/>
        <w:gridCol w:w="2410"/>
        <w:gridCol w:w="1701"/>
      </w:tblGrid>
      <w:tr w:rsidR="00FC60F3" w:rsidRPr="00FC60F3" w14:paraId="750A6FB6" w14:textId="77777777" w:rsidTr="00322813">
        <w:trPr>
          <w:trHeight w:val="912"/>
        </w:trPr>
        <w:tc>
          <w:tcPr>
            <w:tcW w:w="2830" w:type="dxa"/>
            <w:tcBorders>
              <w:tl2br w:val="single" w:sz="4" w:space="0" w:color="auto"/>
            </w:tcBorders>
          </w:tcPr>
          <w:p w14:paraId="5DEF6CA4" w14:textId="77777777" w:rsidR="00FC60F3" w:rsidRPr="00FC60F3" w:rsidRDefault="00FC60F3" w:rsidP="00322813">
            <w:pPr>
              <w:rPr>
                <w:rFonts w:ascii="Arial" w:hAnsi="Arial" w:cs="Arial"/>
                <w:b/>
                <w:bCs/>
                <w:sz w:val="20"/>
                <w:szCs w:val="20"/>
              </w:rPr>
            </w:pPr>
            <w:r w:rsidRPr="00FC60F3">
              <w:rPr>
                <w:rFonts w:ascii="Arial" w:hAnsi="Arial" w:cs="Arial"/>
                <w:b/>
                <w:bCs/>
                <w:sz w:val="20"/>
                <w:szCs w:val="20"/>
              </w:rPr>
              <w:t xml:space="preserve">                           IL-6</w:t>
            </w:r>
          </w:p>
          <w:p w14:paraId="4527BEC6" w14:textId="77777777" w:rsidR="00FC60F3" w:rsidRPr="00FC60F3" w:rsidRDefault="00FC60F3" w:rsidP="00322813">
            <w:pPr>
              <w:rPr>
                <w:rFonts w:ascii="Arial" w:hAnsi="Arial" w:cs="Arial"/>
                <w:b/>
                <w:bCs/>
                <w:sz w:val="20"/>
                <w:szCs w:val="20"/>
              </w:rPr>
            </w:pPr>
          </w:p>
          <w:p w14:paraId="20CE7AB0" w14:textId="77777777" w:rsidR="00FC60F3" w:rsidRPr="00FC60F3" w:rsidRDefault="00FC60F3" w:rsidP="00322813">
            <w:pPr>
              <w:rPr>
                <w:rFonts w:ascii="Arial" w:hAnsi="Arial" w:cs="Arial"/>
                <w:b/>
                <w:bCs/>
                <w:sz w:val="20"/>
                <w:szCs w:val="20"/>
              </w:rPr>
            </w:pPr>
          </w:p>
          <w:p w14:paraId="2C4573BA" w14:textId="77777777" w:rsidR="00FC60F3" w:rsidRPr="00FC60F3" w:rsidRDefault="00FC60F3" w:rsidP="00322813">
            <w:pPr>
              <w:rPr>
                <w:rFonts w:ascii="Arial" w:hAnsi="Arial" w:cs="Arial"/>
                <w:b/>
                <w:bCs/>
                <w:sz w:val="20"/>
                <w:szCs w:val="20"/>
              </w:rPr>
            </w:pPr>
            <w:r w:rsidRPr="00FC60F3">
              <w:rPr>
                <w:rFonts w:ascii="Arial" w:hAnsi="Arial" w:cs="Arial"/>
                <w:b/>
                <w:bCs/>
                <w:sz w:val="20"/>
                <w:szCs w:val="20"/>
              </w:rPr>
              <w:t xml:space="preserve">Attack Severity </w:t>
            </w:r>
          </w:p>
        </w:tc>
        <w:tc>
          <w:tcPr>
            <w:tcW w:w="1843" w:type="dxa"/>
          </w:tcPr>
          <w:p w14:paraId="7F756C7A" w14:textId="77777777" w:rsidR="00FC60F3" w:rsidRPr="00FC60F3" w:rsidRDefault="00FC60F3" w:rsidP="00322813">
            <w:pPr>
              <w:rPr>
                <w:rFonts w:ascii="Arial" w:hAnsi="Arial" w:cs="Arial"/>
                <w:b/>
                <w:bCs/>
                <w:sz w:val="20"/>
                <w:szCs w:val="20"/>
              </w:rPr>
            </w:pPr>
            <w:r w:rsidRPr="00FC60F3">
              <w:rPr>
                <w:rFonts w:ascii="Arial" w:hAnsi="Arial" w:cs="Arial"/>
                <w:b/>
                <w:bCs/>
                <w:sz w:val="20"/>
                <w:szCs w:val="20"/>
              </w:rPr>
              <w:t>Elevated</w:t>
            </w:r>
          </w:p>
        </w:tc>
        <w:tc>
          <w:tcPr>
            <w:tcW w:w="2410" w:type="dxa"/>
          </w:tcPr>
          <w:p w14:paraId="56CF7037" w14:textId="77777777" w:rsidR="00FC60F3" w:rsidRPr="00FC60F3" w:rsidRDefault="00FC60F3" w:rsidP="00322813">
            <w:pPr>
              <w:rPr>
                <w:rFonts w:ascii="Arial" w:hAnsi="Arial" w:cs="Arial"/>
                <w:b/>
                <w:bCs/>
                <w:sz w:val="20"/>
                <w:szCs w:val="20"/>
              </w:rPr>
            </w:pPr>
            <w:r w:rsidRPr="00FC60F3">
              <w:rPr>
                <w:rFonts w:ascii="Arial" w:hAnsi="Arial" w:cs="Arial"/>
                <w:b/>
                <w:bCs/>
                <w:sz w:val="20"/>
                <w:szCs w:val="20"/>
              </w:rPr>
              <w:t xml:space="preserve">Not Elevated </w:t>
            </w:r>
          </w:p>
        </w:tc>
        <w:tc>
          <w:tcPr>
            <w:tcW w:w="1701" w:type="dxa"/>
          </w:tcPr>
          <w:p w14:paraId="6F10DD65" w14:textId="77777777" w:rsidR="00FC60F3" w:rsidRPr="00FC60F3" w:rsidRDefault="00FC60F3" w:rsidP="00322813">
            <w:pPr>
              <w:rPr>
                <w:rFonts w:ascii="Arial" w:hAnsi="Arial" w:cs="Arial"/>
                <w:b/>
                <w:bCs/>
                <w:sz w:val="20"/>
                <w:szCs w:val="20"/>
              </w:rPr>
            </w:pPr>
            <w:r w:rsidRPr="00FC60F3">
              <w:rPr>
                <w:rFonts w:ascii="Arial" w:hAnsi="Arial" w:cs="Arial"/>
                <w:b/>
                <w:bCs/>
                <w:sz w:val="20"/>
                <w:szCs w:val="20"/>
              </w:rPr>
              <w:t xml:space="preserve">p-value </w:t>
            </w:r>
          </w:p>
        </w:tc>
      </w:tr>
      <w:tr w:rsidR="00FC60F3" w:rsidRPr="00FC60F3" w14:paraId="56D15740" w14:textId="77777777" w:rsidTr="00322813">
        <w:tc>
          <w:tcPr>
            <w:tcW w:w="2830" w:type="dxa"/>
          </w:tcPr>
          <w:p w14:paraId="2C6C9B6B" w14:textId="77777777" w:rsidR="00FC60F3" w:rsidRPr="00FC60F3" w:rsidRDefault="00FC60F3" w:rsidP="00322813">
            <w:pPr>
              <w:rPr>
                <w:rFonts w:ascii="Arial" w:hAnsi="Arial" w:cs="Arial"/>
                <w:sz w:val="20"/>
                <w:szCs w:val="20"/>
              </w:rPr>
            </w:pPr>
            <w:r w:rsidRPr="00FC60F3">
              <w:rPr>
                <w:rFonts w:ascii="Arial" w:hAnsi="Arial" w:cs="Arial"/>
                <w:sz w:val="20"/>
                <w:szCs w:val="20"/>
              </w:rPr>
              <w:t xml:space="preserve">Mild </w:t>
            </w:r>
          </w:p>
        </w:tc>
        <w:tc>
          <w:tcPr>
            <w:tcW w:w="1843" w:type="dxa"/>
          </w:tcPr>
          <w:p w14:paraId="5D932CEA" w14:textId="77777777" w:rsidR="00FC60F3" w:rsidRPr="00FC60F3" w:rsidRDefault="00FC60F3" w:rsidP="00322813">
            <w:pPr>
              <w:rPr>
                <w:rFonts w:ascii="Arial" w:hAnsi="Arial" w:cs="Arial"/>
                <w:sz w:val="20"/>
                <w:szCs w:val="20"/>
              </w:rPr>
            </w:pPr>
            <w:r w:rsidRPr="00FC60F3">
              <w:rPr>
                <w:rFonts w:ascii="Arial" w:hAnsi="Arial" w:cs="Arial"/>
                <w:sz w:val="20"/>
                <w:szCs w:val="20"/>
              </w:rPr>
              <w:t>12 (20,3%)</w:t>
            </w:r>
          </w:p>
        </w:tc>
        <w:tc>
          <w:tcPr>
            <w:tcW w:w="2410" w:type="dxa"/>
          </w:tcPr>
          <w:p w14:paraId="722EED10" w14:textId="77777777" w:rsidR="00FC60F3" w:rsidRPr="00FC60F3" w:rsidRDefault="00FC60F3" w:rsidP="00322813">
            <w:pPr>
              <w:rPr>
                <w:rFonts w:ascii="Arial" w:hAnsi="Arial" w:cs="Arial"/>
                <w:sz w:val="20"/>
                <w:szCs w:val="20"/>
              </w:rPr>
            </w:pPr>
            <w:r w:rsidRPr="00FC60F3">
              <w:rPr>
                <w:rFonts w:ascii="Arial" w:hAnsi="Arial" w:cs="Arial"/>
                <w:sz w:val="20"/>
                <w:szCs w:val="20"/>
              </w:rPr>
              <w:t>10 (16,9%)</w:t>
            </w:r>
          </w:p>
        </w:tc>
        <w:tc>
          <w:tcPr>
            <w:tcW w:w="1701" w:type="dxa"/>
            <w:vMerge w:val="restart"/>
          </w:tcPr>
          <w:p w14:paraId="0D4979C6" w14:textId="77777777" w:rsidR="00FC60F3" w:rsidRPr="00FC60F3" w:rsidRDefault="00FC60F3" w:rsidP="00322813">
            <w:pPr>
              <w:rPr>
                <w:rFonts w:ascii="Arial" w:hAnsi="Arial" w:cs="Arial"/>
                <w:sz w:val="20"/>
                <w:szCs w:val="20"/>
              </w:rPr>
            </w:pPr>
            <w:r w:rsidRPr="00FC60F3">
              <w:rPr>
                <w:rFonts w:ascii="Arial" w:hAnsi="Arial" w:cs="Arial"/>
                <w:sz w:val="20"/>
                <w:szCs w:val="20"/>
              </w:rPr>
              <w:t>0,156</w:t>
            </w:r>
          </w:p>
        </w:tc>
      </w:tr>
      <w:tr w:rsidR="00FC60F3" w:rsidRPr="00FC60F3" w14:paraId="7D072778" w14:textId="77777777" w:rsidTr="00322813">
        <w:tc>
          <w:tcPr>
            <w:tcW w:w="2830" w:type="dxa"/>
          </w:tcPr>
          <w:p w14:paraId="380D268A" w14:textId="77777777" w:rsidR="00FC60F3" w:rsidRPr="00FC60F3" w:rsidRDefault="00FC60F3" w:rsidP="00322813">
            <w:pPr>
              <w:rPr>
                <w:rFonts w:ascii="Arial" w:hAnsi="Arial" w:cs="Arial"/>
                <w:sz w:val="20"/>
                <w:szCs w:val="20"/>
              </w:rPr>
            </w:pPr>
            <w:r w:rsidRPr="00FC60F3">
              <w:rPr>
                <w:rFonts w:ascii="Arial" w:hAnsi="Arial" w:cs="Arial"/>
                <w:sz w:val="20"/>
                <w:szCs w:val="20"/>
              </w:rPr>
              <w:t xml:space="preserve">Moderate </w:t>
            </w:r>
          </w:p>
        </w:tc>
        <w:tc>
          <w:tcPr>
            <w:tcW w:w="1843" w:type="dxa"/>
          </w:tcPr>
          <w:p w14:paraId="6B8C525F" w14:textId="77777777" w:rsidR="00FC60F3" w:rsidRPr="00FC60F3" w:rsidRDefault="00FC60F3" w:rsidP="00322813">
            <w:pPr>
              <w:rPr>
                <w:rFonts w:ascii="Arial" w:hAnsi="Arial" w:cs="Arial"/>
                <w:sz w:val="20"/>
                <w:szCs w:val="20"/>
              </w:rPr>
            </w:pPr>
            <w:r w:rsidRPr="00FC60F3">
              <w:rPr>
                <w:rFonts w:ascii="Arial" w:hAnsi="Arial" w:cs="Arial"/>
                <w:sz w:val="20"/>
                <w:szCs w:val="20"/>
              </w:rPr>
              <w:t>26 (44,1%)</w:t>
            </w:r>
          </w:p>
        </w:tc>
        <w:tc>
          <w:tcPr>
            <w:tcW w:w="2410" w:type="dxa"/>
          </w:tcPr>
          <w:p w14:paraId="01410957" w14:textId="77777777" w:rsidR="00FC60F3" w:rsidRPr="00FC60F3" w:rsidRDefault="00FC60F3" w:rsidP="00322813">
            <w:pPr>
              <w:rPr>
                <w:rFonts w:ascii="Arial" w:hAnsi="Arial" w:cs="Arial"/>
                <w:sz w:val="20"/>
                <w:szCs w:val="20"/>
              </w:rPr>
            </w:pPr>
            <w:r w:rsidRPr="00FC60F3">
              <w:rPr>
                <w:rFonts w:ascii="Arial" w:hAnsi="Arial" w:cs="Arial"/>
                <w:sz w:val="20"/>
                <w:szCs w:val="20"/>
              </w:rPr>
              <w:t>7 (11,9%)</w:t>
            </w:r>
          </w:p>
        </w:tc>
        <w:tc>
          <w:tcPr>
            <w:tcW w:w="1701" w:type="dxa"/>
            <w:vMerge/>
          </w:tcPr>
          <w:p w14:paraId="371007C7" w14:textId="77777777" w:rsidR="00FC60F3" w:rsidRPr="00FC60F3" w:rsidRDefault="00FC60F3" w:rsidP="00322813">
            <w:pPr>
              <w:rPr>
                <w:rFonts w:ascii="Arial" w:hAnsi="Arial" w:cs="Arial"/>
                <w:sz w:val="20"/>
                <w:szCs w:val="20"/>
              </w:rPr>
            </w:pPr>
          </w:p>
        </w:tc>
      </w:tr>
      <w:tr w:rsidR="00FC60F3" w:rsidRPr="00FC60F3" w14:paraId="65DFAFE5" w14:textId="77777777" w:rsidTr="00322813">
        <w:tc>
          <w:tcPr>
            <w:tcW w:w="2830" w:type="dxa"/>
          </w:tcPr>
          <w:p w14:paraId="16822B85" w14:textId="77777777" w:rsidR="00FC60F3" w:rsidRPr="00FC60F3" w:rsidRDefault="00FC60F3" w:rsidP="00322813">
            <w:pPr>
              <w:rPr>
                <w:rFonts w:ascii="Arial" w:hAnsi="Arial" w:cs="Arial"/>
                <w:sz w:val="20"/>
                <w:szCs w:val="20"/>
              </w:rPr>
            </w:pPr>
            <w:r w:rsidRPr="00FC60F3">
              <w:rPr>
                <w:rFonts w:ascii="Arial" w:hAnsi="Arial" w:cs="Arial"/>
                <w:sz w:val="20"/>
                <w:szCs w:val="20"/>
              </w:rPr>
              <w:t xml:space="preserve">Severe </w:t>
            </w:r>
          </w:p>
        </w:tc>
        <w:tc>
          <w:tcPr>
            <w:tcW w:w="1843" w:type="dxa"/>
          </w:tcPr>
          <w:p w14:paraId="1ACC49C9" w14:textId="77777777" w:rsidR="00FC60F3" w:rsidRPr="00FC60F3" w:rsidRDefault="00FC60F3" w:rsidP="00322813">
            <w:pPr>
              <w:rPr>
                <w:rFonts w:ascii="Arial" w:hAnsi="Arial" w:cs="Arial"/>
                <w:sz w:val="20"/>
                <w:szCs w:val="20"/>
              </w:rPr>
            </w:pPr>
            <w:r w:rsidRPr="00FC60F3">
              <w:rPr>
                <w:rFonts w:ascii="Arial" w:hAnsi="Arial" w:cs="Arial"/>
                <w:sz w:val="20"/>
                <w:szCs w:val="20"/>
              </w:rPr>
              <w:t>3 (5,1%)</w:t>
            </w:r>
          </w:p>
        </w:tc>
        <w:tc>
          <w:tcPr>
            <w:tcW w:w="2410" w:type="dxa"/>
          </w:tcPr>
          <w:p w14:paraId="2A376DE7" w14:textId="77777777" w:rsidR="00FC60F3" w:rsidRPr="00FC60F3" w:rsidRDefault="00FC60F3" w:rsidP="00322813">
            <w:pPr>
              <w:rPr>
                <w:rFonts w:ascii="Arial" w:hAnsi="Arial" w:cs="Arial"/>
                <w:sz w:val="20"/>
                <w:szCs w:val="20"/>
              </w:rPr>
            </w:pPr>
            <w:r w:rsidRPr="00FC60F3">
              <w:rPr>
                <w:rFonts w:ascii="Arial" w:hAnsi="Arial" w:cs="Arial"/>
                <w:sz w:val="20"/>
                <w:szCs w:val="20"/>
              </w:rPr>
              <w:t>1 (1,7%)</w:t>
            </w:r>
          </w:p>
        </w:tc>
        <w:tc>
          <w:tcPr>
            <w:tcW w:w="1701" w:type="dxa"/>
            <w:vMerge/>
          </w:tcPr>
          <w:p w14:paraId="2B7FEE24" w14:textId="77777777" w:rsidR="00FC60F3" w:rsidRPr="00FC60F3" w:rsidRDefault="00FC60F3" w:rsidP="00322813">
            <w:pPr>
              <w:rPr>
                <w:rFonts w:ascii="Arial" w:hAnsi="Arial" w:cs="Arial"/>
                <w:sz w:val="20"/>
                <w:szCs w:val="20"/>
              </w:rPr>
            </w:pPr>
          </w:p>
        </w:tc>
      </w:tr>
      <w:tr w:rsidR="00FC60F3" w:rsidRPr="00FC60F3" w14:paraId="264983D5" w14:textId="77777777" w:rsidTr="00322813">
        <w:tc>
          <w:tcPr>
            <w:tcW w:w="2830" w:type="dxa"/>
          </w:tcPr>
          <w:p w14:paraId="516BD5B5" w14:textId="77777777" w:rsidR="00FC60F3" w:rsidRPr="00FC60F3" w:rsidRDefault="00FC60F3" w:rsidP="00322813">
            <w:pPr>
              <w:rPr>
                <w:rFonts w:ascii="Arial" w:hAnsi="Arial" w:cs="Arial"/>
                <w:sz w:val="20"/>
                <w:szCs w:val="20"/>
              </w:rPr>
            </w:pPr>
            <w:r w:rsidRPr="00FC60F3">
              <w:rPr>
                <w:rFonts w:ascii="Arial" w:hAnsi="Arial" w:cs="Arial"/>
                <w:b/>
                <w:bCs/>
                <w:sz w:val="20"/>
                <w:szCs w:val="20"/>
              </w:rPr>
              <w:t>Total</w:t>
            </w:r>
          </w:p>
        </w:tc>
        <w:tc>
          <w:tcPr>
            <w:tcW w:w="1843" w:type="dxa"/>
          </w:tcPr>
          <w:p w14:paraId="30F261B6" w14:textId="77777777" w:rsidR="00FC60F3" w:rsidRPr="00FC60F3" w:rsidRDefault="00FC60F3" w:rsidP="00322813">
            <w:pPr>
              <w:rPr>
                <w:rFonts w:ascii="Arial" w:hAnsi="Arial" w:cs="Arial"/>
                <w:b/>
                <w:bCs/>
                <w:sz w:val="20"/>
                <w:szCs w:val="20"/>
              </w:rPr>
            </w:pPr>
            <w:r w:rsidRPr="00FC60F3">
              <w:rPr>
                <w:rFonts w:ascii="Arial" w:hAnsi="Arial" w:cs="Arial"/>
                <w:b/>
                <w:bCs/>
                <w:sz w:val="20"/>
                <w:szCs w:val="20"/>
              </w:rPr>
              <w:t>41 (69,5%)</w:t>
            </w:r>
          </w:p>
        </w:tc>
        <w:tc>
          <w:tcPr>
            <w:tcW w:w="2410" w:type="dxa"/>
          </w:tcPr>
          <w:p w14:paraId="5D9B5E9A" w14:textId="77777777" w:rsidR="00FC60F3" w:rsidRPr="00FC60F3" w:rsidRDefault="00FC60F3" w:rsidP="00322813">
            <w:pPr>
              <w:rPr>
                <w:rFonts w:ascii="Arial" w:hAnsi="Arial" w:cs="Arial"/>
                <w:b/>
                <w:bCs/>
                <w:sz w:val="20"/>
                <w:szCs w:val="20"/>
              </w:rPr>
            </w:pPr>
            <w:r w:rsidRPr="00FC60F3">
              <w:rPr>
                <w:rFonts w:ascii="Arial" w:hAnsi="Arial" w:cs="Arial"/>
                <w:b/>
                <w:bCs/>
                <w:sz w:val="20"/>
                <w:szCs w:val="20"/>
              </w:rPr>
              <w:t>18 (30,5%)</w:t>
            </w:r>
          </w:p>
        </w:tc>
        <w:tc>
          <w:tcPr>
            <w:tcW w:w="1701" w:type="dxa"/>
            <w:vMerge/>
          </w:tcPr>
          <w:p w14:paraId="2C8931D5" w14:textId="77777777" w:rsidR="00FC60F3" w:rsidRPr="00FC60F3" w:rsidRDefault="00FC60F3" w:rsidP="00322813">
            <w:pPr>
              <w:rPr>
                <w:rFonts w:ascii="Arial" w:hAnsi="Arial" w:cs="Arial"/>
                <w:sz w:val="20"/>
                <w:szCs w:val="20"/>
              </w:rPr>
            </w:pPr>
          </w:p>
        </w:tc>
      </w:tr>
    </w:tbl>
    <w:p w14:paraId="318447D6" w14:textId="77777777" w:rsidR="00FC60F3" w:rsidRDefault="00FC60F3" w:rsidP="00FC60F3">
      <w:pPr>
        <w:ind w:firstLine="720"/>
        <w:jc w:val="both"/>
        <w:rPr>
          <w:rFonts w:ascii="Arial" w:hAnsi="Arial" w:cs="Arial"/>
          <w:lang w:val="vi-VN"/>
        </w:rPr>
      </w:pPr>
      <w:r w:rsidRPr="00FC60F3">
        <w:rPr>
          <w:rFonts w:ascii="Arial" w:hAnsi="Arial" w:cs="Arial"/>
          <w:i/>
          <w:iCs/>
        </w:rPr>
        <w:t>Observation</w:t>
      </w:r>
      <w:r w:rsidRPr="00FC60F3">
        <w:rPr>
          <w:rFonts w:ascii="Arial" w:hAnsi="Arial" w:cs="Arial"/>
        </w:rPr>
        <w:t>: No statistically significant association was found between elevated IL-6 levels and the severity of acute asthma attacks (</w:t>
      </w:r>
      <w:r w:rsidRPr="00FC60F3">
        <w:rPr>
          <w:rFonts w:ascii="Arial" w:hAnsi="Arial" w:cs="Arial"/>
          <w:i/>
          <w:iCs/>
        </w:rPr>
        <w:t>p</w:t>
      </w:r>
      <w:r w:rsidRPr="00FC60F3">
        <w:rPr>
          <w:rFonts w:ascii="Arial" w:hAnsi="Arial" w:cs="Arial"/>
        </w:rPr>
        <w:t xml:space="preserve"> = 0.156).</w:t>
      </w:r>
    </w:p>
    <w:p w14:paraId="741850EA" w14:textId="77777777" w:rsidR="00753FF9" w:rsidRPr="00753FF9" w:rsidRDefault="00753FF9" w:rsidP="00FC60F3">
      <w:pPr>
        <w:ind w:firstLine="720"/>
        <w:jc w:val="both"/>
        <w:rPr>
          <w:rFonts w:ascii="Arial" w:hAnsi="Arial" w:cs="Arial"/>
          <w:lang w:val="vi-VN"/>
        </w:rPr>
      </w:pPr>
    </w:p>
    <w:p w14:paraId="4DF3D30A" w14:textId="4A61B79E" w:rsidR="00FC60F3" w:rsidRDefault="00FC60F3" w:rsidP="00FC60F3">
      <w:pPr>
        <w:rPr>
          <w:rFonts w:ascii="Arial" w:hAnsi="Arial" w:cs="Arial"/>
          <w:b/>
          <w:bCs/>
          <w:sz w:val="22"/>
          <w:szCs w:val="22"/>
          <w:lang w:val="vi-VN"/>
        </w:rPr>
      </w:pPr>
      <w:r w:rsidRPr="00FC60F3">
        <w:rPr>
          <w:rFonts w:ascii="Arial" w:hAnsi="Arial" w:cs="Arial"/>
          <w:b/>
          <w:bCs/>
          <w:sz w:val="22"/>
          <w:szCs w:val="22"/>
          <w:lang w:val="vi-VN"/>
        </w:rPr>
        <w:t>4. DISCUSSION</w:t>
      </w:r>
    </w:p>
    <w:p w14:paraId="1F1F6C1D" w14:textId="77777777" w:rsidR="00753FF9" w:rsidRPr="00FC60F3" w:rsidRDefault="00753FF9" w:rsidP="00FC60F3">
      <w:pPr>
        <w:rPr>
          <w:rFonts w:ascii="Arial" w:hAnsi="Arial" w:cs="Arial"/>
          <w:b/>
          <w:bCs/>
          <w:sz w:val="22"/>
          <w:szCs w:val="22"/>
          <w:lang w:val="vi-VN"/>
        </w:rPr>
      </w:pPr>
    </w:p>
    <w:p w14:paraId="1DF3FB01" w14:textId="3FFA1C92" w:rsidR="00FC60F3" w:rsidRPr="00FC60F3" w:rsidRDefault="00FC60F3" w:rsidP="00FC60F3">
      <w:pPr>
        <w:rPr>
          <w:rFonts w:ascii="Arial" w:hAnsi="Arial" w:cs="Arial"/>
          <w:b/>
          <w:bCs/>
          <w:sz w:val="22"/>
          <w:szCs w:val="22"/>
          <w:lang w:val="vi-VN"/>
        </w:rPr>
      </w:pPr>
      <w:r w:rsidRPr="00FC60F3">
        <w:rPr>
          <w:rFonts w:ascii="Arial" w:hAnsi="Arial" w:cs="Arial"/>
          <w:b/>
          <w:bCs/>
          <w:sz w:val="22"/>
          <w:szCs w:val="22"/>
          <w:lang w:val="vi-VN"/>
        </w:rPr>
        <w:t>4.1. General Characteristics of the study population</w:t>
      </w:r>
    </w:p>
    <w:p w14:paraId="33F11D12" w14:textId="77777777" w:rsidR="00FC60F3" w:rsidRPr="00FC60F3" w:rsidRDefault="00FC60F3" w:rsidP="00FC60F3">
      <w:pPr>
        <w:ind w:firstLine="720"/>
        <w:jc w:val="both"/>
        <w:rPr>
          <w:rFonts w:ascii="Arial" w:hAnsi="Arial" w:cs="Arial"/>
          <w:lang w:val="vi-VN"/>
        </w:rPr>
      </w:pPr>
      <w:r w:rsidRPr="00FC60F3">
        <w:rPr>
          <w:rFonts w:ascii="Arial" w:hAnsi="Arial" w:cs="Arial"/>
          <w:lang w:val="vi-VN"/>
        </w:rPr>
        <w:t xml:space="preserve">This study was conducted on 59 pediatric asthma patients with a mean age of 7.75 ± 2.7 years, and 71.2% were male. These demographic characteristics are comparable to other pediatric asthma studies [1], [2]. The majority of patients were diagnosed with asthma between the ages of 2 and 5 years (57.6%). </w:t>
      </w:r>
    </w:p>
    <w:p w14:paraId="43F50EDC" w14:textId="77777777" w:rsidR="00FC60F3" w:rsidRPr="00FC60F3" w:rsidRDefault="00FC60F3" w:rsidP="00FC60F3">
      <w:pPr>
        <w:ind w:firstLine="720"/>
        <w:jc w:val="both"/>
        <w:rPr>
          <w:rFonts w:ascii="Arial" w:hAnsi="Arial" w:cs="Arial"/>
          <w:lang w:val="vi-VN"/>
        </w:rPr>
      </w:pPr>
      <w:r w:rsidRPr="00FC60F3">
        <w:rPr>
          <w:rFonts w:ascii="Arial" w:hAnsi="Arial" w:cs="Arial"/>
          <w:lang w:val="vi-VN"/>
        </w:rPr>
        <w:t>We found that a large proportion of patients had elevated peripheral IL-6 levels (69.5%). This finding is consistent with a report by Pan et al. (2023), which showed that peripheral IL-6 levels in asthma patients were significantly higher than in healthy controls (</w:t>
      </w:r>
      <w:r w:rsidRPr="00FC60F3">
        <w:rPr>
          <w:rFonts w:ascii="Arial" w:hAnsi="Arial" w:cs="Arial"/>
          <w:i/>
          <w:iCs/>
          <w:lang w:val="vi-VN"/>
        </w:rPr>
        <w:t xml:space="preserve">p </w:t>
      </w:r>
      <w:r w:rsidRPr="00FC60F3">
        <w:rPr>
          <w:rFonts w:ascii="Arial" w:hAnsi="Arial" w:cs="Arial"/>
          <w:lang w:val="vi-VN"/>
        </w:rPr>
        <w:t>&lt; 0.001).Elevated serum IL-6 levels increase the risk of acute asthma exacerbations [5], promote T-cell differentiation towards the Th17 lineage – a cell lineage that may be present in severe, difficult-to-control asthma [10] – and are associated with the activation of atypical inflammatory cells, such as neutrophils and macrophages, leading to severe or steroid-resistant asthma in children [4]</w:t>
      </w:r>
    </w:p>
    <w:p w14:paraId="2B47E72A" w14:textId="3C1C0343" w:rsidR="00FC60F3" w:rsidRPr="00FC60F3" w:rsidRDefault="00FC60F3" w:rsidP="00FC60F3">
      <w:pPr>
        <w:rPr>
          <w:rFonts w:ascii="Arial" w:hAnsi="Arial" w:cs="Arial"/>
          <w:b/>
          <w:bCs/>
          <w:sz w:val="22"/>
          <w:szCs w:val="22"/>
          <w:lang w:val="vi-VN"/>
        </w:rPr>
      </w:pPr>
      <w:r w:rsidRPr="00FC60F3">
        <w:rPr>
          <w:rFonts w:ascii="Arial" w:hAnsi="Arial" w:cs="Arial"/>
          <w:b/>
          <w:bCs/>
          <w:sz w:val="22"/>
          <w:szCs w:val="22"/>
          <w:lang w:val="vi-VN"/>
        </w:rPr>
        <w:t>4.2. Association between Elevated IL-6 levels and nutritional status</w:t>
      </w:r>
    </w:p>
    <w:p w14:paraId="007BF68D" w14:textId="77777777" w:rsidR="00FC60F3" w:rsidRPr="00FC60F3" w:rsidRDefault="00FC60F3" w:rsidP="00FC60F3">
      <w:pPr>
        <w:ind w:firstLine="720"/>
        <w:jc w:val="both"/>
        <w:rPr>
          <w:rFonts w:ascii="Arial" w:hAnsi="Arial" w:cs="Arial"/>
          <w:lang w:val="vi-VN"/>
        </w:rPr>
      </w:pPr>
      <w:r w:rsidRPr="00FC60F3">
        <w:rPr>
          <w:rFonts w:ascii="Arial" w:hAnsi="Arial" w:cs="Arial"/>
          <w:lang w:val="vi-VN"/>
        </w:rPr>
        <w:t>The prevalence of asthma in overweight and obese children is increasing. Overweight/obesity is associated with an increased risk of developing asthma in both children and adults. Furthermore, in asthmatic children, it is a risk factor for severe asthma and reduced responsiveness to corticosteroids. Our study found an association between serum IL-6 levels and the nutritional status of children; asthmatic children with a higher BMI also had higher IL-6 levels. This result is similar to a report by Akar-Ghibril (2023), which stated that baseline IL-6 levels were higher in children with high BMI, and these children also experienced more frequent acute asthma exacerbations and greater lung function decline. This suggests that IL-6 may be a link between metabolic disease and the clinical manifestation of asthma.</w:t>
      </w:r>
    </w:p>
    <w:p w14:paraId="2EAE2CDB" w14:textId="77777777" w:rsidR="00FC60F3" w:rsidRPr="00FC60F3" w:rsidRDefault="00FC60F3" w:rsidP="00FC60F3">
      <w:pPr>
        <w:rPr>
          <w:rFonts w:ascii="Arial" w:hAnsi="Arial" w:cs="Arial"/>
          <w:b/>
          <w:bCs/>
          <w:sz w:val="22"/>
          <w:szCs w:val="22"/>
          <w:lang w:val="vi-VN"/>
        </w:rPr>
      </w:pPr>
      <w:r w:rsidRPr="00FC60F3">
        <w:rPr>
          <w:rFonts w:ascii="Arial" w:hAnsi="Arial" w:cs="Arial"/>
          <w:b/>
          <w:bCs/>
          <w:sz w:val="22"/>
          <w:szCs w:val="22"/>
          <w:lang w:val="vi-VN"/>
        </w:rPr>
        <w:t xml:space="preserve">4.3. Role of IL-6 in predicting systemic inflammation, asthma severity, and control </w:t>
      </w:r>
    </w:p>
    <w:p w14:paraId="6AFB98C9" w14:textId="77777777" w:rsidR="00FC60F3" w:rsidRPr="00FC60F3" w:rsidRDefault="00FC60F3" w:rsidP="00FC60F3">
      <w:pPr>
        <w:ind w:firstLine="720"/>
        <w:jc w:val="both"/>
        <w:rPr>
          <w:rFonts w:ascii="Arial" w:hAnsi="Arial" w:cs="Arial"/>
          <w:lang w:val="vi-VN"/>
        </w:rPr>
      </w:pPr>
      <w:r w:rsidRPr="00FC60F3">
        <w:rPr>
          <w:rFonts w:ascii="Arial" w:hAnsi="Arial" w:cs="Arial"/>
          <w:lang w:val="vi-VN"/>
        </w:rPr>
        <w:t>Numerous studies worldwide have shown that high serum IL-6 levels are associated with systemic inflammation markers and an increased risk of exacerbations and severe exacerbations. In our study, we observed an association between increased IL-6 levels and neutrophil count (p = 0.047) and serum CRP levels (p = 0.028) in pediatric patients with bronchial asthma. Similarly, Jackson's (2020) study also demonstrated that IL-6 was significantly associated with total leukocyte count (p &lt; 0.01), neutrophil count (p &lt; 0.01), and serum CRP (p &lt; 0.01) (3). Furthermore, Jevnikal's (2018) research on IL-6 signaling (IL-6TS) also mentioned a potential mechanism in the expression of bronchial asthma with increased airway inflammation (4). This suggests the role of IL-6 as a central axis activating systemic inflammation via the IL-6R/JAK/STAT3 pathway, promoting the production of pro-inflammatory cytokines and CRP. Additionally, our results also indicate that increased serum IL-6 levels are strongly associated with the frequency of hospitalization and the number of acute asthma attacks per year (p = 0.001 and p = 0.011, respectively). This implies IL-6 is not merely a passive inflammatory marker but is also directly related to the likelihood of exacerbation onset. In a 2020 report on the role of IL-6 in bronchial asthma, after adjusting for and eliminating other risk factors for BA exacerbations, Jackson found that high IL-6 levels were a predictor of the risk of bronchial asthma exacerbations within one year (OR=1.32; p &lt; 0.01) (3). From these analyses, we can assert that IL-6 may be considered a biomarker for predicting the risk of asthma exacerbations, reflecting the level of systemic inflammatory activation and the excessive inflammatory response to triggers.</w:t>
      </w:r>
    </w:p>
    <w:p w14:paraId="663A51B7" w14:textId="51214A72" w:rsidR="00FC60F3" w:rsidRPr="00FC60F3" w:rsidRDefault="00FC60F3" w:rsidP="00FC60F3">
      <w:pPr>
        <w:ind w:firstLine="720"/>
        <w:jc w:val="both"/>
        <w:rPr>
          <w:rFonts w:ascii="Arial" w:hAnsi="Arial" w:cs="Arial"/>
          <w:lang w:val="vi-VN"/>
        </w:rPr>
      </w:pPr>
      <w:r w:rsidRPr="00FC60F3">
        <w:rPr>
          <w:rFonts w:ascii="Arial" w:hAnsi="Arial" w:cs="Arial"/>
          <w:lang w:val="vi-VN"/>
        </w:rPr>
        <w:t xml:space="preserve">Regarding the association between increased serum IL-6 levels and the severity of acute bronchial asthma exacerbations, we did not record a statistically significant difference in this study. Similarly, Le Thi Thu Huong's (2018) study on the changes in concentrations of several cytokines in BA also did not find a relationship between these two factors [5]. However, many international studies have shown contrary results. Both Jackson's (2020) and Pan's (2023) studies indicated that the higher the IL-6 concentration, the more severe the bronchial asthma attack. The reason for this discrepancy may be the relatively small sample size, the cross-sectional study design which could not provide comprehensive follow-up, and differences in the constitution and asthma phenotype characteristics of the study subjects. Clearly, many mechanisms have been proposed to explain how increased IL-6 levels can potentially cause severe, difficult-to-control asthma phenotypes. IL-6 helps activate the JAK/STAT3 pathway in cells, thereby increasing inflammatory expression, enhancing CRP production, and altering the immune response in the lungs. These responses can amplify the reaction upon exposure to allergens or during infections, making the acute bronchial asthma exacerbation more severe [9]. Moreover, IL-6 also </w:t>
      </w:r>
      <w:r w:rsidRPr="00FC60F3">
        <w:rPr>
          <w:rFonts w:ascii="Arial" w:hAnsi="Arial" w:cs="Arial"/>
          <w:lang w:val="vi-VN"/>
        </w:rPr>
        <w:lastRenderedPageBreak/>
        <w:t>promotes the airway remodeling process and reduces lung function, causing airway narrowing and decreased response to bronchodilators [6]. Currently, although a significant correlation was not demonstrated in this study, we still maintain that IL-6 is considered a contributing factor to the pathophysiology of severe asthma, through mechanisms of increasing systemic inflammatory response, reducing treatment response, and amplifying bronchial remodeling.</w:t>
      </w:r>
    </w:p>
    <w:p w14:paraId="4D391871" w14:textId="77777777" w:rsidR="00790ADA" w:rsidRPr="00FC60F3" w:rsidRDefault="00790ADA" w:rsidP="00441B6F">
      <w:pPr>
        <w:pStyle w:val="Body"/>
        <w:spacing w:after="0"/>
        <w:rPr>
          <w:rFonts w:ascii="Arial" w:hAnsi="Arial" w:cs="Arial"/>
          <w:lang w:val="vi-VN"/>
        </w:rPr>
      </w:pPr>
    </w:p>
    <w:p w14:paraId="226B8CF5" w14:textId="37BA7998" w:rsidR="00B01FCD" w:rsidRDefault="00FC60F3"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130B47AE" w14:textId="77777777" w:rsidR="00790ADA" w:rsidRPr="00FB3A86" w:rsidRDefault="00790ADA" w:rsidP="00441B6F">
      <w:pPr>
        <w:pStyle w:val="ConcHead"/>
        <w:spacing w:after="0"/>
        <w:jc w:val="both"/>
        <w:rPr>
          <w:rFonts w:ascii="Arial" w:hAnsi="Arial" w:cs="Arial"/>
        </w:rPr>
      </w:pPr>
    </w:p>
    <w:p w14:paraId="7DE350B2" w14:textId="28663E8C" w:rsidR="00790ADA" w:rsidRDefault="00FC60F3" w:rsidP="00753FF9">
      <w:pPr>
        <w:pStyle w:val="Body"/>
        <w:spacing w:after="0"/>
        <w:ind w:firstLine="720"/>
        <w:rPr>
          <w:rFonts w:ascii="Arial" w:hAnsi="Arial" w:cs="Arial"/>
          <w:lang w:val="vi-VN"/>
        </w:rPr>
      </w:pPr>
      <w:r w:rsidRPr="00FC60F3">
        <w:rPr>
          <w:rFonts w:ascii="Arial" w:hAnsi="Arial" w:cs="Arial"/>
        </w:rPr>
        <w:t>In summary, our study suggests a role for IL-6 as a link between metabolic disease and the clinical manifestations of bronchial asthma. Additionally, IL-6 plays a significant role in the systemic inflammatory mechanism of asthma, particularly in severe or obesity-related phenotypes. Elevated serum IL-6 is also associated with a higher risk of acute exacerbations in asthmatic children. Therefore, IL-6 could be considered a potential biomarker to aid in the phenotype stratification and prognosis of pediatric bronchial asthma.</w:t>
      </w:r>
    </w:p>
    <w:p w14:paraId="5C2061F1" w14:textId="77777777" w:rsidR="00FC60F3" w:rsidRPr="00FC60F3" w:rsidRDefault="00FC60F3" w:rsidP="00441B6F">
      <w:pPr>
        <w:pStyle w:val="Body"/>
        <w:spacing w:after="0"/>
        <w:rPr>
          <w:rFonts w:ascii="Arial" w:hAnsi="Arial" w:cs="Arial"/>
          <w:lang w:val="vi-VN"/>
        </w:rPr>
      </w:pPr>
    </w:p>
    <w:p w14:paraId="5B84B7A9" w14:textId="77777777" w:rsidR="00FC60F3" w:rsidRPr="00FC60F3" w:rsidRDefault="00FC60F3" w:rsidP="00753FF9">
      <w:pPr>
        <w:pStyle w:val="ReferHead"/>
        <w:rPr>
          <w:rFonts w:ascii="Arial" w:hAnsi="Arial" w:cs="Arial"/>
        </w:rPr>
      </w:pPr>
      <w:r w:rsidRPr="00FC60F3">
        <w:rPr>
          <w:rFonts w:ascii="Arial" w:hAnsi="Arial" w:cs="Arial"/>
        </w:rPr>
        <w:t>CONSENTAND ETHICAL APPROVAL</w:t>
      </w:r>
    </w:p>
    <w:p w14:paraId="0F40493D" w14:textId="77152E7E" w:rsidR="00FC60F3" w:rsidRPr="00FC60F3" w:rsidRDefault="00FC60F3" w:rsidP="00753FF9">
      <w:pPr>
        <w:pStyle w:val="ReferHead"/>
        <w:ind w:firstLine="720"/>
        <w:jc w:val="both"/>
        <w:rPr>
          <w:rFonts w:ascii="Arial" w:hAnsi="Arial" w:cs="Arial"/>
          <w:b w:val="0"/>
          <w:bCs/>
          <w:sz w:val="20"/>
          <w:lang w:val="vi-VN"/>
        </w:rPr>
      </w:pPr>
      <w:r w:rsidRPr="00FC60F3">
        <w:rPr>
          <w:rFonts w:ascii="Arial" w:hAnsi="Arial" w:cs="Arial"/>
          <w:b w:val="0"/>
          <w:bCs/>
          <w:caps w:val="0"/>
          <w:sz w:val="20"/>
        </w:rPr>
        <w:t xml:space="preserve">The study was approved by the </w:t>
      </w:r>
      <w:r w:rsidR="00753FF9">
        <w:rPr>
          <w:rFonts w:ascii="Arial" w:hAnsi="Arial" w:cs="Arial"/>
          <w:b w:val="0"/>
          <w:bCs/>
          <w:caps w:val="0"/>
          <w:sz w:val="20"/>
        </w:rPr>
        <w:t>I</w:t>
      </w:r>
      <w:r w:rsidRPr="00FC60F3">
        <w:rPr>
          <w:rFonts w:ascii="Arial" w:hAnsi="Arial" w:cs="Arial"/>
          <w:b w:val="0"/>
          <w:bCs/>
          <w:caps w:val="0"/>
          <w:sz w:val="20"/>
        </w:rPr>
        <w:t xml:space="preserve">nstitutional </w:t>
      </w:r>
      <w:r w:rsidR="00753FF9">
        <w:rPr>
          <w:rFonts w:ascii="Arial" w:hAnsi="Arial" w:cs="Arial"/>
          <w:b w:val="0"/>
          <w:bCs/>
          <w:caps w:val="0"/>
          <w:sz w:val="20"/>
        </w:rPr>
        <w:t>R</w:t>
      </w:r>
      <w:r w:rsidRPr="00FC60F3">
        <w:rPr>
          <w:rFonts w:ascii="Arial" w:hAnsi="Arial" w:cs="Arial"/>
          <w:b w:val="0"/>
          <w:bCs/>
          <w:caps w:val="0"/>
          <w:sz w:val="20"/>
        </w:rPr>
        <w:t xml:space="preserve">eview </w:t>
      </w:r>
      <w:r w:rsidR="00753FF9">
        <w:rPr>
          <w:rFonts w:ascii="Arial" w:hAnsi="Arial" w:cs="Arial"/>
          <w:b w:val="0"/>
          <w:bCs/>
          <w:caps w:val="0"/>
          <w:sz w:val="20"/>
        </w:rPr>
        <w:t>B</w:t>
      </w:r>
      <w:r w:rsidRPr="00FC60F3">
        <w:rPr>
          <w:rFonts w:ascii="Arial" w:hAnsi="Arial" w:cs="Arial"/>
          <w:b w:val="0"/>
          <w:bCs/>
          <w:caps w:val="0"/>
          <w:sz w:val="20"/>
        </w:rPr>
        <w:t>oard (</w:t>
      </w:r>
      <w:r w:rsidR="00753FF9">
        <w:rPr>
          <w:rFonts w:ascii="Arial" w:hAnsi="Arial" w:cs="Arial"/>
          <w:b w:val="0"/>
          <w:bCs/>
          <w:caps w:val="0"/>
          <w:sz w:val="20"/>
        </w:rPr>
        <w:t>E</w:t>
      </w:r>
      <w:r w:rsidRPr="00FC60F3">
        <w:rPr>
          <w:rFonts w:ascii="Arial" w:hAnsi="Arial" w:cs="Arial"/>
          <w:b w:val="0"/>
          <w:bCs/>
          <w:caps w:val="0"/>
          <w:sz w:val="20"/>
        </w:rPr>
        <w:t xml:space="preserve">thics </w:t>
      </w:r>
      <w:r w:rsidR="00753FF9">
        <w:rPr>
          <w:rFonts w:ascii="Arial" w:hAnsi="Arial" w:cs="Arial"/>
          <w:b w:val="0"/>
          <w:bCs/>
          <w:caps w:val="0"/>
          <w:sz w:val="20"/>
        </w:rPr>
        <w:t>C</w:t>
      </w:r>
      <w:r w:rsidRPr="00FC60F3">
        <w:rPr>
          <w:rFonts w:ascii="Arial" w:hAnsi="Arial" w:cs="Arial"/>
          <w:b w:val="0"/>
          <w:bCs/>
          <w:caps w:val="0"/>
          <w:sz w:val="20"/>
        </w:rPr>
        <w:t xml:space="preserve">ommittee) in </w:t>
      </w:r>
      <w:r w:rsidR="00753FF9">
        <w:rPr>
          <w:rFonts w:ascii="Arial" w:hAnsi="Arial" w:cs="Arial"/>
          <w:b w:val="0"/>
          <w:bCs/>
          <w:caps w:val="0"/>
          <w:sz w:val="20"/>
        </w:rPr>
        <w:t>B</w:t>
      </w:r>
      <w:r w:rsidRPr="00FC60F3">
        <w:rPr>
          <w:rFonts w:ascii="Arial" w:hAnsi="Arial" w:cs="Arial"/>
          <w:b w:val="0"/>
          <w:bCs/>
          <w:caps w:val="0"/>
          <w:sz w:val="20"/>
        </w:rPr>
        <w:t xml:space="preserve">iomedical </w:t>
      </w:r>
      <w:r w:rsidR="00753FF9">
        <w:rPr>
          <w:rFonts w:ascii="Arial" w:hAnsi="Arial" w:cs="Arial"/>
          <w:b w:val="0"/>
          <w:bCs/>
          <w:caps w:val="0"/>
          <w:sz w:val="20"/>
        </w:rPr>
        <w:t>R</w:t>
      </w:r>
      <w:r w:rsidRPr="00FC60F3">
        <w:rPr>
          <w:rFonts w:ascii="Arial" w:hAnsi="Arial" w:cs="Arial"/>
          <w:b w:val="0"/>
          <w:bCs/>
          <w:caps w:val="0"/>
          <w:sz w:val="20"/>
        </w:rPr>
        <w:t xml:space="preserve">esearch of </w:t>
      </w:r>
      <w:r w:rsidR="00753FF9">
        <w:rPr>
          <w:rFonts w:ascii="Arial" w:hAnsi="Arial" w:cs="Arial"/>
          <w:b w:val="0"/>
          <w:bCs/>
          <w:caps w:val="0"/>
          <w:sz w:val="20"/>
        </w:rPr>
        <w:t>C</w:t>
      </w:r>
      <w:r w:rsidRPr="00FC60F3">
        <w:rPr>
          <w:rFonts w:ascii="Arial" w:hAnsi="Arial" w:cs="Arial"/>
          <w:b w:val="0"/>
          <w:bCs/>
          <w:caps w:val="0"/>
          <w:sz w:val="20"/>
        </w:rPr>
        <w:t xml:space="preserve">an </w:t>
      </w:r>
      <w:r w:rsidR="00753FF9">
        <w:rPr>
          <w:rFonts w:ascii="Arial" w:hAnsi="Arial" w:cs="Arial"/>
          <w:b w:val="0"/>
          <w:bCs/>
          <w:caps w:val="0"/>
          <w:sz w:val="20"/>
        </w:rPr>
        <w:t>T</w:t>
      </w:r>
      <w:r w:rsidRPr="00FC60F3">
        <w:rPr>
          <w:rFonts w:ascii="Arial" w:hAnsi="Arial" w:cs="Arial"/>
          <w:b w:val="0"/>
          <w:bCs/>
          <w:caps w:val="0"/>
          <w:sz w:val="20"/>
        </w:rPr>
        <w:t xml:space="preserve">ho </w:t>
      </w:r>
      <w:r w:rsidR="00753FF9">
        <w:rPr>
          <w:rFonts w:ascii="Arial" w:hAnsi="Arial" w:cs="Arial"/>
          <w:b w:val="0"/>
          <w:bCs/>
          <w:caps w:val="0"/>
          <w:sz w:val="20"/>
        </w:rPr>
        <w:t>U</w:t>
      </w:r>
      <w:r w:rsidRPr="00FC60F3">
        <w:rPr>
          <w:rFonts w:ascii="Arial" w:hAnsi="Arial" w:cs="Arial"/>
          <w:b w:val="0"/>
          <w:bCs/>
          <w:caps w:val="0"/>
          <w:sz w:val="20"/>
        </w:rPr>
        <w:t xml:space="preserve">niversity of </w:t>
      </w:r>
      <w:r w:rsidR="00753FF9">
        <w:rPr>
          <w:rFonts w:ascii="Arial" w:hAnsi="Arial" w:cs="Arial"/>
          <w:b w:val="0"/>
          <w:bCs/>
          <w:caps w:val="0"/>
          <w:sz w:val="20"/>
        </w:rPr>
        <w:t>M</w:t>
      </w:r>
      <w:r w:rsidRPr="00FC60F3">
        <w:rPr>
          <w:rFonts w:ascii="Arial" w:hAnsi="Arial" w:cs="Arial"/>
          <w:b w:val="0"/>
          <w:bCs/>
          <w:caps w:val="0"/>
          <w:sz w:val="20"/>
        </w:rPr>
        <w:t xml:space="preserve">edicine and </w:t>
      </w:r>
      <w:r w:rsidR="00753FF9">
        <w:rPr>
          <w:rFonts w:ascii="Arial" w:hAnsi="Arial" w:cs="Arial"/>
          <w:b w:val="0"/>
          <w:bCs/>
          <w:caps w:val="0"/>
          <w:sz w:val="20"/>
        </w:rPr>
        <w:t>P</w:t>
      </w:r>
      <w:r w:rsidRPr="00FC60F3">
        <w:rPr>
          <w:rFonts w:ascii="Arial" w:hAnsi="Arial" w:cs="Arial"/>
          <w:b w:val="0"/>
          <w:bCs/>
          <w:caps w:val="0"/>
          <w:sz w:val="20"/>
        </w:rPr>
        <w:t xml:space="preserve">harmacy on </w:t>
      </w:r>
      <w:r w:rsidR="00753FF9">
        <w:rPr>
          <w:rFonts w:ascii="Arial" w:hAnsi="Arial" w:cs="Arial"/>
          <w:b w:val="0"/>
          <w:bCs/>
          <w:caps w:val="0"/>
          <w:sz w:val="20"/>
        </w:rPr>
        <w:t>M</w:t>
      </w:r>
      <w:r w:rsidRPr="00FC60F3">
        <w:rPr>
          <w:rFonts w:ascii="Arial" w:hAnsi="Arial" w:cs="Arial"/>
          <w:b w:val="0"/>
          <w:bCs/>
          <w:caps w:val="0"/>
          <w:sz w:val="20"/>
        </w:rPr>
        <w:t xml:space="preserve">arch 20, 2023 (approval number: </w:t>
      </w:r>
      <w:proofErr w:type="gramStart"/>
      <w:r w:rsidRPr="00FC60F3">
        <w:rPr>
          <w:rFonts w:ascii="Arial" w:hAnsi="Arial" w:cs="Arial"/>
          <w:b w:val="0"/>
          <w:bCs/>
          <w:caps w:val="0"/>
          <w:sz w:val="20"/>
        </w:rPr>
        <w:t>23.031.</w:t>
      </w:r>
      <w:r w:rsidR="00753FF9" w:rsidRPr="00FC60F3">
        <w:rPr>
          <w:rFonts w:ascii="Arial" w:hAnsi="Arial" w:cs="Arial"/>
          <w:b w:val="0"/>
          <w:bCs/>
          <w:caps w:val="0"/>
          <w:sz w:val="20"/>
        </w:rPr>
        <w:t>HV</w:t>
      </w:r>
      <w:proofErr w:type="gramEnd"/>
      <w:r w:rsidR="00753FF9" w:rsidRPr="00FC60F3">
        <w:rPr>
          <w:rFonts w:ascii="Arial" w:hAnsi="Arial" w:cs="Arial"/>
          <w:b w:val="0"/>
          <w:bCs/>
          <w:caps w:val="0"/>
          <w:sz w:val="20"/>
        </w:rPr>
        <w:t xml:space="preserve"> /PCT-HĐĐĐ</w:t>
      </w:r>
      <w:r w:rsidRPr="00FC60F3">
        <w:rPr>
          <w:rFonts w:ascii="Arial" w:hAnsi="Arial" w:cs="Arial"/>
          <w:b w:val="0"/>
          <w:bCs/>
          <w:caps w:val="0"/>
          <w:sz w:val="20"/>
        </w:rPr>
        <w:t>).</w:t>
      </w:r>
    </w:p>
    <w:p w14:paraId="304664CC" w14:textId="77777777" w:rsidR="00FC60F3" w:rsidRPr="00FC60F3" w:rsidRDefault="00FC60F3" w:rsidP="00753FF9">
      <w:pPr>
        <w:pStyle w:val="ReferHead"/>
        <w:rPr>
          <w:rFonts w:ascii="Arial" w:hAnsi="Arial" w:cs="Arial"/>
        </w:rPr>
      </w:pPr>
      <w:r w:rsidRPr="00FC60F3">
        <w:rPr>
          <w:rFonts w:ascii="Arial" w:hAnsi="Arial" w:cs="Arial"/>
        </w:rPr>
        <w:t>DISCLAIMER (ARTIFICIAL INTELLIGENCE)</w:t>
      </w:r>
    </w:p>
    <w:p w14:paraId="1795A0D2" w14:textId="6EFD28B2" w:rsidR="00FC60F3" w:rsidRPr="00753FF9" w:rsidRDefault="00753FF9" w:rsidP="00753FF9">
      <w:pPr>
        <w:pStyle w:val="ReferHead"/>
        <w:ind w:firstLine="720"/>
        <w:jc w:val="both"/>
        <w:rPr>
          <w:rFonts w:ascii="Arial" w:hAnsi="Arial" w:cs="Arial"/>
          <w:b w:val="0"/>
          <w:bCs/>
          <w:sz w:val="20"/>
        </w:rPr>
      </w:pPr>
      <w:r w:rsidRPr="00753FF9">
        <w:rPr>
          <w:rFonts w:ascii="Arial" w:hAnsi="Arial" w:cs="Arial"/>
          <w:b w:val="0"/>
          <w:bCs/>
          <w:caps w:val="0"/>
          <w:sz w:val="20"/>
        </w:rPr>
        <w:t xml:space="preserve">The authors affirm that generative artificial intelligence technologies, including large language models (such as </w:t>
      </w:r>
      <w:proofErr w:type="spellStart"/>
      <w:r w:rsidRPr="00753FF9">
        <w:rPr>
          <w:rFonts w:ascii="Arial" w:hAnsi="Arial" w:cs="Arial"/>
          <w:b w:val="0"/>
          <w:bCs/>
          <w:caps w:val="0"/>
          <w:sz w:val="20"/>
        </w:rPr>
        <w:t>chatgpt</w:t>
      </w:r>
      <w:proofErr w:type="spellEnd"/>
      <w:r w:rsidRPr="00753FF9">
        <w:rPr>
          <w:rFonts w:ascii="Arial" w:hAnsi="Arial" w:cs="Arial"/>
          <w:b w:val="0"/>
          <w:bCs/>
          <w:caps w:val="0"/>
          <w:sz w:val="20"/>
        </w:rPr>
        <w:t>, copilot) or text-to-image generators, were not utilized at any stage of the writing or editing process for this manuscript.</w:t>
      </w:r>
    </w:p>
    <w:p w14:paraId="321B64CF" w14:textId="3B706615" w:rsidR="00753FF9" w:rsidRDefault="00753FF9" w:rsidP="00FC60F3">
      <w:pPr>
        <w:pStyle w:val="ReferHead"/>
        <w:spacing w:after="0"/>
        <w:jc w:val="both"/>
        <w:rPr>
          <w:rFonts w:ascii="Arial" w:hAnsi="Arial" w:cs="Arial"/>
          <w:b w:val="0"/>
          <w:bCs/>
          <w:sz w:val="20"/>
          <w:lang w:val="vi-VN"/>
        </w:rPr>
      </w:pPr>
    </w:p>
    <w:p w14:paraId="620902FA" w14:textId="77777777" w:rsidR="00227B9C" w:rsidRPr="00753FF9" w:rsidRDefault="00227B9C" w:rsidP="00FC60F3">
      <w:pPr>
        <w:pStyle w:val="ReferHead"/>
        <w:spacing w:after="0"/>
        <w:jc w:val="both"/>
        <w:rPr>
          <w:rFonts w:ascii="Arial" w:hAnsi="Arial" w:cs="Arial"/>
          <w:b w:val="0"/>
          <w:bCs/>
          <w:sz w:val="20"/>
          <w:lang w:val="vi-VN"/>
        </w:rPr>
      </w:pPr>
    </w:p>
    <w:p w14:paraId="5D1513A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CA0EAE8" w14:textId="77777777" w:rsidR="00790ADA" w:rsidRPr="00FB3A86" w:rsidRDefault="00790ADA" w:rsidP="00441B6F">
      <w:pPr>
        <w:pStyle w:val="ReferHead"/>
        <w:spacing w:after="0"/>
        <w:jc w:val="both"/>
        <w:rPr>
          <w:rFonts w:ascii="Arial" w:hAnsi="Arial" w:cs="Arial"/>
        </w:rPr>
      </w:pPr>
    </w:p>
    <w:p w14:paraId="36510B43" w14:textId="77777777" w:rsidR="00753FF9" w:rsidRPr="00753FF9" w:rsidRDefault="00753FF9" w:rsidP="00753FF9">
      <w:pPr>
        <w:numPr>
          <w:ilvl w:val="0"/>
          <w:numId w:val="31"/>
        </w:numPr>
        <w:spacing w:after="160" w:line="259" w:lineRule="auto"/>
        <w:jc w:val="both"/>
        <w:rPr>
          <w:rFonts w:ascii="Arial" w:hAnsi="Arial" w:cs="Arial"/>
        </w:rPr>
      </w:pPr>
      <w:r w:rsidRPr="00753FF9">
        <w:rPr>
          <w:rFonts w:ascii="Arial" w:hAnsi="Arial" w:cs="Arial"/>
        </w:rPr>
        <w:t xml:space="preserve">Do TH, Nguyen TDT, Bui CT, Pham QK. </w:t>
      </w:r>
      <w:proofErr w:type="spellStart"/>
      <w:r w:rsidRPr="00753FF9">
        <w:rPr>
          <w:rFonts w:ascii="Arial" w:hAnsi="Arial" w:cs="Arial"/>
        </w:rPr>
        <w:t>Kieu</w:t>
      </w:r>
      <w:proofErr w:type="spellEnd"/>
      <w:r w:rsidRPr="00753FF9">
        <w:rPr>
          <w:rFonts w:ascii="Arial" w:hAnsi="Arial" w:cs="Arial"/>
        </w:rPr>
        <w:t xml:space="preserve"> </w:t>
      </w:r>
      <w:proofErr w:type="spellStart"/>
      <w:r w:rsidRPr="00753FF9">
        <w:rPr>
          <w:rFonts w:ascii="Arial" w:hAnsi="Arial" w:cs="Arial"/>
        </w:rPr>
        <w:t>Hinh</w:t>
      </w:r>
      <w:proofErr w:type="spellEnd"/>
      <w:r w:rsidRPr="00753FF9">
        <w:rPr>
          <w:rFonts w:ascii="Arial" w:hAnsi="Arial" w:cs="Arial"/>
        </w:rPr>
        <w:t xml:space="preserve"> hen </w:t>
      </w:r>
      <w:proofErr w:type="spellStart"/>
      <w:r w:rsidRPr="00753FF9">
        <w:rPr>
          <w:rFonts w:ascii="Arial" w:hAnsi="Arial" w:cs="Arial"/>
        </w:rPr>
        <w:t>phe</w:t>
      </w:r>
      <w:proofErr w:type="spellEnd"/>
      <w:r w:rsidRPr="00753FF9">
        <w:rPr>
          <w:rFonts w:ascii="Arial" w:hAnsi="Arial" w:cs="Arial"/>
        </w:rPr>
        <w:t xml:space="preserve"> </w:t>
      </w:r>
      <w:proofErr w:type="spellStart"/>
      <w:r w:rsidRPr="00753FF9">
        <w:rPr>
          <w:rFonts w:ascii="Arial" w:hAnsi="Arial" w:cs="Arial"/>
        </w:rPr>
        <w:t>quan</w:t>
      </w:r>
      <w:proofErr w:type="spellEnd"/>
      <w:r w:rsidRPr="00753FF9">
        <w:rPr>
          <w:rFonts w:ascii="Arial" w:hAnsi="Arial" w:cs="Arial"/>
        </w:rPr>
        <w:t xml:space="preserve"> </w:t>
      </w:r>
      <w:proofErr w:type="spellStart"/>
      <w:r w:rsidRPr="00753FF9">
        <w:rPr>
          <w:rFonts w:ascii="Arial" w:hAnsi="Arial" w:cs="Arial"/>
        </w:rPr>
        <w:t>cua</w:t>
      </w:r>
      <w:proofErr w:type="spellEnd"/>
      <w:r w:rsidRPr="00753FF9">
        <w:rPr>
          <w:rFonts w:ascii="Arial" w:hAnsi="Arial" w:cs="Arial"/>
        </w:rPr>
        <w:t xml:space="preserve"> </w:t>
      </w:r>
      <w:proofErr w:type="spellStart"/>
      <w:r w:rsidRPr="00753FF9">
        <w:rPr>
          <w:rFonts w:ascii="Arial" w:hAnsi="Arial" w:cs="Arial"/>
        </w:rPr>
        <w:t>tre</w:t>
      </w:r>
      <w:proofErr w:type="spellEnd"/>
      <w:r w:rsidRPr="00753FF9">
        <w:rPr>
          <w:rFonts w:ascii="Arial" w:hAnsi="Arial" w:cs="Arial"/>
        </w:rPr>
        <w:t xml:space="preserve"> </w:t>
      </w:r>
      <w:proofErr w:type="spellStart"/>
      <w:r w:rsidRPr="00753FF9">
        <w:rPr>
          <w:rFonts w:ascii="Arial" w:hAnsi="Arial" w:cs="Arial"/>
        </w:rPr>
        <w:t>em</w:t>
      </w:r>
      <w:proofErr w:type="spellEnd"/>
      <w:r w:rsidRPr="00753FF9">
        <w:rPr>
          <w:rFonts w:ascii="Arial" w:hAnsi="Arial" w:cs="Arial"/>
        </w:rPr>
        <w:t xml:space="preserve"> </w:t>
      </w:r>
      <w:proofErr w:type="spellStart"/>
      <w:r w:rsidRPr="00753FF9">
        <w:rPr>
          <w:rFonts w:ascii="Arial" w:hAnsi="Arial" w:cs="Arial"/>
        </w:rPr>
        <w:t>tren</w:t>
      </w:r>
      <w:proofErr w:type="spellEnd"/>
      <w:r w:rsidRPr="00753FF9">
        <w:rPr>
          <w:rFonts w:ascii="Arial" w:hAnsi="Arial" w:cs="Arial"/>
        </w:rPr>
        <w:t xml:space="preserve"> 5 </w:t>
      </w:r>
      <w:proofErr w:type="spellStart"/>
      <w:r w:rsidRPr="00753FF9">
        <w:rPr>
          <w:rFonts w:ascii="Arial" w:hAnsi="Arial" w:cs="Arial"/>
        </w:rPr>
        <w:t>tuoi</w:t>
      </w:r>
      <w:proofErr w:type="spellEnd"/>
      <w:r w:rsidRPr="00753FF9">
        <w:rPr>
          <w:rFonts w:ascii="Arial" w:hAnsi="Arial" w:cs="Arial"/>
        </w:rPr>
        <w:t xml:space="preserve"> tai </w:t>
      </w:r>
      <w:proofErr w:type="spellStart"/>
      <w:r w:rsidRPr="00753FF9">
        <w:rPr>
          <w:rFonts w:ascii="Arial" w:hAnsi="Arial" w:cs="Arial"/>
        </w:rPr>
        <w:t>Benh</w:t>
      </w:r>
      <w:proofErr w:type="spellEnd"/>
      <w:r w:rsidRPr="00753FF9">
        <w:rPr>
          <w:rFonts w:ascii="Arial" w:hAnsi="Arial" w:cs="Arial"/>
        </w:rPr>
        <w:t xml:space="preserve"> </w:t>
      </w:r>
      <w:proofErr w:type="spellStart"/>
      <w:r w:rsidRPr="00753FF9">
        <w:rPr>
          <w:rFonts w:ascii="Arial" w:hAnsi="Arial" w:cs="Arial"/>
        </w:rPr>
        <w:t>vien</w:t>
      </w:r>
      <w:proofErr w:type="spellEnd"/>
      <w:r w:rsidRPr="00753FF9">
        <w:rPr>
          <w:rFonts w:ascii="Arial" w:hAnsi="Arial" w:cs="Arial"/>
        </w:rPr>
        <w:t xml:space="preserve"> </w:t>
      </w:r>
      <w:proofErr w:type="spellStart"/>
      <w:r w:rsidRPr="00753FF9">
        <w:rPr>
          <w:rFonts w:ascii="Arial" w:hAnsi="Arial" w:cs="Arial"/>
        </w:rPr>
        <w:t>Nhi</w:t>
      </w:r>
      <w:proofErr w:type="spellEnd"/>
      <w:r w:rsidRPr="00753FF9">
        <w:rPr>
          <w:rFonts w:ascii="Arial" w:hAnsi="Arial" w:cs="Arial"/>
        </w:rPr>
        <w:t xml:space="preserve"> </w:t>
      </w:r>
      <w:proofErr w:type="spellStart"/>
      <w:r w:rsidRPr="00753FF9">
        <w:rPr>
          <w:rFonts w:ascii="Arial" w:hAnsi="Arial" w:cs="Arial"/>
        </w:rPr>
        <w:t>Trung</w:t>
      </w:r>
      <w:proofErr w:type="spellEnd"/>
      <w:r w:rsidRPr="00753FF9">
        <w:rPr>
          <w:rFonts w:ascii="Arial" w:hAnsi="Arial" w:cs="Arial"/>
        </w:rPr>
        <w:t xml:space="preserve"> </w:t>
      </w:r>
      <w:proofErr w:type="spellStart"/>
      <w:r w:rsidRPr="00753FF9">
        <w:rPr>
          <w:rFonts w:ascii="Arial" w:hAnsi="Arial" w:cs="Arial"/>
        </w:rPr>
        <w:t>uong</w:t>
      </w:r>
      <w:proofErr w:type="spellEnd"/>
      <w:r w:rsidRPr="00753FF9">
        <w:rPr>
          <w:rFonts w:ascii="Arial" w:hAnsi="Arial" w:cs="Arial"/>
        </w:rPr>
        <w:t xml:space="preserve"> [Phenotypes of asthma in children over 5 years old at the National Children's Hospital]. Tap chi </w:t>
      </w:r>
      <w:proofErr w:type="spellStart"/>
      <w:r w:rsidRPr="00753FF9">
        <w:rPr>
          <w:rFonts w:ascii="Arial" w:hAnsi="Arial" w:cs="Arial"/>
        </w:rPr>
        <w:t>Nghien</w:t>
      </w:r>
      <w:proofErr w:type="spellEnd"/>
      <w:r w:rsidRPr="00753FF9">
        <w:rPr>
          <w:rFonts w:ascii="Arial" w:hAnsi="Arial" w:cs="Arial"/>
        </w:rPr>
        <w:t xml:space="preserve"> </w:t>
      </w:r>
      <w:proofErr w:type="spellStart"/>
      <w:r w:rsidRPr="00753FF9">
        <w:rPr>
          <w:rFonts w:ascii="Arial" w:hAnsi="Arial" w:cs="Arial"/>
        </w:rPr>
        <w:t>cuu</w:t>
      </w:r>
      <w:proofErr w:type="spellEnd"/>
      <w:r w:rsidRPr="00753FF9">
        <w:rPr>
          <w:rFonts w:ascii="Arial" w:hAnsi="Arial" w:cs="Arial"/>
        </w:rPr>
        <w:t xml:space="preserve"> </w:t>
      </w:r>
      <w:proofErr w:type="spellStart"/>
      <w:r w:rsidRPr="00753FF9">
        <w:rPr>
          <w:rFonts w:ascii="Arial" w:hAnsi="Arial" w:cs="Arial"/>
        </w:rPr>
        <w:t>va</w:t>
      </w:r>
      <w:proofErr w:type="spellEnd"/>
      <w:r w:rsidRPr="00753FF9">
        <w:rPr>
          <w:rFonts w:ascii="Arial" w:hAnsi="Arial" w:cs="Arial"/>
        </w:rPr>
        <w:t xml:space="preserve"> </w:t>
      </w:r>
      <w:proofErr w:type="spellStart"/>
      <w:r w:rsidRPr="00753FF9">
        <w:rPr>
          <w:rFonts w:ascii="Arial" w:hAnsi="Arial" w:cs="Arial"/>
        </w:rPr>
        <w:t>Thuc</w:t>
      </w:r>
      <w:proofErr w:type="spellEnd"/>
      <w:r w:rsidRPr="00753FF9">
        <w:rPr>
          <w:rFonts w:ascii="Arial" w:hAnsi="Arial" w:cs="Arial"/>
        </w:rPr>
        <w:t xml:space="preserve"> </w:t>
      </w:r>
      <w:proofErr w:type="spellStart"/>
      <w:r w:rsidRPr="00753FF9">
        <w:rPr>
          <w:rFonts w:ascii="Arial" w:hAnsi="Arial" w:cs="Arial"/>
        </w:rPr>
        <w:t>hanh</w:t>
      </w:r>
      <w:proofErr w:type="spellEnd"/>
      <w:r w:rsidRPr="00753FF9">
        <w:rPr>
          <w:rFonts w:ascii="Arial" w:hAnsi="Arial" w:cs="Arial"/>
        </w:rPr>
        <w:t xml:space="preserve"> Nhi khoa [Journal of Pediatric Research and Practice]. 2019;3(1):41-48. doi:10.25073/</w:t>
      </w:r>
      <w:proofErr w:type="gramStart"/>
      <w:r w:rsidRPr="00753FF9">
        <w:rPr>
          <w:rFonts w:ascii="Arial" w:hAnsi="Arial" w:cs="Arial"/>
        </w:rPr>
        <w:t>jprp.v</w:t>
      </w:r>
      <w:proofErr w:type="gramEnd"/>
      <w:r w:rsidRPr="00753FF9">
        <w:rPr>
          <w:rFonts w:ascii="Arial" w:hAnsi="Arial" w:cs="Arial"/>
        </w:rPr>
        <w:t>3i1.115.</w:t>
      </w:r>
    </w:p>
    <w:p w14:paraId="5E29E5BA" w14:textId="77777777" w:rsidR="00753FF9" w:rsidRPr="00753FF9" w:rsidRDefault="00753FF9" w:rsidP="00753FF9">
      <w:pPr>
        <w:numPr>
          <w:ilvl w:val="0"/>
          <w:numId w:val="31"/>
        </w:numPr>
        <w:spacing w:after="160" w:line="259" w:lineRule="auto"/>
        <w:jc w:val="both"/>
        <w:rPr>
          <w:rFonts w:ascii="Arial" w:hAnsi="Arial" w:cs="Arial"/>
        </w:rPr>
      </w:pPr>
      <w:r w:rsidRPr="00753FF9">
        <w:rPr>
          <w:rFonts w:ascii="Arial" w:hAnsi="Arial" w:cs="Arial"/>
        </w:rPr>
        <w:t xml:space="preserve">Le TTH. </w:t>
      </w:r>
      <w:proofErr w:type="spellStart"/>
      <w:r w:rsidRPr="00753FF9">
        <w:rPr>
          <w:rFonts w:ascii="Arial" w:hAnsi="Arial" w:cs="Arial"/>
        </w:rPr>
        <w:t>Nghien</w:t>
      </w:r>
      <w:proofErr w:type="spellEnd"/>
      <w:r w:rsidRPr="00753FF9">
        <w:rPr>
          <w:rFonts w:ascii="Arial" w:hAnsi="Arial" w:cs="Arial"/>
        </w:rPr>
        <w:t xml:space="preserve"> </w:t>
      </w:r>
      <w:proofErr w:type="spellStart"/>
      <w:r w:rsidRPr="00753FF9">
        <w:rPr>
          <w:rFonts w:ascii="Arial" w:hAnsi="Arial" w:cs="Arial"/>
        </w:rPr>
        <w:t>cuu</w:t>
      </w:r>
      <w:proofErr w:type="spellEnd"/>
      <w:r w:rsidRPr="00753FF9">
        <w:rPr>
          <w:rFonts w:ascii="Arial" w:hAnsi="Arial" w:cs="Arial"/>
        </w:rPr>
        <w:t xml:space="preserve"> bien </w:t>
      </w:r>
      <w:proofErr w:type="spellStart"/>
      <w:r w:rsidRPr="00753FF9">
        <w:rPr>
          <w:rFonts w:ascii="Arial" w:hAnsi="Arial" w:cs="Arial"/>
        </w:rPr>
        <w:t>doi</w:t>
      </w:r>
      <w:proofErr w:type="spellEnd"/>
      <w:r w:rsidRPr="00753FF9">
        <w:rPr>
          <w:rFonts w:ascii="Arial" w:hAnsi="Arial" w:cs="Arial"/>
        </w:rPr>
        <w:t xml:space="preserve"> mot so </w:t>
      </w:r>
      <w:proofErr w:type="spellStart"/>
      <w:r w:rsidRPr="00753FF9">
        <w:rPr>
          <w:rFonts w:ascii="Arial" w:hAnsi="Arial" w:cs="Arial"/>
        </w:rPr>
        <w:t>te</w:t>
      </w:r>
      <w:proofErr w:type="spellEnd"/>
      <w:r w:rsidRPr="00753FF9">
        <w:rPr>
          <w:rFonts w:ascii="Arial" w:hAnsi="Arial" w:cs="Arial"/>
        </w:rPr>
        <w:t xml:space="preserve"> bao </w:t>
      </w:r>
      <w:proofErr w:type="spellStart"/>
      <w:r w:rsidRPr="00753FF9">
        <w:rPr>
          <w:rFonts w:ascii="Arial" w:hAnsi="Arial" w:cs="Arial"/>
        </w:rPr>
        <w:t>viem</w:t>
      </w:r>
      <w:proofErr w:type="spellEnd"/>
      <w:r w:rsidRPr="00753FF9">
        <w:rPr>
          <w:rFonts w:ascii="Arial" w:hAnsi="Arial" w:cs="Arial"/>
        </w:rPr>
        <w:t xml:space="preserve"> </w:t>
      </w:r>
      <w:proofErr w:type="spellStart"/>
      <w:r w:rsidRPr="00753FF9">
        <w:rPr>
          <w:rFonts w:ascii="Arial" w:hAnsi="Arial" w:cs="Arial"/>
        </w:rPr>
        <w:t>va</w:t>
      </w:r>
      <w:proofErr w:type="spellEnd"/>
      <w:r w:rsidRPr="00753FF9">
        <w:rPr>
          <w:rFonts w:ascii="Arial" w:hAnsi="Arial" w:cs="Arial"/>
        </w:rPr>
        <w:t xml:space="preserve"> cytokine </w:t>
      </w:r>
      <w:proofErr w:type="spellStart"/>
      <w:r w:rsidRPr="00753FF9">
        <w:rPr>
          <w:rFonts w:ascii="Arial" w:hAnsi="Arial" w:cs="Arial"/>
        </w:rPr>
        <w:t>trong</w:t>
      </w:r>
      <w:proofErr w:type="spellEnd"/>
      <w:r w:rsidRPr="00753FF9">
        <w:rPr>
          <w:rFonts w:ascii="Arial" w:hAnsi="Arial" w:cs="Arial"/>
        </w:rPr>
        <w:t xml:space="preserve"> </w:t>
      </w:r>
      <w:proofErr w:type="spellStart"/>
      <w:r w:rsidRPr="00753FF9">
        <w:rPr>
          <w:rFonts w:ascii="Arial" w:hAnsi="Arial" w:cs="Arial"/>
        </w:rPr>
        <w:t>mau</w:t>
      </w:r>
      <w:proofErr w:type="spellEnd"/>
      <w:r w:rsidRPr="00753FF9">
        <w:rPr>
          <w:rFonts w:ascii="Arial" w:hAnsi="Arial" w:cs="Arial"/>
        </w:rPr>
        <w:t xml:space="preserve"> </w:t>
      </w:r>
      <w:proofErr w:type="spellStart"/>
      <w:r w:rsidRPr="00753FF9">
        <w:rPr>
          <w:rFonts w:ascii="Arial" w:hAnsi="Arial" w:cs="Arial"/>
        </w:rPr>
        <w:t>ngoai</w:t>
      </w:r>
      <w:proofErr w:type="spellEnd"/>
      <w:r w:rsidRPr="00753FF9">
        <w:rPr>
          <w:rFonts w:ascii="Arial" w:hAnsi="Arial" w:cs="Arial"/>
        </w:rPr>
        <w:t xml:space="preserve"> vi o </w:t>
      </w:r>
      <w:proofErr w:type="spellStart"/>
      <w:r w:rsidRPr="00753FF9">
        <w:rPr>
          <w:rFonts w:ascii="Arial" w:hAnsi="Arial" w:cs="Arial"/>
        </w:rPr>
        <w:t>tre</w:t>
      </w:r>
      <w:proofErr w:type="spellEnd"/>
      <w:r w:rsidRPr="00753FF9">
        <w:rPr>
          <w:rFonts w:ascii="Arial" w:hAnsi="Arial" w:cs="Arial"/>
        </w:rPr>
        <w:t xml:space="preserve"> hen </w:t>
      </w:r>
      <w:proofErr w:type="spellStart"/>
      <w:r w:rsidRPr="00753FF9">
        <w:rPr>
          <w:rFonts w:ascii="Arial" w:hAnsi="Arial" w:cs="Arial"/>
        </w:rPr>
        <w:t>phe</w:t>
      </w:r>
      <w:proofErr w:type="spellEnd"/>
      <w:r w:rsidRPr="00753FF9">
        <w:rPr>
          <w:rFonts w:ascii="Arial" w:hAnsi="Arial" w:cs="Arial"/>
        </w:rPr>
        <w:t xml:space="preserve"> </w:t>
      </w:r>
      <w:proofErr w:type="spellStart"/>
      <w:r w:rsidRPr="00753FF9">
        <w:rPr>
          <w:rFonts w:ascii="Arial" w:hAnsi="Arial" w:cs="Arial"/>
        </w:rPr>
        <w:t>quan</w:t>
      </w:r>
      <w:proofErr w:type="spellEnd"/>
      <w:r w:rsidRPr="00753FF9">
        <w:rPr>
          <w:rFonts w:ascii="Arial" w:hAnsi="Arial" w:cs="Arial"/>
        </w:rPr>
        <w:t xml:space="preserve"> [A study on the changes of some inflammatory cells and cytokines in peripheral blood of asthmatic children] [PhD thesis]. Hanoi: Hanoi Medical University; 2017.</w:t>
      </w:r>
    </w:p>
    <w:p w14:paraId="085EE8FD" w14:textId="77777777" w:rsidR="00753FF9" w:rsidRPr="00753FF9" w:rsidRDefault="00753FF9" w:rsidP="00753FF9">
      <w:pPr>
        <w:numPr>
          <w:ilvl w:val="0"/>
          <w:numId w:val="31"/>
        </w:numPr>
        <w:spacing w:after="160" w:line="259" w:lineRule="auto"/>
        <w:jc w:val="both"/>
        <w:rPr>
          <w:rFonts w:ascii="Arial" w:hAnsi="Arial" w:cs="Arial"/>
        </w:rPr>
      </w:pPr>
      <w:proofErr w:type="spellStart"/>
      <w:r w:rsidRPr="00753FF9">
        <w:rPr>
          <w:rFonts w:ascii="Arial" w:hAnsi="Arial" w:cs="Arial"/>
        </w:rPr>
        <w:t>Akar-Ghibril</w:t>
      </w:r>
      <w:proofErr w:type="spellEnd"/>
      <w:r w:rsidRPr="00753FF9">
        <w:rPr>
          <w:rFonts w:ascii="Arial" w:hAnsi="Arial" w:cs="Arial"/>
        </w:rPr>
        <w:t xml:space="preserve"> N, Greco KF, Jackson-Browne M, </w:t>
      </w:r>
      <w:proofErr w:type="spellStart"/>
      <w:r w:rsidRPr="00753FF9">
        <w:rPr>
          <w:rFonts w:ascii="Arial" w:hAnsi="Arial" w:cs="Arial"/>
        </w:rPr>
        <w:t>Phipatanakul</w:t>
      </w:r>
      <w:proofErr w:type="spellEnd"/>
      <w:r w:rsidRPr="00753FF9">
        <w:rPr>
          <w:rFonts w:ascii="Arial" w:hAnsi="Arial" w:cs="Arial"/>
        </w:rPr>
        <w:t xml:space="preserve"> W, </w:t>
      </w:r>
      <w:proofErr w:type="spellStart"/>
      <w:r w:rsidRPr="00753FF9">
        <w:rPr>
          <w:rFonts w:ascii="Arial" w:hAnsi="Arial" w:cs="Arial"/>
        </w:rPr>
        <w:t>Permaul</w:t>
      </w:r>
      <w:proofErr w:type="spellEnd"/>
      <w:r w:rsidRPr="00753FF9">
        <w:rPr>
          <w:rFonts w:ascii="Arial" w:hAnsi="Arial" w:cs="Arial"/>
        </w:rPr>
        <w:t xml:space="preserve"> P. High plasma IL-6 levels may enhance the adverse effects of mouse allergen exposure in urban schools on asthma morbidity in children. J Allergy Clin Immunol. 2023;152(6):1677-82. </w:t>
      </w:r>
      <w:proofErr w:type="spellStart"/>
      <w:r w:rsidRPr="00753FF9">
        <w:rPr>
          <w:rFonts w:ascii="Arial" w:hAnsi="Arial" w:cs="Arial"/>
        </w:rPr>
        <w:t>doi</w:t>
      </w:r>
      <w:proofErr w:type="spellEnd"/>
      <w:r w:rsidRPr="00753FF9">
        <w:rPr>
          <w:rFonts w:ascii="Arial" w:hAnsi="Arial" w:cs="Arial"/>
        </w:rPr>
        <w:t>: 10.1016/j.jaci.2023.06.027.</w:t>
      </w:r>
    </w:p>
    <w:p w14:paraId="3C1CF246" w14:textId="77777777" w:rsidR="00753FF9" w:rsidRPr="00753FF9" w:rsidRDefault="00753FF9" w:rsidP="00753FF9">
      <w:pPr>
        <w:numPr>
          <w:ilvl w:val="0"/>
          <w:numId w:val="31"/>
        </w:numPr>
        <w:spacing w:after="160" w:line="259" w:lineRule="auto"/>
        <w:jc w:val="both"/>
        <w:rPr>
          <w:rFonts w:ascii="Arial" w:hAnsi="Arial" w:cs="Arial"/>
        </w:rPr>
      </w:pPr>
      <w:r w:rsidRPr="00753FF9">
        <w:rPr>
          <w:rFonts w:ascii="Arial" w:hAnsi="Arial" w:cs="Arial"/>
        </w:rPr>
        <w:t xml:space="preserve">Hammad H, Lambrecht BN. The basic immunology of asthma. Cell. 2021;184(6):1469-85. </w:t>
      </w:r>
      <w:proofErr w:type="gramStart"/>
      <w:r w:rsidRPr="00753FF9">
        <w:rPr>
          <w:rFonts w:ascii="Arial" w:hAnsi="Arial" w:cs="Arial"/>
        </w:rPr>
        <w:t>doi:10.1016/j.cell</w:t>
      </w:r>
      <w:proofErr w:type="gramEnd"/>
      <w:r w:rsidRPr="00753FF9">
        <w:rPr>
          <w:rFonts w:ascii="Arial" w:hAnsi="Arial" w:cs="Arial"/>
        </w:rPr>
        <w:t>.2021.02.016.</w:t>
      </w:r>
    </w:p>
    <w:p w14:paraId="3D874265" w14:textId="77777777" w:rsidR="00753FF9" w:rsidRPr="00753FF9" w:rsidRDefault="00753FF9" w:rsidP="00753FF9">
      <w:pPr>
        <w:numPr>
          <w:ilvl w:val="0"/>
          <w:numId w:val="31"/>
        </w:numPr>
        <w:spacing w:after="160" w:line="259" w:lineRule="auto"/>
        <w:jc w:val="both"/>
        <w:rPr>
          <w:rFonts w:ascii="Arial" w:hAnsi="Arial" w:cs="Arial"/>
        </w:rPr>
      </w:pPr>
      <w:r w:rsidRPr="00753FF9">
        <w:rPr>
          <w:rFonts w:ascii="Arial" w:hAnsi="Arial" w:cs="Arial"/>
          <w:lang w:val="fr-FR"/>
        </w:rPr>
        <w:t xml:space="preserve">Jackson DJ, Evans MD, </w:t>
      </w:r>
      <w:proofErr w:type="spellStart"/>
      <w:r w:rsidRPr="00753FF9">
        <w:rPr>
          <w:rFonts w:ascii="Arial" w:hAnsi="Arial" w:cs="Arial"/>
          <w:lang w:val="fr-FR"/>
        </w:rPr>
        <w:t>Gangnon</w:t>
      </w:r>
      <w:proofErr w:type="spellEnd"/>
      <w:r w:rsidRPr="00753FF9">
        <w:rPr>
          <w:rFonts w:ascii="Arial" w:hAnsi="Arial" w:cs="Arial"/>
          <w:lang w:val="fr-FR"/>
        </w:rPr>
        <w:t xml:space="preserve"> RE, et al. </w:t>
      </w:r>
      <w:r w:rsidRPr="00753FF9">
        <w:rPr>
          <w:rFonts w:ascii="Arial" w:hAnsi="Arial" w:cs="Arial"/>
        </w:rPr>
        <w:t xml:space="preserve">IL-6: Marker of morbidity in children with asthma living in urban environments. J Allergy Clin Immunol. 2020;145(6):1707-15. </w:t>
      </w:r>
      <w:proofErr w:type="gramStart"/>
      <w:r w:rsidRPr="00753FF9">
        <w:rPr>
          <w:rFonts w:ascii="Arial" w:hAnsi="Arial" w:cs="Arial"/>
        </w:rPr>
        <w:t>doi:10.1016/j.jaci</w:t>
      </w:r>
      <w:proofErr w:type="gramEnd"/>
      <w:r w:rsidRPr="00753FF9">
        <w:rPr>
          <w:rFonts w:ascii="Arial" w:hAnsi="Arial" w:cs="Arial"/>
        </w:rPr>
        <w:t>.2019.12.909.</w:t>
      </w:r>
    </w:p>
    <w:p w14:paraId="090AE3CD" w14:textId="77777777" w:rsidR="00753FF9" w:rsidRPr="00753FF9" w:rsidRDefault="00753FF9" w:rsidP="00753FF9">
      <w:pPr>
        <w:numPr>
          <w:ilvl w:val="0"/>
          <w:numId w:val="31"/>
        </w:numPr>
        <w:spacing w:after="160" w:line="259" w:lineRule="auto"/>
        <w:jc w:val="both"/>
        <w:rPr>
          <w:rFonts w:ascii="Arial" w:hAnsi="Arial" w:cs="Arial"/>
        </w:rPr>
      </w:pPr>
      <w:r w:rsidRPr="00753FF9">
        <w:rPr>
          <w:rFonts w:ascii="Arial" w:hAnsi="Arial" w:cs="Arial"/>
        </w:rPr>
        <w:t xml:space="preserve">Jevnikar Z, Ostling J, Ax E, Calven J, Thorn K, Israelsson E, et al. Epithelial IL-6 trans-signaling defines a new asthma phenotype with increased airway inflammation. J Allergy Clin Immunol. 2019;143(2):577-90. </w:t>
      </w:r>
      <w:proofErr w:type="spellStart"/>
      <w:r w:rsidRPr="00753FF9">
        <w:rPr>
          <w:rFonts w:ascii="Arial" w:hAnsi="Arial" w:cs="Arial"/>
        </w:rPr>
        <w:t>doi</w:t>
      </w:r>
      <w:proofErr w:type="spellEnd"/>
      <w:r w:rsidRPr="00753FF9">
        <w:rPr>
          <w:rFonts w:ascii="Arial" w:hAnsi="Arial" w:cs="Arial"/>
        </w:rPr>
        <w:t>: 10.1016/j.jaci.2018.05.011.</w:t>
      </w:r>
    </w:p>
    <w:p w14:paraId="01D1F16A" w14:textId="77777777" w:rsidR="00753FF9" w:rsidRPr="00753FF9" w:rsidRDefault="00753FF9" w:rsidP="00753FF9">
      <w:pPr>
        <w:numPr>
          <w:ilvl w:val="0"/>
          <w:numId w:val="31"/>
        </w:numPr>
        <w:spacing w:after="160" w:line="259" w:lineRule="auto"/>
        <w:jc w:val="both"/>
        <w:rPr>
          <w:rFonts w:ascii="Arial" w:hAnsi="Arial" w:cs="Arial"/>
        </w:rPr>
      </w:pPr>
      <w:r w:rsidRPr="00753FF9">
        <w:rPr>
          <w:rFonts w:ascii="Arial" w:hAnsi="Arial" w:cs="Arial"/>
          <w:lang w:val="fr-FR"/>
        </w:rPr>
        <w:t xml:space="preserve">Nguyen-Thi-Dieu T, Pham-Thi-Hong T, et al. </w:t>
      </w:r>
      <w:r w:rsidRPr="00753FF9">
        <w:rPr>
          <w:rFonts w:ascii="Arial" w:hAnsi="Arial" w:cs="Arial"/>
        </w:rPr>
        <w:t xml:space="preserve">Prevalence of asthma and related symptoms among Vietnamese children: a population-based study. </w:t>
      </w:r>
      <w:proofErr w:type="spellStart"/>
      <w:r w:rsidRPr="00753FF9">
        <w:rPr>
          <w:rFonts w:ascii="Arial" w:hAnsi="Arial" w:cs="Arial"/>
        </w:rPr>
        <w:t>Allergol</w:t>
      </w:r>
      <w:proofErr w:type="spellEnd"/>
      <w:r w:rsidRPr="00753FF9">
        <w:rPr>
          <w:rFonts w:ascii="Arial" w:hAnsi="Arial" w:cs="Arial"/>
        </w:rPr>
        <w:t xml:space="preserve"> Int. 2017;66(2):220-6. </w:t>
      </w:r>
      <w:proofErr w:type="gramStart"/>
      <w:r w:rsidRPr="00753FF9">
        <w:rPr>
          <w:rFonts w:ascii="Arial" w:hAnsi="Arial" w:cs="Arial"/>
        </w:rPr>
        <w:t>doi:10.1016/j.alit</w:t>
      </w:r>
      <w:proofErr w:type="gramEnd"/>
      <w:r w:rsidRPr="00753FF9">
        <w:rPr>
          <w:rFonts w:ascii="Arial" w:hAnsi="Arial" w:cs="Arial"/>
        </w:rPr>
        <w:t>.2016.06.002.</w:t>
      </w:r>
    </w:p>
    <w:p w14:paraId="6E271CFD" w14:textId="77777777" w:rsidR="00753FF9" w:rsidRPr="00753FF9" w:rsidRDefault="00753FF9" w:rsidP="00753FF9">
      <w:pPr>
        <w:numPr>
          <w:ilvl w:val="0"/>
          <w:numId w:val="31"/>
        </w:numPr>
        <w:spacing w:after="160" w:line="259" w:lineRule="auto"/>
        <w:jc w:val="both"/>
        <w:rPr>
          <w:rFonts w:ascii="Arial" w:hAnsi="Arial" w:cs="Arial"/>
        </w:rPr>
      </w:pPr>
      <w:r w:rsidRPr="00753FF9">
        <w:rPr>
          <w:rFonts w:ascii="Arial" w:hAnsi="Arial" w:cs="Arial"/>
          <w:lang w:val="nl-NL"/>
        </w:rPr>
        <w:t xml:space="preserve">Pan R, Kuai S, Li Q, et al. </w:t>
      </w:r>
      <w:r w:rsidRPr="00753FF9">
        <w:rPr>
          <w:rFonts w:ascii="Arial" w:hAnsi="Arial" w:cs="Arial"/>
        </w:rPr>
        <w:t>Diagnostic value of IL-6 for patients with asthma: a meta-analysis. Allergy Asthma Clin Immunol. 2023;19(1):39. doi:10.1186/s13223-023-00794-3.</w:t>
      </w:r>
    </w:p>
    <w:p w14:paraId="6D8FF991" w14:textId="77777777" w:rsidR="00753FF9" w:rsidRPr="00753FF9" w:rsidRDefault="00753FF9" w:rsidP="00753FF9">
      <w:pPr>
        <w:numPr>
          <w:ilvl w:val="0"/>
          <w:numId w:val="31"/>
        </w:numPr>
        <w:spacing w:after="160" w:line="259" w:lineRule="auto"/>
        <w:jc w:val="both"/>
        <w:rPr>
          <w:rFonts w:ascii="Arial" w:hAnsi="Arial" w:cs="Arial"/>
        </w:rPr>
      </w:pPr>
      <w:r w:rsidRPr="00753FF9">
        <w:rPr>
          <w:rFonts w:ascii="Arial" w:hAnsi="Arial" w:cs="Arial"/>
        </w:rPr>
        <w:t xml:space="preserve">World Health Organization. Asthma [Internet]. Geneva: WHO; 2024 [cited 2024 Oct 14]. Available from: </w:t>
      </w:r>
      <w:hyperlink r:id="rId14" w:tgtFrame="_blank" w:history="1">
        <w:r w:rsidRPr="00753FF9">
          <w:rPr>
            <w:rStyle w:val="Hyperlink"/>
            <w:rFonts w:ascii="Arial" w:hAnsi="Arial" w:cs="Arial"/>
          </w:rPr>
          <w:t>https://www.who.int/news-room/fact-sheets/detail/asthma</w:t>
        </w:r>
      </w:hyperlink>
      <w:r w:rsidRPr="00753FF9">
        <w:rPr>
          <w:rFonts w:ascii="Arial" w:hAnsi="Arial" w:cs="Arial"/>
        </w:rPr>
        <w:t>.</w:t>
      </w:r>
    </w:p>
    <w:p w14:paraId="4766108F" w14:textId="77777777" w:rsidR="00753FF9" w:rsidRPr="00D84902" w:rsidRDefault="00753FF9" w:rsidP="00753FF9">
      <w:pPr>
        <w:numPr>
          <w:ilvl w:val="0"/>
          <w:numId w:val="31"/>
        </w:numPr>
        <w:spacing w:after="160" w:line="259" w:lineRule="auto"/>
        <w:jc w:val="both"/>
        <w:rPr>
          <w:rFonts w:asciiTheme="majorHAnsi" w:hAnsiTheme="majorHAnsi" w:cstheme="majorHAnsi"/>
          <w:sz w:val="24"/>
          <w:szCs w:val="24"/>
        </w:rPr>
      </w:pPr>
      <w:r w:rsidRPr="00753FF9">
        <w:rPr>
          <w:rFonts w:ascii="Arial" w:hAnsi="Arial" w:cs="Arial"/>
          <w:lang w:val="nl-NL"/>
        </w:rPr>
        <w:lastRenderedPageBreak/>
        <w:t xml:space="preserve">Zhang X., Wang Y., Li Z., et al (2022). </w:t>
      </w:r>
      <w:r w:rsidRPr="00753FF9">
        <w:rPr>
          <w:rFonts w:ascii="Arial" w:hAnsi="Arial" w:cs="Arial"/>
        </w:rPr>
        <w:t xml:space="preserve">Mechanisms of asthma: the role of IL-6 in airway inflammation and remodeling. Immunology &amp; Cell Biology, </w:t>
      </w:r>
      <w:r w:rsidRPr="00753FF9">
        <w:rPr>
          <w:rFonts w:ascii="Arial" w:hAnsi="Arial" w:cs="Arial"/>
          <w:i/>
          <w:iCs/>
        </w:rPr>
        <w:t>100</w:t>
      </w:r>
      <w:r w:rsidRPr="00753FF9">
        <w:rPr>
          <w:rFonts w:ascii="Arial" w:hAnsi="Arial" w:cs="Arial"/>
        </w:rPr>
        <w:t xml:space="preserve">(5), 123-135. </w:t>
      </w:r>
      <w:hyperlink r:id="rId15" w:history="1">
        <w:r w:rsidRPr="00753FF9">
          <w:rPr>
            <w:rStyle w:val="Hyperlink"/>
            <w:rFonts w:ascii="Arial" w:hAnsi="Arial" w:cs="Arial"/>
          </w:rPr>
          <w:t>https://doi.org/10.1111/imcb.12522</w:t>
        </w:r>
      </w:hyperlink>
    </w:p>
    <w:p w14:paraId="3196128B" w14:textId="77777777" w:rsidR="00753FF9" w:rsidRPr="004A0B96" w:rsidRDefault="00753FF9" w:rsidP="00753FF9">
      <w:pPr>
        <w:jc w:val="both"/>
        <w:rPr>
          <w:rFonts w:asciiTheme="majorHAnsi" w:hAnsiTheme="majorHAnsi" w:cstheme="majorHAnsi"/>
          <w:b/>
          <w:bCs/>
          <w:sz w:val="24"/>
          <w:szCs w:val="24"/>
        </w:rPr>
      </w:pPr>
    </w:p>
    <w:p w14:paraId="1A86329E" w14:textId="77777777" w:rsidR="00B01FCD" w:rsidRPr="00FB3A86" w:rsidRDefault="00B01FCD" w:rsidP="00441B6F">
      <w:pPr>
        <w:pStyle w:val="Appendix"/>
        <w:spacing w:after="0"/>
        <w:jc w:val="both"/>
        <w:rPr>
          <w:rFonts w:ascii="Arial" w:hAnsi="Arial" w:cs="Arial"/>
          <w:b w:val="0"/>
        </w:rPr>
      </w:pPr>
    </w:p>
    <w:sectPr w:rsidR="00B01FCD" w:rsidRPr="00FB3A86" w:rsidSect="00227B9C">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911C1" w14:textId="77777777" w:rsidR="00ED05A1" w:rsidRDefault="00ED05A1" w:rsidP="00C37E61">
      <w:r>
        <w:separator/>
      </w:r>
    </w:p>
  </w:endnote>
  <w:endnote w:type="continuationSeparator" w:id="0">
    <w:p w14:paraId="57A99F40" w14:textId="77777777" w:rsidR="00ED05A1" w:rsidRDefault="00ED05A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5C357" w14:textId="77777777" w:rsidR="00227B9C" w:rsidRDefault="00227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32F97" w14:textId="2667E93C" w:rsidR="00C37E61" w:rsidRPr="00D81D62" w:rsidRDefault="00920878" w:rsidP="00D81D62">
    <w:pPr>
      <w:pStyle w:val="Footer"/>
    </w:pPr>
    <w:r w:rsidRPr="00D81D6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B7C41" w14:textId="3222961E" w:rsidR="00754C9A" w:rsidRPr="00B265F2" w:rsidRDefault="00754C9A" w:rsidP="00B265F2">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B436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4B9E09" w14:textId="77777777" w:rsidR="00ED05A1" w:rsidRDefault="00ED05A1" w:rsidP="00C37E61">
      <w:r>
        <w:separator/>
      </w:r>
    </w:p>
  </w:footnote>
  <w:footnote w:type="continuationSeparator" w:id="0">
    <w:p w14:paraId="14F9B096" w14:textId="77777777" w:rsidR="00ED05A1" w:rsidRDefault="00ED05A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7CF67" w14:textId="76F20CCA" w:rsidR="00227B9C" w:rsidRDefault="00227B9C">
    <w:pPr>
      <w:pStyle w:val="Header"/>
    </w:pPr>
    <w:r>
      <w:rPr>
        <w:noProof/>
      </w:rPr>
      <w:pict w14:anchorId="190885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5751"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DCE02" w14:textId="4090B876" w:rsidR="00227B9C" w:rsidRDefault="00227B9C">
    <w:pPr>
      <w:pStyle w:val="Header"/>
    </w:pPr>
    <w:r>
      <w:rPr>
        <w:noProof/>
      </w:rPr>
      <w:pict w14:anchorId="3040C9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5752"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E782C" w14:textId="087D1738" w:rsidR="00296529" w:rsidRPr="00296529" w:rsidRDefault="00227B9C" w:rsidP="00296529">
    <w:pPr>
      <w:ind w:left="2160"/>
      <w:jc w:val="center"/>
      <w:rPr>
        <w:rFonts w:ascii="Times New Roman" w:eastAsia="Calibri" w:hAnsi="Times New Roman"/>
        <w:i/>
        <w:sz w:val="18"/>
        <w:szCs w:val="22"/>
      </w:rPr>
    </w:pPr>
    <w:r>
      <w:rPr>
        <w:noProof/>
      </w:rPr>
      <w:pict w14:anchorId="0218B2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5750"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E44E74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46990F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0EA5B0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9B2B71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827CDB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A0CD5C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9359B" w14:textId="417049B7" w:rsidR="00227B9C" w:rsidRDefault="00227B9C">
    <w:pPr>
      <w:pStyle w:val="Header"/>
    </w:pPr>
    <w:r>
      <w:rPr>
        <w:noProof/>
      </w:rPr>
      <w:pict w14:anchorId="6DF3EA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5754"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49C46" w14:textId="2DE31D23" w:rsidR="00227B9C" w:rsidRDefault="00227B9C">
    <w:pPr>
      <w:pStyle w:val="Header"/>
    </w:pPr>
    <w:r>
      <w:rPr>
        <w:noProof/>
      </w:rPr>
      <w:pict w14:anchorId="0B4D41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5755"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5C4F4" w14:textId="35176945" w:rsidR="00227B9C" w:rsidRDefault="00227B9C">
    <w:pPr>
      <w:pStyle w:val="Header"/>
    </w:pPr>
    <w:r>
      <w:rPr>
        <w:noProof/>
      </w:rPr>
      <w:pict w14:anchorId="2EA2C2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5753"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8E24E0E"/>
    <w:multiLevelType w:val="multilevel"/>
    <w:tmpl w:val="7DC21AD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9"/>
  </w:num>
  <w:num w:numId="20">
    <w:abstractNumId w:val="11"/>
  </w:num>
  <w:num w:numId="21">
    <w:abstractNumId w:val="9"/>
  </w:num>
  <w:num w:numId="22">
    <w:abstractNumId w:val="13"/>
  </w:num>
  <w:num w:numId="23">
    <w:abstractNumId w:val="19"/>
  </w:num>
  <w:num w:numId="24">
    <w:abstractNumId w:val="27"/>
  </w:num>
  <w:num w:numId="25">
    <w:abstractNumId w:val="4"/>
  </w:num>
  <w:num w:numId="26">
    <w:abstractNumId w:val="16"/>
  </w:num>
  <w:num w:numId="27">
    <w:abstractNumId w:val="20"/>
  </w:num>
  <w:num w:numId="28">
    <w:abstractNumId w:val="28"/>
  </w:num>
  <w:num w:numId="29">
    <w:abstractNumId w:val="24"/>
  </w:num>
  <w:num w:numId="30">
    <w:abstractNumId w:val="10"/>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27B9C"/>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3B64"/>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A5557"/>
    <w:rsid w:val="006B21D3"/>
    <w:rsid w:val="006B57D0"/>
    <w:rsid w:val="006D30FF"/>
    <w:rsid w:val="006D6940"/>
    <w:rsid w:val="006F11EC"/>
    <w:rsid w:val="0070082C"/>
    <w:rsid w:val="007369E6"/>
    <w:rsid w:val="00746E59"/>
    <w:rsid w:val="00753FF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0878"/>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214E8"/>
    <w:rsid w:val="00B265F2"/>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1D62"/>
    <w:rsid w:val="00D8295D"/>
    <w:rsid w:val="00D970B8"/>
    <w:rsid w:val="00DB11A3"/>
    <w:rsid w:val="00DC2A65"/>
    <w:rsid w:val="00DE15F0"/>
    <w:rsid w:val="00DE5663"/>
    <w:rsid w:val="00DE78AA"/>
    <w:rsid w:val="00E053D0"/>
    <w:rsid w:val="00E15994"/>
    <w:rsid w:val="00E3114E"/>
    <w:rsid w:val="00E31A70"/>
    <w:rsid w:val="00E35B02"/>
    <w:rsid w:val="00E46949"/>
    <w:rsid w:val="00E66496"/>
    <w:rsid w:val="00E66B35"/>
    <w:rsid w:val="00E66E10"/>
    <w:rsid w:val="00E769F6"/>
    <w:rsid w:val="00E8407C"/>
    <w:rsid w:val="00E84F3C"/>
    <w:rsid w:val="00EA012C"/>
    <w:rsid w:val="00EC6A55"/>
    <w:rsid w:val="00ED0288"/>
    <w:rsid w:val="00ED05A1"/>
    <w:rsid w:val="00EE52CB"/>
    <w:rsid w:val="00EF581D"/>
    <w:rsid w:val="00EF7FD8"/>
    <w:rsid w:val="00F06F59"/>
    <w:rsid w:val="00F17988"/>
    <w:rsid w:val="00F469F0"/>
    <w:rsid w:val="00F53273"/>
    <w:rsid w:val="00F755E4"/>
    <w:rsid w:val="00F77D02"/>
    <w:rsid w:val="00F90D69"/>
    <w:rsid w:val="00FB3A86"/>
    <w:rsid w:val="00FC60F3"/>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9A0CF2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111/imcb.12522"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who.int/news-room/fact-sheets/detail/asthm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8BBAA-94EB-494C-A438-65AAFEA2C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TotalTime>
  <Pages>6</Pages>
  <Words>2776</Words>
  <Characters>15829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18568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cp:revision>
  <cp:lastPrinted>1999-07-06T11:00:00Z</cp:lastPrinted>
  <dcterms:created xsi:type="dcterms:W3CDTF">2025-10-29T05:54:00Z</dcterms:created>
  <dcterms:modified xsi:type="dcterms:W3CDTF">2025-11-05T07:44:00Z</dcterms:modified>
</cp:coreProperties>
</file>