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21183" w14:textId="77777777" w:rsidR="00E202E9" w:rsidRDefault="00E202E9" w:rsidP="00841477">
      <w:pPr>
        <w:jc w:val="center"/>
        <w:rPr>
          <w:rFonts w:ascii="Arial" w:hAnsi="Arial" w:cs="Arial"/>
          <w:b/>
          <w:bCs/>
        </w:rPr>
      </w:pPr>
      <w:r w:rsidRPr="00E202E9">
        <w:rPr>
          <w:rFonts w:ascii="Arial" w:hAnsi="Arial" w:cs="Arial"/>
          <w:b/>
          <w:bCs/>
        </w:rPr>
        <w:t>Original Research Article</w:t>
      </w:r>
    </w:p>
    <w:p w14:paraId="2CBE1E33" w14:textId="77777777" w:rsidR="00E202E9" w:rsidRDefault="00E202E9" w:rsidP="00841477">
      <w:pPr>
        <w:jc w:val="center"/>
        <w:rPr>
          <w:rFonts w:ascii="Arial" w:hAnsi="Arial" w:cs="Arial"/>
          <w:b/>
          <w:bCs/>
        </w:rPr>
      </w:pPr>
    </w:p>
    <w:p w14:paraId="417EF098" w14:textId="59D3C875" w:rsidR="00841477" w:rsidRDefault="00841477" w:rsidP="00841477">
      <w:pPr>
        <w:jc w:val="center"/>
        <w:rPr>
          <w:rFonts w:ascii="Arial" w:hAnsi="Arial" w:cs="Arial"/>
          <w:b/>
          <w:bCs/>
        </w:rPr>
      </w:pPr>
      <w:r w:rsidRPr="000A024E">
        <w:rPr>
          <w:rFonts w:ascii="Arial" w:hAnsi="Arial" w:cs="Arial"/>
          <w:b/>
          <w:bCs/>
        </w:rPr>
        <w:t>A study on Clinical Validity and Reliability of the Bengali Language Translated Gastroesophageal Reflux Disease Quality of Life Questionnaire (GERD-QOL) in Gastroesophageal Reflux Disease Patients</w:t>
      </w:r>
    </w:p>
    <w:p w14:paraId="78494A35" w14:textId="77777777" w:rsidR="00870159" w:rsidRPr="000A024E" w:rsidRDefault="00870159" w:rsidP="00841477">
      <w:pPr>
        <w:jc w:val="center"/>
        <w:rPr>
          <w:rFonts w:ascii="Arial" w:hAnsi="Arial" w:cs="Arial"/>
          <w:b/>
          <w:bCs/>
        </w:rPr>
      </w:pPr>
    </w:p>
    <w:p w14:paraId="6242D50D" w14:textId="56BA932B" w:rsidR="00841477" w:rsidRDefault="00841477" w:rsidP="00841477">
      <w:pPr>
        <w:rPr>
          <w:rFonts w:ascii="Times New Roman" w:hAnsi="Times New Roman" w:cs="Times New Roman"/>
          <w:b/>
          <w:bCs/>
        </w:rPr>
      </w:pPr>
      <w:r>
        <w:rPr>
          <w:noProof/>
        </w:rPr>
        <mc:AlternateContent>
          <mc:Choice Requires="wps">
            <w:drawing>
              <wp:anchor distT="0" distB="0" distL="114300" distR="114300" simplePos="0" relativeHeight="251659264" behindDoc="0" locked="0" layoutInCell="1" allowOverlap="1" wp14:anchorId="4EACC6B1" wp14:editId="554F479F">
                <wp:simplePos x="0" y="0"/>
                <wp:positionH relativeFrom="column">
                  <wp:posOffset>0</wp:posOffset>
                </wp:positionH>
                <wp:positionV relativeFrom="paragraph">
                  <wp:posOffset>0</wp:posOffset>
                </wp:positionV>
                <wp:extent cx="1828800" cy="1828800"/>
                <wp:effectExtent l="0" t="0" r="0" b="0"/>
                <wp:wrapSquare wrapText="bothSides"/>
                <wp:docPr id="566387274"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C7DC05A" w14:textId="77777777" w:rsidR="00841477" w:rsidRPr="00841477" w:rsidRDefault="00841477" w:rsidP="00F342CD">
                            <w:pPr>
                              <w:rPr>
                                <w:rFonts w:ascii="Arial" w:hAnsi="Arial" w:cs="Arial"/>
                                <w:b/>
                                <w:bCs/>
                                <w:sz w:val="22"/>
                                <w:szCs w:val="22"/>
                              </w:rPr>
                            </w:pPr>
                            <w:r w:rsidRPr="00841477">
                              <w:rPr>
                                <w:rFonts w:ascii="Arial" w:hAnsi="Arial" w:cs="Arial"/>
                                <w:b/>
                                <w:bCs/>
                                <w:sz w:val="22"/>
                                <w:szCs w:val="22"/>
                              </w:rPr>
                              <w:t>Abstract</w:t>
                            </w:r>
                          </w:p>
                          <w:p w14:paraId="3F490407"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Background: Gastroesophageal reflux disease (GERD) significantly affects patients’ quality of life, yet no validated Bengali-language instrument existed to assess this impact.</w:t>
                            </w:r>
                          </w:p>
                          <w:p w14:paraId="6F2C5762"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Objective: To translate, culturally adapt, and validate the Gastroesophageal Reflux Disease Quality of Life Questionnaire (GERD-QOL) into Bengali for use among Bengali-speaking GERD patients.</w:t>
                            </w:r>
                          </w:p>
                          <w:p w14:paraId="13213873"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Methods: A cross-sectional study was conducted at The Calcutta Homoeopathic Medical College &amp; Hospital. The GERD-QOL was translated into Bengali using a standardized forward–backward translation method, reviewed by an expert committee, and pilot tested for semantic and cultural equivalence. A total of 223 GERD patients completed the Bengali version of the questionnaire. Reliability was evaluated using Cronbach’s alpha, and content validity was assessed through expert review and participant feedback.</w:t>
                            </w:r>
                          </w:p>
                          <w:p w14:paraId="7C7F5257"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Results: The Bengali-translated GERD-QOL was well comprehended by all participants. The instrument demonstrated excellent internal consistency with a Cronbach’s alpha of 0.901, confirming high reliability. Cultural adaptation was successfully achieved, and participants reported strong relevance of items to their daily experiences with GERD.</w:t>
                            </w:r>
                          </w:p>
                          <w:p w14:paraId="3B86C725"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Conclusion: The Bengali version of the GERD-QOL is a valid, reliable, and culturally appropriate tool for assessing quality of life among GERD patients. It can be effectively utilized in clinical practice and research to evaluate the disease burden and treatment outcomes in Bengali-speaking populations.</w:t>
                            </w:r>
                          </w:p>
                          <w:p w14:paraId="3C92B3E1" w14:textId="77777777" w:rsidR="00841477" w:rsidRPr="00841477" w:rsidRDefault="00841477" w:rsidP="000A024E">
                            <w:pPr>
                              <w:jc w:val="both"/>
                              <w:rPr>
                                <w:rFonts w:ascii="Arial" w:hAnsi="Arial" w:cs="Arial"/>
                                <w:b/>
                                <w:bCs/>
                                <w:sz w:val="22"/>
                                <w:szCs w:val="22"/>
                              </w:rPr>
                            </w:pPr>
                            <w:r w:rsidRPr="00841477">
                              <w:rPr>
                                <w:rFonts w:ascii="Arial" w:hAnsi="Arial" w:cs="Arial"/>
                                <w:b/>
                                <w:bCs/>
                                <w:sz w:val="22"/>
                                <w:szCs w:val="22"/>
                              </w:rPr>
                              <w:t>Ethics Statement</w:t>
                            </w:r>
                          </w:p>
                          <w:p w14:paraId="630B859E"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The study was conducted after obtaining clearance from the Institutional Ethics Committee of The Calcutta Homoeopathic Medical College &amp; Hospital (Approval No. CHMCH/IEC/13/2023). Written informed consent was obtained from all participants before enrolment. Confidentiality and anonymity of participant data were strictly maintained throughout the study.</w:t>
                            </w:r>
                          </w:p>
                          <w:p w14:paraId="4C11F828" w14:textId="77777777" w:rsidR="00841477" w:rsidRPr="00841477" w:rsidRDefault="00841477" w:rsidP="000A024E">
                            <w:pPr>
                              <w:jc w:val="both"/>
                              <w:rPr>
                                <w:rFonts w:ascii="Arial" w:hAnsi="Arial" w:cs="Arial"/>
                                <w:b/>
                                <w:bCs/>
                                <w:sz w:val="22"/>
                                <w:szCs w:val="22"/>
                              </w:rPr>
                            </w:pPr>
                            <w:r w:rsidRPr="00841477">
                              <w:rPr>
                                <w:rFonts w:ascii="Arial" w:hAnsi="Arial" w:cs="Arial"/>
                                <w:b/>
                                <w:bCs/>
                                <w:sz w:val="22"/>
                                <w:szCs w:val="22"/>
                              </w:rPr>
                              <w:t>Disclosure Statement</w:t>
                            </w:r>
                          </w:p>
                          <w:p w14:paraId="6869F6BD" w14:textId="2DB9AB2C" w:rsidR="00841477" w:rsidRPr="00D83B35" w:rsidRDefault="00841477" w:rsidP="000A024E">
                            <w:pPr>
                              <w:jc w:val="both"/>
                              <w:rPr>
                                <w:rFonts w:ascii="Arial" w:hAnsi="Arial" w:cs="Arial"/>
                                <w:sz w:val="22"/>
                                <w:szCs w:val="22"/>
                              </w:rPr>
                            </w:pPr>
                            <w:r w:rsidRPr="00841477">
                              <w:rPr>
                                <w:rFonts w:ascii="Arial" w:hAnsi="Arial" w:cs="Arial"/>
                                <w:sz w:val="22"/>
                                <w:szCs w:val="22"/>
                              </w:rPr>
                              <w:t xml:space="preserve">The authors declare no conflict of interest related to this study.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ACC6B1"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ghyfSkICAACABAAADgAAAAAA&#10;AAAAAAAAAAAuAgAAZHJzL2Uyb0RvYy54bWxQSwECLQAUAAYACAAAACEAtwwDCNcAAAAFAQAADwAA&#10;AAAAAAAAAAAAAACcBAAAZHJzL2Rvd25yZXYueG1sUEsFBgAAAAAEAAQA8wAAAKAFAAAAAA==&#10;" filled="f" strokeweight=".5pt">
                <v:textbox style="mso-fit-shape-to-text:t">
                  <w:txbxContent>
                    <w:p w14:paraId="3C7DC05A" w14:textId="77777777" w:rsidR="00841477" w:rsidRPr="00841477" w:rsidRDefault="00841477" w:rsidP="00F342CD">
                      <w:pPr>
                        <w:rPr>
                          <w:rFonts w:ascii="Arial" w:hAnsi="Arial" w:cs="Arial"/>
                          <w:b/>
                          <w:bCs/>
                          <w:sz w:val="22"/>
                          <w:szCs w:val="22"/>
                        </w:rPr>
                      </w:pPr>
                      <w:r w:rsidRPr="00841477">
                        <w:rPr>
                          <w:rFonts w:ascii="Arial" w:hAnsi="Arial" w:cs="Arial"/>
                          <w:b/>
                          <w:bCs/>
                          <w:sz w:val="22"/>
                          <w:szCs w:val="22"/>
                        </w:rPr>
                        <w:t>Abstract</w:t>
                      </w:r>
                    </w:p>
                    <w:p w14:paraId="3F490407"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Background: Gastroesophageal reflux disease (GERD) significantly affects patients’ quality of life, yet no validated Bengali-language instrument existed to assess this impact.</w:t>
                      </w:r>
                    </w:p>
                    <w:p w14:paraId="6F2C5762"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Objective: To translate, culturally adapt, and validate the Gastroesophageal Reflux Disease Quality of Life Questionnaire (GERD-QOL) into Bengali for use among Bengali-speaking GERD patients.</w:t>
                      </w:r>
                    </w:p>
                    <w:p w14:paraId="13213873"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Methods: A cross-sectional study was conducted at The Calcutta Homoeopathic Medical College &amp; Hospital. The GERD-QOL was translated into Bengali using a standardized forward–backward translation method, reviewed by an expert committee, and pilot tested for semantic and cultural equivalence. A total of 223 GERD patients completed the Bengali version of the questionnaire. Reliability was evaluated using Cronbach’s alpha, and content validity was assessed through expert review and participant feedback.</w:t>
                      </w:r>
                    </w:p>
                    <w:p w14:paraId="7C7F5257"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Results: The Bengali-translated GERD-QOL was well comprehended by all participants. The instrument demonstrated excellent internal consistency with a Cronbach’s alpha of 0.901, confirming high reliability. Cultural adaptation was successfully achieved, and participants reported strong relevance of items to their daily experiences with GERD.</w:t>
                      </w:r>
                    </w:p>
                    <w:p w14:paraId="3B86C725"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Conclusion: The Bengali version of the GERD-QOL is a valid, reliable, and culturally appropriate tool for assessing quality of life among GERD patients. It can be effectively utilized in clinical practice and research to evaluate the disease burden and treatment outcomes in Bengali-speaking populations.</w:t>
                      </w:r>
                    </w:p>
                    <w:p w14:paraId="3C92B3E1" w14:textId="77777777" w:rsidR="00841477" w:rsidRPr="00841477" w:rsidRDefault="00841477" w:rsidP="000A024E">
                      <w:pPr>
                        <w:jc w:val="both"/>
                        <w:rPr>
                          <w:rFonts w:ascii="Arial" w:hAnsi="Arial" w:cs="Arial"/>
                          <w:b/>
                          <w:bCs/>
                          <w:sz w:val="22"/>
                          <w:szCs w:val="22"/>
                        </w:rPr>
                      </w:pPr>
                      <w:r w:rsidRPr="00841477">
                        <w:rPr>
                          <w:rFonts w:ascii="Arial" w:hAnsi="Arial" w:cs="Arial"/>
                          <w:b/>
                          <w:bCs/>
                          <w:sz w:val="22"/>
                          <w:szCs w:val="22"/>
                        </w:rPr>
                        <w:t>Ethics Statement</w:t>
                      </w:r>
                    </w:p>
                    <w:p w14:paraId="630B859E" w14:textId="77777777" w:rsidR="00841477" w:rsidRPr="00841477" w:rsidRDefault="00841477" w:rsidP="000A024E">
                      <w:pPr>
                        <w:jc w:val="both"/>
                        <w:rPr>
                          <w:rFonts w:ascii="Arial" w:hAnsi="Arial" w:cs="Arial"/>
                          <w:sz w:val="22"/>
                          <w:szCs w:val="22"/>
                        </w:rPr>
                      </w:pPr>
                      <w:r w:rsidRPr="00841477">
                        <w:rPr>
                          <w:rFonts w:ascii="Arial" w:hAnsi="Arial" w:cs="Arial"/>
                          <w:sz w:val="22"/>
                          <w:szCs w:val="22"/>
                        </w:rPr>
                        <w:t>The study was conducted after obtaining clearance from the Institutional Ethics Committee of The Calcutta Homoeopathic Medical College &amp; Hospital (Approval No. CHMCH/IEC/13/2023). Written informed consent was obtained from all participants before enrolment. Confidentiality and anonymity of participant data were strictly maintained throughout the study.</w:t>
                      </w:r>
                    </w:p>
                    <w:p w14:paraId="4C11F828" w14:textId="77777777" w:rsidR="00841477" w:rsidRPr="00841477" w:rsidRDefault="00841477" w:rsidP="000A024E">
                      <w:pPr>
                        <w:jc w:val="both"/>
                        <w:rPr>
                          <w:rFonts w:ascii="Arial" w:hAnsi="Arial" w:cs="Arial"/>
                          <w:b/>
                          <w:bCs/>
                          <w:sz w:val="22"/>
                          <w:szCs w:val="22"/>
                        </w:rPr>
                      </w:pPr>
                      <w:r w:rsidRPr="00841477">
                        <w:rPr>
                          <w:rFonts w:ascii="Arial" w:hAnsi="Arial" w:cs="Arial"/>
                          <w:b/>
                          <w:bCs/>
                          <w:sz w:val="22"/>
                          <w:szCs w:val="22"/>
                        </w:rPr>
                        <w:t>Disclosure Statement</w:t>
                      </w:r>
                    </w:p>
                    <w:p w14:paraId="6869F6BD" w14:textId="2DB9AB2C" w:rsidR="00841477" w:rsidRPr="00D83B35" w:rsidRDefault="00841477" w:rsidP="000A024E">
                      <w:pPr>
                        <w:jc w:val="both"/>
                        <w:rPr>
                          <w:rFonts w:ascii="Arial" w:hAnsi="Arial" w:cs="Arial"/>
                          <w:sz w:val="22"/>
                          <w:szCs w:val="22"/>
                        </w:rPr>
                      </w:pPr>
                      <w:r w:rsidRPr="00841477">
                        <w:rPr>
                          <w:rFonts w:ascii="Arial" w:hAnsi="Arial" w:cs="Arial"/>
                          <w:sz w:val="22"/>
                          <w:szCs w:val="22"/>
                        </w:rPr>
                        <w:t xml:space="preserve">The authors declare no conflict of interest related to this study. </w:t>
                      </w:r>
                    </w:p>
                  </w:txbxContent>
                </v:textbox>
                <w10:wrap type="square"/>
              </v:shape>
            </w:pict>
          </mc:Fallback>
        </mc:AlternateContent>
      </w:r>
      <w:r w:rsidRPr="00B32203">
        <w:rPr>
          <w:rFonts w:ascii="Times New Roman" w:hAnsi="Times New Roman" w:cs="Times New Roman"/>
          <w:b/>
          <w:bCs/>
        </w:rPr>
        <w:t>Keywords</w:t>
      </w:r>
    </w:p>
    <w:p w14:paraId="38F42EC3" w14:textId="7034FB68" w:rsidR="00841477" w:rsidRPr="00841477" w:rsidRDefault="007C6547" w:rsidP="00841477">
      <w:pPr>
        <w:rPr>
          <w:rFonts w:ascii="Arial" w:hAnsi="Arial" w:cs="Arial"/>
          <w:b/>
          <w:bCs/>
          <w:sz w:val="22"/>
          <w:szCs w:val="22"/>
        </w:rPr>
      </w:pPr>
      <w:r w:rsidRPr="00841477">
        <w:rPr>
          <w:rFonts w:ascii="Arial" w:hAnsi="Arial" w:cs="Arial"/>
          <w:b/>
          <w:bCs/>
          <w:sz w:val="22"/>
          <w:szCs w:val="22"/>
        </w:rPr>
        <w:t>Gastroesophageal Reflux Disease (Gerd); Gerd-</w:t>
      </w:r>
      <w:proofErr w:type="spellStart"/>
      <w:r w:rsidRPr="00841477">
        <w:rPr>
          <w:rFonts w:ascii="Arial" w:hAnsi="Arial" w:cs="Arial"/>
          <w:b/>
          <w:bCs/>
          <w:sz w:val="22"/>
          <w:szCs w:val="22"/>
        </w:rPr>
        <w:t>Qol</w:t>
      </w:r>
      <w:proofErr w:type="spellEnd"/>
      <w:r w:rsidRPr="00841477">
        <w:rPr>
          <w:rFonts w:ascii="Arial" w:hAnsi="Arial" w:cs="Arial"/>
          <w:b/>
          <w:bCs/>
          <w:sz w:val="22"/>
          <w:szCs w:val="22"/>
        </w:rPr>
        <w:t xml:space="preserve">; Quality </w:t>
      </w:r>
      <w:proofErr w:type="gramStart"/>
      <w:r w:rsidRPr="00841477">
        <w:rPr>
          <w:rFonts w:ascii="Arial" w:hAnsi="Arial" w:cs="Arial"/>
          <w:b/>
          <w:bCs/>
          <w:sz w:val="22"/>
          <w:szCs w:val="22"/>
        </w:rPr>
        <w:t>Of</w:t>
      </w:r>
      <w:proofErr w:type="gramEnd"/>
      <w:r w:rsidRPr="00841477">
        <w:rPr>
          <w:rFonts w:ascii="Arial" w:hAnsi="Arial" w:cs="Arial"/>
          <w:b/>
          <w:bCs/>
          <w:sz w:val="22"/>
          <w:szCs w:val="22"/>
        </w:rPr>
        <w:t xml:space="preserve"> Life; Bengali Translation; Validity; Reliability; Cultural Adaptation; Questionnaire Validation</w:t>
      </w:r>
    </w:p>
    <w:p w14:paraId="5973052F" w14:textId="77777777" w:rsidR="000A024E" w:rsidRDefault="000A024E" w:rsidP="000A024E">
      <w:pPr>
        <w:jc w:val="right"/>
        <w:rPr>
          <w:rFonts w:ascii="Arial" w:hAnsi="Arial" w:cs="Arial"/>
          <w:b/>
          <w:bCs/>
          <w:sz w:val="20"/>
          <w:szCs w:val="20"/>
        </w:rPr>
      </w:pPr>
    </w:p>
    <w:p w14:paraId="5B9ED7BC" w14:textId="181ADBE8" w:rsidR="00E840C0" w:rsidRPr="000A024E" w:rsidRDefault="000A024E" w:rsidP="000A024E">
      <w:pPr>
        <w:jc w:val="right"/>
        <w:rPr>
          <w:rFonts w:ascii="Arial" w:hAnsi="Arial" w:cs="Arial"/>
          <w:b/>
          <w:bCs/>
          <w:sz w:val="20"/>
          <w:szCs w:val="20"/>
        </w:rPr>
      </w:pPr>
      <w:r w:rsidRPr="000A024E">
        <w:rPr>
          <w:rFonts w:ascii="Arial" w:hAnsi="Arial" w:cs="Arial"/>
          <w:b/>
          <w:bCs/>
          <w:sz w:val="20"/>
          <w:szCs w:val="20"/>
        </w:rPr>
        <w:t>INTRODUCTION</w:t>
      </w:r>
    </w:p>
    <w:p w14:paraId="2CAAF9B4" w14:textId="74E64DF5" w:rsidR="008E2CB2" w:rsidRPr="000A024E" w:rsidRDefault="008E2CB2" w:rsidP="000A024E">
      <w:pPr>
        <w:jc w:val="both"/>
        <w:rPr>
          <w:rFonts w:ascii="Arial" w:hAnsi="Arial" w:cs="Arial"/>
          <w:sz w:val="20"/>
          <w:szCs w:val="20"/>
        </w:rPr>
      </w:pPr>
      <w:r w:rsidRPr="000A024E">
        <w:rPr>
          <w:rFonts w:ascii="Arial" w:hAnsi="Arial" w:cs="Arial"/>
          <w:sz w:val="20"/>
          <w:szCs w:val="20"/>
        </w:rPr>
        <w:t xml:space="preserve">Gastroesophageal reflux disease (GERD) is one of the most prevalent upper gastrointestinal disorders worldwide, characterized by the reflux of gastric contents into the oesophagus, resulting in typical symptoms such as heartburn and regurgitation. The global prevalence of GERD has shown a steady increase over the last few decades, with estimates ranging between 10% and 30% across various populations, reflecting a growing public health concern. </w:t>
      </w:r>
      <w:r w:rsidRPr="000A024E">
        <w:rPr>
          <w:rFonts w:ascii="Arial" w:hAnsi="Arial" w:cs="Arial"/>
          <w:sz w:val="20"/>
          <w:szCs w:val="20"/>
          <w:vertAlign w:val="superscript"/>
        </w:rPr>
        <w:t>[1]</w:t>
      </w:r>
      <w:r w:rsidRPr="000A024E">
        <w:rPr>
          <w:rFonts w:ascii="Arial" w:hAnsi="Arial" w:cs="Arial"/>
          <w:sz w:val="20"/>
          <w:szCs w:val="20"/>
        </w:rPr>
        <w:t xml:space="preserve"> A comprehensive review by El-Serag and colleagues (2014–2020) reported prevalence rates reaching up to 33% in certain Asian populations, attributing this rise to rapid urbanization, dietary westernization, obesity, and lifestyle changes. </w:t>
      </w:r>
      <w:r w:rsidRPr="000A024E">
        <w:rPr>
          <w:rFonts w:ascii="Arial" w:hAnsi="Arial" w:cs="Arial"/>
          <w:sz w:val="20"/>
          <w:szCs w:val="20"/>
          <w:vertAlign w:val="superscript"/>
        </w:rPr>
        <w:t>[2]</w:t>
      </w:r>
      <w:r w:rsidRPr="000A024E">
        <w:rPr>
          <w:rFonts w:ascii="Arial" w:hAnsi="Arial" w:cs="Arial"/>
          <w:sz w:val="20"/>
          <w:szCs w:val="20"/>
        </w:rPr>
        <w:t xml:space="preserve"> In India, GERD prevalence demonstrates significant regional variation. Population-based surveys have documented rates of 8.2% in southern India </w:t>
      </w:r>
      <w:r w:rsidRPr="000A024E">
        <w:rPr>
          <w:rFonts w:ascii="Arial" w:hAnsi="Arial" w:cs="Arial"/>
          <w:sz w:val="20"/>
          <w:szCs w:val="20"/>
          <w:vertAlign w:val="superscript"/>
        </w:rPr>
        <w:t>[3]</w:t>
      </w:r>
      <w:r w:rsidRPr="000A024E">
        <w:rPr>
          <w:rFonts w:ascii="Arial" w:hAnsi="Arial" w:cs="Arial"/>
          <w:sz w:val="20"/>
          <w:szCs w:val="20"/>
        </w:rPr>
        <w:t xml:space="preserve">, while a recent meta-analysis estimated an overall pooled prevalence of approximately 15.6% nationwide. </w:t>
      </w:r>
      <w:r w:rsidRPr="000A024E">
        <w:rPr>
          <w:rFonts w:ascii="Arial" w:hAnsi="Arial" w:cs="Arial"/>
          <w:sz w:val="20"/>
          <w:szCs w:val="20"/>
          <w:vertAlign w:val="superscript"/>
        </w:rPr>
        <w:t>[4]</w:t>
      </w:r>
      <w:r w:rsidRPr="000A024E">
        <w:rPr>
          <w:rFonts w:ascii="Arial" w:hAnsi="Arial" w:cs="Arial"/>
          <w:sz w:val="20"/>
          <w:szCs w:val="20"/>
        </w:rPr>
        <w:t xml:space="preserve"> Further regional studies have indicated prevalence as high as 31.3% in West Bengal </w:t>
      </w:r>
      <w:r w:rsidRPr="000A024E">
        <w:rPr>
          <w:rFonts w:ascii="Arial" w:hAnsi="Arial" w:cs="Arial"/>
          <w:sz w:val="20"/>
          <w:szCs w:val="20"/>
          <w:vertAlign w:val="superscript"/>
        </w:rPr>
        <w:t>[1]</w:t>
      </w:r>
      <w:r w:rsidRPr="000A024E">
        <w:rPr>
          <w:rFonts w:ascii="Arial" w:hAnsi="Arial" w:cs="Arial"/>
          <w:sz w:val="20"/>
          <w:szCs w:val="20"/>
        </w:rPr>
        <w:t xml:space="preserve"> and ranging from 8% to 20% in rural Bihar. </w:t>
      </w:r>
      <w:r w:rsidRPr="000A024E">
        <w:rPr>
          <w:rFonts w:ascii="Arial" w:hAnsi="Arial" w:cs="Arial"/>
          <w:sz w:val="20"/>
          <w:szCs w:val="20"/>
          <w:vertAlign w:val="superscript"/>
        </w:rPr>
        <w:t>[5]</w:t>
      </w:r>
      <w:r w:rsidRPr="000A024E">
        <w:rPr>
          <w:rFonts w:ascii="Arial" w:hAnsi="Arial" w:cs="Arial"/>
          <w:sz w:val="20"/>
          <w:szCs w:val="20"/>
        </w:rPr>
        <w:t xml:space="preserve"> Despite this, true prevalence in Bengali-speaking populations may still be underestimated due to a lack of validated and culturally adapted symptom-assessment tools in the Bengali language. Bengali, the native language of more than 242 million individuals and spoken as a second language by an additional 43 million, is the sixth most spoken native language and seventh most spoken language globally. </w:t>
      </w:r>
      <w:r w:rsidRPr="000A024E">
        <w:rPr>
          <w:rFonts w:ascii="Arial" w:hAnsi="Arial" w:cs="Arial"/>
          <w:sz w:val="20"/>
          <w:szCs w:val="20"/>
          <w:vertAlign w:val="superscript"/>
        </w:rPr>
        <w:t>[6]</w:t>
      </w:r>
      <w:r w:rsidRPr="000A024E">
        <w:rPr>
          <w:rFonts w:ascii="Arial" w:hAnsi="Arial" w:cs="Arial"/>
          <w:sz w:val="20"/>
          <w:szCs w:val="20"/>
        </w:rPr>
        <w:t xml:space="preserve"> However, in clinical gastroenterology research, very few standardized instruments have been linguistically validated for Bengali speakers. This gap hinders both clinical diagnosis and quality-of-life assessment in patients presenting with reflux-related symptoms. Therefore, the translation, cultural adaptation, and validation of GERD-specific tools such as the Gastroesophageal Reflux Disease Questionnaire (GERDQ) scale in Bengali </w:t>
      </w:r>
      <w:r w:rsidR="003D5400" w:rsidRPr="000A024E">
        <w:rPr>
          <w:rFonts w:ascii="Arial" w:hAnsi="Arial" w:cs="Arial"/>
          <w:sz w:val="20"/>
          <w:szCs w:val="20"/>
        </w:rPr>
        <w:t>is</w:t>
      </w:r>
      <w:r w:rsidRPr="000A024E">
        <w:rPr>
          <w:rFonts w:ascii="Arial" w:hAnsi="Arial" w:cs="Arial"/>
          <w:sz w:val="20"/>
          <w:szCs w:val="20"/>
        </w:rPr>
        <w:t xml:space="preserve"> essential. Th</w:t>
      </w:r>
      <w:r w:rsidR="003D5400" w:rsidRPr="000A024E">
        <w:rPr>
          <w:rFonts w:ascii="Arial" w:hAnsi="Arial" w:cs="Arial"/>
          <w:sz w:val="20"/>
          <w:szCs w:val="20"/>
        </w:rPr>
        <w:t>is</w:t>
      </w:r>
      <w:r w:rsidRPr="000A024E">
        <w:rPr>
          <w:rFonts w:ascii="Arial" w:hAnsi="Arial" w:cs="Arial"/>
          <w:sz w:val="20"/>
          <w:szCs w:val="20"/>
        </w:rPr>
        <w:t xml:space="preserve"> instrument </w:t>
      </w:r>
      <w:proofErr w:type="gramStart"/>
      <w:r w:rsidRPr="000A024E">
        <w:rPr>
          <w:rFonts w:ascii="Arial" w:hAnsi="Arial" w:cs="Arial"/>
          <w:sz w:val="20"/>
          <w:szCs w:val="20"/>
        </w:rPr>
        <w:t>enable</w:t>
      </w:r>
      <w:proofErr w:type="gramEnd"/>
      <w:r w:rsidRPr="000A024E">
        <w:rPr>
          <w:rFonts w:ascii="Arial" w:hAnsi="Arial" w:cs="Arial"/>
          <w:sz w:val="20"/>
          <w:szCs w:val="20"/>
        </w:rPr>
        <w:t xml:space="preserve"> accurate evaluation of symptom severity, disease impact, and treatment outcomes, improving both patient care and research reliability within the Bengali-speaking population.</w:t>
      </w:r>
    </w:p>
    <w:p w14:paraId="363A2B75" w14:textId="77777777" w:rsidR="008E2CB2" w:rsidRPr="000A024E" w:rsidRDefault="008E2CB2" w:rsidP="000A024E">
      <w:pPr>
        <w:jc w:val="both"/>
        <w:rPr>
          <w:rFonts w:ascii="Arial" w:hAnsi="Arial" w:cs="Arial"/>
          <w:b/>
          <w:bCs/>
          <w:sz w:val="20"/>
          <w:szCs w:val="20"/>
        </w:rPr>
      </w:pPr>
      <w:r w:rsidRPr="000A024E">
        <w:rPr>
          <w:rFonts w:ascii="Arial" w:hAnsi="Arial" w:cs="Arial"/>
          <w:b/>
          <w:bCs/>
          <w:sz w:val="20"/>
          <w:szCs w:val="20"/>
        </w:rPr>
        <w:t>Gap in the Literature: Absence of Bengali Versions</w:t>
      </w:r>
    </w:p>
    <w:p w14:paraId="70A202C4" w14:textId="77777777" w:rsidR="008E2CB2" w:rsidRPr="000A024E" w:rsidRDefault="008E2CB2" w:rsidP="000A024E">
      <w:pPr>
        <w:jc w:val="both"/>
        <w:rPr>
          <w:rFonts w:ascii="Arial" w:hAnsi="Arial" w:cs="Arial"/>
          <w:sz w:val="20"/>
          <w:szCs w:val="20"/>
        </w:rPr>
      </w:pPr>
      <w:r w:rsidRPr="000A024E">
        <w:rPr>
          <w:rFonts w:ascii="Arial" w:hAnsi="Arial" w:cs="Arial"/>
          <w:sz w:val="20"/>
          <w:szCs w:val="20"/>
        </w:rPr>
        <w:t>Although the GERDQ questionnaires have been widely validated and utilized in multiple countries, no validated Bengali translations currently exist. This absence poses a significant gap in accurately assessing GERD symptoms and related quality-of-life outcomes among Bengali-speaking patients. The issue is particularly critical in resource-limited and rural healthcare settings, where language barriers often impede reliable symptom evaluation and clinical follow-up.</w:t>
      </w:r>
    </w:p>
    <w:p w14:paraId="1250FC30" w14:textId="79953172" w:rsidR="008E2CB2" w:rsidRPr="000A024E" w:rsidRDefault="008E2CB2" w:rsidP="000A024E">
      <w:pPr>
        <w:jc w:val="both"/>
        <w:rPr>
          <w:rFonts w:ascii="Arial" w:hAnsi="Arial" w:cs="Arial"/>
          <w:sz w:val="20"/>
          <w:szCs w:val="20"/>
        </w:rPr>
      </w:pPr>
      <w:r w:rsidRPr="000A024E">
        <w:rPr>
          <w:rFonts w:ascii="Arial" w:hAnsi="Arial" w:cs="Arial"/>
          <w:sz w:val="20"/>
          <w:szCs w:val="20"/>
        </w:rPr>
        <w:t>In contrast, several other linguistic and cultural adaptations of th</w:t>
      </w:r>
      <w:r w:rsidR="003D5400" w:rsidRPr="000A024E">
        <w:rPr>
          <w:rFonts w:ascii="Arial" w:hAnsi="Arial" w:cs="Arial"/>
          <w:sz w:val="20"/>
          <w:szCs w:val="20"/>
        </w:rPr>
        <w:t>is</w:t>
      </w:r>
      <w:r w:rsidRPr="000A024E">
        <w:rPr>
          <w:rFonts w:ascii="Arial" w:hAnsi="Arial" w:cs="Arial"/>
          <w:sz w:val="20"/>
          <w:szCs w:val="20"/>
        </w:rPr>
        <w:t xml:space="preserve"> instrument have already been developed and validated:</w:t>
      </w:r>
    </w:p>
    <w:p w14:paraId="47E76EF7" w14:textId="77777777" w:rsidR="008E2CB2" w:rsidRPr="000A024E" w:rsidRDefault="008E2CB2" w:rsidP="000A024E">
      <w:pPr>
        <w:jc w:val="both"/>
        <w:rPr>
          <w:rFonts w:ascii="Arial" w:hAnsi="Arial" w:cs="Arial"/>
          <w:sz w:val="20"/>
          <w:szCs w:val="20"/>
        </w:rPr>
      </w:pPr>
      <w:r w:rsidRPr="000A024E">
        <w:rPr>
          <w:rFonts w:ascii="Arial" w:hAnsi="Arial" w:cs="Arial"/>
          <w:sz w:val="20"/>
          <w:szCs w:val="20"/>
        </w:rPr>
        <w:t xml:space="preserve">Arabic GERDQ: culturally adapted and psychometrically validated for Middle Eastern populations, demonstrating high internal consistency and construct validity. </w:t>
      </w:r>
      <w:r w:rsidRPr="000A024E">
        <w:rPr>
          <w:rFonts w:ascii="Arial" w:hAnsi="Arial" w:cs="Arial"/>
          <w:sz w:val="20"/>
          <w:szCs w:val="20"/>
          <w:vertAlign w:val="superscript"/>
        </w:rPr>
        <w:t>[7]</w:t>
      </w:r>
    </w:p>
    <w:p w14:paraId="1498D60C" w14:textId="77777777" w:rsidR="008E2CB2" w:rsidRPr="000A024E" w:rsidRDefault="008E2CB2" w:rsidP="000A024E">
      <w:pPr>
        <w:jc w:val="both"/>
        <w:rPr>
          <w:rFonts w:ascii="Arial" w:hAnsi="Arial" w:cs="Arial"/>
          <w:sz w:val="20"/>
          <w:szCs w:val="20"/>
        </w:rPr>
      </w:pPr>
      <w:r w:rsidRPr="000A024E">
        <w:rPr>
          <w:rFonts w:ascii="Arial" w:hAnsi="Arial" w:cs="Arial"/>
          <w:sz w:val="20"/>
          <w:szCs w:val="20"/>
        </w:rPr>
        <w:t xml:space="preserve">Malay and Korean GERDQ: both versions exhibited strong internal consistency and excellent test–retest reliability, confirming their robustness in Asian populations. </w:t>
      </w:r>
      <w:r w:rsidRPr="000A024E">
        <w:rPr>
          <w:rFonts w:ascii="Arial" w:hAnsi="Arial" w:cs="Arial"/>
          <w:sz w:val="20"/>
          <w:szCs w:val="20"/>
          <w:vertAlign w:val="superscript"/>
        </w:rPr>
        <w:t>[8]</w:t>
      </w:r>
    </w:p>
    <w:p w14:paraId="46583571" w14:textId="77777777" w:rsidR="008E2CB2" w:rsidRPr="000A024E" w:rsidRDefault="008E2CB2" w:rsidP="000A024E">
      <w:pPr>
        <w:jc w:val="both"/>
        <w:rPr>
          <w:rFonts w:ascii="Arial" w:hAnsi="Arial" w:cs="Arial"/>
          <w:sz w:val="20"/>
          <w:szCs w:val="20"/>
        </w:rPr>
      </w:pPr>
      <w:r w:rsidRPr="000A024E">
        <w:rPr>
          <w:rFonts w:ascii="Arial" w:hAnsi="Arial" w:cs="Arial"/>
          <w:sz w:val="20"/>
          <w:szCs w:val="20"/>
        </w:rPr>
        <w:t xml:space="preserve">Philippine regional languages: validated in Tagalog, Ilocano, Cebuano, Bisaya, and Hiligaynon, following rigorous translation protocols involving forward and backward translation, expert committee review, and cognitive debriefing. </w:t>
      </w:r>
      <w:r w:rsidRPr="000A024E">
        <w:rPr>
          <w:rFonts w:ascii="Arial" w:hAnsi="Arial" w:cs="Arial"/>
          <w:sz w:val="20"/>
          <w:szCs w:val="20"/>
          <w:vertAlign w:val="superscript"/>
        </w:rPr>
        <w:t>[9,10]</w:t>
      </w:r>
    </w:p>
    <w:p w14:paraId="41071AE6" w14:textId="77777777" w:rsidR="008E2CB2" w:rsidRPr="000A024E" w:rsidRDefault="008E2CB2" w:rsidP="000A024E">
      <w:pPr>
        <w:jc w:val="both"/>
        <w:rPr>
          <w:rFonts w:ascii="Arial" w:hAnsi="Arial" w:cs="Arial"/>
          <w:sz w:val="20"/>
          <w:szCs w:val="20"/>
        </w:rPr>
      </w:pPr>
      <w:r w:rsidRPr="000A024E">
        <w:rPr>
          <w:rFonts w:ascii="Arial" w:hAnsi="Arial" w:cs="Arial"/>
          <w:sz w:val="20"/>
          <w:szCs w:val="20"/>
        </w:rPr>
        <w:t>These studies adhered to internationally accepted cross-cultural adaptation methodologies, including forward–backward translation, expert panel evaluation, pretesting, and psychometric validation. Their success underscores the pressing need to undertake similar linguistic validation in Bengali, one of the world’s most widely spoken languages, to ensure accurate clinical diagnosis, effective treatment evaluation, and standardized research comparability for GERD in Bengali-speaking populations.</w:t>
      </w:r>
    </w:p>
    <w:p w14:paraId="06E2750D" w14:textId="77777777" w:rsidR="00E840C0" w:rsidRDefault="00E840C0" w:rsidP="00E840C0">
      <w:pPr>
        <w:rPr>
          <w:rFonts w:ascii="Times New Roman" w:hAnsi="Times New Roman" w:cs="Times New Roman"/>
        </w:rPr>
      </w:pPr>
    </w:p>
    <w:p w14:paraId="58831ABA" w14:textId="77777777" w:rsidR="000A024E" w:rsidRDefault="000A024E" w:rsidP="000A024E">
      <w:pPr>
        <w:pStyle w:val="Normal1"/>
        <w:spacing w:after="160" w:line="259" w:lineRule="auto"/>
        <w:jc w:val="right"/>
        <w:rPr>
          <w:rFonts w:eastAsia="Times New Roman"/>
          <w:b/>
        </w:rPr>
      </w:pPr>
    </w:p>
    <w:p w14:paraId="1456FFF9" w14:textId="7D379604" w:rsidR="00E840C0" w:rsidRPr="000A024E" w:rsidRDefault="00E840C0" w:rsidP="000A024E">
      <w:pPr>
        <w:pStyle w:val="Normal1"/>
        <w:spacing w:after="160" w:line="259" w:lineRule="auto"/>
        <w:jc w:val="right"/>
        <w:rPr>
          <w:rFonts w:eastAsia="Times New Roman"/>
          <w:b/>
        </w:rPr>
      </w:pPr>
      <w:r w:rsidRPr="000A024E">
        <w:rPr>
          <w:rFonts w:eastAsia="Times New Roman"/>
          <w:b/>
        </w:rPr>
        <w:t>MATERIALS AND METHOD</w:t>
      </w:r>
    </w:p>
    <w:p w14:paraId="0D589625" w14:textId="19B0A8B6" w:rsidR="006313DB" w:rsidRPr="000A024E" w:rsidRDefault="00E840C0" w:rsidP="000A024E">
      <w:pPr>
        <w:jc w:val="both"/>
        <w:rPr>
          <w:rFonts w:ascii="Arial" w:hAnsi="Arial" w:cs="Arial"/>
          <w:b/>
          <w:bCs/>
          <w:sz w:val="20"/>
          <w:szCs w:val="20"/>
        </w:rPr>
      </w:pPr>
      <w:r w:rsidRPr="000A024E">
        <w:rPr>
          <w:rFonts w:ascii="Arial" w:hAnsi="Arial" w:cs="Arial"/>
          <w:b/>
          <w:bCs/>
          <w:sz w:val="20"/>
          <w:szCs w:val="20"/>
        </w:rPr>
        <w:t>Study design, participants, and setting</w:t>
      </w:r>
    </w:p>
    <w:p w14:paraId="7FC7637A" w14:textId="77777777" w:rsidR="008E2CB2" w:rsidRPr="000A024E" w:rsidRDefault="008E2CB2" w:rsidP="000A024E">
      <w:pPr>
        <w:jc w:val="both"/>
        <w:rPr>
          <w:rFonts w:ascii="Arial" w:eastAsia="Times New Roman" w:hAnsi="Arial" w:cs="Arial"/>
          <w:kern w:val="0"/>
          <w:sz w:val="20"/>
          <w:szCs w:val="20"/>
          <w:lang w:eastAsia="en-IN"/>
        </w:rPr>
      </w:pPr>
      <w:r w:rsidRPr="000A024E">
        <w:rPr>
          <w:rFonts w:ascii="Arial" w:eastAsia="Times New Roman" w:hAnsi="Arial" w:cs="Arial"/>
          <w:kern w:val="0"/>
          <w:sz w:val="20"/>
          <w:szCs w:val="20"/>
          <w:lang w:eastAsia="en-IN"/>
        </w:rPr>
        <w:t>A cross-sectional validation study was conducted at The Calcutta Homoeopathic Medical College &amp; Hospital, Kolkata, between March 2023 and May 2024. The study aimed to validate the Bengali version of the Gastroesophageal Reflux Disease Questionnaire (GERDQ) among Bengali-speaking patients diagnosed clinically with GERD.</w:t>
      </w:r>
    </w:p>
    <w:p w14:paraId="2495EB21" w14:textId="7FAC7A33" w:rsidR="008E2CB2" w:rsidRPr="000A024E" w:rsidRDefault="008E2CB2" w:rsidP="000A024E">
      <w:pPr>
        <w:jc w:val="both"/>
        <w:rPr>
          <w:rFonts w:ascii="Arial" w:eastAsia="Times New Roman" w:hAnsi="Arial" w:cs="Arial"/>
          <w:kern w:val="0"/>
          <w:sz w:val="20"/>
          <w:szCs w:val="20"/>
          <w:lang w:eastAsia="en-IN"/>
        </w:rPr>
      </w:pPr>
      <w:r w:rsidRPr="000A024E">
        <w:rPr>
          <w:rFonts w:ascii="Arial" w:eastAsia="Times New Roman" w:hAnsi="Arial" w:cs="Arial"/>
          <w:kern w:val="0"/>
          <w:sz w:val="20"/>
          <w:szCs w:val="20"/>
          <w:lang w:eastAsia="en-IN"/>
        </w:rPr>
        <w:t>Participants aged 18–65 years, of either sex, who were clinically diagnosed with non-erosive gastroesophageal reflux disease (GERD) according to the American College of Gastroenterology (ACG) criteria, were eligible for inclusion. The diagnosis was based solely on clinical symptoms such as heartburn and regurgitation, consistent with the Montreal definition of GERD, without upper gastrointestinal endoscopy. Patients already on regular proton pump inhibitor (PPI) therapy and those scoring positive on the GERD Impact Scale were also included. Individuals on stable doses of essential medications for controlled comorbidities (e.g., antidiabetic, antihypertensive, or thyroid drugs) were allowed to continue their regimen throughout the study period.</w:t>
      </w:r>
    </w:p>
    <w:p w14:paraId="487A33CA" w14:textId="77777777" w:rsidR="008E2CB2" w:rsidRPr="000A024E" w:rsidRDefault="008E2CB2" w:rsidP="000A024E">
      <w:pPr>
        <w:jc w:val="both"/>
        <w:rPr>
          <w:rFonts w:ascii="Arial" w:eastAsia="Times New Roman" w:hAnsi="Arial" w:cs="Arial"/>
          <w:kern w:val="0"/>
          <w:sz w:val="20"/>
          <w:szCs w:val="20"/>
          <w:lang w:eastAsia="en-IN"/>
        </w:rPr>
      </w:pPr>
      <w:r w:rsidRPr="000A024E">
        <w:rPr>
          <w:rFonts w:ascii="Arial" w:eastAsia="Times New Roman" w:hAnsi="Arial" w:cs="Arial"/>
          <w:b/>
          <w:bCs/>
          <w:kern w:val="0"/>
          <w:sz w:val="20"/>
          <w:szCs w:val="20"/>
          <w:lang w:eastAsia="en-IN"/>
        </w:rPr>
        <w:t>Exclusion criteria</w:t>
      </w:r>
      <w:r w:rsidRPr="000A024E">
        <w:rPr>
          <w:rFonts w:ascii="Arial" w:eastAsia="Times New Roman" w:hAnsi="Arial" w:cs="Arial"/>
          <w:kern w:val="0"/>
          <w:sz w:val="20"/>
          <w:szCs w:val="20"/>
          <w:lang w:eastAsia="en-IN"/>
        </w:rPr>
        <w:t xml:space="preserve"> included:</w:t>
      </w:r>
    </w:p>
    <w:p w14:paraId="5A5EA993" w14:textId="0B3D1B46" w:rsidR="008E2CB2" w:rsidRPr="000A024E" w:rsidRDefault="008E2CB2" w:rsidP="000A024E">
      <w:pPr>
        <w:pStyle w:val="ListParagraph"/>
        <w:numPr>
          <w:ilvl w:val="0"/>
          <w:numId w:val="4"/>
        </w:numPr>
        <w:jc w:val="both"/>
        <w:rPr>
          <w:rFonts w:ascii="Arial" w:eastAsia="Times New Roman" w:hAnsi="Arial" w:cs="Arial"/>
          <w:kern w:val="0"/>
          <w:sz w:val="20"/>
          <w:szCs w:val="20"/>
          <w:lang w:eastAsia="en-IN"/>
        </w:rPr>
      </w:pPr>
      <w:r w:rsidRPr="000A024E">
        <w:rPr>
          <w:rFonts w:ascii="Arial" w:eastAsia="Times New Roman" w:hAnsi="Arial" w:cs="Arial"/>
          <w:kern w:val="0"/>
          <w:sz w:val="20"/>
          <w:szCs w:val="20"/>
          <w:lang w:eastAsia="en-IN"/>
        </w:rPr>
        <w:t>Patients with erosive GERD, history of haematemesis or melena, dysphagia, or odynophagia.</w:t>
      </w:r>
    </w:p>
    <w:p w14:paraId="7C9C44BD" w14:textId="562728B3" w:rsidR="008E2CB2" w:rsidRPr="000A024E" w:rsidRDefault="008E2CB2" w:rsidP="000A024E">
      <w:pPr>
        <w:pStyle w:val="ListParagraph"/>
        <w:numPr>
          <w:ilvl w:val="0"/>
          <w:numId w:val="4"/>
        </w:numPr>
        <w:jc w:val="both"/>
        <w:rPr>
          <w:rFonts w:ascii="Arial" w:eastAsia="Times New Roman" w:hAnsi="Arial" w:cs="Arial"/>
          <w:kern w:val="0"/>
          <w:sz w:val="20"/>
          <w:szCs w:val="20"/>
          <w:lang w:eastAsia="en-IN"/>
        </w:rPr>
      </w:pPr>
      <w:r w:rsidRPr="000A024E">
        <w:rPr>
          <w:rFonts w:ascii="Arial" w:eastAsia="Times New Roman" w:hAnsi="Arial" w:cs="Arial"/>
          <w:kern w:val="0"/>
          <w:sz w:val="20"/>
          <w:szCs w:val="20"/>
          <w:lang w:eastAsia="en-IN"/>
        </w:rPr>
        <w:t xml:space="preserve">Individuals diagnosed with </w:t>
      </w:r>
      <w:proofErr w:type="spellStart"/>
      <w:r w:rsidRPr="000A024E">
        <w:rPr>
          <w:rFonts w:ascii="Arial" w:eastAsia="Times New Roman" w:hAnsi="Arial" w:cs="Arial"/>
          <w:kern w:val="0"/>
          <w:sz w:val="20"/>
          <w:szCs w:val="20"/>
          <w:lang w:eastAsia="en-IN"/>
        </w:rPr>
        <w:t>esophageal</w:t>
      </w:r>
      <w:proofErr w:type="spellEnd"/>
      <w:r w:rsidRPr="000A024E">
        <w:rPr>
          <w:rFonts w:ascii="Arial" w:eastAsia="Times New Roman" w:hAnsi="Arial" w:cs="Arial"/>
          <w:kern w:val="0"/>
          <w:sz w:val="20"/>
          <w:szCs w:val="20"/>
          <w:lang w:eastAsia="en-IN"/>
        </w:rPr>
        <w:t xml:space="preserve"> stricture, Barrett’s </w:t>
      </w:r>
      <w:proofErr w:type="spellStart"/>
      <w:r w:rsidRPr="000A024E">
        <w:rPr>
          <w:rFonts w:ascii="Arial" w:eastAsia="Times New Roman" w:hAnsi="Arial" w:cs="Arial"/>
          <w:kern w:val="0"/>
          <w:sz w:val="20"/>
          <w:szCs w:val="20"/>
          <w:lang w:eastAsia="en-IN"/>
        </w:rPr>
        <w:t>esophagus</w:t>
      </w:r>
      <w:proofErr w:type="spellEnd"/>
      <w:r w:rsidRPr="000A024E">
        <w:rPr>
          <w:rFonts w:ascii="Arial" w:eastAsia="Times New Roman" w:hAnsi="Arial" w:cs="Arial"/>
          <w:kern w:val="0"/>
          <w:sz w:val="20"/>
          <w:szCs w:val="20"/>
          <w:lang w:eastAsia="en-IN"/>
        </w:rPr>
        <w:t xml:space="preserve">, or </w:t>
      </w:r>
      <w:proofErr w:type="spellStart"/>
      <w:r w:rsidRPr="000A024E">
        <w:rPr>
          <w:rFonts w:ascii="Arial" w:eastAsia="Times New Roman" w:hAnsi="Arial" w:cs="Arial"/>
          <w:kern w:val="0"/>
          <w:sz w:val="20"/>
          <w:szCs w:val="20"/>
          <w:lang w:eastAsia="en-IN"/>
        </w:rPr>
        <w:t>esophageal</w:t>
      </w:r>
      <w:proofErr w:type="spellEnd"/>
      <w:r w:rsidRPr="000A024E">
        <w:rPr>
          <w:rFonts w:ascii="Arial" w:eastAsia="Times New Roman" w:hAnsi="Arial" w:cs="Arial"/>
          <w:kern w:val="0"/>
          <w:sz w:val="20"/>
          <w:szCs w:val="20"/>
          <w:lang w:eastAsia="en-IN"/>
        </w:rPr>
        <w:t xml:space="preserve"> adenocarcinoma.</w:t>
      </w:r>
    </w:p>
    <w:p w14:paraId="12060CC9" w14:textId="0FF52489" w:rsidR="008E2CB2" w:rsidRPr="000A024E" w:rsidRDefault="008E2CB2" w:rsidP="000A024E">
      <w:pPr>
        <w:pStyle w:val="ListParagraph"/>
        <w:numPr>
          <w:ilvl w:val="0"/>
          <w:numId w:val="4"/>
        </w:numPr>
        <w:jc w:val="both"/>
        <w:rPr>
          <w:rFonts w:ascii="Arial" w:eastAsia="Times New Roman" w:hAnsi="Arial" w:cs="Arial"/>
          <w:kern w:val="0"/>
          <w:sz w:val="20"/>
          <w:szCs w:val="20"/>
          <w:lang w:eastAsia="en-IN"/>
        </w:rPr>
      </w:pPr>
      <w:r w:rsidRPr="000A024E">
        <w:rPr>
          <w:rFonts w:ascii="Arial" w:eastAsia="Times New Roman" w:hAnsi="Arial" w:cs="Arial"/>
          <w:kern w:val="0"/>
          <w:sz w:val="20"/>
          <w:szCs w:val="20"/>
          <w:lang w:eastAsia="en-IN"/>
        </w:rPr>
        <w:t xml:space="preserve">Patients with uncontrolled or complicated comorbidities (e.g., diabetes mellitus, hypertension, cardiovascular, renal, gastrointestinal, endocrine, </w:t>
      </w:r>
      <w:proofErr w:type="spellStart"/>
      <w:r w:rsidRPr="000A024E">
        <w:rPr>
          <w:rFonts w:ascii="Arial" w:eastAsia="Times New Roman" w:hAnsi="Arial" w:cs="Arial"/>
          <w:kern w:val="0"/>
          <w:sz w:val="20"/>
          <w:szCs w:val="20"/>
          <w:lang w:eastAsia="en-IN"/>
        </w:rPr>
        <w:t>gynecological</w:t>
      </w:r>
      <w:proofErr w:type="spellEnd"/>
      <w:r w:rsidRPr="000A024E">
        <w:rPr>
          <w:rFonts w:ascii="Arial" w:eastAsia="Times New Roman" w:hAnsi="Arial" w:cs="Arial"/>
          <w:kern w:val="0"/>
          <w:sz w:val="20"/>
          <w:szCs w:val="20"/>
          <w:lang w:eastAsia="en-IN"/>
        </w:rPr>
        <w:t>, or systemic infections) that could affect quality of life.</w:t>
      </w:r>
    </w:p>
    <w:p w14:paraId="0D2533E5" w14:textId="425443D5" w:rsidR="008E2CB2" w:rsidRPr="000A024E" w:rsidRDefault="008E2CB2" w:rsidP="000A024E">
      <w:pPr>
        <w:pStyle w:val="ListParagraph"/>
        <w:numPr>
          <w:ilvl w:val="0"/>
          <w:numId w:val="4"/>
        </w:numPr>
        <w:jc w:val="both"/>
        <w:rPr>
          <w:rFonts w:ascii="Arial" w:eastAsia="Times New Roman" w:hAnsi="Arial" w:cs="Arial"/>
          <w:kern w:val="0"/>
          <w:sz w:val="20"/>
          <w:szCs w:val="20"/>
          <w:lang w:eastAsia="en-IN"/>
        </w:rPr>
      </w:pPr>
      <w:r w:rsidRPr="000A024E">
        <w:rPr>
          <w:rFonts w:ascii="Arial" w:eastAsia="Times New Roman" w:hAnsi="Arial" w:cs="Arial"/>
          <w:kern w:val="0"/>
          <w:sz w:val="20"/>
          <w:szCs w:val="20"/>
          <w:lang w:eastAsia="en-IN"/>
        </w:rPr>
        <w:t>Those with psychiatric disorders, vital organ failure, or having received homeopathic treatment for chronic disease within the last six months.</w:t>
      </w:r>
    </w:p>
    <w:p w14:paraId="0C2026B9" w14:textId="337831F0" w:rsidR="008E2CB2" w:rsidRPr="000A024E" w:rsidRDefault="008E2CB2" w:rsidP="000A024E">
      <w:pPr>
        <w:pStyle w:val="ListParagraph"/>
        <w:numPr>
          <w:ilvl w:val="0"/>
          <w:numId w:val="4"/>
        </w:numPr>
        <w:jc w:val="both"/>
        <w:rPr>
          <w:rFonts w:ascii="Arial" w:eastAsia="Times New Roman" w:hAnsi="Arial" w:cs="Arial"/>
          <w:kern w:val="0"/>
          <w:sz w:val="20"/>
          <w:szCs w:val="20"/>
          <w:lang w:eastAsia="en-IN"/>
        </w:rPr>
      </w:pPr>
      <w:r w:rsidRPr="000A024E">
        <w:rPr>
          <w:rFonts w:ascii="Arial" w:eastAsia="Times New Roman" w:hAnsi="Arial" w:cs="Arial"/>
          <w:kern w:val="0"/>
          <w:sz w:val="20"/>
          <w:szCs w:val="20"/>
          <w:lang w:eastAsia="en-IN"/>
        </w:rPr>
        <w:t>Individuals with immune-compromised states, alcohol or drug dependence, inability to adhere to the study protocol, and pregnant or lactating women were also excluded.</w:t>
      </w:r>
    </w:p>
    <w:p w14:paraId="5D4FC6D9" w14:textId="17DA164B" w:rsidR="00535D74" w:rsidRPr="000A024E" w:rsidRDefault="00535D74" w:rsidP="000A024E">
      <w:pPr>
        <w:jc w:val="both"/>
        <w:rPr>
          <w:rFonts w:ascii="Arial" w:hAnsi="Arial" w:cs="Arial"/>
          <w:b/>
          <w:bCs/>
          <w:sz w:val="20"/>
          <w:szCs w:val="20"/>
        </w:rPr>
      </w:pPr>
      <w:r w:rsidRPr="000A024E">
        <w:rPr>
          <w:rFonts w:ascii="Arial" w:hAnsi="Arial" w:cs="Arial"/>
          <w:b/>
          <w:bCs/>
          <w:sz w:val="20"/>
          <w:szCs w:val="20"/>
        </w:rPr>
        <w:t>Study Objective</w:t>
      </w:r>
    </w:p>
    <w:p w14:paraId="2842962F" w14:textId="77777777" w:rsidR="008E2CB2" w:rsidRPr="000A024E" w:rsidRDefault="008E2CB2" w:rsidP="000A024E">
      <w:pPr>
        <w:pStyle w:val="Normal1"/>
        <w:spacing w:after="160" w:line="259" w:lineRule="auto"/>
        <w:jc w:val="both"/>
        <w:rPr>
          <w:rFonts w:eastAsia="Calibri"/>
          <w:kern w:val="2"/>
          <w:sz w:val="20"/>
          <w:szCs w:val="20"/>
          <w:lang w:val="en-IN" w:bidi="bn-IN"/>
        </w:rPr>
      </w:pPr>
      <w:r w:rsidRPr="000A024E">
        <w:rPr>
          <w:rFonts w:eastAsia="Calibri"/>
          <w:kern w:val="2"/>
          <w:sz w:val="20"/>
          <w:szCs w:val="20"/>
          <w:lang w:val="en-IN" w:bidi="bn-IN"/>
        </w:rPr>
        <w:t>To translate, culturally adapt, and validate the GERDQ into Bengali, addressing the absence of a linguistically validated tool for Bengali-speaking populations. This adaptation was intended to minimize linguistic bias and improve the reliability of GERD symptom assessment in clinical and research settings.</w:t>
      </w:r>
    </w:p>
    <w:p w14:paraId="3CB3AAAB" w14:textId="3B438498" w:rsidR="00535D74" w:rsidRPr="000A024E" w:rsidRDefault="00535D74" w:rsidP="000A024E">
      <w:pPr>
        <w:pStyle w:val="Normal1"/>
        <w:spacing w:after="160" w:line="259" w:lineRule="auto"/>
        <w:jc w:val="both"/>
        <w:rPr>
          <w:rFonts w:eastAsia="Times New Roman"/>
          <w:b/>
          <w:sz w:val="20"/>
          <w:szCs w:val="20"/>
        </w:rPr>
      </w:pPr>
      <w:r w:rsidRPr="000A024E">
        <w:rPr>
          <w:rFonts w:eastAsia="Times New Roman"/>
          <w:b/>
          <w:sz w:val="20"/>
          <w:szCs w:val="20"/>
        </w:rPr>
        <w:t>Study population</w:t>
      </w:r>
    </w:p>
    <w:p w14:paraId="7FF19ABE" w14:textId="77777777" w:rsidR="008E2CB2" w:rsidRPr="000A024E" w:rsidRDefault="008E2CB2" w:rsidP="000A024E">
      <w:pPr>
        <w:pStyle w:val="NormalWeb"/>
        <w:spacing w:line="276" w:lineRule="auto"/>
        <w:jc w:val="both"/>
        <w:rPr>
          <w:rFonts w:ascii="Arial" w:hAnsi="Arial" w:cs="Arial"/>
          <w:bCs/>
          <w:sz w:val="20"/>
          <w:szCs w:val="20"/>
          <w:lang w:val="en-US" w:eastAsia="en-US" w:bidi="hi-IN"/>
        </w:rPr>
      </w:pPr>
      <w:r w:rsidRPr="000A024E">
        <w:rPr>
          <w:rFonts w:ascii="Arial" w:hAnsi="Arial" w:cs="Arial"/>
          <w:bCs/>
          <w:sz w:val="20"/>
          <w:szCs w:val="20"/>
          <w:lang w:val="en-US" w:eastAsia="en-US" w:bidi="hi-IN"/>
        </w:rPr>
        <w:t>All eligible GERD patients attending the Outpatient Department (OPD) of The Calcutta Homoeopathic Medical College &amp; Hospital, Kolkata, during the defined 12-month data collection period, were approached for inclusion.</w:t>
      </w:r>
    </w:p>
    <w:p w14:paraId="5743B7B2" w14:textId="06C2F304" w:rsidR="00535D74" w:rsidRPr="000A024E" w:rsidRDefault="00535D74" w:rsidP="000A024E">
      <w:pPr>
        <w:pStyle w:val="NormalWeb"/>
        <w:spacing w:line="276" w:lineRule="auto"/>
        <w:jc w:val="both"/>
        <w:rPr>
          <w:rFonts w:ascii="Arial" w:hAnsi="Arial" w:cs="Arial"/>
          <w:b/>
          <w:bCs/>
          <w:sz w:val="20"/>
          <w:szCs w:val="20"/>
        </w:rPr>
      </w:pPr>
      <w:r w:rsidRPr="000A024E">
        <w:rPr>
          <w:rFonts w:ascii="Arial" w:hAnsi="Arial" w:cs="Arial"/>
          <w:b/>
          <w:bCs/>
          <w:sz w:val="20"/>
          <w:szCs w:val="20"/>
        </w:rPr>
        <w:t>Sample Size</w:t>
      </w:r>
    </w:p>
    <w:p w14:paraId="3255D8E2" w14:textId="77777777" w:rsidR="000A024E" w:rsidRPr="000A024E" w:rsidRDefault="000A024E" w:rsidP="000A024E">
      <w:pPr>
        <w:pStyle w:val="NormalWeb"/>
        <w:spacing w:line="276" w:lineRule="auto"/>
        <w:jc w:val="both"/>
        <w:rPr>
          <w:rFonts w:ascii="Arial" w:hAnsi="Arial" w:cs="Arial"/>
          <w:sz w:val="20"/>
          <w:szCs w:val="20"/>
        </w:rPr>
      </w:pPr>
      <w:r w:rsidRPr="000A024E">
        <w:rPr>
          <w:rFonts w:ascii="Arial" w:hAnsi="Arial" w:cs="Arial"/>
          <w:sz w:val="20"/>
          <w:szCs w:val="20"/>
        </w:rPr>
        <w:t xml:space="preserve">As no prior translation and validation of the GERDQOL was </w:t>
      </w:r>
      <w:proofErr w:type="gramStart"/>
      <w:r w:rsidRPr="000A024E">
        <w:rPr>
          <w:rFonts w:ascii="Arial" w:hAnsi="Arial" w:cs="Arial"/>
          <w:sz w:val="20"/>
          <w:szCs w:val="20"/>
        </w:rPr>
        <w:t>available,  we</w:t>
      </w:r>
      <w:proofErr w:type="gramEnd"/>
      <w:r w:rsidRPr="000A024E">
        <w:rPr>
          <w:rFonts w:ascii="Arial" w:hAnsi="Arial" w:cs="Arial"/>
          <w:sz w:val="20"/>
          <w:szCs w:val="20"/>
        </w:rPr>
        <w:t xml:space="preserve"> intended to carry out the translation with the complete enumeration format and in the respective time period of the study and a total 223 patients were included to complete the translation and validation. </w:t>
      </w:r>
    </w:p>
    <w:p w14:paraId="52920189" w14:textId="64DCBF99" w:rsidR="00535D74" w:rsidRPr="000A024E" w:rsidRDefault="00535D74" w:rsidP="000A024E">
      <w:pPr>
        <w:pStyle w:val="NormalWeb"/>
        <w:spacing w:line="276" w:lineRule="auto"/>
        <w:jc w:val="both"/>
        <w:rPr>
          <w:rFonts w:ascii="Arial" w:hAnsi="Arial" w:cs="Arial"/>
          <w:b/>
          <w:bCs/>
          <w:sz w:val="20"/>
          <w:szCs w:val="20"/>
        </w:rPr>
      </w:pPr>
      <w:r w:rsidRPr="000A024E">
        <w:rPr>
          <w:rFonts w:ascii="Arial" w:hAnsi="Arial" w:cs="Arial"/>
          <w:b/>
          <w:bCs/>
          <w:sz w:val="20"/>
          <w:szCs w:val="20"/>
        </w:rPr>
        <w:t>Sampling Technique</w:t>
      </w:r>
    </w:p>
    <w:p w14:paraId="7A28348B" w14:textId="77777777" w:rsidR="008E2CB2" w:rsidRPr="000A024E" w:rsidRDefault="008E2CB2" w:rsidP="000A024E">
      <w:pPr>
        <w:pStyle w:val="NormalWeb"/>
        <w:spacing w:line="276" w:lineRule="auto"/>
        <w:jc w:val="both"/>
        <w:rPr>
          <w:rFonts w:ascii="Arial" w:hAnsi="Arial" w:cs="Arial"/>
          <w:sz w:val="20"/>
          <w:szCs w:val="20"/>
          <w:lang w:val="en-US" w:eastAsia="en-US" w:bidi="hi-IN"/>
        </w:rPr>
      </w:pPr>
      <w:r w:rsidRPr="000A024E">
        <w:rPr>
          <w:rFonts w:ascii="Arial" w:hAnsi="Arial" w:cs="Arial"/>
          <w:sz w:val="20"/>
          <w:szCs w:val="20"/>
          <w:lang w:val="en-US" w:eastAsia="en-US" w:bidi="hi-IN"/>
        </w:rPr>
        <w:lastRenderedPageBreak/>
        <w:t>A non-probability convenience sampling method was employed to recruit participants consecutively during the specified data collection period. This approach allowed inclusion of all eligible patients meeting the inclusion criteria within the study timeframe.</w:t>
      </w:r>
    </w:p>
    <w:p w14:paraId="3918875A" w14:textId="0BEC0FD6" w:rsidR="00535D74" w:rsidRPr="000A024E" w:rsidRDefault="00535D74" w:rsidP="000A024E">
      <w:pPr>
        <w:pStyle w:val="NormalWeb"/>
        <w:spacing w:line="276" w:lineRule="auto"/>
        <w:jc w:val="both"/>
        <w:rPr>
          <w:rFonts w:ascii="Arial" w:hAnsi="Arial" w:cs="Arial"/>
          <w:b/>
          <w:bCs/>
          <w:sz w:val="20"/>
          <w:szCs w:val="20"/>
        </w:rPr>
      </w:pPr>
      <w:r w:rsidRPr="000A024E">
        <w:rPr>
          <w:rFonts w:ascii="Arial" w:hAnsi="Arial" w:cs="Arial"/>
          <w:b/>
          <w:bCs/>
          <w:sz w:val="20"/>
          <w:szCs w:val="20"/>
        </w:rPr>
        <w:t>Study Tools</w:t>
      </w:r>
    </w:p>
    <w:p w14:paraId="679F46B6" w14:textId="77777777" w:rsidR="008E2CB2" w:rsidRPr="000A024E" w:rsidRDefault="008E2CB2" w:rsidP="000A024E">
      <w:pPr>
        <w:pStyle w:val="NormalWeb"/>
        <w:spacing w:line="276" w:lineRule="auto"/>
        <w:jc w:val="both"/>
        <w:rPr>
          <w:rFonts w:ascii="Arial" w:hAnsi="Arial" w:cs="Arial"/>
          <w:sz w:val="20"/>
          <w:szCs w:val="20"/>
        </w:rPr>
      </w:pPr>
      <w:r w:rsidRPr="000A024E">
        <w:rPr>
          <w:rFonts w:ascii="Arial" w:hAnsi="Arial" w:cs="Arial"/>
          <w:sz w:val="20"/>
          <w:szCs w:val="20"/>
        </w:rPr>
        <w:t>The primary assessment instrument used in this study was the Gastroesophageal Reflux Disease Questionnaire (GERDQ). The GERDQ is a standardized, self-administered questionnaire designed to diagnose and evaluate GERD symptoms in clinical and research settings. It consists of six items, including four positive predictors—heartburn, regurgitation, sleep disturbance due to reflux, and use of over-the-counter medications—and two negative predictors—epigastric pain and nausea.</w:t>
      </w:r>
    </w:p>
    <w:p w14:paraId="01C82156" w14:textId="41F6FBA7" w:rsidR="008E2CB2" w:rsidRPr="000A024E" w:rsidRDefault="008E2CB2" w:rsidP="000A024E">
      <w:pPr>
        <w:pStyle w:val="NormalWeb"/>
        <w:spacing w:line="276" w:lineRule="auto"/>
        <w:jc w:val="both"/>
        <w:rPr>
          <w:rFonts w:ascii="Arial" w:hAnsi="Arial" w:cs="Arial"/>
          <w:sz w:val="20"/>
          <w:szCs w:val="20"/>
        </w:rPr>
      </w:pPr>
      <w:r w:rsidRPr="000A024E">
        <w:rPr>
          <w:rFonts w:ascii="Arial" w:hAnsi="Arial" w:cs="Arial"/>
          <w:sz w:val="20"/>
          <w:szCs w:val="20"/>
        </w:rPr>
        <w:t>Each item is rated on a four-point Likert scale (0–3), based on symptom frequency over the preceding week, giving a total score range of 0–18. A score of ≥8 has been established as a diagnostic threshold for identifying GERD with good sensitivity and specificity.</w:t>
      </w:r>
      <w:r w:rsidR="0072435A" w:rsidRPr="000A024E">
        <w:rPr>
          <w:rFonts w:ascii="Arial" w:hAnsi="Arial" w:cs="Arial"/>
          <w:sz w:val="20"/>
          <w:szCs w:val="20"/>
        </w:rPr>
        <w:t xml:space="preserve"> </w:t>
      </w:r>
      <w:r w:rsidRPr="000A024E">
        <w:rPr>
          <w:rFonts w:ascii="Arial" w:hAnsi="Arial" w:cs="Arial"/>
          <w:sz w:val="20"/>
          <w:szCs w:val="20"/>
        </w:rPr>
        <w:t>The GERDQ has been extensively validated and widely applied for evaluating symptom burden, monitoring treatment response, and quantifying disease impact in both clinical trials and real-world practice.</w:t>
      </w:r>
    </w:p>
    <w:p w14:paraId="2FB1D34D" w14:textId="6BB45FB2" w:rsidR="00E840C0" w:rsidRPr="000A024E" w:rsidRDefault="00E840C0" w:rsidP="000A024E">
      <w:pPr>
        <w:pStyle w:val="NormalWeb"/>
        <w:spacing w:line="276" w:lineRule="auto"/>
        <w:jc w:val="both"/>
        <w:rPr>
          <w:rFonts w:ascii="Arial" w:hAnsi="Arial" w:cs="Arial"/>
          <w:sz w:val="20"/>
          <w:szCs w:val="20"/>
        </w:rPr>
      </w:pPr>
      <w:r w:rsidRPr="000A024E">
        <w:rPr>
          <w:rFonts w:ascii="Arial" w:hAnsi="Arial" w:cs="Arial"/>
          <w:b/>
          <w:bCs/>
          <w:sz w:val="20"/>
          <w:szCs w:val="20"/>
        </w:rPr>
        <w:t>Instrument translation, procedure, and data collection</w:t>
      </w:r>
    </w:p>
    <w:p w14:paraId="6F54990F" w14:textId="10CB9AF2" w:rsidR="008E2CB2" w:rsidRPr="000A024E" w:rsidRDefault="008E2CB2" w:rsidP="000A024E">
      <w:pPr>
        <w:jc w:val="both"/>
        <w:rPr>
          <w:rFonts w:ascii="Arial" w:hAnsi="Arial" w:cs="Arial"/>
          <w:sz w:val="20"/>
          <w:szCs w:val="20"/>
        </w:rPr>
      </w:pPr>
      <w:r w:rsidRPr="000A024E">
        <w:rPr>
          <w:rFonts w:ascii="Arial" w:hAnsi="Arial" w:cs="Arial"/>
          <w:sz w:val="20"/>
          <w:szCs w:val="20"/>
        </w:rPr>
        <w:t>The translation and validation process of the GERDQ followed internationally accepted cross-cultural adaptation methods and the framework outlined by Sousa et al. and the World Health Organization (WHO). The procedure comprised two stages:</w:t>
      </w:r>
    </w:p>
    <w:p w14:paraId="1B80B4E2" w14:textId="77777777" w:rsidR="008E2CB2" w:rsidRPr="000A024E" w:rsidRDefault="008E2CB2" w:rsidP="000A024E">
      <w:pPr>
        <w:jc w:val="both"/>
        <w:rPr>
          <w:rFonts w:ascii="Arial" w:hAnsi="Arial" w:cs="Arial"/>
          <w:sz w:val="20"/>
          <w:szCs w:val="20"/>
        </w:rPr>
      </w:pPr>
    </w:p>
    <w:p w14:paraId="51F74D39" w14:textId="1C3403C8" w:rsidR="008E2CB2" w:rsidRPr="000A024E" w:rsidRDefault="008E2CB2" w:rsidP="000A024E">
      <w:pPr>
        <w:jc w:val="both"/>
        <w:rPr>
          <w:rFonts w:ascii="Arial" w:hAnsi="Arial" w:cs="Arial"/>
          <w:b/>
          <w:bCs/>
          <w:sz w:val="20"/>
          <w:szCs w:val="20"/>
        </w:rPr>
      </w:pPr>
      <w:r w:rsidRPr="000A024E">
        <w:rPr>
          <w:rFonts w:ascii="Arial" w:hAnsi="Arial" w:cs="Arial"/>
          <w:b/>
          <w:bCs/>
          <w:sz w:val="20"/>
          <w:szCs w:val="20"/>
        </w:rPr>
        <w:t>Translation and Cultural Adaptation:</w:t>
      </w:r>
    </w:p>
    <w:p w14:paraId="5F135D31" w14:textId="6133FCA0" w:rsidR="008E2CB2" w:rsidRPr="000A024E" w:rsidRDefault="008E2CB2" w:rsidP="000A024E">
      <w:pPr>
        <w:jc w:val="both"/>
        <w:rPr>
          <w:rFonts w:ascii="Arial" w:hAnsi="Arial" w:cs="Arial"/>
          <w:sz w:val="20"/>
          <w:szCs w:val="20"/>
        </w:rPr>
      </w:pPr>
      <w:r w:rsidRPr="000A024E">
        <w:rPr>
          <w:rFonts w:ascii="Arial" w:hAnsi="Arial" w:cs="Arial"/>
          <w:sz w:val="20"/>
          <w:szCs w:val="20"/>
        </w:rPr>
        <w:t xml:space="preserve">The original English GERDQ was forward-translated independently into Bengali by two qualified bilingual translators with expertise in medical terminology and cultural nuances. The forward translations </w:t>
      </w:r>
      <w:proofErr w:type="gramStart"/>
      <w:r w:rsidR="0072435A" w:rsidRPr="000A024E">
        <w:rPr>
          <w:rFonts w:ascii="Arial" w:hAnsi="Arial" w:cs="Arial"/>
          <w:sz w:val="20"/>
          <w:szCs w:val="20"/>
        </w:rPr>
        <w:t>was</w:t>
      </w:r>
      <w:proofErr w:type="gramEnd"/>
      <w:r w:rsidR="0072435A" w:rsidRPr="000A024E">
        <w:rPr>
          <w:rFonts w:ascii="Arial" w:hAnsi="Arial" w:cs="Arial"/>
          <w:sz w:val="20"/>
          <w:szCs w:val="20"/>
        </w:rPr>
        <w:t xml:space="preserve"> </w:t>
      </w:r>
      <w:r w:rsidRPr="000A024E">
        <w:rPr>
          <w:rFonts w:ascii="Arial" w:hAnsi="Arial" w:cs="Arial"/>
          <w:sz w:val="20"/>
          <w:szCs w:val="20"/>
        </w:rPr>
        <w:t>reviewed by an independent expert panel and compared with the source version to ensure conceptual and semantic equivalence. A reconciled preliminary Bengali version was back-translated into English by two new translators who were blinded to the original questionnaire. The back-translated version</w:t>
      </w:r>
      <w:r w:rsidR="0072435A" w:rsidRPr="000A024E">
        <w:rPr>
          <w:rFonts w:ascii="Arial" w:hAnsi="Arial" w:cs="Arial"/>
          <w:sz w:val="20"/>
          <w:szCs w:val="20"/>
        </w:rPr>
        <w:t xml:space="preserve"> was</w:t>
      </w:r>
      <w:r w:rsidRPr="000A024E">
        <w:rPr>
          <w:rFonts w:ascii="Arial" w:hAnsi="Arial" w:cs="Arial"/>
          <w:sz w:val="20"/>
          <w:szCs w:val="20"/>
        </w:rPr>
        <w:t xml:space="preserve"> compared with the original English GERDQ by the research team. No major discrepancies were found, confirming semantic and conceptual accuracy. After expert consensus, the pre-final Bengali version of the GERDQ (Bn-GERDQ) was prepared.</w:t>
      </w:r>
    </w:p>
    <w:p w14:paraId="04EB04FC" w14:textId="77777777" w:rsidR="008E2CB2" w:rsidRPr="000A024E" w:rsidRDefault="008E2CB2" w:rsidP="000A024E">
      <w:pPr>
        <w:jc w:val="both"/>
        <w:rPr>
          <w:rFonts w:ascii="Arial" w:hAnsi="Arial" w:cs="Arial"/>
          <w:b/>
          <w:bCs/>
          <w:sz w:val="20"/>
          <w:szCs w:val="20"/>
        </w:rPr>
      </w:pPr>
      <w:r w:rsidRPr="000A024E">
        <w:rPr>
          <w:rFonts w:ascii="Arial" w:hAnsi="Arial" w:cs="Arial"/>
          <w:b/>
          <w:bCs/>
          <w:sz w:val="20"/>
          <w:szCs w:val="20"/>
        </w:rPr>
        <w:t>Pilot Testing and Validation:</w:t>
      </w:r>
    </w:p>
    <w:p w14:paraId="53AF808D" w14:textId="52CE5793" w:rsidR="008E2CB2" w:rsidRPr="000A024E" w:rsidRDefault="008E2CB2" w:rsidP="000A024E">
      <w:pPr>
        <w:jc w:val="both"/>
        <w:rPr>
          <w:rFonts w:ascii="Arial" w:hAnsi="Arial" w:cs="Arial"/>
          <w:sz w:val="20"/>
          <w:szCs w:val="20"/>
        </w:rPr>
      </w:pPr>
      <w:r w:rsidRPr="000A024E">
        <w:rPr>
          <w:rFonts w:ascii="Arial" w:hAnsi="Arial" w:cs="Arial"/>
          <w:sz w:val="20"/>
          <w:szCs w:val="20"/>
        </w:rPr>
        <w:t>The pre-final Bengali GERDQ was pilot-tested on 80 Bengali-speaking GERD patients attending the outpatient department. Participants were asked to complete the questionnaire and comment on clarity, comprehension, and cultural appropriateness. Minor linguistic refinements were made based on feedback. The final version was reviewed by professional Bengali linguists for grammatical accuracy and cultural suitability, resulting in the final validated Bn-GERDQ tool.</w:t>
      </w:r>
    </w:p>
    <w:p w14:paraId="0EE37CCA" w14:textId="77777777" w:rsidR="008E2CB2" w:rsidRPr="000A024E" w:rsidRDefault="008E2CB2" w:rsidP="000A024E">
      <w:pPr>
        <w:jc w:val="both"/>
        <w:rPr>
          <w:rFonts w:ascii="Arial" w:hAnsi="Arial" w:cs="Arial"/>
          <w:b/>
          <w:bCs/>
          <w:sz w:val="20"/>
          <w:szCs w:val="20"/>
        </w:rPr>
      </w:pPr>
      <w:r w:rsidRPr="000A024E">
        <w:rPr>
          <w:rFonts w:ascii="Arial" w:hAnsi="Arial" w:cs="Arial"/>
          <w:b/>
          <w:bCs/>
          <w:sz w:val="20"/>
          <w:szCs w:val="20"/>
        </w:rPr>
        <w:t>Statistical Analysis</w:t>
      </w:r>
    </w:p>
    <w:p w14:paraId="7EC58F20" w14:textId="77777777" w:rsidR="008E2CB2" w:rsidRPr="000A024E" w:rsidRDefault="008E2CB2" w:rsidP="000A024E">
      <w:pPr>
        <w:jc w:val="both"/>
        <w:rPr>
          <w:rFonts w:ascii="Arial" w:hAnsi="Arial" w:cs="Arial"/>
          <w:sz w:val="20"/>
          <w:szCs w:val="20"/>
        </w:rPr>
      </w:pPr>
      <w:r w:rsidRPr="000A024E">
        <w:rPr>
          <w:rFonts w:ascii="Arial" w:hAnsi="Arial" w:cs="Arial"/>
          <w:sz w:val="20"/>
          <w:szCs w:val="20"/>
        </w:rPr>
        <w:t xml:space="preserve">All quantitative and qualitative variables were entered into Microsoft Excel (version 7.0) and </w:t>
      </w:r>
      <w:proofErr w:type="spellStart"/>
      <w:r w:rsidRPr="000A024E">
        <w:rPr>
          <w:rFonts w:ascii="Arial" w:hAnsi="Arial" w:cs="Arial"/>
          <w:sz w:val="20"/>
          <w:szCs w:val="20"/>
        </w:rPr>
        <w:t>analyzed</w:t>
      </w:r>
      <w:proofErr w:type="spellEnd"/>
      <w:r w:rsidRPr="000A024E">
        <w:rPr>
          <w:rFonts w:ascii="Arial" w:hAnsi="Arial" w:cs="Arial"/>
          <w:sz w:val="20"/>
          <w:szCs w:val="20"/>
        </w:rPr>
        <w:t xml:space="preserve"> using IBM SPSS Statistics (version 16.0). Qualitative variables were summarized as frequencies and percentages, whereas quantitative variables were expressed as mean ± standard deviation (SD). The internal consistency and reliability of the Bengali GERDQ were evaluated using Cronbach’s alpha coefficient (α), with values ≥0.70 considered acceptable for good reliability.</w:t>
      </w:r>
    </w:p>
    <w:p w14:paraId="57B24AC7" w14:textId="7EA60AB7" w:rsidR="00F72808" w:rsidRPr="000A024E" w:rsidRDefault="00F72808" w:rsidP="000A024E">
      <w:pPr>
        <w:jc w:val="both"/>
        <w:rPr>
          <w:rFonts w:ascii="Arial" w:hAnsi="Arial" w:cs="Arial"/>
          <w:b/>
          <w:bCs/>
          <w:sz w:val="20"/>
          <w:szCs w:val="20"/>
        </w:rPr>
      </w:pPr>
      <w:r w:rsidRPr="000A024E">
        <w:rPr>
          <w:rFonts w:ascii="Arial" w:hAnsi="Arial" w:cs="Arial"/>
          <w:b/>
          <w:bCs/>
          <w:sz w:val="20"/>
          <w:szCs w:val="20"/>
        </w:rPr>
        <w:t>Statistical Analysis</w:t>
      </w:r>
    </w:p>
    <w:p w14:paraId="18509E13" w14:textId="226F6044" w:rsidR="00F72808" w:rsidRPr="000A024E" w:rsidRDefault="00F72808" w:rsidP="000A024E">
      <w:pPr>
        <w:spacing w:line="360" w:lineRule="auto"/>
        <w:jc w:val="both"/>
        <w:rPr>
          <w:rFonts w:ascii="Arial" w:hAnsi="Arial" w:cs="Arial"/>
          <w:sz w:val="20"/>
          <w:szCs w:val="20"/>
        </w:rPr>
      </w:pPr>
      <w:r w:rsidRPr="000A024E">
        <w:rPr>
          <w:rFonts w:ascii="Arial" w:hAnsi="Arial" w:cs="Arial"/>
          <w:sz w:val="20"/>
          <w:szCs w:val="20"/>
        </w:rPr>
        <w:lastRenderedPageBreak/>
        <w:t>The dataset included both quantitative and qualitative variables. Data management was initially carried out using Microsoft Excel (version 7.0), and subsequently, the dataset was imported into IBM SPSS Statistics (version 16.0) for statistical analysis.  Qualitative variables were summarized using frequencies with their relative percentages. Quantitative variables were presented using descriptive statistics: the mean and standard deviation (SD) were reported for normally distributed data. The reliability of the GERD</w:t>
      </w:r>
      <w:r w:rsidRPr="000A024E">
        <w:rPr>
          <w:rFonts w:ascii="Arial" w:eastAsia="Times New Roman" w:hAnsi="Arial" w:cs="Arial"/>
          <w:color w:val="000000"/>
          <w:sz w:val="20"/>
          <w:szCs w:val="20"/>
        </w:rPr>
        <w:t>-Q questionnaire</w:t>
      </w:r>
      <w:r w:rsidRPr="000A024E">
        <w:rPr>
          <w:rFonts w:ascii="Arial" w:hAnsi="Arial" w:cs="Arial"/>
          <w:sz w:val="20"/>
          <w:szCs w:val="20"/>
        </w:rPr>
        <w:t xml:space="preserve"> in Bengali version was measured by computing Cronbach’s alpha.</w:t>
      </w:r>
    </w:p>
    <w:p w14:paraId="0DB7F384" w14:textId="12185A6E" w:rsidR="00F72808" w:rsidRPr="000A024E" w:rsidRDefault="00F72808" w:rsidP="000A024E">
      <w:pPr>
        <w:spacing w:line="360" w:lineRule="auto"/>
        <w:jc w:val="both"/>
        <w:rPr>
          <w:rFonts w:ascii="Arial" w:hAnsi="Arial" w:cs="Arial"/>
          <w:b/>
          <w:bCs/>
          <w:sz w:val="20"/>
          <w:szCs w:val="20"/>
        </w:rPr>
      </w:pPr>
      <w:r w:rsidRPr="000A024E">
        <w:rPr>
          <w:rFonts w:ascii="Arial" w:hAnsi="Arial" w:cs="Arial"/>
          <w:b/>
          <w:bCs/>
          <w:sz w:val="20"/>
          <w:szCs w:val="20"/>
        </w:rPr>
        <w:t>Ethical Consideration</w:t>
      </w:r>
    </w:p>
    <w:p w14:paraId="4904E1FA" w14:textId="5FE96907" w:rsidR="00F72808" w:rsidRPr="000A024E" w:rsidRDefault="00F72808" w:rsidP="000A024E">
      <w:pPr>
        <w:pStyle w:val="Normal1"/>
        <w:spacing w:after="160" w:line="259" w:lineRule="auto"/>
        <w:jc w:val="both"/>
        <w:rPr>
          <w:rFonts w:eastAsia="Times New Roman"/>
          <w:sz w:val="20"/>
          <w:szCs w:val="20"/>
        </w:rPr>
      </w:pPr>
      <w:r w:rsidRPr="000A024E">
        <w:rPr>
          <w:rFonts w:eastAsia="Times New Roman"/>
          <w:sz w:val="20"/>
          <w:szCs w:val="20"/>
        </w:rPr>
        <w:t xml:space="preserve">The study was conducted after obtaining clearance from the Institutional Ethics Committee </w:t>
      </w:r>
      <w:r w:rsidRPr="000A024E">
        <w:rPr>
          <w:rFonts w:eastAsia="Times New Roman"/>
          <w:color w:val="000000"/>
          <w:sz w:val="20"/>
          <w:szCs w:val="20"/>
        </w:rPr>
        <w:t>(CHMCH/IEC/13/2023).</w:t>
      </w:r>
      <w:r w:rsidRPr="000A024E">
        <w:rPr>
          <w:rFonts w:eastAsia="Times New Roman"/>
          <w:sz w:val="20"/>
          <w:szCs w:val="20"/>
        </w:rPr>
        <w:t xml:space="preserve"> The confidentiality of data was maintained.</w:t>
      </w:r>
    </w:p>
    <w:p w14:paraId="0FFC9332" w14:textId="2A450A2B" w:rsidR="00F10B00" w:rsidRPr="000A024E" w:rsidRDefault="00F72808" w:rsidP="000A024E">
      <w:pPr>
        <w:spacing w:line="360" w:lineRule="auto"/>
        <w:jc w:val="right"/>
        <w:rPr>
          <w:rFonts w:ascii="Arial" w:hAnsi="Arial" w:cs="Arial"/>
          <w:b/>
          <w:bCs/>
          <w:sz w:val="20"/>
          <w:szCs w:val="20"/>
        </w:rPr>
      </w:pPr>
      <w:r w:rsidRPr="000A024E">
        <w:rPr>
          <w:rFonts w:ascii="Arial" w:hAnsi="Arial" w:cs="Arial"/>
          <w:b/>
          <w:bCs/>
          <w:sz w:val="20"/>
          <w:szCs w:val="20"/>
        </w:rPr>
        <w:t>RESULT AND OBSERVATION</w:t>
      </w:r>
    </w:p>
    <w:p w14:paraId="186FFA88" w14:textId="36CEBCFB" w:rsidR="00F10B00" w:rsidRPr="000A024E" w:rsidRDefault="00F10B00" w:rsidP="000A024E">
      <w:pPr>
        <w:jc w:val="both"/>
        <w:rPr>
          <w:rFonts w:ascii="Arial" w:hAnsi="Arial" w:cs="Arial"/>
          <w:sz w:val="20"/>
          <w:szCs w:val="20"/>
        </w:rPr>
      </w:pPr>
      <w:r w:rsidRPr="000A024E">
        <w:rPr>
          <w:rFonts w:ascii="Arial" w:hAnsi="Arial" w:cs="Arial"/>
          <w:b/>
          <w:bCs/>
          <w:sz w:val="20"/>
          <w:szCs w:val="20"/>
        </w:rPr>
        <w:t>Table</w:t>
      </w:r>
      <w:r w:rsidR="00DB7690" w:rsidRPr="000A024E">
        <w:rPr>
          <w:rFonts w:ascii="Arial" w:hAnsi="Arial" w:cs="Arial"/>
          <w:b/>
          <w:bCs/>
          <w:sz w:val="20"/>
          <w:szCs w:val="20"/>
        </w:rPr>
        <w:t>1</w:t>
      </w:r>
      <w:r w:rsidRPr="000A024E">
        <w:rPr>
          <w:rFonts w:ascii="Arial" w:hAnsi="Arial" w:cs="Arial"/>
          <w:b/>
          <w:bCs/>
          <w:sz w:val="20"/>
          <w:szCs w:val="20"/>
        </w:rPr>
        <w:t>.0</w:t>
      </w:r>
      <w:r w:rsidRPr="000A024E">
        <w:rPr>
          <w:rFonts w:ascii="Arial" w:hAnsi="Arial" w:cs="Arial"/>
          <w:sz w:val="20"/>
          <w:szCs w:val="20"/>
        </w:rPr>
        <w:t xml:space="preserve"> Baseline Demographic presentation of the study participants for GERDQ Questionnaire (n= 80)</w:t>
      </w:r>
    </w:p>
    <w:p w14:paraId="5668E394" w14:textId="77777777" w:rsidR="00A3352C" w:rsidRPr="000A024E" w:rsidRDefault="00A3352C" w:rsidP="000A024E">
      <w:pPr>
        <w:jc w:val="both"/>
        <w:rPr>
          <w:rFonts w:ascii="Arial" w:hAnsi="Arial" w:cs="Arial"/>
          <w:color w:val="000000"/>
          <w:sz w:val="20"/>
          <w:szCs w:val="20"/>
          <w:vertAlign w:val="sub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2919"/>
      </w:tblGrid>
      <w:tr w:rsidR="00A3352C" w:rsidRPr="000A024E" w14:paraId="5650F4A5" w14:textId="77777777" w:rsidTr="00105DF0">
        <w:trPr>
          <w:jc w:val="center"/>
        </w:trPr>
        <w:tc>
          <w:tcPr>
            <w:tcW w:w="6097" w:type="dxa"/>
          </w:tcPr>
          <w:p w14:paraId="69309DAC" w14:textId="455E415B" w:rsidR="00A3352C" w:rsidRPr="000A024E" w:rsidRDefault="00A3352C" w:rsidP="000A024E">
            <w:pPr>
              <w:spacing w:after="0" w:line="240" w:lineRule="auto"/>
              <w:jc w:val="both"/>
              <w:rPr>
                <w:rFonts w:ascii="Arial" w:hAnsi="Arial" w:cs="Arial"/>
                <w:b/>
                <w:bCs/>
                <w:sz w:val="20"/>
                <w:szCs w:val="20"/>
              </w:rPr>
            </w:pPr>
            <w:r w:rsidRPr="000A024E">
              <w:rPr>
                <w:rFonts w:ascii="Arial" w:hAnsi="Arial" w:cs="Arial"/>
                <w:b/>
                <w:bCs/>
                <w:sz w:val="20"/>
                <w:szCs w:val="20"/>
              </w:rPr>
              <w:t>Response related to question on GERDQ</w:t>
            </w:r>
          </w:p>
        </w:tc>
        <w:tc>
          <w:tcPr>
            <w:tcW w:w="2919" w:type="dxa"/>
          </w:tcPr>
          <w:p w14:paraId="091DC666" w14:textId="738460E5" w:rsidR="00A3352C" w:rsidRPr="000A024E" w:rsidRDefault="00DB7690" w:rsidP="000A024E">
            <w:pPr>
              <w:spacing w:after="0" w:line="240" w:lineRule="auto"/>
              <w:jc w:val="both"/>
              <w:rPr>
                <w:rFonts w:ascii="Arial" w:hAnsi="Arial" w:cs="Arial"/>
                <w:b/>
                <w:bCs/>
                <w:sz w:val="20"/>
                <w:szCs w:val="20"/>
              </w:rPr>
            </w:pPr>
            <w:r w:rsidRPr="000A024E">
              <w:rPr>
                <w:rFonts w:ascii="Arial" w:hAnsi="Arial" w:cs="Arial"/>
                <w:b/>
                <w:bCs/>
                <w:sz w:val="20"/>
                <w:szCs w:val="20"/>
              </w:rPr>
              <w:t>No. (</w:t>
            </w:r>
            <w:r w:rsidR="00A3352C" w:rsidRPr="000A024E">
              <w:rPr>
                <w:rFonts w:ascii="Arial" w:hAnsi="Arial" w:cs="Arial"/>
                <w:b/>
                <w:bCs/>
                <w:sz w:val="20"/>
                <w:szCs w:val="20"/>
              </w:rPr>
              <w:t>%)</w:t>
            </w:r>
          </w:p>
        </w:tc>
      </w:tr>
      <w:tr w:rsidR="00A3352C" w:rsidRPr="000A024E" w14:paraId="11B130E2" w14:textId="77777777" w:rsidTr="00105DF0">
        <w:trPr>
          <w:jc w:val="center"/>
        </w:trPr>
        <w:tc>
          <w:tcPr>
            <w:tcW w:w="6097" w:type="dxa"/>
          </w:tcPr>
          <w:p w14:paraId="61451B57" w14:textId="77777777" w:rsidR="00A3352C" w:rsidRPr="000A024E" w:rsidRDefault="00A3352C" w:rsidP="000A024E">
            <w:pPr>
              <w:spacing w:after="0" w:line="240" w:lineRule="auto"/>
              <w:jc w:val="both"/>
              <w:rPr>
                <w:rFonts w:ascii="Arial" w:hAnsi="Arial" w:cs="Arial"/>
                <w:sz w:val="20"/>
                <w:szCs w:val="20"/>
                <w:u w:val="single"/>
              </w:rPr>
            </w:pPr>
            <w:r w:rsidRPr="000A024E">
              <w:rPr>
                <w:rFonts w:ascii="Arial" w:hAnsi="Arial" w:cs="Arial"/>
                <w:sz w:val="20"/>
                <w:szCs w:val="20"/>
              </w:rPr>
              <w:t xml:space="preserve">                                        </w:t>
            </w:r>
          </w:p>
          <w:p w14:paraId="3D4B931B" w14:textId="77777777" w:rsidR="00A3352C" w:rsidRPr="000A024E" w:rsidRDefault="00A3352C" w:rsidP="000A024E">
            <w:pPr>
              <w:spacing w:after="0" w:line="240" w:lineRule="auto"/>
              <w:jc w:val="both"/>
              <w:rPr>
                <w:rFonts w:ascii="Arial" w:hAnsi="Arial" w:cs="Arial"/>
                <w:sz w:val="20"/>
                <w:szCs w:val="20"/>
              </w:rPr>
            </w:pPr>
            <w:r w:rsidRPr="000A024E">
              <w:rPr>
                <w:rFonts w:ascii="Arial" w:hAnsi="Arial" w:cs="Arial"/>
                <w:sz w:val="20"/>
                <w:szCs w:val="20"/>
              </w:rPr>
              <w:t xml:space="preserve">Burning feeling behind </w:t>
            </w:r>
            <w:r w:rsidRPr="000A024E">
              <w:rPr>
                <w:rFonts w:ascii="Arial" w:hAnsi="Arial" w:cs="Arial"/>
                <w:sz w:val="20"/>
                <w:szCs w:val="20"/>
              </w:rPr>
              <w:br/>
              <w:t>the breastbone heartburn</w:t>
            </w:r>
          </w:p>
          <w:p w14:paraId="06FD6B35" w14:textId="77777777" w:rsidR="00A3352C" w:rsidRPr="000A024E" w:rsidRDefault="00A3352C" w:rsidP="000A024E">
            <w:pPr>
              <w:spacing w:after="0" w:line="240" w:lineRule="auto"/>
              <w:jc w:val="both"/>
              <w:rPr>
                <w:rFonts w:ascii="Arial" w:hAnsi="Arial" w:cs="Arial"/>
                <w:sz w:val="20"/>
                <w:szCs w:val="20"/>
              </w:rPr>
            </w:pPr>
            <w:r w:rsidRPr="000A024E">
              <w:rPr>
                <w:rFonts w:ascii="Arial" w:hAnsi="Arial" w:cs="Arial"/>
                <w:sz w:val="20"/>
                <w:szCs w:val="20"/>
              </w:rPr>
              <w:t>0</w:t>
            </w:r>
          </w:p>
          <w:p w14:paraId="71BE967E" w14:textId="77777777" w:rsidR="00A3352C" w:rsidRPr="000A024E" w:rsidRDefault="00A3352C" w:rsidP="000A024E">
            <w:pPr>
              <w:spacing w:after="0" w:line="240" w:lineRule="auto"/>
              <w:jc w:val="both"/>
              <w:rPr>
                <w:rFonts w:ascii="Arial" w:hAnsi="Arial" w:cs="Arial"/>
                <w:sz w:val="20"/>
                <w:szCs w:val="20"/>
              </w:rPr>
            </w:pPr>
            <w:r w:rsidRPr="000A024E">
              <w:rPr>
                <w:rFonts w:ascii="Arial" w:hAnsi="Arial" w:cs="Arial"/>
                <w:sz w:val="20"/>
                <w:szCs w:val="20"/>
              </w:rPr>
              <w:t>1</w:t>
            </w:r>
          </w:p>
          <w:p w14:paraId="53A2FCF7" w14:textId="77777777" w:rsidR="00A3352C" w:rsidRPr="000A024E" w:rsidRDefault="00A3352C" w:rsidP="000A024E">
            <w:pPr>
              <w:spacing w:after="0" w:line="240" w:lineRule="auto"/>
              <w:jc w:val="both"/>
              <w:rPr>
                <w:rFonts w:ascii="Arial" w:hAnsi="Arial" w:cs="Arial"/>
                <w:sz w:val="20"/>
                <w:szCs w:val="20"/>
              </w:rPr>
            </w:pPr>
            <w:r w:rsidRPr="000A024E">
              <w:rPr>
                <w:rFonts w:ascii="Arial" w:hAnsi="Arial" w:cs="Arial"/>
                <w:sz w:val="20"/>
                <w:szCs w:val="20"/>
              </w:rPr>
              <w:t>2</w:t>
            </w:r>
          </w:p>
          <w:p w14:paraId="17EB1C2D" w14:textId="77777777" w:rsidR="00A3352C" w:rsidRPr="000A024E" w:rsidRDefault="00A3352C" w:rsidP="000A024E">
            <w:pPr>
              <w:spacing w:after="0" w:line="240" w:lineRule="auto"/>
              <w:jc w:val="both"/>
              <w:rPr>
                <w:rFonts w:ascii="Arial" w:hAnsi="Arial" w:cs="Arial"/>
                <w:sz w:val="20"/>
                <w:szCs w:val="20"/>
              </w:rPr>
            </w:pPr>
            <w:r w:rsidRPr="000A024E">
              <w:rPr>
                <w:rFonts w:ascii="Arial" w:hAnsi="Arial" w:cs="Arial"/>
                <w:sz w:val="20"/>
                <w:szCs w:val="20"/>
              </w:rPr>
              <w:t>3</w:t>
            </w:r>
          </w:p>
          <w:p w14:paraId="083A730E" w14:textId="6EC1FE3C" w:rsidR="00A3352C" w:rsidRPr="000A024E" w:rsidRDefault="00A3352C" w:rsidP="000A024E">
            <w:pPr>
              <w:spacing w:after="0" w:line="240" w:lineRule="auto"/>
              <w:jc w:val="both"/>
              <w:rPr>
                <w:rFonts w:ascii="Arial" w:hAnsi="Arial" w:cs="Arial"/>
                <w:sz w:val="20"/>
                <w:szCs w:val="20"/>
              </w:rPr>
            </w:pPr>
            <w:r w:rsidRPr="000A024E">
              <w:rPr>
                <w:rFonts w:ascii="Arial" w:hAnsi="Arial" w:cs="Arial"/>
                <w:sz w:val="20"/>
                <w:szCs w:val="20"/>
              </w:rPr>
              <w:t>Total</w:t>
            </w:r>
          </w:p>
        </w:tc>
        <w:tc>
          <w:tcPr>
            <w:tcW w:w="2919" w:type="dxa"/>
          </w:tcPr>
          <w:p w14:paraId="455C9C8E" w14:textId="77777777" w:rsidR="00A3352C" w:rsidRPr="000A024E" w:rsidRDefault="00A3352C" w:rsidP="000A024E">
            <w:pPr>
              <w:spacing w:after="0" w:line="240" w:lineRule="auto"/>
              <w:jc w:val="both"/>
              <w:rPr>
                <w:rFonts w:ascii="Arial" w:hAnsi="Arial" w:cs="Arial"/>
                <w:color w:val="FF0000"/>
                <w:sz w:val="20"/>
                <w:szCs w:val="20"/>
              </w:rPr>
            </w:pPr>
            <w:r w:rsidRPr="000A024E">
              <w:rPr>
                <w:rFonts w:ascii="Arial" w:hAnsi="Arial" w:cs="Arial"/>
                <w:color w:val="FF0000"/>
                <w:sz w:val="20"/>
                <w:szCs w:val="20"/>
              </w:rPr>
              <w:t xml:space="preserve">                   </w:t>
            </w:r>
          </w:p>
          <w:p w14:paraId="1FC8F99B" w14:textId="77777777" w:rsidR="00A3352C" w:rsidRPr="000A024E" w:rsidRDefault="00A3352C" w:rsidP="000A024E">
            <w:pPr>
              <w:spacing w:after="0" w:line="240" w:lineRule="auto"/>
              <w:jc w:val="both"/>
              <w:rPr>
                <w:rFonts w:ascii="Arial" w:hAnsi="Arial" w:cs="Arial"/>
                <w:color w:val="FF0000"/>
                <w:sz w:val="20"/>
                <w:szCs w:val="20"/>
              </w:rPr>
            </w:pPr>
            <w:r w:rsidRPr="000A024E">
              <w:rPr>
                <w:rFonts w:ascii="Arial" w:hAnsi="Arial" w:cs="Arial"/>
                <w:color w:val="FF0000"/>
                <w:sz w:val="20"/>
                <w:szCs w:val="20"/>
              </w:rPr>
              <w:t xml:space="preserve">               </w:t>
            </w:r>
          </w:p>
          <w:p w14:paraId="6C143C01" w14:textId="77777777" w:rsidR="00A3352C" w:rsidRPr="000A024E" w:rsidRDefault="00A3352C" w:rsidP="000A024E">
            <w:pPr>
              <w:spacing w:after="0" w:line="240" w:lineRule="auto"/>
              <w:jc w:val="both"/>
              <w:rPr>
                <w:rFonts w:ascii="Arial" w:hAnsi="Arial" w:cs="Arial"/>
                <w:color w:val="FF0000"/>
                <w:sz w:val="20"/>
                <w:szCs w:val="20"/>
              </w:rPr>
            </w:pPr>
          </w:p>
          <w:p w14:paraId="0CEEBD78" w14:textId="564D6AA0" w:rsidR="00A3352C" w:rsidRPr="000A024E" w:rsidRDefault="00A3352C" w:rsidP="000A024E">
            <w:pPr>
              <w:spacing w:after="0" w:line="240" w:lineRule="auto"/>
              <w:jc w:val="both"/>
              <w:rPr>
                <w:rFonts w:ascii="Arial" w:hAnsi="Arial" w:cs="Arial"/>
                <w:color w:val="FF0000"/>
                <w:sz w:val="20"/>
                <w:szCs w:val="20"/>
              </w:rPr>
            </w:pPr>
            <w:r w:rsidRPr="000A024E">
              <w:rPr>
                <w:rFonts w:ascii="Arial" w:hAnsi="Arial" w:cs="Arial"/>
                <w:color w:val="000000"/>
                <w:sz w:val="20"/>
                <w:szCs w:val="20"/>
              </w:rPr>
              <w:t>28(35.0)</w:t>
            </w:r>
          </w:p>
          <w:p w14:paraId="3DE75BD1" w14:textId="0920F37E" w:rsidR="00A3352C" w:rsidRPr="000A024E" w:rsidRDefault="00A3352C"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17(21.2)</w:t>
            </w:r>
          </w:p>
          <w:p w14:paraId="6FBA35BE" w14:textId="55E555C6"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16</w:t>
            </w:r>
            <w:r w:rsidR="00A3352C" w:rsidRPr="000A024E">
              <w:rPr>
                <w:rFonts w:ascii="Arial" w:hAnsi="Arial" w:cs="Arial"/>
                <w:color w:val="000000"/>
                <w:sz w:val="20"/>
                <w:szCs w:val="20"/>
              </w:rPr>
              <w:t>(</w:t>
            </w:r>
            <w:r w:rsidRPr="000A024E">
              <w:rPr>
                <w:rFonts w:ascii="Arial" w:hAnsi="Arial" w:cs="Arial"/>
                <w:color w:val="000000"/>
                <w:sz w:val="20"/>
                <w:szCs w:val="20"/>
              </w:rPr>
              <w:t>20.0</w:t>
            </w:r>
            <w:r w:rsidR="00A3352C" w:rsidRPr="000A024E">
              <w:rPr>
                <w:rFonts w:ascii="Arial" w:hAnsi="Arial" w:cs="Arial"/>
                <w:color w:val="000000"/>
                <w:sz w:val="20"/>
                <w:szCs w:val="20"/>
              </w:rPr>
              <w:t>)</w:t>
            </w:r>
          </w:p>
          <w:p w14:paraId="55ACAB8A" w14:textId="25A1C5DA"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19</w:t>
            </w:r>
            <w:r w:rsidR="00A3352C" w:rsidRPr="000A024E">
              <w:rPr>
                <w:rFonts w:ascii="Arial" w:hAnsi="Arial" w:cs="Arial"/>
                <w:color w:val="000000"/>
                <w:sz w:val="20"/>
                <w:szCs w:val="20"/>
              </w:rPr>
              <w:t>(</w:t>
            </w:r>
            <w:r w:rsidRPr="000A024E">
              <w:rPr>
                <w:rFonts w:ascii="Arial" w:hAnsi="Arial" w:cs="Arial"/>
                <w:color w:val="000000"/>
                <w:sz w:val="20"/>
                <w:szCs w:val="20"/>
              </w:rPr>
              <w:t>23.8</w:t>
            </w:r>
            <w:r w:rsidR="00A3352C" w:rsidRPr="000A024E">
              <w:rPr>
                <w:rFonts w:ascii="Arial" w:hAnsi="Arial" w:cs="Arial"/>
                <w:color w:val="000000"/>
                <w:sz w:val="20"/>
                <w:szCs w:val="20"/>
              </w:rPr>
              <w:t>)</w:t>
            </w:r>
          </w:p>
          <w:p w14:paraId="454F63B7" w14:textId="79FE82EC"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80</w:t>
            </w:r>
            <w:r w:rsidR="00A3352C" w:rsidRPr="000A024E">
              <w:rPr>
                <w:rFonts w:ascii="Arial" w:hAnsi="Arial" w:cs="Arial"/>
                <w:color w:val="000000"/>
                <w:sz w:val="20"/>
                <w:szCs w:val="20"/>
              </w:rPr>
              <w:t>(</w:t>
            </w:r>
            <w:r w:rsidRPr="000A024E">
              <w:rPr>
                <w:rFonts w:ascii="Arial" w:hAnsi="Arial" w:cs="Arial"/>
                <w:color w:val="000000"/>
                <w:sz w:val="20"/>
                <w:szCs w:val="20"/>
              </w:rPr>
              <w:t>100.0</w:t>
            </w:r>
            <w:r w:rsidR="00A3352C" w:rsidRPr="000A024E">
              <w:rPr>
                <w:rFonts w:ascii="Arial" w:hAnsi="Arial" w:cs="Arial"/>
                <w:color w:val="000000"/>
                <w:sz w:val="20"/>
                <w:szCs w:val="20"/>
              </w:rPr>
              <w:t>)</w:t>
            </w:r>
          </w:p>
        </w:tc>
      </w:tr>
      <w:tr w:rsidR="00A3352C" w:rsidRPr="000A024E" w14:paraId="3EF8A57A" w14:textId="77777777" w:rsidTr="00105DF0">
        <w:trPr>
          <w:trHeight w:val="1952"/>
          <w:jc w:val="center"/>
        </w:trPr>
        <w:tc>
          <w:tcPr>
            <w:tcW w:w="6097" w:type="dxa"/>
          </w:tcPr>
          <w:p w14:paraId="62D2C559"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Stomach contents moving up to the throat or mouth regurgitation</w:t>
            </w:r>
          </w:p>
          <w:p w14:paraId="606D0388"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0</w:t>
            </w:r>
          </w:p>
          <w:p w14:paraId="512D753C"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1</w:t>
            </w:r>
          </w:p>
          <w:p w14:paraId="57F7702A"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2</w:t>
            </w:r>
          </w:p>
          <w:p w14:paraId="4A96CE47"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3</w:t>
            </w:r>
          </w:p>
          <w:p w14:paraId="24D50261" w14:textId="16745D86" w:rsidR="00A3352C"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Total</w:t>
            </w:r>
          </w:p>
        </w:tc>
        <w:tc>
          <w:tcPr>
            <w:tcW w:w="2919" w:type="dxa"/>
          </w:tcPr>
          <w:p w14:paraId="1AC9112B" w14:textId="77777777" w:rsidR="00A3352C" w:rsidRPr="000A024E" w:rsidRDefault="00A3352C" w:rsidP="000A024E">
            <w:pPr>
              <w:spacing w:after="0" w:line="240" w:lineRule="auto"/>
              <w:jc w:val="both"/>
              <w:rPr>
                <w:rFonts w:ascii="Arial" w:hAnsi="Arial" w:cs="Arial"/>
                <w:color w:val="FF0000"/>
                <w:sz w:val="20"/>
                <w:szCs w:val="20"/>
              </w:rPr>
            </w:pPr>
          </w:p>
          <w:p w14:paraId="118DC4CE" w14:textId="77777777" w:rsidR="008C7217" w:rsidRPr="000A024E" w:rsidRDefault="00A3352C" w:rsidP="000A024E">
            <w:pPr>
              <w:spacing w:after="0" w:line="240" w:lineRule="auto"/>
              <w:jc w:val="both"/>
              <w:rPr>
                <w:rFonts w:ascii="Arial" w:hAnsi="Arial" w:cs="Arial"/>
                <w:color w:val="FF0000"/>
                <w:sz w:val="20"/>
                <w:szCs w:val="20"/>
              </w:rPr>
            </w:pPr>
            <w:r w:rsidRPr="000A024E">
              <w:rPr>
                <w:rFonts w:ascii="Arial" w:hAnsi="Arial" w:cs="Arial"/>
                <w:color w:val="FF0000"/>
                <w:sz w:val="20"/>
                <w:szCs w:val="20"/>
              </w:rPr>
              <w:t xml:space="preserve">                 </w:t>
            </w:r>
          </w:p>
          <w:p w14:paraId="2EA44E80" w14:textId="78DE1E53"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18</w:t>
            </w:r>
            <w:r w:rsidR="00A3352C" w:rsidRPr="000A024E">
              <w:rPr>
                <w:rFonts w:ascii="Arial" w:hAnsi="Arial" w:cs="Arial"/>
                <w:color w:val="000000"/>
                <w:sz w:val="20"/>
                <w:szCs w:val="20"/>
              </w:rPr>
              <w:t>(</w:t>
            </w:r>
            <w:r w:rsidRPr="000A024E">
              <w:rPr>
                <w:rFonts w:ascii="Arial" w:hAnsi="Arial" w:cs="Arial"/>
                <w:color w:val="000000"/>
                <w:sz w:val="20"/>
                <w:szCs w:val="20"/>
              </w:rPr>
              <w:t>22.5</w:t>
            </w:r>
            <w:r w:rsidR="00A3352C" w:rsidRPr="000A024E">
              <w:rPr>
                <w:rFonts w:ascii="Arial" w:hAnsi="Arial" w:cs="Arial"/>
                <w:color w:val="000000"/>
                <w:sz w:val="20"/>
                <w:szCs w:val="20"/>
              </w:rPr>
              <w:t>)</w:t>
            </w:r>
          </w:p>
          <w:p w14:paraId="706460F5" w14:textId="5F8B6DFC"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22</w:t>
            </w:r>
            <w:r w:rsidR="00A3352C" w:rsidRPr="000A024E">
              <w:rPr>
                <w:rFonts w:ascii="Arial" w:hAnsi="Arial" w:cs="Arial"/>
                <w:color w:val="000000"/>
                <w:sz w:val="20"/>
                <w:szCs w:val="20"/>
              </w:rPr>
              <w:t>(2</w:t>
            </w:r>
            <w:r w:rsidRPr="000A024E">
              <w:rPr>
                <w:rFonts w:ascii="Arial" w:hAnsi="Arial" w:cs="Arial"/>
                <w:color w:val="000000"/>
                <w:sz w:val="20"/>
                <w:szCs w:val="20"/>
              </w:rPr>
              <w:t>7.5</w:t>
            </w:r>
            <w:r w:rsidR="00A3352C" w:rsidRPr="000A024E">
              <w:rPr>
                <w:rFonts w:ascii="Arial" w:hAnsi="Arial" w:cs="Arial"/>
                <w:color w:val="000000"/>
                <w:sz w:val="20"/>
                <w:szCs w:val="20"/>
              </w:rPr>
              <w:t>)</w:t>
            </w:r>
          </w:p>
          <w:p w14:paraId="55E89CC0" w14:textId="34472837"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22</w:t>
            </w:r>
            <w:r w:rsidR="00A3352C" w:rsidRPr="000A024E">
              <w:rPr>
                <w:rFonts w:ascii="Arial" w:hAnsi="Arial" w:cs="Arial"/>
                <w:color w:val="000000"/>
                <w:sz w:val="20"/>
                <w:szCs w:val="20"/>
              </w:rPr>
              <w:t>(</w:t>
            </w:r>
            <w:r w:rsidRPr="000A024E">
              <w:rPr>
                <w:rFonts w:ascii="Arial" w:hAnsi="Arial" w:cs="Arial"/>
                <w:color w:val="000000"/>
                <w:sz w:val="20"/>
                <w:szCs w:val="20"/>
              </w:rPr>
              <w:t>27.5</w:t>
            </w:r>
            <w:r w:rsidR="00A3352C" w:rsidRPr="000A024E">
              <w:rPr>
                <w:rFonts w:ascii="Arial" w:hAnsi="Arial" w:cs="Arial"/>
                <w:color w:val="000000"/>
                <w:sz w:val="20"/>
                <w:szCs w:val="20"/>
              </w:rPr>
              <w:t>)</w:t>
            </w:r>
          </w:p>
          <w:p w14:paraId="57D2546E" w14:textId="730987E6"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18</w:t>
            </w:r>
            <w:r w:rsidR="00A3352C" w:rsidRPr="000A024E">
              <w:rPr>
                <w:rFonts w:ascii="Arial" w:hAnsi="Arial" w:cs="Arial"/>
                <w:color w:val="000000"/>
                <w:sz w:val="20"/>
                <w:szCs w:val="20"/>
              </w:rPr>
              <w:t>(</w:t>
            </w:r>
            <w:r w:rsidRPr="000A024E">
              <w:rPr>
                <w:rFonts w:ascii="Arial" w:hAnsi="Arial" w:cs="Arial"/>
                <w:color w:val="000000"/>
                <w:sz w:val="20"/>
                <w:szCs w:val="20"/>
              </w:rPr>
              <w:t>22.5</w:t>
            </w:r>
            <w:r w:rsidR="00A3352C" w:rsidRPr="000A024E">
              <w:rPr>
                <w:rFonts w:ascii="Arial" w:hAnsi="Arial" w:cs="Arial"/>
                <w:color w:val="000000"/>
                <w:sz w:val="20"/>
                <w:szCs w:val="20"/>
              </w:rPr>
              <w:t>)</w:t>
            </w:r>
          </w:p>
          <w:p w14:paraId="38DE3088" w14:textId="58037111" w:rsidR="00A3352C"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80</w:t>
            </w:r>
            <w:r w:rsidR="00A3352C" w:rsidRPr="000A024E">
              <w:rPr>
                <w:rFonts w:ascii="Arial" w:hAnsi="Arial" w:cs="Arial"/>
                <w:color w:val="000000"/>
                <w:sz w:val="20"/>
                <w:szCs w:val="20"/>
              </w:rPr>
              <w:t>(</w:t>
            </w:r>
            <w:r w:rsidRPr="000A024E">
              <w:rPr>
                <w:rFonts w:ascii="Arial" w:hAnsi="Arial" w:cs="Arial"/>
                <w:color w:val="000000"/>
                <w:sz w:val="20"/>
                <w:szCs w:val="20"/>
              </w:rPr>
              <w:t>100.0</w:t>
            </w:r>
            <w:r w:rsidR="00A3352C" w:rsidRPr="000A024E">
              <w:rPr>
                <w:rFonts w:ascii="Arial" w:hAnsi="Arial" w:cs="Arial"/>
                <w:color w:val="000000"/>
                <w:sz w:val="20"/>
                <w:szCs w:val="20"/>
              </w:rPr>
              <w:t>)</w:t>
            </w:r>
          </w:p>
        </w:tc>
      </w:tr>
      <w:tr w:rsidR="00A3352C" w:rsidRPr="000A024E" w14:paraId="413E389E" w14:textId="77777777" w:rsidTr="00105DF0">
        <w:trPr>
          <w:jc w:val="center"/>
        </w:trPr>
        <w:tc>
          <w:tcPr>
            <w:tcW w:w="6097" w:type="dxa"/>
          </w:tcPr>
          <w:p w14:paraId="4632C3C1"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Pain in the middle of the upper stomach area</w:t>
            </w:r>
          </w:p>
          <w:p w14:paraId="4B9C8FD1"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0</w:t>
            </w:r>
          </w:p>
          <w:p w14:paraId="50462668"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1</w:t>
            </w:r>
          </w:p>
          <w:p w14:paraId="2E3C49AF"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2</w:t>
            </w:r>
          </w:p>
          <w:p w14:paraId="59E3999C"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3</w:t>
            </w:r>
          </w:p>
          <w:p w14:paraId="40847B47" w14:textId="0B88EA1D" w:rsidR="00A3352C"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Total</w:t>
            </w:r>
          </w:p>
        </w:tc>
        <w:tc>
          <w:tcPr>
            <w:tcW w:w="2919" w:type="dxa"/>
          </w:tcPr>
          <w:p w14:paraId="357A2105" w14:textId="77777777" w:rsidR="00A3352C" w:rsidRPr="000A024E" w:rsidRDefault="00A3352C" w:rsidP="000A024E">
            <w:pPr>
              <w:spacing w:after="0" w:line="240" w:lineRule="auto"/>
              <w:jc w:val="both"/>
              <w:rPr>
                <w:rFonts w:ascii="Arial" w:hAnsi="Arial" w:cs="Arial"/>
                <w:color w:val="FF0000"/>
                <w:sz w:val="20"/>
                <w:szCs w:val="20"/>
              </w:rPr>
            </w:pPr>
          </w:p>
          <w:p w14:paraId="08B7052A" w14:textId="5DCF9C10"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29(36.2)</w:t>
            </w:r>
          </w:p>
          <w:p w14:paraId="704DCF95" w14:textId="3881DCCF"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14(17.5)</w:t>
            </w:r>
          </w:p>
          <w:p w14:paraId="74217139" w14:textId="6EA936EB"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20(25.0)</w:t>
            </w:r>
          </w:p>
          <w:p w14:paraId="42019FB4" w14:textId="79B2AD24"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17(21.2)</w:t>
            </w:r>
          </w:p>
          <w:p w14:paraId="6B9EAC20" w14:textId="535889F1" w:rsidR="00A3352C" w:rsidRPr="000A024E" w:rsidRDefault="008C7217" w:rsidP="000A024E">
            <w:pPr>
              <w:tabs>
                <w:tab w:val="left" w:pos="880"/>
              </w:tabs>
              <w:spacing w:after="0" w:line="240" w:lineRule="auto"/>
              <w:jc w:val="both"/>
              <w:rPr>
                <w:rFonts w:ascii="Arial" w:hAnsi="Arial" w:cs="Arial"/>
                <w:color w:val="FF0000"/>
                <w:sz w:val="20"/>
                <w:szCs w:val="20"/>
              </w:rPr>
            </w:pPr>
            <w:r w:rsidRPr="000A024E">
              <w:rPr>
                <w:rFonts w:ascii="Arial" w:hAnsi="Arial" w:cs="Arial"/>
                <w:color w:val="000000"/>
                <w:sz w:val="20"/>
                <w:szCs w:val="20"/>
              </w:rPr>
              <w:t>80(100.0)</w:t>
            </w:r>
          </w:p>
        </w:tc>
      </w:tr>
      <w:tr w:rsidR="00A3352C" w:rsidRPr="000A024E" w14:paraId="442CE7C5" w14:textId="77777777" w:rsidTr="00105DF0">
        <w:trPr>
          <w:jc w:val="center"/>
        </w:trPr>
        <w:tc>
          <w:tcPr>
            <w:tcW w:w="6097" w:type="dxa"/>
          </w:tcPr>
          <w:p w14:paraId="21687C6B"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Nausea</w:t>
            </w:r>
          </w:p>
          <w:p w14:paraId="71E83289"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0</w:t>
            </w:r>
          </w:p>
          <w:p w14:paraId="73E7B38B"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1</w:t>
            </w:r>
          </w:p>
          <w:p w14:paraId="1ADFCC6A"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2</w:t>
            </w:r>
          </w:p>
          <w:p w14:paraId="16B1CE29"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3</w:t>
            </w:r>
          </w:p>
          <w:p w14:paraId="44CB3E47" w14:textId="3E3EB198" w:rsidR="00A3352C"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Total</w:t>
            </w:r>
          </w:p>
        </w:tc>
        <w:tc>
          <w:tcPr>
            <w:tcW w:w="2919" w:type="dxa"/>
          </w:tcPr>
          <w:p w14:paraId="442101AF" w14:textId="77777777" w:rsidR="00A3352C" w:rsidRPr="000A024E" w:rsidRDefault="00A3352C" w:rsidP="000A024E">
            <w:pPr>
              <w:spacing w:after="0" w:line="240" w:lineRule="auto"/>
              <w:jc w:val="both"/>
              <w:rPr>
                <w:rFonts w:ascii="Arial" w:hAnsi="Arial" w:cs="Arial"/>
                <w:color w:val="FF0000"/>
                <w:sz w:val="20"/>
                <w:szCs w:val="20"/>
              </w:rPr>
            </w:pPr>
            <w:r w:rsidRPr="000A024E">
              <w:rPr>
                <w:rFonts w:ascii="Arial" w:hAnsi="Arial" w:cs="Arial"/>
                <w:color w:val="FF0000"/>
                <w:sz w:val="20"/>
                <w:szCs w:val="20"/>
              </w:rPr>
              <w:t xml:space="preserve">                 </w:t>
            </w:r>
          </w:p>
          <w:p w14:paraId="0E84FE5E" w14:textId="04AF41C4"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26(32.5)</w:t>
            </w:r>
          </w:p>
          <w:p w14:paraId="1F1F0B0E" w14:textId="1CAA120C"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21(26.2)</w:t>
            </w:r>
          </w:p>
          <w:p w14:paraId="04F7E6B1" w14:textId="125EED79"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25(31.2)</w:t>
            </w:r>
          </w:p>
          <w:p w14:paraId="3559B62B" w14:textId="2DC51EAE"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8(10.0)</w:t>
            </w:r>
          </w:p>
          <w:p w14:paraId="210E7F0D" w14:textId="4DAE6D5B" w:rsidR="00A3352C" w:rsidRPr="000A024E" w:rsidRDefault="008C7217" w:rsidP="000A024E">
            <w:pPr>
              <w:spacing w:after="0" w:line="240" w:lineRule="auto"/>
              <w:jc w:val="both"/>
              <w:rPr>
                <w:rFonts w:ascii="Arial" w:hAnsi="Arial" w:cs="Arial"/>
                <w:color w:val="FF0000"/>
                <w:sz w:val="20"/>
                <w:szCs w:val="20"/>
              </w:rPr>
            </w:pPr>
            <w:r w:rsidRPr="000A024E">
              <w:rPr>
                <w:rFonts w:ascii="Arial" w:hAnsi="Arial" w:cs="Arial"/>
                <w:color w:val="000000"/>
                <w:sz w:val="20"/>
                <w:szCs w:val="20"/>
              </w:rPr>
              <w:t>80(100.0)</w:t>
            </w:r>
          </w:p>
        </w:tc>
      </w:tr>
      <w:tr w:rsidR="00A3352C" w:rsidRPr="000A024E" w14:paraId="543711EB" w14:textId="77777777" w:rsidTr="00105DF0">
        <w:trPr>
          <w:jc w:val="center"/>
        </w:trPr>
        <w:tc>
          <w:tcPr>
            <w:tcW w:w="6097" w:type="dxa"/>
          </w:tcPr>
          <w:p w14:paraId="6202F8A4" w14:textId="77777777" w:rsidR="008C7217" w:rsidRPr="000A024E" w:rsidRDefault="00A3352C" w:rsidP="000A024E">
            <w:pPr>
              <w:spacing w:after="0" w:line="240" w:lineRule="auto"/>
              <w:jc w:val="both"/>
              <w:rPr>
                <w:rFonts w:ascii="Arial" w:hAnsi="Arial" w:cs="Arial"/>
                <w:sz w:val="20"/>
                <w:szCs w:val="20"/>
                <w:u w:val="single"/>
              </w:rPr>
            </w:pPr>
            <w:r w:rsidRPr="000A024E">
              <w:rPr>
                <w:rFonts w:ascii="Arial" w:hAnsi="Arial" w:cs="Arial"/>
                <w:sz w:val="20"/>
                <w:szCs w:val="20"/>
              </w:rPr>
              <w:t xml:space="preserve">                       </w:t>
            </w:r>
          </w:p>
          <w:p w14:paraId="455D702C"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 xml:space="preserve">Trouble getting a good </w:t>
            </w:r>
            <w:proofErr w:type="spellStart"/>
            <w:proofErr w:type="gramStart"/>
            <w:r w:rsidRPr="000A024E">
              <w:rPr>
                <w:rFonts w:ascii="Arial" w:hAnsi="Arial" w:cs="Arial"/>
                <w:sz w:val="20"/>
                <w:szCs w:val="20"/>
              </w:rPr>
              <w:t>nights</w:t>
            </w:r>
            <w:proofErr w:type="spellEnd"/>
            <w:proofErr w:type="gramEnd"/>
            <w:r w:rsidRPr="000A024E">
              <w:rPr>
                <w:rFonts w:ascii="Arial" w:hAnsi="Arial" w:cs="Arial"/>
                <w:sz w:val="20"/>
                <w:szCs w:val="20"/>
              </w:rPr>
              <w:t xml:space="preserve"> sleep because of heartburn or regurgitation</w:t>
            </w:r>
          </w:p>
          <w:p w14:paraId="09C44670" w14:textId="27098C16" w:rsidR="00A3352C" w:rsidRPr="000A024E" w:rsidRDefault="00A3352C" w:rsidP="000A024E">
            <w:pPr>
              <w:spacing w:after="0" w:line="240" w:lineRule="auto"/>
              <w:jc w:val="both"/>
              <w:rPr>
                <w:rFonts w:ascii="Arial" w:hAnsi="Arial" w:cs="Arial"/>
                <w:sz w:val="20"/>
                <w:szCs w:val="20"/>
                <w:u w:val="single"/>
              </w:rPr>
            </w:pPr>
          </w:p>
          <w:p w14:paraId="4CA7C42B"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0</w:t>
            </w:r>
          </w:p>
          <w:p w14:paraId="5B1D74F8"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1</w:t>
            </w:r>
          </w:p>
          <w:p w14:paraId="141D35A6"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2</w:t>
            </w:r>
          </w:p>
          <w:p w14:paraId="3F9FD5D4" w14:textId="77777777" w:rsidR="008C7217"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lastRenderedPageBreak/>
              <w:t>3</w:t>
            </w:r>
          </w:p>
          <w:p w14:paraId="292F044B" w14:textId="71DB0C84" w:rsidR="00A3352C" w:rsidRPr="000A024E" w:rsidRDefault="008C7217" w:rsidP="000A024E">
            <w:pPr>
              <w:spacing w:after="0" w:line="240" w:lineRule="auto"/>
              <w:jc w:val="both"/>
              <w:rPr>
                <w:rFonts w:ascii="Arial" w:hAnsi="Arial" w:cs="Arial"/>
                <w:sz w:val="20"/>
                <w:szCs w:val="20"/>
              </w:rPr>
            </w:pPr>
            <w:r w:rsidRPr="000A024E">
              <w:rPr>
                <w:rFonts w:ascii="Arial" w:hAnsi="Arial" w:cs="Arial"/>
                <w:sz w:val="20"/>
                <w:szCs w:val="20"/>
              </w:rPr>
              <w:t>Total</w:t>
            </w:r>
          </w:p>
        </w:tc>
        <w:tc>
          <w:tcPr>
            <w:tcW w:w="2919" w:type="dxa"/>
          </w:tcPr>
          <w:p w14:paraId="28093332" w14:textId="77777777" w:rsidR="008C7217" w:rsidRPr="000A024E" w:rsidRDefault="008C7217" w:rsidP="000A024E">
            <w:pPr>
              <w:spacing w:after="0" w:line="240" w:lineRule="auto"/>
              <w:jc w:val="both"/>
              <w:rPr>
                <w:rFonts w:ascii="Arial" w:hAnsi="Arial" w:cs="Arial"/>
                <w:color w:val="000000"/>
                <w:sz w:val="20"/>
                <w:szCs w:val="20"/>
              </w:rPr>
            </w:pPr>
          </w:p>
          <w:p w14:paraId="3A759CA9" w14:textId="77777777" w:rsidR="008C7217" w:rsidRPr="000A024E" w:rsidRDefault="008C7217" w:rsidP="000A024E">
            <w:pPr>
              <w:spacing w:after="0" w:line="240" w:lineRule="auto"/>
              <w:jc w:val="both"/>
              <w:rPr>
                <w:rFonts w:ascii="Arial" w:hAnsi="Arial" w:cs="Arial"/>
                <w:color w:val="000000"/>
                <w:sz w:val="20"/>
                <w:szCs w:val="20"/>
              </w:rPr>
            </w:pPr>
          </w:p>
          <w:p w14:paraId="40ACE9E7" w14:textId="77777777" w:rsidR="008C7217" w:rsidRPr="000A024E" w:rsidRDefault="008C7217" w:rsidP="000A024E">
            <w:pPr>
              <w:spacing w:after="0" w:line="240" w:lineRule="auto"/>
              <w:jc w:val="both"/>
              <w:rPr>
                <w:rFonts w:ascii="Arial" w:hAnsi="Arial" w:cs="Arial"/>
                <w:color w:val="000000"/>
                <w:sz w:val="20"/>
                <w:szCs w:val="20"/>
              </w:rPr>
            </w:pPr>
          </w:p>
          <w:p w14:paraId="4AFA3141" w14:textId="77777777" w:rsidR="008C7217" w:rsidRPr="000A024E" w:rsidRDefault="008C7217" w:rsidP="000A024E">
            <w:pPr>
              <w:spacing w:after="0" w:line="240" w:lineRule="auto"/>
              <w:jc w:val="both"/>
              <w:rPr>
                <w:rFonts w:ascii="Arial" w:hAnsi="Arial" w:cs="Arial"/>
                <w:color w:val="000000"/>
                <w:sz w:val="20"/>
                <w:szCs w:val="20"/>
              </w:rPr>
            </w:pPr>
          </w:p>
          <w:p w14:paraId="12DE4B72" w14:textId="44960993" w:rsidR="008C7217" w:rsidRPr="000A024E" w:rsidRDefault="008C7217"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26(32.5)</w:t>
            </w:r>
          </w:p>
          <w:p w14:paraId="750106B0" w14:textId="696D4A11" w:rsidR="008C7217" w:rsidRPr="000A024E" w:rsidRDefault="00D30C86"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19</w:t>
            </w:r>
            <w:r w:rsidR="008C7217" w:rsidRPr="000A024E">
              <w:rPr>
                <w:rFonts w:ascii="Arial" w:hAnsi="Arial" w:cs="Arial"/>
                <w:color w:val="000000"/>
                <w:sz w:val="20"/>
                <w:szCs w:val="20"/>
              </w:rPr>
              <w:t>(2</w:t>
            </w:r>
            <w:r w:rsidRPr="000A024E">
              <w:rPr>
                <w:rFonts w:ascii="Arial" w:hAnsi="Arial" w:cs="Arial"/>
                <w:color w:val="000000"/>
                <w:sz w:val="20"/>
                <w:szCs w:val="20"/>
              </w:rPr>
              <w:t>3.8</w:t>
            </w:r>
            <w:r w:rsidR="008C7217" w:rsidRPr="000A024E">
              <w:rPr>
                <w:rFonts w:ascii="Arial" w:hAnsi="Arial" w:cs="Arial"/>
                <w:color w:val="000000"/>
                <w:sz w:val="20"/>
                <w:szCs w:val="20"/>
              </w:rPr>
              <w:t>)</w:t>
            </w:r>
          </w:p>
          <w:p w14:paraId="436A8992" w14:textId="26CAD62A" w:rsidR="008C7217" w:rsidRPr="000A024E" w:rsidRDefault="00D30C86"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22</w:t>
            </w:r>
            <w:r w:rsidR="008C7217" w:rsidRPr="000A024E">
              <w:rPr>
                <w:rFonts w:ascii="Arial" w:hAnsi="Arial" w:cs="Arial"/>
                <w:color w:val="000000"/>
                <w:sz w:val="20"/>
                <w:szCs w:val="20"/>
              </w:rPr>
              <w:t>(</w:t>
            </w:r>
            <w:r w:rsidRPr="000A024E">
              <w:rPr>
                <w:rFonts w:ascii="Arial" w:hAnsi="Arial" w:cs="Arial"/>
                <w:color w:val="000000"/>
                <w:sz w:val="20"/>
                <w:szCs w:val="20"/>
              </w:rPr>
              <w:t>27.5</w:t>
            </w:r>
            <w:r w:rsidR="008C7217" w:rsidRPr="000A024E">
              <w:rPr>
                <w:rFonts w:ascii="Arial" w:hAnsi="Arial" w:cs="Arial"/>
                <w:color w:val="000000"/>
                <w:sz w:val="20"/>
                <w:szCs w:val="20"/>
              </w:rPr>
              <w:t>)</w:t>
            </w:r>
          </w:p>
          <w:p w14:paraId="692C74C9" w14:textId="4C410836" w:rsidR="008C7217" w:rsidRPr="000A024E" w:rsidRDefault="00D30C86"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lastRenderedPageBreak/>
              <w:t>13</w:t>
            </w:r>
            <w:r w:rsidR="008C7217" w:rsidRPr="000A024E">
              <w:rPr>
                <w:rFonts w:ascii="Arial" w:hAnsi="Arial" w:cs="Arial"/>
                <w:color w:val="000000"/>
                <w:sz w:val="20"/>
                <w:szCs w:val="20"/>
              </w:rPr>
              <w:t>(1</w:t>
            </w:r>
            <w:r w:rsidRPr="000A024E">
              <w:rPr>
                <w:rFonts w:ascii="Arial" w:hAnsi="Arial" w:cs="Arial"/>
                <w:color w:val="000000"/>
                <w:sz w:val="20"/>
                <w:szCs w:val="20"/>
              </w:rPr>
              <w:t>6.2</w:t>
            </w:r>
            <w:r w:rsidR="008C7217" w:rsidRPr="000A024E">
              <w:rPr>
                <w:rFonts w:ascii="Arial" w:hAnsi="Arial" w:cs="Arial"/>
                <w:color w:val="000000"/>
                <w:sz w:val="20"/>
                <w:szCs w:val="20"/>
              </w:rPr>
              <w:t>)</w:t>
            </w:r>
          </w:p>
          <w:p w14:paraId="02460B95" w14:textId="69893F8C" w:rsidR="00A3352C" w:rsidRPr="000A024E" w:rsidRDefault="008C7217" w:rsidP="000A024E">
            <w:pPr>
              <w:spacing w:after="0" w:line="240" w:lineRule="auto"/>
              <w:jc w:val="both"/>
              <w:rPr>
                <w:rFonts w:ascii="Arial" w:hAnsi="Arial" w:cs="Arial"/>
                <w:color w:val="FF0000"/>
                <w:sz w:val="20"/>
                <w:szCs w:val="20"/>
              </w:rPr>
            </w:pPr>
            <w:r w:rsidRPr="000A024E">
              <w:rPr>
                <w:rFonts w:ascii="Arial" w:hAnsi="Arial" w:cs="Arial"/>
                <w:color w:val="000000"/>
                <w:sz w:val="20"/>
                <w:szCs w:val="20"/>
              </w:rPr>
              <w:t>80(100.0)</w:t>
            </w:r>
          </w:p>
        </w:tc>
      </w:tr>
      <w:tr w:rsidR="00A3352C" w:rsidRPr="000A024E" w14:paraId="4896A74E" w14:textId="77777777" w:rsidTr="00105DF0">
        <w:trPr>
          <w:jc w:val="center"/>
        </w:trPr>
        <w:tc>
          <w:tcPr>
            <w:tcW w:w="6097" w:type="dxa"/>
          </w:tcPr>
          <w:p w14:paraId="3BEE71DF" w14:textId="39857AB8" w:rsidR="00D30C86" w:rsidRPr="000A024E" w:rsidRDefault="00D30C86" w:rsidP="000A024E">
            <w:pPr>
              <w:spacing w:after="0" w:line="240" w:lineRule="auto"/>
              <w:jc w:val="both"/>
              <w:rPr>
                <w:rFonts w:ascii="Arial" w:hAnsi="Arial" w:cs="Arial"/>
                <w:sz w:val="20"/>
                <w:szCs w:val="20"/>
              </w:rPr>
            </w:pPr>
            <w:r w:rsidRPr="000A024E">
              <w:rPr>
                <w:rFonts w:ascii="Arial" w:hAnsi="Arial" w:cs="Arial"/>
                <w:sz w:val="20"/>
                <w:szCs w:val="20"/>
              </w:rPr>
              <w:lastRenderedPageBreak/>
              <w:t>Need for over-the-counter medicine for heartburn or regurgitation such as antacids in addition to the medicine your doctor prescribed PPIs</w:t>
            </w:r>
          </w:p>
          <w:p w14:paraId="5E3805B4" w14:textId="77777777" w:rsidR="00D30C86" w:rsidRPr="000A024E" w:rsidRDefault="00D30C86" w:rsidP="000A024E">
            <w:pPr>
              <w:spacing w:after="0" w:line="240" w:lineRule="auto"/>
              <w:jc w:val="both"/>
              <w:rPr>
                <w:rFonts w:ascii="Arial" w:hAnsi="Arial" w:cs="Arial"/>
                <w:sz w:val="20"/>
                <w:szCs w:val="20"/>
              </w:rPr>
            </w:pPr>
            <w:r w:rsidRPr="000A024E">
              <w:rPr>
                <w:rFonts w:ascii="Arial" w:hAnsi="Arial" w:cs="Arial"/>
                <w:sz w:val="20"/>
                <w:szCs w:val="20"/>
              </w:rPr>
              <w:t>0</w:t>
            </w:r>
          </w:p>
          <w:p w14:paraId="263FB9BC" w14:textId="77777777" w:rsidR="00D30C86" w:rsidRPr="000A024E" w:rsidRDefault="00D30C86" w:rsidP="000A024E">
            <w:pPr>
              <w:spacing w:after="0" w:line="240" w:lineRule="auto"/>
              <w:jc w:val="both"/>
              <w:rPr>
                <w:rFonts w:ascii="Arial" w:hAnsi="Arial" w:cs="Arial"/>
                <w:sz w:val="20"/>
                <w:szCs w:val="20"/>
              </w:rPr>
            </w:pPr>
            <w:r w:rsidRPr="000A024E">
              <w:rPr>
                <w:rFonts w:ascii="Arial" w:hAnsi="Arial" w:cs="Arial"/>
                <w:sz w:val="20"/>
                <w:szCs w:val="20"/>
              </w:rPr>
              <w:t>1</w:t>
            </w:r>
          </w:p>
          <w:p w14:paraId="75C537FC" w14:textId="77777777" w:rsidR="00D30C86" w:rsidRPr="000A024E" w:rsidRDefault="00D30C86" w:rsidP="000A024E">
            <w:pPr>
              <w:spacing w:after="0" w:line="240" w:lineRule="auto"/>
              <w:jc w:val="both"/>
              <w:rPr>
                <w:rFonts w:ascii="Arial" w:hAnsi="Arial" w:cs="Arial"/>
                <w:sz w:val="20"/>
                <w:szCs w:val="20"/>
              </w:rPr>
            </w:pPr>
            <w:r w:rsidRPr="000A024E">
              <w:rPr>
                <w:rFonts w:ascii="Arial" w:hAnsi="Arial" w:cs="Arial"/>
                <w:sz w:val="20"/>
                <w:szCs w:val="20"/>
              </w:rPr>
              <w:t>2</w:t>
            </w:r>
          </w:p>
          <w:p w14:paraId="2A01C4D2" w14:textId="77777777" w:rsidR="00D30C86" w:rsidRPr="000A024E" w:rsidRDefault="00D30C86" w:rsidP="000A024E">
            <w:pPr>
              <w:spacing w:after="0" w:line="240" w:lineRule="auto"/>
              <w:jc w:val="both"/>
              <w:rPr>
                <w:rFonts w:ascii="Arial" w:hAnsi="Arial" w:cs="Arial"/>
                <w:sz w:val="20"/>
                <w:szCs w:val="20"/>
              </w:rPr>
            </w:pPr>
            <w:r w:rsidRPr="000A024E">
              <w:rPr>
                <w:rFonts w:ascii="Arial" w:hAnsi="Arial" w:cs="Arial"/>
                <w:sz w:val="20"/>
                <w:szCs w:val="20"/>
              </w:rPr>
              <w:t>3</w:t>
            </w:r>
          </w:p>
          <w:p w14:paraId="76DEC8C9" w14:textId="20E872F3" w:rsidR="00A3352C" w:rsidRPr="000A024E" w:rsidRDefault="00D30C86" w:rsidP="000A024E">
            <w:pPr>
              <w:spacing w:after="0" w:line="240" w:lineRule="auto"/>
              <w:jc w:val="both"/>
              <w:rPr>
                <w:rFonts w:ascii="Arial" w:hAnsi="Arial" w:cs="Arial"/>
                <w:sz w:val="20"/>
                <w:szCs w:val="20"/>
              </w:rPr>
            </w:pPr>
            <w:r w:rsidRPr="000A024E">
              <w:rPr>
                <w:rFonts w:ascii="Arial" w:hAnsi="Arial" w:cs="Arial"/>
                <w:sz w:val="20"/>
                <w:szCs w:val="20"/>
              </w:rPr>
              <w:t>Total</w:t>
            </w:r>
          </w:p>
        </w:tc>
        <w:tc>
          <w:tcPr>
            <w:tcW w:w="2919" w:type="dxa"/>
          </w:tcPr>
          <w:p w14:paraId="5BC9AECB" w14:textId="77777777" w:rsidR="00A3352C" w:rsidRPr="000A024E" w:rsidRDefault="00A3352C" w:rsidP="000A024E">
            <w:pPr>
              <w:spacing w:after="0" w:line="240" w:lineRule="auto"/>
              <w:jc w:val="both"/>
              <w:rPr>
                <w:rFonts w:ascii="Arial" w:hAnsi="Arial" w:cs="Arial"/>
                <w:color w:val="FF0000"/>
                <w:sz w:val="20"/>
                <w:szCs w:val="20"/>
              </w:rPr>
            </w:pPr>
          </w:p>
          <w:p w14:paraId="350D60CD" w14:textId="77777777" w:rsidR="00D30C86" w:rsidRPr="000A024E" w:rsidRDefault="00D30C86" w:rsidP="000A024E">
            <w:pPr>
              <w:spacing w:after="0" w:line="240" w:lineRule="auto"/>
              <w:jc w:val="both"/>
              <w:rPr>
                <w:rFonts w:ascii="Arial" w:hAnsi="Arial" w:cs="Arial"/>
                <w:color w:val="000000"/>
                <w:sz w:val="20"/>
                <w:szCs w:val="20"/>
              </w:rPr>
            </w:pPr>
          </w:p>
          <w:p w14:paraId="1510E5BE" w14:textId="77777777" w:rsidR="00D30C86" w:rsidRPr="000A024E" w:rsidRDefault="00D30C86" w:rsidP="000A024E">
            <w:pPr>
              <w:spacing w:after="0" w:line="240" w:lineRule="auto"/>
              <w:jc w:val="both"/>
              <w:rPr>
                <w:rFonts w:ascii="Arial" w:hAnsi="Arial" w:cs="Arial"/>
                <w:color w:val="000000"/>
                <w:sz w:val="20"/>
                <w:szCs w:val="20"/>
              </w:rPr>
            </w:pPr>
          </w:p>
          <w:p w14:paraId="6A525C7E" w14:textId="6673D7DD" w:rsidR="00D30C86" w:rsidRPr="000A024E" w:rsidRDefault="00D30C86"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25(31.2)</w:t>
            </w:r>
          </w:p>
          <w:p w14:paraId="74B32E34" w14:textId="0110DEB1" w:rsidR="00D30C86" w:rsidRPr="000A024E" w:rsidRDefault="00D30C86"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24(30.0)</w:t>
            </w:r>
          </w:p>
          <w:p w14:paraId="19007854" w14:textId="760243AA" w:rsidR="00D30C86" w:rsidRPr="000A024E" w:rsidRDefault="00D30C86"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18(22.5)</w:t>
            </w:r>
          </w:p>
          <w:p w14:paraId="4214F6AC" w14:textId="77777777" w:rsidR="00D30C86" w:rsidRPr="000A024E" w:rsidRDefault="00D30C86" w:rsidP="000A024E">
            <w:pPr>
              <w:spacing w:after="0" w:line="240" w:lineRule="auto"/>
              <w:jc w:val="both"/>
              <w:rPr>
                <w:rFonts w:ascii="Arial" w:hAnsi="Arial" w:cs="Arial"/>
                <w:color w:val="000000"/>
                <w:sz w:val="20"/>
                <w:szCs w:val="20"/>
              </w:rPr>
            </w:pPr>
            <w:r w:rsidRPr="000A024E">
              <w:rPr>
                <w:rFonts w:ascii="Arial" w:hAnsi="Arial" w:cs="Arial"/>
                <w:color w:val="000000"/>
                <w:sz w:val="20"/>
                <w:szCs w:val="20"/>
              </w:rPr>
              <w:t>13(16.2)</w:t>
            </w:r>
          </w:p>
          <w:p w14:paraId="0CFC5D5E" w14:textId="3947FB41" w:rsidR="00A3352C" w:rsidRPr="000A024E" w:rsidRDefault="00D30C86" w:rsidP="000A024E">
            <w:pPr>
              <w:spacing w:after="0" w:line="240" w:lineRule="auto"/>
              <w:jc w:val="both"/>
              <w:rPr>
                <w:rFonts w:ascii="Arial" w:hAnsi="Arial" w:cs="Arial"/>
                <w:color w:val="FF0000"/>
                <w:sz w:val="20"/>
                <w:szCs w:val="20"/>
              </w:rPr>
            </w:pPr>
            <w:r w:rsidRPr="000A024E">
              <w:rPr>
                <w:rFonts w:ascii="Arial" w:hAnsi="Arial" w:cs="Arial"/>
                <w:color w:val="000000"/>
                <w:sz w:val="20"/>
                <w:szCs w:val="20"/>
              </w:rPr>
              <w:t>80(100.0)</w:t>
            </w:r>
          </w:p>
        </w:tc>
      </w:tr>
    </w:tbl>
    <w:p w14:paraId="4D7FE180" w14:textId="35A15A85" w:rsidR="00A3352C" w:rsidRPr="000A024E" w:rsidRDefault="00A3352C" w:rsidP="000A024E">
      <w:pPr>
        <w:jc w:val="both"/>
        <w:rPr>
          <w:rFonts w:ascii="Arial" w:hAnsi="Arial" w:cs="Arial"/>
          <w:sz w:val="20"/>
          <w:szCs w:val="20"/>
        </w:rPr>
      </w:pPr>
    </w:p>
    <w:p w14:paraId="56B03EBF" w14:textId="0D89B129" w:rsidR="00E24806" w:rsidRPr="000A024E" w:rsidRDefault="00105DF0" w:rsidP="000A024E">
      <w:pPr>
        <w:jc w:val="both"/>
        <w:rPr>
          <w:rFonts w:ascii="Arial" w:hAnsi="Arial" w:cs="Arial"/>
          <w:sz w:val="20"/>
          <w:szCs w:val="20"/>
        </w:rPr>
      </w:pPr>
      <w:r w:rsidRPr="000A024E">
        <w:rPr>
          <w:rFonts w:ascii="Arial" w:hAnsi="Arial" w:cs="Arial"/>
          <w:sz w:val="20"/>
          <w:szCs w:val="20"/>
        </w:rPr>
        <w:t>The above table (</w:t>
      </w:r>
      <w:r w:rsidR="0088711B">
        <w:rPr>
          <w:rFonts w:ascii="Arial" w:hAnsi="Arial" w:cs="Arial"/>
          <w:sz w:val="20"/>
          <w:szCs w:val="20"/>
        </w:rPr>
        <w:t>1</w:t>
      </w:r>
      <w:r w:rsidRPr="000A024E">
        <w:rPr>
          <w:rFonts w:ascii="Arial" w:hAnsi="Arial" w:cs="Arial"/>
          <w:sz w:val="20"/>
          <w:szCs w:val="20"/>
        </w:rPr>
        <w:t xml:space="preserve">.0) shows the Baseline Demographic presentation of the study participants. Out of total 80 GERD patients most of them were female 60(25.0%). Majority of the study participants were married (78.8%) followed by unmarried (15.0%). Almost three fourth of the study participants were having </w:t>
      </w:r>
      <w:r w:rsidRPr="000A024E">
        <w:rPr>
          <w:rFonts w:ascii="Arial" w:hAnsi="Arial" w:cs="Arial"/>
          <w:color w:val="000000"/>
          <w:sz w:val="20"/>
          <w:szCs w:val="20"/>
        </w:rPr>
        <w:t xml:space="preserve">Educational Qualification more than Class </w:t>
      </w:r>
      <w:proofErr w:type="spellStart"/>
      <w:r w:rsidRPr="000A024E">
        <w:rPr>
          <w:rFonts w:ascii="Arial" w:hAnsi="Arial" w:cs="Arial"/>
          <w:color w:val="000000"/>
          <w:sz w:val="20"/>
          <w:szCs w:val="20"/>
        </w:rPr>
        <w:t>Xth</w:t>
      </w:r>
      <w:proofErr w:type="spellEnd"/>
      <w:r w:rsidRPr="000A024E">
        <w:rPr>
          <w:rFonts w:ascii="Arial" w:hAnsi="Arial" w:cs="Arial"/>
          <w:color w:val="000000"/>
          <w:sz w:val="20"/>
          <w:szCs w:val="20"/>
          <w:vertAlign w:val="subscript"/>
        </w:rPr>
        <w:t>.</w:t>
      </w:r>
      <w:r w:rsidR="0088711B">
        <w:rPr>
          <w:rFonts w:ascii="Arial" w:hAnsi="Arial" w:cs="Arial"/>
          <w:color w:val="000000"/>
          <w:sz w:val="20"/>
          <w:szCs w:val="20"/>
          <w:vertAlign w:val="subscript"/>
        </w:rPr>
        <w:t xml:space="preserve"> </w:t>
      </w:r>
      <w:r w:rsidR="00E24806" w:rsidRPr="0088711B">
        <w:rPr>
          <w:rFonts w:ascii="Arial" w:hAnsi="Arial" w:cs="Arial"/>
          <w:sz w:val="20"/>
          <w:szCs w:val="20"/>
        </w:rPr>
        <w:t>Table</w:t>
      </w:r>
      <w:r w:rsidR="00DB7690" w:rsidRPr="0088711B">
        <w:rPr>
          <w:rFonts w:ascii="Arial" w:hAnsi="Arial" w:cs="Arial"/>
          <w:sz w:val="20"/>
          <w:szCs w:val="20"/>
        </w:rPr>
        <w:t>2</w:t>
      </w:r>
      <w:r w:rsidR="00E24806" w:rsidRPr="0088711B">
        <w:rPr>
          <w:rFonts w:ascii="Arial" w:hAnsi="Arial" w:cs="Arial"/>
          <w:sz w:val="20"/>
          <w:szCs w:val="20"/>
        </w:rPr>
        <w:t>.0</w:t>
      </w:r>
      <w:r w:rsidR="00E24806" w:rsidRPr="000A024E">
        <w:rPr>
          <w:rFonts w:ascii="Arial" w:hAnsi="Arial" w:cs="Arial"/>
          <w:sz w:val="20"/>
          <w:szCs w:val="20"/>
        </w:rPr>
        <w:t xml:space="preserve"> Frequency distribution of GERDQ related response of the study participants</w:t>
      </w:r>
    </w:p>
    <w:p w14:paraId="51E4C7C9" w14:textId="502BD51B" w:rsidR="00E24806" w:rsidRPr="000A024E" w:rsidRDefault="00E24806" w:rsidP="000A024E">
      <w:pPr>
        <w:jc w:val="both"/>
        <w:rPr>
          <w:rFonts w:ascii="Arial" w:hAnsi="Arial" w:cs="Arial"/>
          <w:sz w:val="20"/>
          <w:szCs w:val="20"/>
        </w:rPr>
      </w:pPr>
      <w:r w:rsidRPr="000A024E">
        <w:rPr>
          <w:rFonts w:ascii="Arial" w:hAnsi="Arial" w:cs="Arial"/>
          <w:sz w:val="20"/>
          <w:szCs w:val="20"/>
        </w:rPr>
        <w:t>In response to the GERDQ questionnaire among 80 participants, 28 (35.0%) reported no burning feeling behind the breastbone (heartburn), while 17 (21.2%) reported mild symptoms, 16 (20.0%) moderate, and 19 (23.8%) severe. Regarding regurgitation, 18 (22.5%) reported no symptoms, 22 (27.5%) mild, 22 (27.5%) moderate, and 18 (22.5%) severe. For pain in the middle of the upper stomach, 29 (36.2%) had no symptoms, 14 (17.5%) had mild pain, 20 (25.0%) moderate, and 17 (21.2%) severe. Nausea was absent in 26 (32.5%) participants, while 21 (26.2%) experienced it mildly, 25 (31.2%) moderately, and 8 (10.0%) severely. Trouble in getting a good night’s sleep because of heartburn or regurgitation was not reported by 26 (32.5%), mild in 19 (23.8%), moderate in 22 (27.5%), and severe in 13 (16.2%). Finally, the need for over-the-counter medicine such as antacids in addition to prescribed PPIs was absent in 25 (31.2%), mild in 24 (30.0%), moderate in 18 (22.5%), and severe in 13 (16.2%).</w:t>
      </w:r>
    </w:p>
    <w:p w14:paraId="1A9B8CDC" w14:textId="77777777" w:rsidR="007439DC" w:rsidRPr="000A024E" w:rsidRDefault="007439DC" w:rsidP="000A024E">
      <w:pPr>
        <w:jc w:val="both"/>
        <w:rPr>
          <w:rFonts w:ascii="Arial" w:hAnsi="Arial" w:cs="Arial"/>
          <w:sz w:val="20"/>
          <w:szCs w:val="20"/>
        </w:rPr>
      </w:pPr>
    </w:p>
    <w:tbl>
      <w:tblPr>
        <w:tblStyle w:val="TableGrid"/>
        <w:tblW w:w="0" w:type="auto"/>
        <w:tblLook w:val="04A0" w:firstRow="1" w:lastRow="0" w:firstColumn="1" w:lastColumn="0" w:noHBand="0" w:noVBand="1"/>
      </w:tblPr>
      <w:tblGrid>
        <w:gridCol w:w="852"/>
        <w:gridCol w:w="921"/>
        <w:gridCol w:w="1074"/>
        <w:gridCol w:w="1150"/>
        <w:gridCol w:w="1237"/>
        <w:gridCol w:w="1243"/>
        <w:gridCol w:w="1259"/>
        <w:gridCol w:w="1280"/>
      </w:tblGrid>
      <w:tr w:rsidR="007439DC" w:rsidRPr="000A024E" w14:paraId="156FE8F7" w14:textId="77777777" w:rsidTr="007439DC">
        <w:tc>
          <w:tcPr>
            <w:tcW w:w="852" w:type="dxa"/>
          </w:tcPr>
          <w:p w14:paraId="15B08EC0" w14:textId="77777777" w:rsidR="007439DC" w:rsidRPr="000A024E" w:rsidRDefault="007439DC" w:rsidP="000A024E">
            <w:pPr>
              <w:jc w:val="both"/>
              <w:rPr>
                <w:rFonts w:ascii="Arial" w:hAnsi="Arial" w:cs="Arial"/>
                <w:sz w:val="20"/>
                <w:szCs w:val="20"/>
              </w:rPr>
            </w:pPr>
          </w:p>
        </w:tc>
        <w:tc>
          <w:tcPr>
            <w:tcW w:w="921" w:type="dxa"/>
          </w:tcPr>
          <w:p w14:paraId="1C43BC5F" w14:textId="6C5F0E32" w:rsidR="007439DC" w:rsidRPr="000A024E" w:rsidRDefault="007439DC" w:rsidP="000A024E">
            <w:pPr>
              <w:jc w:val="both"/>
              <w:rPr>
                <w:rFonts w:ascii="Arial" w:hAnsi="Arial" w:cs="Arial"/>
                <w:sz w:val="20"/>
                <w:szCs w:val="20"/>
              </w:rPr>
            </w:pPr>
            <w:r w:rsidRPr="000A024E">
              <w:rPr>
                <w:rFonts w:ascii="Arial" w:hAnsi="Arial" w:cs="Arial"/>
                <w:sz w:val="20"/>
                <w:szCs w:val="20"/>
              </w:rPr>
              <w:t>N</w:t>
            </w:r>
          </w:p>
        </w:tc>
        <w:tc>
          <w:tcPr>
            <w:tcW w:w="1074" w:type="dxa"/>
          </w:tcPr>
          <w:p w14:paraId="6D9E4281" w14:textId="26668F07" w:rsidR="007439DC" w:rsidRPr="000A024E" w:rsidRDefault="007439DC" w:rsidP="000A024E">
            <w:pPr>
              <w:jc w:val="both"/>
              <w:rPr>
                <w:rFonts w:ascii="Arial" w:hAnsi="Arial" w:cs="Arial"/>
                <w:sz w:val="20"/>
                <w:szCs w:val="20"/>
              </w:rPr>
            </w:pPr>
            <w:r w:rsidRPr="000A024E">
              <w:rPr>
                <w:rFonts w:ascii="Arial" w:hAnsi="Arial" w:cs="Arial"/>
                <w:sz w:val="20"/>
                <w:szCs w:val="20"/>
              </w:rPr>
              <w:t>Mean</w:t>
            </w:r>
          </w:p>
        </w:tc>
        <w:tc>
          <w:tcPr>
            <w:tcW w:w="1150" w:type="dxa"/>
          </w:tcPr>
          <w:p w14:paraId="6B6A3F54" w14:textId="06772DE7" w:rsidR="007439DC" w:rsidRPr="000A024E" w:rsidRDefault="007439DC" w:rsidP="000A024E">
            <w:pPr>
              <w:jc w:val="both"/>
              <w:rPr>
                <w:rFonts w:ascii="Arial" w:hAnsi="Arial" w:cs="Arial"/>
                <w:sz w:val="20"/>
                <w:szCs w:val="20"/>
              </w:rPr>
            </w:pPr>
            <w:r w:rsidRPr="000A024E">
              <w:rPr>
                <w:rFonts w:ascii="Arial" w:hAnsi="Arial" w:cs="Arial"/>
                <w:sz w:val="20"/>
                <w:szCs w:val="20"/>
              </w:rPr>
              <w:t>Median</w:t>
            </w:r>
          </w:p>
        </w:tc>
        <w:tc>
          <w:tcPr>
            <w:tcW w:w="1237" w:type="dxa"/>
          </w:tcPr>
          <w:p w14:paraId="660C6C14" w14:textId="722D5E25" w:rsidR="007439DC" w:rsidRPr="000A024E" w:rsidRDefault="007439DC" w:rsidP="000A024E">
            <w:pPr>
              <w:jc w:val="both"/>
              <w:rPr>
                <w:rFonts w:ascii="Arial" w:hAnsi="Arial" w:cs="Arial"/>
                <w:sz w:val="20"/>
                <w:szCs w:val="20"/>
              </w:rPr>
            </w:pPr>
            <w:r w:rsidRPr="000A024E">
              <w:rPr>
                <w:rFonts w:ascii="Arial" w:hAnsi="Arial" w:cs="Arial"/>
                <w:sz w:val="20"/>
                <w:szCs w:val="20"/>
              </w:rPr>
              <w:t>Std. Deviation</w:t>
            </w:r>
          </w:p>
        </w:tc>
        <w:tc>
          <w:tcPr>
            <w:tcW w:w="1243" w:type="dxa"/>
          </w:tcPr>
          <w:p w14:paraId="059B3122" w14:textId="5454B99F" w:rsidR="007439DC" w:rsidRPr="000A024E" w:rsidRDefault="007439DC" w:rsidP="000A024E">
            <w:pPr>
              <w:jc w:val="both"/>
              <w:rPr>
                <w:rFonts w:ascii="Arial" w:hAnsi="Arial" w:cs="Arial"/>
                <w:sz w:val="20"/>
                <w:szCs w:val="20"/>
              </w:rPr>
            </w:pPr>
            <w:r w:rsidRPr="000A024E">
              <w:rPr>
                <w:rFonts w:ascii="Arial" w:hAnsi="Arial" w:cs="Arial"/>
                <w:sz w:val="20"/>
                <w:szCs w:val="20"/>
              </w:rPr>
              <w:t>Minimum</w:t>
            </w:r>
          </w:p>
        </w:tc>
        <w:tc>
          <w:tcPr>
            <w:tcW w:w="1259" w:type="dxa"/>
          </w:tcPr>
          <w:p w14:paraId="2DB88E1D" w14:textId="3672D86C" w:rsidR="007439DC" w:rsidRPr="000A024E" w:rsidRDefault="007439DC" w:rsidP="000A024E">
            <w:pPr>
              <w:jc w:val="both"/>
              <w:rPr>
                <w:rFonts w:ascii="Arial" w:hAnsi="Arial" w:cs="Arial"/>
                <w:sz w:val="20"/>
                <w:szCs w:val="20"/>
              </w:rPr>
            </w:pPr>
            <w:r w:rsidRPr="000A024E">
              <w:rPr>
                <w:rFonts w:ascii="Arial" w:hAnsi="Arial" w:cs="Arial"/>
                <w:sz w:val="20"/>
                <w:szCs w:val="20"/>
              </w:rPr>
              <w:t>Maximum</w:t>
            </w:r>
          </w:p>
        </w:tc>
        <w:tc>
          <w:tcPr>
            <w:tcW w:w="1280" w:type="dxa"/>
          </w:tcPr>
          <w:p w14:paraId="1C30C12F" w14:textId="3652E0C8" w:rsidR="007439DC" w:rsidRPr="000A024E" w:rsidRDefault="007439DC" w:rsidP="000A024E">
            <w:pPr>
              <w:jc w:val="both"/>
              <w:rPr>
                <w:rFonts w:ascii="Arial" w:hAnsi="Arial" w:cs="Arial"/>
                <w:sz w:val="20"/>
                <w:szCs w:val="20"/>
              </w:rPr>
            </w:pPr>
            <w:r w:rsidRPr="000A024E">
              <w:rPr>
                <w:rFonts w:ascii="Arial" w:hAnsi="Arial" w:cs="Arial"/>
                <w:sz w:val="20"/>
                <w:szCs w:val="20"/>
              </w:rPr>
              <w:t>Percentiles</w:t>
            </w:r>
          </w:p>
        </w:tc>
      </w:tr>
      <w:tr w:rsidR="007439DC" w:rsidRPr="000A024E" w14:paraId="30BD4C5D" w14:textId="77777777" w:rsidTr="007439DC">
        <w:tc>
          <w:tcPr>
            <w:tcW w:w="852" w:type="dxa"/>
          </w:tcPr>
          <w:p w14:paraId="74836AE0" w14:textId="50334BD9" w:rsidR="007439DC" w:rsidRPr="000A024E" w:rsidRDefault="007439DC" w:rsidP="000A024E">
            <w:pPr>
              <w:jc w:val="both"/>
              <w:rPr>
                <w:rFonts w:ascii="Arial" w:hAnsi="Arial" w:cs="Arial"/>
                <w:sz w:val="20"/>
                <w:szCs w:val="20"/>
              </w:rPr>
            </w:pPr>
            <w:r w:rsidRPr="000A024E">
              <w:rPr>
                <w:rFonts w:ascii="Arial" w:hAnsi="Arial" w:cs="Arial"/>
                <w:sz w:val="20"/>
                <w:szCs w:val="20"/>
              </w:rPr>
              <w:t>Age</w:t>
            </w:r>
          </w:p>
        </w:tc>
        <w:tc>
          <w:tcPr>
            <w:tcW w:w="921" w:type="dxa"/>
          </w:tcPr>
          <w:p w14:paraId="01490AC0" w14:textId="4F38CD56" w:rsidR="007439DC" w:rsidRPr="000A024E" w:rsidRDefault="007439DC" w:rsidP="000A024E">
            <w:pPr>
              <w:jc w:val="both"/>
              <w:rPr>
                <w:rFonts w:ascii="Arial" w:hAnsi="Arial" w:cs="Arial"/>
                <w:sz w:val="20"/>
                <w:szCs w:val="20"/>
              </w:rPr>
            </w:pPr>
            <w:r w:rsidRPr="000A024E">
              <w:rPr>
                <w:rFonts w:ascii="Arial" w:hAnsi="Arial" w:cs="Arial"/>
                <w:sz w:val="20"/>
                <w:szCs w:val="20"/>
              </w:rPr>
              <w:t>80</w:t>
            </w:r>
          </w:p>
        </w:tc>
        <w:tc>
          <w:tcPr>
            <w:tcW w:w="1074" w:type="dxa"/>
          </w:tcPr>
          <w:p w14:paraId="6A2E1202" w14:textId="35A1BC90" w:rsidR="007439DC" w:rsidRPr="000A024E" w:rsidRDefault="007439DC" w:rsidP="000A024E">
            <w:pPr>
              <w:jc w:val="both"/>
              <w:rPr>
                <w:rFonts w:ascii="Arial" w:hAnsi="Arial" w:cs="Arial"/>
                <w:sz w:val="20"/>
                <w:szCs w:val="20"/>
              </w:rPr>
            </w:pPr>
            <w:r w:rsidRPr="000A024E">
              <w:rPr>
                <w:rFonts w:ascii="Arial" w:hAnsi="Arial" w:cs="Arial"/>
                <w:sz w:val="20"/>
                <w:szCs w:val="20"/>
              </w:rPr>
              <w:t>43.18</w:t>
            </w:r>
          </w:p>
        </w:tc>
        <w:tc>
          <w:tcPr>
            <w:tcW w:w="1150" w:type="dxa"/>
          </w:tcPr>
          <w:p w14:paraId="0475C1A8" w14:textId="631DB4B3" w:rsidR="007439DC" w:rsidRPr="000A024E" w:rsidRDefault="007439DC" w:rsidP="000A024E">
            <w:pPr>
              <w:jc w:val="both"/>
              <w:rPr>
                <w:rFonts w:ascii="Arial" w:hAnsi="Arial" w:cs="Arial"/>
                <w:sz w:val="20"/>
                <w:szCs w:val="20"/>
              </w:rPr>
            </w:pPr>
            <w:r w:rsidRPr="000A024E">
              <w:rPr>
                <w:rFonts w:ascii="Arial" w:hAnsi="Arial" w:cs="Arial"/>
                <w:sz w:val="20"/>
                <w:szCs w:val="20"/>
              </w:rPr>
              <w:t>40.00</w:t>
            </w:r>
          </w:p>
        </w:tc>
        <w:tc>
          <w:tcPr>
            <w:tcW w:w="1237" w:type="dxa"/>
          </w:tcPr>
          <w:p w14:paraId="3492EA54" w14:textId="65F2F8B3" w:rsidR="007439DC" w:rsidRPr="000A024E" w:rsidRDefault="007439DC" w:rsidP="000A024E">
            <w:pPr>
              <w:jc w:val="both"/>
              <w:rPr>
                <w:rFonts w:ascii="Arial" w:hAnsi="Arial" w:cs="Arial"/>
                <w:sz w:val="20"/>
                <w:szCs w:val="20"/>
              </w:rPr>
            </w:pPr>
            <w:r w:rsidRPr="000A024E">
              <w:rPr>
                <w:rFonts w:ascii="Arial" w:hAnsi="Arial" w:cs="Arial"/>
                <w:sz w:val="20"/>
                <w:szCs w:val="20"/>
              </w:rPr>
              <w:t>15.73</w:t>
            </w:r>
          </w:p>
        </w:tc>
        <w:tc>
          <w:tcPr>
            <w:tcW w:w="1243" w:type="dxa"/>
          </w:tcPr>
          <w:p w14:paraId="03345703" w14:textId="769DEF4B" w:rsidR="007439DC" w:rsidRPr="000A024E" w:rsidRDefault="007439DC" w:rsidP="000A024E">
            <w:pPr>
              <w:jc w:val="both"/>
              <w:rPr>
                <w:rFonts w:ascii="Arial" w:hAnsi="Arial" w:cs="Arial"/>
                <w:sz w:val="20"/>
                <w:szCs w:val="20"/>
              </w:rPr>
            </w:pPr>
            <w:r w:rsidRPr="000A024E">
              <w:rPr>
                <w:rFonts w:ascii="Arial" w:hAnsi="Arial" w:cs="Arial"/>
                <w:sz w:val="20"/>
                <w:szCs w:val="20"/>
              </w:rPr>
              <w:t>16</w:t>
            </w:r>
          </w:p>
        </w:tc>
        <w:tc>
          <w:tcPr>
            <w:tcW w:w="1259" w:type="dxa"/>
          </w:tcPr>
          <w:p w14:paraId="09FAADF0" w14:textId="4FE761AE" w:rsidR="007439DC" w:rsidRPr="000A024E" w:rsidRDefault="007439DC" w:rsidP="000A024E">
            <w:pPr>
              <w:jc w:val="both"/>
              <w:rPr>
                <w:rFonts w:ascii="Arial" w:hAnsi="Arial" w:cs="Arial"/>
                <w:sz w:val="20"/>
                <w:szCs w:val="20"/>
              </w:rPr>
            </w:pPr>
            <w:r w:rsidRPr="000A024E">
              <w:rPr>
                <w:rFonts w:ascii="Arial" w:hAnsi="Arial" w:cs="Arial"/>
                <w:sz w:val="20"/>
                <w:szCs w:val="20"/>
              </w:rPr>
              <w:t>82</w:t>
            </w:r>
          </w:p>
        </w:tc>
        <w:tc>
          <w:tcPr>
            <w:tcW w:w="1280" w:type="dxa"/>
          </w:tcPr>
          <w:p w14:paraId="70EF8B3B" w14:textId="0F709831" w:rsidR="007439DC" w:rsidRPr="000A024E" w:rsidRDefault="007439DC" w:rsidP="000A024E">
            <w:pPr>
              <w:jc w:val="both"/>
              <w:rPr>
                <w:rFonts w:ascii="Arial" w:hAnsi="Arial" w:cs="Arial"/>
                <w:sz w:val="20"/>
                <w:szCs w:val="20"/>
              </w:rPr>
            </w:pPr>
            <w:r w:rsidRPr="000A024E">
              <w:rPr>
                <w:rFonts w:ascii="Arial" w:hAnsi="Arial" w:cs="Arial"/>
                <w:sz w:val="20"/>
                <w:szCs w:val="20"/>
              </w:rPr>
              <w:t>25 (31.0); 50(40.0); 75(55.0)</w:t>
            </w:r>
          </w:p>
        </w:tc>
      </w:tr>
      <w:tr w:rsidR="007439DC" w:rsidRPr="000A024E" w14:paraId="2F19AAE9" w14:textId="77777777" w:rsidTr="007439DC">
        <w:tc>
          <w:tcPr>
            <w:tcW w:w="852" w:type="dxa"/>
          </w:tcPr>
          <w:p w14:paraId="7AD028D6" w14:textId="76C6265C" w:rsidR="007439DC" w:rsidRPr="000A024E" w:rsidRDefault="007439DC" w:rsidP="000A024E">
            <w:pPr>
              <w:jc w:val="both"/>
              <w:rPr>
                <w:rFonts w:ascii="Arial" w:hAnsi="Arial" w:cs="Arial"/>
                <w:sz w:val="20"/>
                <w:szCs w:val="20"/>
              </w:rPr>
            </w:pPr>
            <w:r w:rsidRPr="000A024E">
              <w:rPr>
                <w:rFonts w:ascii="Arial" w:hAnsi="Arial" w:cs="Arial"/>
                <w:sz w:val="20"/>
                <w:szCs w:val="20"/>
              </w:rPr>
              <w:t>Sum</w:t>
            </w:r>
          </w:p>
        </w:tc>
        <w:tc>
          <w:tcPr>
            <w:tcW w:w="921" w:type="dxa"/>
          </w:tcPr>
          <w:p w14:paraId="692752BD" w14:textId="5D779DA2" w:rsidR="007439DC" w:rsidRPr="000A024E" w:rsidRDefault="007439DC" w:rsidP="000A024E">
            <w:pPr>
              <w:jc w:val="both"/>
              <w:rPr>
                <w:rFonts w:ascii="Arial" w:hAnsi="Arial" w:cs="Arial"/>
                <w:sz w:val="20"/>
                <w:szCs w:val="20"/>
              </w:rPr>
            </w:pPr>
            <w:r w:rsidRPr="000A024E">
              <w:rPr>
                <w:rFonts w:ascii="Arial" w:hAnsi="Arial" w:cs="Arial"/>
                <w:sz w:val="20"/>
                <w:szCs w:val="20"/>
              </w:rPr>
              <w:t>80</w:t>
            </w:r>
          </w:p>
        </w:tc>
        <w:tc>
          <w:tcPr>
            <w:tcW w:w="1074" w:type="dxa"/>
          </w:tcPr>
          <w:p w14:paraId="249E1D64" w14:textId="5D760893" w:rsidR="007439DC" w:rsidRPr="000A024E" w:rsidRDefault="007439DC" w:rsidP="000A024E">
            <w:pPr>
              <w:jc w:val="both"/>
              <w:rPr>
                <w:rFonts w:ascii="Arial" w:hAnsi="Arial" w:cs="Arial"/>
                <w:sz w:val="20"/>
                <w:szCs w:val="20"/>
              </w:rPr>
            </w:pPr>
            <w:r w:rsidRPr="000A024E">
              <w:rPr>
                <w:rFonts w:ascii="Arial" w:hAnsi="Arial" w:cs="Arial"/>
                <w:sz w:val="20"/>
                <w:szCs w:val="20"/>
              </w:rPr>
              <w:t>7.84</w:t>
            </w:r>
          </w:p>
        </w:tc>
        <w:tc>
          <w:tcPr>
            <w:tcW w:w="1150" w:type="dxa"/>
          </w:tcPr>
          <w:p w14:paraId="60DA3B0D" w14:textId="35BD315B" w:rsidR="007439DC" w:rsidRPr="000A024E" w:rsidRDefault="007439DC" w:rsidP="000A024E">
            <w:pPr>
              <w:jc w:val="both"/>
              <w:rPr>
                <w:rFonts w:ascii="Arial" w:hAnsi="Arial" w:cs="Arial"/>
                <w:sz w:val="20"/>
                <w:szCs w:val="20"/>
              </w:rPr>
            </w:pPr>
            <w:r w:rsidRPr="000A024E">
              <w:rPr>
                <w:rFonts w:ascii="Arial" w:hAnsi="Arial" w:cs="Arial"/>
                <w:sz w:val="20"/>
                <w:szCs w:val="20"/>
              </w:rPr>
              <w:t>6.50</w:t>
            </w:r>
          </w:p>
        </w:tc>
        <w:tc>
          <w:tcPr>
            <w:tcW w:w="1237" w:type="dxa"/>
          </w:tcPr>
          <w:p w14:paraId="2F1844A1" w14:textId="1354A875" w:rsidR="007439DC" w:rsidRPr="000A024E" w:rsidRDefault="007439DC" w:rsidP="000A024E">
            <w:pPr>
              <w:jc w:val="both"/>
              <w:rPr>
                <w:rFonts w:ascii="Arial" w:hAnsi="Arial" w:cs="Arial"/>
                <w:sz w:val="20"/>
                <w:szCs w:val="20"/>
              </w:rPr>
            </w:pPr>
            <w:r w:rsidRPr="000A024E">
              <w:rPr>
                <w:rFonts w:ascii="Arial" w:hAnsi="Arial" w:cs="Arial"/>
                <w:sz w:val="20"/>
                <w:szCs w:val="20"/>
              </w:rPr>
              <w:t>4.90</w:t>
            </w:r>
          </w:p>
        </w:tc>
        <w:tc>
          <w:tcPr>
            <w:tcW w:w="1243" w:type="dxa"/>
          </w:tcPr>
          <w:p w14:paraId="510DA556" w14:textId="23F209EF" w:rsidR="007439DC" w:rsidRPr="000A024E" w:rsidRDefault="007439DC" w:rsidP="000A024E">
            <w:pPr>
              <w:jc w:val="both"/>
              <w:rPr>
                <w:rFonts w:ascii="Arial" w:hAnsi="Arial" w:cs="Arial"/>
                <w:sz w:val="20"/>
                <w:szCs w:val="20"/>
              </w:rPr>
            </w:pPr>
            <w:r w:rsidRPr="000A024E">
              <w:rPr>
                <w:rFonts w:ascii="Arial" w:hAnsi="Arial" w:cs="Arial"/>
                <w:sz w:val="20"/>
                <w:szCs w:val="20"/>
              </w:rPr>
              <w:t>1</w:t>
            </w:r>
          </w:p>
        </w:tc>
        <w:tc>
          <w:tcPr>
            <w:tcW w:w="1259" w:type="dxa"/>
          </w:tcPr>
          <w:p w14:paraId="138CADB6" w14:textId="2CC8D07C" w:rsidR="007439DC" w:rsidRPr="000A024E" w:rsidRDefault="007439DC" w:rsidP="000A024E">
            <w:pPr>
              <w:jc w:val="both"/>
              <w:rPr>
                <w:rFonts w:ascii="Arial" w:hAnsi="Arial" w:cs="Arial"/>
                <w:sz w:val="20"/>
                <w:szCs w:val="20"/>
              </w:rPr>
            </w:pPr>
            <w:r w:rsidRPr="000A024E">
              <w:rPr>
                <w:rFonts w:ascii="Arial" w:hAnsi="Arial" w:cs="Arial"/>
                <w:sz w:val="20"/>
                <w:szCs w:val="20"/>
              </w:rPr>
              <w:t>17</w:t>
            </w:r>
          </w:p>
        </w:tc>
        <w:tc>
          <w:tcPr>
            <w:tcW w:w="1280" w:type="dxa"/>
          </w:tcPr>
          <w:p w14:paraId="16F0CDF3" w14:textId="6CDC4A5F" w:rsidR="007439DC" w:rsidRPr="000A024E" w:rsidRDefault="007439DC" w:rsidP="000A024E">
            <w:pPr>
              <w:jc w:val="both"/>
              <w:rPr>
                <w:rFonts w:ascii="Arial" w:hAnsi="Arial" w:cs="Arial"/>
                <w:sz w:val="20"/>
                <w:szCs w:val="20"/>
              </w:rPr>
            </w:pPr>
            <w:r w:rsidRPr="000A024E">
              <w:rPr>
                <w:rFonts w:ascii="Arial" w:hAnsi="Arial" w:cs="Arial"/>
                <w:sz w:val="20"/>
                <w:szCs w:val="20"/>
              </w:rPr>
              <w:t>25 (3.0); 50(6.50); 75(12.75)</w:t>
            </w:r>
          </w:p>
        </w:tc>
      </w:tr>
    </w:tbl>
    <w:p w14:paraId="72BCECC4" w14:textId="77777777" w:rsidR="007439DC" w:rsidRPr="000A024E" w:rsidRDefault="007439DC" w:rsidP="000A024E">
      <w:pPr>
        <w:jc w:val="both"/>
        <w:rPr>
          <w:rFonts w:ascii="Arial" w:hAnsi="Arial" w:cs="Arial"/>
          <w:sz w:val="20"/>
          <w:szCs w:val="20"/>
        </w:rPr>
      </w:pPr>
    </w:p>
    <w:p w14:paraId="2E969371" w14:textId="1CF24939" w:rsidR="007439DC" w:rsidRPr="000A024E" w:rsidRDefault="007439DC" w:rsidP="000A024E">
      <w:pPr>
        <w:jc w:val="both"/>
        <w:rPr>
          <w:rFonts w:ascii="Arial" w:hAnsi="Arial" w:cs="Arial"/>
          <w:sz w:val="20"/>
          <w:szCs w:val="20"/>
        </w:rPr>
      </w:pPr>
      <w:r w:rsidRPr="000A024E">
        <w:rPr>
          <w:rFonts w:ascii="Arial" w:hAnsi="Arial" w:cs="Arial"/>
          <w:b/>
          <w:bCs/>
          <w:sz w:val="20"/>
          <w:szCs w:val="20"/>
        </w:rPr>
        <w:t xml:space="preserve">Table </w:t>
      </w:r>
      <w:r w:rsidR="00DB7690" w:rsidRPr="000A024E">
        <w:rPr>
          <w:rFonts w:ascii="Arial" w:hAnsi="Arial" w:cs="Arial"/>
          <w:b/>
          <w:bCs/>
          <w:sz w:val="20"/>
          <w:szCs w:val="20"/>
        </w:rPr>
        <w:t>3</w:t>
      </w:r>
      <w:r w:rsidRPr="000A024E">
        <w:rPr>
          <w:rFonts w:ascii="Arial" w:hAnsi="Arial" w:cs="Arial"/>
          <w:b/>
          <w:bCs/>
          <w:sz w:val="20"/>
          <w:szCs w:val="20"/>
        </w:rPr>
        <w:t>.0</w:t>
      </w:r>
      <w:r w:rsidRPr="000A024E">
        <w:rPr>
          <w:rFonts w:ascii="Arial" w:hAnsi="Arial" w:cs="Arial"/>
          <w:sz w:val="20"/>
          <w:szCs w:val="20"/>
        </w:rPr>
        <w:t xml:space="preserve"> Mean and Standard deviation of the total GERDQ Score for the study participants.</w:t>
      </w:r>
    </w:p>
    <w:p w14:paraId="39B675EC" w14:textId="31A5DDCD" w:rsidR="007439DC" w:rsidRPr="000A024E" w:rsidRDefault="007439DC" w:rsidP="000A024E">
      <w:pPr>
        <w:jc w:val="both"/>
        <w:rPr>
          <w:rFonts w:ascii="Arial" w:hAnsi="Arial" w:cs="Arial"/>
          <w:sz w:val="20"/>
          <w:szCs w:val="20"/>
        </w:rPr>
      </w:pPr>
      <w:r w:rsidRPr="000A024E">
        <w:rPr>
          <w:rFonts w:ascii="Arial" w:hAnsi="Arial" w:cs="Arial"/>
          <w:sz w:val="20"/>
          <w:szCs w:val="20"/>
        </w:rPr>
        <w:t xml:space="preserve">The content validity of GERDQ was checked through the experts of the concerned subject. The measure of reliability for GERDQ was found to be </w:t>
      </w:r>
      <w:r w:rsidR="008B76D1" w:rsidRPr="000A024E">
        <w:rPr>
          <w:rFonts w:ascii="Arial" w:hAnsi="Arial" w:cs="Arial"/>
          <w:sz w:val="20"/>
          <w:szCs w:val="20"/>
        </w:rPr>
        <w:t xml:space="preserve">0.836 </w:t>
      </w:r>
      <w:r w:rsidRPr="000A024E">
        <w:rPr>
          <w:rFonts w:ascii="Arial" w:hAnsi="Arial" w:cs="Arial"/>
          <w:sz w:val="20"/>
          <w:szCs w:val="20"/>
        </w:rPr>
        <w:t>(perfectly reliable)</w:t>
      </w:r>
    </w:p>
    <w:p w14:paraId="7EDFA709" w14:textId="7B3FF49F" w:rsidR="00881D8A" w:rsidRPr="000A024E" w:rsidRDefault="000A024E" w:rsidP="000A024E">
      <w:pPr>
        <w:jc w:val="right"/>
        <w:rPr>
          <w:rFonts w:ascii="Arial" w:hAnsi="Arial" w:cs="Arial"/>
          <w:b/>
          <w:bCs/>
          <w:sz w:val="20"/>
          <w:szCs w:val="20"/>
        </w:rPr>
      </w:pPr>
      <w:r w:rsidRPr="000A024E">
        <w:rPr>
          <w:rFonts w:ascii="Arial" w:hAnsi="Arial" w:cs="Arial"/>
          <w:b/>
          <w:bCs/>
          <w:sz w:val="20"/>
          <w:szCs w:val="20"/>
        </w:rPr>
        <w:t>DISCUSSION</w:t>
      </w:r>
    </w:p>
    <w:p w14:paraId="3B5165B9" w14:textId="7A91F519" w:rsidR="007204C1" w:rsidRPr="004820DA" w:rsidRDefault="00DB7690" w:rsidP="004820DA">
      <w:pPr>
        <w:jc w:val="both"/>
        <w:rPr>
          <w:rFonts w:ascii="Arial" w:hAnsi="Arial" w:cs="Arial"/>
          <w:sz w:val="20"/>
          <w:szCs w:val="20"/>
        </w:rPr>
      </w:pPr>
      <w:r w:rsidRPr="004820DA">
        <w:rPr>
          <w:rFonts w:ascii="Arial" w:hAnsi="Arial" w:cs="Arial"/>
          <w:sz w:val="20"/>
          <w:szCs w:val="20"/>
        </w:rPr>
        <w:t>The present study represents the first effort to translate, culturally adapt, and validate the Gastroesophageal Reflux Disease Questionnaire (GERDQ) into Bengali. The translated version (Bn-GERDQ) successfully retained semantic, conceptual, and cultural equivalence with the original English version. The high Cronbach’s alpha value of 0.836 indicates excellent internal consistency, demonstrating that the Bengali version is both reliable and comprehensible for Bengali-speaking patients</w:t>
      </w:r>
      <w:r w:rsidR="007204C1" w:rsidRPr="004820DA">
        <w:rPr>
          <w:rFonts w:ascii="Arial" w:hAnsi="Arial" w:cs="Arial"/>
          <w:sz w:val="20"/>
          <w:szCs w:val="20"/>
        </w:rPr>
        <w:t>.</w:t>
      </w:r>
      <w:r w:rsidRPr="004820DA">
        <w:rPr>
          <w:rFonts w:ascii="Arial" w:hAnsi="Arial" w:cs="Arial"/>
          <w:sz w:val="20"/>
          <w:szCs w:val="20"/>
        </w:rPr>
        <w:t xml:space="preserve"> The psychometric reliability found in this study is comparable to previous validation studies conducted in other linguistic and cultural contexts. The Arabic version of the GERDQ reported a Cronbach’s alpha of 0.86 </w:t>
      </w:r>
      <w:r w:rsidRPr="004820DA">
        <w:rPr>
          <w:rFonts w:ascii="Arial" w:hAnsi="Arial" w:cs="Arial"/>
          <w:sz w:val="20"/>
          <w:szCs w:val="20"/>
          <w:vertAlign w:val="superscript"/>
        </w:rPr>
        <w:t>[7]</w:t>
      </w:r>
      <w:r w:rsidRPr="004820DA">
        <w:rPr>
          <w:rFonts w:ascii="Arial" w:hAnsi="Arial" w:cs="Arial"/>
          <w:sz w:val="20"/>
          <w:szCs w:val="20"/>
        </w:rPr>
        <w:t xml:space="preserve">, while the Malay and Korean versions demonstrated alpha values of 0.82 and 0.83, respectively </w:t>
      </w:r>
      <w:r w:rsidRPr="004820DA">
        <w:rPr>
          <w:rFonts w:ascii="Arial" w:hAnsi="Arial" w:cs="Arial"/>
          <w:sz w:val="20"/>
          <w:szCs w:val="20"/>
          <w:vertAlign w:val="superscript"/>
        </w:rPr>
        <w:t>[8]</w:t>
      </w:r>
      <w:r w:rsidRPr="004820DA">
        <w:rPr>
          <w:rFonts w:ascii="Arial" w:hAnsi="Arial" w:cs="Arial"/>
          <w:sz w:val="20"/>
          <w:szCs w:val="20"/>
        </w:rPr>
        <w:t xml:space="preserve">. These findings affirm that the Bengali GERDQ performs consistently across </w:t>
      </w:r>
      <w:r w:rsidRPr="004820DA">
        <w:rPr>
          <w:rFonts w:ascii="Arial" w:hAnsi="Arial" w:cs="Arial"/>
          <w:sz w:val="20"/>
          <w:szCs w:val="20"/>
        </w:rPr>
        <w:lastRenderedPageBreak/>
        <w:t xml:space="preserve">diverse populations, underscoring the robustness of the translation methodology adopted. </w:t>
      </w:r>
      <w:r w:rsidR="00AE4F4B" w:rsidRPr="004820DA">
        <w:rPr>
          <w:rFonts w:ascii="Arial" w:hAnsi="Arial" w:cs="Arial"/>
          <w:sz w:val="20"/>
          <w:szCs w:val="20"/>
        </w:rPr>
        <w:t>The distribution of symptom frequencies observed in our study—particularly heartburn, regurgitation, and sleep disturbance—reflects the substantial burden of GERD among Bengali-speaking patients. This aligns with epidemiological reports suggesting a rising prevalence of GERD in India, especially in urban and semi-urban areas where dietary habits, obesity, and stress levels are contributing factors. The availability of a validated Bengali GERDQ addresses a significant gap in clinical gastroenterology and research in India. It provides healthcare professionals, including homeopathic practitioners, with a standardized and culturally appropriate diagnostic and monitoring tool. The Bn-GERDQ can be employed in routine outpatient evaluations, patient follow-ups, and in assessing treatment outcomes, thereby promoting more objective and quantifiable symptom monitoring. Furthermore, the instrument’s validation strengthens the foundation for future clinical research in gastroenterology and homeopathy, especially for studying GERD symptom patterns, treatment response, and patient-reported outcomes in Bengali-speaking populations. The tool may also be used in public health surveys and epidemiological studies to estimate GERD prevalence and related risk factors across different socio-demographic strata.</w:t>
      </w:r>
    </w:p>
    <w:p w14:paraId="23C1C705" w14:textId="6CE02167" w:rsidR="00AE4F4B" w:rsidRPr="004820DA" w:rsidRDefault="00AE4F4B" w:rsidP="004820DA">
      <w:pPr>
        <w:jc w:val="both"/>
        <w:rPr>
          <w:rFonts w:ascii="Arial" w:hAnsi="Arial" w:cs="Arial"/>
          <w:b/>
          <w:bCs/>
          <w:sz w:val="20"/>
          <w:szCs w:val="20"/>
        </w:rPr>
      </w:pPr>
      <w:r w:rsidRPr="004820DA">
        <w:rPr>
          <w:rFonts w:ascii="Arial" w:hAnsi="Arial" w:cs="Arial"/>
          <w:b/>
          <w:bCs/>
          <w:sz w:val="20"/>
          <w:szCs w:val="20"/>
        </w:rPr>
        <w:t>Study Strengths and Limitations</w:t>
      </w:r>
    </w:p>
    <w:p w14:paraId="250B4D76" w14:textId="77777777" w:rsidR="00AE4F4B" w:rsidRPr="004820DA" w:rsidRDefault="00AE4F4B" w:rsidP="004820DA">
      <w:pPr>
        <w:jc w:val="both"/>
        <w:rPr>
          <w:rFonts w:ascii="Arial" w:hAnsi="Arial" w:cs="Arial"/>
          <w:sz w:val="20"/>
          <w:szCs w:val="20"/>
        </w:rPr>
      </w:pPr>
      <w:r w:rsidRPr="004820DA">
        <w:rPr>
          <w:rFonts w:ascii="Arial" w:hAnsi="Arial" w:cs="Arial"/>
          <w:sz w:val="20"/>
          <w:szCs w:val="20"/>
        </w:rPr>
        <w:t>The major strength of this study lies in its methodological rigor, including adherence to WHO and Sousa et al. guidelines for translation and cross-cultural adaptation, and its focus on a linguistically homogenous population. The use of Cronbach’s alpha for internal consistency provides robust psychometric validation.</w:t>
      </w:r>
    </w:p>
    <w:p w14:paraId="068D5F7F" w14:textId="7EA5E254" w:rsidR="00AE4F4B" w:rsidRPr="004820DA" w:rsidRDefault="00AE4F4B" w:rsidP="004820DA">
      <w:pPr>
        <w:jc w:val="both"/>
        <w:rPr>
          <w:rFonts w:ascii="Arial" w:hAnsi="Arial" w:cs="Arial"/>
          <w:sz w:val="20"/>
          <w:szCs w:val="20"/>
        </w:rPr>
      </w:pPr>
      <w:r w:rsidRPr="004820DA">
        <w:rPr>
          <w:rFonts w:ascii="Arial" w:hAnsi="Arial" w:cs="Arial"/>
          <w:sz w:val="20"/>
          <w:szCs w:val="20"/>
        </w:rPr>
        <w:t>However, certain limitations must be acknowledged. The study did not employ upper gastrointestinal endoscopy, relying instead on clinical diagnosis based on ACG criteria, which may have led to the inclusion of patients with functional dyspepsia or overlapping conditions. Additionally, the study was conducted at a single tertiary care homeopathic hospital with a moderate sample size (n = 80), which may limit generalizability to broader populations. Future studies incorporating larger, multi-</w:t>
      </w:r>
      <w:proofErr w:type="spellStart"/>
      <w:r w:rsidRPr="004820DA">
        <w:rPr>
          <w:rFonts w:ascii="Arial" w:hAnsi="Arial" w:cs="Arial"/>
          <w:sz w:val="20"/>
          <w:szCs w:val="20"/>
        </w:rPr>
        <w:t>center</w:t>
      </w:r>
      <w:proofErr w:type="spellEnd"/>
      <w:r w:rsidRPr="004820DA">
        <w:rPr>
          <w:rFonts w:ascii="Arial" w:hAnsi="Arial" w:cs="Arial"/>
          <w:sz w:val="20"/>
          <w:szCs w:val="20"/>
        </w:rPr>
        <w:t xml:space="preserve"> samples and test–retest reliability assessments would further strengthen external validity.</w:t>
      </w:r>
    </w:p>
    <w:p w14:paraId="60AFFB5A" w14:textId="77777777" w:rsidR="00F342CD" w:rsidRDefault="00F342CD" w:rsidP="004820DA">
      <w:pPr>
        <w:rPr>
          <w:rFonts w:ascii="Arial" w:hAnsi="Arial" w:cs="Arial"/>
          <w:b/>
          <w:bCs/>
          <w:sz w:val="20"/>
          <w:szCs w:val="20"/>
        </w:rPr>
      </w:pPr>
    </w:p>
    <w:p w14:paraId="267F7462" w14:textId="46E8812A" w:rsidR="004820DA" w:rsidRPr="004820DA" w:rsidRDefault="004820DA" w:rsidP="004820DA">
      <w:pPr>
        <w:rPr>
          <w:rFonts w:ascii="Arial" w:hAnsi="Arial" w:cs="Arial"/>
          <w:b/>
          <w:bCs/>
          <w:sz w:val="20"/>
          <w:szCs w:val="20"/>
        </w:rPr>
      </w:pPr>
      <w:bookmarkStart w:id="0" w:name="_GoBack"/>
      <w:bookmarkEnd w:id="0"/>
      <w:r w:rsidRPr="004820DA">
        <w:rPr>
          <w:rFonts w:ascii="Arial" w:hAnsi="Arial" w:cs="Arial"/>
          <w:b/>
          <w:bCs/>
          <w:sz w:val="20"/>
          <w:szCs w:val="20"/>
        </w:rPr>
        <w:t>Ethics Statement</w:t>
      </w:r>
    </w:p>
    <w:p w14:paraId="02A09624" w14:textId="77777777" w:rsidR="004820DA" w:rsidRPr="004820DA" w:rsidRDefault="004820DA" w:rsidP="004820DA">
      <w:pPr>
        <w:rPr>
          <w:rFonts w:ascii="Arial" w:hAnsi="Arial" w:cs="Arial"/>
          <w:sz w:val="20"/>
          <w:szCs w:val="20"/>
        </w:rPr>
      </w:pPr>
      <w:r w:rsidRPr="004820DA">
        <w:rPr>
          <w:rFonts w:ascii="Arial" w:hAnsi="Arial" w:cs="Arial"/>
          <w:sz w:val="20"/>
          <w:szCs w:val="20"/>
        </w:rPr>
        <w:t>The study was conducted after obtaining clearance from the Institutional Ethics Committee of The Calcutta Homoeopathic Medical College &amp; Hospital (Approval No. CHMCH/IEC/13/2023). Written informed consent was obtained from all participants before enrolment. Confidentiality and anonymity of participant data were strictly maintained throughout the study.</w:t>
      </w:r>
    </w:p>
    <w:p w14:paraId="65ACA1F1" w14:textId="77777777" w:rsidR="004820DA" w:rsidRPr="004820DA" w:rsidRDefault="004820DA" w:rsidP="004820DA">
      <w:pPr>
        <w:rPr>
          <w:rFonts w:ascii="Arial" w:hAnsi="Arial" w:cs="Arial"/>
          <w:b/>
          <w:bCs/>
          <w:sz w:val="20"/>
          <w:szCs w:val="20"/>
        </w:rPr>
      </w:pPr>
      <w:r w:rsidRPr="004820DA">
        <w:rPr>
          <w:rFonts w:ascii="Arial" w:hAnsi="Arial" w:cs="Arial"/>
          <w:b/>
          <w:bCs/>
          <w:sz w:val="20"/>
          <w:szCs w:val="20"/>
        </w:rPr>
        <w:t>Disclosure Statement</w:t>
      </w:r>
    </w:p>
    <w:p w14:paraId="2ACD839B" w14:textId="77777777" w:rsidR="004820DA" w:rsidRPr="004820DA" w:rsidRDefault="004820DA" w:rsidP="004820DA">
      <w:pPr>
        <w:rPr>
          <w:rFonts w:ascii="Arial" w:hAnsi="Arial" w:cs="Arial"/>
          <w:sz w:val="20"/>
          <w:szCs w:val="20"/>
        </w:rPr>
      </w:pPr>
      <w:r w:rsidRPr="004820DA">
        <w:rPr>
          <w:rFonts w:ascii="Arial" w:hAnsi="Arial" w:cs="Arial"/>
          <w:sz w:val="20"/>
          <w:szCs w:val="20"/>
        </w:rPr>
        <w:t>The authors declare no conflict of interest related to this study. No funding was received from any commercial or financial agency.</w:t>
      </w:r>
    </w:p>
    <w:p w14:paraId="79CC5FD1" w14:textId="11D7287D" w:rsidR="007204C1" w:rsidRPr="004820DA" w:rsidRDefault="007204C1" w:rsidP="007204C1">
      <w:pPr>
        <w:rPr>
          <w:rFonts w:ascii="Arial" w:hAnsi="Arial" w:cs="Arial"/>
          <w:b/>
          <w:bCs/>
          <w:sz w:val="20"/>
          <w:szCs w:val="20"/>
        </w:rPr>
      </w:pPr>
      <w:r w:rsidRPr="004820DA">
        <w:rPr>
          <w:rFonts w:ascii="Arial" w:hAnsi="Arial" w:cs="Arial"/>
          <w:b/>
          <w:bCs/>
          <w:sz w:val="20"/>
          <w:szCs w:val="20"/>
        </w:rPr>
        <w:t>References</w:t>
      </w:r>
    </w:p>
    <w:p w14:paraId="3EA19795" w14:textId="77777777" w:rsidR="009A5530" w:rsidRPr="004820DA" w:rsidRDefault="009A5530" w:rsidP="009A5530">
      <w:pPr>
        <w:pStyle w:val="ListParagraph"/>
        <w:numPr>
          <w:ilvl w:val="0"/>
          <w:numId w:val="6"/>
        </w:numPr>
        <w:spacing w:after="200" w:line="276" w:lineRule="auto"/>
        <w:jc w:val="both"/>
        <w:rPr>
          <w:rFonts w:ascii="Arial" w:hAnsi="Arial" w:cs="Arial"/>
          <w:sz w:val="20"/>
          <w:szCs w:val="20"/>
        </w:rPr>
      </w:pPr>
      <w:r w:rsidRPr="004820DA">
        <w:rPr>
          <w:rFonts w:ascii="Arial" w:hAnsi="Arial" w:cs="Arial"/>
          <w:sz w:val="20"/>
          <w:szCs w:val="20"/>
        </w:rPr>
        <w:t xml:space="preserve">Vakil N, van </w:t>
      </w:r>
      <w:proofErr w:type="spellStart"/>
      <w:r w:rsidRPr="004820DA">
        <w:rPr>
          <w:rFonts w:ascii="Arial" w:hAnsi="Arial" w:cs="Arial"/>
          <w:sz w:val="20"/>
          <w:szCs w:val="20"/>
        </w:rPr>
        <w:t>Zanten</w:t>
      </w:r>
      <w:proofErr w:type="spellEnd"/>
      <w:r w:rsidRPr="004820DA">
        <w:rPr>
          <w:rFonts w:ascii="Arial" w:hAnsi="Arial" w:cs="Arial"/>
          <w:sz w:val="20"/>
          <w:szCs w:val="20"/>
        </w:rPr>
        <w:t xml:space="preserve"> SV, </w:t>
      </w:r>
      <w:proofErr w:type="spellStart"/>
      <w:r w:rsidRPr="004820DA">
        <w:rPr>
          <w:rFonts w:ascii="Arial" w:hAnsi="Arial" w:cs="Arial"/>
          <w:sz w:val="20"/>
          <w:szCs w:val="20"/>
        </w:rPr>
        <w:t>Kahrilas</w:t>
      </w:r>
      <w:proofErr w:type="spellEnd"/>
      <w:r w:rsidRPr="004820DA">
        <w:rPr>
          <w:rFonts w:ascii="Arial" w:hAnsi="Arial" w:cs="Arial"/>
          <w:sz w:val="20"/>
          <w:szCs w:val="20"/>
        </w:rPr>
        <w:t xml:space="preserve"> P, Dent J, Jones R; Global Consensus Group. The Montreal definition and classification of gastroesophageal reflux disease: a global, evidence-based consensus. </w:t>
      </w:r>
      <w:r w:rsidRPr="004820DA">
        <w:rPr>
          <w:rFonts w:ascii="Arial" w:hAnsi="Arial" w:cs="Arial"/>
          <w:i/>
          <w:iCs/>
          <w:sz w:val="20"/>
          <w:szCs w:val="20"/>
        </w:rPr>
        <w:t>Am J Gastroenterol.</w:t>
      </w:r>
      <w:r w:rsidRPr="004820DA">
        <w:rPr>
          <w:rFonts w:ascii="Arial" w:hAnsi="Arial" w:cs="Arial"/>
          <w:sz w:val="20"/>
          <w:szCs w:val="20"/>
        </w:rPr>
        <w:t xml:space="preserve"> 2006;101(8):1900–1920.</w:t>
      </w:r>
    </w:p>
    <w:p w14:paraId="5840FA5C" w14:textId="77777777" w:rsidR="009A5530" w:rsidRPr="004820DA" w:rsidRDefault="009A5530" w:rsidP="009A5530">
      <w:pPr>
        <w:pStyle w:val="ListParagraph"/>
        <w:numPr>
          <w:ilvl w:val="0"/>
          <w:numId w:val="6"/>
        </w:numPr>
        <w:spacing w:after="200" w:line="276" w:lineRule="auto"/>
        <w:jc w:val="both"/>
        <w:rPr>
          <w:rFonts w:ascii="Arial" w:hAnsi="Arial" w:cs="Arial"/>
          <w:sz w:val="20"/>
          <w:szCs w:val="20"/>
        </w:rPr>
      </w:pPr>
      <w:r w:rsidRPr="004820DA">
        <w:rPr>
          <w:rFonts w:ascii="Arial" w:hAnsi="Arial" w:cs="Arial"/>
          <w:sz w:val="20"/>
          <w:szCs w:val="20"/>
        </w:rPr>
        <w:t xml:space="preserve">El-Serag HB, Sweet S, Winchester CC, Dent J. Update on the epidemiology of gastro-oesophageal reflux disease: a systematic review. </w:t>
      </w:r>
      <w:r w:rsidRPr="004820DA">
        <w:rPr>
          <w:rFonts w:ascii="Arial" w:hAnsi="Arial" w:cs="Arial"/>
          <w:i/>
          <w:iCs/>
          <w:sz w:val="20"/>
          <w:szCs w:val="20"/>
        </w:rPr>
        <w:t>Gut.</w:t>
      </w:r>
      <w:r w:rsidRPr="004820DA">
        <w:rPr>
          <w:rFonts w:ascii="Arial" w:hAnsi="Arial" w:cs="Arial"/>
          <w:sz w:val="20"/>
          <w:szCs w:val="20"/>
        </w:rPr>
        <w:t xml:space="preserve"> 2014;63(6):871–880.</w:t>
      </w:r>
    </w:p>
    <w:p w14:paraId="4FD173FD" w14:textId="77777777" w:rsidR="009A5530" w:rsidRPr="004820DA" w:rsidRDefault="009A5530" w:rsidP="009A5530">
      <w:pPr>
        <w:pStyle w:val="ListParagraph"/>
        <w:numPr>
          <w:ilvl w:val="0"/>
          <w:numId w:val="6"/>
        </w:numPr>
        <w:spacing w:after="200" w:line="276" w:lineRule="auto"/>
        <w:jc w:val="both"/>
        <w:rPr>
          <w:rFonts w:ascii="Arial" w:hAnsi="Arial" w:cs="Arial"/>
          <w:sz w:val="20"/>
          <w:szCs w:val="20"/>
        </w:rPr>
      </w:pPr>
      <w:r w:rsidRPr="004820DA">
        <w:rPr>
          <w:rFonts w:ascii="Arial" w:hAnsi="Arial" w:cs="Arial"/>
          <w:sz w:val="20"/>
          <w:szCs w:val="20"/>
        </w:rPr>
        <w:t xml:space="preserve">Rajendra S, Alahakoon C, Martin A, et al. Gastroesophageal reflux disease in southern India: A community-based study. </w:t>
      </w:r>
      <w:r w:rsidRPr="004820DA">
        <w:rPr>
          <w:rFonts w:ascii="Arial" w:hAnsi="Arial" w:cs="Arial"/>
          <w:i/>
          <w:iCs/>
          <w:sz w:val="20"/>
          <w:szCs w:val="20"/>
        </w:rPr>
        <w:t>Indian J Gastroenterol.</w:t>
      </w:r>
      <w:r w:rsidRPr="004820DA">
        <w:rPr>
          <w:rFonts w:ascii="Arial" w:hAnsi="Arial" w:cs="Arial"/>
          <w:sz w:val="20"/>
          <w:szCs w:val="20"/>
        </w:rPr>
        <w:t xml:space="preserve"> 2004;23(5):182–185.</w:t>
      </w:r>
    </w:p>
    <w:p w14:paraId="315B7F36" w14:textId="77777777" w:rsidR="009A5530" w:rsidRPr="004820DA" w:rsidRDefault="009A5530" w:rsidP="009A5530">
      <w:pPr>
        <w:pStyle w:val="ListParagraph"/>
        <w:numPr>
          <w:ilvl w:val="0"/>
          <w:numId w:val="6"/>
        </w:numPr>
        <w:spacing w:after="200" w:line="276" w:lineRule="auto"/>
        <w:jc w:val="both"/>
        <w:rPr>
          <w:rFonts w:ascii="Arial" w:hAnsi="Arial" w:cs="Arial"/>
          <w:sz w:val="20"/>
          <w:szCs w:val="20"/>
        </w:rPr>
      </w:pPr>
      <w:r w:rsidRPr="004820DA">
        <w:rPr>
          <w:rFonts w:ascii="Arial" w:hAnsi="Arial" w:cs="Arial"/>
          <w:sz w:val="20"/>
          <w:szCs w:val="20"/>
        </w:rPr>
        <w:t xml:space="preserve">Bhatia SJ, Reddy DN, Ghoshal UC, Jayanthi V, Abraham P, Choudhuri G. Epidemiology and symptom profile of gastroesophageal reflux in the Indian population: report of the Indian Society of Gastroenterology Task Force. </w:t>
      </w:r>
      <w:r w:rsidRPr="004820DA">
        <w:rPr>
          <w:rFonts w:ascii="Arial" w:hAnsi="Arial" w:cs="Arial"/>
          <w:i/>
          <w:iCs/>
          <w:sz w:val="20"/>
          <w:szCs w:val="20"/>
        </w:rPr>
        <w:t>Indian J Gastroenterol.</w:t>
      </w:r>
      <w:r w:rsidRPr="004820DA">
        <w:rPr>
          <w:rFonts w:ascii="Arial" w:hAnsi="Arial" w:cs="Arial"/>
          <w:sz w:val="20"/>
          <w:szCs w:val="20"/>
        </w:rPr>
        <w:t xml:space="preserve"> 2011;30(3):118–127.</w:t>
      </w:r>
    </w:p>
    <w:p w14:paraId="1E2C0D57" w14:textId="77777777" w:rsidR="009A5530" w:rsidRPr="004820DA" w:rsidRDefault="009A5530" w:rsidP="009A5530">
      <w:pPr>
        <w:pStyle w:val="ListParagraph"/>
        <w:numPr>
          <w:ilvl w:val="0"/>
          <w:numId w:val="6"/>
        </w:numPr>
        <w:spacing w:after="200" w:line="276" w:lineRule="auto"/>
        <w:jc w:val="both"/>
        <w:rPr>
          <w:rFonts w:ascii="Arial" w:hAnsi="Arial" w:cs="Arial"/>
          <w:sz w:val="20"/>
          <w:szCs w:val="20"/>
        </w:rPr>
      </w:pPr>
      <w:r w:rsidRPr="004820DA">
        <w:rPr>
          <w:rFonts w:ascii="Arial" w:hAnsi="Arial" w:cs="Arial"/>
          <w:sz w:val="20"/>
          <w:szCs w:val="20"/>
        </w:rPr>
        <w:lastRenderedPageBreak/>
        <w:t xml:space="preserve">Maiti S, et al. Prevalence and risk factors of GERD in rural Bihar, India: A cross-sectional study. </w:t>
      </w:r>
      <w:r w:rsidRPr="004820DA">
        <w:rPr>
          <w:rFonts w:ascii="Arial" w:hAnsi="Arial" w:cs="Arial"/>
          <w:i/>
          <w:iCs/>
          <w:sz w:val="20"/>
          <w:szCs w:val="20"/>
        </w:rPr>
        <w:t>J Family Med Prim Care.</w:t>
      </w:r>
      <w:r w:rsidRPr="004820DA">
        <w:rPr>
          <w:rFonts w:ascii="Arial" w:hAnsi="Arial" w:cs="Arial"/>
          <w:sz w:val="20"/>
          <w:szCs w:val="20"/>
        </w:rPr>
        <w:t xml:space="preserve"> 2020;9(7):3672–3677.</w:t>
      </w:r>
    </w:p>
    <w:p w14:paraId="1B088A77" w14:textId="77777777" w:rsidR="009A5530" w:rsidRPr="004820DA" w:rsidRDefault="009A5530" w:rsidP="009A5530">
      <w:pPr>
        <w:pStyle w:val="ListParagraph"/>
        <w:numPr>
          <w:ilvl w:val="0"/>
          <w:numId w:val="6"/>
        </w:numPr>
        <w:spacing w:after="200" w:line="276" w:lineRule="auto"/>
        <w:jc w:val="both"/>
        <w:rPr>
          <w:rFonts w:ascii="Arial" w:hAnsi="Arial" w:cs="Arial"/>
          <w:sz w:val="20"/>
          <w:szCs w:val="20"/>
        </w:rPr>
      </w:pPr>
      <w:proofErr w:type="spellStart"/>
      <w:r w:rsidRPr="004820DA">
        <w:rPr>
          <w:rFonts w:ascii="Arial" w:hAnsi="Arial" w:cs="Arial"/>
          <w:sz w:val="20"/>
          <w:szCs w:val="20"/>
        </w:rPr>
        <w:t>Ethnologue</w:t>
      </w:r>
      <w:proofErr w:type="spellEnd"/>
      <w:r w:rsidRPr="004820DA">
        <w:rPr>
          <w:rFonts w:ascii="Arial" w:hAnsi="Arial" w:cs="Arial"/>
          <w:sz w:val="20"/>
          <w:szCs w:val="20"/>
        </w:rPr>
        <w:t>: Languages of the World. 26th ed. Dallas, Texas: SIL International; 2023. Bengali (ben).</w:t>
      </w:r>
    </w:p>
    <w:p w14:paraId="31B4B220" w14:textId="77777777" w:rsidR="009A5530" w:rsidRPr="004820DA" w:rsidRDefault="009A5530" w:rsidP="009A5530">
      <w:pPr>
        <w:pStyle w:val="ListParagraph"/>
        <w:numPr>
          <w:ilvl w:val="0"/>
          <w:numId w:val="6"/>
        </w:numPr>
        <w:rPr>
          <w:rFonts w:ascii="Arial" w:hAnsi="Arial" w:cs="Arial"/>
          <w:sz w:val="20"/>
          <w:szCs w:val="20"/>
        </w:rPr>
      </w:pPr>
      <w:r w:rsidRPr="004820DA">
        <w:rPr>
          <w:rFonts w:ascii="Arial" w:hAnsi="Arial" w:cs="Arial"/>
          <w:sz w:val="20"/>
          <w:szCs w:val="20"/>
        </w:rPr>
        <w:t xml:space="preserve">Wang HY, Leena KB, </w:t>
      </w:r>
      <w:proofErr w:type="spellStart"/>
      <w:r w:rsidRPr="004820DA">
        <w:rPr>
          <w:rFonts w:ascii="Arial" w:hAnsi="Arial" w:cs="Arial"/>
          <w:sz w:val="20"/>
          <w:szCs w:val="20"/>
        </w:rPr>
        <w:t>Plymoth</w:t>
      </w:r>
      <w:proofErr w:type="spellEnd"/>
      <w:r w:rsidRPr="004820DA">
        <w:rPr>
          <w:rFonts w:ascii="Arial" w:hAnsi="Arial" w:cs="Arial"/>
          <w:sz w:val="20"/>
          <w:szCs w:val="20"/>
        </w:rPr>
        <w:t xml:space="preserve"> A, </w:t>
      </w:r>
      <w:proofErr w:type="spellStart"/>
      <w:r w:rsidRPr="004820DA">
        <w:rPr>
          <w:rFonts w:ascii="Arial" w:hAnsi="Arial" w:cs="Arial"/>
          <w:sz w:val="20"/>
          <w:szCs w:val="20"/>
        </w:rPr>
        <w:t>Hergens</w:t>
      </w:r>
      <w:proofErr w:type="spellEnd"/>
      <w:r w:rsidRPr="004820DA">
        <w:rPr>
          <w:rFonts w:ascii="Arial" w:hAnsi="Arial" w:cs="Arial"/>
          <w:sz w:val="20"/>
          <w:szCs w:val="20"/>
        </w:rPr>
        <w:t xml:space="preserve"> MP, Yin L, Shenoy KT, Ye W. Prevalence of gastro-</w:t>
      </w:r>
      <w:proofErr w:type="spellStart"/>
      <w:r w:rsidRPr="004820DA">
        <w:rPr>
          <w:rFonts w:ascii="Arial" w:hAnsi="Arial" w:cs="Arial"/>
          <w:sz w:val="20"/>
          <w:szCs w:val="20"/>
        </w:rPr>
        <w:t>esophageal</w:t>
      </w:r>
      <w:proofErr w:type="spellEnd"/>
      <w:r w:rsidRPr="004820DA">
        <w:rPr>
          <w:rFonts w:ascii="Arial" w:hAnsi="Arial" w:cs="Arial"/>
          <w:sz w:val="20"/>
          <w:szCs w:val="20"/>
        </w:rPr>
        <w:t xml:space="preserve"> reflux disease and its risk factors in a community-based population in southern India. BMC Gastroenterol. 2016 Mar </w:t>
      </w:r>
      <w:proofErr w:type="gramStart"/>
      <w:r w:rsidRPr="004820DA">
        <w:rPr>
          <w:rFonts w:ascii="Arial" w:hAnsi="Arial" w:cs="Arial"/>
          <w:sz w:val="20"/>
          <w:szCs w:val="20"/>
        </w:rPr>
        <w:t>15;16:36</w:t>
      </w:r>
      <w:proofErr w:type="gramEnd"/>
      <w:r w:rsidRPr="004820DA">
        <w:rPr>
          <w:rFonts w:ascii="Arial" w:hAnsi="Arial" w:cs="Arial"/>
          <w:sz w:val="20"/>
          <w:szCs w:val="20"/>
        </w:rPr>
        <w:t xml:space="preserve">. </w:t>
      </w:r>
      <w:proofErr w:type="spellStart"/>
      <w:r w:rsidRPr="004820DA">
        <w:rPr>
          <w:rFonts w:ascii="Arial" w:hAnsi="Arial" w:cs="Arial"/>
          <w:sz w:val="20"/>
          <w:szCs w:val="20"/>
        </w:rPr>
        <w:t>doi</w:t>
      </w:r>
      <w:proofErr w:type="spellEnd"/>
      <w:r w:rsidRPr="004820DA">
        <w:rPr>
          <w:rFonts w:ascii="Arial" w:hAnsi="Arial" w:cs="Arial"/>
          <w:sz w:val="20"/>
          <w:szCs w:val="20"/>
        </w:rPr>
        <w:t>: 10.1186/s12876-016-0452-1. PMID: 26979399; PMCID: PMC4791779.</w:t>
      </w:r>
    </w:p>
    <w:p w14:paraId="7C22469E" w14:textId="77777777" w:rsidR="009A5530" w:rsidRPr="004820DA" w:rsidRDefault="009A5530" w:rsidP="009A5530">
      <w:pPr>
        <w:pStyle w:val="ListParagraph"/>
        <w:numPr>
          <w:ilvl w:val="0"/>
          <w:numId w:val="6"/>
        </w:numPr>
        <w:rPr>
          <w:rFonts w:ascii="Arial" w:hAnsi="Arial" w:cs="Arial"/>
          <w:sz w:val="20"/>
          <w:szCs w:val="20"/>
        </w:rPr>
      </w:pPr>
      <w:r w:rsidRPr="004820DA">
        <w:rPr>
          <w:rFonts w:ascii="Arial" w:hAnsi="Arial" w:cs="Arial"/>
          <w:sz w:val="20"/>
          <w:szCs w:val="20"/>
        </w:rPr>
        <w:t xml:space="preserve">Wong BC, Kinoshita Y. Systematic review on epidemiology of gastroesophageal reflux disease in Asia. Clin Gastroenterol Hepatol. 2006 Apr;4(4):398-407. </w:t>
      </w:r>
      <w:proofErr w:type="spellStart"/>
      <w:r w:rsidRPr="004820DA">
        <w:rPr>
          <w:rFonts w:ascii="Arial" w:hAnsi="Arial" w:cs="Arial"/>
          <w:sz w:val="20"/>
          <w:szCs w:val="20"/>
        </w:rPr>
        <w:t>doi</w:t>
      </w:r>
      <w:proofErr w:type="spellEnd"/>
      <w:r w:rsidRPr="004820DA">
        <w:rPr>
          <w:rFonts w:ascii="Arial" w:hAnsi="Arial" w:cs="Arial"/>
          <w:sz w:val="20"/>
          <w:szCs w:val="20"/>
        </w:rPr>
        <w:t>: 10.1016/j.cgh.2005.10.011. PMID: 16616342.</w:t>
      </w:r>
    </w:p>
    <w:p w14:paraId="49FC292A" w14:textId="77777777" w:rsidR="009A5530" w:rsidRPr="004820DA" w:rsidRDefault="009A5530" w:rsidP="009A5530">
      <w:pPr>
        <w:pStyle w:val="ListParagraph"/>
        <w:numPr>
          <w:ilvl w:val="0"/>
          <w:numId w:val="6"/>
        </w:numPr>
        <w:rPr>
          <w:rFonts w:ascii="Arial" w:hAnsi="Arial" w:cs="Arial"/>
          <w:sz w:val="20"/>
          <w:szCs w:val="20"/>
        </w:rPr>
      </w:pPr>
      <w:r w:rsidRPr="004820DA">
        <w:rPr>
          <w:rFonts w:ascii="Arial" w:hAnsi="Arial" w:cs="Arial"/>
          <w:sz w:val="20"/>
          <w:szCs w:val="20"/>
        </w:rPr>
        <w:t xml:space="preserve">Kumar S, </w:t>
      </w:r>
      <w:proofErr w:type="spellStart"/>
      <w:r w:rsidRPr="004820DA">
        <w:rPr>
          <w:rFonts w:ascii="Arial" w:hAnsi="Arial" w:cs="Arial"/>
          <w:sz w:val="20"/>
          <w:szCs w:val="20"/>
        </w:rPr>
        <w:t>Shivalli</w:t>
      </w:r>
      <w:proofErr w:type="spellEnd"/>
      <w:r w:rsidRPr="004820DA">
        <w:rPr>
          <w:rFonts w:ascii="Arial" w:hAnsi="Arial" w:cs="Arial"/>
          <w:sz w:val="20"/>
          <w:szCs w:val="20"/>
        </w:rPr>
        <w:t xml:space="preserve"> S. Prevalence, Perceptions and Profile of Gastroesophageal Reflux Disease in A Rural Population of North Bihar. Natl J Community Med [Internet]. 2014 Jun. 30 [cited 2025 Aug. 6];5(02):214-8. Available from: </w:t>
      </w:r>
      <w:hyperlink r:id="rId8" w:history="1">
        <w:r w:rsidRPr="004820DA">
          <w:rPr>
            <w:rStyle w:val="Hyperlink"/>
            <w:rFonts w:ascii="Arial" w:hAnsi="Arial" w:cs="Arial"/>
            <w:sz w:val="20"/>
            <w:szCs w:val="20"/>
          </w:rPr>
          <w:t>https://njcmindia.com/index.php/file/article/view/1367</w:t>
        </w:r>
      </w:hyperlink>
    </w:p>
    <w:p w14:paraId="0715E748" w14:textId="199CC4AB" w:rsidR="007204C1" w:rsidRPr="009A5530" w:rsidRDefault="009A5530" w:rsidP="009A5530">
      <w:pPr>
        <w:pStyle w:val="ListParagraph"/>
        <w:numPr>
          <w:ilvl w:val="0"/>
          <w:numId w:val="6"/>
        </w:numPr>
        <w:rPr>
          <w:rFonts w:ascii="Times New Roman" w:hAnsi="Times New Roman" w:cs="Times New Roman"/>
        </w:rPr>
      </w:pPr>
      <w:r w:rsidRPr="004820DA">
        <w:rPr>
          <w:rFonts w:ascii="Arial" w:hAnsi="Arial" w:cs="Arial"/>
          <w:sz w:val="20"/>
          <w:szCs w:val="20"/>
        </w:rPr>
        <w:t xml:space="preserve">Wang HY, Leena KB, </w:t>
      </w:r>
      <w:proofErr w:type="spellStart"/>
      <w:r w:rsidRPr="004820DA">
        <w:rPr>
          <w:rFonts w:ascii="Arial" w:hAnsi="Arial" w:cs="Arial"/>
          <w:sz w:val="20"/>
          <w:szCs w:val="20"/>
        </w:rPr>
        <w:t>Plymoth</w:t>
      </w:r>
      <w:proofErr w:type="spellEnd"/>
      <w:r w:rsidRPr="004820DA">
        <w:rPr>
          <w:rFonts w:ascii="Arial" w:hAnsi="Arial" w:cs="Arial"/>
          <w:sz w:val="20"/>
          <w:szCs w:val="20"/>
        </w:rPr>
        <w:t xml:space="preserve"> A, </w:t>
      </w:r>
      <w:proofErr w:type="spellStart"/>
      <w:r w:rsidRPr="004820DA">
        <w:rPr>
          <w:rFonts w:ascii="Arial" w:hAnsi="Arial" w:cs="Arial"/>
          <w:sz w:val="20"/>
          <w:szCs w:val="20"/>
        </w:rPr>
        <w:t>Hergens</w:t>
      </w:r>
      <w:proofErr w:type="spellEnd"/>
      <w:r w:rsidRPr="004820DA">
        <w:rPr>
          <w:rFonts w:ascii="Arial" w:hAnsi="Arial" w:cs="Arial"/>
          <w:sz w:val="20"/>
          <w:szCs w:val="20"/>
        </w:rPr>
        <w:t xml:space="preserve"> MP, Yin L, Shenoy KT, Ye W. Prevalence of gastro-</w:t>
      </w:r>
      <w:proofErr w:type="spellStart"/>
      <w:r w:rsidRPr="004820DA">
        <w:rPr>
          <w:rFonts w:ascii="Arial" w:hAnsi="Arial" w:cs="Arial"/>
          <w:sz w:val="20"/>
          <w:szCs w:val="20"/>
        </w:rPr>
        <w:t>esophageal</w:t>
      </w:r>
      <w:proofErr w:type="spellEnd"/>
      <w:r w:rsidRPr="004820DA">
        <w:rPr>
          <w:rFonts w:ascii="Arial" w:hAnsi="Arial" w:cs="Arial"/>
          <w:sz w:val="20"/>
          <w:szCs w:val="20"/>
        </w:rPr>
        <w:t xml:space="preserve"> reflux disease and its risk factors in a community-based population in southern India. BMC Gastroenterol. 2016 Mar </w:t>
      </w:r>
      <w:proofErr w:type="gramStart"/>
      <w:r w:rsidRPr="004820DA">
        <w:rPr>
          <w:rFonts w:ascii="Arial" w:hAnsi="Arial" w:cs="Arial"/>
          <w:sz w:val="20"/>
          <w:szCs w:val="20"/>
        </w:rPr>
        <w:t>15;16:36</w:t>
      </w:r>
      <w:proofErr w:type="gramEnd"/>
      <w:r w:rsidRPr="004820DA">
        <w:rPr>
          <w:rFonts w:ascii="Arial" w:hAnsi="Arial" w:cs="Arial"/>
          <w:sz w:val="20"/>
          <w:szCs w:val="20"/>
        </w:rPr>
        <w:t xml:space="preserve">. </w:t>
      </w:r>
      <w:proofErr w:type="spellStart"/>
      <w:r w:rsidRPr="004820DA">
        <w:rPr>
          <w:rFonts w:ascii="Arial" w:hAnsi="Arial" w:cs="Arial"/>
          <w:sz w:val="20"/>
          <w:szCs w:val="20"/>
        </w:rPr>
        <w:t>doi</w:t>
      </w:r>
      <w:proofErr w:type="spellEnd"/>
      <w:r w:rsidRPr="004820DA">
        <w:rPr>
          <w:rFonts w:ascii="Arial" w:hAnsi="Arial" w:cs="Arial"/>
          <w:sz w:val="20"/>
          <w:szCs w:val="20"/>
        </w:rPr>
        <w:t>: 10.1186/s12876-016-0452-1. PMID: 26979399; PMCID: PMC4791779.</w:t>
      </w:r>
    </w:p>
    <w:sectPr w:rsidR="007204C1" w:rsidRPr="009A5530" w:rsidSect="00F342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21AF3" w14:textId="77777777" w:rsidR="00AC3012" w:rsidRDefault="00AC3012" w:rsidP="00841477">
      <w:pPr>
        <w:spacing w:after="0" w:line="240" w:lineRule="auto"/>
      </w:pPr>
      <w:r>
        <w:separator/>
      </w:r>
    </w:p>
  </w:endnote>
  <w:endnote w:type="continuationSeparator" w:id="0">
    <w:p w14:paraId="1C090AF8" w14:textId="77777777" w:rsidR="00AC3012" w:rsidRDefault="00AC3012" w:rsidP="00841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B270" w14:textId="77777777" w:rsidR="00F342CD" w:rsidRDefault="00F34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D2307" w14:textId="77777777" w:rsidR="00F342CD" w:rsidRDefault="00F34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590B" w14:textId="77777777" w:rsidR="00F342CD" w:rsidRDefault="00F3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58487" w14:textId="77777777" w:rsidR="00AC3012" w:rsidRDefault="00AC3012" w:rsidP="00841477">
      <w:pPr>
        <w:spacing w:after="0" w:line="240" w:lineRule="auto"/>
      </w:pPr>
      <w:r>
        <w:separator/>
      </w:r>
    </w:p>
  </w:footnote>
  <w:footnote w:type="continuationSeparator" w:id="0">
    <w:p w14:paraId="3A7B42E1" w14:textId="77777777" w:rsidR="00AC3012" w:rsidRDefault="00AC3012" w:rsidP="00841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86D57" w14:textId="2CBD181E" w:rsidR="00F342CD" w:rsidRDefault="00F342CD">
    <w:pPr>
      <w:pStyle w:val="Header"/>
    </w:pPr>
    <w:r>
      <w:rPr>
        <w:noProof/>
      </w:rPr>
      <w:pict w14:anchorId="65D4B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006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25D0D" w14:textId="670A271E" w:rsidR="00F342CD" w:rsidRDefault="00F342CD">
    <w:pPr>
      <w:pStyle w:val="Header"/>
    </w:pPr>
    <w:r>
      <w:rPr>
        <w:noProof/>
      </w:rPr>
      <w:pict w14:anchorId="7E1E2F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006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4FB29" w14:textId="4D26DBB6" w:rsidR="00F342CD" w:rsidRDefault="00F342CD">
    <w:pPr>
      <w:pStyle w:val="Header"/>
    </w:pPr>
    <w:r>
      <w:rPr>
        <w:noProof/>
      </w:rPr>
      <w:pict w14:anchorId="0AD94B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7006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4FD"/>
    <w:multiLevelType w:val="hybridMultilevel"/>
    <w:tmpl w:val="F4E4615A"/>
    <w:lvl w:ilvl="0" w:tplc="ADA2BC00">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A9F702D"/>
    <w:multiLevelType w:val="hybridMultilevel"/>
    <w:tmpl w:val="6E228E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C261F17"/>
    <w:multiLevelType w:val="hybridMultilevel"/>
    <w:tmpl w:val="873EB9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4A34443"/>
    <w:multiLevelType w:val="hybridMultilevel"/>
    <w:tmpl w:val="22A8E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2304CD"/>
    <w:multiLevelType w:val="hybridMultilevel"/>
    <w:tmpl w:val="B002D71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D09739D"/>
    <w:multiLevelType w:val="hybridMultilevel"/>
    <w:tmpl w:val="27D4526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05619A1"/>
    <w:multiLevelType w:val="multilevel"/>
    <w:tmpl w:val="D972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DB"/>
    <w:rsid w:val="00081576"/>
    <w:rsid w:val="000A024E"/>
    <w:rsid w:val="000D29C1"/>
    <w:rsid w:val="000D3B9E"/>
    <w:rsid w:val="00105DF0"/>
    <w:rsid w:val="00157C1A"/>
    <w:rsid w:val="001C5F4B"/>
    <w:rsid w:val="00334EA6"/>
    <w:rsid w:val="00342404"/>
    <w:rsid w:val="003D5400"/>
    <w:rsid w:val="004820DA"/>
    <w:rsid w:val="00501152"/>
    <w:rsid w:val="00535D74"/>
    <w:rsid w:val="00565FB1"/>
    <w:rsid w:val="006313DB"/>
    <w:rsid w:val="007204C1"/>
    <w:rsid w:val="0072435A"/>
    <w:rsid w:val="007439DC"/>
    <w:rsid w:val="007C6547"/>
    <w:rsid w:val="00841477"/>
    <w:rsid w:val="00857585"/>
    <w:rsid w:val="00870159"/>
    <w:rsid w:val="00881D8A"/>
    <w:rsid w:val="0088711B"/>
    <w:rsid w:val="008B76D1"/>
    <w:rsid w:val="008C7217"/>
    <w:rsid w:val="008E2CB2"/>
    <w:rsid w:val="0099773A"/>
    <w:rsid w:val="009A5530"/>
    <w:rsid w:val="009B3BC1"/>
    <w:rsid w:val="009C4B8A"/>
    <w:rsid w:val="009F7873"/>
    <w:rsid w:val="00A3352C"/>
    <w:rsid w:val="00A57EE6"/>
    <w:rsid w:val="00A87745"/>
    <w:rsid w:val="00A91126"/>
    <w:rsid w:val="00AA15D3"/>
    <w:rsid w:val="00AC3012"/>
    <w:rsid w:val="00AE4F4B"/>
    <w:rsid w:val="00AF298B"/>
    <w:rsid w:val="00C6227B"/>
    <w:rsid w:val="00CC2898"/>
    <w:rsid w:val="00D12C05"/>
    <w:rsid w:val="00D30C86"/>
    <w:rsid w:val="00DB7690"/>
    <w:rsid w:val="00E202E9"/>
    <w:rsid w:val="00E24806"/>
    <w:rsid w:val="00E840C0"/>
    <w:rsid w:val="00F10B00"/>
    <w:rsid w:val="00F342CD"/>
    <w:rsid w:val="00F72808"/>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9B6E61"/>
  <w15:chartTrackingRefBased/>
  <w15:docId w15:val="{49642250-B2A4-4BBE-80D3-B01CD41C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4C1"/>
    <w:rPr>
      <w:rFonts w:ascii="Calibri" w:eastAsia="Calibri" w:hAnsi="Calibri" w:cs="Vrinda"/>
      <w14:ligatures w14:val="none"/>
    </w:rPr>
  </w:style>
  <w:style w:type="paragraph" w:styleId="Heading1">
    <w:name w:val="heading 1"/>
    <w:basedOn w:val="Normal"/>
    <w:next w:val="Normal"/>
    <w:link w:val="Heading1Char"/>
    <w:uiPriority w:val="9"/>
    <w:qFormat/>
    <w:rsid w:val="006313D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313D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313D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31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1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1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3D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313D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313D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31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1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1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3DB"/>
    <w:rPr>
      <w:rFonts w:eastAsiaTheme="majorEastAsia" w:cstheme="majorBidi"/>
      <w:color w:val="272727" w:themeColor="text1" w:themeTint="D8"/>
    </w:rPr>
  </w:style>
  <w:style w:type="paragraph" w:styleId="Title">
    <w:name w:val="Title"/>
    <w:basedOn w:val="Normal"/>
    <w:next w:val="Normal"/>
    <w:link w:val="TitleChar"/>
    <w:uiPriority w:val="10"/>
    <w:qFormat/>
    <w:rsid w:val="006313D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313D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313D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313D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313DB"/>
    <w:pPr>
      <w:spacing w:before="160"/>
      <w:jc w:val="center"/>
    </w:pPr>
    <w:rPr>
      <w:i/>
      <w:iCs/>
      <w:color w:val="404040" w:themeColor="text1" w:themeTint="BF"/>
    </w:rPr>
  </w:style>
  <w:style w:type="character" w:customStyle="1" w:styleId="QuoteChar">
    <w:name w:val="Quote Char"/>
    <w:basedOn w:val="DefaultParagraphFont"/>
    <w:link w:val="Quote"/>
    <w:uiPriority w:val="29"/>
    <w:rsid w:val="006313DB"/>
    <w:rPr>
      <w:i/>
      <w:iCs/>
      <w:color w:val="404040" w:themeColor="text1" w:themeTint="BF"/>
    </w:rPr>
  </w:style>
  <w:style w:type="paragraph" w:styleId="ListParagraph">
    <w:name w:val="List Paragraph"/>
    <w:basedOn w:val="Normal"/>
    <w:uiPriority w:val="34"/>
    <w:qFormat/>
    <w:rsid w:val="006313DB"/>
    <w:pPr>
      <w:ind w:left="720"/>
      <w:contextualSpacing/>
    </w:pPr>
  </w:style>
  <w:style w:type="character" w:styleId="IntenseEmphasis">
    <w:name w:val="Intense Emphasis"/>
    <w:basedOn w:val="DefaultParagraphFont"/>
    <w:uiPriority w:val="21"/>
    <w:qFormat/>
    <w:rsid w:val="006313DB"/>
    <w:rPr>
      <w:i/>
      <w:iCs/>
      <w:color w:val="2F5496" w:themeColor="accent1" w:themeShade="BF"/>
    </w:rPr>
  </w:style>
  <w:style w:type="paragraph" w:styleId="IntenseQuote">
    <w:name w:val="Intense Quote"/>
    <w:basedOn w:val="Normal"/>
    <w:next w:val="Normal"/>
    <w:link w:val="IntenseQuoteChar"/>
    <w:uiPriority w:val="30"/>
    <w:qFormat/>
    <w:rsid w:val="00631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13DB"/>
    <w:rPr>
      <w:i/>
      <w:iCs/>
      <w:color w:val="2F5496" w:themeColor="accent1" w:themeShade="BF"/>
    </w:rPr>
  </w:style>
  <w:style w:type="character" w:styleId="IntenseReference">
    <w:name w:val="Intense Reference"/>
    <w:basedOn w:val="DefaultParagraphFont"/>
    <w:uiPriority w:val="32"/>
    <w:qFormat/>
    <w:rsid w:val="006313DB"/>
    <w:rPr>
      <w:b/>
      <w:bCs/>
      <w:smallCaps/>
      <w:color w:val="2F5496" w:themeColor="accent1" w:themeShade="BF"/>
      <w:spacing w:val="5"/>
    </w:rPr>
  </w:style>
  <w:style w:type="paragraph" w:customStyle="1" w:styleId="Normal1">
    <w:name w:val="Normal1"/>
    <w:rsid w:val="00E840C0"/>
    <w:pPr>
      <w:spacing w:after="0" w:line="276" w:lineRule="auto"/>
    </w:pPr>
    <w:rPr>
      <w:rFonts w:ascii="Arial" w:eastAsia="Arial" w:hAnsi="Arial" w:cs="Arial"/>
      <w:kern w:val="0"/>
      <w:sz w:val="22"/>
      <w:szCs w:val="22"/>
      <w:lang w:val="en-US" w:bidi="hi-IN"/>
      <w14:ligatures w14:val="none"/>
    </w:rPr>
  </w:style>
  <w:style w:type="paragraph" w:styleId="NormalWeb">
    <w:name w:val="Normal (Web)"/>
    <w:basedOn w:val="Normal"/>
    <w:uiPriority w:val="99"/>
    <w:semiHidden/>
    <w:unhideWhenUsed/>
    <w:rsid w:val="00E840C0"/>
    <w:pPr>
      <w:spacing w:before="100" w:beforeAutospacing="1" w:after="100" w:afterAutospacing="1" w:line="240" w:lineRule="auto"/>
    </w:pPr>
    <w:rPr>
      <w:rFonts w:ascii="Times New Roman" w:eastAsia="Times New Roman" w:hAnsi="Times New Roman" w:cs="Times New Roman"/>
      <w:kern w:val="0"/>
      <w:szCs w:val="24"/>
      <w:lang w:eastAsia="en-IN"/>
    </w:rPr>
  </w:style>
  <w:style w:type="table" w:styleId="TableGrid">
    <w:name w:val="Table Grid"/>
    <w:basedOn w:val="TableNormal"/>
    <w:uiPriority w:val="39"/>
    <w:rsid w:val="0074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204C1"/>
    <w:rPr>
      <w:color w:val="0563C1"/>
      <w:u w:val="single"/>
    </w:rPr>
  </w:style>
  <w:style w:type="character" w:styleId="LineNumber">
    <w:name w:val="line number"/>
    <w:basedOn w:val="DefaultParagraphFont"/>
    <w:uiPriority w:val="99"/>
    <w:semiHidden/>
    <w:unhideWhenUsed/>
    <w:rsid w:val="000D29C1"/>
  </w:style>
  <w:style w:type="paragraph" w:styleId="Header">
    <w:name w:val="header"/>
    <w:basedOn w:val="Normal"/>
    <w:link w:val="HeaderChar"/>
    <w:uiPriority w:val="99"/>
    <w:unhideWhenUsed/>
    <w:rsid w:val="00841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477"/>
    <w:rPr>
      <w:rFonts w:ascii="Calibri" w:eastAsia="Calibri" w:hAnsi="Calibri" w:cs="Vrinda"/>
      <w14:ligatures w14:val="none"/>
    </w:rPr>
  </w:style>
  <w:style w:type="paragraph" w:styleId="Footer">
    <w:name w:val="footer"/>
    <w:basedOn w:val="Normal"/>
    <w:link w:val="FooterChar"/>
    <w:uiPriority w:val="99"/>
    <w:unhideWhenUsed/>
    <w:rsid w:val="00841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477"/>
    <w:rPr>
      <w:rFonts w:ascii="Calibri" w:eastAsia="Calibri" w:hAnsi="Calibri" w:cs="Vrinda"/>
      <w14:ligatures w14:val="none"/>
    </w:rPr>
  </w:style>
  <w:style w:type="character" w:styleId="UnresolvedMention">
    <w:name w:val="Unresolved Mention"/>
    <w:basedOn w:val="DefaultParagraphFont"/>
    <w:uiPriority w:val="99"/>
    <w:semiHidden/>
    <w:unhideWhenUsed/>
    <w:rsid w:val="00841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cmindia.com/index.php/file/article/view/136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B409E-8E86-42EA-9052-F79766204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Rayba Khatoon</dc:creator>
  <cp:keywords/>
  <dc:description/>
  <cp:lastModifiedBy>SDI 1084</cp:lastModifiedBy>
  <cp:revision>35</cp:revision>
  <dcterms:created xsi:type="dcterms:W3CDTF">2025-09-28T13:31:00Z</dcterms:created>
  <dcterms:modified xsi:type="dcterms:W3CDTF">2025-10-24T07:21:00Z</dcterms:modified>
</cp:coreProperties>
</file>