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A9919" w14:textId="77777777" w:rsidR="00346F52" w:rsidRDefault="00346F52" w:rsidP="003C4029">
      <w:pPr>
        <w:tabs>
          <w:tab w:val="left" w:pos="470"/>
        </w:tabs>
        <w:rPr>
          <w:color w:val="000000" w:themeColor="text1"/>
        </w:rPr>
      </w:pPr>
      <w:r w:rsidRPr="00346F52">
        <w:rPr>
          <w:color w:val="000000" w:themeColor="text1"/>
        </w:rPr>
        <w:t>Original Research Article</w:t>
      </w:r>
    </w:p>
    <w:p w14:paraId="6B347B05" w14:textId="3BCA5A65" w:rsidR="003C4029" w:rsidRPr="00FE60F9" w:rsidRDefault="003C4029" w:rsidP="003C4029">
      <w:pPr>
        <w:tabs>
          <w:tab w:val="left" w:pos="470"/>
        </w:tabs>
        <w:rPr>
          <w:color w:val="00B050"/>
        </w:rPr>
      </w:pPr>
      <w:r>
        <w:rPr>
          <w:color w:val="00B050"/>
        </w:rPr>
        <w:tab/>
      </w:r>
    </w:p>
    <w:p w14:paraId="576053E5" w14:textId="77777777" w:rsidR="003C4029" w:rsidRDefault="003C4029" w:rsidP="003C4029">
      <w:pPr>
        <w:spacing w:before="100" w:line="480" w:lineRule="auto"/>
        <w:rPr>
          <w:rFonts w:ascii="Times New Roman" w:hAnsi="Times New Roman" w:cs="Times New Roman"/>
          <w:b/>
          <w:bCs/>
          <w:sz w:val="24"/>
          <w:szCs w:val="24"/>
          <w:lang w:val="en-US"/>
        </w:rPr>
      </w:pPr>
      <w:r w:rsidRPr="003C4029">
        <w:rPr>
          <w:rFonts w:ascii="Times New Roman" w:eastAsia="Calibri" w:hAnsi="Times New Roman" w:cs="Times New Roman"/>
          <w:b/>
          <w:kern w:val="0"/>
          <w:sz w:val="24"/>
          <w:szCs w:val="24"/>
          <w:lang w:val="en-US"/>
        </w:rPr>
        <w:t xml:space="preserve">CORRELATION OF DETRUSOR WALL THICKNESS WITH INTERNATIONAL PROSTATE SYMPTOM SCORE IN MEN WITH LOWER URINARY TRACT SYMPTOMS </w:t>
      </w:r>
      <w:r w:rsidRPr="003C4029">
        <w:rPr>
          <w:rFonts w:ascii="Times New Roman" w:hAnsi="Times New Roman" w:cs="Times New Roman"/>
          <w:b/>
          <w:bCs/>
          <w:sz w:val="24"/>
          <w:szCs w:val="24"/>
          <w:lang w:val="en-US"/>
        </w:rPr>
        <w:t xml:space="preserve"> </w:t>
      </w:r>
    </w:p>
    <w:p w14:paraId="257F5362" w14:textId="77777777" w:rsidR="00A7796D" w:rsidRPr="003C4029" w:rsidRDefault="00A7796D" w:rsidP="003C4029">
      <w:pPr>
        <w:spacing w:before="100" w:line="480" w:lineRule="auto"/>
        <w:rPr>
          <w:rFonts w:ascii="Times New Roman" w:hAnsi="Times New Roman" w:cs="Times New Roman"/>
          <w:b/>
          <w:bCs/>
          <w:sz w:val="24"/>
          <w:szCs w:val="24"/>
          <w:lang w:val="en-US"/>
        </w:rPr>
      </w:pPr>
    </w:p>
    <w:p w14:paraId="484CFCD4" w14:textId="77777777" w:rsidR="000E4DFA" w:rsidRDefault="002F21A7" w:rsidP="005C3120">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4C8C374B" w14:textId="77777777" w:rsidR="00661B97" w:rsidRPr="00864762" w:rsidRDefault="00864762" w:rsidP="005C3120">
      <w:pPr>
        <w:tabs>
          <w:tab w:val="left" w:pos="2129"/>
        </w:tabs>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Background: </w:t>
      </w:r>
      <w:r w:rsidR="002F21A7">
        <w:rPr>
          <w:rFonts w:ascii="Times New Roman" w:hAnsi="Times New Roman" w:cs="Times New Roman"/>
          <w:sz w:val="24"/>
          <w:szCs w:val="24"/>
        </w:rPr>
        <w:t xml:space="preserve">Lower urinary tract symptoms </w:t>
      </w:r>
      <w:r w:rsidR="009C2323">
        <w:rPr>
          <w:rFonts w:ascii="Times New Roman" w:hAnsi="Times New Roman" w:cs="Times New Roman"/>
          <w:sz w:val="24"/>
          <w:szCs w:val="24"/>
        </w:rPr>
        <w:t xml:space="preserve">(LUTS) </w:t>
      </w:r>
      <w:r w:rsidR="002F21A7">
        <w:rPr>
          <w:rFonts w:ascii="Times New Roman" w:hAnsi="Times New Roman" w:cs="Times New Roman"/>
          <w:sz w:val="24"/>
          <w:szCs w:val="24"/>
        </w:rPr>
        <w:t>are major causes of morbidity in men aged 50 years</w:t>
      </w:r>
      <w:r w:rsidR="002F21A7">
        <w:rPr>
          <w:rFonts w:ascii="Times New Roman" w:hAnsi="Times New Roman" w:cs="Times New Roman"/>
          <w:sz w:val="24"/>
          <w:szCs w:val="24"/>
          <w:lang w:val="en-US"/>
        </w:rPr>
        <w:t xml:space="preserve"> </w:t>
      </w:r>
      <w:r w:rsidR="009C2323">
        <w:rPr>
          <w:rFonts w:ascii="Times New Roman" w:hAnsi="Times New Roman" w:cs="Times New Roman"/>
          <w:sz w:val="24"/>
          <w:szCs w:val="24"/>
          <w:lang w:val="en-US"/>
        </w:rPr>
        <w:t xml:space="preserve">and </w:t>
      </w:r>
      <w:r w:rsidR="002F21A7">
        <w:rPr>
          <w:rFonts w:ascii="Times New Roman" w:hAnsi="Times New Roman" w:cs="Times New Roman"/>
          <w:sz w:val="24"/>
          <w:szCs w:val="24"/>
          <w:lang w:val="en-US"/>
        </w:rPr>
        <w:t>above</w:t>
      </w:r>
      <w:r w:rsidR="002F21A7">
        <w:rPr>
          <w:rFonts w:ascii="Times New Roman" w:hAnsi="Times New Roman" w:cs="Times New Roman"/>
          <w:sz w:val="24"/>
          <w:szCs w:val="24"/>
        </w:rPr>
        <w:t xml:space="preserve">. The LUTS causes reduced quality of life </w:t>
      </w:r>
      <w:r w:rsidR="002F21A7">
        <w:rPr>
          <w:rFonts w:ascii="Times New Roman" w:hAnsi="Times New Roman" w:cs="Times New Roman"/>
          <w:sz w:val="24"/>
          <w:szCs w:val="24"/>
          <w:lang w:val="en-US"/>
        </w:rPr>
        <w:t>with attendant</w:t>
      </w:r>
      <w:r w:rsidR="002F21A7">
        <w:rPr>
          <w:rFonts w:ascii="Times New Roman" w:hAnsi="Times New Roman" w:cs="Times New Roman"/>
          <w:sz w:val="24"/>
          <w:szCs w:val="24"/>
        </w:rPr>
        <w:t xml:space="preserve"> loss of economic activities</w:t>
      </w:r>
      <w:r w:rsidR="002F21A7">
        <w:rPr>
          <w:rFonts w:ascii="Times New Roman" w:hAnsi="Times New Roman" w:cs="Times New Roman"/>
          <w:sz w:val="24"/>
          <w:szCs w:val="24"/>
          <w:lang w:val="en-US"/>
        </w:rPr>
        <w:t xml:space="preserve">. </w:t>
      </w:r>
      <w:r w:rsidR="002F21A7">
        <w:rPr>
          <w:rFonts w:ascii="Times New Roman" w:hAnsi="Times New Roman" w:cs="Times New Roman"/>
          <w:sz w:val="24"/>
          <w:szCs w:val="24"/>
        </w:rPr>
        <w:t>Bladder outlet obstruction is an important cause of LUTS.</w:t>
      </w:r>
      <w:r>
        <w:rPr>
          <w:rFonts w:ascii="Times New Roman" w:hAnsi="Times New Roman" w:cs="Times New Roman"/>
          <w:b/>
          <w:bCs/>
          <w:sz w:val="24"/>
          <w:szCs w:val="24"/>
          <w:lang w:val="en-US"/>
        </w:rPr>
        <w:t xml:space="preserve"> </w:t>
      </w:r>
      <w:r w:rsidR="002F21A7">
        <w:rPr>
          <w:rFonts w:ascii="Times New Roman" w:hAnsi="Times New Roman" w:cs="Times New Roman"/>
          <w:sz w:val="24"/>
          <w:szCs w:val="24"/>
        </w:rPr>
        <w:t>Urodynamic</w:t>
      </w:r>
      <w:r w:rsidR="009C2323">
        <w:rPr>
          <w:rFonts w:ascii="Times New Roman" w:hAnsi="Times New Roman" w:cs="Times New Roman"/>
          <w:sz w:val="24"/>
          <w:szCs w:val="24"/>
        </w:rPr>
        <w:t xml:space="preserve"> studies is the gold standard for the investigation of </w:t>
      </w:r>
      <w:r w:rsidR="002F21A7">
        <w:rPr>
          <w:rFonts w:ascii="Times New Roman" w:hAnsi="Times New Roman" w:cs="Times New Roman"/>
          <w:sz w:val="24"/>
          <w:szCs w:val="24"/>
        </w:rPr>
        <w:t xml:space="preserve">men with LUTS, but this is invasive, costly, time consuming and needs expertise to carry out. One of the </w:t>
      </w:r>
      <w:r w:rsidR="009C2323">
        <w:rPr>
          <w:rFonts w:ascii="Times New Roman" w:hAnsi="Times New Roman" w:cs="Times New Roman"/>
          <w:sz w:val="24"/>
          <w:szCs w:val="24"/>
        </w:rPr>
        <w:t>remodelling</w:t>
      </w:r>
      <w:r w:rsidR="002F21A7">
        <w:rPr>
          <w:rFonts w:ascii="Times New Roman" w:hAnsi="Times New Roman" w:cs="Times New Roman"/>
          <w:sz w:val="24"/>
          <w:szCs w:val="24"/>
        </w:rPr>
        <w:t xml:space="preserve"> that </w:t>
      </w:r>
      <w:r w:rsidR="003C4029">
        <w:rPr>
          <w:rFonts w:ascii="Times New Roman" w:hAnsi="Times New Roman" w:cs="Times New Roman"/>
          <w:sz w:val="24"/>
          <w:szCs w:val="24"/>
        </w:rPr>
        <w:t>the bladder undergoes in LUTS</w:t>
      </w:r>
      <w:r w:rsidR="009C2323">
        <w:rPr>
          <w:rFonts w:ascii="Times New Roman" w:hAnsi="Times New Roman" w:cs="Times New Roman"/>
          <w:sz w:val="24"/>
          <w:szCs w:val="24"/>
        </w:rPr>
        <w:t xml:space="preserve"> is change</w:t>
      </w:r>
      <w:r w:rsidR="002F21A7">
        <w:rPr>
          <w:rFonts w:ascii="Times New Roman" w:hAnsi="Times New Roman" w:cs="Times New Roman"/>
          <w:sz w:val="24"/>
          <w:szCs w:val="24"/>
        </w:rPr>
        <w:t xml:space="preserve"> in det</w:t>
      </w:r>
      <w:proofErr w:type="spellStart"/>
      <w:r w:rsidR="002F21A7">
        <w:rPr>
          <w:rFonts w:ascii="Times New Roman" w:hAnsi="Times New Roman" w:cs="Times New Roman"/>
          <w:sz w:val="24"/>
          <w:szCs w:val="24"/>
          <w:lang w:val="en-US"/>
        </w:rPr>
        <w:t>ru</w:t>
      </w:r>
      <w:r w:rsidR="002F21A7">
        <w:rPr>
          <w:rFonts w:ascii="Times New Roman" w:hAnsi="Times New Roman" w:cs="Times New Roman"/>
          <w:sz w:val="24"/>
          <w:szCs w:val="24"/>
        </w:rPr>
        <w:t>sor</w:t>
      </w:r>
      <w:proofErr w:type="spellEnd"/>
      <w:r w:rsidR="002F21A7">
        <w:rPr>
          <w:rFonts w:ascii="Times New Roman" w:hAnsi="Times New Roman" w:cs="Times New Roman"/>
          <w:sz w:val="24"/>
          <w:szCs w:val="24"/>
          <w:lang w:val="en-US"/>
        </w:rPr>
        <w:t xml:space="preserve"> muscle</w:t>
      </w:r>
      <w:r w:rsidR="00843368">
        <w:rPr>
          <w:rFonts w:ascii="Times New Roman" w:hAnsi="Times New Roman" w:cs="Times New Roman"/>
          <w:sz w:val="24"/>
          <w:szCs w:val="24"/>
          <w:lang w:val="en-US"/>
        </w:rPr>
        <w:t xml:space="preserve"> </w:t>
      </w:r>
      <w:r w:rsidR="002F21A7">
        <w:rPr>
          <w:rFonts w:ascii="Times New Roman" w:hAnsi="Times New Roman" w:cs="Times New Roman"/>
          <w:sz w:val="24"/>
          <w:szCs w:val="24"/>
          <w:lang w:val="en-US"/>
        </w:rPr>
        <w:t>/</w:t>
      </w:r>
      <w:r w:rsidR="002F21A7">
        <w:rPr>
          <w:rFonts w:ascii="Times New Roman" w:hAnsi="Times New Roman" w:cs="Times New Roman"/>
          <w:sz w:val="24"/>
          <w:szCs w:val="24"/>
        </w:rPr>
        <w:t xml:space="preserve"> wall thickness</w:t>
      </w:r>
      <w:r w:rsidR="00843368">
        <w:rPr>
          <w:rFonts w:ascii="Times New Roman" w:hAnsi="Times New Roman" w:cs="Times New Roman"/>
          <w:sz w:val="24"/>
          <w:szCs w:val="24"/>
        </w:rPr>
        <w:t xml:space="preserve"> (DWT)</w:t>
      </w:r>
      <w:r w:rsidR="00C21F12">
        <w:rPr>
          <w:rFonts w:ascii="Times New Roman" w:hAnsi="Times New Roman" w:cs="Times New Roman"/>
          <w:sz w:val="24"/>
          <w:szCs w:val="24"/>
        </w:rPr>
        <w:t xml:space="preserve">, which can </w:t>
      </w:r>
      <w:r w:rsidR="002F21A7">
        <w:rPr>
          <w:rFonts w:ascii="Times New Roman" w:hAnsi="Times New Roman" w:cs="Times New Roman"/>
          <w:sz w:val="24"/>
          <w:szCs w:val="24"/>
        </w:rPr>
        <w:t>be investigated by ultrasound</w:t>
      </w:r>
      <w:r w:rsidR="003D5C71">
        <w:rPr>
          <w:rFonts w:ascii="Times New Roman" w:hAnsi="Times New Roman" w:cs="Times New Roman"/>
          <w:sz w:val="24"/>
          <w:szCs w:val="24"/>
        </w:rPr>
        <w:t xml:space="preserve">. </w:t>
      </w:r>
      <w:r w:rsidR="002F21A7">
        <w:rPr>
          <w:rFonts w:ascii="Times New Roman" w:hAnsi="Times New Roman" w:cs="Times New Roman"/>
          <w:sz w:val="24"/>
          <w:szCs w:val="24"/>
        </w:rPr>
        <w:t>LU</w:t>
      </w:r>
      <w:r w:rsidR="002F21A7">
        <w:rPr>
          <w:rFonts w:ascii="Times New Roman" w:hAnsi="Times New Roman" w:cs="Times New Roman"/>
          <w:sz w:val="24"/>
          <w:szCs w:val="24"/>
          <w:lang w:val="en-US"/>
        </w:rPr>
        <w:t>T</w:t>
      </w:r>
      <w:r w:rsidR="002F21A7">
        <w:rPr>
          <w:rFonts w:ascii="Times New Roman" w:hAnsi="Times New Roman" w:cs="Times New Roman"/>
          <w:sz w:val="24"/>
          <w:szCs w:val="24"/>
        </w:rPr>
        <w:t xml:space="preserve">S are assessed using </w:t>
      </w:r>
      <w:r w:rsidR="009C2323" w:rsidRPr="00C21F12">
        <w:rPr>
          <w:rFonts w:ascii="Times New Roman" w:hAnsi="Times New Roman" w:cs="Times New Roman"/>
          <w:sz w:val="24"/>
          <w:szCs w:val="24"/>
        </w:rPr>
        <w:t>International Prostate System Score (</w:t>
      </w:r>
      <w:r w:rsidR="002F21A7" w:rsidRPr="00C21F12">
        <w:rPr>
          <w:rFonts w:ascii="Times New Roman" w:hAnsi="Times New Roman" w:cs="Times New Roman"/>
          <w:sz w:val="24"/>
          <w:szCs w:val="24"/>
        </w:rPr>
        <w:t>IPSS</w:t>
      </w:r>
      <w:r w:rsidR="009C2323" w:rsidRPr="00C21F12">
        <w:rPr>
          <w:rFonts w:ascii="Times New Roman" w:hAnsi="Times New Roman" w:cs="Times New Roman"/>
          <w:sz w:val="24"/>
          <w:szCs w:val="24"/>
        </w:rPr>
        <w:t>)</w:t>
      </w:r>
      <w:r w:rsidR="00843368" w:rsidRPr="00C21F12">
        <w:rPr>
          <w:rFonts w:ascii="Times New Roman" w:hAnsi="Times New Roman" w:cs="Times New Roman"/>
          <w:sz w:val="24"/>
          <w:szCs w:val="24"/>
        </w:rPr>
        <w:t>,</w:t>
      </w:r>
      <w:r w:rsidR="002F21A7">
        <w:rPr>
          <w:rFonts w:ascii="Times New Roman" w:hAnsi="Times New Roman" w:cs="Times New Roman"/>
          <w:sz w:val="24"/>
          <w:szCs w:val="24"/>
        </w:rPr>
        <w:t xml:space="preserve"> and the value obtained can be correlated with DWT.</w:t>
      </w:r>
      <w:r w:rsidR="00661B97">
        <w:rPr>
          <w:rFonts w:ascii="Times New Roman" w:hAnsi="Times New Roman" w:cs="Times New Roman"/>
          <w:sz w:val="24"/>
          <w:szCs w:val="24"/>
        </w:rPr>
        <w:t xml:space="preserve"> This</w:t>
      </w:r>
      <w:r w:rsidR="002F21A7">
        <w:rPr>
          <w:rFonts w:ascii="Times New Roman" w:hAnsi="Times New Roman" w:cs="Times New Roman"/>
          <w:sz w:val="24"/>
          <w:szCs w:val="24"/>
        </w:rPr>
        <w:t xml:space="preserve"> is a sensitive to</w:t>
      </w:r>
      <w:r w:rsidR="002F21A7">
        <w:rPr>
          <w:rFonts w:ascii="Times New Roman" w:hAnsi="Times New Roman" w:cs="Times New Roman"/>
          <w:sz w:val="24"/>
          <w:szCs w:val="24"/>
          <w:lang w:val="en-US"/>
        </w:rPr>
        <w:t>o</w:t>
      </w:r>
      <w:r w:rsidR="002F21A7">
        <w:rPr>
          <w:rFonts w:ascii="Times New Roman" w:hAnsi="Times New Roman" w:cs="Times New Roman"/>
          <w:sz w:val="24"/>
          <w:szCs w:val="24"/>
        </w:rPr>
        <w:t>l in the assessment of men with LUTS</w:t>
      </w:r>
      <w:r w:rsidR="00661B97">
        <w:rPr>
          <w:rFonts w:ascii="Times New Roman" w:hAnsi="Times New Roman" w:cs="Times New Roman"/>
          <w:sz w:val="24"/>
          <w:szCs w:val="24"/>
        </w:rPr>
        <w:t>.</w:t>
      </w:r>
      <w:r w:rsidR="002F21A7">
        <w:rPr>
          <w:rFonts w:ascii="Times New Roman" w:hAnsi="Times New Roman" w:cs="Times New Roman"/>
          <w:sz w:val="24"/>
          <w:szCs w:val="24"/>
        </w:rPr>
        <w:t xml:space="preserve"> </w:t>
      </w:r>
      <w:r w:rsidR="00661B97">
        <w:rPr>
          <w:rFonts w:ascii="Times New Roman" w:hAnsi="Times New Roman" w:cs="Times New Roman"/>
          <w:sz w:val="24"/>
          <w:szCs w:val="24"/>
        </w:rPr>
        <w:t>Studies involving correlation of DWT with IPSS are few in the literature and rare in our environment.</w:t>
      </w:r>
      <w:r w:rsidR="00C21F12">
        <w:rPr>
          <w:rFonts w:ascii="Times New Roman" w:hAnsi="Times New Roman" w:cs="Times New Roman"/>
          <w:sz w:val="24"/>
          <w:szCs w:val="24"/>
        </w:rPr>
        <w:t xml:space="preserve"> </w:t>
      </w:r>
      <w:r w:rsidR="002F21A7">
        <w:rPr>
          <w:rFonts w:ascii="Times New Roman" w:hAnsi="Times New Roman" w:cs="Times New Roman"/>
          <w:sz w:val="24"/>
          <w:szCs w:val="24"/>
        </w:rPr>
        <w:t xml:space="preserve">The aim of </w:t>
      </w:r>
      <w:r w:rsidR="00661B97">
        <w:rPr>
          <w:rFonts w:ascii="Times New Roman" w:hAnsi="Times New Roman" w:cs="Times New Roman"/>
          <w:sz w:val="24"/>
          <w:szCs w:val="24"/>
        </w:rPr>
        <w:t>this study is to measure D</w:t>
      </w:r>
      <w:r w:rsidR="002F21A7">
        <w:rPr>
          <w:rFonts w:ascii="Times New Roman" w:hAnsi="Times New Roman" w:cs="Times New Roman"/>
          <w:sz w:val="24"/>
          <w:szCs w:val="24"/>
        </w:rPr>
        <w:t>WT</w:t>
      </w:r>
      <w:r w:rsidR="00661B97">
        <w:rPr>
          <w:rFonts w:ascii="Times New Roman" w:hAnsi="Times New Roman" w:cs="Times New Roman"/>
          <w:sz w:val="24"/>
          <w:szCs w:val="24"/>
        </w:rPr>
        <w:t xml:space="preserve"> among men with LUTS and correlate the results with their IPSS</w:t>
      </w:r>
      <w:r w:rsidR="002F21A7">
        <w:rPr>
          <w:rFonts w:ascii="Times New Roman" w:hAnsi="Times New Roman" w:cs="Times New Roman"/>
          <w:sz w:val="24"/>
          <w:szCs w:val="24"/>
        </w:rPr>
        <w:t xml:space="preserve">. </w:t>
      </w:r>
    </w:p>
    <w:p w14:paraId="3A320FC3" w14:textId="77777777" w:rsidR="000E4DFA" w:rsidRPr="00864762" w:rsidRDefault="00163BAE" w:rsidP="005C3120">
      <w:pPr>
        <w:spacing w:line="240" w:lineRule="auto"/>
        <w:rPr>
          <w:rFonts w:ascii="Times New Roman" w:hAnsi="Times New Roman" w:cs="Times New Roman"/>
          <w:sz w:val="24"/>
          <w:szCs w:val="24"/>
        </w:rPr>
      </w:pPr>
      <w:r>
        <w:rPr>
          <w:rFonts w:ascii="Times New Roman" w:hAnsi="Times New Roman" w:cs="Times New Roman"/>
          <w:b/>
          <w:bCs/>
          <w:sz w:val="24"/>
          <w:szCs w:val="24"/>
        </w:rPr>
        <w:t>Subjects and Methods</w:t>
      </w:r>
      <w:r w:rsidR="00864762">
        <w:rPr>
          <w:rFonts w:ascii="Times New Roman" w:hAnsi="Times New Roman" w:cs="Times New Roman"/>
          <w:b/>
          <w:bCs/>
          <w:sz w:val="24"/>
          <w:szCs w:val="24"/>
        </w:rPr>
        <w:t>:</w:t>
      </w:r>
      <w:r w:rsidR="00864762">
        <w:rPr>
          <w:rFonts w:ascii="Times New Roman" w:hAnsi="Times New Roman" w:cs="Times New Roman"/>
          <w:sz w:val="24"/>
          <w:szCs w:val="24"/>
        </w:rPr>
        <w:t xml:space="preserve"> </w:t>
      </w:r>
      <w:r w:rsidR="002F21A7">
        <w:rPr>
          <w:rFonts w:ascii="Times New Roman" w:hAnsi="Times New Roman" w:cs="Times New Roman"/>
          <w:sz w:val="24"/>
          <w:szCs w:val="24"/>
        </w:rPr>
        <w:t>This study was carried out i</w:t>
      </w:r>
      <w:r w:rsidR="003C1E89">
        <w:rPr>
          <w:rFonts w:ascii="Times New Roman" w:hAnsi="Times New Roman" w:cs="Times New Roman"/>
          <w:sz w:val="24"/>
          <w:szCs w:val="24"/>
        </w:rPr>
        <w:t xml:space="preserve">n Radiology Department of our hospital from </w:t>
      </w:r>
      <w:r w:rsidR="002F21A7">
        <w:rPr>
          <w:rFonts w:ascii="Times New Roman" w:hAnsi="Times New Roman" w:cs="Times New Roman"/>
          <w:sz w:val="24"/>
          <w:szCs w:val="24"/>
        </w:rPr>
        <w:t>December, 2023 t</w:t>
      </w:r>
      <w:r w:rsidR="003C1E89">
        <w:rPr>
          <w:rFonts w:ascii="Times New Roman" w:hAnsi="Times New Roman" w:cs="Times New Roman"/>
          <w:sz w:val="24"/>
          <w:szCs w:val="24"/>
        </w:rPr>
        <w:t>o June 2024.</w:t>
      </w:r>
      <w:r w:rsidR="0071715A">
        <w:rPr>
          <w:rFonts w:ascii="Times New Roman" w:hAnsi="Times New Roman" w:cs="Times New Roman"/>
          <w:sz w:val="24"/>
          <w:szCs w:val="24"/>
        </w:rPr>
        <w:t xml:space="preserve"> </w:t>
      </w:r>
      <w:r w:rsidR="002F21A7">
        <w:rPr>
          <w:rFonts w:ascii="Times New Roman" w:eastAsia="Times New Roman" w:hAnsi="Times New Roman" w:cs="Times New Roman"/>
          <w:sz w:val="24"/>
          <w:szCs w:val="24"/>
          <w:lang w:eastAsia="zh-CN"/>
        </w:rPr>
        <w:t xml:space="preserve">Data obtained from the study </w:t>
      </w:r>
      <w:r w:rsidR="0071715A">
        <w:rPr>
          <w:rFonts w:ascii="Times New Roman" w:eastAsia="Times New Roman" w:hAnsi="Times New Roman" w:cs="Times New Roman"/>
          <w:sz w:val="24"/>
          <w:szCs w:val="24"/>
          <w:lang w:eastAsia="zh-CN"/>
        </w:rPr>
        <w:t xml:space="preserve">was entered and analysed using </w:t>
      </w:r>
      <w:r w:rsidR="003C1E89">
        <w:rPr>
          <w:rFonts w:ascii="Times New Roman" w:eastAsia="Calibri" w:hAnsi="Times New Roman" w:cs="Times New Roman"/>
          <w:kern w:val="0"/>
          <w:sz w:val="24"/>
          <w:szCs w:val="24"/>
          <w:lang w:val="en-US"/>
        </w:rPr>
        <w:t xml:space="preserve">the Statistical </w:t>
      </w:r>
      <w:r w:rsidR="003D5C71">
        <w:rPr>
          <w:rFonts w:ascii="Times New Roman" w:eastAsia="Calibri" w:hAnsi="Times New Roman" w:cs="Times New Roman"/>
          <w:kern w:val="0"/>
          <w:sz w:val="24"/>
          <w:szCs w:val="24"/>
          <w:lang w:val="en-US"/>
        </w:rPr>
        <w:t xml:space="preserve">Package for </w:t>
      </w:r>
      <w:r w:rsidR="002F21A7">
        <w:rPr>
          <w:rFonts w:ascii="Times New Roman" w:eastAsia="Calibri" w:hAnsi="Times New Roman" w:cs="Times New Roman"/>
          <w:kern w:val="0"/>
          <w:sz w:val="24"/>
          <w:szCs w:val="24"/>
          <w:lang w:val="en-US"/>
        </w:rPr>
        <w:t>Socia</w:t>
      </w:r>
      <w:r w:rsidR="00DD335C">
        <w:rPr>
          <w:rFonts w:ascii="Times New Roman" w:eastAsia="Calibri" w:hAnsi="Times New Roman" w:cs="Times New Roman"/>
          <w:kern w:val="0"/>
          <w:sz w:val="24"/>
          <w:szCs w:val="24"/>
          <w:lang w:val="en-US"/>
        </w:rPr>
        <w:t xml:space="preserve">l </w:t>
      </w:r>
      <w:r w:rsidR="002F21A7">
        <w:rPr>
          <w:rFonts w:ascii="Times New Roman" w:eastAsia="Calibri" w:hAnsi="Times New Roman" w:cs="Times New Roman"/>
          <w:kern w:val="0"/>
          <w:sz w:val="24"/>
          <w:szCs w:val="24"/>
          <w:lang w:val="en-US"/>
        </w:rPr>
        <w:t>Sciences (</w:t>
      </w:r>
      <w:r w:rsidR="002F21A7">
        <w:rPr>
          <w:rFonts w:ascii="Times New Roman" w:eastAsia="Times New Roman" w:hAnsi="Times New Roman" w:cs="Times New Roman"/>
          <w:sz w:val="24"/>
          <w:szCs w:val="24"/>
          <w:lang w:eastAsia="zh-CN"/>
        </w:rPr>
        <w:t>SPSS), Version 20.0</w:t>
      </w:r>
      <w:r w:rsidR="002F21A7">
        <w:rPr>
          <w:rFonts w:ascii="Times New Roman" w:eastAsia="Times New Roman" w:hAnsi="Times New Roman" w:cs="Times New Roman"/>
          <w:sz w:val="24"/>
          <w:szCs w:val="24"/>
          <w:lang w:val="en-US" w:eastAsia="zh-CN"/>
        </w:rPr>
        <w:t>.</w:t>
      </w:r>
      <w:r w:rsidR="00630857">
        <w:rPr>
          <w:rFonts w:ascii="Times New Roman" w:hAnsi="Times New Roman" w:cs="Times New Roman"/>
          <w:sz w:val="24"/>
          <w:szCs w:val="24"/>
        </w:rPr>
        <w:t xml:space="preserve"> </w:t>
      </w:r>
      <w:r w:rsidR="002F21A7">
        <w:rPr>
          <w:rFonts w:ascii="Times New Roman" w:eastAsia="Times New Roman" w:hAnsi="Times New Roman" w:cs="Times New Roman"/>
          <w:sz w:val="24"/>
          <w:szCs w:val="24"/>
          <w:lang w:eastAsia="zh-CN"/>
        </w:rPr>
        <w:t>Sociodemographic characteristics</w:t>
      </w:r>
      <w:r w:rsidR="003C1E89">
        <w:rPr>
          <w:rFonts w:ascii="Times New Roman" w:eastAsia="Times New Roman" w:hAnsi="Times New Roman" w:cs="Times New Roman"/>
          <w:sz w:val="24"/>
          <w:szCs w:val="24"/>
          <w:lang w:eastAsia="zh-CN"/>
        </w:rPr>
        <w:t>, m</w:t>
      </w:r>
      <w:r w:rsidR="002F21A7">
        <w:rPr>
          <w:rFonts w:ascii="Times New Roman" w:eastAsia="Times New Roman" w:hAnsi="Times New Roman" w:cs="Times New Roman"/>
          <w:sz w:val="24"/>
          <w:szCs w:val="24"/>
          <w:lang w:eastAsia="zh-CN"/>
        </w:rPr>
        <w:t>easures of central tendencies and dispersion for continuous numerical variables</w:t>
      </w:r>
      <w:r w:rsidR="003C1E89">
        <w:rPr>
          <w:rFonts w:ascii="Times New Roman" w:eastAsia="Times New Roman" w:hAnsi="Times New Roman" w:cs="Times New Roman"/>
          <w:sz w:val="24"/>
          <w:szCs w:val="24"/>
          <w:lang w:eastAsia="zh-CN"/>
        </w:rPr>
        <w:t>, p</w:t>
      </w:r>
      <w:r w:rsidR="002F21A7">
        <w:rPr>
          <w:rFonts w:ascii="Times New Roman" w:eastAsia="Times New Roman" w:hAnsi="Times New Roman" w:cs="Times New Roman"/>
          <w:sz w:val="24"/>
          <w:szCs w:val="24"/>
          <w:lang w:eastAsia="zh-CN"/>
        </w:rPr>
        <w:t>aired sample t-test</w:t>
      </w:r>
      <w:r w:rsidR="003C1E89">
        <w:rPr>
          <w:rFonts w:ascii="Times New Roman" w:eastAsia="Times New Roman" w:hAnsi="Times New Roman" w:cs="Times New Roman"/>
          <w:sz w:val="24"/>
          <w:szCs w:val="24"/>
          <w:lang w:eastAsia="zh-CN"/>
        </w:rPr>
        <w:t>,</w:t>
      </w:r>
      <w:r w:rsidR="002F21A7">
        <w:rPr>
          <w:rFonts w:ascii="Times New Roman" w:eastAsia="Times New Roman" w:hAnsi="Times New Roman" w:cs="Times New Roman"/>
          <w:sz w:val="24"/>
          <w:szCs w:val="24"/>
          <w:lang w:eastAsia="zh-CN"/>
        </w:rPr>
        <w:t xml:space="preserve"> </w:t>
      </w:r>
      <w:r w:rsidR="003C1E89">
        <w:rPr>
          <w:rFonts w:ascii="Times New Roman" w:eastAsia="Times New Roman" w:hAnsi="Times New Roman" w:cs="Times New Roman"/>
          <w:sz w:val="24"/>
          <w:szCs w:val="24"/>
          <w:lang w:eastAsia="zh-CN"/>
        </w:rPr>
        <w:t>as well as</w:t>
      </w:r>
      <w:r w:rsidR="002F21A7">
        <w:rPr>
          <w:rFonts w:ascii="Times New Roman" w:eastAsia="Times New Roman" w:hAnsi="Times New Roman" w:cs="Times New Roman"/>
          <w:sz w:val="24"/>
          <w:szCs w:val="24"/>
          <w:lang w:eastAsia="zh-CN"/>
        </w:rPr>
        <w:t xml:space="preserve"> Pearson correlation </w:t>
      </w:r>
      <w:r w:rsidR="003C1E89">
        <w:rPr>
          <w:rFonts w:ascii="Times New Roman" w:eastAsia="Times New Roman" w:hAnsi="Times New Roman" w:cs="Times New Roman"/>
          <w:sz w:val="24"/>
          <w:szCs w:val="24"/>
          <w:lang w:eastAsia="zh-CN"/>
        </w:rPr>
        <w:t xml:space="preserve">tests were </w:t>
      </w:r>
      <w:r w:rsidR="002F21A7">
        <w:rPr>
          <w:rFonts w:ascii="Times New Roman" w:eastAsia="Times New Roman" w:hAnsi="Times New Roman" w:cs="Times New Roman"/>
          <w:sz w:val="24"/>
          <w:szCs w:val="24"/>
          <w:lang w:eastAsia="zh-CN"/>
        </w:rPr>
        <w:t>used</w:t>
      </w:r>
      <w:r w:rsidR="003C1E89">
        <w:rPr>
          <w:rFonts w:ascii="Times New Roman" w:eastAsia="Times New Roman" w:hAnsi="Times New Roman" w:cs="Times New Roman"/>
          <w:sz w:val="24"/>
          <w:szCs w:val="24"/>
          <w:lang w:eastAsia="zh-CN"/>
        </w:rPr>
        <w:t xml:space="preserve"> in the analysis</w:t>
      </w:r>
      <w:r w:rsidR="002F21A7">
        <w:rPr>
          <w:rFonts w:ascii="Times New Roman" w:eastAsia="Times New Roman" w:hAnsi="Times New Roman" w:cs="Times New Roman"/>
          <w:sz w:val="24"/>
          <w:szCs w:val="24"/>
          <w:lang w:eastAsia="zh-CN"/>
        </w:rPr>
        <w:t xml:space="preserve">. </w:t>
      </w:r>
      <w:r w:rsidR="002F21A7">
        <w:rPr>
          <w:rFonts w:ascii="Times New Roman" w:eastAsia="Calibri" w:hAnsi="Times New Roman" w:cs="Times New Roman"/>
          <w:kern w:val="0"/>
          <w:sz w:val="24"/>
          <w:szCs w:val="24"/>
          <w:lang w:val="en-US"/>
        </w:rPr>
        <w:t>P-value &lt; 0.05 was considered to be statistically significant.</w:t>
      </w:r>
    </w:p>
    <w:p w14:paraId="2D938BAD" w14:textId="77777777" w:rsidR="000E4DFA" w:rsidRPr="00630857" w:rsidRDefault="00630857" w:rsidP="005C3120">
      <w:pPr>
        <w:spacing w:line="240" w:lineRule="auto"/>
        <w:rPr>
          <w:rFonts w:ascii="Times New Roman" w:hAnsi="Times New Roman" w:cs="Times New Roman"/>
          <w:b/>
          <w:bCs/>
          <w:sz w:val="24"/>
          <w:szCs w:val="24"/>
        </w:rPr>
      </w:pPr>
      <w:r>
        <w:rPr>
          <w:rFonts w:ascii="Times New Roman" w:hAnsi="Times New Roman" w:cs="Times New Roman"/>
          <w:b/>
          <w:bCs/>
          <w:sz w:val="24"/>
          <w:szCs w:val="24"/>
        </w:rPr>
        <w:t>Results:</w:t>
      </w:r>
      <w:r w:rsidR="00A01FAA">
        <w:rPr>
          <w:rFonts w:ascii="Times New Roman" w:hAnsi="Times New Roman" w:cs="Times New Roman"/>
          <w:b/>
          <w:bCs/>
          <w:sz w:val="24"/>
          <w:szCs w:val="24"/>
        </w:rPr>
        <w:t xml:space="preserve"> </w:t>
      </w:r>
      <w:r w:rsidR="002F21A7">
        <w:rPr>
          <w:rFonts w:ascii="Times New Roman" w:hAnsi="Times New Roman" w:cs="Times New Roman"/>
          <w:sz w:val="24"/>
          <w:szCs w:val="24"/>
        </w:rPr>
        <w:t>The large</w:t>
      </w:r>
      <w:r w:rsidR="00A01FAA">
        <w:rPr>
          <w:rFonts w:ascii="Times New Roman" w:hAnsi="Times New Roman" w:cs="Times New Roman"/>
          <w:sz w:val="24"/>
          <w:szCs w:val="24"/>
        </w:rPr>
        <w:t xml:space="preserve"> numbers of participants in</w:t>
      </w:r>
      <w:r w:rsidR="00ED4687">
        <w:rPr>
          <w:rFonts w:ascii="Times New Roman" w:hAnsi="Times New Roman" w:cs="Times New Roman"/>
          <w:sz w:val="24"/>
          <w:szCs w:val="24"/>
        </w:rPr>
        <w:t xml:space="preserve"> </w:t>
      </w:r>
      <w:r w:rsidR="00A01FAA">
        <w:rPr>
          <w:rFonts w:ascii="Times New Roman" w:hAnsi="Times New Roman" w:cs="Times New Roman"/>
          <w:sz w:val="24"/>
          <w:szCs w:val="24"/>
        </w:rPr>
        <w:t>the study we</w:t>
      </w:r>
      <w:r w:rsidR="002F21A7">
        <w:rPr>
          <w:rFonts w:ascii="Times New Roman" w:hAnsi="Times New Roman" w:cs="Times New Roman"/>
          <w:sz w:val="24"/>
          <w:szCs w:val="24"/>
        </w:rPr>
        <w:t xml:space="preserve">re between </w:t>
      </w:r>
      <w:r w:rsidR="002F21A7" w:rsidRPr="00864762">
        <w:rPr>
          <w:rFonts w:ascii="Times New Roman" w:hAnsi="Times New Roman" w:cs="Times New Roman"/>
          <w:sz w:val="24"/>
          <w:szCs w:val="24"/>
        </w:rPr>
        <w:t>56 - 65 years (38.1%) with a mean age of 67.2 years</w:t>
      </w:r>
      <w:r w:rsidR="002F21A7">
        <w:rPr>
          <w:rFonts w:ascii="Times New Roman" w:hAnsi="Times New Roman" w:cs="Times New Roman"/>
          <w:sz w:val="24"/>
          <w:szCs w:val="24"/>
        </w:rPr>
        <w:t>.</w:t>
      </w:r>
      <w:r w:rsidR="00A01FAA">
        <w:rPr>
          <w:rFonts w:ascii="Times New Roman" w:hAnsi="Times New Roman" w:cs="Times New Roman"/>
          <w:sz w:val="24"/>
          <w:szCs w:val="24"/>
        </w:rPr>
        <w:t xml:space="preserve"> </w:t>
      </w:r>
      <w:r w:rsidR="002F21A7">
        <w:rPr>
          <w:rFonts w:ascii="Times New Roman" w:hAnsi="Times New Roman" w:cs="Times New Roman"/>
          <w:sz w:val="24"/>
          <w:szCs w:val="24"/>
        </w:rPr>
        <w:t xml:space="preserve">Most of the subject’s </w:t>
      </w:r>
      <w:r w:rsidR="002F21A7">
        <w:rPr>
          <w:rFonts w:ascii="Times New Roman" w:hAnsi="Times New Roman" w:cs="Times New Roman"/>
          <w:sz w:val="24"/>
          <w:szCs w:val="24"/>
          <w:lang w:val="en-US"/>
        </w:rPr>
        <w:t>have</w:t>
      </w:r>
      <w:r w:rsidR="002F21A7">
        <w:rPr>
          <w:rFonts w:ascii="Times New Roman" w:hAnsi="Times New Roman" w:cs="Times New Roman"/>
          <w:sz w:val="24"/>
          <w:szCs w:val="24"/>
        </w:rPr>
        <w:t xml:space="preserve"> moderate LUTS</w:t>
      </w:r>
      <w:r w:rsidR="002F21A7">
        <w:rPr>
          <w:rFonts w:ascii="Times New Roman" w:hAnsi="Times New Roman" w:cs="Times New Roman"/>
          <w:sz w:val="24"/>
          <w:szCs w:val="24"/>
          <w:lang w:val="en-US"/>
        </w:rPr>
        <w:t>.</w:t>
      </w:r>
    </w:p>
    <w:p w14:paraId="10622B8A" w14:textId="77777777" w:rsidR="000E4DFA" w:rsidRDefault="002F21A7" w:rsidP="005C3120">
      <w:pPr>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There is a positive </w:t>
      </w:r>
      <w:r>
        <w:rPr>
          <w:rFonts w:ascii="Times New Roman" w:hAnsi="Times New Roman" w:cs="Times New Roman"/>
          <w:sz w:val="24"/>
          <w:szCs w:val="24"/>
          <w:lang w:val="en-US"/>
        </w:rPr>
        <w:t xml:space="preserve">linear </w:t>
      </w:r>
      <w:r>
        <w:rPr>
          <w:rFonts w:ascii="Times New Roman" w:hAnsi="Times New Roman" w:cs="Times New Roman"/>
          <w:sz w:val="24"/>
          <w:szCs w:val="24"/>
        </w:rPr>
        <w:t xml:space="preserve">correlation between the </w:t>
      </w:r>
      <w:r w:rsidR="00A01FAA">
        <w:rPr>
          <w:rFonts w:ascii="Times New Roman" w:hAnsi="Times New Roman" w:cs="Times New Roman"/>
          <w:sz w:val="24"/>
          <w:szCs w:val="24"/>
        </w:rPr>
        <w:t xml:space="preserve">Pre-void </w:t>
      </w:r>
      <w:r>
        <w:rPr>
          <w:rFonts w:ascii="Times New Roman" w:hAnsi="Times New Roman" w:cs="Times New Roman"/>
          <w:sz w:val="24"/>
          <w:szCs w:val="24"/>
        </w:rPr>
        <w:t>DWT and IPSS</w:t>
      </w:r>
      <w:r w:rsidR="00A01FAA">
        <w:rPr>
          <w:rFonts w:ascii="Times New Roman" w:hAnsi="Times New Roman" w:cs="Times New Roman"/>
          <w:sz w:val="24"/>
          <w:szCs w:val="24"/>
        </w:rPr>
        <w:t xml:space="preserve"> (p-value = 0.035),</w:t>
      </w:r>
      <w:r w:rsidR="00107D2E">
        <w:rPr>
          <w:rFonts w:ascii="Times New Roman" w:hAnsi="Times New Roman" w:cs="Times New Roman"/>
          <w:sz w:val="24"/>
          <w:szCs w:val="24"/>
        </w:rPr>
        <w:t xml:space="preserve"> </w:t>
      </w:r>
      <w:r w:rsidR="00A01FAA">
        <w:rPr>
          <w:rFonts w:ascii="Times New Roman" w:hAnsi="Times New Roman" w:cs="Times New Roman"/>
          <w:sz w:val="24"/>
          <w:szCs w:val="24"/>
        </w:rPr>
        <w:t>but not with post-void DWT</w:t>
      </w:r>
      <w:r>
        <w:rPr>
          <w:rFonts w:ascii="Times New Roman" w:hAnsi="Times New Roman" w:cs="Times New Roman"/>
          <w:sz w:val="24"/>
          <w:szCs w:val="24"/>
        </w:rPr>
        <w:t xml:space="preserve"> </w:t>
      </w:r>
      <w:r w:rsidR="00A01FAA">
        <w:rPr>
          <w:rFonts w:ascii="Times New Roman" w:hAnsi="Times New Roman" w:cs="Times New Roman"/>
          <w:sz w:val="24"/>
          <w:szCs w:val="24"/>
        </w:rPr>
        <w:t>(p-value = 0.619)</w:t>
      </w:r>
      <w:r>
        <w:rPr>
          <w:rFonts w:ascii="Times New Roman" w:hAnsi="Times New Roman" w:cs="Times New Roman"/>
          <w:sz w:val="24"/>
          <w:szCs w:val="24"/>
          <w:lang w:val="en-US"/>
        </w:rPr>
        <w:t>.</w:t>
      </w:r>
    </w:p>
    <w:p w14:paraId="212D0FBF" w14:textId="77777777" w:rsidR="000E4DFA" w:rsidRPr="00630857" w:rsidRDefault="00630857" w:rsidP="005C3120">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Conclusion: </w:t>
      </w:r>
      <w:r w:rsidR="002F21A7">
        <w:rPr>
          <w:rFonts w:ascii="Times New Roman" w:hAnsi="Times New Roman" w:cs="Times New Roman"/>
          <w:sz w:val="24"/>
          <w:szCs w:val="24"/>
        </w:rPr>
        <w:t>There is an increase in</w:t>
      </w:r>
      <w:r w:rsidR="00107D2E">
        <w:rPr>
          <w:rFonts w:ascii="Times New Roman" w:hAnsi="Times New Roman" w:cs="Times New Roman"/>
          <w:sz w:val="24"/>
          <w:szCs w:val="24"/>
        </w:rPr>
        <w:t xml:space="preserve"> pre-void</w:t>
      </w:r>
      <w:r w:rsidR="002F21A7">
        <w:rPr>
          <w:rFonts w:ascii="Times New Roman" w:hAnsi="Times New Roman" w:cs="Times New Roman"/>
          <w:sz w:val="24"/>
          <w:szCs w:val="24"/>
        </w:rPr>
        <w:t xml:space="preserve"> DWT with increase in severity of LUTS</w:t>
      </w:r>
      <w:r w:rsidR="002F21A7">
        <w:rPr>
          <w:rFonts w:ascii="Times New Roman" w:hAnsi="Times New Roman" w:cs="Times New Roman"/>
          <w:sz w:val="24"/>
          <w:szCs w:val="24"/>
          <w:lang w:val="en-US"/>
        </w:rPr>
        <w:t>.This</w:t>
      </w:r>
      <w:r w:rsidR="002F21A7">
        <w:rPr>
          <w:rFonts w:ascii="Times New Roman" w:hAnsi="Times New Roman" w:cs="Times New Roman"/>
          <w:sz w:val="24"/>
          <w:szCs w:val="24"/>
        </w:rPr>
        <w:t xml:space="preserve"> is a key indicator of severity in patients</w:t>
      </w:r>
      <w:r w:rsidR="00107D2E">
        <w:rPr>
          <w:rFonts w:ascii="Times New Roman" w:hAnsi="Times New Roman" w:cs="Times New Roman"/>
          <w:sz w:val="24"/>
          <w:szCs w:val="24"/>
        </w:rPr>
        <w:t xml:space="preserve"> with LUTS</w:t>
      </w:r>
      <w:r w:rsidR="002F21A7">
        <w:rPr>
          <w:rFonts w:ascii="Times New Roman" w:hAnsi="Times New Roman" w:cs="Times New Roman"/>
          <w:sz w:val="24"/>
          <w:szCs w:val="24"/>
        </w:rPr>
        <w:t xml:space="preserve">. </w:t>
      </w:r>
    </w:p>
    <w:p w14:paraId="58C1D838" w14:textId="77777777" w:rsidR="000E4DFA" w:rsidRDefault="00630857" w:rsidP="009C2323">
      <w:pPr>
        <w:spacing w:before="100" w:line="480" w:lineRule="auto"/>
        <w:rPr>
          <w:rFonts w:ascii="Times New Roman" w:eastAsia="Calibri" w:hAnsi="Times New Roman" w:cs="Times New Roman"/>
          <w:color w:val="000000"/>
          <w:kern w:val="0"/>
          <w:sz w:val="24"/>
          <w:szCs w:val="24"/>
          <w:lang w:val="en-US"/>
        </w:rPr>
      </w:pPr>
      <w:r w:rsidRPr="00630857">
        <w:rPr>
          <w:rFonts w:ascii="Times New Roman" w:eastAsia="Calibri" w:hAnsi="Times New Roman" w:cs="Times New Roman"/>
          <w:color w:val="000000"/>
          <w:kern w:val="0"/>
          <w:sz w:val="24"/>
          <w:szCs w:val="24"/>
          <w:lang w:val="en-US"/>
        </w:rPr>
        <w:t>Key words: lower urinary tract symp</w:t>
      </w:r>
      <w:r>
        <w:rPr>
          <w:rFonts w:ascii="Times New Roman" w:eastAsia="Calibri" w:hAnsi="Times New Roman" w:cs="Times New Roman"/>
          <w:color w:val="000000"/>
          <w:kern w:val="0"/>
          <w:sz w:val="24"/>
          <w:szCs w:val="24"/>
          <w:lang w:val="en-US"/>
        </w:rPr>
        <w:t xml:space="preserve">toms, detrusor wall thickness, </w:t>
      </w:r>
      <w:r w:rsidRPr="00630857">
        <w:rPr>
          <w:rFonts w:ascii="Times New Roman" w:eastAsia="Calibri" w:hAnsi="Times New Roman" w:cs="Times New Roman"/>
          <w:color w:val="000000"/>
          <w:kern w:val="0"/>
          <w:sz w:val="24"/>
          <w:szCs w:val="24"/>
          <w:lang w:val="en-US"/>
        </w:rPr>
        <w:t>international prostate symptom score, bladder outlet obstruction</w:t>
      </w:r>
    </w:p>
    <w:p w14:paraId="1F90C146" w14:textId="77777777" w:rsidR="00630857" w:rsidRPr="00630857" w:rsidRDefault="00630857" w:rsidP="009C2323">
      <w:pPr>
        <w:spacing w:before="100" w:line="480" w:lineRule="auto"/>
        <w:rPr>
          <w:rFonts w:ascii="Times New Roman" w:eastAsia="Calibri" w:hAnsi="Times New Roman" w:cs="Times New Roman"/>
          <w:color w:val="000000"/>
          <w:kern w:val="0"/>
          <w:sz w:val="24"/>
          <w:szCs w:val="24"/>
          <w:lang w:val="en-US"/>
        </w:rPr>
      </w:pPr>
    </w:p>
    <w:p w14:paraId="0F53679C" w14:textId="77777777" w:rsidR="000E4DFA" w:rsidRDefault="002F21A7" w:rsidP="00A27884">
      <w:pPr>
        <w:spacing w:before="100" w:line="360" w:lineRule="auto"/>
        <w:rPr>
          <w:rFonts w:ascii="Times New Roman" w:eastAsia="Calibri" w:hAnsi="Times New Roman" w:cs="Times New Roman"/>
          <w:b/>
          <w:color w:val="000000"/>
          <w:kern w:val="0"/>
          <w:sz w:val="24"/>
          <w:szCs w:val="24"/>
          <w:lang w:val="en-US"/>
        </w:rPr>
      </w:pPr>
      <w:r>
        <w:rPr>
          <w:rFonts w:ascii="Times New Roman" w:eastAsia="Calibri" w:hAnsi="Times New Roman" w:cs="Times New Roman"/>
          <w:b/>
          <w:color w:val="000000"/>
          <w:kern w:val="0"/>
          <w:sz w:val="24"/>
          <w:szCs w:val="24"/>
          <w:lang w:val="en-US"/>
        </w:rPr>
        <w:lastRenderedPageBreak/>
        <w:t>INTRODUCTION</w:t>
      </w:r>
    </w:p>
    <w:p w14:paraId="0DBA8299" w14:textId="77777777" w:rsidR="00A27884" w:rsidRDefault="002F21A7" w:rsidP="00A27884">
      <w:pPr>
        <w:spacing w:before="1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Lower urinary tract symptoms (LUTS) is a term that describes symptoms arising from pathologies that affect th</w:t>
      </w:r>
      <w:r w:rsidR="00FE0297">
        <w:rPr>
          <w:rFonts w:ascii="Times New Roman" w:eastAsia="Calibri" w:hAnsi="Times New Roman" w:cs="Times New Roman"/>
          <w:color w:val="000000"/>
          <w:kern w:val="0"/>
          <w:sz w:val="24"/>
          <w:szCs w:val="24"/>
          <w:lang w:val="en-US"/>
        </w:rPr>
        <w:t>e bladder and urethra; causing s</w:t>
      </w:r>
      <w:r>
        <w:rPr>
          <w:rFonts w:ascii="Times New Roman" w:eastAsia="Calibri" w:hAnsi="Times New Roman" w:cs="Times New Roman"/>
          <w:color w:val="000000"/>
          <w:kern w:val="0"/>
          <w:sz w:val="24"/>
          <w:szCs w:val="24"/>
          <w:lang w:val="en-US"/>
        </w:rPr>
        <w:t>torage (urgency, incontinence, nocturia, frequency), voiding (weak/interrupted stream, terminal dribble, hesitancy and straining) and post‐micturition symptoms (post‐micturition dribble, the sensation of incomplete emptying</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{"citationItems":[{"id":"ITEM-1","itemData":{"URL":"https://www.ncbi.nlm.nih.gov/pmc/articles/PMC1477625/","accessed":{"date-parts":[["2021","5","12"]]},"id":"ITEM-1","issued":{"date-parts":[["0"]]},"title":"Pathophysiology of Lower Urinary Tract Symptoms in the Aging Male Population","type":"webpage"},"uris":["http://www.mendeley.com/documents/?uuid=f868f1bc-9228-32c9-89b7-ac7214d81186"]}],"mendeley":{"formattedCitation":"(1)","plainTextFormattedCitation":"(1)","previouslyFormattedCitation":"(&lt;i&gt;Pathophysiology of Lower Urinary Tract Symptoms in the Aging Male Population&lt;/i&gt;,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(1)</w:t>
      </w:r>
      <w:r>
        <w:rPr>
          <w:rFonts w:ascii="Times New Roman" w:eastAsia="Calibri" w:hAnsi="Times New Roman" w:cs="Times New Roman"/>
          <w:kern w:val="0"/>
          <w:sz w:val="24"/>
          <w:szCs w:val="24"/>
        </w:rPr>
        <w:fldChar w:fldCharType="end"/>
      </w:r>
      <w:r w:rsidR="00FE0297">
        <w:rPr>
          <w:rFonts w:ascii="Times New Roman" w:eastAsia="Calibri" w:hAnsi="Times New Roman" w:cs="Times New Roman"/>
          <w:color w:val="000000"/>
          <w:kern w:val="0"/>
          <w:sz w:val="24"/>
          <w:szCs w:val="24"/>
          <w:lang w:val="en-US"/>
        </w:rPr>
        <w:t xml:space="preserve">. </w:t>
      </w:r>
      <w:r>
        <w:rPr>
          <w:rFonts w:ascii="Times New Roman" w:eastAsia="Calibri" w:hAnsi="Times New Roman" w:cs="Times New Roman"/>
          <w:color w:val="000000"/>
          <w:kern w:val="0"/>
          <w:sz w:val="24"/>
          <w:szCs w:val="24"/>
          <w:lang w:val="en-US"/>
        </w:rPr>
        <w:t>LUTS is seen more among males beyond the age of 50 with increasing incidence as age increases. It is postulated that a great percentage of elderly men present with LUTS</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{"citationItems":[{"id":"ITEM-1","itemData":{"URL":"https://onlinelibrary.wiley.com/doi/full/10.1111/luts.12220","accessed":{"date-parts":[["2021","5","12"]]},"id":"ITEM-1","issued":{"date-parts":[["0"]]},"title":"Effect of lower urinary tract symptoms on the quality of life and sexual function of males in China, Taiwan, and South Korea: Subgroup analysis of a cross‐sectional, population‐based study - Liao - 2019 - LUTS: Lower Urinary Tract Symptoms - Wiley Online ","type":"webpage"},"uris":["http://www.mendeley.com/documents/?uuid=9d96785c-87e0-3846-a5c5-47b6c612127c"]}],"mendeley":{"formattedCitation":"(2)","plainTextFormattedCitation":"(2)","previouslyFormattedCitation":"(&lt;i&gt;Effect of Lower Urinary Tract Symptoms on the Quality of Life and Sexual Function of Males in China, Taiwan, and South Korea: Subgroup Analysis of a Cross‐sectional, Population‐based Study - Liao - 2019 - LUTS: Lower Urinary Tract Symptoms - Wiley Online &lt;/i&gt;,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(2)</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LUTS impacts negatively on the patient’s quality of life and is associated with high medical costs as well as difficulty in daily functional activity</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{"citationItems":[{"id":"ITEM-1","itemData":{"DOI":"10.1111/bju.12745","ISSN":"1464410X","PMID":"24656222","abstract":"Key Messages Lower urinary tract symptoms (LUTS) associated with benign prostatic hyperplasia (BPH) can be bothersome and negatively impact on a patient's quality of life (QoL). As the prevalence of LUTS/BPH increases with age, the burden on the healthcare system and society may increase due to the ageing population. This review unifies literature on the burden of LUTS/BPH on patients and society, particularly in the UK. LUTS/BPH is associated with high personal and societal costs, both in direct medical costs and indirect losses in daily functioning, and through its negative impact on QoL for patients and partners. LUTS/BPH is often underdiagnosed and undertreated. Men should be encouraged to seek medical advice for this condition and should not accept it as part of ageing, while clinicians should be more active in the identification and treatment of LUTS/BPH. To assess the burden of illness and unmet need arising from lower urinary tract symptoms (LUTS) presumed secondary to benign prostatic hyperplasia (BPH) from an individual patient and societal perspective with a focus on the UK. Embase, PubMed, the World Health Organization, the Cochrane Database of Systematic Reviews and the York Centre for Reviews and Dissemination were searched to identify studies on the epidemiological, humanistic or economic burden of LUTS/BPH published in English between October 2001 and January 2013. Data were extracted and the quality of the studies was assessed for inclusion. UK data were reported; in the absence of UK data, European and USA data were provided. In all, 374 abstracts were identified, 104 full papers were assessed and 33 papers met the inclusion criteria and were included in the review. An additional paper was included in the review upon a revision in 2014. The papers show that LUTS are common in the UK, affecting ≈3% of men aged 45-49 years, rising to &gt;30% in men aged ≥85 years. European and USA studies have reported the major impact of LUTS on quality of life of the patient and their partner. LUTS are associated with high personal and societal costs, both in direct medical costs and indirect losses in daily functioning. While treatment costs in the UK are relatively low compared with other countries, the burden on health services is still substantial. LUTS associated with BPH is a highly impactful condition that is often undertreated. LUTS/BPH have a major impact on men, their families, health services and society. Men with LUTS secondary to BPH should n…","author":[{"dropping-particle":"","family":"Speakman","given":"Mark","non-dropping-particle":"","parse-names":false,"suffix":""},{"dropping-particle":"","family":"Kirby","given":"Roger","non-dropping-particle":"","parse-names":false,"suffix":""},{"dropping-particle":"","family":"Doyle","given":"Scott","non-dropping-particle":"","parse-names":false,"suffix":""},{"dropping-particle":"","family":"Ioannou","given":"Chris","non-dropping-particle":"","parse-names":false,"suffix":""}],"container-title":"BJU International","id":"ITEM-1","issue":"4","issued":{"date-parts":[["2015","4","1"]]},"page":"508-519","publisher":"Blackwell Publishing Ltd","title":"Burden of male lower urinary tract symptoms (LUTS) suggestive of benign prostatic hyperplasia (BPH) - Focus on the UK","type":"article","volume":"115"},"uris":["http://www.mendeley.com/documents/?uuid=9a078e64-555a-3aaa-bc68-8603c3b1bfc0"]}],"mendeley":{"formattedCitation":"(3)","plainTextFormattedCitation":"(3)","previouslyFormattedCitation":"(Speakman et al., 2015)"},"properties":{"noteIndex":0},"schema":"https://github.com/citation-style-language/schema/raw/master/csl-citation.json"}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(3)</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xml:space="preserve">. </w:t>
      </w:r>
    </w:p>
    <w:p w14:paraId="4730E087" w14:textId="77777777" w:rsidR="00CE53EC" w:rsidRDefault="002F21A7" w:rsidP="00A27884">
      <w:pPr>
        <w:spacing w:before="100" w:line="360" w:lineRule="auto"/>
        <w:rPr>
          <w:rFonts w:ascii="Times New Roman" w:eastAsia="Calibri" w:hAnsi="Times New Roman" w:cs="Times New Roman"/>
          <w:color w:val="000000"/>
          <w:kern w:val="0"/>
          <w:sz w:val="24"/>
          <w:szCs w:val="24"/>
          <w:shd w:val="clear" w:color="auto" w:fill="FFFFFF"/>
          <w:lang w:val="en-US"/>
        </w:rPr>
      </w:pPr>
      <w:r>
        <w:rPr>
          <w:rFonts w:ascii="Times New Roman" w:eastAsia="Calibri" w:hAnsi="Times New Roman" w:cs="Times New Roman"/>
          <w:color w:val="000000"/>
          <w:kern w:val="0"/>
          <w:sz w:val="24"/>
          <w:szCs w:val="24"/>
          <w:lang w:val="en-US"/>
        </w:rPr>
        <w:t>Benign prostatic hyperplasia is an important cause of bladder outlet obstruction</w:t>
      </w:r>
      <w:r w:rsidR="00FE0297">
        <w:rPr>
          <w:rFonts w:ascii="Times New Roman" w:eastAsia="Calibri" w:hAnsi="Times New Roman" w:cs="Times New Roman"/>
          <w:color w:val="000000"/>
          <w:kern w:val="0"/>
          <w:sz w:val="24"/>
          <w:szCs w:val="24"/>
          <w:lang w:val="en-US"/>
        </w:rPr>
        <w:t xml:space="preserve">  and</w:t>
      </w:r>
      <w:r w:rsidR="00FE0297">
        <w:rPr>
          <w:rFonts w:ascii="Times New Roman" w:eastAsia="Calibri" w:hAnsi="Times New Roman" w:cs="Times New Roman"/>
          <w:color w:val="000000"/>
          <w:kern w:val="0"/>
          <w:sz w:val="24"/>
          <w:szCs w:val="24"/>
          <w:shd w:val="clear" w:color="auto" w:fill="FFFFFF"/>
          <w:lang w:val="en-US"/>
        </w:rPr>
        <w:t xml:space="preserve"> voiding dysfunction </w:t>
      </w:r>
      <w:r>
        <w:rPr>
          <w:rFonts w:ascii="Times New Roman" w:eastAsia="Calibri" w:hAnsi="Times New Roman" w:cs="Times New Roman"/>
          <w:color w:val="000000"/>
          <w:kern w:val="0"/>
          <w:sz w:val="24"/>
          <w:szCs w:val="24"/>
          <w:lang w:val="en-US"/>
        </w:rPr>
        <w:t>wi</w:t>
      </w:r>
      <w:r w:rsidR="00FE0297">
        <w:rPr>
          <w:rFonts w:ascii="Times New Roman" w:eastAsia="Calibri" w:hAnsi="Times New Roman" w:cs="Times New Roman"/>
          <w:color w:val="000000"/>
          <w:kern w:val="0"/>
          <w:sz w:val="24"/>
          <w:szCs w:val="24"/>
          <w:lang w:val="en-US"/>
        </w:rPr>
        <w:t>th resultant occurrence of LUTS</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{"citationItems":[{"id":"ITEM-1","itemData":{"URL":"https://pubmed.ncbi.nlm.nih.gov/15195021/","accessed":{"date-parts":[["2021","5","12"]]},"id":"ITEM-1","issued":{"date-parts":[["0"]]},"title":"Lower urinary tract symptoms and benign prostatic hyperplasia - PubMed","type":"webpage"},"uris":["http://www.mendeley.com/documents/?uuid=e98ef0b3-bc83-39ef-b823-a6411adef3a7"]}],"mendeley":{"formattedCitation":"(4)","plainTextFormattedCitation":"(4)","previouslyFormattedCitation":"(&lt;i&gt;Lower Urinary Tract Symptoms and Benign Prostatic Hyperplasia - PubMed&lt;/i&gt;,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w:t>
      </w:r>
      <w:r w:rsidR="00FE0297">
        <w:rPr>
          <w:rFonts w:ascii="Times New Roman" w:eastAsia="Calibri" w:hAnsi="Times New Roman" w:cs="Times New Roman"/>
          <w:color w:val="000000"/>
          <w:kern w:val="0"/>
          <w:sz w:val="24"/>
          <w:szCs w:val="24"/>
          <w:vertAlign w:val="superscript"/>
          <w:lang w:val="en-US"/>
        </w:rPr>
        <w:t>1,</w:t>
      </w:r>
      <w:r>
        <w:rPr>
          <w:rFonts w:ascii="Times New Roman" w:eastAsia="Calibri" w:hAnsi="Times New Roman" w:cs="Times New Roman"/>
          <w:color w:val="000000"/>
          <w:kern w:val="0"/>
          <w:sz w:val="24"/>
          <w:szCs w:val="24"/>
          <w:vertAlign w:val="superscript"/>
          <w:lang w:val="en-US"/>
        </w:rPr>
        <w:t>4)</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w:t>
      </w:r>
      <w:r>
        <w:rPr>
          <w:rFonts w:ascii="Times New Roman" w:eastAsia="Calibri" w:hAnsi="Times New Roman" w:cs="Times New Roman"/>
          <w:color w:val="000000"/>
          <w:kern w:val="0"/>
          <w:sz w:val="24"/>
          <w:szCs w:val="24"/>
          <w:shd w:val="clear" w:color="auto" w:fill="FFFFFF"/>
          <w:lang w:val="en-US"/>
        </w:rPr>
        <w:t xml:space="preserve"> </w:t>
      </w:r>
      <w:r w:rsidR="00FE0297">
        <w:rPr>
          <w:rFonts w:ascii="Times New Roman" w:eastAsia="Calibri" w:hAnsi="Times New Roman" w:cs="Times New Roman"/>
          <w:color w:val="000000"/>
          <w:kern w:val="0"/>
          <w:sz w:val="24"/>
          <w:szCs w:val="24"/>
          <w:shd w:val="clear" w:color="auto" w:fill="FFFFFF"/>
          <w:lang w:val="en-US"/>
        </w:rPr>
        <w:t>Though i</w:t>
      </w:r>
      <w:r>
        <w:rPr>
          <w:rFonts w:ascii="Times New Roman" w:eastAsia="Calibri" w:hAnsi="Times New Roman" w:cs="Times New Roman"/>
          <w:color w:val="000000"/>
          <w:kern w:val="0"/>
          <w:sz w:val="24"/>
          <w:szCs w:val="24"/>
          <w:shd w:val="clear" w:color="auto" w:fill="FFFFFF"/>
          <w:lang w:val="en-US"/>
        </w:rPr>
        <w:t>n the aging male population, LUTS are usually attributed to benign prostatic enlargement (BPE), however it is now widely recogni</w:t>
      </w:r>
      <w:r w:rsidR="00FE0297">
        <w:rPr>
          <w:rFonts w:ascii="Times New Roman" w:eastAsia="Calibri" w:hAnsi="Times New Roman" w:cs="Times New Roman"/>
          <w:color w:val="000000"/>
          <w:kern w:val="0"/>
          <w:sz w:val="24"/>
          <w:szCs w:val="24"/>
          <w:shd w:val="clear" w:color="auto" w:fill="FFFFFF"/>
          <w:lang w:val="en-US"/>
        </w:rPr>
        <w:t xml:space="preserve">zed that LUTS can be due </w:t>
      </w:r>
      <w:r>
        <w:rPr>
          <w:rFonts w:ascii="Times New Roman" w:eastAsia="Calibri" w:hAnsi="Times New Roman" w:cs="Times New Roman"/>
          <w:color w:val="000000"/>
          <w:kern w:val="0"/>
          <w:sz w:val="24"/>
          <w:szCs w:val="24"/>
          <w:shd w:val="clear" w:color="auto" w:fill="FFFFFF"/>
          <w:lang w:val="en-US"/>
        </w:rPr>
        <w:t>to urological and neurological conditions</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{"citationItems":[{"id":"ITEM-1","itemData":{"URL":"https://www.ncbi.nlm.nih.gov/pmc/articles/PMC1477625/","accessed":{"date-parts":[["2021","5","12"]]},"id":"ITEM-1","issued":{"date-parts":[["0"]]},"title":"Pathophysiology of Lower Urinary Tract Symptoms in the Aging Male Population","type":"webpage"},"uris":["http://www.mendeley.com/documents/?uuid=f868f1bc-9228-32c9-89b7-ac7214d81186"]}],"mendeley":{"formattedCitation":"(1)","plainTextFormattedCitation":"(1)","previouslyFormattedCitation":"(&lt;i&gt;Pathophysiology of Lower Urinary Tract Symptoms in the Aging Male Population&lt;/i&gt;,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shd w:val="clear" w:color="auto" w:fill="FFFFFF"/>
          <w:vertAlign w:val="superscript"/>
          <w:lang w:val="en-US"/>
        </w:rPr>
        <w:t>(1)</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shd w:val="clear" w:color="auto" w:fill="FFFFFF"/>
          <w:lang w:val="en-US"/>
        </w:rPr>
        <w:t>.</w:t>
      </w:r>
      <w:r>
        <w:rPr>
          <w:rFonts w:ascii="Times New Roman" w:eastAsia="Calibri" w:hAnsi="Times New Roman" w:cs="Times New Roman"/>
          <w:color w:val="000000"/>
          <w:kern w:val="0"/>
          <w:sz w:val="24"/>
          <w:szCs w:val="24"/>
          <w:shd w:val="clear" w:color="auto" w:fill="FFFFFF"/>
          <w:vertAlign w:val="superscript"/>
          <w:lang w:val="en-US"/>
        </w:rPr>
        <w:t xml:space="preserve"> </w:t>
      </w:r>
      <w:r>
        <w:rPr>
          <w:rFonts w:ascii="Times New Roman" w:eastAsia="Calibri" w:hAnsi="Times New Roman" w:cs="Times New Roman"/>
          <w:color w:val="000000"/>
          <w:kern w:val="0"/>
          <w:sz w:val="24"/>
          <w:szCs w:val="24"/>
          <w:shd w:val="clear" w:color="auto" w:fill="FFFFFF"/>
          <w:lang w:val="en-US"/>
        </w:rPr>
        <w:t xml:space="preserve">Other prevalent conditions causing LUTS include, Parkinsons disease, cerebrovascular accident, prostate cancer, bladder cancer, urethral stricture, and </w:t>
      </w:r>
      <w:r w:rsidR="00CE53EC">
        <w:rPr>
          <w:rFonts w:ascii="Times New Roman" w:eastAsia="Calibri" w:hAnsi="Times New Roman" w:cs="Times New Roman"/>
          <w:color w:val="000000"/>
          <w:kern w:val="0"/>
          <w:sz w:val="24"/>
          <w:szCs w:val="24"/>
          <w:shd w:val="clear" w:color="auto" w:fill="FFFFFF"/>
          <w:lang w:val="en-US"/>
        </w:rPr>
        <w:t xml:space="preserve">overactive bladder. </w:t>
      </w:r>
    </w:p>
    <w:p w14:paraId="392276AE" w14:textId="77777777" w:rsidR="000E4DFA" w:rsidRDefault="00CE53EC" w:rsidP="00A27884">
      <w:pPr>
        <w:spacing w:before="100" w:line="360" w:lineRule="auto"/>
        <w:rPr>
          <w:rFonts w:ascii="Times New Roman" w:eastAsia="Calibri" w:hAnsi="Times New Roman" w:cs="Times New Roman"/>
          <w:color w:val="000000"/>
          <w:kern w:val="0"/>
          <w:sz w:val="24"/>
          <w:szCs w:val="24"/>
          <w:shd w:val="clear" w:color="auto" w:fill="FFFFFF"/>
          <w:lang w:val="en-US"/>
        </w:rPr>
      </w:pPr>
      <w:r>
        <w:rPr>
          <w:rFonts w:ascii="Times New Roman" w:eastAsia="Calibri" w:hAnsi="Times New Roman" w:cs="Times New Roman"/>
          <w:color w:val="000000"/>
          <w:kern w:val="0"/>
          <w:sz w:val="24"/>
          <w:szCs w:val="24"/>
          <w:shd w:val="clear" w:color="auto" w:fill="FFFFFF"/>
          <w:lang w:val="en-US"/>
        </w:rPr>
        <w:t>Bladder outlet obstruction</w:t>
      </w:r>
      <w:r w:rsidR="002F21A7">
        <w:rPr>
          <w:rFonts w:ascii="Times New Roman" w:eastAsia="Calibri" w:hAnsi="Times New Roman" w:cs="Times New Roman"/>
          <w:color w:val="000000"/>
          <w:kern w:val="0"/>
          <w:sz w:val="24"/>
          <w:szCs w:val="24"/>
          <w:shd w:val="clear" w:color="auto" w:fill="FFFFFF"/>
          <w:lang w:val="en-US"/>
        </w:rPr>
        <w:t xml:space="preserve"> ultimately causes resistance to</w:t>
      </w:r>
      <w:r>
        <w:rPr>
          <w:rFonts w:ascii="Times New Roman" w:eastAsia="Calibri" w:hAnsi="Times New Roman" w:cs="Times New Roman"/>
          <w:color w:val="000000"/>
          <w:kern w:val="0"/>
          <w:sz w:val="24"/>
          <w:szCs w:val="24"/>
          <w:shd w:val="clear" w:color="auto" w:fill="FFFFFF"/>
          <w:lang w:val="en-US"/>
        </w:rPr>
        <w:t xml:space="preserve"> the urine outflow channel and</w:t>
      </w:r>
      <w:r w:rsidR="002F21A7">
        <w:rPr>
          <w:rFonts w:ascii="Times New Roman" w:eastAsia="Calibri" w:hAnsi="Times New Roman" w:cs="Times New Roman"/>
          <w:color w:val="000000"/>
          <w:kern w:val="0"/>
          <w:sz w:val="24"/>
          <w:szCs w:val="24"/>
          <w:shd w:val="clear" w:color="auto" w:fill="FFFFFF"/>
          <w:lang w:val="en-US"/>
        </w:rPr>
        <w:t xml:space="preserve"> resul</w:t>
      </w:r>
      <w:r>
        <w:rPr>
          <w:rFonts w:ascii="Times New Roman" w:eastAsia="Calibri" w:hAnsi="Times New Roman" w:cs="Times New Roman"/>
          <w:color w:val="000000"/>
          <w:kern w:val="0"/>
          <w:sz w:val="24"/>
          <w:szCs w:val="24"/>
          <w:shd w:val="clear" w:color="auto" w:fill="FFFFFF"/>
          <w:lang w:val="en-US"/>
        </w:rPr>
        <w:t xml:space="preserve">ts in bladder remodeling, which </w:t>
      </w:r>
      <w:r w:rsidR="002F21A7">
        <w:rPr>
          <w:rFonts w:ascii="Times New Roman" w:eastAsia="Calibri" w:hAnsi="Times New Roman" w:cs="Times New Roman"/>
          <w:color w:val="000000"/>
          <w:kern w:val="0"/>
          <w:sz w:val="24"/>
          <w:szCs w:val="24"/>
          <w:shd w:val="clear" w:color="auto" w:fill="FFFFFF"/>
          <w:lang w:val="en-US"/>
        </w:rPr>
        <w:t xml:space="preserve">may be dependent on the age of onset, duration, severity and other clinical factors. These changes involve the entire bladder wall with the detrusor muscle/wall being the most sensitive </w:t>
      </w:r>
      <w:proofErr w:type="gramStart"/>
      <w:r w:rsidR="002F21A7">
        <w:rPr>
          <w:rFonts w:ascii="Times New Roman" w:eastAsia="Calibri" w:hAnsi="Times New Roman" w:cs="Times New Roman"/>
          <w:color w:val="000000"/>
          <w:kern w:val="0"/>
          <w:sz w:val="24"/>
          <w:szCs w:val="24"/>
          <w:shd w:val="clear" w:color="auto" w:fill="FFFFFF"/>
          <w:lang w:val="en-US"/>
        </w:rPr>
        <w:t>marker</w:t>
      </w:r>
      <w:r>
        <w:rPr>
          <w:rFonts w:ascii="Times New Roman" w:eastAsia="Calibri" w:hAnsi="Times New Roman" w:cs="Times New Roman"/>
          <w:color w:val="000000"/>
          <w:kern w:val="0"/>
          <w:sz w:val="24"/>
          <w:szCs w:val="24"/>
          <w:shd w:val="clear" w:color="auto" w:fill="FFFFFF"/>
          <w:vertAlign w:val="superscript"/>
          <w:lang w:val="en-US"/>
        </w:rPr>
        <w:t>(</w:t>
      </w:r>
      <w:proofErr w:type="gramEnd"/>
      <w:r>
        <w:rPr>
          <w:rFonts w:ascii="Times New Roman" w:eastAsia="Calibri" w:hAnsi="Times New Roman" w:cs="Times New Roman"/>
          <w:color w:val="000000"/>
          <w:kern w:val="0"/>
          <w:sz w:val="24"/>
          <w:szCs w:val="24"/>
          <w:shd w:val="clear" w:color="auto" w:fill="FFFFFF"/>
          <w:vertAlign w:val="superscript"/>
          <w:lang w:val="en-US"/>
        </w:rPr>
        <w:t>5)</w:t>
      </w:r>
      <w:r w:rsidR="002F21A7">
        <w:rPr>
          <w:rFonts w:ascii="Times New Roman" w:eastAsia="Calibri" w:hAnsi="Times New Roman" w:cs="Times New Roman"/>
          <w:color w:val="000000"/>
          <w:kern w:val="0"/>
          <w:sz w:val="24"/>
          <w:szCs w:val="24"/>
          <w:shd w:val="clear" w:color="auto" w:fill="FFFFFF"/>
          <w:lang w:val="en-US"/>
        </w:rPr>
        <w:t>.</w:t>
      </w:r>
      <w:r w:rsidR="002F21A7">
        <w:rPr>
          <w:rFonts w:ascii="Times New Roman" w:eastAsia="Calibri" w:hAnsi="Times New Roman" w:cs="Times New Roman"/>
          <w:color w:val="000000"/>
          <w:kern w:val="0"/>
          <w:sz w:val="24"/>
          <w:szCs w:val="24"/>
          <w:shd w:val="clear" w:color="auto" w:fill="FFFFFF"/>
          <w:vertAlign w:val="superscript"/>
          <w:lang w:val="en-US"/>
        </w:rPr>
        <w:t xml:space="preserve"> </w:t>
      </w:r>
      <w:r w:rsidR="002F21A7">
        <w:rPr>
          <w:rFonts w:ascii="Times New Roman" w:eastAsia="Calibri" w:hAnsi="Times New Roman" w:cs="Times New Roman"/>
          <w:color w:val="000000"/>
          <w:kern w:val="0"/>
          <w:sz w:val="24"/>
          <w:szCs w:val="24"/>
          <w:lang w:val="en-US"/>
        </w:rPr>
        <w:t>Bladder compensation occurs through detrusor wall hypertrophy with an increase in contractility, to sustain effective bladder e</w:t>
      </w:r>
      <w:r>
        <w:rPr>
          <w:rFonts w:ascii="Times New Roman" w:eastAsia="Calibri" w:hAnsi="Times New Roman" w:cs="Times New Roman"/>
          <w:color w:val="000000"/>
          <w:kern w:val="0"/>
          <w:sz w:val="24"/>
          <w:szCs w:val="24"/>
          <w:lang w:val="en-US"/>
        </w:rPr>
        <w:t>mptying despite the obstruction</w:t>
      </w:r>
      <w:r w:rsidR="002F21A7">
        <w:rPr>
          <w:rFonts w:ascii="Times New Roman" w:eastAsia="Calibri" w:hAnsi="Times New Roman" w:cs="Times New Roman"/>
          <w:kern w:val="0"/>
          <w:sz w:val="24"/>
          <w:szCs w:val="24"/>
        </w:rPr>
        <w:fldChar w:fldCharType="begin"/>
      </w:r>
      <w:r w:rsidR="002F21A7">
        <w:rPr>
          <w:rFonts w:ascii="Times New Roman" w:eastAsia="Calibri" w:hAnsi="Times New Roman" w:cs="Times New Roman"/>
          <w:kern w:val="0"/>
          <w:sz w:val="24"/>
          <w:szCs w:val="24"/>
        </w:rPr>
        <w:instrText>ADDIN CSL_CITATION {"citationItems":[{"id":"ITEM-1","itemData":{"DOI":"10.1016/j.aju.2014.03.003","ISSN":"20905998","abstract":"Objective: To determine from urodynamic data what causes an increased postvoid residual urine volume (PVR) in men with bladder outlet obstruction (BOO), urethral resistance or bladder failure, and to determine how to predict bladder contractility from the PVR. Patients and methods: We analysed retrospectively the pressure-flow studies (PFS) of 90 men with BOO. Nine patients could not void and the remaining 81 were divided into three groups, i.e. A (30 men, PVR &lt; 100 mL), B (30 men, PVR 100-450 mL) and C (21 men, PVR &gt; 450 mL). The division was made according to a receiver operating characteristic curve, showing that using a threshold PVR of 450 mL had the best sensitivity and specificity for detecting the start of bladder failure. Results: The filling phase showed an increase in bladder capacity with the increase in PVR and a significantly lower incidence of detrusor overactivity in group C. The voiding phase showed a significant decrease in voided volume and maximum urinary flow rate (Qmax) as the PVR increased, while the urethral resistance factor (URF) increased from group A to B to C. The detrusor pressure at Qmax (Pdetgmax) and opening pressure were significantly higher in group B, which had the highest bladder contractility index (BCI) and longest duration of contraction. Group C had the lowest BCI and the lowest Pdetgmax. Conclusions: In men with BOO, PVR results from increasing outlet resistance at the start and up to a PVR of 450 mL, where the bladder reaches its maximum compensation. At volumes of &gt;450 mL, both the outlet resistance and bladder failure are working together, leading to detrusor decompensation.","author":[{"dropping-particle":"","family":"Elmissiry","given":"Mostafa M.","non-dropping-particle":"","parse-names":false,"suffix":""},{"dropping-particle":"","family":"Ali","given":"Amr G.","non-dropping-particle":"","parse-names":false,"suffix":""},{"dropping-particle":"","family":"Abulfotooh","given":"Ahmed","non-dropping-particle":"","parse-names":false,"suffix":""},{"dropping-particle":"","family":"Moussa","given":"Ahmed A.","non-dropping-particle":"","parse-names":false,"suffix":""},{"dropping-particle":"","family":"Ali","given":"Gaber A.","non-dropping-particle":"","parse-names":false,"suffix":""}],"container-title":"Arab Journal of Urology","id":"ITEM-1","issue":"3","issued":{"date-parts":[["2014","9","1"]]},"page":"214-218","publisher":"Arab Association of Urology","title":"Factors determining the amount of residual urine in men with bladder outlet obstruction: Could it be a predictor for bladder contractility?","type":"article-journal","volume":"12"},"uris":["http://www.mendeley.com/documents/?uuid=74970064-00a2-3f77-b003-e23cca110420"]}],"mendeley":{"formattedCitation":"(6)","plainTextFormattedCitation":"(6)","previouslyFormattedCitation":"(Elmissiry et al., 2014)"},"properties":{"noteIndex":0},"schema":"https://github.com/citation-style-language/schema/raw/master/csl-citation.json"}</w:instrText>
      </w:r>
      <w:r w:rsidR="002F21A7">
        <w:rPr>
          <w:rFonts w:ascii="Times New Roman" w:eastAsia="Calibri" w:hAnsi="Times New Roman" w:cs="Times New Roman"/>
          <w:kern w:val="0"/>
          <w:sz w:val="24"/>
          <w:szCs w:val="24"/>
        </w:rPr>
        <w:fldChar w:fldCharType="separate"/>
      </w:r>
      <w:r w:rsidR="002F21A7">
        <w:rPr>
          <w:rFonts w:ascii="Times New Roman" w:eastAsia="Calibri" w:hAnsi="Times New Roman" w:cs="Times New Roman"/>
          <w:color w:val="000000"/>
          <w:kern w:val="0"/>
          <w:sz w:val="24"/>
          <w:szCs w:val="24"/>
          <w:vertAlign w:val="superscript"/>
          <w:lang w:val="en-US"/>
        </w:rPr>
        <w:t>(6)</w:t>
      </w:r>
      <w:r w:rsidR="002F21A7">
        <w:rPr>
          <w:rFonts w:ascii="Times New Roman" w:eastAsia="Calibri" w:hAnsi="Times New Roman" w:cs="Times New Roman"/>
          <w:kern w:val="0"/>
          <w:sz w:val="24"/>
          <w:szCs w:val="24"/>
        </w:rPr>
        <w:fldChar w:fldCharType="end"/>
      </w:r>
      <w:r w:rsidR="002F21A7">
        <w:rPr>
          <w:rFonts w:ascii="Times New Roman" w:eastAsia="Calibri" w:hAnsi="Times New Roman" w:cs="Times New Roman"/>
          <w:color w:val="000000"/>
          <w:kern w:val="0"/>
          <w:sz w:val="24"/>
          <w:szCs w:val="24"/>
          <w:lang w:val="en-US"/>
        </w:rPr>
        <w:t xml:space="preserve">. </w:t>
      </w:r>
    </w:p>
    <w:p w14:paraId="7A2FD0AB" w14:textId="77777777" w:rsidR="000E4DFA" w:rsidRDefault="002F21A7" w:rsidP="00A27884">
      <w:pPr>
        <w:spacing w:before="1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While urodynamic studies are considered the gold standard for diagnosis of BOO, radiologists and urologists commonly rely on less invasi</w:t>
      </w:r>
      <w:r w:rsidR="00CE53EC">
        <w:rPr>
          <w:rFonts w:ascii="Times New Roman" w:eastAsia="Calibri" w:hAnsi="Times New Roman" w:cs="Times New Roman"/>
          <w:color w:val="000000"/>
          <w:kern w:val="0"/>
          <w:sz w:val="24"/>
          <w:szCs w:val="24"/>
          <w:lang w:val="en-US"/>
        </w:rPr>
        <w:t>ve studies for its evaluation</w:t>
      </w:r>
      <w:r>
        <w:rPr>
          <w:rFonts w:ascii="Times New Roman" w:eastAsia="Calibri" w:hAnsi="Times New Roman" w:cs="Times New Roman"/>
          <w:color w:val="000000"/>
          <w:kern w:val="0"/>
          <w:sz w:val="24"/>
          <w:szCs w:val="24"/>
          <w:lang w:val="en-US"/>
        </w:rPr>
        <w:t>. Reasons for this may include cost, expertise, availability, invasiveness and potential morbidity of urodynamic studies</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{"citationItems":[{"id":"ITEM-1","itemData":{"DOI":"10.1016/j.afju.2013.03.003","ISSN":"11105704","abstract":"Introduction: The current study aims to compare the diagnostic accuracy of detrusor wall thickness to other noninvasive, tools, using pressure flow studies as a reference, in the assessment of bladder outlet, obstruction among men presenting with lower urinary tract symptoms. Patients and Methods: Men aged 50 or older presenting with lower urinary tract symptoms were evaluated for bladder outlet, obstruction using detrusor wall thickness (measured by a transabdominal 7.5. MHz ultrasound) and, other non-invasive tools (namely uroflowmetry, post-void residual, and prostate volume), and the results were compared to pressure flow study. Results: Detrusor wall thickness ranged from 0.7. mm to 7. mm (mean ± SD of 2.39 ± 1.64 mm), and 21 patients, were classified as obstructed (thickness ≥ 2 mm). Based on pressure flow study 23 patients had, bladder outlet obstruction. Detrusor wall thickness had the highest accuracy (88.0%), the highest, specificity (92.6%) and the highest positive predictive value (90.5%) among the non-invasive tests. Conclusions: Detrusor wall thickness measurement can be used to diagnose and quantify bladder outlet obstruction, non-invasively in men with lower urinary tract symptoms, with an accuracy approaching that of the standard pressure flow studies. © 2013 Pan African Urological Surgeons' Association.","author":[{"dropping-particle":"","family":"ElSaied","given":"W.","non-dropping-particle":"","parse-names":false,"suffix":""},{"dropping-particle":"","family":"Mosharafa","given":"A.","non-dropping-particle":"","parse-names":false,"suffix":""},{"dropping-particle":"","family":"ElFayoumy","given":"H.","non-dropping-particle":"","parse-names":false,"suffix":""},{"dropping-particle":"","family":"ElGhoniemy","given":"M.","non-dropping-particle":"","parse-names":false,"suffix":""},{"dropping-particle":"","family":"Ziada","given":"A.","non-dropping-particle":"","parse-names":false,"suffix":""},{"dropping-particle":"","family":"ElGhamrawy","given":"H.","non-dropping-particle":"","parse-names":false,"suffix":""},{"dropping-particle":"","family":"Ibrahim","given":"A.","non-dropping-particle":"","parse-names":false,"suffix":""},{"dropping-particle":"","family":"Abdel-Azim","given":"M.","non-dropping-particle":"","parse-names":false,"suffix":""}],"container-title":"African Journal of Urology","id":"ITEM-1","issue":"4","issued":{"date-parts":[["2013"]]},"page":"160-164","publisher":"Pan African Urological Surgeons' Association.","title":"Detrusor wall thickness compared to other non-invasive methods in diagnosing men with bladder outlet obstruction: A prospective controlled study","type":"article-journal","volume":"19"},"uris":["http://www.mendeley.com/documents/?uuid=8b9c5275-764c-4fc8-8ded-2295ec3fd966"]}],"mendeley":{"formattedCitation":"(7)","plainTextFormattedCitation":"(7)","previouslyFormattedCitation":"(ElSaied et al., 2013)"},"properties":{"noteIndex":0},"schema":"https://github.com/citation-style-language/schema/raw/master/csl-citation.json"}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(7)</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w:t>
      </w:r>
    </w:p>
    <w:p w14:paraId="176519B3" w14:textId="77777777" w:rsidR="000E4DFA" w:rsidRDefault="002F21A7" w:rsidP="00A27884">
      <w:pPr>
        <w:spacing w:before="1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Ultras</w:t>
      </w:r>
      <w:r w:rsidR="00CE53EC">
        <w:rPr>
          <w:rFonts w:ascii="Times New Roman" w:eastAsia="Calibri" w:hAnsi="Times New Roman" w:cs="Times New Roman"/>
          <w:color w:val="000000"/>
          <w:kern w:val="0"/>
          <w:sz w:val="24"/>
          <w:szCs w:val="24"/>
          <w:lang w:val="en-US"/>
        </w:rPr>
        <w:t>onographic assessment has proven</w:t>
      </w:r>
      <w:r>
        <w:rPr>
          <w:rFonts w:ascii="Times New Roman" w:eastAsia="Calibri" w:hAnsi="Times New Roman" w:cs="Times New Roman"/>
          <w:color w:val="000000"/>
          <w:kern w:val="0"/>
          <w:sz w:val="24"/>
          <w:szCs w:val="24"/>
          <w:lang w:val="en-US"/>
        </w:rPr>
        <w:t xml:space="preserve"> to be very useful in this regard, as it provides reliable and quick information on </w:t>
      </w:r>
      <w:r w:rsidRPr="00EF7607">
        <w:rPr>
          <w:rFonts w:ascii="Times New Roman" w:eastAsia="Calibri" w:hAnsi="Times New Roman" w:cs="Times New Roman"/>
          <w:color w:val="000000"/>
          <w:kern w:val="0"/>
          <w:sz w:val="24"/>
          <w:szCs w:val="24"/>
          <w:lang w:val="en-US"/>
        </w:rPr>
        <w:t>DWT, PVR and Prostate</w:t>
      </w:r>
      <w:r>
        <w:rPr>
          <w:rFonts w:ascii="Times New Roman" w:eastAsia="Calibri" w:hAnsi="Times New Roman" w:cs="Times New Roman"/>
          <w:color w:val="000000"/>
          <w:kern w:val="0"/>
          <w:sz w:val="24"/>
          <w:szCs w:val="24"/>
          <w:lang w:val="en-US"/>
        </w:rPr>
        <w:t xml:space="preserve"> volume</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{"citationItems":[{"id":"ITEM-1","itemData":{"DOI":"10.1016/j.afju.2013.03.003","ISSN":"11105704","abstract":"Introduction: The current study aims to compare the diagnostic accuracy of detrusor wall thickness to other noninvasive, tools, using pressure flow studies as a reference, in the assessment of bladder outlet, obstruction among men presenting with lower urinary tract symptoms. Patients and Methods: Men aged 50 or older presenting with lower urinary tract symptoms were evaluated for bladder outlet, obstruction using detrusor wall thickness (measured by a transabdominal 7.5. MHz ultrasound) and, other non-invasive tools (namely uroflowmetry, post-void residual, and prostate volume), and the results were compared to pressure flow study. Results: Detrusor wall thickness ranged from 0.7. mm to 7. mm (mean ± SD of 2.39 ± 1.64 mm), and 21 patients, were classified as obstructed (thickness ≥ 2 mm). Based on pressure flow study 23 patients had, bladder outlet obstruction. Detrusor wall thickness had the highest accuracy (88.0%), the highest, specificity (92.6%) and the highest positive predictive value (90.5%) among the non-invasive tests. Conclusions: Detrusor wall thickness measurement can be used to diagnose and quantify bladder outlet obstruction, non-invasively in men with lower urinary tract symptoms, with an accuracy approaching that of the standard pressure flow studies. © 2013 Pan African Urological Surgeons' Association.","author":[{"dropping-particle":"","family":"ElSaied","given":"W.","non-dropping-particle":"","parse-names":false,"suffix":""},{"dropping-particle":"","family":"Mosharafa","given":"A.","non-dropping-particle":"","parse-names":false,"suffix":""},{"dropping-particle":"","family":"ElFayoumy","given":"H.","non-dropping-particle":"","parse-names":false,"suffix":""},{"dropping-particle":"","family":"ElGhoniemy","given":"M.","non-dropping-particle":"","parse-names":false,"suffix":""},{"dropping-particle":"","family":"Ziada","given":"A.","non-dropping-particle":"","parse-names":false,"suffix":""},{"dropping-particle":"","family":"ElGhamrawy","given":"H.","non-dropping-particle":"","parse-names":false,"suffix":""},{"dropping-particle":"","family":"Ibrahim","given":"A.","non-dropping-particle":"","parse-names":false,"suffix":""},{"dropping-particle":"","family":"Abdel-Azim","given":"M.","non-dropping-particle":"","parse-names":false,"suffix":""}],"container-title":"African Journal of Urology","id":"ITEM-1","issue":"4","issued":{"date-parts":[["2013"]]},"page":"160-164","publisher":"Pan African Urological Surgeons' Association.","title":"Detrusor wall thickness compared to other non-invasive methods in diagnosing men with bladder outlet obstruction: A prospective controlled study","type":"article-journal","volume":"19"},"uris":["http://www.mendeley.com/documents/?uuid=8b9c5275-764c-4fc8-8ded-2295ec3fd966"]}],"mendeley":{"formattedCitation":"(7)","plainTextFormattedCitation":"(7)","previouslyFormattedCitation":"(ElSaied et al., 2013)"},"properties":{"noteIndex":0},"schema":"https://github.com/citation-style-language/schema/raw/master/csl-citation.json"}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(7)</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xml:space="preserve">. Studies have published ultrasound measurement of DWT as a useful tool in assessing and </w:t>
      </w:r>
      <w:r>
        <w:rPr>
          <w:rFonts w:ascii="Times New Roman" w:eastAsia="Calibri" w:hAnsi="Times New Roman" w:cs="Times New Roman"/>
          <w:color w:val="000000"/>
          <w:kern w:val="0"/>
          <w:sz w:val="24"/>
          <w:szCs w:val="24"/>
          <w:lang w:val="en-US"/>
        </w:rPr>
        <w:lastRenderedPageBreak/>
        <w:t xml:space="preserve">predicting BOO in the absence of urodynamic studies (UDS); however its influence can be negatively influenced by inadequate bladder filling at the time of measurement </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{"citationItems":[{"id":"ITEM-1","itemData":{"DOI":"10.1016/j.afju.2013.03.003","ISSN":"11105704","abstract":"Introduction: The current study aims to compare the diagnostic accuracy of detrusor wall thickness to other noninvasive, tools, using pressure flow studies as a reference, in the assessment of bladder outlet, obstruction among men presenting with lower urinary tract symptoms. Patients and Methods: Men aged 50 or older presenting with lower urinary tract symptoms were evaluated for bladder outlet, obstruction using detrusor wall thickness (measured by a transabdominal 7.5. MHz ultrasound) and, other non-invasive tools (namely uroflowmetry, post-void residual, and prostate volume), and the results were compared to pressure flow study. Results: Detrusor wall thickness ranged from 0.7. mm to 7. mm (mean ± SD of 2.39 ± 1.64 mm), and 21 patients, were classified as obstructed (thickness ≥ 2 mm). Based on pressure flow study 23 patients had, bladder outlet obstruction. Detrusor wall thickness had the highest accuracy (88.0%), the highest, specificity (92.6%) and the highest positive predictive value (90.5%) among the non-invasive tests. Conclusions: Detrusor wall thickness measurement can be used to diagnose and quantify bladder outlet obstruction, non-invasively in men with lower urinary tract symptoms, with an accuracy approaching that of the standard pressure flow studies. © 2013 Pan African Urological Surgeons' Association.","author":[{"dropping-particle":"","family":"ElSaied","given":"W.","non-dropping-particle":"","parse-names":false,"suffix":""},{"dropping-particle":"","family":"Mosharafa","given":"A.","non-dropping-particle":"","parse-names":false,"suffix":""},{"dropping-particle":"","family":"ElFayoumy","given":"H.","non-dropping-particle":"","parse-names":false,"suffix":""},{"dropping-particle":"","family":"ElGhoniemy","given":"M.","non-dropping-particle":"","parse-names":false,"suffix":""},{"dropping-particle":"","family":"Ziada","given":"A.","non-dropping-particle":"","parse-names":false,"suffix":""},{"dropping-particle":"","family":"ElGhamrawy","given":"H.","non-dropping-particle":"","parse-names":false,"suffix":""},{"dropping-particle":"","family":"Ibrahim","given":"A.","non-dropping-particle":"","parse-names":false,"suffix":""},{"dropping-particle":"","family":"Abdel-Azim","given":"M.","non-dropping-particle":"","parse-names":false,"suffix":""}],"container-title":"African Journal of Urology","id":"ITEM-1","issue":"4","issued":{"date-parts":[["2013"]]},"page":"160-164","publisher":"Pan African Urological Surgeons' Association.","title":"Detrusor wall thickness compared to other non-invasive methods in diagnosing men with bladder outlet obstruction: A prospective controlled study","type":"article-journal","volume":"19"},"uris":["http://www.mendeley.com/documents/?uuid=8b9c5275-764c-4fc8-8ded-2295ec3fd966"]}],"mendeley":{"formattedCitation":"(7)","plainTextFormattedCitation":"(7)","previouslyFormattedCitation":"(ElSaied et al., 2013)"},"properties":{"noteIndex":0},"schema":"https://github.com/citation-style-language/schema/raw/master/csl-citation.json"}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(7)</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International prostate symptom scoring was developed by the American Urological Association to assess the severity of LUTS in adult men being managed for BPH</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{"citationItems":[{"id":"ITEM-1","itemData":{"URL":"https://onlinelibrary.wiley.com/doi/full/10.1111/luts.12220","accessed":{"date-parts":[["2021","5","12"]]},"id":"ITEM-1","issued":{"date-parts":[["0"]]},"title":"Effect of lower urinary tract symptoms on the quality of life and sexual function of males in China, Taiwan, and South Korea: Subgroup analysis of a cross‐sectional, population‐based study - Liao - 2019 - LUTS: Lower Urinary Tract Symptoms - Wiley Online ","type":"webpage"},"uris":["http://www.mendeley.com/documents/?uuid=9d96785c-87e0-3846-a5c5-47b6c612127c"]}],"mendeley":{"formattedCitation":"(2)","plainTextFormattedCitation":"(2)","previouslyFormattedCitation":"(&lt;i&gt;Effect of Lower Urinary Tract Symptoms on the Quality of Life and Sexual Function of Males in China, Taiwan, and South Korea: Subgroup Analysis of a Cross‐sectional, Population‐based Study - Liao - 2019 - LUTS: Lower Urinary Tract Symptoms - Wiley Online &lt;/i&gt;,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(2)</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Its components are divided into storage symptoms and voiding symptoms, the resultant score classifying patients with varying severity into mild, moderate, and severe</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{"citationItems":[{"id":"ITEM-1","itemData":{"URL":"https://onlinelibrary.wiley.com/doi/full/10.1111/luts.12220","accessed":{"date-parts":[["2021","5","12"]]},"id":"ITEM-1","issued":{"date-parts":[["0"]]},"title":"Effect of lower urinary tract symptoms on the quality of life and sexual function of males in China, Taiwan, and South Korea: Subgroup analysis of a cross‐sectional, population‐based study - Liao - 2019 - LUTS: Lower Urinary Tract Symptoms - Wiley Online ","type":"webpage"},"uris":["http://www.mendeley.com/documents/?uuid=9d96785c-87e0-3846-a5c5-47b6c612127c"]}],"mendeley":{"formattedCitation":"(2)","plainTextFormattedCitation":"(2)","previouslyFormattedCitation":"(&lt;i&gt;Effect of Lower Urinary Tract Symptoms on the Quality of Life and Sexual Function of Males in China, Taiwan, and South Korea: Subgroup Analysis of a Cross‐sectional, Population‐based Study - Liao - 2019 - LUTS: Lower Urinary Tract Symptoms - Wiley Online &lt;/i&gt;,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(2)</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w:t>
      </w:r>
      <w:r>
        <w:rPr>
          <w:rFonts w:ascii="Times New Roman" w:eastAsia="Calibri" w:hAnsi="Times New Roman" w:cs="Times New Roman"/>
          <w:color w:val="000000"/>
          <w:kern w:val="0"/>
          <w:sz w:val="24"/>
          <w:szCs w:val="24"/>
          <w:vertAlign w:val="superscript"/>
          <w:lang w:val="en-US"/>
        </w:rPr>
        <w:t xml:space="preserve"> </w:t>
      </w:r>
      <w:r>
        <w:rPr>
          <w:rFonts w:ascii="Times New Roman" w:eastAsia="Calibri" w:hAnsi="Times New Roman" w:cs="Times New Roman"/>
          <w:color w:val="000000"/>
          <w:kern w:val="0"/>
          <w:sz w:val="24"/>
          <w:szCs w:val="24"/>
          <w:lang w:val="en-US"/>
        </w:rPr>
        <w:t>Given the aforementioned shortcomings of urodynamic studies, it is pertinent to devise a quick, cheap, and reliable method of objectively evaluating BOO and relate it directly with clinical symptoms.</w:t>
      </w:r>
    </w:p>
    <w:p w14:paraId="1C9798F5" w14:textId="77777777" w:rsidR="000E4DFA" w:rsidRDefault="002F21A7" w:rsidP="00A27884">
      <w:pPr>
        <w:spacing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 xml:space="preserve">This is the gap that this </w:t>
      </w:r>
      <w:r w:rsidR="00811E86">
        <w:rPr>
          <w:rFonts w:ascii="Times New Roman" w:eastAsia="Calibri" w:hAnsi="Times New Roman" w:cs="Times New Roman"/>
          <w:color w:val="000000"/>
          <w:kern w:val="0"/>
          <w:sz w:val="24"/>
          <w:szCs w:val="24"/>
          <w:lang w:val="en-US"/>
        </w:rPr>
        <w:t>study aims to fill by utilizing ultrasonography to study d</w:t>
      </w:r>
      <w:r>
        <w:rPr>
          <w:rFonts w:ascii="Times New Roman" w:eastAsia="Calibri" w:hAnsi="Times New Roman" w:cs="Times New Roman"/>
          <w:color w:val="000000"/>
          <w:kern w:val="0"/>
          <w:sz w:val="24"/>
          <w:szCs w:val="24"/>
          <w:lang w:val="en-US"/>
        </w:rPr>
        <w:t>etr</w:t>
      </w:r>
      <w:r w:rsidR="00811E86">
        <w:rPr>
          <w:rFonts w:ascii="Times New Roman" w:eastAsia="Calibri" w:hAnsi="Times New Roman" w:cs="Times New Roman"/>
          <w:color w:val="000000"/>
          <w:kern w:val="0"/>
          <w:sz w:val="24"/>
          <w:szCs w:val="24"/>
          <w:lang w:val="en-US"/>
        </w:rPr>
        <w:t>usor wall thickness and to correlate it with the IPSS</w:t>
      </w:r>
      <w:r>
        <w:rPr>
          <w:rFonts w:ascii="Times New Roman" w:eastAsia="Calibri" w:hAnsi="Times New Roman" w:cs="Times New Roman"/>
          <w:color w:val="000000"/>
          <w:kern w:val="0"/>
          <w:sz w:val="24"/>
          <w:szCs w:val="24"/>
          <w:lang w:val="en-US"/>
        </w:rPr>
        <w:t xml:space="preserve"> in adult male patients with LUTS</w:t>
      </w:r>
      <w:r w:rsidR="00811E86">
        <w:rPr>
          <w:rFonts w:ascii="Times New Roman" w:eastAsia="Calibri" w:hAnsi="Times New Roman" w:cs="Times New Roman"/>
          <w:color w:val="000000"/>
          <w:kern w:val="0"/>
          <w:sz w:val="24"/>
          <w:szCs w:val="24"/>
          <w:lang w:val="en-US"/>
        </w:rPr>
        <w:t>.</w:t>
      </w:r>
      <w:r w:rsidR="00A27884">
        <w:rPr>
          <w:rFonts w:ascii="Times New Roman" w:eastAsia="Calibri" w:hAnsi="Times New Roman" w:cs="Times New Roman"/>
          <w:color w:val="000000"/>
          <w:kern w:val="0"/>
          <w:sz w:val="24"/>
          <w:szCs w:val="24"/>
          <w:lang w:val="en-US"/>
        </w:rPr>
        <w:t xml:space="preserve"> </w:t>
      </w:r>
      <w:r w:rsidR="00290F19">
        <w:rPr>
          <w:rFonts w:ascii="Times New Roman" w:eastAsia="Calibri" w:hAnsi="Times New Roman" w:cs="Times New Roman"/>
          <w:color w:val="000000"/>
          <w:kern w:val="0"/>
          <w:sz w:val="24"/>
          <w:szCs w:val="24"/>
          <w:lang w:val="en-US"/>
        </w:rPr>
        <w:t>Ultrasound measurement of d</w:t>
      </w:r>
      <w:r>
        <w:rPr>
          <w:rFonts w:ascii="Times New Roman" w:eastAsia="Calibri" w:hAnsi="Times New Roman" w:cs="Times New Roman"/>
          <w:color w:val="000000"/>
          <w:kern w:val="0"/>
          <w:sz w:val="24"/>
          <w:szCs w:val="24"/>
          <w:lang w:val="en-US"/>
        </w:rPr>
        <w:t xml:space="preserve">etrusor wall thickness has a non-invasive advantage in the assessment of the urinary bladder wall and its response to lower urinary tract dysfunction. </w:t>
      </w:r>
    </w:p>
    <w:p w14:paraId="7ED3B9EE" w14:textId="77777777" w:rsidR="000E4DFA" w:rsidRDefault="002F21A7" w:rsidP="00A27884">
      <w:pPr>
        <w:spacing w:before="1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Ultrasound measurement of DWT and Post-void urine volume may be used in epidemiological studies involving many symptomatic patients. It may also be employed in healthy individuals for screening purposes and may help to identify individuals at risk of LUTS. This method ca</w:t>
      </w:r>
      <w:r w:rsidR="00290F19">
        <w:rPr>
          <w:rFonts w:ascii="Times New Roman" w:eastAsia="Calibri" w:hAnsi="Times New Roman" w:cs="Times New Roman"/>
          <w:color w:val="000000"/>
          <w:kern w:val="0"/>
          <w:sz w:val="24"/>
          <w:szCs w:val="24"/>
          <w:lang w:val="en-US"/>
        </w:rPr>
        <w:t>n also be readily added to the u</w:t>
      </w:r>
      <w:r>
        <w:rPr>
          <w:rFonts w:ascii="Times New Roman" w:eastAsia="Calibri" w:hAnsi="Times New Roman" w:cs="Times New Roman"/>
          <w:color w:val="000000"/>
          <w:kern w:val="0"/>
          <w:sz w:val="24"/>
          <w:szCs w:val="24"/>
          <w:lang w:val="en-US"/>
        </w:rPr>
        <w:t>ltrasound protocol for pelvic assessment in men. With DWT as a sensitive marker for LUTS, standardizing its measurement may help in guiding management protocol in patients with BPH-related LUTS.</w:t>
      </w:r>
    </w:p>
    <w:p w14:paraId="1B90D1E1" w14:textId="77777777" w:rsidR="000E4DFA" w:rsidRDefault="002F21A7" w:rsidP="00A27884">
      <w:pPr>
        <w:spacing w:before="1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Hence, this study will undoubtedly add to the pool of existing information and may improve our understanding of the disease for better management and general patient improvement.</w:t>
      </w:r>
    </w:p>
    <w:p w14:paraId="1DD0664E" w14:textId="77777777" w:rsidR="00A27884" w:rsidRDefault="00A27884" w:rsidP="00A27884">
      <w:pPr>
        <w:spacing w:before="100" w:line="360" w:lineRule="auto"/>
        <w:rPr>
          <w:rFonts w:ascii="Times New Roman" w:eastAsia="Times New Roman" w:hAnsi="Times New Roman" w:cs="Times New Roman"/>
          <w:color w:val="000000"/>
          <w:kern w:val="0"/>
          <w:sz w:val="24"/>
          <w:szCs w:val="24"/>
          <w:lang w:val="en-US"/>
        </w:rPr>
      </w:pPr>
    </w:p>
    <w:p w14:paraId="5EF16F56" w14:textId="77777777" w:rsidR="000E4DFA" w:rsidRDefault="002F21A7" w:rsidP="00A27884">
      <w:pPr>
        <w:spacing w:before="100" w:after="200" w:line="360" w:lineRule="auto"/>
        <w:rPr>
          <w:rFonts w:ascii="Times New Roman" w:eastAsia="Calibri" w:hAnsi="Times New Roman" w:cs="Times New Roman"/>
          <w:b/>
          <w:color w:val="000000"/>
          <w:kern w:val="0"/>
          <w:sz w:val="24"/>
          <w:szCs w:val="24"/>
          <w:lang w:val="en-US"/>
        </w:rPr>
      </w:pPr>
      <w:r>
        <w:rPr>
          <w:rFonts w:ascii="Times New Roman" w:eastAsia="Calibri" w:hAnsi="Times New Roman" w:cs="Times New Roman"/>
          <w:b/>
          <w:color w:val="000000"/>
          <w:kern w:val="0"/>
          <w:sz w:val="24"/>
          <w:szCs w:val="24"/>
          <w:lang w:val="en-US"/>
        </w:rPr>
        <w:t>MATERIALS AND METHODS</w:t>
      </w:r>
    </w:p>
    <w:p w14:paraId="6F492E80" w14:textId="77777777" w:rsidR="000E4DFA" w:rsidRDefault="002F21A7" w:rsidP="00A27884">
      <w:pPr>
        <w:spacing w:before="100" w:after="2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This study was a</w:t>
      </w:r>
      <w:r w:rsidR="00B85D41">
        <w:rPr>
          <w:rFonts w:ascii="Times New Roman" w:eastAsia="Calibri" w:hAnsi="Times New Roman" w:cs="Times New Roman"/>
          <w:color w:val="000000"/>
          <w:kern w:val="0"/>
          <w:sz w:val="24"/>
          <w:szCs w:val="24"/>
          <w:lang w:val="en-US"/>
        </w:rPr>
        <w:t xml:space="preserve"> prospective,</w:t>
      </w:r>
      <w:r>
        <w:rPr>
          <w:rFonts w:ascii="Times New Roman" w:eastAsia="Calibri" w:hAnsi="Times New Roman" w:cs="Times New Roman"/>
          <w:color w:val="000000"/>
          <w:kern w:val="0"/>
          <w:sz w:val="24"/>
          <w:szCs w:val="24"/>
          <w:lang w:val="en-US"/>
        </w:rPr>
        <w:t xml:space="preserve"> cross-sectional study, conducted at the Radiology Department of the Nnamdi Azikiwe University Teaching Hospital (NAUTH) Nnewi</w:t>
      </w:r>
      <w:r w:rsidR="00EA427B">
        <w:rPr>
          <w:rFonts w:ascii="Times New Roman" w:eastAsia="Calibri" w:hAnsi="Times New Roman" w:cs="Times New Roman"/>
          <w:color w:val="000000"/>
          <w:kern w:val="0"/>
          <w:sz w:val="24"/>
          <w:szCs w:val="24"/>
          <w:lang w:val="en-US"/>
        </w:rPr>
        <w:t>,</w:t>
      </w:r>
      <w:r>
        <w:rPr>
          <w:rFonts w:ascii="Times New Roman" w:eastAsia="Calibri" w:hAnsi="Times New Roman" w:cs="Times New Roman"/>
          <w:color w:val="000000"/>
          <w:kern w:val="0"/>
          <w:sz w:val="24"/>
          <w:szCs w:val="24"/>
          <w:lang w:val="en-US"/>
        </w:rPr>
        <w:t xml:space="preserve"> and was carried out over a 6-month period from December 2023 to June 2024.</w:t>
      </w:r>
    </w:p>
    <w:p w14:paraId="6589D2CB" w14:textId="77777777" w:rsidR="000E4DFA" w:rsidRPr="00586BA2" w:rsidRDefault="002F21A7" w:rsidP="00A27884">
      <w:pPr>
        <w:spacing w:before="100" w:after="200" w:line="360" w:lineRule="auto"/>
        <w:rPr>
          <w:rFonts w:ascii="Times New Roman" w:eastAsia="Calibri" w:hAnsi="Times New Roman" w:cs="Times New Roman"/>
          <w:b/>
          <w:kern w:val="0"/>
          <w:sz w:val="24"/>
          <w:szCs w:val="24"/>
          <w:lang w:val="en-US"/>
        </w:rPr>
      </w:pPr>
      <w:r w:rsidRPr="00586BA2">
        <w:rPr>
          <w:rFonts w:ascii="Times New Roman" w:eastAsia="Calibri" w:hAnsi="Times New Roman" w:cs="Times New Roman"/>
          <w:kern w:val="0"/>
          <w:sz w:val="24"/>
          <w:szCs w:val="24"/>
          <w:lang w:val="en-US"/>
        </w:rPr>
        <w:lastRenderedPageBreak/>
        <w:t xml:space="preserve">NAUTH is a Federal government-owned tertiary hospital located in Nnewi, a Suburban town in Anambra State, South-East Nigeria. The geographical coordinates  of  Nnewi is </w:t>
      </w:r>
      <w:r w:rsidRPr="00586BA2">
        <w:rPr>
          <w:rFonts w:ascii="Times New Roman" w:eastAsia="Calibri" w:hAnsi="Times New Roman" w:cs="Times New Roman"/>
          <w:kern w:val="0"/>
          <w:sz w:val="24"/>
          <w:szCs w:val="24"/>
          <w:shd w:val="clear" w:color="auto" w:fill="FFFFFF"/>
          <w:lang w:val="en-US"/>
        </w:rPr>
        <w:t>6.0105° N, 6.9103° E</w:t>
      </w:r>
      <w:r w:rsidRPr="00586BA2">
        <w:rPr>
          <w:rFonts w:ascii="Times New Roman" w:eastAsia="Calibri" w:hAnsi="Times New Roman" w:cs="Times New Roman"/>
          <w:kern w:val="0"/>
          <w:sz w:val="24"/>
          <w:szCs w:val="24"/>
          <w:lang w:val="en-US"/>
        </w:rPr>
        <w:t>, with a population of 391,227 according to the 2006 national census</w:t>
      </w:r>
      <w:r w:rsidRPr="00586BA2">
        <w:rPr>
          <w:rFonts w:ascii="Times New Roman" w:eastAsia="Calibri" w:hAnsi="Times New Roman" w:cs="Times New Roman"/>
          <w:kern w:val="0"/>
          <w:sz w:val="24"/>
          <w:szCs w:val="24"/>
        </w:rPr>
        <w:fldChar w:fldCharType="begin"/>
      </w:r>
      <w:r w:rsidRPr="00586BA2">
        <w:rPr>
          <w:rFonts w:ascii="Times New Roman" w:eastAsia="Calibri" w:hAnsi="Times New Roman" w:cs="Times New Roman"/>
          <w:kern w:val="0"/>
          <w:sz w:val="24"/>
          <w:szCs w:val="24"/>
        </w:rPr>
        <w:instrText>ADDIN CSL_CITATION {"citationItems":[{"id":"ITEM-1","itemData":{"URL":"https://nigeria.opendataforafrica.org/ifpbxbd/state-population-2006","accessed":{"date-parts":[["2021","9","29"]]},"id":"ITEM-1","issued":{"date-parts":[["0"]]},"title":"State Population, 2006 - Nigeria Data Portal","type":"webpage"},"uris":["http://www.mendeley.com/documents/?uuid=ed26924c-4be4-3d8d-8748-558b52b08593"]}],"mendeley":{"formattedCitation":"(79)","plainTextFormattedCitation":"(79)","previouslyFormattedCitation":"(&lt;i&gt;State Population, 2006 - Nigeria Data Portal&lt;/i&gt;, n.d.)"},"properties":{"noteIndex":0},"schema":"https://github.com/citation-style-language/schema/raw/master/csl-citation.json"}</w:instrText>
      </w:r>
      <w:r w:rsidRPr="00586BA2">
        <w:rPr>
          <w:rFonts w:ascii="Times New Roman" w:eastAsia="Calibri" w:hAnsi="Times New Roman" w:cs="Times New Roman"/>
          <w:kern w:val="0"/>
          <w:sz w:val="24"/>
          <w:szCs w:val="24"/>
        </w:rPr>
        <w:fldChar w:fldCharType="separate"/>
      </w:r>
      <w:r w:rsidRPr="00586BA2">
        <w:rPr>
          <w:rFonts w:ascii="Times New Roman" w:eastAsia="Calibri" w:hAnsi="Times New Roman" w:cs="Times New Roman"/>
          <w:kern w:val="0"/>
          <w:sz w:val="24"/>
          <w:szCs w:val="24"/>
          <w:vertAlign w:val="superscript"/>
          <w:lang w:val="en-US"/>
        </w:rPr>
        <w:t>(8)</w:t>
      </w:r>
      <w:r w:rsidRPr="00586BA2">
        <w:rPr>
          <w:rFonts w:ascii="Times New Roman" w:eastAsia="Calibri" w:hAnsi="Times New Roman" w:cs="Times New Roman"/>
          <w:kern w:val="0"/>
          <w:sz w:val="24"/>
          <w:szCs w:val="24"/>
        </w:rPr>
        <w:fldChar w:fldCharType="end"/>
      </w:r>
      <w:r w:rsidRPr="00586BA2">
        <w:rPr>
          <w:rFonts w:ascii="Times New Roman" w:eastAsia="Calibri" w:hAnsi="Times New Roman" w:cs="Times New Roman"/>
          <w:kern w:val="0"/>
          <w:sz w:val="24"/>
          <w:szCs w:val="24"/>
          <w:lang w:val="en-US"/>
        </w:rPr>
        <w:t>. Its population consists mainly of industrialists, traders, civil servants, and students.</w:t>
      </w:r>
    </w:p>
    <w:p w14:paraId="73689DF8" w14:textId="77777777" w:rsidR="000E4DFA" w:rsidRDefault="00EF7607" w:rsidP="00A27884">
      <w:pPr>
        <w:spacing w:before="100" w:after="2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The study population includ</w:t>
      </w:r>
      <w:r w:rsidR="002F21A7">
        <w:rPr>
          <w:rFonts w:ascii="Times New Roman" w:eastAsia="Calibri" w:hAnsi="Times New Roman" w:cs="Times New Roman"/>
          <w:color w:val="000000"/>
          <w:kern w:val="0"/>
          <w:sz w:val="24"/>
          <w:szCs w:val="24"/>
          <w:lang w:val="en-US"/>
        </w:rPr>
        <w:t>ed</w:t>
      </w:r>
      <w:r w:rsidR="00B85D41">
        <w:rPr>
          <w:rFonts w:ascii="Times New Roman" w:eastAsia="Calibri" w:hAnsi="Times New Roman" w:cs="Times New Roman"/>
          <w:color w:val="000000"/>
          <w:kern w:val="0"/>
          <w:sz w:val="24"/>
          <w:szCs w:val="24"/>
          <w:lang w:val="en-US"/>
        </w:rPr>
        <w:t xml:space="preserve">   male</w:t>
      </w:r>
      <w:r w:rsidR="002F21A7">
        <w:rPr>
          <w:rFonts w:ascii="Times New Roman" w:eastAsia="Calibri" w:hAnsi="Times New Roman" w:cs="Times New Roman"/>
          <w:color w:val="000000"/>
          <w:kern w:val="0"/>
          <w:sz w:val="24"/>
          <w:szCs w:val="24"/>
          <w:lang w:val="en-US"/>
        </w:rPr>
        <w:t xml:space="preserve"> patients with LUTS</w:t>
      </w:r>
      <w:r w:rsidR="00F776DC">
        <w:rPr>
          <w:rFonts w:ascii="Times New Roman" w:eastAsia="Calibri" w:hAnsi="Times New Roman" w:cs="Times New Roman"/>
          <w:color w:val="000000"/>
          <w:kern w:val="0"/>
          <w:sz w:val="24"/>
          <w:szCs w:val="24"/>
          <w:lang w:val="en-US"/>
        </w:rPr>
        <w:t xml:space="preserve"> and aged 50 years and above,</w:t>
      </w:r>
      <w:r w:rsidR="002F21A7">
        <w:rPr>
          <w:rFonts w:ascii="Times New Roman" w:eastAsia="Calibri" w:hAnsi="Times New Roman" w:cs="Times New Roman"/>
          <w:color w:val="000000"/>
          <w:kern w:val="0"/>
          <w:sz w:val="24"/>
          <w:szCs w:val="24"/>
          <w:lang w:val="en-US"/>
        </w:rPr>
        <w:t xml:space="preserve"> referred from the Ac</w:t>
      </w:r>
      <w:r w:rsidR="00566EC4">
        <w:rPr>
          <w:rFonts w:ascii="Times New Roman" w:eastAsia="Calibri" w:hAnsi="Times New Roman" w:cs="Times New Roman"/>
          <w:color w:val="000000"/>
          <w:kern w:val="0"/>
          <w:sz w:val="24"/>
          <w:szCs w:val="24"/>
          <w:lang w:val="en-US"/>
        </w:rPr>
        <w:t xml:space="preserve">cident and Emergency, surgical ward, surgical clinic and general outpatient clinic </w:t>
      </w:r>
      <w:r w:rsidR="00267313">
        <w:rPr>
          <w:rFonts w:ascii="Times New Roman" w:eastAsia="Calibri" w:hAnsi="Times New Roman" w:cs="Times New Roman"/>
          <w:color w:val="000000"/>
          <w:kern w:val="0"/>
          <w:sz w:val="24"/>
          <w:szCs w:val="24"/>
          <w:lang w:val="en-US"/>
        </w:rPr>
        <w:t>of NAUTH and a</w:t>
      </w:r>
      <w:r w:rsidR="002F21A7">
        <w:rPr>
          <w:rFonts w:ascii="Times New Roman" w:eastAsia="Calibri" w:hAnsi="Times New Roman" w:cs="Times New Roman"/>
          <w:color w:val="000000"/>
          <w:kern w:val="0"/>
          <w:sz w:val="24"/>
          <w:szCs w:val="24"/>
          <w:lang w:val="en-US"/>
        </w:rPr>
        <w:t xml:space="preserve">ll new male patients </w:t>
      </w:r>
      <w:r w:rsidR="002F21A7">
        <w:rPr>
          <w:rFonts w:ascii="Times New Roman" w:eastAsia="Calibri" w:hAnsi="Times New Roman" w:cs="Times New Roman"/>
          <w:color w:val="000000"/>
          <w:kern w:val="0"/>
          <w:sz w:val="24"/>
          <w:szCs w:val="24"/>
          <w:u w:val="single"/>
          <w:lang w:val="en-US"/>
        </w:rPr>
        <w:t>&gt;</w:t>
      </w:r>
      <w:r w:rsidR="002F21A7">
        <w:rPr>
          <w:rFonts w:ascii="Times New Roman" w:eastAsia="Calibri" w:hAnsi="Times New Roman" w:cs="Times New Roman"/>
          <w:color w:val="000000"/>
          <w:kern w:val="0"/>
          <w:sz w:val="24"/>
          <w:szCs w:val="24"/>
          <w:lang w:val="en-US"/>
        </w:rPr>
        <w:t xml:space="preserve"> 50 years </w:t>
      </w:r>
      <w:r w:rsidR="00567EE1">
        <w:rPr>
          <w:rFonts w:ascii="Times New Roman" w:eastAsia="Calibri" w:hAnsi="Times New Roman" w:cs="Times New Roman"/>
          <w:color w:val="000000"/>
          <w:kern w:val="0"/>
          <w:sz w:val="24"/>
          <w:szCs w:val="24"/>
          <w:lang w:val="en-US"/>
        </w:rPr>
        <w:t xml:space="preserve">with clinical symptoms of LUTS, </w:t>
      </w:r>
      <w:r w:rsidR="002F21A7">
        <w:rPr>
          <w:rFonts w:ascii="Times New Roman" w:eastAsia="Calibri" w:hAnsi="Times New Roman" w:cs="Times New Roman"/>
          <w:color w:val="000000"/>
          <w:kern w:val="0"/>
          <w:sz w:val="24"/>
          <w:szCs w:val="24"/>
          <w:lang w:val="en-US"/>
        </w:rPr>
        <w:t xml:space="preserve">presenting to the Radiology department of NAUTH </w:t>
      </w:r>
      <w:r w:rsidR="00567EE1">
        <w:rPr>
          <w:rFonts w:ascii="Times New Roman" w:eastAsia="Calibri" w:hAnsi="Times New Roman" w:cs="Times New Roman"/>
          <w:color w:val="000000"/>
          <w:kern w:val="0"/>
          <w:sz w:val="24"/>
          <w:szCs w:val="24"/>
          <w:lang w:val="en-US"/>
        </w:rPr>
        <w:t xml:space="preserve">for abdominopelvic ultrasound </w:t>
      </w:r>
      <w:r w:rsidR="002F21A7">
        <w:rPr>
          <w:rFonts w:ascii="Times New Roman" w:eastAsia="Calibri" w:hAnsi="Times New Roman" w:cs="Times New Roman"/>
          <w:color w:val="000000"/>
          <w:kern w:val="0"/>
          <w:sz w:val="24"/>
          <w:szCs w:val="24"/>
          <w:lang w:val="en-US"/>
        </w:rPr>
        <w:t>with clinical symptoms of LUTS</w:t>
      </w:r>
      <w:r>
        <w:rPr>
          <w:rFonts w:ascii="Times New Roman" w:eastAsia="Calibri" w:hAnsi="Times New Roman" w:cs="Times New Roman"/>
          <w:color w:val="000000"/>
          <w:kern w:val="0"/>
          <w:sz w:val="24"/>
          <w:szCs w:val="24"/>
          <w:lang w:val="en-US"/>
        </w:rPr>
        <w:t>. T</w:t>
      </w:r>
      <w:r w:rsidR="00267313">
        <w:rPr>
          <w:rFonts w:ascii="Times New Roman" w:eastAsia="Calibri" w:hAnsi="Times New Roman" w:cs="Times New Roman"/>
          <w:color w:val="000000"/>
          <w:kern w:val="0"/>
          <w:sz w:val="24"/>
          <w:szCs w:val="24"/>
          <w:lang w:val="en-US"/>
        </w:rPr>
        <w:t xml:space="preserve">he following were </w:t>
      </w:r>
      <w:r w:rsidR="00267313" w:rsidRPr="00EF7607">
        <w:rPr>
          <w:rFonts w:ascii="Times New Roman" w:eastAsia="Calibri" w:hAnsi="Times New Roman" w:cs="Times New Roman"/>
          <w:kern w:val="0"/>
          <w:sz w:val="24"/>
          <w:szCs w:val="24"/>
          <w:lang w:val="en-US"/>
        </w:rPr>
        <w:t>excluded:</w:t>
      </w:r>
      <w:r w:rsidR="002F21A7" w:rsidRPr="00EF7607">
        <w:rPr>
          <w:rFonts w:ascii="Times New Roman" w:eastAsia="Calibri" w:hAnsi="Times New Roman" w:cs="Times New Roman"/>
          <w:kern w:val="0"/>
          <w:sz w:val="24"/>
          <w:szCs w:val="24"/>
          <w:lang w:val="en-US"/>
        </w:rPr>
        <w:t xml:space="preserve"> patients with </w:t>
      </w:r>
      <w:r w:rsidR="002F21A7">
        <w:rPr>
          <w:rFonts w:ascii="Times New Roman" w:eastAsia="Calibri" w:hAnsi="Times New Roman" w:cs="Times New Roman"/>
          <w:color w:val="000000"/>
          <w:kern w:val="0"/>
          <w:sz w:val="24"/>
          <w:szCs w:val="24"/>
          <w:lang w:val="en-US"/>
        </w:rPr>
        <w:t>indwelli</w:t>
      </w:r>
      <w:r w:rsidR="00267313">
        <w:rPr>
          <w:rFonts w:ascii="Times New Roman" w:eastAsia="Calibri" w:hAnsi="Times New Roman" w:cs="Times New Roman"/>
          <w:color w:val="000000"/>
          <w:kern w:val="0"/>
          <w:sz w:val="24"/>
          <w:szCs w:val="24"/>
          <w:lang w:val="en-US"/>
        </w:rPr>
        <w:t xml:space="preserve">ng urethral catheters or </w:t>
      </w:r>
      <w:r w:rsidR="002F21A7">
        <w:rPr>
          <w:rFonts w:ascii="Times New Roman" w:eastAsia="Calibri" w:hAnsi="Times New Roman" w:cs="Times New Roman"/>
          <w:color w:val="000000"/>
          <w:kern w:val="0"/>
          <w:sz w:val="24"/>
          <w:szCs w:val="24"/>
          <w:lang w:val="en-US"/>
        </w:rPr>
        <w:t>with in-situ suprapubic cathe</w:t>
      </w:r>
      <w:r>
        <w:rPr>
          <w:rFonts w:ascii="Times New Roman" w:eastAsia="Calibri" w:hAnsi="Times New Roman" w:cs="Times New Roman"/>
          <w:color w:val="000000"/>
          <w:kern w:val="0"/>
          <w:sz w:val="24"/>
          <w:szCs w:val="24"/>
          <w:lang w:val="en-US"/>
        </w:rPr>
        <w:t>ters or who had prior p</w:t>
      </w:r>
      <w:r w:rsidR="00586BA2">
        <w:rPr>
          <w:rFonts w:ascii="Times New Roman" w:eastAsia="Calibri" w:hAnsi="Times New Roman" w:cs="Times New Roman"/>
          <w:color w:val="000000"/>
          <w:kern w:val="0"/>
          <w:sz w:val="24"/>
          <w:szCs w:val="24"/>
          <w:lang w:val="en-US"/>
        </w:rPr>
        <w:t xml:space="preserve">rostate/bladder surgeries or </w:t>
      </w:r>
      <w:r w:rsidR="002F21A7">
        <w:rPr>
          <w:rFonts w:ascii="Times New Roman" w:eastAsia="Calibri" w:hAnsi="Times New Roman" w:cs="Times New Roman"/>
          <w:color w:val="000000"/>
          <w:kern w:val="0"/>
          <w:sz w:val="24"/>
          <w:szCs w:val="24"/>
          <w:lang w:val="en-US"/>
        </w:rPr>
        <w:t>with neurological conditions or those who refuse to give consent.</w:t>
      </w:r>
    </w:p>
    <w:p w14:paraId="0F812656" w14:textId="77777777" w:rsidR="000E4DFA" w:rsidRPr="00A27884" w:rsidRDefault="00567EE1" w:rsidP="00A27884">
      <w:pPr>
        <w:spacing w:before="100" w:after="2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The  sample  size  for  this  study  was  calculated  using  the  Leslie Fischer formula</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{"citationItems":[{"id":"ITEM-1","itemData":{"URL":"https://www.scirp.org/(S(czeh2tfqyw2orz553k1w0r45))/reference/ReferencesPapers.aspx?ReferenceID=1888298","accessed":{"date-parts":[["2021","9","29"]]},"id":"ITEM-1","issued":{"date-parts":[["0"]]},"title":"Israel, G.D. (1992) Determining Sample Size. University of Florida Cooperative Extension Service, Institute of Food and Agriculture Sciences, EDIS, Florida. - References - Scientific Research Publishing","type":"webpage"},"uris":["http://www.mendeley.com/documents/?uuid=3f75d08f-ceff-36e7-a6bc-2fb52d4ded2a"]}],"mendeley":{"formattedCitation":"(80)","plainTextFormattedCitation":"(80)","previouslyFormattedCitation":"(&lt;i&gt;Israel, G.D. (1992) Determining Sample Size. University of Florida Cooperative Extension Service, Institute of Food and Agriculture Sciences, EDIS, Florida. - References - Scientific Research Publishing&lt;/i&gt;,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(9)</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xml:space="preserve">;which gave a total of 248 and 10% attrition rate was added to get a total sample size of 273. In this calculation  of sample size the prevalence rate of LUTS </w:t>
      </w:r>
      <w:r>
        <w:rPr>
          <w:rFonts w:ascii="Times New Roman" w:eastAsia="Calibri" w:hAnsi="Times New Roman" w:cs="Times New Roman"/>
          <w:kern w:val="0"/>
          <w:sz w:val="24"/>
          <w:szCs w:val="24"/>
          <w:lang w:val="en-US"/>
        </w:rPr>
        <w:t xml:space="preserve"> estimated by </w:t>
      </w:r>
      <w:proofErr w:type="spellStart"/>
      <w:r>
        <w:rPr>
          <w:rFonts w:ascii="Times New Roman" w:eastAsia="Calibri" w:hAnsi="Times New Roman" w:cs="Times New Roman"/>
          <w:kern w:val="0"/>
          <w:sz w:val="24"/>
          <w:szCs w:val="24"/>
          <w:lang w:val="en-US"/>
        </w:rPr>
        <w:t>Nnabugwu</w:t>
      </w:r>
      <w:proofErr w:type="spellEnd"/>
      <w:r>
        <w:rPr>
          <w:rFonts w:ascii="Times New Roman" w:eastAsia="Calibri" w:hAnsi="Times New Roman" w:cs="Times New Roman"/>
          <w:kern w:val="0"/>
          <w:sz w:val="24"/>
          <w:szCs w:val="24"/>
          <w:lang w:val="en-US"/>
        </w:rPr>
        <w:t xml:space="preserve"> et al, to be 20.2% in Southeast Nigeria was used</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{"citationItems":[{"id":"ITEM-1","itemData":{"DOI":"10.1186/S12894-020-00651-0","ISSN":"1471-2490","abstract":"The point at which men seek medical care for lower urinary tract symptoms (LUTS) varies between individuals. Presentation to hospital with complications beyond LUTS appears prevalent in our setting. The aim of this survey is to assess from the community perspective in southeast Nigeria, the challenges to early presentation for medical evaluation for LUTS by men. A questionnaire-based cross-sectional survey of randomly-selected men ≥40 years. The questionnaire captured respondent’s age; presence, duration and severity of LUTS; access to health information; wealth-index; and when (and why) medical care for LUTS was sought. Analysis was with SPSS® version 20. In all, responses from 1319 men (mean age 54.2 ± 10.2 years) are analysed. Of these, 267 report LUTS: 58.4% (156) report moderate to severe LUTS and 51.7% (138) are yet to seek medical care. As regards seeking medical care, all the men reporting LUTS of 3 months, 35.7% of 126 men reporting moderate LUTS, and 20.0% of 30 men reporting severe LUTS are yet to seek medical care. LUTS being non-bothersome (not financial constraint) is the most prevalent reason for not seeking medical care early. Delay is encouraged by limited access to health information (OR 3.10; p &lt; 0.001), but discouraged by literacy (OR 0.86; p &lt; 0.001) and aging (OR 0.93; p = 0.002). From the community perspective, the prevalent challenge to seeking medical care for LUTS early is absence of bother. Empowering men through formal education and researched health information will influence positively the time that LUTS in men is appreciated as bothersome.","author":[{"dropping-particle":"","family":"Nnabugwu","given":"Ikenna I.","non-dropping-particle":"","parse-names":false,"suffix":""},{"dropping-particle":"","family":"Okoronkwo","given":"Ijeoma L.","non-dropping-particle":"","parse-names":false,"suffix":""},{"dropping-particle":"","family":"Nnabugwu","given":"Chinwe A.","non-dropping-particle":"","parse-names":false,"suffix":""}],"container-title":"BMC Urology 2020 20:1","id":"ITEM-1","issue":"1","issued":{"date-parts":[["2020","7","3"]]},"page":"1-7","publisher":"BioMed Central","title":"Lower urinary tract symptoms in men: challenges to early hospital presentation in a resource-poor health system","type":"article-journal","volume":"20"},"uris":["http://www.mendeley.com/documents/?uuid=36e4dd69-ff42-3d57-bdb8-b1df72c82d26"]}],"mendeley":{"formattedCitation":"(81)","plainTextFormattedCitation":"(81)","previouslyFormattedCitation":"(Nnabugwu et al., 2020)"},"properties":{"noteIndex":0},"schema":"https://github.com/citation-style-language/schema/raw/master/csl-citation.json"}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kern w:val="0"/>
          <w:sz w:val="24"/>
          <w:szCs w:val="24"/>
          <w:vertAlign w:val="superscript"/>
          <w:lang w:val="en-US"/>
        </w:rPr>
        <w:t>(10)</w:t>
      </w:r>
      <w:r>
        <w:rPr>
          <w:rFonts w:ascii="Times New Roman" w:eastAsia="Calibri" w:hAnsi="Times New Roman" w:cs="Times New Roman"/>
          <w:kern w:val="0"/>
          <w:sz w:val="24"/>
          <w:szCs w:val="24"/>
        </w:rPr>
        <w:fldChar w:fldCharType="end"/>
      </w:r>
      <w:r>
        <w:rPr>
          <w:rFonts w:ascii="Times New Roman" w:eastAsia="Calibri" w:hAnsi="Times New Roman" w:cs="Times New Roman"/>
          <w:kern w:val="0"/>
          <w:sz w:val="24"/>
          <w:szCs w:val="24"/>
        </w:rPr>
        <w:t>.</w:t>
      </w:r>
    </w:p>
    <w:p w14:paraId="68A872CD" w14:textId="77777777" w:rsidR="000E4DFA" w:rsidRDefault="002F21A7" w:rsidP="00A27884">
      <w:pPr>
        <w:spacing w:before="240" w:after="2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 xml:space="preserve">Each participant was interviewed with a structured questionnaire. Information regarding biodata, medical, </w:t>
      </w:r>
      <w:r w:rsidR="00F9212C">
        <w:rPr>
          <w:rFonts w:ascii="Times New Roman" w:eastAsia="Calibri" w:hAnsi="Times New Roman" w:cs="Times New Roman"/>
          <w:color w:val="000000"/>
          <w:kern w:val="0"/>
          <w:sz w:val="24"/>
          <w:szCs w:val="24"/>
          <w:lang w:val="en-US"/>
        </w:rPr>
        <w:t>surgical, and family history were</w:t>
      </w:r>
      <w:r>
        <w:rPr>
          <w:rFonts w:ascii="Times New Roman" w:eastAsia="Calibri" w:hAnsi="Times New Roman" w:cs="Times New Roman"/>
          <w:color w:val="000000"/>
          <w:kern w:val="0"/>
          <w:sz w:val="24"/>
          <w:szCs w:val="24"/>
          <w:lang w:val="en-US"/>
        </w:rPr>
        <w:t xml:space="preserve"> obtained. The severity of LUTS was assessed using an authenticated International Prostate Symptom Score (IPSS) questionnaire. </w:t>
      </w:r>
    </w:p>
    <w:p w14:paraId="21492034" w14:textId="77777777" w:rsidR="000E4DFA" w:rsidRPr="00A27884" w:rsidRDefault="002F21A7" w:rsidP="00A27884">
      <w:pPr>
        <w:spacing w:before="240" w:after="2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 xml:space="preserve">Ultrasound scanning was performed on all the patients. All sonographic examinations were performed in real-time with a </w:t>
      </w:r>
      <w:r w:rsidR="00F9212C">
        <w:rPr>
          <w:rFonts w:ascii="Times New Roman" w:eastAsia="Calibri" w:hAnsi="Times New Roman" w:cs="Times New Roman"/>
          <w:color w:val="000000"/>
          <w:kern w:val="0"/>
          <w:sz w:val="24"/>
          <w:szCs w:val="24"/>
          <w:lang w:val="en-US"/>
        </w:rPr>
        <w:t xml:space="preserve">Mindray DC-32 (SN: 9Q-98000221 ultrasound scanner, manufactured in 18-08-2019, </w:t>
      </w:r>
      <w:r>
        <w:rPr>
          <w:rFonts w:ascii="Times New Roman" w:eastAsia="Calibri" w:hAnsi="Times New Roman" w:cs="Times New Roman"/>
          <w:color w:val="000000"/>
          <w:kern w:val="0"/>
          <w:sz w:val="24"/>
          <w:szCs w:val="24"/>
          <w:lang w:val="en-US"/>
        </w:rPr>
        <w:t>with high and low-frequency transducers. DWT measurement was perf</w:t>
      </w:r>
      <w:r w:rsidR="00F9212C">
        <w:rPr>
          <w:rFonts w:ascii="Times New Roman" w:eastAsia="Calibri" w:hAnsi="Times New Roman" w:cs="Times New Roman"/>
          <w:color w:val="000000"/>
          <w:kern w:val="0"/>
          <w:sz w:val="24"/>
          <w:szCs w:val="24"/>
          <w:lang w:val="en-US"/>
        </w:rPr>
        <w:t>ormed using a 7.5MHz transducer</w:t>
      </w:r>
      <w:r>
        <w:rPr>
          <w:rFonts w:ascii="Times New Roman" w:eastAsia="Calibri" w:hAnsi="Times New Roman" w:cs="Times New Roman"/>
          <w:color w:val="000000"/>
          <w:kern w:val="0"/>
          <w:sz w:val="24"/>
          <w:szCs w:val="24"/>
          <w:lang w:val="en-US"/>
        </w:rPr>
        <w:t>. Al</w:t>
      </w:r>
      <w:r w:rsidR="00797432">
        <w:rPr>
          <w:rFonts w:ascii="Times New Roman" w:eastAsia="Calibri" w:hAnsi="Times New Roman" w:cs="Times New Roman"/>
          <w:color w:val="000000"/>
          <w:kern w:val="0"/>
          <w:sz w:val="24"/>
          <w:szCs w:val="24"/>
          <w:lang w:val="en-US"/>
        </w:rPr>
        <w:t xml:space="preserve">l measurements of DWT </w:t>
      </w:r>
      <w:r>
        <w:rPr>
          <w:rFonts w:ascii="Times New Roman" w:eastAsia="Calibri" w:hAnsi="Times New Roman" w:cs="Times New Roman"/>
          <w:color w:val="000000"/>
          <w:kern w:val="0"/>
          <w:sz w:val="24"/>
          <w:szCs w:val="24"/>
          <w:lang w:val="en-US"/>
        </w:rPr>
        <w:t>were done in</w:t>
      </w:r>
      <w:r w:rsidR="006832D9">
        <w:rPr>
          <w:rFonts w:ascii="Times New Roman" w:eastAsia="Calibri" w:hAnsi="Times New Roman" w:cs="Times New Roman"/>
          <w:color w:val="000000"/>
          <w:kern w:val="0"/>
          <w:sz w:val="24"/>
          <w:szCs w:val="24"/>
          <w:lang w:val="en-US"/>
        </w:rPr>
        <w:t xml:space="preserve"> the radiology department by a</w:t>
      </w:r>
      <w:r w:rsidR="00EF7607">
        <w:rPr>
          <w:rFonts w:ascii="Times New Roman" w:eastAsia="Calibri" w:hAnsi="Times New Roman" w:cs="Times New Roman"/>
          <w:color w:val="000000"/>
          <w:kern w:val="0"/>
          <w:sz w:val="24"/>
          <w:szCs w:val="24"/>
          <w:lang w:val="en-US"/>
        </w:rPr>
        <w:t xml:space="preserve"> radiologist in the presence of another radiologist. </w:t>
      </w:r>
      <w:r w:rsidR="000F5930">
        <w:rPr>
          <w:rFonts w:ascii="Times New Roman" w:eastAsia="Calibri" w:hAnsi="Times New Roman" w:cs="Times New Roman"/>
          <w:color w:val="000000"/>
          <w:kern w:val="0"/>
          <w:sz w:val="24"/>
          <w:szCs w:val="24"/>
          <w:lang w:val="en-US"/>
        </w:rPr>
        <w:t xml:space="preserve">The radiologists performing the ultrasound were blinded from the </w:t>
      </w:r>
      <w:proofErr w:type="gramStart"/>
      <w:r w:rsidR="000F5930">
        <w:rPr>
          <w:rFonts w:ascii="Times New Roman" w:eastAsia="Calibri" w:hAnsi="Times New Roman" w:cs="Times New Roman"/>
          <w:color w:val="000000"/>
          <w:kern w:val="0"/>
          <w:sz w:val="24"/>
          <w:szCs w:val="24"/>
          <w:lang w:val="en-US"/>
        </w:rPr>
        <w:t>subjects</w:t>
      </w:r>
      <w:proofErr w:type="gramEnd"/>
      <w:r w:rsidR="000F5930">
        <w:rPr>
          <w:rFonts w:ascii="Times New Roman" w:eastAsia="Calibri" w:hAnsi="Times New Roman" w:cs="Times New Roman"/>
          <w:color w:val="000000"/>
          <w:kern w:val="0"/>
          <w:sz w:val="24"/>
          <w:szCs w:val="24"/>
          <w:lang w:val="en-US"/>
        </w:rPr>
        <w:t xml:space="preserve"> biodata and IPSS data.</w:t>
      </w:r>
      <w:r w:rsidR="00A27884">
        <w:rPr>
          <w:rFonts w:ascii="Times New Roman" w:eastAsia="Calibri" w:hAnsi="Times New Roman" w:cs="Times New Roman"/>
          <w:color w:val="000000"/>
          <w:kern w:val="0"/>
          <w:sz w:val="24"/>
          <w:szCs w:val="24"/>
          <w:lang w:val="en-US"/>
        </w:rPr>
        <w:t xml:space="preserve"> </w:t>
      </w:r>
      <w:r w:rsidR="00EF7607">
        <w:rPr>
          <w:rFonts w:ascii="Times New Roman" w:eastAsia="Calibri" w:hAnsi="Times New Roman" w:cs="Times New Roman"/>
          <w:color w:val="000000"/>
          <w:kern w:val="0"/>
          <w:sz w:val="24"/>
          <w:szCs w:val="24"/>
          <w:lang w:val="en-US"/>
        </w:rPr>
        <w:t>The results as agreed by the two</w:t>
      </w:r>
      <w:r w:rsidR="006832D9">
        <w:rPr>
          <w:rFonts w:ascii="Times New Roman" w:eastAsia="Calibri" w:hAnsi="Times New Roman" w:cs="Times New Roman"/>
          <w:color w:val="000000"/>
          <w:kern w:val="0"/>
          <w:sz w:val="24"/>
          <w:szCs w:val="24"/>
          <w:lang w:val="en-US"/>
        </w:rPr>
        <w:t xml:space="preserve"> were used in order to </w:t>
      </w:r>
      <w:r w:rsidR="00EF7607">
        <w:rPr>
          <w:rFonts w:ascii="Times New Roman" w:eastAsia="Calibri" w:hAnsi="Times New Roman" w:cs="Times New Roman"/>
          <w:color w:val="000000"/>
          <w:kern w:val="0"/>
          <w:sz w:val="24"/>
          <w:szCs w:val="24"/>
          <w:lang w:val="en-US"/>
        </w:rPr>
        <w:t>minimize intra observer bias.</w:t>
      </w:r>
      <w:r>
        <w:rPr>
          <w:rFonts w:ascii="Times New Roman" w:eastAsia="Calibri" w:hAnsi="Times New Roman" w:cs="Times New Roman"/>
          <w:color w:val="000000"/>
          <w:kern w:val="0"/>
          <w:sz w:val="24"/>
          <w:szCs w:val="24"/>
          <w:lang w:val="en-US"/>
        </w:rPr>
        <w:t xml:space="preserve"> All DWT measurements were done at a bladder volume of </w:t>
      </w:r>
      <w:r>
        <w:rPr>
          <w:rFonts w:ascii="Times New Roman" w:eastAsia="Calibri" w:hAnsi="Times New Roman" w:cs="Times New Roman"/>
          <w:color w:val="000000"/>
          <w:kern w:val="0"/>
          <w:sz w:val="24"/>
          <w:szCs w:val="24"/>
          <w:u w:val="single"/>
          <w:lang w:val="en-US"/>
        </w:rPr>
        <w:t>&gt;</w:t>
      </w:r>
      <w:r>
        <w:rPr>
          <w:rFonts w:ascii="Times New Roman" w:eastAsia="Calibri" w:hAnsi="Times New Roman" w:cs="Times New Roman"/>
          <w:color w:val="000000"/>
          <w:kern w:val="0"/>
          <w:sz w:val="24"/>
          <w:szCs w:val="24"/>
          <w:lang w:val="en-US"/>
        </w:rPr>
        <w:t xml:space="preserve"> 250mls as it has been shown that DWT decreases with bladder filling till a </w:t>
      </w:r>
      <w:r>
        <w:rPr>
          <w:rFonts w:ascii="Times New Roman" w:eastAsia="Calibri" w:hAnsi="Times New Roman" w:cs="Times New Roman"/>
          <w:color w:val="000000"/>
          <w:kern w:val="0"/>
          <w:sz w:val="24"/>
          <w:szCs w:val="24"/>
          <w:lang w:val="en-US"/>
        </w:rPr>
        <w:lastRenderedPageBreak/>
        <w:t>volume of 250mls is attained, and then remains relatively constant till max</w:t>
      </w:r>
      <w:r w:rsidR="00A27884">
        <w:rPr>
          <w:rFonts w:ascii="Times New Roman" w:eastAsia="Calibri" w:hAnsi="Times New Roman" w:cs="Times New Roman"/>
          <w:color w:val="000000"/>
          <w:kern w:val="0"/>
          <w:sz w:val="24"/>
          <w:szCs w:val="24"/>
          <w:lang w:val="en-US"/>
        </w:rPr>
        <w:t>imum bladder filling is reached</w:t>
      </w:r>
    </w:p>
    <w:p w14:paraId="0D653CCA" w14:textId="77777777" w:rsidR="000E4DFA" w:rsidRDefault="002F21A7" w:rsidP="00A27884">
      <w:pPr>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Data obtained from the study was entered and analysed using  </w:t>
      </w:r>
      <w:r>
        <w:rPr>
          <w:rFonts w:ascii="Times New Roman" w:eastAsia="Calibri" w:hAnsi="Times New Roman" w:cs="Times New Roman"/>
          <w:kern w:val="0"/>
          <w:sz w:val="24"/>
          <w:szCs w:val="24"/>
          <w:lang w:val="en-US"/>
        </w:rPr>
        <w:t>the Statistical  Package for  Social  Sciences (</w:t>
      </w:r>
      <w:r>
        <w:rPr>
          <w:rFonts w:ascii="Times New Roman" w:eastAsia="Times New Roman" w:hAnsi="Times New Roman" w:cs="Times New Roman"/>
          <w:sz w:val="24"/>
          <w:szCs w:val="24"/>
          <w:lang w:eastAsia="zh-CN"/>
        </w:rPr>
        <w:t>SPSS), Version 20.0 (IBM Corp. Released 2011, IBM SPSS Statistics for W</w:t>
      </w:r>
      <w:r w:rsidR="00797432">
        <w:rPr>
          <w:rFonts w:ascii="Times New Roman" w:eastAsia="Times New Roman" w:hAnsi="Times New Roman" w:cs="Times New Roman"/>
          <w:sz w:val="24"/>
          <w:szCs w:val="24"/>
          <w:lang w:eastAsia="zh-CN"/>
        </w:rPr>
        <w:t>indows, Armonk, NY: IBM Corp.).</w:t>
      </w:r>
      <w:r w:rsidR="00A2788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Sociodemographic characteristics (e.g. gender) of patients were presented in frequency tables and charts where necessary. Continuous numerical variables like; age, IPSS and detrusor wall thickness (DWT) were analysed with measures of central tendencies (like mean, median and mode) and with measures of dispersion (like range, standard deviation, and variance) and displayed as mean ± standard deviation. </w:t>
      </w:r>
    </w:p>
    <w:p w14:paraId="7FD9D94F" w14:textId="77777777" w:rsidR="000E4DFA" w:rsidRDefault="002F21A7" w:rsidP="00A27884">
      <w:pPr>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Paired sample t-test was carried out to test for differences in means between the pre-void and post-void DWT. Pearson correlation analysis was used to determine the level of linear correlation between pre-void DWT and IPSS as well as between post-void DWT and IPSS. </w:t>
      </w:r>
      <w:r>
        <w:rPr>
          <w:rFonts w:ascii="Times New Roman" w:eastAsia="Calibri" w:hAnsi="Times New Roman" w:cs="Times New Roman"/>
          <w:kern w:val="0"/>
          <w:sz w:val="24"/>
          <w:szCs w:val="24"/>
          <w:lang w:val="en-US"/>
        </w:rPr>
        <w:t>P-value &lt; 0.05 was considered to be statistically significant at confidence level =95%.</w:t>
      </w:r>
      <w:r>
        <w:rPr>
          <w:rFonts w:ascii="Times New Roman" w:eastAsia="Times New Roman" w:hAnsi="Times New Roman" w:cs="Times New Roman"/>
          <w:sz w:val="24"/>
          <w:szCs w:val="24"/>
          <w:lang w:eastAsia="zh-CN"/>
        </w:rPr>
        <w:t xml:space="preserve"> </w:t>
      </w:r>
      <w:r>
        <w:rPr>
          <w:rFonts w:ascii="Times New Roman" w:eastAsia="Calibri" w:hAnsi="Times New Roman" w:cs="Times New Roman"/>
          <w:kern w:val="0"/>
          <w:sz w:val="24"/>
          <w:szCs w:val="24"/>
          <w14:ligatures w14:val="none"/>
        </w:rPr>
        <w:t>Scatter plot was further used to determine linear relationship between the pre-average Detrusor Wall Thickness (DWT) and International Prostate Symptom Scores (IPSS).</w:t>
      </w:r>
    </w:p>
    <w:p w14:paraId="6372BA49" w14:textId="77777777" w:rsidR="000E4DFA" w:rsidRDefault="002F21A7" w:rsidP="00A27884">
      <w:pPr>
        <w:spacing w:before="100" w:after="2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Ethical clearance was obtained from the Research and  Ethics  Committee of the  Nnamdi  Azikiwe  University  Teaching  Hospital,  Nnewi on 11</w:t>
      </w:r>
      <w:r>
        <w:rPr>
          <w:rFonts w:ascii="Times New Roman" w:eastAsia="Calibri" w:hAnsi="Times New Roman" w:cs="Times New Roman"/>
          <w:color w:val="000000"/>
          <w:kern w:val="0"/>
          <w:sz w:val="24"/>
          <w:szCs w:val="24"/>
          <w:vertAlign w:val="superscript"/>
          <w:lang w:val="en-US"/>
        </w:rPr>
        <w:t>th</w:t>
      </w:r>
      <w:r>
        <w:rPr>
          <w:rFonts w:ascii="Times New Roman" w:eastAsia="Calibri" w:hAnsi="Times New Roman" w:cs="Times New Roman"/>
          <w:color w:val="000000"/>
          <w:kern w:val="0"/>
          <w:sz w:val="24"/>
          <w:szCs w:val="24"/>
          <w:lang w:val="en-US"/>
        </w:rPr>
        <w:t xml:space="preserve"> March 2022,  before the commencement of the research.</w:t>
      </w:r>
      <w:r w:rsidR="007E2FAE">
        <w:rPr>
          <w:rFonts w:ascii="Times New Roman" w:eastAsia="Calibri" w:hAnsi="Times New Roman" w:cs="Times New Roman"/>
          <w:color w:val="000000"/>
          <w:kern w:val="0"/>
          <w:sz w:val="24"/>
          <w:szCs w:val="24"/>
          <w:lang w:val="en-US"/>
        </w:rPr>
        <w:t xml:space="preserve"> </w:t>
      </w:r>
      <w:r w:rsidR="00035435">
        <w:rPr>
          <w:rFonts w:ascii="Times New Roman" w:eastAsia="Calibri" w:hAnsi="Times New Roman" w:cs="Times New Roman"/>
          <w:color w:val="000000"/>
          <w:kern w:val="0"/>
          <w:sz w:val="24"/>
          <w:szCs w:val="24"/>
          <w:lang w:val="en-US"/>
        </w:rPr>
        <w:t>Before recruitment, a</w:t>
      </w:r>
      <w:r>
        <w:rPr>
          <w:rFonts w:ascii="Times New Roman" w:eastAsia="Calibri" w:hAnsi="Times New Roman" w:cs="Times New Roman"/>
          <w:color w:val="000000"/>
          <w:kern w:val="0"/>
          <w:sz w:val="24"/>
          <w:szCs w:val="24"/>
          <w:lang w:val="en-US"/>
        </w:rPr>
        <w:t xml:space="preserve"> written informed consent was obtained from the subjects or their relatives </w:t>
      </w:r>
      <w:r w:rsidR="00035435">
        <w:rPr>
          <w:rFonts w:ascii="Times New Roman" w:eastAsia="Calibri" w:hAnsi="Times New Roman" w:cs="Times New Roman"/>
          <w:color w:val="000000"/>
          <w:kern w:val="0"/>
          <w:sz w:val="24"/>
          <w:szCs w:val="24"/>
          <w:lang w:val="en-US"/>
        </w:rPr>
        <w:t xml:space="preserve">for data collection and publication without disclosing their personal identifying information. </w:t>
      </w:r>
      <w:r>
        <w:rPr>
          <w:rFonts w:ascii="Times New Roman" w:eastAsia="Calibri" w:hAnsi="Times New Roman" w:cs="Times New Roman"/>
          <w:color w:val="000000"/>
          <w:kern w:val="0"/>
          <w:sz w:val="24"/>
          <w:szCs w:val="24"/>
          <w:lang w:val="en-US"/>
        </w:rPr>
        <w:t>Patient</w:t>
      </w:r>
      <w:r w:rsidR="00035435">
        <w:rPr>
          <w:rFonts w:ascii="Times New Roman" w:eastAsia="Calibri" w:hAnsi="Times New Roman" w:cs="Times New Roman"/>
          <w:color w:val="000000"/>
          <w:kern w:val="0"/>
          <w:sz w:val="24"/>
          <w:szCs w:val="24"/>
          <w:lang w:val="en-US"/>
        </w:rPr>
        <w:t>’s</w:t>
      </w:r>
      <w:r>
        <w:rPr>
          <w:rFonts w:ascii="Times New Roman" w:eastAsia="Calibri" w:hAnsi="Times New Roman" w:cs="Times New Roman"/>
          <w:color w:val="000000"/>
          <w:kern w:val="0"/>
          <w:sz w:val="24"/>
          <w:szCs w:val="24"/>
          <w:lang w:val="en-US"/>
        </w:rPr>
        <w:t xml:space="preserve"> confidentiality was respected </w:t>
      </w:r>
      <w:r w:rsidR="00035435">
        <w:rPr>
          <w:rFonts w:ascii="Times New Roman" w:eastAsia="Calibri" w:hAnsi="Times New Roman" w:cs="Times New Roman"/>
          <w:color w:val="000000"/>
          <w:kern w:val="0"/>
          <w:sz w:val="24"/>
          <w:szCs w:val="24"/>
          <w:lang w:val="en-US"/>
        </w:rPr>
        <w:t xml:space="preserve">both during and after data acquisition. </w:t>
      </w:r>
      <w:r>
        <w:rPr>
          <w:rFonts w:ascii="Times New Roman" w:eastAsia="Calibri" w:hAnsi="Times New Roman" w:cs="Times New Roman"/>
          <w:color w:val="000000"/>
          <w:kern w:val="0"/>
          <w:sz w:val="24"/>
          <w:szCs w:val="24"/>
          <w:lang w:val="en-US"/>
        </w:rPr>
        <w:t>Refusal to give information was not discriminated against and did not affect healthcare delivery.</w:t>
      </w:r>
      <w:r w:rsidR="00797432">
        <w:rPr>
          <w:rFonts w:ascii="Times New Roman" w:eastAsia="Calibri" w:hAnsi="Times New Roman" w:cs="Times New Roman"/>
          <w:color w:val="000000"/>
          <w:kern w:val="0"/>
          <w:sz w:val="24"/>
          <w:szCs w:val="24"/>
          <w:lang w:val="en-US"/>
        </w:rPr>
        <w:t xml:space="preserve"> </w:t>
      </w:r>
    </w:p>
    <w:p w14:paraId="436175D6" w14:textId="77777777" w:rsidR="000E4DFA" w:rsidRDefault="000E4DFA" w:rsidP="00A27884">
      <w:pPr>
        <w:spacing w:before="100" w:line="276" w:lineRule="auto"/>
        <w:ind w:left="360"/>
        <w:contextualSpacing/>
        <w:rPr>
          <w:rFonts w:ascii="Times New Roman" w:eastAsia="Calibri" w:hAnsi="Times New Roman" w:cs="Times New Roman"/>
          <w:b/>
          <w:bCs/>
          <w:color w:val="000000"/>
          <w:kern w:val="0"/>
          <w:sz w:val="24"/>
          <w:szCs w:val="24"/>
        </w:rPr>
      </w:pPr>
    </w:p>
    <w:p w14:paraId="0CF25B20" w14:textId="77777777" w:rsidR="000E4DFA" w:rsidRDefault="002F21A7" w:rsidP="00A611AB">
      <w:pPr>
        <w:spacing w:before="100" w:line="360" w:lineRule="auto"/>
        <w:ind w:left="360"/>
        <w:contextualSpacing/>
        <w:rPr>
          <w:rFonts w:ascii="Times New Roman" w:eastAsia="Calibri" w:hAnsi="Times New Roman" w:cs="Times New Roman"/>
          <w:b/>
          <w:bCs/>
          <w:color w:val="000000"/>
          <w:kern w:val="0"/>
          <w:sz w:val="24"/>
          <w:szCs w:val="24"/>
        </w:rPr>
      </w:pPr>
      <w:r>
        <w:rPr>
          <w:rFonts w:ascii="Times New Roman" w:eastAsia="Calibri" w:hAnsi="Times New Roman" w:cs="Times New Roman"/>
          <w:b/>
          <w:bCs/>
          <w:color w:val="000000"/>
          <w:kern w:val="0"/>
          <w:sz w:val="24"/>
          <w:szCs w:val="24"/>
        </w:rPr>
        <w:t>RESULTS</w:t>
      </w:r>
    </w:p>
    <w:p w14:paraId="489E9FEF" w14:textId="77777777" w:rsidR="000E4DFA" w:rsidRDefault="0097074D" w:rsidP="00A611AB">
      <w:pPr>
        <w:spacing w:before="100" w:line="360" w:lineRule="auto"/>
        <w:ind w:left="360"/>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Most participants were</w:t>
      </w:r>
      <w:r w:rsidR="002F21A7">
        <w:rPr>
          <w:rFonts w:ascii="Times New Roman" w:eastAsia="Calibri" w:hAnsi="Times New Roman" w:cs="Times New Roman"/>
          <w:color w:val="000000"/>
          <w:kern w:val="0"/>
          <w:sz w:val="24"/>
          <w:szCs w:val="24"/>
        </w:rPr>
        <w:t xml:space="preserve"> aged 56-65 (38.10%)</w:t>
      </w:r>
      <w:r w:rsidR="00797432">
        <w:rPr>
          <w:rFonts w:ascii="Times New Roman" w:eastAsia="Calibri" w:hAnsi="Times New Roman" w:cs="Times New Roman"/>
          <w:color w:val="000000"/>
          <w:kern w:val="0"/>
          <w:sz w:val="24"/>
          <w:szCs w:val="24"/>
        </w:rPr>
        <w:t xml:space="preserve">, </w:t>
      </w:r>
      <w:r w:rsidR="00797432" w:rsidRPr="00737C3E">
        <w:rPr>
          <w:rFonts w:ascii="Times New Roman" w:eastAsia="Calibri" w:hAnsi="Times New Roman" w:cs="Times New Roman"/>
          <w:color w:val="000000"/>
          <w:kern w:val="0"/>
          <w:sz w:val="24"/>
          <w:szCs w:val="24"/>
        </w:rPr>
        <w:t>see table 1</w:t>
      </w:r>
      <w:r w:rsidR="00797432">
        <w:rPr>
          <w:rFonts w:ascii="Times New Roman" w:eastAsia="Calibri" w:hAnsi="Times New Roman" w:cs="Times New Roman"/>
          <w:color w:val="000000"/>
          <w:kern w:val="0"/>
          <w:sz w:val="24"/>
          <w:szCs w:val="24"/>
        </w:rPr>
        <w:t>,</w:t>
      </w:r>
      <w:r w:rsidR="002F21A7">
        <w:rPr>
          <w:rFonts w:ascii="Times New Roman" w:eastAsia="Calibri" w:hAnsi="Times New Roman" w:cs="Times New Roman"/>
          <w:color w:val="000000"/>
          <w:kern w:val="0"/>
          <w:sz w:val="24"/>
          <w:szCs w:val="24"/>
        </w:rPr>
        <w:t xml:space="preserve"> with a mean age of 67.2 years. Educational levels include primary (38.83%) and post-secondary (32.23%</w:t>
      </w:r>
      <w:r>
        <w:rPr>
          <w:rFonts w:ascii="Times New Roman" w:eastAsia="Calibri" w:hAnsi="Times New Roman" w:cs="Times New Roman"/>
          <w:color w:val="000000"/>
          <w:kern w:val="0"/>
          <w:sz w:val="24"/>
          <w:szCs w:val="24"/>
        </w:rPr>
        <w:t>) and the most common occupation was trading</w:t>
      </w:r>
      <w:r w:rsidR="002F21A7">
        <w:rPr>
          <w:rFonts w:ascii="Times New Roman" w:eastAsia="Calibri" w:hAnsi="Times New Roman" w:cs="Times New Roman"/>
          <w:color w:val="000000"/>
          <w:kern w:val="0"/>
          <w:sz w:val="24"/>
          <w:szCs w:val="24"/>
        </w:rPr>
        <w:t xml:space="preserve"> (43.96%)</w:t>
      </w:r>
      <w:r>
        <w:rPr>
          <w:rFonts w:ascii="Times New Roman" w:eastAsia="Calibri" w:hAnsi="Times New Roman" w:cs="Times New Roman"/>
          <w:color w:val="000000"/>
          <w:kern w:val="0"/>
          <w:sz w:val="24"/>
          <w:szCs w:val="24"/>
        </w:rPr>
        <w:t>, see table 2</w:t>
      </w:r>
      <w:r w:rsidR="002F21A7">
        <w:rPr>
          <w:rFonts w:ascii="Times New Roman" w:eastAsia="Calibri" w:hAnsi="Times New Roman" w:cs="Times New Roman"/>
          <w:color w:val="000000"/>
          <w:kern w:val="0"/>
          <w:sz w:val="24"/>
          <w:szCs w:val="24"/>
        </w:rPr>
        <w:t xml:space="preserve">. </w:t>
      </w:r>
    </w:p>
    <w:p w14:paraId="086A6E57" w14:textId="77777777" w:rsidR="000E4DFA" w:rsidRDefault="002F21A7" w:rsidP="00A611AB">
      <w:pPr>
        <w:spacing w:before="100" w:line="360" w:lineRule="auto"/>
        <w:ind w:left="360"/>
        <w:contextualSpacing/>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Table 1: A</w:t>
      </w:r>
      <w:r w:rsidR="00737C3E">
        <w:rPr>
          <w:rFonts w:ascii="Times New Roman" w:eastAsia="Calibri" w:hAnsi="Times New Roman" w:cs="Times New Roman"/>
          <w:b/>
          <w:kern w:val="0"/>
          <w:sz w:val="24"/>
          <w:szCs w:val="24"/>
        </w:rPr>
        <w:t>ge distribution of the subjects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gridCol w:w="2287"/>
        <w:gridCol w:w="1994"/>
      </w:tblGrid>
      <w:tr w:rsidR="000E4DFA" w14:paraId="07448E8E" w14:textId="77777777">
        <w:tc>
          <w:tcPr>
            <w:tcW w:w="4860" w:type="dxa"/>
            <w:tcBorders>
              <w:top w:val="single" w:sz="4" w:space="0" w:color="auto"/>
              <w:left w:val="nil"/>
              <w:bottom w:val="single" w:sz="4" w:space="0" w:color="auto"/>
              <w:right w:val="nil"/>
            </w:tcBorders>
          </w:tcPr>
          <w:p w14:paraId="7617C343"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lastRenderedPageBreak/>
              <w:t>Variables</w:t>
            </w:r>
          </w:p>
        </w:tc>
        <w:tc>
          <w:tcPr>
            <w:tcW w:w="2430" w:type="dxa"/>
            <w:tcBorders>
              <w:top w:val="single" w:sz="4" w:space="0" w:color="auto"/>
              <w:left w:val="nil"/>
              <w:bottom w:val="single" w:sz="4" w:space="0" w:color="auto"/>
              <w:right w:val="nil"/>
            </w:tcBorders>
          </w:tcPr>
          <w:p w14:paraId="08AAE25F"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Frequency (n=273)</w:t>
            </w:r>
          </w:p>
        </w:tc>
        <w:tc>
          <w:tcPr>
            <w:tcW w:w="2060" w:type="dxa"/>
            <w:tcBorders>
              <w:top w:val="single" w:sz="4" w:space="0" w:color="auto"/>
              <w:left w:val="nil"/>
              <w:bottom w:val="single" w:sz="4" w:space="0" w:color="auto"/>
              <w:right w:val="nil"/>
            </w:tcBorders>
          </w:tcPr>
          <w:p w14:paraId="1EBB01E6"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Percentage (%)</w:t>
            </w:r>
          </w:p>
        </w:tc>
      </w:tr>
      <w:tr w:rsidR="000E4DFA" w14:paraId="27ABC655" w14:textId="77777777">
        <w:tc>
          <w:tcPr>
            <w:tcW w:w="4860" w:type="dxa"/>
            <w:tcBorders>
              <w:top w:val="single" w:sz="4" w:space="0" w:color="auto"/>
              <w:left w:val="nil"/>
              <w:bottom w:val="nil"/>
              <w:right w:val="nil"/>
            </w:tcBorders>
          </w:tcPr>
          <w:p w14:paraId="6C1D8153"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Age (years)</w:t>
            </w:r>
          </w:p>
        </w:tc>
        <w:tc>
          <w:tcPr>
            <w:tcW w:w="2430" w:type="dxa"/>
            <w:tcBorders>
              <w:top w:val="single" w:sz="4" w:space="0" w:color="auto"/>
              <w:left w:val="nil"/>
              <w:bottom w:val="nil"/>
              <w:right w:val="nil"/>
            </w:tcBorders>
          </w:tcPr>
          <w:p w14:paraId="42F73FA5" w14:textId="77777777" w:rsidR="000E4DFA" w:rsidRDefault="000E4DFA" w:rsidP="00A611AB">
            <w:pPr>
              <w:spacing w:before="100" w:after="0" w:line="360" w:lineRule="auto"/>
              <w:ind w:left="360"/>
              <w:contextualSpacing/>
              <w:rPr>
                <w:rFonts w:eastAsia="Calibri"/>
                <w:kern w:val="0"/>
                <w:sz w:val="24"/>
                <w:szCs w:val="24"/>
              </w:rPr>
            </w:pPr>
          </w:p>
        </w:tc>
        <w:tc>
          <w:tcPr>
            <w:tcW w:w="2060" w:type="dxa"/>
            <w:tcBorders>
              <w:top w:val="single" w:sz="4" w:space="0" w:color="auto"/>
              <w:left w:val="nil"/>
              <w:bottom w:val="nil"/>
              <w:right w:val="nil"/>
            </w:tcBorders>
          </w:tcPr>
          <w:p w14:paraId="22516566" w14:textId="77777777" w:rsidR="000E4DFA" w:rsidRDefault="000E4DFA" w:rsidP="00A611AB">
            <w:pPr>
              <w:spacing w:before="100" w:after="0" w:line="360" w:lineRule="auto"/>
              <w:ind w:left="360"/>
              <w:contextualSpacing/>
              <w:rPr>
                <w:rFonts w:eastAsia="Calibri"/>
                <w:kern w:val="0"/>
                <w:sz w:val="24"/>
                <w:szCs w:val="24"/>
              </w:rPr>
            </w:pPr>
          </w:p>
        </w:tc>
      </w:tr>
      <w:tr w:rsidR="000E4DFA" w14:paraId="5D4529F1" w14:textId="77777777">
        <w:tc>
          <w:tcPr>
            <w:tcW w:w="4860" w:type="dxa"/>
            <w:tcBorders>
              <w:top w:val="nil"/>
              <w:left w:val="nil"/>
              <w:bottom w:val="nil"/>
              <w:right w:val="nil"/>
            </w:tcBorders>
            <w:vAlign w:val="center"/>
          </w:tcPr>
          <w:p w14:paraId="03E48146"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46-55</w:t>
            </w:r>
          </w:p>
        </w:tc>
        <w:tc>
          <w:tcPr>
            <w:tcW w:w="2430" w:type="dxa"/>
            <w:tcBorders>
              <w:top w:val="nil"/>
              <w:left w:val="nil"/>
              <w:bottom w:val="nil"/>
              <w:right w:val="nil"/>
            </w:tcBorders>
            <w:vAlign w:val="center"/>
          </w:tcPr>
          <w:p w14:paraId="70401E76"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32</w:t>
            </w:r>
          </w:p>
        </w:tc>
        <w:tc>
          <w:tcPr>
            <w:tcW w:w="2060" w:type="dxa"/>
            <w:tcBorders>
              <w:top w:val="nil"/>
              <w:left w:val="nil"/>
              <w:bottom w:val="nil"/>
              <w:right w:val="nil"/>
            </w:tcBorders>
            <w:vAlign w:val="center"/>
          </w:tcPr>
          <w:p w14:paraId="66DD925F"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11.72</w:t>
            </w:r>
          </w:p>
        </w:tc>
      </w:tr>
      <w:tr w:rsidR="000E4DFA" w14:paraId="0E739D69" w14:textId="77777777">
        <w:tc>
          <w:tcPr>
            <w:tcW w:w="4860" w:type="dxa"/>
            <w:tcBorders>
              <w:top w:val="nil"/>
              <w:left w:val="nil"/>
              <w:bottom w:val="nil"/>
              <w:right w:val="nil"/>
            </w:tcBorders>
            <w:vAlign w:val="center"/>
          </w:tcPr>
          <w:p w14:paraId="4166DDD0"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56-65</w:t>
            </w:r>
          </w:p>
        </w:tc>
        <w:tc>
          <w:tcPr>
            <w:tcW w:w="2430" w:type="dxa"/>
            <w:tcBorders>
              <w:top w:val="nil"/>
              <w:left w:val="nil"/>
              <w:bottom w:val="nil"/>
              <w:right w:val="nil"/>
            </w:tcBorders>
            <w:vAlign w:val="center"/>
          </w:tcPr>
          <w:p w14:paraId="2258578B"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104</w:t>
            </w:r>
          </w:p>
        </w:tc>
        <w:tc>
          <w:tcPr>
            <w:tcW w:w="2060" w:type="dxa"/>
            <w:tcBorders>
              <w:top w:val="nil"/>
              <w:left w:val="nil"/>
              <w:bottom w:val="nil"/>
              <w:right w:val="nil"/>
            </w:tcBorders>
            <w:vAlign w:val="center"/>
          </w:tcPr>
          <w:p w14:paraId="32234750"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38.10</w:t>
            </w:r>
          </w:p>
        </w:tc>
      </w:tr>
      <w:tr w:rsidR="000E4DFA" w14:paraId="3D8CF327" w14:textId="77777777">
        <w:tc>
          <w:tcPr>
            <w:tcW w:w="4860" w:type="dxa"/>
            <w:tcBorders>
              <w:top w:val="nil"/>
              <w:left w:val="nil"/>
              <w:bottom w:val="nil"/>
              <w:right w:val="nil"/>
            </w:tcBorders>
            <w:vAlign w:val="center"/>
          </w:tcPr>
          <w:p w14:paraId="046A745A"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66-75</w:t>
            </w:r>
          </w:p>
        </w:tc>
        <w:tc>
          <w:tcPr>
            <w:tcW w:w="2430" w:type="dxa"/>
            <w:tcBorders>
              <w:top w:val="nil"/>
              <w:left w:val="nil"/>
              <w:bottom w:val="nil"/>
              <w:right w:val="nil"/>
            </w:tcBorders>
            <w:vAlign w:val="center"/>
          </w:tcPr>
          <w:p w14:paraId="02FE64CF"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71</w:t>
            </w:r>
          </w:p>
        </w:tc>
        <w:tc>
          <w:tcPr>
            <w:tcW w:w="2060" w:type="dxa"/>
            <w:tcBorders>
              <w:top w:val="nil"/>
              <w:left w:val="nil"/>
              <w:bottom w:val="nil"/>
              <w:right w:val="nil"/>
            </w:tcBorders>
            <w:vAlign w:val="center"/>
          </w:tcPr>
          <w:p w14:paraId="746E10F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26.01</w:t>
            </w:r>
          </w:p>
        </w:tc>
      </w:tr>
      <w:tr w:rsidR="000E4DFA" w14:paraId="166BD116" w14:textId="77777777">
        <w:tc>
          <w:tcPr>
            <w:tcW w:w="4860" w:type="dxa"/>
            <w:tcBorders>
              <w:top w:val="nil"/>
              <w:left w:val="nil"/>
              <w:bottom w:val="nil"/>
              <w:right w:val="nil"/>
            </w:tcBorders>
            <w:vAlign w:val="center"/>
          </w:tcPr>
          <w:p w14:paraId="6358E47A"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76-85</w:t>
            </w:r>
          </w:p>
        </w:tc>
        <w:tc>
          <w:tcPr>
            <w:tcW w:w="2430" w:type="dxa"/>
            <w:tcBorders>
              <w:top w:val="nil"/>
              <w:left w:val="nil"/>
              <w:bottom w:val="nil"/>
              <w:right w:val="nil"/>
            </w:tcBorders>
            <w:vAlign w:val="center"/>
          </w:tcPr>
          <w:p w14:paraId="6441F6D5"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52</w:t>
            </w:r>
          </w:p>
        </w:tc>
        <w:tc>
          <w:tcPr>
            <w:tcW w:w="2060" w:type="dxa"/>
            <w:tcBorders>
              <w:top w:val="nil"/>
              <w:left w:val="nil"/>
              <w:bottom w:val="nil"/>
              <w:right w:val="nil"/>
            </w:tcBorders>
            <w:vAlign w:val="center"/>
          </w:tcPr>
          <w:p w14:paraId="51A73367"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19.05</w:t>
            </w:r>
          </w:p>
        </w:tc>
      </w:tr>
      <w:tr w:rsidR="000E4DFA" w14:paraId="714D23B6" w14:textId="77777777">
        <w:tc>
          <w:tcPr>
            <w:tcW w:w="4860" w:type="dxa"/>
            <w:tcBorders>
              <w:top w:val="nil"/>
              <w:left w:val="nil"/>
              <w:bottom w:val="nil"/>
              <w:right w:val="nil"/>
            </w:tcBorders>
            <w:vAlign w:val="center"/>
          </w:tcPr>
          <w:p w14:paraId="4140E43A"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86-95</w:t>
            </w:r>
          </w:p>
        </w:tc>
        <w:tc>
          <w:tcPr>
            <w:tcW w:w="2430" w:type="dxa"/>
            <w:tcBorders>
              <w:top w:val="nil"/>
              <w:left w:val="nil"/>
              <w:bottom w:val="nil"/>
              <w:right w:val="nil"/>
            </w:tcBorders>
            <w:vAlign w:val="center"/>
          </w:tcPr>
          <w:p w14:paraId="7180577D"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14</w:t>
            </w:r>
          </w:p>
        </w:tc>
        <w:tc>
          <w:tcPr>
            <w:tcW w:w="2060" w:type="dxa"/>
            <w:tcBorders>
              <w:top w:val="nil"/>
              <w:left w:val="nil"/>
              <w:bottom w:val="nil"/>
              <w:right w:val="nil"/>
            </w:tcBorders>
            <w:vAlign w:val="center"/>
          </w:tcPr>
          <w:p w14:paraId="63A94F1E"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5.13</w:t>
            </w:r>
          </w:p>
        </w:tc>
      </w:tr>
    </w:tbl>
    <w:p w14:paraId="375FF9F3" w14:textId="77777777" w:rsidR="000E4DFA" w:rsidRDefault="000E4DFA" w:rsidP="00A611AB">
      <w:pPr>
        <w:spacing w:before="100" w:line="360" w:lineRule="auto"/>
        <w:contextualSpacing/>
        <w:rPr>
          <w:rFonts w:ascii="Times New Roman" w:eastAsia="Calibri" w:hAnsi="Times New Roman" w:cs="Times New Roman"/>
          <w:b/>
          <w:kern w:val="0"/>
          <w:sz w:val="24"/>
          <w:szCs w:val="24"/>
          <w:lang w:val="en-US"/>
        </w:rPr>
      </w:pPr>
    </w:p>
    <w:p w14:paraId="7804AA6D" w14:textId="77777777" w:rsidR="007E2FAE" w:rsidRDefault="007E2FAE" w:rsidP="00A611AB">
      <w:pPr>
        <w:spacing w:before="100" w:line="360" w:lineRule="auto"/>
        <w:contextualSpacing/>
        <w:rPr>
          <w:rFonts w:ascii="Times New Roman" w:eastAsia="Calibri" w:hAnsi="Times New Roman" w:cs="Times New Roman"/>
          <w:b/>
          <w:kern w:val="0"/>
          <w:sz w:val="24"/>
          <w:szCs w:val="24"/>
          <w:lang w:val="en-US"/>
        </w:rPr>
      </w:pPr>
    </w:p>
    <w:p w14:paraId="660B1EEB" w14:textId="77777777" w:rsidR="000E4DFA" w:rsidRDefault="002F21A7" w:rsidP="00A611AB">
      <w:pPr>
        <w:spacing w:before="100" w:line="360" w:lineRule="auto"/>
        <w:contextualSpacing/>
        <w:rPr>
          <w:rFonts w:ascii="Times New Roman" w:eastAsia="Calibri" w:hAnsi="Times New Roman" w:cs="Times New Roman"/>
          <w:b/>
          <w:kern w:val="0"/>
          <w:sz w:val="24"/>
          <w:szCs w:val="24"/>
          <w:lang w:val="en-US"/>
        </w:rPr>
      </w:pPr>
      <w:r>
        <w:rPr>
          <w:rFonts w:ascii="Times New Roman" w:eastAsia="Calibri" w:hAnsi="Times New Roman" w:cs="Times New Roman"/>
          <w:b/>
          <w:kern w:val="0"/>
          <w:sz w:val="24"/>
          <w:szCs w:val="24"/>
          <w:lang w:val="en-US"/>
        </w:rPr>
        <w:t>Table 2: Educational and occupation</w:t>
      </w:r>
      <w:r w:rsidR="00737C3E">
        <w:rPr>
          <w:rFonts w:ascii="Times New Roman" w:eastAsia="Calibri" w:hAnsi="Times New Roman" w:cs="Times New Roman"/>
          <w:b/>
          <w:kern w:val="0"/>
          <w:sz w:val="24"/>
          <w:szCs w:val="24"/>
          <w:lang w:val="en-US"/>
        </w:rPr>
        <w:t>al distribution of the subjects</w:t>
      </w:r>
    </w:p>
    <w:tbl>
      <w:tblPr>
        <w:tblStyle w:val="TableGrid"/>
        <w:tblW w:w="0" w:type="auto"/>
        <w:tblBorders>
          <w:left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396"/>
        <w:gridCol w:w="2207"/>
        <w:gridCol w:w="1919"/>
      </w:tblGrid>
      <w:tr w:rsidR="000E4DFA" w14:paraId="7A5EC485" w14:textId="77777777">
        <w:trPr>
          <w:trHeight w:val="464"/>
        </w:trPr>
        <w:tc>
          <w:tcPr>
            <w:tcW w:w="4860" w:type="dxa"/>
            <w:vAlign w:val="center"/>
          </w:tcPr>
          <w:p w14:paraId="53ADF902"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 xml:space="preserve">Education </w:t>
            </w:r>
          </w:p>
        </w:tc>
        <w:tc>
          <w:tcPr>
            <w:tcW w:w="2430" w:type="dxa"/>
            <w:vAlign w:val="center"/>
          </w:tcPr>
          <w:p w14:paraId="5436A12F" w14:textId="77777777" w:rsidR="000E4DFA" w:rsidRDefault="000E4DFA" w:rsidP="00A611AB">
            <w:pPr>
              <w:spacing w:before="100" w:after="0" w:line="360" w:lineRule="auto"/>
              <w:ind w:left="360"/>
              <w:contextualSpacing/>
              <w:rPr>
                <w:rFonts w:eastAsia="Calibri"/>
                <w:sz w:val="24"/>
                <w:szCs w:val="24"/>
              </w:rPr>
            </w:pPr>
          </w:p>
        </w:tc>
        <w:tc>
          <w:tcPr>
            <w:tcW w:w="2060" w:type="dxa"/>
            <w:vAlign w:val="center"/>
          </w:tcPr>
          <w:p w14:paraId="4ED271A6" w14:textId="77777777" w:rsidR="000E4DFA" w:rsidRDefault="000E4DFA" w:rsidP="00A611AB">
            <w:pPr>
              <w:spacing w:before="100" w:after="0" w:line="360" w:lineRule="auto"/>
              <w:ind w:left="360"/>
              <w:contextualSpacing/>
              <w:rPr>
                <w:rFonts w:eastAsia="Calibri"/>
                <w:sz w:val="24"/>
                <w:szCs w:val="24"/>
              </w:rPr>
            </w:pPr>
          </w:p>
        </w:tc>
      </w:tr>
      <w:tr w:rsidR="000E4DFA" w14:paraId="1F3DBEE2" w14:textId="77777777">
        <w:tc>
          <w:tcPr>
            <w:tcW w:w="4860" w:type="dxa"/>
            <w:vAlign w:val="center"/>
          </w:tcPr>
          <w:p w14:paraId="20A60CA4"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Primary</w:t>
            </w:r>
          </w:p>
        </w:tc>
        <w:tc>
          <w:tcPr>
            <w:tcW w:w="2430" w:type="dxa"/>
            <w:vAlign w:val="center"/>
          </w:tcPr>
          <w:p w14:paraId="1D3FBFD4" w14:textId="77777777" w:rsidR="000E4DFA" w:rsidRDefault="002F21A7" w:rsidP="00A611AB">
            <w:pPr>
              <w:spacing w:before="100" w:after="0" w:line="360" w:lineRule="auto"/>
              <w:ind w:left="360"/>
              <w:contextualSpacing/>
              <w:rPr>
                <w:rFonts w:eastAsia="Calibri"/>
                <w:b/>
                <w:sz w:val="24"/>
                <w:szCs w:val="24"/>
              </w:rPr>
            </w:pPr>
            <w:r>
              <w:rPr>
                <w:rFonts w:eastAsia="Calibri"/>
                <w:sz w:val="24"/>
                <w:szCs w:val="24"/>
              </w:rPr>
              <w:t>106</w:t>
            </w:r>
          </w:p>
        </w:tc>
        <w:tc>
          <w:tcPr>
            <w:tcW w:w="2060" w:type="dxa"/>
            <w:vAlign w:val="center"/>
          </w:tcPr>
          <w:p w14:paraId="31AEF01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38.83</w:t>
            </w:r>
          </w:p>
        </w:tc>
      </w:tr>
      <w:tr w:rsidR="000E4DFA" w14:paraId="38EB8FED" w14:textId="77777777">
        <w:tc>
          <w:tcPr>
            <w:tcW w:w="4860" w:type="dxa"/>
            <w:vAlign w:val="center"/>
          </w:tcPr>
          <w:p w14:paraId="1ED0A8BD"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Secondary</w:t>
            </w:r>
          </w:p>
        </w:tc>
        <w:tc>
          <w:tcPr>
            <w:tcW w:w="2430" w:type="dxa"/>
            <w:vAlign w:val="center"/>
          </w:tcPr>
          <w:p w14:paraId="45E61CD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79</w:t>
            </w:r>
          </w:p>
        </w:tc>
        <w:tc>
          <w:tcPr>
            <w:tcW w:w="2060" w:type="dxa"/>
            <w:vAlign w:val="center"/>
          </w:tcPr>
          <w:p w14:paraId="27EC8D0A"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28.94</w:t>
            </w:r>
          </w:p>
        </w:tc>
      </w:tr>
      <w:tr w:rsidR="000E4DFA" w14:paraId="62D8F816" w14:textId="77777777">
        <w:tc>
          <w:tcPr>
            <w:tcW w:w="4860" w:type="dxa"/>
            <w:vAlign w:val="center"/>
          </w:tcPr>
          <w:p w14:paraId="3FFD4207"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Post-secondary</w:t>
            </w:r>
          </w:p>
        </w:tc>
        <w:tc>
          <w:tcPr>
            <w:tcW w:w="2430" w:type="dxa"/>
            <w:vAlign w:val="center"/>
          </w:tcPr>
          <w:p w14:paraId="71DAD298"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88</w:t>
            </w:r>
          </w:p>
        </w:tc>
        <w:tc>
          <w:tcPr>
            <w:tcW w:w="2060" w:type="dxa"/>
            <w:vAlign w:val="center"/>
          </w:tcPr>
          <w:p w14:paraId="72CDF911"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32.23</w:t>
            </w:r>
          </w:p>
        </w:tc>
      </w:tr>
      <w:tr w:rsidR="000E4DFA" w14:paraId="65107456" w14:textId="77777777">
        <w:tc>
          <w:tcPr>
            <w:tcW w:w="4860" w:type="dxa"/>
            <w:vAlign w:val="center"/>
          </w:tcPr>
          <w:p w14:paraId="38B24806"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 xml:space="preserve">Occupation </w:t>
            </w:r>
          </w:p>
        </w:tc>
        <w:tc>
          <w:tcPr>
            <w:tcW w:w="2430" w:type="dxa"/>
            <w:vAlign w:val="center"/>
          </w:tcPr>
          <w:p w14:paraId="2A81D477" w14:textId="77777777" w:rsidR="000E4DFA" w:rsidRDefault="000E4DFA" w:rsidP="00A611AB">
            <w:pPr>
              <w:spacing w:before="100" w:after="0" w:line="360" w:lineRule="auto"/>
              <w:ind w:left="360"/>
              <w:contextualSpacing/>
              <w:rPr>
                <w:rFonts w:eastAsia="Calibri"/>
                <w:sz w:val="24"/>
                <w:szCs w:val="24"/>
              </w:rPr>
            </w:pPr>
          </w:p>
        </w:tc>
        <w:tc>
          <w:tcPr>
            <w:tcW w:w="2060" w:type="dxa"/>
            <w:vAlign w:val="center"/>
          </w:tcPr>
          <w:p w14:paraId="51C09B3E" w14:textId="77777777" w:rsidR="000E4DFA" w:rsidRDefault="000E4DFA" w:rsidP="00A611AB">
            <w:pPr>
              <w:spacing w:before="100" w:after="0" w:line="360" w:lineRule="auto"/>
              <w:ind w:left="360"/>
              <w:contextualSpacing/>
              <w:rPr>
                <w:rFonts w:eastAsia="Calibri"/>
                <w:sz w:val="24"/>
                <w:szCs w:val="24"/>
              </w:rPr>
            </w:pPr>
          </w:p>
        </w:tc>
      </w:tr>
      <w:tr w:rsidR="000E4DFA" w14:paraId="6977D86B" w14:textId="77777777">
        <w:tc>
          <w:tcPr>
            <w:tcW w:w="4860" w:type="dxa"/>
            <w:vAlign w:val="center"/>
          </w:tcPr>
          <w:p w14:paraId="434BE6C7"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Artisan</w:t>
            </w:r>
          </w:p>
        </w:tc>
        <w:tc>
          <w:tcPr>
            <w:tcW w:w="2430" w:type="dxa"/>
            <w:vAlign w:val="center"/>
          </w:tcPr>
          <w:p w14:paraId="51E12A7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10</w:t>
            </w:r>
          </w:p>
        </w:tc>
        <w:tc>
          <w:tcPr>
            <w:tcW w:w="2060" w:type="dxa"/>
            <w:vAlign w:val="center"/>
          </w:tcPr>
          <w:p w14:paraId="4627370D"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3.66</w:t>
            </w:r>
          </w:p>
        </w:tc>
      </w:tr>
      <w:tr w:rsidR="000E4DFA" w14:paraId="79C67548" w14:textId="77777777">
        <w:tc>
          <w:tcPr>
            <w:tcW w:w="4860" w:type="dxa"/>
            <w:vAlign w:val="center"/>
          </w:tcPr>
          <w:p w14:paraId="35B673E3"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Civil servant</w:t>
            </w:r>
          </w:p>
        </w:tc>
        <w:tc>
          <w:tcPr>
            <w:tcW w:w="2430" w:type="dxa"/>
            <w:vAlign w:val="center"/>
          </w:tcPr>
          <w:p w14:paraId="33889E56"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33</w:t>
            </w:r>
          </w:p>
        </w:tc>
        <w:tc>
          <w:tcPr>
            <w:tcW w:w="2060" w:type="dxa"/>
            <w:vAlign w:val="center"/>
          </w:tcPr>
          <w:p w14:paraId="1B2F1F0A"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12.09</w:t>
            </w:r>
          </w:p>
        </w:tc>
      </w:tr>
      <w:tr w:rsidR="000E4DFA" w14:paraId="7BBD2863" w14:textId="77777777">
        <w:tc>
          <w:tcPr>
            <w:tcW w:w="4860" w:type="dxa"/>
            <w:vAlign w:val="center"/>
          </w:tcPr>
          <w:p w14:paraId="4D8E4344"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Dependent</w:t>
            </w:r>
          </w:p>
        </w:tc>
        <w:tc>
          <w:tcPr>
            <w:tcW w:w="2430" w:type="dxa"/>
            <w:vAlign w:val="center"/>
          </w:tcPr>
          <w:p w14:paraId="65B7682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51</w:t>
            </w:r>
          </w:p>
        </w:tc>
        <w:tc>
          <w:tcPr>
            <w:tcW w:w="2060" w:type="dxa"/>
            <w:vAlign w:val="center"/>
          </w:tcPr>
          <w:p w14:paraId="4822D7C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18.68</w:t>
            </w:r>
          </w:p>
        </w:tc>
      </w:tr>
      <w:tr w:rsidR="000E4DFA" w14:paraId="5A558C69" w14:textId="77777777">
        <w:tc>
          <w:tcPr>
            <w:tcW w:w="4860" w:type="dxa"/>
            <w:vAlign w:val="center"/>
          </w:tcPr>
          <w:p w14:paraId="22C34D2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Driver</w:t>
            </w:r>
          </w:p>
        </w:tc>
        <w:tc>
          <w:tcPr>
            <w:tcW w:w="2430" w:type="dxa"/>
            <w:vAlign w:val="center"/>
          </w:tcPr>
          <w:p w14:paraId="3973E6A7"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4</w:t>
            </w:r>
          </w:p>
        </w:tc>
        <w:tc>
          <w:tcPr>
            <w:tcW w:w="2060" w:type="dxa"/>
            <w:vAlign w:val="center"/>
          </w:tcPr>
          <w:p w14:paraId="2E645675"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1.47</w:t>
            </w:r>
          </w:p>
        </w:tc>
      </w:tr>
      <w:tr w:rsidR="000E4DFA" w14:paraId="679FD663" w14:textId="77777777">
        <w:tc>
          <w:tcPr>
            <w:tcW w:w="4860" w:type="dxa"/>
            <w:vAlign w:val="center"/>
          </w:tcPr>
          <w:p w14:paraId="1EF8840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Farmer</w:t>
            </w:r>
          </w:p>
        </w:tc>
        <w:tc>
          <w:tcPr>
            <w:tcW w:w="2430" w:type="dxa"/>
            <w:vAlign w:val="center"/>
          </w:tcPr>
          <w:p w14:paraId="3EEE630D"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51</w:t>
            </w:r>
          </w:p>
        </w:tc>
        <w:tc>
          <w:tcPr>
            <w:tcW w:w="2060" w:type="dxa"/>
            <w:vAlign w:val="center"/>
          </w:tcPr>
          <w:p w14:paraId="5A5AC76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18.68</w:t>
            </w:r>
          </w:p>
        </w:tc>
      </w:tr>
      <w:tr w:rsidR="000E4DFA" w14:paraId="1342F56B" w14:textId="77777777">
        <w:tc>
          <w:tcPr>
            <w:tcW w:w="4860" w:type="dxa"/>
            <w:vAlign w:val="center"/>
          </w:tcPr>
          <w:p w14:paraId="79F0815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Journalist</w:t>
            </w:r>
          </w:p>
        </w:tc>
        <w:tc>
          <w:tcPr>
            <w:tcW w:w="2430" w:type="dxa"/>
            <w:vAlign w:val="center"/>
          </w:tcPr>
          <w:p w14:paraId="1A9F87C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4</w:t>
            </w:r>
          </w:p>
        </w:tc>
        <w:tc>
          <w:tcPr>
            <w:tcW w:w="2060" w:type="dxa"/>
            <w:vAlign w:val="center"/>
          </w:tcPr>
          <w:p w14:paraId="7527CF27"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1.47</w:t>
            </w:r>
          </w:p>
        </w:tc>
      </w:tr>
      <w:tr w:rsidR="000E4DFA" w14:paraId="4785F18C" w14:textId="77777777">
        <w:tc>
          <w:tcPr>
            <w:tcW w:w="4860" w:type="dxa"/>
            <w:vAlign w:val="center"/>
          </w:tcPr>
          <w:p w14:paraId="0ACDD33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Trader</w:t>
            </w:r>
          </w:p>
        </w:tc>
        <w:tc>
          <w:tcPr>
            <w:tcW w:w="2430" w:type="dxa"/>
            <w:vAlign w:val="center"/>
          </w:tcPr>
          <w:p w14:paraId="152D2B3E"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120</w:t>
            </w:r>
          </w:p>
        </w:tc>
        <w:tc>
          <w:tcPr>
            <w:tcW w:w="2060" w:type="dxa"/>
            <w:vAlign w:val="center"/>
          </w:tcPr>
          <w:p w14:paraId="00E0B4D5"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43.96</w:t>
            </w:r>
          </w:p>
        </w:tc>
      </w:tr>
      <w:tr w:rsidR="000E4DFA" w14:paraId="2DB89365" w14:textId="77777777">
        <w:tc>
          <w:tcPr>
            <w:tcW w:w="4860" w:type="dxa"/>
            <w:vAlign w:val="center"/>
          </w:tcPr>
          <w:p w14:paraId="78905B1A" w14:textId="77777777" w:rsidR="000E4DFA" w:rsidRDefault="002F21A7" w:rsidP="00A611AB">
            <w:pPr>
              <w:spacing w:before="100" w:after="0" w:line="360" w:lineRule="auto"/>
              <w:ind w:left="360"/>
              <w:contextualSpacing/>
              <w:rPr>
                <w:rFonts w:eastAsia="Calibri"/>
                <w:sz w:val="24"/>
                <w:szCs w:val="24"/>
              </w:rPr>
            </w:pPr>
            <w:r>
              <w:rPr>
                <w:rFonts w:eastAsia="Calibri"/>
                <w:b/>
                <w:sz w:val="24"/>
                <w:szCs w:val="24"/>
              </w:rPr>
              <w:t>Total</w:t>
            </w:r>
          </w:p>
        </w:tc>
        <w:tc>
          <w:tcPr>
            <w:tcW w:w="2430" w:type="dxa"/>
            <w:vAlign w:val="center"/>
          </w:tcPr>
          <w:p w14:paraId="5503F88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273</w:t>
            </w:r>
          </w:p>
        </w:tc>
        <w:tc>
          <w:tcPr>
            <w:tcW w:w="2060" w:type="dxa"/>
            <w:vAlign w:val="center"/>
          </w:tcPr>
          <w:p w14:paraId="1462CF54"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100.0</w:t>
            </w:r>
          </w:p>
        </w:tc>
      </w:tr>
    </w:tbl>
    <w:p w14:paraId="1CFB6748" w14:textId="77777777" w:rsidR="000E4DFA" w:rsidRDefault="000E4DFA" w:rsidP="00A611AB">
      <w:pPr>
        <w:spacing w:before="100" w:line="360" w:lineRule="auto"/>
        <w:contextualSpacing/>
        <w:rPr>
          <w:rFonts w:ascii="Times New Roman" w:eastAsia="Calibri" w:hAnsi="Times New Roman" w:cs="Times New Roman"/>
          <w:b/>
          <w:kern w:val="0"/>
          <w:sz w:val="24"/>
          <w:szCs w:val="24"/>
          <w:lang w:val="en-US"/>
        </w:rPr>
      </w:pPr>
    </w:p>
    <w:p w14:paraId="73B5E39C" w14:textId="77777777" w:rsidR="00737C3E" w:rsidRDefault="00737C3E" w:rsidP="00A611AB">
      <w:pPr>
        <w:spacing w:before="100" w:line="360" w:lineRule="auto"/>
        <w:contextualSpacing/>
        <w:rPr>
          <w:rFonts w:ascii="Times New Roman" w:eastAsia="Calibri" w:hAnsi="Times New Roman" w:cs="Times New Roman"/>
          <w:b/>
          <w:kern w:val="0"/>
          <w:sz w:val="24"/>
          <w:szCs w:val="24"/>
          <w:lang w:val="en-US"/>
        </w:rPr>
      </w:pPr>
    </w:p>
    <w:p w14:paraId="23E9C931" w14:textId="77777777" w:rsidR="00737C3E" w:rsidRPr="007E2FAE" w:rsidRDefault="00737C3E"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As seen in table 3, about</w:t>
      </w:r>
      <w:r>
        <w:rPr>
          <w:rFonts w:ascii="Times New Roman" w:eastAsia="Calibri" w:hAnsi="Times New Roman" w:cs="Times New Roman"/>
          <w:color w:val="EE0000"/>
          <w:kern w:val="0"/>
          <w:sz w:val="24"/>
          <w:szCs w:val="24"/>
        </w:rPr>
        <w:t xml:space="preserve"> </w:t>
      </w:r>
      <w:r>
        <w:rPr>
          <w:rFonts w:ascii="Times New Roman" w:eastAsia="Calibri" w:hAnsi="Times New Roman" w:cs="Times New Roman"/>
          <w:color w:val="000000"/>
          <w:kern w:val="0"/>
          <w:sz w:val="24"/>
          <w:szCs w:val="24"/>
        </w:rPr>
        <w:t>28.21% of participants had an International Prostate Symptom Score (IPSS) between 6-10, and this was the most frequent range. Scores of 1-5 were observed in 15.75%, while 14.29% scored between11-15. The least frequent was those with IPPS range of 26-39(7.69%).</w:t>
      </w:r>
    </w:p>
    <w:p w14:paraId="5AD81778" w14:textId="77777777" w:rsidR="00737C3E" w:rsidRDefault="00737C3E" w:rsidP="00A611AB">
      <w:pPr>
        <w:spacing w:before="100" w:line="360" w:lineRule="auto"/>
        <w:contextualSpacing/>
        <w:rPr>
          <w:rFonts w:ascii="Times New Roman" w:eastAsia="Calibri" w:hAnsi="Times New Roman" w:cs="Times New Roman"/>
          <w:b/>
          <w:kern w:val="0"/>
          <w:sz w:val="24"/>
          <w:szCs w:val="24"/>
          <w:lang w:val="en-US"/>
        </w:rPr>
      </w:pPr>
    </w:p>
    <w:p w14:paraId="2F09390D" w14:textId="77777777" w:rsidR="000E4DFA" w:rsidRDefault="002F21A7" w:rsidP="00A611AB">
      <w:pPr>
        <w:spacing w:before="100" w:line="360" w:lineRule="auto"/>
        <w:contextualSpacing/>
        <w:rPr>
          <w:rFonts w:ascii="Times New Roman" w:eastAsia="Calibri" w:hAnsi="Times New Roman" w:cs="Times New Roman"/>
          <w:kern w:val="0"/>
          <w:sz w:val="24"/>
          <w:szCs w:val="24"/>
        </w:rPr>
      </w:pPr>
      <w:r>
        <w:rPr>
          <w:rFonts w:ascii="Times New Roman" w:eastAsia="Calibri" w:hAnsi="Times New Roman" w:cs="Times New Roman"/>
          <w:b/>
          <w:kern w:val="0"/>
          <w:sz w:val="24"/>
          <w:szCs w:val="24"/>
        </w:rPr>
        <w:lastRenderedPageBreak/>
        <w:t>Table 3: IPSS scores of the subjects</w:t>
      </w:r>
      <w:r>
        <w:rPr>
          <w:rFonts w:ascii="Times New Roman" w:eastAsia="Calibri" w:hAnsi="Times New Roman" w:cs="Times New Roman"/>
          <w:kern w:val="0"/>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gridCol w:w="2287"/>
        <w:gridCol w:w="1994"/>
      </w:tblGrid>
      <w:tr w:rsidR="000E4DFA" w14:paraId="60F241C0" w14:textId="77777777">
        <w:tc>
          <w:tcPr>
            <w:tcW w:w="4860" w:type="dxa"/>
            <w:tcBorders>
              <w:top w:val="single" w:sz="4" w:space="0" w:color="auto"/>
              <w:left w:val="nil"/>
              <w:bottom w:val="single" w:sz="4" w:space="0" w:color="auto"/>
              <w:right w:val="nil"/>
            </w:tcBorders>
          </w:tcPr>
          <w:p w14:paraId="0FDE7520"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Variables</w:t>
            </w:r>
          </w:p>
        </w:tc>
        <w:tc>
          <w:tcPr>
            <w:tcW w:w="2430" w:type="dxa"/>
            <w:tcBorders>
              <w:top w:val="single" w:sz="4" w:space="0" w:color="auto"/>
              <w:left w:val="nil"/>
              <w:bottom w:val="single" w:sz="4" w:space="0" w:color="auto"/>
              <w:right w:val="nil"/>
            </w:tcBorders>
          </w:tcPr>
          <w:p w14:paraId="64401873"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Frequency (n=273)</w:t>
            </w:r>
          </w:p>
        </w:tc>
        <w:tc>
          <w:tcPr>
            <w:tcW w:w="2060" w:type="dxa"/>
            <w:tcBorders>
              <w:top w:val="single" w:sz="4" w:space="0" w:color="auto"/>
              <w:left w:val="nil"/>
              <w:bottom w:val="single" w:sz="4" w:space="0" w:color="auto"/>
              <w:right w:val="nil"/>
            </w:tcBorders>
          </w:tcPr>
          <w:p w14:paraId="09F6ED17"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Percentage (%)</w:t>
            </w:r>
          </w:p>
        </w:tc>
      </w:tr>
      <w:tr w:rsidR="000E4DFA" w14:paraId="7D021CFB" w14:textId="77777777">
        <w:tc>
          <w:tcPr>
            <w:tcW w:w="4860" w:type="dxa"/>
            <w:tcBorders>
              <w:top w:val="single" w:sz="4" w:space="0" w:color="auto"/>
              <w:left w:val="nil"/>
              <w:bottom w:val="nil"/>
              <w:right w:val="nil"/>
            </w:tcBorders>
          </w:tcPr>
          <w:p w14:paraId="48D15E02"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IPSS range</w:t>
            </w:r>
          </w:p>
        </w:tc>
        <w:tc>
          <w:tcPr>
            <w:tcW w:w="2430" w:type="dxa"/>
            <w:tcBorders>
              <w:top w:val="single" w:sz="4" w:space="0" w:color="auto"/>
              <w:left w:val="nil"/>
              <w:bottom w:val="nil"/>
              <w:right w:val="nil"/>
            </w:tcBorders>
          </w:tcPr>
          <w:p w14:paraId="231044DA" w14:textId="77777777" w:rsidR="000E4DFA" w:rsidRDefault="000E4DFA" w:rsidP="00A611AB">
            <w:pPr>
              <w:spacing w:before="100" w:after="0" w:line="360" w:lineRule="auto"/>
              <w:ind w:left="360"/>
              <w:contextualSpacing/>
              <w:rPr>
                <w:rFonts w:eastAsia="Calibri"/>
                <w:kern w:val="0"/>
                <w:sz w:val="24"/>
                <w:szCs w:val="24"/>
              </w:rPr>
            </w:pPr>
          </w:p>
        </w:tc>
        <w:tc>
          <w:tcPr>
            <w:tcW w:w="2060" w:type="dxa"/>
            <w:tcBorders>
              <w:top w:val="single" w:sz="4" w:space="0" w:color="auto"/>
              <w:left w:val="nil"/>
              <w:bottom w:val="nil"/>
              <w:right w:val="nil"/>
            </w:tcBorders>
          </w:tcPr>
          <w:p w14:paraId="422E15AB" w14:textId="77777777" w:rsidR="000E4DFA" w:rsidRDefault="000E4DFA" w:rsidP="00A611AB">
            <w:pPr>
              <w:spacing w:before="100" w:after="0" w:line="360" w:lineRule="auto"/>
              <w:ind w:left="360"/>
              <w:contextualSpacing/>
              <w:rPr>
                <w:rFonts w:eastAsia="Calibri"/>
                <w:kern w:val="0"/>
                <w:sz w:val="24"/>
                <w:szCs w:val="24"/>
              </w:rPr>
            </w:pPr>
          </w:p>
        </w:tc>
      </w:tr>
      <w:tr w:rsidR="000E4DFA" w14:paraId="12E26C64" w14:textId="77777777">
        <w:tc>
          <w:tcPr>
            <w:tcW w:w="4860" w:type="dxa"/>
            <w:tcBorders>
              <w:top w:val="nil"/>
              <w:left w:val="nil"/>
              <w:bottom w:val="nil"/>
              <w:right w:val="nil"/>
            </w:tcBorders>
            <w:vAlign w:val="center"/>
          </w:tcPr>
          <w:p w14:paraId="551EBD8C"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1-5</w:t>
            </w:r>
          </w:p>
        </w:tc>
        <w:tc>
          <w:tcPr>
            <w:tcW w:w="2430" w:type="dxa"/>
            <w:tcBorders>
              <w:top w:val="nil"/>
              <w:left w:val="nil"/>
              <w:bottom w:val="nil"/>
              <w:right w:val="nil"/>
            </w:tcBorders>
            <w:vAlign w:val="center"/>
          </w:tcPr>
          <w:p w14:paraId="175A8126"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43</w:t>
            </w:r>
          </w:p>
        </w:tc>
        <w:tc>
          <w:tcPr>
            <w:tcW w:w="2060" w:type="dxa"/>
            <w:tcBorders>
              <w:top w:val="nil"/>
              <w:left w:val="nil"/>
              <w:bottom w:val="nil"/>
              <w:right w:val="nil"/>
            </w:tcBorders>
            <w:vAlign w:val="center"/>
          </w:tcPr>
          <w:p w14:paraId="061947C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15.75</w:t>
            </w:r>
          </w:p>
        </w:tc>
      </w:tr>
      <w:tr w:rsidR="000E4DFA" w14:paraId="098445D6" w14:textId="77777777">
        <w:tc>
          <w:tcPr>
            <w:tcW w:w="4860" w:type="dxa"/>
            <w:tcBorders>
              <w:top w:val="nil"/>
              <w:left w:val="nil"/>
              <w:bottom w:val="nil"/>
              <w:right w:val="nil"/>
            </w:tcBorders>
            <w:vAlign w:val="center"/>
          </w:tcPr>
          <w:p w14:paraId="1364F16D"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6-10</w:t>
            </w:r>
          </w:p>
        </w:tc>
        <w:tc>
          <w:tcPr>
            <w:tcW w:w="2430" w:type="dxa"/>
            <w:tcBorders>
              <w:top w:val="nil"/>
              <w:left w:val="nil"/>
              <w:bottom w:val="nil"/>
              <w:right w:val="nil"/>
            </w:tcBorders>
            <w:vAlign w:val="center"/>
          </w:tcPr>
          <w:p w14:paraId="228EA5CF"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77</w:t>
            </w:r>
          </w:p>
        </w:tc>
        <w:tc>
          <w:tcPr>
            <w:tcW w:w="2060" w:type="dxa"/>
            <w:tcBorders>
              <w:top w:val="nil"/>
              <w:left w:val="nil"/>
              <w:bottom w:val="nil"/>
              <w:right w:val="nil"/>
            </w:tcBorders>
            <w:vAlign w:val="center"/>
          </w:tcPr>
          <w:p w14:paraId="557BCD6A"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28.21</w:t>
            </w:r>
          </w:p>
        </w:tc>
      </w:tr>
      <w:tr w:rsidR="000E4DFA" w14:paraId="7893C089" w14:textId="77777777">
        <w:tc>
          <w:tcPr>
            <w:tcW w:w="4860" w:type="dxa"/>
            <w:tcBorders>
              <w:top w:val="nil"/>
              <w:left w:val="nil"/>
              <w:bottom w:val="nil"/>
              <w:right w:val="nil"/>
            </w:tcBorders>
            <w:vAlign w:val="center"/>
          </w:tcPr>
          <w:p w14:paraId="3277CC8E"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11-15</w:t>
            </w:r>
          </w:p>
        </w:tc>
        <w:tc>
          <w:tcPr>
            <w:tcW w:w="2430" w:type="dxa"/>
            <w:tcBorders>
              <w:top w:val="nil"/>
              <w:left w:val="nil"/>
              <w:bottom w:val="nil"/>
              <w:right w:val="nil"/>
            </w:tcBorders>
            <w:vAlign w:val="center"/>
          </w:tcPr>
          <w:p w14:paraId="38EF24B3"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39</w:t>
            </w:r>
          </w:p>
        </w:tc>
        <w:tc>
          <w:tcPr>
            <w:tcW w:w="2060" w:type="dxa"/>
            <w:tcBorders>
              <w:top w:val="nil"/>
              <w:left w:val="nil"/>
              <w:bottom w:val="nil"/>
              <w:right w:val="nil"/>
            </w:tcBorders>
            <w:vAlign w:val="center"/>
          </w:tcPr>
          <w:p w14:paraId="495FBAF2"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14.29</w:t>
            </w:r>
          </w:p>
        </w:tc>
      </w:tr>
      <w:tr w:rsidR="000E4DFA" w14:paraId="1686B8DA" w14:textId="77777777">
        <w:tc>
          <w:tcPr>
            <w:tcW w:w="4860" w:type="dxa"/>
            <w:tcBorders>
              <w:top w:val="nil"/>
              <w:left w:val="nil"/>
              <w:bottom w:val="nil"/>
              <w:right w:val="nil"/>
            </w:tcBorders>
            <w:vAlign w:val="center"/>
          </w:tcPr>
          <w:p w14:paraId="574E33D1" w14:textId="77777777" w:rsidR="000E4DFA" w:rsidRDefault="002F21A7" w:rsidP="00A611AB">
            <w:pPr>
              <w:spacing w:before="100" w:after="0" w:line="360" w:lineRule="auto"/>
              <w:ind w:left="360"/>
              <w:contextualSpacing/>
              <w:rPr>
                <w:rFonts w:eastAsia="Calibri"/>
                <w:b/>
                <w:kern w:val="0"/>
                <w:sz w:val="24"/>
                <w:szCs w:val="24"/>
              </w:rPr>
            </w:pPr>
            <w:r>
              <w:rPr>
                <w:rFonts w:eastAsia="Calibri"/>
                <w:kern w:val="0"/>
                <w:sz w:val="24"/>
                <w:szCs w:val="24"/>
              </w:rPr>
              <w:t>16-20</w:t>
            </w:r>
          </w:p>
        </w:tc>
        <w:tc>
          <w:tcPr>
            <w:tcW w:w="2430" w:type="dxa"/>
            <w:tcBorders>
              <w:top w:val="nil"/>
              <w:left w:val="nil"/>
              <w:bottom w:val="nil"/>
              <w:right w:val="nil"/>
            </w:tcBorders>
            <w:vAlign w:val="center"/>
          </w:tcPr>
          <w:p w14:paraId="6E26B01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31</w:t>
            </w:r>
          </w:p>
        </w:tc>
        <w:tc>
          <w:tcPr>
            <w:tcW w:w="2060" w:type="dxa"/>
            <w:tcBorders>
              <w:top w:val="nil"/>
              <w:left w:val="nil"/>
              <w:bottom w:val="nil"/>
              <w:right w:val="nil"/>
            </w:tcBorders>
            <w:vAlign w:val="center"/>
          </w:tcPr>
          <w:p w14:paraId="5D3D5F87"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11.36</w:t>
            </w:r>
          </w:p>
        </w:tc>
      </w:tr>
      <w:tr w:rsidR="000E4DFA" w14:paraId="2D046691" w14:textId="77777777">
        <w:tc>
          <w:tcPr>
            <w:tcW w:w="4860" w:type="dxa"/>
            <w:tcBorders>
              <w:top w:val="nil"/>
              <w:left w:val="nil"/>
              <w:bottom w:val="nil"/>
              <w:right w:val="nil"/>
            </w:tcBorders>
            <w:vAlign w:val="center"/>
          </w:tcPr>
          <w:p w14:paraId="496E51DF" w14:textId="77777777" w:rsidR="000E4DFA" w:rsidRDefault="002F21A7" w:rsidP="00A611AB">
            <w:pPr>
              <w:spacing w:before="100" w:after="0" w:line="360" w:lineRule="auto"/>
              <w:ind w:left="360"/>
              <w:contextualSpacing/>
              <w:rPr>
                <w:rFonts w:eastAsia="Calibri"/>
                <w:b/>
                <w:kern w:val="0"/>
                <w:sz w:val="24"/>
                <w:szCs w:val="24"/>
              </w:rPr>
            </w:pPr>
            <w:r>
              <w:rPr>
                <w:rFonts w:eastAsia="Calibri"/>
                <w:kern w:val="0"/>
                <w:sz w:val="24"/>
                <w:szCs w:val="24"/>
              </w:rPr>
              <w:t>21-25</w:t>
            </w:r>
          </w:p>
        </w:tc>
        <w:tc>
          <w:tcPr>
            <w:tcW w:w="2430" w:type="dxa"/>
            <w:tcBorders>
              <w:top w:val="nil"/>
              <w:left w:val="nil"/>
              <w:bottom w:val="nil"/>
              <w:right w:val="nil"/>
            </w:tcBorders>
            <w:vAlign w:val="center"/>
          </w:tcPr>
          <w:p w14:paraId="2847A736"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31</w:t>
            </w:r>
          </w:p>
        </w:tc>
        <w:tc>
          <w:tcPr>
            <w:tcW w:w="2060" w:type="dxa"/>
            <w:tcBorders>
              <w:top w:val="nil"/>
              <w:left w:val="nil"/>
              <w:bottom w:val="nil"/>
              <w:right w:val="nil"/>
            </w:tcBorders>
            <w:vAlign w:val="center"/>
          </w:tcPr>
          <w:p w14:paraId="5FE69C3B"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11.36</w:t>
            </w:r>
          </w:p>
        </w:tc>
      </w:tr>
      <w:tr w:rsidR="000E4DFA" w14:paraId="3413F09A" w14:textId="77777777">
        <w:tc>
          <w:tcPr>
            <w:tcW w:w="4860" w:type="dxa"/>
            <w:tcBorders>
              <w:top w:val="nil"/>
              <w:left w:val="nil"/>
              <w:bottom w:val="nil"/>
              <w:right w:val="nil"/>
            </w:tcBorders>
            <w:vAlign w:val="center"/>
          </w:tcPr>
          <w:p w14:paraId="1CDF881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26-30</w:t>
            </w:r>
          </w:p>
        </w:tc>
        <w:tc>
          <w:tcPr>
            <w:tcW w:w="2430" w:type="dxa"/>
            <w:tcBorders>
              <w:top w:val="nil"/>
              <w:left w:val="nil"/>
              <w:bottom w:val="nil"/>
              <w:right w:val="nil"/>
            </w:tcBorders>
            <w:vAlign w:val="center"/>
          </w:tcPr>
          <w:p w14:paraId="4673C147"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21</w:t>
            </w:r>
          </w:p>
        </w:tc>
        <w:tc>
          <w:tcPr>
            <w:tcW w:w="2060" w:type="dxa"/>
            <w:tcBorders>
              <w:top w:val="nil"/>
              <w:left w:val="nil"/>
              <w:bottom w:val="nil"/>
              <w:right w:val="nil"/>
            </w:tcBorders>
            <w:vAlign w:val="center"/>
          </w:tcPr>
          <w:p w14:paraId="61CA971C"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7.69</w:t>
            </w:r>
          </w:p>
        </w:tc>
      </w:tr>
      <w:tr w:rsidR="000E4DFA" w14:paraId="20D4AC54" w14:textId="77777777">
        <w:tc>
          <w:tcPr>
            <w:tcW w:w="4860" w:type="dxa"/>
            <w:tcBorders>
              <w:top w:val="nil"/>
              <w:left w:val="nil"/>
              <w:bottom w:val="nil"/>
              <w:right w:val="nil"/>
            </w:tcBorders>
            <w:vAlign w:val="center"/>
          </w:tcPr>
          <w:p w14:paraId="7C021F34"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31-35</w:t>
            </w:r>
          </w:p>
        </w:tc>
        <w:tc>
          <w:tcPr>
            <w:tcW w:w="2430" w:type="dxa"/>
            <w:tcBorders>
              <w:top w:val="nil"/>
              <w:left w:val="nil"/>
              <w:bottom w:val="nil"/>
              <w:right w:val="nil"/>
            </w:tcBorders>
            <w:vAlign w:val="center"/>
          </w:tcPr>
          <w:p w14:paraId="7874173B"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31</w:t>
            </w:r>
          </w:p>
        </w:tc>
        <w:tc>
          <w:tcPr>
            <w:tcW w:w="2060" w:type="dxa"/>
            <w:tcBorders>
              <w:top w:val="nil"/>
              <w:left w:val="nil"/>
              <w:bottom w:val="nil"/>
              <w:right w:val="nil"/>
            </w:tcBorders>
            <w:vAlign w:val="center"/>
          </w:tcPr>
          <w:p w14:paraId="18AC30B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11.36</w:t>
            </w:r>
          </w:p>
        </w:tc>
      </w:tr>
      <w:tr w:rsidR="000E4DFA" w14:paraId="23FE95B6" w14:textId="77777777">
        <w:tc>
          <w:tcPr>
            <w:tcW w:w="4860" w:type="dxa"/>
            <w:tcBorders>
              <w:top w:val="nil"/>
              <w:left w:val="nil"/>
              <w:bottom w:val="single" w:sz="4" w:space="0" w:color="auto"/>
              <w:right w:val="nil"/>
            </w:tcBorders>
            <w:vAlign w:val="center"/>
          </w:tcPr>
          <w:p w14:paraId="19E3C492" w14:textId="77777777" w:rsidR="000E4DFA" w:rsidRDefault="002F21A7" w:rsidP="00A611AB">
            <w:pPr>
              <w:spacing w:before="100" w:after="0" w:line="360" w:lineRule="auto"/>
              <w:ind w:left="360"/>
              <w:contextualSpacing/>
              <w:rPr>
                <w:rFonts w:eastAsia="Calibri"/>
                <w:kern w:val="0"/>
                <w:sz w:val="24"/>
                <w:szCs w:val="24"/>
              </w:rPr>
            </w:pPr>
            <w:r>
              <w:rPr>
                <w:rFonts w:eastAsia="Calibri"/>
                <w:b/>
                <w:kern w:val="0"/>
                <w:sz w:val="24"/>
                <w:szCs w:val="24"/>
              </w:rPr>
              <w:t>Total</w:t>
            </w:r>
          </w:p>
        </w:tc>
        <w:tc>
          <w:tcPr>
            <w:tcW w:w="2430" w:type="dxa"/>
            <w:tcBorders>
              <w:top w:val="nil"/>
              <w:left w:val="nil"/>
              <w:bottom w:val="single" w:sz="4" w:space="0" w:color="auto"/>
              <w:right w:val="nil"/>
            </w:tcBorders>
            <w:vAlign w:val="center"/>
          </w:tcPr>
          <w:p w14:paraId="51F8D567"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273</w:t>
            </w:r>
          </w:p>
        </w:tc>
        <w:tc>
          <w:tcPr>
            <w:tcW w:w="2060" w:type="dxa"/>
            <w:tcBorders>
              <w:top w:val="nil"/>
              <w:left w:val="nil"/>
              <w:bottom w:val="single" w:sz="4" w:space="0" w:color="auto"/>
              <w:right w:val="nil"/>
            </w:tcBorders>
            <w:vAlign w:val="center"/>
          </w:tcPr>
          <w:p w14:paraId="521FAB6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100.0</w:t>
            </w:r>
          </w:p>
        </w:tc>
      </w:tr>
    </w:tbl>
    <w:p w14:paraId="78C2290D" w14:textId="77777777" w:rsidR="00737C3E" w:rsidRDefault="00737C3E" w:rsidP="00A611AB">
      <w:pPr>
        <w:spacing w:before="100" w:line="360" w:lineRule="auto"/>
        <w:contextualSpacing/>
        <w:rPr>
          <w:rFonts w:ascii="Times New Roman" w:eastAsia="Calibri" w:hAnsi="Times New Roman" w:cs="Times New Roman"/>
          <w:color w:val="000000"/>
          <w:kern w:val="0"/>
          <w:sz w:val="24"/>
          <w:szCs w:val="24"/>
        </w:rPr>
      </w:pPr>
    </w:p>
    <w:p w14:paraId="4BADD1EE" w14:textId="77777777" w:rsidR="00737C3E" w:rsidRDefault="00737C3E" w:rsidP="00A611AB">
      <w:pPr>
        <w:spacing w:before="100" w:line="360" w:lineRule="auto"/>
        <w:contextualSpacing/>
        <w:rPr>
          <w:rFonts w:ascii="Times New Roman" w:eastAsia="Calibri" w:hAnsi="Times New Roman" w:cs="Times New Roman"/>
          <w:color w:val="000000"/>
          <w:kern w:val="0"/>
          <w:sz w:val="24"/>
          <w:szCs w:val="24"/>
        </w:rPr>
      </w:pPr>
    </w:p>
    <w:p w14:paraId="665B7B30" w14:textId="77777777" w:rsidR="00060ED2"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About</w:t>
      </w:r>
      <w:r>
        <w:rPr>
          <w:rFonts w:ascii="Times New Roman" w:eastAsia="Calibri" w:hAnsi="Times New Roman" w:cs="Times New Roman"/>
          <w:color w:val="EE0000"/>
          <w:kern w:val="0"/>
          <w:sz w:val="24"/>
          <w:szCs w:val="24"/>
        </w:rPr>
        <w:t xml:space="preserve"> </w:t>
      </w:r>
      <w:r>
        <w:rPr>
          <w:rFonts w:ascii="Times New Roman" w:eastAsia="Calibri" w:hAnsi="Times New Roman" w:cs="Times New Roman"/>
          <w:color w:val="000000"/>
          <w:kern w:val="0"/>
          <w:sz w:val="24"/>
          <w:szCs w:val="24"/>
        </w:rPr>
        <w:t>38.83% of participants had moderate Lower Urinary Tract Symptoms (</w:t>
      </w:r>
      <w:r w:rsidR="00C05C12">
        <w:rPr>
          <w:rFonts w:ascii="Times New Roman" w:eastAsia="Calibri" w:hAnsi="Times New Roman" w:cs="Times New Roman"/>
          <w:color w:val="000000"/>
          <w:kern w:val="0"/>
          <w:sz w:val="24"/>
          <w:szCs w:val="24"/>
        </w:rPr>
        <w:t>LUTS) based on their IPSS</w:t>
      </w:r>
      <w:r>
        <w:rPr>
          <w:rFonts w:ascii="Times New Roman" w:eastAsia="Calibri" w:hAnsi="Times New Roman" w:cs="Times New Roman"/>
          <w:color w:val="000000"/>
          <w:kern w:val="0"/>
          <w:sz w:val="24"/>
          <w:szCs w:val="24"/>
        </w:rPr>
        <w:t>. Mild symptoms are present in 29.67% of participants, while 31.50% experience severe symptoms</w:t>
      </w:r>
      <w:r w:rsidR="00C05C12">
        <w:rPr>
          <w:rFonts w:ascii="Times New Roman" w:eastAsia="Calibri" w:hAnsi="Times New Roman" w:cs="Times New Roman"/>
          <w:color w:val="000000"/>
          <w:kern w:val="0"/>
          <w:sz w:val="24"/>
          <w:szCs w:val="24"/>
        </w:rPr>
        <w:t xml:space="preserve">, see </w:t>
      </w:r>
      <w:r w:rsidR="00737C3E" w:rsidRPr="00737C3E">
        <w:rPr>
          <w:rFonts w:ascii="Times New Roman" w:eastAsia="Calibri" w:hAnsi="Times New Roman" w:cs="Times New Roman"/>
          <w:color w:val="000000"/>
          <w:kern w:val="0"/>
          <w:sz w:val="24"/>
          <w:szCs w:val="24"/>
        </w:rPr>
        <w:t>table 4</w:t>
      </w:r>
      <w:r w:rsidR="00737C3E">
        <w:rPr>
          <w:rFonts w:ascii="Times New Roman" w:eastAsia="Calibri" w:hAnsi="Times New Roman" w:cs="Times New Roman"/>
          <w:color w:val="000000"/>
          <w:kern w:val="0"/>
          <w:sz w:val="24"/>
          <w:szCs w:val="24"/>
        </w:rPr>
        <w:t>.</w:t>
      </w:r>
    </w:p>
    <w:p w14:paraId="5E91D792"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hAnsi="Times New Roman" w:cs="Times New Roman"/>
          <w:sz w:val="24"/>
          <w:szCs w:val="24"/>
        </w:rPr>
        <w:t xml:space="preserve"> </w:t>
      </w:r>
    </w:p>
    <w:p w14:paraId="1C07F4E7" w14:textId="77777777" w:rsidR="000E4DFA" w:rsidRPr="00737C3E" w:rsidRDefault="00737C3E" w:rsidP="00A611AB">
      <w:pPr>
        <w:spacing w:before="100" w:line="360" w:lineRule="auto"/>
        <w:ind w:left="360"/>
        <w:contextualSpacing/>
        <w:rPr>
          <w:rFonts w:ascii="Times New Roman" w:eastAsia="Calibri" w:hAnsi="Times New Roman" w:cs="Times New Roman"/>
          <w:b/>
          <w:color w:val="000000"/>
          <w:kern w:val="0"/>
          <w:sz w:val="24"/>
          <w:szCs w:val="24"/>
        </w:rPr>
      </w:pPr>
      <w:r w:rsidRPr="00737C3E">
        <w:rPr>
          <w:rFonts w:ascii="Times New Roman" w:eastAsia="Calibri" w:hAnsi="Times New Roman" w:cs="Times New Roman"/>
          <w:b/>
          <w:color w:val="000000"/>
          <w:kern w:val="0"/>
          <w:sz w:val="24"/>
          <w:szCs w:val="24"/>
        </w:rPr>
        <w:t xml:space="preserve">Table 4: Ranked IPSS </w:t>
      </w:r>
      <w:r w:rsidR="00060ED2">
        <w:rPr>
          <w:rFonts w:ascii="Times New Roman" w:eastAsia="Calibri" w:hAnsi="Times New Roman" w:cs="Times New Roman"/>
          <w:b/>
          <w:color w:val="000000"/>
          <w:kern w:val="0"/>
          <w:sz w:val="24"/>
          <w:szCs w:val="24"/>
        </w:rPr>
        <w:t>scores</w:t>
      </w:r>
      <w:r w:rsidRPr="00737C3E">
        <w:rPr>
          <w:rFonts w:ascii="Times New Roman" w:eastAsia="Calibri" w:hAnsi="Times New Roman" w:cs="Times New Roman"/>
          <w:b/>
          <w:color w:val="000000"/>
          <w:kern w:val="0"/>
          <w:sz w:val="24"/>
          <w:szCs w:val="24"/>
        </w:rPr>
        <w:t xml:space="preserve"> of the subjects</w:t>
      </w:r>
    </w:p>
    <w:tbl>
      <w:tblPr>
        <w:tblStyle w:val="TableGrid"/>
        <w:tblW w:w="8159" w:type="dxa"/>
        <w:tblBorders>
          <w:left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641"/>
        <w:gridCol w:w="2619"/>
        <w:gridCol w:w="1899"/>
      </w:tblGrid>
      <w:tr w:rsidR="000E4DFA" w14:paraId="26869D1A" w14:textId="77777777">
        <w:tc>
          <w:tcPr>
            <w:tcW w:w="3641" w:type="dxa"/>
            <w:tcBorders>
              <w:bottom w:val="single" w:sz="4" w:space="0" w:color="auto"/>
            </w:tcBorders>
          </w:tcPr>
          <w:p w14:paraId="784AF4DE" w14:textId="77777777" w:rsidR="000E4DFA" w:rsidRDefault="002F21A7" w:rsidP="00A611AB">
            <w:pPr>
              <w:spacing w:before="100" w:after="0" w:line="360" w:lineRule="auto"/>
              <w:ind w:left="360"/>
              <w:contextualSpacing/>
              <w:rPr>
                <w:rFonts w:eastAsia="Calibri"/>
                <w:b/>
                <w:color w:val="000000"/>
                <w:kern w:val="0"/>
                <w:sz w:val="24"/>
                <w:szCs w:val="24"/>
              </w:rPr>
            </w:pPr>
            <w:r>
              <w:rPr>
                <w:rFonts w:eastAsia="Calibri"/>
                <w:b/>
                <w:color w:val="000000"/>
                <w:kern w:val="0"/>
                <w:sz w:val="24"/>
                <w:szCs w:val="24"/>
              </w:rPr>
              <w:t>Variables</w:t>
            </w:r>
          </w:p>
        </w:tc>
        <w:tc>
          <w:tcPr>
            <w:tcW w:w="2619" w:type="dxa"/>
            <w:tcBorders>
              <w:bottom w:val="single" w:sz="4" w:space="0" w:color="auto"/>
            </w:tcBorders>
          </w:tcPr>
          <w:p w14:paraId="6EA0D644" w14:textId="77777777" w:rsidR="000E4DFA" w:rsidRDefault="002F21A7" w:rsidP="00A611AB">
            <w:pPr>
              <w:spacing w:before="100" w:after="0" w:line="360" w:lineRule="auto"/>
              <w:ind w:left="360"/>
              <w:contextualSpacing/>
              <w:rPr>
                <w:rFonts w:eastAsia="Calibri"/>
                <w:b/>
                <w:color w:val="000000"/>
                <w:kern w:val="0"/>
                <w:sz w:val="24"/>
                <w:szCs w:val="24"/>
              </w:rPr>
            </w:pPr>
            <w:r>
              <w:rPr>
                <w:rFonts w:eastAsia="Calibri"/>
                <w:b/>
                <w:color w:val="000000"/>
                <w:kern w:val="0"/>
                <w:sz w:val="24"/>
                <w:szCs w:val="24"/>
              </w:rPr>
              <w:t>Frequency (n=273)</w:t>
            </w:r>
          </w:p>
        </w:tc>
        <w:tc>
          <w:tcPr>
            <w:tcW w:w="1899" w:type="dxa"/>
            <w:tcBorders>
              <w:bottom w:val="single" w:sz="4" w:space="0" w:color="auto"/>
            </w:tcBorders>
          </w:tcPr>
          <w:p w14:paraId="2B48E504" w14:textId="77777777" w:rsidR="000E4DFA" w:rsidRDefault="002F21A7" w:rsidP="00A611AB">
            <w:pPr>
              <w:spacing w:before="100" w:after="0" w:line="360" w:lineRule="auto"/>
              <w:ind w:left="360"/>
              <w:contextualSpacing/>
              <w:rPr>
                <w:rFonts w:eastAsia="Calibri"/>
                <w:b/>
                <w:color w:val="000000"/>
                <w:kern w:val="0"/>
                <w:sz w:val="24"/>
                <w:szCs w:val="24"/>
              </w:rPr>
            </w:pPr>
            <w:r>
              <w:rPr>
                <w:rFonts w:eastAsia="Calibri"/>
                <w:b/>
                <w:color w:val="000000"/>
                <w:kern w:val="0"/>
                <w:sz w:val="24"/>
                <w:szCs w:val="24"/>
              </w:rPr>
              <w:t>Percentage (%)</w:t>
            </w:r>
          </w:p>
        </w:tc>
      </w:tr>
      <w:tr w:rsidR="000E4DFA" w14:paraId="7AE9D980" w14:textId="77777777">
        <w:tc>
          <w:tcPr>
            <w:tcW w:w="3641" w:type="dxa"/>
            <w:tcBorders>
              <w:top w:val="single" w:sz="4" w:space="0" w:color="auto"/>
            </w:tcBorders>
          </w:tcPr>
          <w:p w14:paraId="1545AF56" w14:textId="77777777" w:rsidR="000E4DFA" w:rsidRDefault="002F21A7" w:rsidP="00A611AB">
            <w:pPr>
              <w:spacing w:before="100" w:after="0" w:line="360" w:lineRule="auto"/>
              <w:ind w:left="360"/>
              <w:contextualSpacing/>
              <w:rPr>
                <w:rFonts w:eastAsia="Calibri"/>
                <w:b/>
                <w:color w:val="000000"/>
                <w:kern w:val="0"/>
                <w:sz w:val="24"/>
                <w:szCs w:val="24"/>
              </w:rPr>
            </w:pPr>
            <w:r>
              <w:rPr>
                <w:rFonts w:eastAsia="Calibri"/>
                <w:b/>
                <w:color w:val="000000"/>
                <w:kern w:val="0"/>
                <w:sz w:val="24"/>
                <w:szCs w:val="24"/>
              </w:rPr>
              <w:t>IPSS scoring</w:t>
            </w:r>
          </w:p>
        </w:tc>
        <w:tc>
          <w:tcPr>
            <w:tcW w:w="2619" w:type="dxa"/>
            <w:tcBorders>
              <w:top w:val="single" w:sz="4" w:space="0" w:color="auto"/>
            </w:tcBorders>
          </w:tcPr>
          <w:p w14:paraId="2D643542" w14:textId="77777777" w:rsidR="000E4DFA" w:rsidRDefault="000E4DFA" w:rsidP="00A611AB">
            <w:pPr>
              <w:spacing w:before="100" w:after="0" w:line="360" w:lineRule="auto"/>
              <w:ind w:left="360"/>
              <w:contextualSpacing/>
              <w:rPr>
                <w:rFonts w:eastAsia="Calibri"/>
                <w:color w:val="000000"/>
                <w:kern w:val="0"/>
                <w:sz w:val="24"/>
                <w:szCs w:val="24"/>
              </w:rPr>
            </w:pPr>
          </w:p>
        </w:tc>
        <w:tc>
          <w:tcPr>
            <w:tcW w:w="1899" w:type="dxa"/>
            <w:tcBorders>
              <w:top w:val="single" w:sz="4" w:space="0" w:color="auto"/>
            </w:tcBorders>
          </w:tcPr>
          <w:p w14:paraId="785BF599" w14:textId="77777777" w:rsidR="000E4DFA" w:rsidRDefault="000E4DFA" w:rsidP="00A611AB">
            <w:pPr>
              <w:spacing w:before="100" w:after="0" w:line="360" w:lineRule="auto"/>
              <w:ind w:left="360"/>
              <w:contextualSpacing/>
              <w:rPr>
                <w:rFonts w:eastAsia="Calibri"/>
                <w:color w:val="000000"/>
                <w:kern w:val="0"/>
                <w:sz w:val="24"/>
                <w:szCs w:val="24"/>
              </w:rPr>
            </w:pPr>
          </w:p>
        </w:tc>
      </w:tr>
      <w:tr w:rsidR="000E4DFA" w14:paraId="4529CCF7" w14:textId="77777777">
        <w:tc>
          <w:tcPr>
            <w:tcW w:w="3641" w:type="dxa"/>
            <w:vAlign w:val="center"/>
          </w:tcPr>
          <w:p w14:paraId="784A0B7E"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Mild</w:t>
            </w:r>
          </w:p>
        </w:tc>
        <w:tc>
          <w:tcPr>
            <w:tcW w:w="2619" w:type="dxa"/>
            <w:vAlign w:val="center"/>
          </w:tcPr>
          <w:p w14:paraId="4BA7D4B0"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81</w:t>
            </w:r>
          </w:p>
        </w:tc>
        <w:tc>
          <w:tcPr>
            <w:tcW w:w="1899" w:type="dxa"/>
            <w:vAlign w:val="center"/>
          </w:tcPr>
          <w:p w14:paraId="00973DC8"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29.67</w:t>
            </w:r>
          </w:p>
        </w:tc>
      </w:tr>
      <w:tr w:rsidR="000E4DFA" w14:paraId="67187360" w14:textId="77777777">
        <w:tc>
          <w:tcPr>
            <w:tcW w:w="3641" w:type="dxa"/>
            <w:vAlign w:val="center"/>
          </w:tcPr>
          <w:p w14:paraId="6FA8F91E"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Moderate</w:t>
            </w:r>
          </w:p>
        </w:tc>
        <w:tc>
          <w:tcPr>
            <w:tcW w:w="2619" w:type="dxa"/>
            <w:vAlign w:val="center"/>
          </w:tcPr>
          <w:p w14:paraId="4069F3F4"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106</w:t>
            </w:r>
          </w:p>
        </w:tc>
        <w:tc>
          <w:tcPr>
            <w:tcW w:w="1899" w:type="dxa"/>
            <w:vAlign w:val="center"/>
          </w:tcPr>
          <w:p w14:paraId="3BC09B74"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38.83</w:t>
            </w:r>
          </w:p>
        </w:tc>
      </w:tr>
      <w:tr w:rsidR="000E4DFA" w14:paraId="683FC161" w14:textId="77777777">
        <w:tc>
          <w:tcPr>
            <w:tcW w:w="3641" w:type="dxa"/>
            <w:vAlign w:val="center"/>
          </w:tcPr>
          <w:p w14:paraId="300F1998"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Severe</w:t>
            </w:r>
          </w:p>
        </w:tc>
        <w:tc>
          <w:tcPr>
            <w:tcW w:w="2619" w:type="dxa"/>
            <w:vAlign w:val="center"/>
          </w:tcPr>
          <w:p w14:paraId="4E55AF63"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86</w:t>
            </w:r>
          </w:p>
        </w:tc>
        <w:tc>
          <w:tcPr>
            <w:tcW w:w="1899" w:type="dxa"/>
            <w:vAlign w:val="center"/>
          </w:tcPr>
          <w:p w14:paraId="48365AA2"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31.50</w:t>
            </w:r>
          </w:p>
        </w:tc>
      </w:tr>
      <w:tr w:rsidR="000E4DFA" w14:paraId="35B7F1C8" w14:textId="77777777">
        <w:tc>
          <w:tcPr>
            <w:tcW w:w="3641" w:type="dxa"/>
            <w:vAlign w:val="center"/>
          </w:tcPr>
          <w:p w14:paraId="70EA9FD8" w14:textId="77777777" w:rsidR="000E4DFA" w:rsidRDefault="002F21A7" w:rsidP="00A611AB">
            <w:pPr>
              <w:spacing w:before="100" w:after="0" w:line="360" w:lineRule="auto"/>
              <w:ind w:left="360"/>
              <w:contextualSpacing/>
              <w:rPr>
                <w:rFonts w:eastAsia="Calibri"/>
                <w:b/>
                <w:color w:val="000000"/>
                <w:kern w:val="0"/>
                <w:sz w:val="24"/>
                <w:szCs w:val="24"/>
              </w:rPr>
            </w:pPr>
            <w:r>
              <w:rPr>
                <w:rFonts w:eastAsia="Calibri"/>
                <w:b/>
                <w:color w:val="000000"/>
                <w:kern w:val="0"/>
                <w:sz w:val="24"/>
                <w:szCs w:val="24"/>
              </w:rPr>
              <w:t>Total</w:t>
            </w:r>
          </w:p>
        </w:tc>
        <w:tc>
          <w:tcPr>
            <w:tcW w:w="2619" w:type="dxa"/>
            <w:vAlign w:val="center"/>
          </w:tcPr>
          <w:p w14:paraId="74031A1A"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273</w:t>
            </w:r>
          </w:p>
        </w:tc>
        <w:tc>
          <w:tcPr>
            <w:tcW w:w="1899" w:type="dxa"/>
            <w:vAlign w:val="center"/>
          </w:tcPr>
          <w:p w14:paraId="360D425E"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100.0</w:t>
            </w:r>
          </w:p>
        </w:tc>
      </w:tr>
      <w:tr w:rsidR="000E4DFA" w14:paraId="22197F7F" w14:textId="77777777">
        <w:tc>
          <w:tcPr>
            <w:tcW w:w="3641" w:type="dxa"/>
            <w:vAlign w:val="center"/>
          </w:tcPr>
          <w:p w14:paraId="6CC35321" w14:textId="77777777" w:rsidR="000E4DFA" w:rsidRDefault="000E4DFA" w:rsidP="00A611AB">
            <w:pPr>
              <w:spacing w:before="100" w:after="0" w:line="360" w:lineRule="auto"/>
              <w:contextualSpacing/>
              <w:rPr>
                <w:rFonts w:eastAsia="Calibri"/>
                <w:b/>
                <w:color w:val="000000"/>
                <w:kern w:val="0"/>
                <w:sz w:val="24"/>
                <w:szCs w:val="24"/>
              </w:rPr>
            </w:pPr>
          </w:p>
        </w:tc>
        <w:tc>
          <w:tcPr>
            <w:tcW w:w="2619" w:type="dxa"/>
            <w:vAlign w:val="center"/>
          </w:tcPr>
          <w:p w14:paraId="1C591226" w14:textId="77777777" w:rsidR="000E4DFA" w:rsidRDefault="000E4DFA" w:rsidP="00A611AB">
            <w:pPr>
              <w:spacing w:before="100" w:after="0" w:line="360" w:lineRule="auto"/>
              <w:ind w:left="360"/>
              <w:contextualSpacing/>
              <w:rPr>
                <w:rFonts w:eastAsia="Calibri"/>
                <w:color w:val="000000"/>
                <w:kern w:val="0"/>
                <w:sz w:val="24"/>
                <w:szCs w:val="24"/>
              </w:rPr>
            </w:pPr>
          </w:p>
        </w:tc>
        <w:tc>
          <w:tcPr>
            <w:tcW w:w="1899" w:type="dxa"/>
            <w:vAlign w:val="center"/>
          </w:tcPr>
          <w:p w14:paraId="201A0AB5" w14:textId="77777777" w:rsidR="000E4DFA" w:rsidRDefault="000E4DFA" w:rsidP="00A611AB">
            <w:pPr>
              <w:spacing w:before="100" w:after="0" w:line="360" w:lineRule="auto"/>
              <w:ind w:left="360"/>
              <w:contextualSpacing/>
              <w:rPr>
                <w:rFonts w:eastAsia="Calibri"/>
                <w:color w:val="000000"/>
                <w:kern w:val="0"/>
                <w:sz w:val="24"/>
                <w:szCs w:val="24"/>
              </w:rPr>
            </w:pPr>
          </w:p>
        </w:tc>
      </w:tr>
    </w:tbl>
    <w:p w14:paraId="473CF863" w14:textId="77777777" w:rsidR="000E4DFA" w:rsidRDefault="000E4DFA" w:rsidP="00A611AB">
      <w:pPr>
        <w:spacing w:before="100" w:line="360" w:lineRule="auto"/>
        <w:contextualSpacing/>
        <w:rPr>
          <w:rFonts w:ascii="Times New Roman" w:eastAsia="Calibri" w:hAnsi="Times New Roman" w:cs="Times New Roman"/>
          <w:color w:val="000000"/>
          <w:kern w:val="0"/>
          <w:sz w:val="24"/>
          <w:szCs w:val="24"/>
        </w:rPr>
      </w:pPr>
    </w:p>
    <w:p w14:paraId="0911D239" w14:textId="77777777" w:rsidR="00D60A84" w:rsidRDefault="00D60A84" w:rsidP="00A611AB">
      <w:pPr>
        <w:spacing w:before="100" w:line="360" w:lineRule="auto"/>
        <w:ind w:left="360"/>
        <w:contextualSpacing/>
        <w:rPr>
          <w:rFonts w:ascii="Times New Roman" w:eastAsia="Calibri" w:hAnsi="Times New Roman" w:cs="Times New Roman"/>
          <w:color w:val="000000"/>
          <w:kern w:val="0"/>
          <w:sz w:val="24"/>
          <w:szCs w:val="24"/>
        </w:rPr>
      </w:pPr>
    </w:p>
    <w:p w14:paraId="0BBA8989" w14:textId="77777777" w:rsidR="00D60A84" w:rsidRDefault="00D60A84" w:rsidP="00A611AB">
      <w:pPr>
        <w:spacing w:before="100" w:line="360" w:lineRule="auto"/>
        <w:ind w:left="360"/>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The study showed a weak but statistically significant positive correlation between pre-void average detrusor wall thickness (DWT) and IPSS (r = 0.128, p = 0.035), </w:t>
      </w:r>
      <w:r>
        <w:rPr>
          <w:rFonts w:ascii="Times New Roman" w:eastAsia="Calibri" w:hAnsi="Times New Roman" w:cs="Times New Roman"/>
          <w:color w:val="000000"/>
          <w:kern w:val="0"/>
          <w:sz w:val="24"/>
          <w:szCs w:val="24"/>
        </w:rPr>
        <w:lastRenderedPageBreak/>
        <w:t xml:space="preserve">while post-void DWT showed no significant correlation with IPSS (r = 0.030, p = 0.619). </w:t>
      </w:r>
    </w:p>
    <w:p w14:paraId="0E3B026C" w14:textId="77777777" w:rsidR="00D60A84" w:rsidRDefault="00D60A84" w:rsidP="00A611AB">
      <w:pPr>
        <w:spacing w:before="100" w:line="360" w:lineRule="auto"/>
        <w:contextualSpacing/>
        <w:rPr>
          <w:rFonts w:ascii="Times New Roman" w:eastAsia="Calibri" w:hAnsi="Times New Roman" w:cs="Times New Roman"/>
          <w:color w:val="000000"/>
          <w:kern w:val="0"/>
          <w:sz w:val="24"/>
          <w:szCs w:val="24"/>
        </w:rPr>
      </w:pPr>
    </w:p>
    <w:p w14:paraId="08D89ED0" w14:textId="77777777" w:rsidR="00D60A84" w:rsidRDefault="00D60A84" w:rsidP="00A611AB">
      <w:pPr>
        <w:spacing w:before="100" w:line="360" w:lineRule="auto"/>
        <w:contextualSpacing/>
        <w:rPr>
          <w:rFonts w:ascii="Times New Roman" w:eastAsia="Calibri" w:hAnsi="Times New Roman" w:cs="Times New Roman"/>
          <w:color w:val="000000"/>
          <w:kern w:val="0"/>
          <w:sz w:val="24"/>
          <w:szCs w:val="24"/>
        </w:rPr>
      </w:pPr>
    </w:p>
    <w:p w14:paraId="7951402A" w14:textId="77777777" w:rsidR="000E4DFA" w:rsidRPr="00D60A84" w:rsidRDefault="00D60A84" w:rsidP="00A611AB">
      <w:pPr>
        <w:spacing w:before="100" w:line="360" w:lineRule="auto"/>
        <w:ind w:left="360"/>
        <w:contextualSpacing/>
        <w:rPr>
          <w:rFonts w:ascii="Times New Roman" w:eastAsia="Calibri" w:hAnsi="Times New Roman" w:cs="Times New Roman"/>
          <w:b/>
          <w:kern w:val="0"/>
          <w:sz w:val="24"/>
          <w:szCs w:val="24"/>
        </w:rPr>
      </w:pPr>
      <w:r w:rsidRPr="00D60A84">
        <w:rPr>
          <w:rFonts w:ascii="Times New Roman" w:eastAsia="Calibri" w:hAnsi="Times New Roman" w:cs="Times New Roman"/>
          <w:b/>
          <w:kern w:val="0"/>
          <w:sz w:val="24"/>
          <w:szCs w:val="24"/>
        </w:rPr>
        <w:t>Table 5</w:t>
      </w:r>
      <w:r w:rsidR="002F21A7" w:rsidRPr="00D60A84">
        <w:rPr>
          <w:rFonts w:ascii="Times New Roman" w:eastAsia="Calibri" w:hAnsi="Times New Roman" w:cs="Times New Roman"/>
          <w:b/>
          <w:kern w:val="0"/>
          <w:sz w:val="24"/>
          <w:szCs w:val="24"/>
        </w:rPr>
        <w:t>: Pearson correlation test for re</w:t>
      </w:r>
      <w:r w:rsidRPr="00D60A84">
        <w:rPr>
          <w:rFonts w:ascii="Times New Roman" w:eastAsia="Calibri" w:hAnsi="Times New Roman" w:cs="Times New Roman"/>
          <w:b/>
          <w:kern w:val="0"/>
          <w:sz w:val="24"/>
          <w:szCs w:val="24"/>
        </w:rPr>
        <w:t>lationship between DWT and IPSS</w:t>
      </w:r>
    </w:p>
    <w:tbl>
      <w:tblPr>
        <w:tblStyle w:val="TableGrid"/>
        <w:tblW w:w="0" w:type="auto"/>
        <w:tblBorders>
          <w:left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847"/>
        <w:gridCol w:w="2456"/>
        <w:gridCol w:w="2219"/>
      </w:tblGrid>
      <w:tr w:rsidR="000E4DFA" w14:paraId="34246CC5" w14:textId="77777777">
        <w:tc>
          <w:tcPr>
            <w:tcW w:w="4230" w:type="dxa"/>
            <w:tcBorders>
              <w:bottom w:val="single" w:sz="4" w:space="0" w:color="auto"/>
            </w:tcBorders>
          </w:tcPr>
          <w:p w14:paraId="3D178AB6"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 xml:space="preserve">          Parameters</w:t>
            </w:r>
          </w:p>
        </w:tc>
        <w:tc>
          <w:tcPr>
            <w:tcW w:w="2700" w:type="dxa"/>
            <w:tcBorders>
              <w:bottom w:val="single" w:sz="4" w:space="0" w:color="auto"/>
            </w:tcBorders>
          </w:tcPr>
          <w:p w14:paraId="4B3140E8"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r-value</w:t>
            </w:r>
          </w:p>
        </w:tc>
        <w:tc>
          <w:tcPr>
            <w:tcW w:w="2420" w:type="dxa"/>
            <w:tcBorders>
              <w:bottom w:val="single" w:sz="4" w:space="0" w:color="auto"/>
            </w:tcBorders>
          </w:tcPr>
          <w:p w14:paraId="3B93E77D"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 xml:space="preserve">p-value </w:t>
            </w:r>
          </w:p>
        </w:tc>
      </w:tr>
      <w:tr w:rsidR="000E4DFA" w14:paraId="4E62E6E1" w14:textId="77777777">
        <w:tc>
          <w:tcPr>
            <w:tcW w:w="4230" w:type="dxa"/>
            <w:tcBorders>
              <w:top w:val="single" w:sz="4" w:space="0" w:color="auto"/>
            </w:tcBorders>
          </w:tcPr>
          <w:p w14:paraId="746D8A8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IPSS vs Average DWT pre-void</w:t>
            </w:r>
          </w:p>
        </w:tc>
        <w:tc>
          <w:tcPr>
            <w:tcW w:w="2700" w:type="dxa"/>
            <w:tcBorders>
              <w:top w:val="single" w:sz="4" w:space="0" w:color="auto"/>
            </w:tcBorders>
            <w:vAlign w:val="center"/>
          </w:tcPr>
          <w:p w14:paraId="2968F38E"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0.128</w:t>
            </w:r>
          </w:p>
        </w:tc>
        <w:tc>
          <w:tcPr>
            <w:tcW w:w="2420" w:type="dxa"/>
            <w:tcBorders>
              <w:top w:val="single" w:sz="4" w:space="0" w:color="auto"/>
            </w:tcBorders>
            <w:vAlign w:val="center"/>
          </w:tcPr>
          <w:p w14:paraId="3A544835" w14:textId="77777777" w:rsidR="000E4DFA" w:rsidRDefault="0092123B" w:rsidP="00A611AB">
            <w:pPr>
              <w:spacing w:before="100" w:after="0" w:line="360" w:lineRule="auto"/>
              <w:ind w:left="360"/>
              <w:contextualSpacing/>
              <w:rPr>
                <w:rFonts w:eastAsia="Calibri"/>
                <w:sz w:val="24"/>
                <w:szCs w:val="24"/>
              </w:rPr>
            </w:pPr>
            <w:r>
              <w:rPr>
                <w:rFonts w:eastAsia="Calibri"/>
                <w:sz w:val="24"/>
                <w:szCs w:val="24"/>
              </w:rPr>
              <w:t>0.035</w:t>
            </w:r>
          </w:p>
        </w:tc>
      </w:tr>
      <w:tr w:rsidR="000E4DFA" w14:paraId="65824C25" w14:textId="77777777">
        <w:tc>
          <w:tcPr>
            <w:tcW w:w="4230" w:type="dxa"/>
            <w:vAlign w:val="center"/>
          </w:tcPr>
          <w:p w14:paraId="4340267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IPSS vs Average DWT post-void</w:t>
            </w:r>
          </w:p>
        </w:tc>
        <w:tc>
          <w:tcPr>
            <w:tcW w:w="2700" w:type="dxa"/>
          </w:tcPr>
          <w:p w14:paraId="0F10B68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0.030</w:t>
            </w:r>
          </w:p>
        </w:tc>
        <w:tc>
          <w:tcPr>
            <w:tcW w:w="2420" w:type="dxa"/>
          </w:tcPr>
          <w:p w14:paraId="0F37AA05"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0.619</w:t>
            </w:r>
          </w:p>
        </w:tc>
      </w:tr>
    </w:tbl>
    <w:p w14:paraId="52B00879" w14:textId="77777777" w:rsidR="000E4DFA" w:rsidRDefault="000E4DFA" w:rsidP="00A611AB">
      <w:pPr>
        <w:spacing w:before="100" w:line="360" w:lineRule="auto"/>
        <w:contextualSpacing/>
        <w:rPr>
          <w:rFonts w:ascii="Times New Roman" w:eastAsia="Calibri" w:hAnsi="Times New Roman" w:cs="Times New Roman"/>
          <w:color w:val="000000"/>
          <w:kern w:val="0"/>
          <w:sz w:val="24"/>
          <w:szCs w:val="24"/>
        </w:rPr>
      </w:pPr>
    </w:p>
    <w:p w14:paraId="4641EC6A" w14:textId="77777777" w:rsidR="00D60A84" w:rsidRDefault="00D60A84" w:rsidP="00A611AB">
      <w:pPr>
        <w:spacing w:before="100" w:after="40" w:line="360" w:lineRule="auto"/>
        <w:contextualSpacing/>
        <w:rPr>
          <w:rFonts w:ascii="Times New Roman" w:eastAsia="Calibri" w:hAnsi="Times New Roman" w:cs="Times New Roman"/>
          <w:color w:val="000000"/>
          <w:kern w:val="0"/>
          <w:sz w:val="24"/>
          <w:szCs w:val="24"/>
        </w:rPr>
      </w:pPr>
    </w:p>
    <w:p w14:paraId="6A176BE8" w14:textId="77777777" w:rsidR="000E4DFA" w:rsidRDefault="0069227C" w:rsidP="00A611AB">
      <w:pPr>
        <w:spacing w:before="100" w:after="40" w:line="360" w:lineRule="auto"/>
        <w:contextualSpacing/>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rPr>
        <w:t>The scatter plot (fig.1),</w:t>
      </w:r>
      <w:r w:rsidR="002F21A7">
        <w:rPr>
          <w:rFonts w:ascii="Times New Roman" w:eastAsia="Calibri" w:hAnsi="Times New Roman" w:cs="Times New Roman"/>
          <w:color w:val="000000"/>
          <w:kern w:val="0"/>
          <w:sz w:val="24"/>
          <w:szCs w:val="24"/>
        </w:rPr>
        <w:t xml:space="preserve"> also showed a weak positive correlation between IPSS and average detrusor</w:t>
      </w:r>
      <w:r w:rsidR="002F21A7">
        <w:rPr>
          <w:rFonts w:ascii="Times New Roman" w:eastAsia="Calibri" w:hAnsi="Times New Roman" w:cs="Times New Roman"/>
          <w:color w:val="000000"/>
          <w:kern w:val="0"/>
          <w:sz w:val="24"/>
          <w:szCs w:val="24"/>
          <w:lang w:val="en-US"/>
        </w:rPr>
        <w:t xml:space="preserve"> wall</w:t>
      </w:r>
      <w:r w:rsidR="0092123B">
        <w:rPr>
          <w:rFonts w:ascii="Times New Roman" w:eastAsia="Calibri" w:hAnsi="Times New Roman" w:cs="Times New Roman"/>
          <w:color w:val="000000"/>
          <w:kern w:val="0"/>
          <w:sz w:val="24"/>
          <w:szCs w:val="24"/>
          <w:lang w:val="en-US"/>
        </w:rPr>
        <w:t xml:space="preserve"> </w:t>
      </w:r>
      <w:r w:rsidR="002F21A7">
        <w:rPr>
          <w:rFonts w:ascii="Times New Roman" w:eastAsia="Calibri" w:hAnsi="Times New Roman" w:cs="Times New Roman"/>
          <w:color w:val="000000"/>
          <w:kern w:val="0"/>
          <w:sz w:val="24"/>
          <w:szCs w:val="24"/>
          <w:lang w:val="en-US"/>
        </w:rPr>
        <w:t xml:space="preserve">thickness </w:t>
      </w:r>
    </w:p>
    <w:p w14:paraId="1F939579" w14:textId="77777777" w:rsidR="000E4DFA" w:rsidRDefault="002F21A7" w:rsidP="00A611AB">
      <w:pPr>
        <w:spacing w:before="100" w:after="4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noProof/>
          <w:color w:val="000000"/>
          <w:kern w:val="0"/>
          <w:sz w:val="24"/>
          <w:szCs w:val="24"/>
          <w:lang w:val="en-US"/>
        </w:rPr>
        <w:drawing>
          <wp:inline distT="0" distB="0" distL="0" distR="0" wp14:anchorId="56C786C0" wp14:editId="3F89542F">
            <wp:extent cx="5728970" cy="3067050"/>
            <wp:effectExtent l="4445" t="4445" r="19685" b="14605"/>
            <wp:docPr id="20043061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BDA15E6" w14:textId="77777777" w:rsidR="0069227C" w:rsidRDefault="00D60A84" w:rsidP="00A611AB">
      <w:pPr>
        <w:spacing w:before="100" w:line="360" w:lineRule="auto"/>
        <w:contextualSpacing/>
        <w:rPr>
          <w:rFonts w:ascii="Times New Roman" w:eastAsia="Calibri" w:hAnsi="Times New Roman" w:cs="Times New Roman"/>
          <w:b/>
          <w:color w:val="000000"/>
          <w:kern w:val="0"/>
          <w:sz w:val="24"/>
          <w:szCs w:val="24"/>
        </w:rPr>
      </w:pPr>
      <w:r w:rsidRPr="00D60A84">
        <w:rPr>
          <w:rFonts w:ascii="Times New Roman" w:eastAsia="Calibri" w:hAnsi="Times New Roman" w:cs="Times New Roman"/>
          <w:b/>
          <w:color w:val="000000"/>
          <w:kern w:val="0"/>
          <w:sz w:val="24"/>
          <w:szCs w:val="24"/>
        </w:rPr>
        <w:t>Fig. 1</w:t>
      </w:r>
      <w:r w:rsidR="002F21A7" w:rsidRPr="0069227C">
        <w:rPr>
          <w:rFonts w:ascii="Times New Roman" w:eastAsia="Calibri" w:hAnsi="Times New Roman" w:cs="Times New Roman"/>
          <w:b/>
          <w:color w:val="000000"/>
          <w:kern w:val="0"/>
          <w:sz w:val="24"/>
          <w:szCs w:val="24"/>
        </w:rPr>
        <w:t>: Scatter plot showing a linear relationship between the pre-average</w:t>
      </w:r>
    </w:p>
    <w:p w14:paraId="78871BAD" w14:textId="77777777" w:rsidR="0069227C" w:rsidRDefault="0069227C" w:rsidP="00A611AB">
      <w:pPr>
        <w:spacing w:before="100" w:line="360" w:lineRule="auto"/>
        <w:contextualSpacing/>
        <w:rPr>
          <w:rFonts w:ascii="Times New Roman" w:eastAsia="Calibri" w:hAnsi="Times New Roman" w:cs="Times New Roman"/>
          <w:b/>
          <w:color w:val="000000"/>
          <w:kern w:val="0"/>
          <w:sz w:val="24"/>
          <w:szCs w:val="24"/>
        </w:rPr>
      </w:pPr>
      <w:r>
        <w:rPr>
          <w:rFonts w:ascii="Times New Roman" w:eastAsia="Calibri" w:hAnsi="Times New Roman" w:cs="Times New Roman"/>
          <w:b/>
          <w:color w:val="000000"/>
          <w:kern w:val="0"/>
          <w:sz w:val="24"/>
          <w:szCs w:val="24"/>
        </w:rPr>
        <w:t xml:space="preserve">     </w:t>
      </w:r>
      <w:r w:rsidR="002F21A7" w:rsidRPr="0069227C">
        <w:rPr>
          <w:rFonts w:ascii="Times New Roman" w:eastAsia="Calibri" w:hAnsi="Times New Roman" w:cs="Times New Roman"/>
          <w:b/>
          <w:color w:val="000000"/>
          <w:kern w:val="0"/>
          <w:sz w:val="24"/>
          <w:szCs w:val="24"/>
        </w:rPr>
        <w:t xml:space="preserve"> </w:t>
      </w:r>
      <w:r>
        <w:rPr>
          <w:rFonts w:ascii="Times New Roman" w:eastAsia="Calibri" w:hAnsi="Times New Roman" w:cs="Times New Roman"/>
          <w:b/>
          <w:color w:val="000000"/>
          <w:kern w:val="0"/>
          <w:sz w:val="24"/>
          <w:szCs w:val="24"/>
        </w:rPr>
        <w:t xml:space="preserve">      </w:t>
      </w:r>
      <w:r w:rsidR="002F21A7" w:rsidRPr="0069227C">
        <w:rPr>
          <w:rFonts w:ascii="Times New Roman" w:eastAsia="Calibri" w:hAnsi="Times New Roman" w:cs="Times New Roman"/>
          <w:b/>
          <w:color w:val="000000"/>
          <w:kern w:val="0"/>
          <w:sz w:val="24"/>
          <w:szCs w:val="24"/>
        </w:rPr>
        <w:t xml:space="preserve">Detrusor Wall Thickness (DWT) and International Prostate </w:t>
      </w:r>
    </w:p>
    <w:p w14:paraId="723DB740" w14:textId="77777777" w:rsidR="000E4DFA" w:rsidRPr="0069227C" w:rsidRDefault="0069227C" w:rsidP="00A611AB">
      <w:pPr>
        <w:spacing w:before="100" w:line="360" w:lineRule="auto"/>
        <w:contextualSpacing/>
        <w:rPr>
          <w:rFonts w:ascii="Times New Roman" w:eastAsia="Calibri" w:hAnsi="Times New Roman" w:cs="Times New Roman"/>
          <w:b/>
          <w:color w:val="000000"/>
          <w:kern w:val="0"/>
          <w:sz w:val="24"/>
          <w:szCs w:val="24"/>
        </w:rPr>
      </w:pPr>
      <w:r>
        <w:rPr>
          <w:rFonts w:ascii="Times New Roman" w:eastAsia="Calibri" w:hAnsi="Times New Roman" w:cs="Times New Roman"/>
          <w:b/>
          <w:color w:val="000000"/>
          <w:kern w:val="0"/>
          <w:sz w:val="24"/>
          <w:szCs w:val="24"/>
        </w:rPr>
        <w:t xml:space="preserve">            </w:t>
      </w:r>
      <w:r w:rsidR="002F21A7" w:rsidRPr="0069227C">
        <w:rPr>
          <w:rFonts w:ascii="Times New Roman" w:eastAsia="Calibri" w:hAnsi="Times New Roman" w:cs="Times New Roman"/>
          <w:b/>
          <w:color w:val="000000"/>
          <w:kern w:val="0"/>
          <w:sz w:val="24"/>
          <w:szCs w:val="24"/>
        </w:rPr>
        <w:t>Symptom Scores (IPSS).</w:t>
      </w:r>
    </w:p>
    <w:p w14:paraId="44AC18BF" w14:textId="77777777" w:rsidR="0069227C" w:rsidRDefault="0069227C" w:rsidP="00A611AB">
      <w:pPr>
        <w:spacing w:before="100" w:line="360" w:lineRule="auto"/>
        <w:contextualSpacing/>
        <w:rPr>
          <w:rFonts w:ascii="Times New Roman" w:eastAsia="Calibri" w:hAnsi="Times New Roman" w:cs="Times New Roman"/>
          <w:color w:val="000000"/>
          <w:kern w:val="0"/>
          <w:sz w:val="24"/>
          <w:szCs w:val="24"/>
        </w:rPr>
      </w:pPr>
    </w:p>
    <w:p w14:paraId="193E3307"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Additionally, detrusor wall thickness increased significantly post-void </w:t>
      </w:r>
      <w:r w:rsidR="00AD3CD3">
        <w:rPr>
          <w:rFonts w:ascii="Times New Roman" w:eastAsia="Calibri" w:hAnsi="Times New Roman" w:cs="Times New Roman"/>
          <w:color w:val="000000"/>
          <w:kern w:val="0"/>
          <w:sz w:val="24"/>
          <w:szCs w:val="24"/>
        </w:rPr>
        <w:t xml:space="preserve">compared to pre-void </w:t>
      </w:r>
      <w:r>
        <w:rPr>
          <w:rFonts w:ascii="Times New Roman" w:eastAsia="Calibri" w:hAnsi="Times New Roman" w:cs="Times New Roman"/>
          <w:color w:val="000000"/>
          <w:kern w:val="0"/>
          <w:sz w:val="24"/>
          <w:szCs w:val="24"/>
        </w:rPr>
        <w:t>across all measured areas</w:t>
      </w:r>
      <w:r w:rsidR="00AD3CD3">
        <w:rPr>
          <w:rFonts w:ascii="Times New Roman" w:eastAsia="Calibri" w:hAnsi="Times New Roman" w:cs="Times New Roman"/>
          <w:color w:val="000000"/>
          <w:kern w:val="0"/>
          <w:sz w:val="24"/>
          <w:szCs w:val="24"/>
        </w:rPr>
        <w:t xml:space="preserve"> as seen from the paired sample t-test </w:t>
      </w:r>
      <w:r w:rsidR="00672653" w:rsidRPr="00672653">
        <w:rPr>
          <w:rFonts w:ascii="Times New Roman" w:eastAsia="Calibri" w:hAnsi="Times New Roman" w:cs="Times New Roman"/>
          <w:color w:val="000000"/>
          <w:kern w:val="0"/>
          <w:sz w:val="24"/>
          <w:szCs w:val="24"/>
        </w:rPr>
        <w:t>(table 6</w:t>
      </w:r>
      <w:r w:rsidR="00AD3CD3" w:rsidRPr="00672653">
        <w:rPr>
          <w:rFonts w:ascii="Times New Roman" w:eastAsia="Calibri" w:hAnsi="Times New Roman" w:cs="Times New Roman"/>
          <w:color w:val="000000"/>
          <w:kern w:val="0"/>
          <w:sz w:val="24"/>
          <w:szCs w:val="24"/>
        </w:rPr>
        <w:t>)</w:t>
      </w:r>
      <w:r w:rsidRPr="00672653">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rPr>
        <w:t xml:space="preserve"> anterior wall (t = -9.294, p &lt; 0.001), lateral wall (t = -5.522, p &lt; 0.001), and posterior wall (t = -8.472, p &lt; 0.001). The average detrusor wall thickness also showed a </w:t>
      </w:r>
      <w:r>
        <w:rPr>
          <w:rFonts w:ascii="Times New Roman" w:eastAsia="Calibri" w:hAnsi="Times New Roman" w:cs="Times New Roman"/>
          <w:color w:val="000000"/>
          <w:kern w:val="0"/>
          <w:sz w:val="24"/>
          <w:szCs w:val="24"/>
        </w:rPr>
        <w:lastRenderedPageBreak/>
        <w:t>significant post-void increase (t = -10.520, p &lt; 0.001). These findings indicate statistically significant changes in bladder dynamics after voiding.</w:t>
      </w:r>
    </w:p>
    <w:p w14:paraId="02384CA4" w14:textId="77777777" w:rsidR="00CF3F1A" w:rsidRDefault="00CF3F1A" w:rsidP="00A611AB">
      <w:pPr>
        <w:spacing w:before="100" w:line="360" w:lineRule="auto"/>
        <w:contextualSpacing/>
        <w:rPr>
          <w:rFonts w:ascii="Times New Roman" w:eastAsia="Calibri" w:hAnsi="Times New Roman" w:cs="Times New Roman"/>
          <w:color w:val="000000"/>
          <w:kern w:val="0"/>
          <w:sz w:val="24"/>
          <w:szCs w:val="24"/>
        </w:rPr>
      </w:pPr>
    </w:p>
    <w:p w14:paraId="44E0F2CA" w14:textId="77777777" w:rsidR="000E4DFA" w:rsidRDefault="00672653" w:rsidP="00A611AB">
      <w:pPr>
        <w:spacing w:before="100" w:line="360" w:lineRule="auto"/>
        <w:contextualSpacing/>
        <w:rPr>
          <w:rFonts w:ascii="Times New Roman" w:eastAsia="Calibri" w:hAnsi="Times New Roman" w:cs="Times New Roman"/>
          <w:kern w:val="0"/>
          <w:sz w:val="24"/>
          <w:szCs w:val="24"/>
        </w:rPr>
      </w:pPr>
      <w:r>
        <w:rPr>
          <w:rFonts w:ascii="Times New Roman" w:eastAsia="Calibri" w:hAnsi="Times New Roman" w:cs="Times New Roman"/>
          <w:b/>
          <w:kern w:val="0"/>
          <w:sz w:val="24"/>
          <w:szCs w:val="24"/>
        </w:rPr>
        <w:t>Table 6</w:t>
      </w:r>
      <w:r w:rsidR="002F21A7">
        <w:rPr>
          <w:rFonts w:ascii="Times New Roman" w:eastAsia="Calibri" w:hAnsi="Times New Roman" w:cs="Times New Roman"/>
          <w:b/>
          <w:kern w:val="0"/>
          <w:sz w:val="24"/>
          <w:szCs w:val="24"/>
        </w:rPr>
        <w:t>: Paired sam</w:t>
      </w:r>
      <w:r w:rsidR="00147609">
        <w:rPr>
          <w:rFonts w:ascii="Times New Roman" w:eastAsia="Calibri" w:hAnsi="Times New Roman" w:cs="Times New Roman"/>
          <w:b/>
          <w:kern w:val="0"/>
          <w:sz w:val="24"/>
          <w:szCs w:val="24"/>
        </w:rPr>
        <w:t>ple t-test for pre-void and post-</w:t>
      </w:r>
      <w:r w:rsidR="002F21A7">
        <w:rPr>
          <w:rFonts w:ascii="Times New Roman" w:eastAsia="Calibri" w:hAnsi="Times New Roman" w:cs="Times New Roman"/>
          <w:b/>
          <w:kern w:val="0"/>
          <w:sz w:val="24"/>
          <w:szCs w:val="24"/>
        </w:rPr>
        <w:t xml:space="preserve">void DWT </w:t>
      </w:r>
    </w:p>
    <w:tbl>
      <w:tblPr>
        <w:tblStyle w:val="TableGrid"/>
        <w:tblW w:w="0" w:type="auto"/>
        <w:tblBorders>
          <w:left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2444"/>
        <w:gridCol w:w="1308"/>
        <w:gridCol w:w="2281"/>
        <w:gridCol w:w="1117"/>
        <w:gridCol w:w="1372"/>
      </w:tblGrid>
      <w:tr w:rsidR="000E4DFA" w14:paraId="02378192" w14:textId="77777777">
        <w:trPr>
          <w:trHeight w:val="580"/>
        </w:trPr>
        <w:tc>
          <w:tcPr>
            <w:tcW w:w="3004" w:type="dxa"/>
            <w:tcBorders>
              <w:bottom w:val="single" w:sz="4" w:space="0" w:color="auto"/>
            </w:tcBorders>
          </w:tcPr>
          <w:p w14:paraId="04CF069B"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 xml:space="preserve">Parameters </w:t>
            </w:r>
          </w:p>
        </w:tc>
        <w:tc>
          <w:tcPr>
            <w:tcW w:w="3336" w:type="dxa"/>
            <w:gridSpan w:val="2"/>
            <w:tcBorders>
              <w:bottom w:val="single" w:sz="4" w:space="0" w:color="auto"/>
            </w:tcBorders>
          </w:tcPr>
          <w:p w14:paraId="153D1CE9"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Mean±SD</w:t>
            </w:r>
          </w:p>
        </w:tc>
        <w:tc>
          <w:tcPr>
            <w:tcW w:w="1314" w:type="dxa"/>
            <w:tcBorders>
              <w:bottom w:val="single" w:sz="4" w:space="0" w:color="auto"/>
            </w:tcBorders>
          </w:tcPr>
          <w:p w14:paraId="648ADDC0" w14:textId="77777777" w:rsidR="000E4DFA" w:rsidRDefault="002F21A7" w:rsidP="00A611AB">
            <w:pPr>
              <w:spacing w:before="100" w:after="0" w:line="360" w:lineRule="auto"/>
              <w:contextualSpacing/>
              <w:rPr>
                <w:rFonts w:eastAsia="Calibri"/>
                <w:b/>
                <w:sz w:val="24"/>
                <w:szCs w:val="24"/>
              </w:rPr>
            </w:pPr>
            <w:r>
              <w:rPr>
                <w:rFonts w:eastAsia="Calibri"/>
                <w:b/>
                <w:sz w:val="24"/>
                <w:szCs w:val="24"/>
              </w:rPr>
              <w:t>t-value</w:t>
            </w:r>
          </w:p>
        </w:tc>
        <w:tc>
          <w:tcPr>
            <w:tcW w:w="1372" w:type="dxa"/>
            <w:tcBorders>
              <w:bottom w:val="single" w:sz="4" w:space="0" w:color="auto"/>
            </w:tcBorders>
          </w:tcPr>
          <w:p w14:paraId="3E69F70D"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p-value</w:t>
            </w:r>
          </w:p>
        </w:tc>
      </w:tr>
      <w:tr w:rsidR="000E4DFA" w14:paraId="2D3C6747" w14:textId="77777777">
        <w:tc>
          <w:tcPr>
            <w:tcW w:w="3004" w:type="dxa"/>
          </w:tcPr>
          <w:p w14:paraId="26727B55" w14:textId="77777777" w:rsidR="000E4DFA" w:rsidRDefault="000E4DFA" w:rsidP="00A611AB">
            <w:pPr>
              <w:spacing w:before="100" w:after="0" w:line="360" w:lineRule="auto"/>
              <w:ind w:left="360"/>
              <w:contextualSpacing/>
              <w:rPr>
                <w:rFonts w:eastAsia="Calibri"/>
                <w:sz w:val="24"/>
                <w:szCs w:val="24"/>
              </w:rPr>
            </w:pPr>
          </w:p>
        </w:tc>
        <w:tc>
          <w:tcPr>
            <w:tcW w:w="257" w:type="dxa"/>
            <w:tcBorders>
              <w:bottom w:val="single" w:sz="4" w:space="0" w:color="auto"/>
            </w:tcBorders>
          </w:tcPr>
          <w:p w14:paraId="10F235B0" w14:textId="77777777" w:rsidR="000E4DFA" w:rsidRDefault="002F21A7" w:rsidP="00A611AB">
            <w:pPr>
              <w:spacing w:before="100" w:after="0" w:line="360" w:lineRule="auto"/>
              <w:contextualSpacing/>
              <w:rPr>
                <w:rFonts w:eastAsia="Calibri"/>
                <w:b/>
                <w:sz w:val="24"/>
                <w:szCs w:val="24"/>
              </w:rPr>
            </w:pPr>
            <w:r>
              <w:rPr>
                <w:rFonts w:eastAsia="Calibri"/>
                <w:b/>
                <w:sz w:val="24"/>
                <w:szCs w:val="24"/>
              </w:rPr>
              <w:t xml:space="preserve">  Pre-void</w:t>
            </w:r>
          </w:p>
        </w:tc>
        <w:tc>
          <w:tcPr>
            <w:tcW w:w="3079" w:type="dxa"/>
            <w:tcBorders>
              <w:bottom w:val="single" w:sz="4" w:space="0" w:color="auto"/>
            </w:tcBorders>
          </w:tcPr>
          <w:p w14:paraId="37026832"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Post-void</w:t>
            </w:r>
          </w:p>
        </w:tc>
        <w:tc>
          <w:tcPr>
            <w:tcW w:w="1314" w:type="dxa"/>
          </w:tcPr>
          <w:p w14:paraId="72641609" w14:textId="77777777" w:rsidR="000E4DFA" w:rsidRDefault="000E4DFA" w:rsidP="00A611AB">
            <w:pPr>
              <w:spacing w:before="100" w:after="0" w:line="360" w:lineRule="auto"/>
              <w:ind w:left="360"/>
              <w:contextualSpacing/>
              <w:rPr>
                <w:rFonts w:eastAsia="Calibri"/>
                <w:sz w:val="24"/>
                <w:szCs w:val="24"/>
              </w:rPr>
            </w:pPr>
          </w:p>
        </w:tc>
        <w:tc>
          <w:tcPr>
            <w:tcW w:w="1372" w:type="dxa"/>
          </w:tcPr>
          <w:p w14:paraId="04AE493D" w14:textId="77777777" w:rsidR="000E4DFA" w:rsidRDefault="000E4DFA" w:rsidP="00A611AB">
            <w:pPr>
              <w:spacing w:before="100" w:after="0" w:line="360" w:lineRule="auto"/>
              <w:ind w:left="360"/>
              <w:contextualSpacing/>
              <w:rPr>
                <w:rFonts w:eastAsia="Calibri"/>
                <w:sz w:val="24"/>
                <w:szCs w:val="24"/>
              </w:rPr>
            </w:pPr>
          </w:p>
        </w:tc>
      </w:tr>
      <w:tr w:rsidR="000E4DFA" w14:paraId="5443635E" w14:textId="77777777">
        <w:tc>
          <w:tcPr>
            <w:tcW w:w="3004" w:type="dxa"/>
          </w:tcPr>
          <w:p w14:paraId="0152D887" w14:textId="77777777" w:rsidR="000E4DFA" w:rsidRDefault="00DD1D3A" w:rsidP="00A611AB">
            <w:pPr>
              <w:spacing w:before="100" w:after="0" w:line="360" w:lineRule="auto"/>
              <w:contextualSpacing/>
              <w:rPr>
                <w:rFonts w:eastAsia="Calibri"/>
                <w:sz w:val="24"/>
                <w:szCs w:val="24"/>
              </w:rPr>
            </w:pPr>
            <w:r>
              <w:rPr>
                <w:rFonts w:eastAsia="Calibri"/>
                <w:sz w:val="24"/>
                <w:szCs w:val="24"/>
              </w:rPr>
              <w:t xml:space="preserve"> </w:t>
            </w:r>
          </w:p>
        </w:tc>
        <w:tc>
          <w:tcPr>
            <w:tcW w:w="257" w:type="dxa"/>
            <w:tcBorders>
              <w:top w:val="single" w:sz="4" w:space="0" w:color="auto"/>
            </w:tcBorders>
          </w:tcPr>
          <w:p w14:paraId="62495C54" w14:textId="77777777" w:rsidR="000E4DFA" w:rsidRDefault="000E4DFA" w:rsidP="00A611AB">
            <w:pPr>
              <w:spacing w:before="100" w:after="0" w:line="360" w:lineRule="auto"/>
              <w:contextualSpacing/>
              <w:rPr>
                <w:rFonts w:eastAsia="Calibri"/>
                <w:sz w:val="24"/>
                <w:szCs w:val="24"/>
              </w:rPr>
            </w:pPr>
          </w:p>
        </w:tc>
        <w:tc>
          <w:tcPr>
            <w:tcW w:w="3079" w:type="dxa"/>
            <w:tcBorders>
              <w:top w:val="single" w:sz="4" w:space="0" w:color="auto"/>
            </w:tcBorders>
          </w:tcPr>
          <w:p w14:paraId="3367DF94" w14:textId="77777777" w:rsidR="000E4DFA" w:rsidRDefault="000E4DFA" w:rsidP="00A611AB">
            <w:pPr>
              <w:spacing w:before="100" w:after="0" w:line="360" w:lineRule="auto"/>
              <w:contextualSpacing/>
              <w:rPr>
                <w:rFonts w:eastAsia="Calibri"/>
                <w:sz w:val="24"/>
                <w:szCs w:val="24"/>
              </w:rPr>
            </w:pPr>
          </w:p>
        </w:tc>
        <w:tc>
          <w:tcPr>
            <w:tcW w:w="1314" w:type="dxa"/>
          </w:tcPr>
          <w:p w14:paraId="32F906A2" w14:textId="77777777" w:rsidR="000E4DFA" w:rsidRDefault="000E4DFA" w:rsidP="00A611AB">
            <w:pPr>
              <w:spacing w:before="100" w:after="0" w:line="360" w:lineRule="auto"/>
              <w:contextualSpacing/>
              <w:rPr>
                <w:rFonts w:eastAsia="Calibri"/>
                <w:sz w:val="24"/>
                <w:szCs w:val="24"/>
              </w:rPr>
            </w:pPr>
          </w:p>
        </w:tc>
        <w:tc>
          <w:tcPr>
            <w:tcW w:w="1372" w:type="dxa"/>
          </w:tcPr>
          <w:p w14:paraId="168054D6" w14:textId="77777777" w:rsidR="000E4DFA" w:rsidRDefault="000E4DFA" w:rsidP="00A611AB">
            <w:pPr>
              <w:spacing w:before="100" w:after="0" w:line="360" w:lineRule="auto"/>
              <w:contextualSpacing/>
              <w:rPr>
                <w:rFonts w:eastAsia="Calibri"/>
                <w:sz w:val="24"/>
                <w:szCs w:val="24"/>
              </w:rPr>
            </w:pPr>
          </w:p>
        </w:tc>
      </w:tr>
      <w:tr w:rsidR="000E4DFA" w14:paraId="0744A4A0" w14:textId="77777777">
        <w:tc>
          <w:tcPr>
            <w:tcW w:w="3004" w:type="dxa"/>
          </w:tcPr>
          <w:p w14:paraId="3847EDE2" w14:textId="77777777" w:rsidR="000E4DFA" w:rsidRDefault="002F21A7" w:rsidP="00A611AB">
            <w:pPr>
              <w:spacing w:before="100" w:after="0" w:line="360" w:lineRule="auto"/>
              <w:contextualSpacing/>
              <w:rPr>
                <w:rFonts w:eastAsia="Calibri"/>
                <w:sz w:val="24"/>
                <w:szCs w:val="24"/>
              </w:rPr>
            </w:pPr>
            <w:r>
              <w:rPr>
                <w:rFonts w:eastAsia="Calibri"/>
                <w:b/>
                <w:sz w:val="24"/>
                <w:szCs w:val="24"/>
              </w:rPr>
              <w:t xml:space="preserve">          DWT</w:t>
            </w:r>
          </w:p>
        </w:tc>
        <w:tc>
          <w:tcPr>
            <w:tcW w:w="257" w:type="dxa"/>
          </w:tcPr>
          <w:p w14:paraId="3A7DBDAF" w14:textId="77777777" w:rsidR="000E4DFA" w:rsidRDefault="000E4DFA" w:rsidP="00A611AB">
            <w:pPr>
              <w:spacing w:before="100" w:after="0" w:line="360" w:lineRule="auto"/>
              <w:ind w:left="360"/>
              <w:contextualSpacing/>
              <w:rPr>
                <w:rFonts w:eastAsia="Calibri"/>
                <w:sz w:val="24"/>
                <w:szCs w:val="24"/>
              </w:rPr>
            </w:pPr>
          </w:p>
        </w:tc>
        <w:tc>
          <w:tcPr>
            <w:tcW w:w="3079" w:type="dxa"/>
          </w:tcPr>
          <w:p w14:paraId="04E2C077" w14:textId="77777777" w:rsidR="000E4DFA" w:rsidRDefault="000E4DFA" w:rsidP="00A611AB">
            <w:pPr>
              <w:spacing w:before="100" w:after="0" w:line="360" w:lineRule="auto"/>
              <w:contextualSpacing/>
              <w:rPr>
                <w:rFonts w:eastAsia="Calibri"/>
                <w:sz w:val="24"/>
                <w:szCs w:val="24"/>
              </w:rPr>
            </w:pPr>
          </w:p>
        </w:tc>
        <w:tc>
          <w:tcPr>
            <w:tcW w:w="1314" w:type="dxa"/>
          </w:tcPr>
          <w:p w14:paraId="09FE3933" w14:textId="77777777" w:rsidR="000E4DFA" w:rsidRDefault="000E4DFA" w:rsidP="00A611AB">
            <w:pPr>
              <w:spacing w:before="100" w:after="0" w:line="360" w:lineRule="auto"/>
              <w:ind w:left="360"/>
              <w:contextualSpacing/>
              <w:rPr>
                <w:rFonts w:eastAsia="Calibri"/>
                <w:sz w:val="24"/>
                <w:szCs w:val="24"/>
              </w:rPr>
            </w:pPr>
          </w:p>
        </w:tc>
        <w:tc>
          <w:tcPr>
            <w:tcW w:w="1372" w:type="dxa"/>
          </w:tcPr>
          <w:p w14:paraId="78E51431" w14:textId="77777777" w:rsidR="000E4DFA" w:rsidRDefault="000E4DFA" w:rsidP="00A611AB">
            <w:pPr>
              <w:spacing w:before="100" w:after="0" w:line="360" w:lineRule="auto"/>
              <w:ind w:left="360"/>
              <w:contextualSpacing/>
              <w:rPr>
                <w:rFonts w:eastAsia="Calibri"/>
                <w:sz w:val="24"/>
                <w:szCs w:val="24"/>
              </w:rPr>
            </w:pPr>
          </w:p>
        </w:tc>
      </w:tr>
      <w:tr w:rsidR="000E4DFA" w14:paraId="5A838C53" w14:textId="77777777">
        <w:tc>
          <w:tcPr>
            <w:tcW w:w="3004" w:type="dxa"/>
            <w:vAlign w:val="center"/>
          </w:tcPr>
          <w:p w14:paraId="6F6C354F"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Anterior wall</w:t>
            </w:r>
          </w:p>
        </w:tc>
        <w:tc>
          <w:tcPr>
            <w:tcW w:w="257" w:type="dxa"/>
          </w:tcPr>
          <w:p w14:paraId="254617D4"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2.0±0.6</w:t>
            </w:r>
          </w:p>
        </w:tc>
        <w:tc>
          <w:tcPr>
            <w:tcW w:w="3079" w:type="dxa"/>
          </w:tcPr>
          <w:p w14:paraId="0D0CEADF"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2.4±0.7</w:t>
            </w:r>
          </w:p>
        </w:tc>
        <w:tc>
          <w:tcPr>
            <w:tcW w:w="1314" w:type="dxa"/>
          </w:tcPr>
          <w:p w14:paraId="439B3219" w14:textId="77777777" w:rsidR="000E4DFA" w:rsidRDefault="002F21A7" w:rsidP="00A611AB">
            <w:pPr>
              <w:spacing w:before="100" w:after="0" w:line="360" w:lineRule="auto"/>
              <w:contextualSpacing/>
              <w:rPr>
                <w:rFonts w:eastAsia="Calibri"/>
                <w:sz w:val="24"/>
                <w:szCs w:val="24"/>
              </w:rPr>
            </w:pPr>
            <w:r>
              <w:rPr>
                <w:rFonts w:eastAsia="Calibri"/>
                <w:sz w:val="24"/>
                <w:szCs w:val="24"/>
              </w:rPr>
              <w:t>-9.294</w:t>
            </w:r>
          </w:p>
        </w:tc>
        <w:tc>
          <w:tcPr>
            <w:tcW w:w="1372" w:type="dxa"/>
          </w:tcPr>
          <w:p w14:paraId="33DDAEB1"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&lt;0.001*</w:t>
            </w:r>
          </w:p>
        </w:tc>
      </w:tr>
      <w:tr w:rsidR="000E4DFA" w14:paraId="21BF9D88" w14:textId="77777777">
        <w:tc>
          <w:tcPr>
            <w:tcW w:w="3004" w:type="dxa"/>
            <w:vAlign w:val="center"/>
          </w:tcPr>
          <w:p w14:paraId="03AB25B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Lateral wall</w:t>
            </w:r>
          </w:p>
        </w:tc>
        <w:tc>
          <w:tcPr>
            <w:tcW w:w="257" w:type="dxa"/>
          </w:tcPr>
          <w:p w14:paraId="57D1D376"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2.0±0.7</w:t>
            </w:r>
          </w:p>
        </w:tc>
        <w:tc>
          <w:tcPr>
            <w:tcW w:w="3079" w:type="dxa"/>
          </w:tcPr>
          <w:p w14:paraId="27AA3FBE"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2.2±0.6</w:t>
            </w:r>
          </w:p>
        </w:tc>
        <w:tc>
          <w:tcPr>
            <w:tcW w:w="1314" w:type="dxa"/>
          </w:tcPr>
          <w:p w14:paraId="495C28C0" w14:textId="77777777" w:rsidR="000E4DFA" w:rsidRDefault="002F21A7" w:rsidP="00A611AB">
            <w:pPr>
              <w:spacing w:before="100" w:after="0" w:line="360" w:lineRule="auto"/>
              <w:contextualSpacing/>
              <w:rPr>
                <w:rFonts w:eastAsia="Calibri"/>
                <w:sz w:val="24"/>
                <w:szCs w:val="24"/>
              </w:rPr>
            </w:pPr>
            <w:r>
              <w:rPr>
                <w:rFonts w:eastAsia="Calibri"/>
                <w:sz w:val="24"/>
                <w:szCs w:val="24"/>
              </w:rPr>
              <w:t>-5.522</w:t>
            </w:r>
          </w:p>
        </w:tc>
        <w:tc>
          <w:tcPr>
            <w:tcW w:w="1372" w:type="dxa"/>
          </w:tcPr>
          <w:p w14:paraId="6F942796"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&lt;0.001*</w:t>
            </w:r>
          </w:p>
        </w:tc>
      </w:tr>
      <w:tr w:rsidR="000E4DFA" w14:paraId="32E1F57F" w14:textId="77777777">
        <w:tc>
          <w:tcPr>
            <w:tcW w:w="3004" w:type="dxa"/>
            <w:vAlign w:val="center"/>
          </w:tcPr>
          <w:p w14:paraId="4F0B1D95"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Posterior wall</w:t>
            </w:r>
          </w:p>
        </w:tc>
        <w:tc>
          <w:tcPr>
            <w:tcW w:w="257" w:type="dxa"/>
          </w:tcPr>
          <w:p w14:paraId="787AB94A"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2.0±0.6</w:t>
            </w:r>
          </w:p>
        </w:tc>
        <w:tc>
          <w:tcPr>
            <w:tcW w:w="3079" w:type="dxa"/>
          </w:tcPr>
          <w:p w14:paraId="172335C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2.3±0.6</w:t>
            </w:r>
          </w:p>
        </w:tc>
        <w:tc>
          <w:tcPr>
            <w:tcW w:w="1314" w:type="dxa"/>
          </w:tcPr>
          <w:p w14:paraId="3CD22047" w14:textId="77777777" w:rsidR="000E4DFA" w:rsidRDefault="002F21A7" w:rsidP="00A611AB">
            <w:pPr>
              <w:spacing w:before="100" w:after="0" w:line="360" w:lineRule="auto"/>
              <w:contextualSpacing/>
              <w:rPr>
                <w:rFonts w:eastAsia="Calibri"/>
                <w:sz w:val="24"/>
                <w:szCs w:val="24"/>
              </w:rPr>
            </w:pPr>
            <w:r>
              <w:rPr>
                <w:rFonts w:eastAsia="Calibri"/>
                <w:sz w:val="24"/>
                <w:szCs w:val="24"/>
              </w:rPr>
              <w:t>-8.472</w:t>
            </w:r>
          </w:p>
        </w:tc>
        <w:tc>
          <w:tcPr>
            <w:tcW w:w="1372" w:type="dxa"/>
          </w:tcPr>
          <w:p w14:paraId="642D249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&lt;0.001*</w:t>
            </w:r>
          </w:p>
        </w:tc>
      </w:tr>
      <w:tr w:rsidR="000E4DFA" w14:paraId="057A6B8C" w14:textId="77777777">
        <w:tc>
          <w:tcPr>
            <w:tcW w:w="3004" w:type="dxa"/>
            <w:vAlign w:val="center"/>
          </w:tcPr>
          <w:p w14:paraId="2193E2E7"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Average DWT value</w:t>
            </w:r>
          </w:p>
        </w:tc>
        <w:tc>
          <w:tcPr>
            <w:tcW w:w="257" w:type="dxa"/>
          </w:tcPr>
          <w:p w14:paraId="4174829F"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2.0±0.6</w:t>
            </w:r>
          </w:p>
        </w:tc>
        <w:tc>
          <w:tcPr>
            <w:tcW w:w="3079" w:type="dxa"/>
          </w:tcPr>
          <w:p w14:paraId="2DC3EB46"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2.3±0.6</w:t>
            </w:r>
          </w:p>
        </w:tc>
        <w:tc>
          <w:tcPr>
            <w:tcW w:w="1314" w:type="dxa"/>
          </w:tcPr>
          <w:p w14:paraId="5025AA48" w14:textId="77777777" w:rsidR="000E4DFA" w:rsidRDefault="002F21A7" w:rsidP="00A611AB">
            <w:pPr>
              <w:spacing w:before="100" w:after="0" w:line="360" w:lineRule="auto"/>
              <w:contextualSpacing/>
              <w:rPr>
                <w:rFonts w:eastAsia="Calibri"/>
                <w:sz w:val="24"/>
                <w:szCs w:val="24"/>
              </w:rPr>
            </w:pPr>
            <w:r>
              <w:rPr>
                <w:rFonts w:eastAsia="Calibri"/>
                <w:sz w:val="24"/>
                <w:szCs w:val="24"/>
              </w:rPr>
              <w:t>-10.520</w:t>
            </w:r>
          </w:p>
        </w:tc>
        <w:tc>
          <w:tcPr>
            <w:tcW w:w="1372" w:type="dxa"/>
          </w:tcPr>
          <w:p w14:paraId="50025B6E"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&lt;0.001*</w:t>
            </w:r>
          </w:p>
        </w:tc>
      </w:tr>
    </w:tbl>
    <w:p w14:paraId="447C9281" w14:textId="77777777" w:rsidR="00147609" w:rsidRDefault="00147609" w:rsidP="00A611AB">
      <w:pPr>
        <w:spacing w:before="100" w:line="360" w:lineRule="auto"/>
        <w:contextualSpacing/>
        <w:rPr>
          <w:rFonts w:ascii="Times New Roman" w:eastAsia="Calibri" w:hAnsi="Times New Roman" w:cs="Times New Roman"/>
          <w:color w:val="000000"/>
          <w:kern w:val="0"/>
          <w:sz w:val="24"/>
          <w:szCs w:val="24"/>
        </w:rPr>
      </w:pPr>
    </w:p>
    <w:p w14:paraId="7A0D44FD" w14:textId="77777777" w:rsidR="00147609" w:rsidRDefault="00147609" w:rsidP="00A611AB">
      <w:pPr>
        <w:spacing w:before="100" w:line="360" w:lineRule="auto"/>
        <w:contextualSpacing/>
        <w:rPr>
          <w:rFonts w:ascii="Times New Roman" w:eastAsia="Calibri" w:hAnsi="Times New Roman" w:cs="Times New Roman"/>
          <w:color w:val="000000"/>
          <w:kern w:val="0"/>
          <w:sz w:val="24"/>
          <w:szCs w:val="24"/>
        </w:rPr>
      </w:pPr>
    </w:p>
    <w:p w14:paraId="6A1C8DDA" w14:textId="77777777" w:rsidR="007E2FAE" w:rsidRDefault="002F21A7" w:rsidP="00A611AB">
      <w:pPr>
        <w:spacing w:before="100" w:line="360" w:lineRule="auto"/>
        <w:contextualSpacing/>
        <w:rPr>
          <w:rFonts w:ascii="Times New Roman" w:eastAsia="Calibri" w:hAnsi="Times New Roman" w:cs="Times New Roman"/>
          <w:color w:val="000000"/>
          <w:kern w:val="0"/>
          <w:sz w:val="24"/>
          <w:szCs w:val="24"/>
        </w:rPr>
      </w:pPr>
      <w:r w:rsidRPr="00CF3F1A">
        <w:rPr>
          <w:rFonts w:ascii="Times New Roman" w:eastAsia="Calibri" w:hAnsi="Times New Roman" w:cs="Times New Roman"/>
          <w:color w:val="000000"/>
          <w:kern w:val="0"/>
          <w:sz w:val="24"/>
          <w:szCs w:val="24"/>
        </w:rPr>
        <w:t>Advancing age was significantly associated with symptom severity, with older age groups more</w:t>
      </w:r>
      <w:r w:rsidR="00CF3F1A" w:rsidRPr="00CF3F1A">
        <w:rPr>
          <w:rFonts w:ascii="Times New Roman" w:eastAsia="Calibri" w:hAnsi="Times New Roman" w:cs="Times New Roman"/>
          <w:color w:val="000000"/>
          <w:kern w:val="0"/>
          <w:sz w:val="24"/>
          <w:szCs w:val="24"/>
        </w:rPr>
        <w:t xml:space="preserve"> likely to have severe symptoms</w:t>
      </w:r>
      <w:r w:rsidRPr="00CF3F1A">
        <w:rPr>
          <w:rFonts w:ascii="Times New Roman" w:eastAsia="Calibri" w:hAnsi="Times New Roman" w:cs="Times New Roman"/>
          <w:color w:val="000000"/>
          <w:kern w:val="0"/>
          <w:sz w:val="24"/>
          <w:szCs w:val="24"/>
          <w:lang w:val="en-US"/>
        </w:rPr>
        <w:t>.</w:t>
      </w:r>
      <w:r w:rsidRPr="00CF3F1A">
        <w:rPr>
          <w:rFonts w:ascii="Times New Roman" w:eastAsia="Calibri" w:hAnsi="Times New Roman" w:cs="Times New Roman"/>
          <w:color w:val="000000"/>
          <w:kern w:val="0"/>
          <w:sz w:val="24"/>
          <w:szCs w:val="24"/>
        </w:rPr>
        <w:t xml:space="preserve"> Education is also significantly related to symptom severity, as participants with primary education are more likely to have severe symptoms, while those with post-secondary education are mo</w:t>
      </w:r>
      <w:r w:rsidR="00B14B9D" w:rsidRPr="00CF3F1A">
        <w:rPr>
          <w:rFonts w:ascii="Times New Roman" w:eastAsia="Calibri" w:hAnsi="Times New Roman" w:cs="Times New Roman"/>
          <w:color w:val="000000"/>
          <w:kern w:val="0"/>
          <w:sz w:val="24"/>
          <w:szCs w:val="24"/>
        </w:rPr>
        <w:t>re likely to have mild symptoms</w:t>
      </w:r>
      <w:r w:rsidRPr="00CF3F1A">
        <w:rPr>
          <w:rFonts w:ascii="Times New Roman" w:eastAsia="Calibri" w:hAnsi="Times New Roman" w:cs="Times New Roman"/>
          <w:color w:val="000000"/>
          <w:kern w:val="0"/>
          <w:sz w:val="24"/>
          <w:szCs w:val="24"/>
        </w:rPr>
        <w:t>. Occupation is another significant factor, with dependents more likely to have severe symptoms, and traders mo</w:t>
      </w:r>
      <w:r w:rsidR="009679BE" w:rsidRPr="00CF3F1A">
        <w:rPr>
          <w:rFonts w:ascii="Times New Roman" w:eastAsia="Calibri" w:hAnsi="Times New Roman" w:cs="Times New Roman"/>
          <w:color w:val="000000"/>
          <w:kern w:val="0"/>
          <w:sz w:val="24"/>
          <w:szCs w:val="24"/>
        </w:rPr>
        <w:t>re likely to have mild symptoms</w:t>
      </w:r>
      <w:r w:rsidRPr="00CF3F1A">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rPr>
        <w:t xml:space="preserve"> </w:t>
      </w:r>
    </w:p>
    <w:p w14:paraId="647ACC6B" w14:textId="77777777" w:rsidR="007E2FAE" w:rsidRDefault="007E2FAE" w:rsidP="00A611AB">
      <w:pPr>
        <w:spacing w:before="100" w:line="360" w:lineRule="auto"/>
        <w:contextualSpacing/>
        <w:rPr>
          <w:rFonts w:ascii="Times New Roman" w:eastAsia="Calibri" w:hAnsi="Times New Roman" w:cs="Times New Roman"/>
          <w:color w:val="000000"/>
          <w:kern w:val="0"/>
          <w:sz w:val="24"/>
          <w:szCs w:val="24"/>
        </w:rPr>
      </w:pPr>
    </w:p>
    <w:p w14:paraId="5601181C" w14:textId="77777777" w:rsidR="000E4DFA" w:rsidRPr="007E2FAE"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b/>
          <w:bCs/>
          <w:color w:val="000000"/>
          <w:kern w:val="0"/>
          <w:sz w:val="24"/>
          <w:szCs w:val="24"/>
        </w:rPr>
        <w:t>DISCUSSION</w:t>
      </w:r>
    </w:p>
    <w:p w14:paraId="0306D1F4"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Lower urinary tract symptoms (LUTS) are a common health issue affecting men, particularly as they age, and are often associated with benign prostatic hyperplasia (BPH) </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vertAlign w:val="superscript"/>
          <w:lang w:val="en-US"/>
        </w:rPr>
        <w:t>11</w:t>
      </w:r>
      <w:r w:rsidR="00190DAE">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vertAlign w:val="superscript"/>
          <w:lang w:val="en-US"/>
        </w:rPr>
        <w:t>12</w:t>
      </w:r>
      <w:r w:rsidR="00190DAE">
        <w:rPr>
          <w:rFonts w:ascii="Times New Roman" w:eastAsia="Calibri" w:hAnsi="Times New Roman" w:cs="Times New Roman"/>
          <w:color w:val="000000"/>
          <w:kern w:val="0"/>
          <w:sz w:val="24"/>
          <w:szCs w:val="24"/>
          <w:vertAlign w:val="superscript"/>
        </w:rPr>
        <w:t>)</w:t>
      </w:r>
      <w:r w:rsidR="00190DAE">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 xml:space="preserve">The severity of these symptoms can be evaluated using the International Prostate Symptom Score (IPSS), a standardized tool that assesses the impact of urinary difficulties on quality of life. Detrusor wall thickness (DWT) </w:t>
      </w:r>
      <w:r w:rsidR="00190DAE">
        <w:rPr>
          <w:rFonts w:ascii="Times New Roman" w:eastAsia="Calibri" w:hAnsi="Times New Roman" w:cs="Times New Roman"/>
          <w:color w:val="000000"/>
          <w:kern w:val="0"/>
          <w:sz w:val="24"/>
          <w:szCs w:val="24"/>
        </w:rPr>
        <w:t>is an important sonographic parameter</w:t>
      </w:r>
      <w:r>
        <w:rPr>
          <w:rFonts w:ascii="Times New Roman" w:eastAsia="Calibri" w:hAnsi="Times New Roman" w:cs="Times New Roman"/>
          <w:color w:val="000000"/>
          <w:kern w:val="0"/>
          <w:sz w:val="24"/>
          <w:szCs w:val="24"/>
        </w:rPr>
        <w:t xml:space="preserve"> used to assess bladder function a</w:t>
      </w:r>
      <w:r w:rsidR="00190DAE">
        <w:rPr>
          <w:rFonts w:ascii="Times New Roman" w:eastAsia="Calibri" w:hAnsi="Times New Roman" w:cs="Times New Roman"/>
          <w:color w:val="000000"/>
          <w:kern w:val="0"/>
          <w:sz w:val="24"/>
          <w:szCs w:val="24"/>
        </w:rPr>
        <w:t>nd</w:t>
      </w:r>
      <w:r>
        <w:rPr>
          <w:rFonts w:ascii="Times New Roman" w:eastAsia="Calibri" w:hAnsi="Times New Roman" w:cs="Times New Roman"/>
          <w:color w:val="000000"/>
          <w:kern w:val="0"/>
          <w:sz w:val="24"/>
          <w:szCs w:val="24"/>
        </w:rPr>
        <w:t xml:space="preserve"> correlate</w:t>
      </w:r>
      <w:r w:rsidR="00190DAE">
        <w:rPr>
          <w:rFonts w:ascii="Times New Roman" w:eastAsia="Calibri" w:hAnsi="Times New Roman" w:cs="Times New Roman"/>
          <w:color w:val="000000"/>
          <w:kern w:val="0"/>
          <w:sz w:val="24"/>
          <w:szCs w:val="24"/>
        </w:rPr>
        <w:t xml:space="preserve"> with LUTS </w:t>
      </w:r>
      <w:proofErr w:type="gramStart"/>
      <w:r w:rsidR="00190DAE">
        <w:rPr>
          <w:rFonts w:ascii="Times New Roman" w:eastAsia="Calibri" w:hAnsi="Times New Roman" w:cs="Times New Roman"/>
          <w:color w:val="000000"/>
          <w:kern w:val="0"/>
          <w:sz w:val="24"/>
          <w:szCs w:val="24"/>
        </w:rPr>
        <w:t>severity</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lang w:val="en-US"/>
        </w:rPr>
        <w:t>13</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w:t>
      </w:r>
    </w:p>
    <w:p w14:paraId="37B120B5" w14:textId="77777777" w:rsidR="000E4DFA" w:rsidRDefault="002F21A7" w:rsidP="00A611AB">
      <w:pPr>
        <w:spacing w:line="360" w:lineRule="auto"/>
        <w:rPr>
          <w:rFonts w:ascii="Times New Roman" w:hAnsi="Times New Roman" w:cs="Times New Roman"/>
          <w:sz w:val="24"/>
          <w:szCs w:val="24"/>
        </w:rPr>
      </w:pPr>
      <w:r>
        <w:rPr>
          <w:rFonts w:ascii="Times New Roman" w:eastAsia="Calibri" w:hAnsi="Times New Roman" w:cs="Times New Roman"/>
          <w:color w:val="000000"/>
          <w:kern w:val="0"/>
          <w:sz w:val="24"/>
          <w:szCs w:val="24"/>
        </w:rPr>
        <w:lastRenderedPageBreak/>
        <w:t xml:space="preserve">The demographic data from this study presents a snapshot of the participants, revealing important trends about their age, education, and occupation. The mean age of 67.2 years, with the majority (38.10%) falling between 56-65 years, aligns with typical demographic patterns for conditions related to aging, particularly lower urinary tract symptoms (LUTS). This finding was similar to </w:t>
      </w:r>
      <w:r w:rsidR="00C77EB8">
        <w:rPr>
          <w:rFonts w:ascii="Times New Roman" w:eastAsia="Calibri" w:hAnsi="Times New Roman" w:cs="Times New Roman"/>
          <w:color w:val="000000"/>
          <w:kern w:val="0"/>
          <w:sz w:val="24"/>
          <w:szCs w:val="24"/>
        </w:rPr>
        <w:t xml:space="preserve">that of </w:t>
      </w:r>
      <w:r>
        <w:rPr>
          <w:rFonts w:ascii="Times New Roman" w:eastAsia="Calibri" w:hAnsi="Times New Roman" w:cs="Times New Roman"/>
          <w:color w:val="000000"/>
          <w:kern w:val="0"/>
          <w:sz w:val="24"/>
          <w:szCs w:val="24"/>
        </w:rPr>
        <w:t>Elsaid et al</w:t>
      </w:r>
      <w:r w:rsidR="00190DAE">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lang w:val="en-US"/>
        </w:rPr>
        <w:t>7</w:t>
      </w:r>
      <w:r>
        <w:rPr>
          <w:rFonts w:ascii="Times New Roman" w:eastAsia="Calibri" w:hAnsi="Times New Roman" w:cs="Times New Roman"/>
          <w:color w:val="000000"/>
          <w:kern w:val="0"/>
          <w:sz w:val="24"/>
          <w:szCs w:val="24"/>
        </w:rPr>
        <w:t>, with a mean age of 61.7</w:t>
      </w:r>
      <w:r w:rsidR="00190DAE">
        <w:rPr>
          <w:rFonts w:ascii="Times New Roman" w:eastAsia="Calibri" w:hAnsi="Times New Roman" w:cs="Times New Roman"/>
          <w:color w:val="000000"/>
          <w:kern w:val="0"/>
          <w:sz w:val="24"/>
          <w:szCs w:val="24"/>
        </w:rPr>
        <w:t xml:space="preserve"> years</w:t>
      </w:r>
      <w:r w:rsidR="00C77EB8">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 xml:space="preserve">The distribution across this age range suggests that LUTS in this population likely correlates with age-related factors. </w:t>
      </w:r>
      <w:r>
        <w:rPr>
          <w:rStyle w:val="Strong"/>
          <w:rFonts w:ascii="Times New Roman" w:hAnsi="Times New Roman" w:cs="Times New Roman"/>
          <w:b w:val="0"/>
          <w:bCs w:val="0"/>
          <w:sz w:val="24"/>
          <w:szCs w:val="24"/>
        </w:rPr>
        <w:t xml:space="preserve">Advancing age is significantly </w:t>
      </w:r>
      <w:r w:rsidRPr="00CF3F1A">
        <w:rPr>
          <w:rStyle w:val="Strong"/>
          <w:rFonts w:ascii="Times New Roman" w:hAnsi="Times New Roman" w:cs="Times New Roman"/>
          <w:b w:val="0"/>
          <w:bCs w:val="0"/>
          <w:sz w:val="24"/>
          <w:szCs w:val="24"/>
        </w:rPr>
        <w:t>associated with increased symptom severity</w:t>
      </w:r>
      <w:r>
        <w:rPr>
          <w:rFonts w:ascii="Times New Roman" w:hAnsi="Times New Roman" w:cs="Times New Roman"/>
          <w:sz w:val="24"/>
          <w:szCs w:val="24"/>
        </w:rPr>
        <w:t xml:space="preserve"> and cons</w:t>
      </w:r>
      <w:r w:rsidR="00C77EB8">
        <w:rPr>
          <w:rFonts w:ascii="Times New Roman" w:hAnsi="Times New Roman" w:cs="Times New Roman"/>
          <w:sz w:val="24"/>
          <w:szCs w:val="24"/>
        </w:rPr>
        <w:t>istent with existing literature</w:t>
      </w:r>
      <w:r>
        <w:rPr>
          <w:rFonts w:ascii="Times New Roman" w:hAnsi="Times New Roman" w:cs="Times New Roman"/>
          <w:sz w:val="24"/>
          <w:szCs w:val="24"/>
          <w:vertAlign w:val="superscript"/>
        </w:rPr>
        <w:t>(7,1</w:t>
      </w:r>
      <w:r>
        <w:rPr>
          <w:rFonts w:ascii="Times New Roman" w:hAnsi="Times New Roman" w:cs="Times New Roman"/>
          <w:sz w:val="24"/>
          <w:szCs w:val="24"/>
          <w:vertAlign w:val="superscript"/>
          <w:lang w:val="en-US"/>
        </w:rPr>
        <w:t>4</w:t>
      </w:r>
      <w:r>
        <w:rPr>
          <w:rFonts w:ascii="Times New Roman" w:hAnsi="Times New Roman" w:cs="Times New Roman"/>
          <w:sz w:val="24"/>
          <w:szCs w:val="24"/>
          <w:vertAlign w:val="superscript"/>
        </w:rPr>
        <w:t xml:space="preserve">), </w:t>
      </w:r>
      <w:r>
        <w:rPr>
          <w:rFonts w:ascii="Times New Roman" w:hAnsi="Times New Roman" w:cs="Times New Roman"/>
          <w:sz w:val="24"/>
          <w:szCs w:val="24"/>
        </w:rPr>
        <w:t>which consistently shows LUTS prevalence and severity increase with age due to benign prostatic hyperplasia (BPH) and reduced bladder compliance.</w:t>
      </w:r>
    </w:p>
    <w:p w14:paraId="214099E6" w14:textId="77777777" w:rsidR="000E4DFA" w:rsidRDefault="002F21A7" w:rsidP="00A611AB">
      <w:pPr>
        <w:spacing w:line="360" w:lineRule="auto"/>
        <w:rPr>
          <w:rFonts w:ascii="Times New Roman" w:hAnsi="Times New Roman" w:cs="Times New Roman"/>
          <w:sz w:val="24"/>
          <w:szCs w:val="24"/>
        </w:rPr>
      </w:pPr>
      <w:r>
        <w:rPr>
          <w:rFonts w:ascii="Times New Roman" w:eastAsia="Calibri" w:hAnsi="Times New Roman" w:cs="Times New Roman"/>
          <w:color w:val="000000"/>
          <w:kern w:val="0"/>
          <w:sz w:val="24"/>
          <w:szCs w:val="24"/>
        </w:rPr>
        <w:t xml:space="preserve"> Regarding education, the largest group of participants (38.83%) completed only primary education, while those with post-secondary education comprised 32.23%. </w:t>
      </w:r>
      <w:r>
        <w:rPr>
          <w:rFonts w:ascii="Times New Roman" w:hAnsi="Times New Roman" w:cs="Times New Roman"/>
          <w:sz w:val="24"/>
          <w:szCs w:val="24"/>
        </w:rPr>
        <w:t xml:space="preserve">Participants with lower education levels (e.g., primary) were significantly more likely to experience severe symptoms while post-secondary education correlated with milder symptoms. This </w:t>
      </w:r>
      <w:r w:rsidR="00827706">
        <w:rPr>
          <w:rFonts w:ascii="Times New Roman" w:hAnsi="Times New Roman" w:cs="Times New Roman"/>
          <w:sz w:val="24"/>
          <w:szCs w:val="24"/>
        </w:rPr>
        <w:t>aligns with existing literature</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lang w:val="en-US"/>
        </w:rPr>
        <w:t>15</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lang w:val="en-US"/>
        </w:rPr>
        <w:t>16</w:t>
      </w:r>
      <w:r>
        <w:rPr>
          <w:rFonts w:ascii="Times New Roman" w:hAnsi="Times New Roman" w:cs="Times New Roman"/>
          <w:sz w:val="24"/>
          <w:szCs w:val="24"/>
          <w:vertAlign w:val="superscript"/>
        </w:rPr>
        <w:t>)</w:t>
      </w:r>
      <w:r>
        <w:rPr>
          <w:rFonts w:ascii="Times New Roman" w:hAnsi="Times New Roman" w:cs="Times New Roman"/>
          <w:sz w:val="24"/>
          <w:szCs w:val="24"/>
        </w:rPr>
        <w:t xml:space="preserve"> suggesting that lower educational attainment may relate to lower health literacy and delayed healthcare seeking, contributing to worsened symptomatology over time.</w:t>
      </w:r>
    </w:p>
    <w:p w14:paraId="465CC460"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Occupationally, traders made up the largest proportion (43.96%), followed by men who are dependents and farmers (both at 18.68%). The high proportion of traders suggests that a significant part of the population is involved in informal economic activities. This occupational profile might affect access to healthcare and health-seeking behaviour, as informal workers often lack the structured health benefits available to civil servants or artisans. Additionally, the presence of a large dependent group highlights a segment of the population that may be particularly vulnerable due to economic or health-related challenges, making them reliant on others for support.</w:t>
      </w:r>
    </w:p>
    <w:p w14:paraId="6FE67D13" w14:textId="77777777" w:rsidR="000E4DFA" w:rsidRDefault="002F21A7" w:rsidP="00A611AB">
      <w:pPr>
        <w:spacing w:before="100" w:line="360" w:lineRule="auto"/>
        <w:contextualSpacing/>
        <w:rPr>
          <w:rFonts w:ascii="Times New Roman" w:eastAsia="Calibri" w:hAnsi="Times New Roman" w:cs="Times New Roman"/>
          <w:b/>
          <w:bCs/>
          <w:color w:val="000000"/>
          <w:kern w:val="0"/>
          <w:sz w:val="24"/>
          <w:szCs w:val="24"/>
        </w:rPr>
      </w:pPr>
      <w:r>
        <w:rPr>
          <w:rFonts w:ascii="Times New Roman" w:eastAsia="Calibri" w:hAnsi="Times New Roman" w:cs="Times New Roman"/>
          <w:color w:val="000000"/>
          <w:kern w:val="0"/>
          <w:sz w:val="24"/>
          <w:szCs w:val="24"/>
        </w:rPr>
        <w:t>The incidence of lower urinary tract symptoms (LUTS) among t</w:t>
      </w:r>
      <w:r w:rsidR="00827706">
        <w:rPr>
          <w:rFonts w:ascii="Times New Roman" w:eastAsia="Calibri" w:hAnsi="Times New Roman" w:cs="Times New Roman"/>
          <w:color w:val="000000"/>
          <w:kern w:val="0"/>
          <w:sz w:val="24"/>
          <w:szCs w:val="24"/>
        </w:rPr>
        <w:t xml:space="preserve">his population is notably high. </w:t>
      </w:r>
      <w:r>
        <w:rPr>
          <w:rFonts w:ascii="Times New Roman" w:eastAsia="Calibri" w:hAnsi="Times New Roman" w:cs="Times New Roman"/>
          <w:color w:val="000000"/>
          <w:kern w:val="0"/>
          <w:sz w:val="24"/>
          <w:szCs w:val="24"/>
        </w:rPr>
        <w:t xml:space="preserve">This study’s analysis demonstrates that LUTS commonly manifests during the later stages of life, particularly among individuals aged 56-75, which accounts for over 60% of the population. This age-related trend is consistent with the known association between aging and the development of urinary tract symptoms, </w:t>
      </w:r>
      <w:r>
        <w:rPr>
          <w:rFonts w:ascii="Times New Roman" w:eastAsia="Calibri" w:hAnsi="Times New Roman" w:cs="Times New Roman"/>
          <w:color w:val="000000"/>
          <w:kern w:val="0"/>
          <w:sz w:val="24"/>
          <w:szCs w:val="24"/>
        </w:rPr>
        <w:lastRenderedPageBreak/>
        <w:t xml:space="preserve">often linked to benign prostatic hyperplasia (BPH) and other age-related </w:t>
      </w:r>
      <w:proofErr w:type="gramStart"/>
      <w:r>
        <w:rPr>
          <w:rFonts w:ascii="Times New Roman" w:eastAsia="Calibri" w:hAnsi="Times New Roman" w:cs="Times New Roman"/>
          <w:color w:val="000000"/>
          <w:kern w:val="0"/>
          <w:sz w:val="24"/>
          <w:szCs w:val="24"/>
        </w:rPr>
        <w:t>physiologic</w:t>
      </w:r>
      <w:r>
        <w:rPr>
          <w:rFonts w:ascii="Times New Roman" w:eastAsia="Calibri" w:hAnsi="Times New Roman" w:cs="Times New Roman"/>
          <w:color w:val="000000"/>
          <w:kern w:val="0"/>
          <w:sz w:val="24"/>
          <w:szCs w:val="24"/>
          <w:lang w:val="en-US"/>
        </w:rPr>
        <w:t xml:space="preserve">al  </w:t>
      </w:r>
      <w:r w:rsidR="00827706">
        <w:rPr>
          <w:rFonts w:ascii="Times New Roman" w:eastAsia="Calibri" w:hAnsi="Times New Roman" w:cs="Times New Roman"/>
          <w:color w:val="000000"/>
          <w:kern w:val="0"/>
          <w:sz w:val="24"/>
          <w:szCs w:val="24"/>
        </w:rPr>
        <w:t>changes</w:t>
      </w:r>
      <w:proofErr w:type="gramEnd"/>
      <w:r w:rsidR="00827706">
        <w:rPr>
          <w:rFonts w:ascii="Times New Roman" w:eastAsia="Calibri" w:hAnsi="Times New Roman" w:cs="Times New Roman"/>
          <w:color w:val="000000"/>
          <w:kern w:val="0"/>
          <w:sz w:val="24"/>
          <w:szCs w:val="24"/>
        </w:rPr>
        <w:t xml:space="preserve"> in the urinary system</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vertAlign w:val="superscript"/>
          <w:lang w:val="en-US"/>
        </w:rPr>
        <w:t>12</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w:t>
      </w:r>
    </w:p>
    <w:p w14:paraId="785938CF"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The determination of the severity of clinical symptoms using the International Prostate Symptom Score (IPSS) in this study showed that the majority of participants fell into the moderate category (38.83%), with 31.50% classified as severe and 29.67% as mild. These results indicate that a significant portion of the patients experienced moderate to severe symptoms, which is consistent with the nature of lower urinary tract symptoms (LUTS) typically associated with benign prostatic hyperplasia (BPH) </w:t>
      </w:r>
      <w:r>
        <w:rPr>
          <w:rFonts w:ascii="Times New Roman" w:eastAsia="Calibri" w:hAnsi="Times New Roman" w:cs="Times New Roman"/>
          <w:color w:val="000000"/>
          <w:kern w:val="0"/>
          <w:sz w:val="24"/>
          <w:szCs w:val="24"/>
          <w:vertAlign w:val="superscript"/>
        </w:rPr>
        <w:t>(87)</w:t>
      </w:r>
      <w:r>
        <w:rPr>
          <w:rFonts w:ascii="Times New Roman" w:eastAsia="Calibri" w:hAnsi="Times New Roman" w:cs="Times New Roman"/>
          <w:color w:val="000000"/>
          <w:kern w:val="0"/>
          <w:sz w:val="24"/>
          <w:szCs w:val="24"/>
        </w:rPr>
        <w:t xml:space="preserve">. The distribution of IPSS severity aligns well with the categorization method, where scores of 1-7 are considered mild, </w:t>
      </w:r>
      <w:r w:rsidR="00892994">
        <w:rPr>
          <w:rFonts w:ascii="Times New Roman" w:eastAsia="Calibri" w:hAnsi="Times New Roman" w:cs="Times New Roman"/>
          <w:color w:val="000000"/>
          <w:kern w:val="0"/>
          <w:sz w:val="24"/>
          <w:szCs w:val="24"/>
        </w:rPr>
        <w:t xml:space="preserve">8-19 moderate, and 20-35 </w:t>
      </w:r>
      <w:proofErr w:type="gramStart"/>
      <w:r w:rsidR="00892994">
        <w:rPr>
          <w:rFonts w:ascii="Times New Roman" w:eastAsia="Calibri" w:hAnsi="Times New Roman" w:cs="Times New Roman"/>
          <w:color w:val="000000"/>
          <w:kern w:val="0"/>
          <w:sz w:val="24"/>
          <w:szCs w:val="24"/>
        </w:rPr>
        <w:t>severe</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lang w:val="en-US"/>
        </w:rPr>
        <w:t>17</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w:t>
      </w:r>
    </w:p>
    <w:p w14:paraId="11E56798"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Com</w:t>
      </w:r>
      <w:r w:rsidR="008E4224">
        <w:rPr>
          <w:rFonts w:ascii="Times New Roman" w:eastAsia="Calibri" w:hAnsi="Times New Roman" w:cs="Times New Roman"/>
          <w:color w:val="000000"/>
          <w:kern w:val="0"/>
          <w:sz w:val="24"/>
          <w:szCs w:val="24"/>
        </w:rPr>
        <w:t xml:space="preserve">paratively, in Anilkumar </w:t>
      </w:r>
      <w:proofErr w:type="gramStart"/>
      <w:r w:rsidR="008E4224">
        <w:rPr>
          <w:rFonts w:ascii="Times New Roman" w:eastAsia="Calibri" w:hAnsi="Times New Roman" w:cs="Times New Roman"/>
          <w:color w:val="000000"/>
          <w:kern w:val="0"/>
          <w:sz w:val="24"/>
          <w:szCs w:val="24"/>
        </w:rPr>
        <w:t>et al.</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lang w:val="en-US"/>
        </w:rPr>
        <w:t>18</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the IPSS has been recognized for its ability to guide treatment decisions and assess patient outcomes. Our finding that over 70% of participants experienced moderate to severe symptoms is indicative of the utility of IPSS in determining the burden of symptoms, similar to its role in other studies, which have emphasized its correlation with uroflowmetry and its e</w:t>
      </w:r>
      <w:r w:rsidR="004951A0">
        <w:rPr>
          <w:rFonts w:ascii="Times New Roman" w:eastAsia="Calibri" w:hAnsi="Times New Roman" w:cs="Times New Roman"/>
          <w:color w:val="000000"/>
          <w:kern w:val="0"/>
          <w:sz w:val="24"/>
          <w:szCs w:val="24"/>
        </w:rPr>
        <w:t xml:space="preserve">ffectiveness in evaluating </w:t>
      </w:r>
      <w:proofErr w:type="gramStart"/>
      <w:r w:rsidR="004951A0">
        <w:rPr>
          <w:rFonts w:ascii="Times New Roman" w:eastAsia="Calibri" w:hAnsi="Times New Roman" w:cs="Times New Roman"/>
          <w:color w:val="000000"/>
          <w:kern w:val="0"/>
          <w:sz w:val="24"/>
          <w:szCs w:val="24"/>
        </w:rPr>
        <w:t>LUTS</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lang w:val="en-US"/>
        </w:rPr>
        <w:t>18</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Additionally, the distribution of patients in the moderate and severe c</w:t>
      </w:r>
      <w:r w:rsidR="004951A0">
        <w:rPr>
          <w:rFonts w:ascii="Times New Roman" w:eastAsia="Calibri" w:hAnsi="Times New Roman" w:cs="Times New Roman"/>
          <w:color w:val="000000"/>
          <w:kern w:val="0"/>
          <w:sz w:val="24"/>
          <w:szCs w:val="24"/>
        </w:rPr>
        <w:t>ategories supports Amu et al.’</w:t>
      </w:r>
      <w:proofErr w:type="gramStart"/>
      <w:r w:rsidR="004951A0">
        <w:rPr>
          <w:rFonts w:ascii="Times New Roman" w:eastAsia="Calibri" w:hAnsi="Times New Roman" w:cs="Times New Roman"/>
          <w:color w:val="000000"/>
          <w:kern w:val="0"/>
          <w:sz w:val="24"/>
          <w:szCs w:val="24"/>
        </w:rPr>
        <w:t>s</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lang w:val="en-US"/>
        </w:rPr>
        <w:t>15</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recommendation that IPSS should be routinely employed for BPH management due to its ability to categorize symptoms reliably.</w:t>
      </w:r>
    </w:p>
    <w:p w14:paraId="28C3F894" w14:textId="77777777" w:rsidR="000E4DFA" w:rsidRDefault="002F21A7" w:rsidP="00A611AB">
      <w:pPr>
        <w:spacing w:before="100" w:line="360" w:lineRule="auto"/>
        <w:contextualSpacing/>
        <w:rPr>
          <w:rFonts w:ascii="Times New Roman" w:eastAsia="Calibri" w:hAnsi="Times New Roman" w:cs="Times New Roman"/>
          <w:b/>
          <w:bCs/>
          <w:color w:val="000000"/>
          <w:kern w:val="0"/>
          <w:sz w:val="24"/>
          <w:szCs w:val="24"/>
        </w:rPr>
      </w:pPr>
      <w:r>
        <w:rPr>
          <w:rFonts w:ascii="Times New Roman" w:eastAsia="Calibri" w:hAnsi="Times New Roman" w:cs="Times New Roman"/>
          <w:color w:val="000000"/>
          <w:kern w:val="0"/>
          <w:sz w:val="24"/>
          <w:szCs w:val="24"/>
        </w:rPr>
        <w:t xml:space="preserve">However, the lack of objective measures in the IPSS tool, </w:t>
      </w:r>
      <w:r w:rsidR="003308BA">
        <w:rPr>
          <w:rFonts w:ascii="Times New Roman" w:eastAsia="Calibri" w:hAnsi="Times New Roman" w:cs="Times New Roman"/>
          <w:color w:val="000000"/>
          <w:kern w:val="0"/>
          <w:sz w:val="24"/>
          <w:szCs w:val="24"/>
        </w:rPr>
        <w:t xml:space="preserve">as highlighted by Bassey </w:t>
      </w:r>
      <w:proofErr w:type="gramStart"/>
      <w:r w:rsidR="003308BA">
        <w:rPr>
          <w:rFonts w:ascii="Times New Roman" w:eastAsia="Calibri" w:hAnsi="Times New Roman" w:cs="Times New Roman"/>
          <w:color w:val="000000"/>
          <w:kern w:val="0"/>
          <w:sz w:val="24"/>
          <w:szCs w:val="24"/>
        </w:rPr>
        <w:t>et al.</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lang w:val="en-US"/>
        </w:rPr>
        <w:t>16</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may limit the precision of symptom severity classification. Moreover, as highlighted by </w:t>
      </w:r>
      <w:proofErr w:type="spellStart"/>
      <w:r>
        <w:rPr>
          <w:rFonts w:ascii="Times New Roman" w:eastAsia="Calibri" w:hAnsi="Times New Roman" w:cs="Times New Roman"/>
          <w:color w:val="000000"/>
          <w:kern w:val="0"/>
          <w:sz w:val="24"/>
          <w:szCs w:val="24"/>
        </w:rPr>
        <w:t>Ulebe</w:t>
      </w:r>
      <w:proofErr w:type="spellEnd"/>
      <w:r>
        <w:rPr>
          <w:rFonts w:ascii="Times New Roman" w:eastAsia="Calibri" w:hAnsi="Times New Roman" w:cs="Times New Roman"/>
          <w:color w:val="000000"/>
          <w:kern w:val="0"/>
          <w:sz w:val="24"/>
          <w:szCs w:val="24"/>
        </w:rPr>
        <w:t xml:space="preserve"> and Jindal </w:t>
      </w:r>
      <w:proofErr w:type="gramStart"/>
      <w:r>
        <w:rPr>
          <w:rFonts w:ascii="Times New Roman" w:eastAsia="Calibri" w:hAnsi="Times New Roman" w:cs="Times New Roman"/>
          <w:color w:val="000000"/>
          <w:kern w:val="0"/>
          <w:sz w:val="24"/>
          <w:szCs w:val="24"/>
        </w:rPr>
        <w:t>et al.</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rPr>
        <w:t>1</w:t>
      </w:r>
      <w:r>
        <w:rPr>
          <w:rFonts w:ascii="Times New Roman" w:eastAsia="Calibri" w:hAnsi="Times New Roman" w:cs="Times New Roman"/>
          <w:color w:val="000000"/>
          <w:kern w:val="0"/>
          <w:sz w:val="24"/>
          <w:szCs w:val="24"/>
          <w:vertAlign w:val="superscript"/>
          <w:lang w:val="en-US"/>
        </w:rPr>
        <w:t>4</w:t>
      </w:r>
      <w:r>
        <w:rPr>
          <w:rFonts w:ascii="Times New Roman" w:eastAsia="Calibri" w:hAnsi="Times New Roman" w:cs="Times New Roman"/>
          <w:color w:val="000000"/>
          <w:kern w:val="0"/>
          <w:sz w:val="24"/>
          <w:szCs w:val="24"/>
          <w:vertAlign w:val="superscript"/>
        </w:rPr>
        <w:t xml:space="preserve">, </w:t>
      </w:r>
      <w:r>
        <w:rPr>
          <w:rFonts w:ascii="Times New Roman" w:eastAsia="Calibri" w:hAnsi="Times New Roman" w:cs="Times New Roman"/>
          <w:color w:val="000000"/>
          <w:kern w:val="0"/>
          <w:sz w:val="24"/>
          <w:szCs w:val="24"/>
          <w:vertAlign w:val="superscript"/>
          <w:lang w:val="en-US"/>
        </w:rPr>
        <w:t>19</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the comprehension of the IPSS among less educated patients can influence the accuracy of the results. In this study, while the distribution of scores aligns with those in other research, it is important to consider the possibility that some participants may have misunderstood certain IPSS questions. Bassey </w:t>
      </w:r>
      <w:proofErr w:type="gramStart"/>
      <w:r>
        <w:rPr>
          <w:rFonts w:ascii="Times New Roman" w:eastAsia="Calibri" w:hAnsi="Times New Roman" w:cs="Times New Roman"/>
          <w:color w:val="000000"/>
          <w:kern w:val="0"/>
          <w:sz w:val="24"/>
          <w:szCs w:val="24"/>
        </w:rPr>
        <w:t>et al</w:t>
      </w:r>
      <w:r w:rsidR="003308BA">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lang w:val="en-US"/>
        </w:rPr>
        <w:t>16</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also raised this concern, recommending that the IPSS be translated and simplified to improve its effectiveness, particularly in populations where English is not the primary language. Such adaptations could help reduce the likelihood of skewed severity classifications due to misunderstandings.</w:t>
      </w:r>
    </w:p>
    <w:p w14:paraId="01240EC0"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De</w:t>
      </w:r>
      <w:r w:rsidR="008E4224">
        <w:rPr>
          <w:rFonts w:ascii="Times New Roman" w:eastAsia="Calibri" w:hAnsi="Times New Roman" w:cs="Times New Roman"/>
          <w:color w:val="000000"/>
          <w:kern w:val="0"/>
          <w:sz w:val="24"/>
          <w:szCs w:val="24"/>
        </w:rPr>
        <w:t xml:space="preserve">trusor wall thickness (DWT) </w:t>
      </w:r>
      <w:r>
        <w:rPr>
          <w:rFonts w:ascii="Times New Roman" w:eastAsia="Calibri" w:hAnsi="Times New Roman" w:cs="Times New Roman"/>
          <w:color w:val="000000"/>
          <w:kern w:val="0"/>
          <w:sz w:val="24"/>
          <w:szCs w:val="24"/>
          <w:lang w:val="en-US"/>
        </w:rPr>
        <w:t>was</w:t>
      </w:r>
      <w:r>
        <w:rPr>
          <w:rFonts w:ascii="Times New Roman" w:eastAsia="Calibri" w:hAnsi="Times New Roman" w:cs="Times New Roman"/>
          <w:color w:val="000000"/>
          <w:kern w:val="0"/>
          <w:sz w:val="24"/>
          <w:szCs w:val="24"/>
        </w:rPr>
        <w:t xml:space="preserve"> used to assess the condition of the lower urinary tract in this study, revealing notable structural changes indicative of bladder outlet </w:t>
      </w:r>
      <w:r>
        <w:rPr>
          <w:rFonts w:ascii="Times New Roman" w:eastAsia="Calibri" w:hAnsi="Times New Roman" w:cs="Times New Roman"/>
          <w:color w:val="000000"/>
          <w:kern w:val="0"/>
          <w:sz w:val="24"/>
          <w:szCs w:val="24"/>
        </w:rPr>
        <w:lastRenderedPageBreak/>
        <w:t xml:space="preserve">obstruction (BOO). The results demonstrated that the mean pre-void DWT was 2.0 mm, which increased significantly to 2.3 mm post-void (p &lt; 0.001). This increase in DWT is consistent with findings from studies such as Oelke et al. </w:t>
      </w:r>
      <w:r>
        <w:rPr>
          <w:rFonts w:ascii="Times New Roman" w:eastAsia="Calibri" w:hAnsi="Times New Roman" w:cs="Times New Roman"/>
          <w:color w:val="000000"/>
          <w:kern w:val="0"/>
          <w:sz w:val="24"/>
          <w:szCs w:val="24"/>
          <w:vertAlign w:val="superscript"/>
        </w:rPr>
        <w:t>(2</w:t>
      </w:r>
      <w:r>
        <w:rPr>
          <w:rFonts w:ascii="Times New Roman" w:eastAsia="Calibri" w:hAnsi="Times New Roman" w:cs="Times New Roman"/>
          <w:color w:val="000000"/>
          <w:kern w:val="0"/>
          <w:sz w:val="24"/>
          <w:szCs w:val="24"/>
          <w:vertAlign w:val="superscript"/>
          <w:lang w:val="en-US"/>
        </w:rPr>
        <w:t>0</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as they found that detrusor wall thickening is commonly observed in patients with BOO, with values exceeding 2 mm serving as a reliable indicator of obstruction. The observed increase in DWT post-void suggests that compensatory hypertrophy of the detrusor muscle occurs as a response to the increased outlet resistance. These findings are supported by research from Park </w:t>
      </w:r>
      <w:proofErr w:type="gramStart"/>
      <w:r>
        <w:rPr>
          <w:rFonts w:ascii="Times New Roman" w:eastAsia="Calibri" w:hAnsi="Times New Roman" w:cs="Times New Roman"/>
          <w:color w:val="000000"/>
          <w:kern w:val="0"/>
          <w:sz w:val="24"/>
          <w:szCs w:val="24"/>
        </w:rPr>
        <w:t>et al.</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rPr>
        <w:t>2</w:t>
      </w:r>
      <w:r>
        <w:rPr>
          <w:rFonts w:ascii="Times New Roman" w:eastAsia="Calibri" w:hAnsi="Times New Roman" w:cs="Times New Roman"/>
          <w:color w:val="000000"/>
          <w:kern w:val="0"/>
          <w:sz w:val="24"/>
          <w:szCs w:val="24"/>
          <w:vertAlign w:val="superscript"/>
          <w:lang w:val="en-US"/>
        </w:rPr>
        <w:t>1</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and Lee et al.</w:t>
      </w:r>
      <w:r w:rsidR="008E4224">
        <w:rPr>
          <w:rFonts w:ascii="Times New Roman" w:eastAsia="Calibri" w:hAnsi="Times New Roman" w:cs="Times New Roman"/>
          <w:color w:val="000000"/>
          <w:kern w:val="0"/>
          <w:sz w:val="24"/>
          <w:szCs w:val="24"/>
          <w:vertAlign w:val="superscript"/>
        </w:rPr>
        <w:t>(22)</w:t>
      </w:r>
      <w:r>
        <w:rPr>
          <w:rFonts w:ascii="Times New Roman" w:eastAsia="Calibri" w:hAnsi="Times New Roman" w:cs="Times New Roman"/>
          <w:color w:val="000000"/>
          <w:kern w:val="0"/>
          <w:sz w:val="24"/>
          <w:szCs w:val="24"/>
        </w:rPr>
        <w:t xml:space="preserve">, who reported a reduction in detrusor wall thickness following surgical correction of BOO, indicating that the thickening observed is directly related to the presence of obstruction. In the present study, there is persistence of higher DWT values after voiding points to ongoing obstruction and compensatory changes in the bladder wall. However, the correlation between DWT and the International Prostate Symptom Score (IPSS) was relatively weak (r = 0.128, p = 0.035), which contrasts with the stronger correlations reported in </w:t>
      </w:r>
      <w:r w:rsidR="008E4224">
        <w:rPr>
          <w:rFonts w:ascii="Times New Roman" w:eastAsia="Calibri" w:hAnsi="Times New Roman" w:cs="Times New Roman"/>
          <w:color w:val="000000"/>
          <w:kern w:val="0"/>
          <w:sz w:val="24"/>
          <w:szCs w:val="24"/>
        </w:rPr>
        <w:t xml:space="preserve">the study by Oelke </w:t>
      </w:r>
      <w:proofErr w:type="gramStart"/>
      <w:r w:rsidR="008E4224">
        <w:rPr>
          <w:rFonts w:ascii="Times New Roman" w:eastAsia="Calibri" w:hAnsi="Times New Roman" w:cs="Times New Roman"/>
          <w:color w:val="000000"/>
          <w:kern w:val="0"/>
          <w:sz w:val="24"/>
          <w:szCs w:val="24"/>
        </w:rPr>
        <w:t>et al.</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rPr>
        <w:t>2</w:t>
      </w:r>
      <w:r>
        <w:rPr>
          <w:rFonts w:ascii="Times New Roman" w:eastAsia="Calibri" w:hAnsi="Times New Roman" w:cs="Times New Roman"/>
          <w:color w:val="000000"/>
          <w:kern w:val="0"/>
          <w:sz w:val="24"/>
          <w:szCs w:val="24"/>
          <w:vertAlign w:val="superscript"/>
          <w:lang w:val="en-US"/>
        </w:rPr>
        <w:t>0</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This discrepancy may be due to variations in the severity of obstruction or differences in compensatory mechanisms among the study population.</w:t>
      </w:r>
    </w:p>
    <w:p w14:paraId="5F568C14"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Furthermore, these study’s results align with the broader body of literature on bladder outlet obstruction. The elevation in DWT post-void, as observed in this study, mirr</w:t>
      </w:r>
      <w:r w:rsidR="008E4224">
        <w:rPr>
          <w:rFonts w:ascii="Times New Roman" w:eastAsia="Calibri" w:hAnsi="Times New Roman" w:cs="Times New Roman"/>
          <w:color w:val="000000"/>
          <w:kern w:val="0"/>
          <w:sz w:val="24"/>
          <w:szCs w:val="24"/>
        </w:rPr>
        <w:t xml:space="preserve">ors the findings of Oelke </w:t>
      </w:r>
      <w:proofErr w:type="gramStart"/>
      <w:r w:rsidR="008E4224">
        <w:rPr>
          <w:rFonts w:ascii="Times New Roman" w:eastAsia="Calibri" w:hAnsi="Times New Roman" w:cs="Times New Roman"/>
          <w:color w:val="000000"/>
          <w:kern w:val="0"/>
          <w:sz w:val="24"/>
          <w:szCs w:val="24"/>
        </w:rPr>
        <w:t>et al.</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rPr>
        <w:t>2</w:t>
      </w:r>
      <w:r>
        <w:rPr>
          <w:rFonts w:ascii="Times New Roman" w:eastAsia="Calibri" w:hAnsi="Times New Roman" w:cs="Times New Roman"/>
          <w:color w:val="000000"/>
          <w:kern w:val="0"/>
          <w:sz w:val="24"/>
          <w:szCs w:val="24"/>
          <w:vertAlign w:val="superscript"/>
          <w:lang w:val="en-US"/>
        </w:rPr>
        <w:t>0</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who demonstrated that DWT serves as a reliable non-invasive marker for BOO, particularly when values exceed 2 mm. The relatively weak correlation between DWT and IPSS, however, suggests that detrusor wall thickening may not always correlate directly with symptom severity, potentially due to individual variations in disease progression or compensatory mechanisms. T</w:t>
      </w:r>
      <w:r w:rsidR="008E4224">
        <w:rPr>
          <w:rFonts w:ascii="Times New Roman" w:eastAsia="Calibri" w:hAnsi="Times New Roman" w:cs="Times New Roman"/>
          <w:color w:val="000000"/>
          <w:kern w:val="0"/>
          <w:sz w:val="24"/>
          <w:szCs w:val="24"/>
        </w:rPr>
        <w:t xml:space="preserve">his contrasts with Oelke </w:t>
      </w:r>
      <w:proofErr w:type="gramStart"/>
      <w:r w:rsidR="008E4224">
        <w:rPr>
          <w:rFonts w:ascii="Times New Roman" w:eastAsia="Calibri" w:hAnsi="Times New Roman" w:cs="Times New Roman"/>
          <w:color w:val="000000"/>
          <w:kern w:val="0"/>
          <w:sz w:val="24"/>
          <w:szCs w:val="24"/>
        </w:rPr>
        <w:t>et al.</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rPr>
        <w:t>2</w:t>
      </w:r>
      <w:r>
        <w:rPr>
          <w:rFonts w:ascii="Times New Roman" w:eastAsia="Calibri" w:hAnsi="Times New Roman" w:cs="Times New Roman"/>
          <w:color w:val="000000"/>
          <w:kern w:val="0"/>
          <w:sz w:val="24"/>
          <w:szCs w:val="24"/>
          <w:vertAlign w:val="superscript"/>
          <w:lang w:val="en-US"/>
        </w:rPr>
        <w:t>0</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who reported stronger associations between DWT and symptom severity, indicating that further investigation into the relationship between DWT </w:t>
      </w:r>
      <w:r w:rsidR="008E4224">
        <w:rPr>
          <w:rFonts w:ascii="Times New Roman" w:eastAsia="Calibri" w:hAnsi="Times New Roman" w:cs="Times New Roman"/>
          <w:color w:val="000000"/>
          <w:kern w:val="0"/>
          <w:sz w:val="24"/>
          <w:szCs w:val="24"/>
        </w:rPr>
        <w:t>and clinical symptoms is need</w:t>
      </w:r>
      <w:r>
        <w:rPr>
          <w:rFonts w:ascii="Times New Roman" w:eastAsia="Calibri" w:hAnsi="Times New Roman" w:cs="Times New Roman"/>
          <w:color w:val="000000"/>
          <w:kern w:val="0"/>
          <w:sz w:val="24"/>
          <w:szCs w:val="24"/>
        </w:rPr>
        <w:t xml:space="preserve">ed. </w:t>
      </w:r>
    </w:p>
    <w:p w14:paraId="1648BB2E"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The correlation analysis between the ultrasound findings and IPSS scores revealed several key relationships. The significant correlation between pre-void detrusor wall thickness (DWT) and IPSS scoring (r = 0.128, p = 0.035) indicates a weak but significant positive association. This suggests that as the IPSS score increases, there is a slight increase in the detrusor wall thickness before voiding, which might reflect </w:t>
      </w:r>
      <w:r>
        <w:rPr>
          <w:rFonts w:ascii="Times New Roman" w:eastAsia="Calibri" w:hAnsi="Times New Roman" w:cs="Times New Roman"/>
          <w:color w:val="000000"/>
          <w:kern w:val="0"/>
          <w:sz w:val="24"/>
          <w:szCs w:val="24"/>
        </w:rPr>
        <w:lastRenderedPageBreak/>
        <w:t xml:space="preserve">underlying bladder muscle changes associated with symptom severity. This supports the findings by Anwar et al. </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vertAlign w:val="superscript"/>
          <w:lang w:val="en-US"/>
        </w:rPr>
        <w:t>23</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as they noted a significant and strong positive correlation between mean DWT and IPSS in patients with benign prostatic hyperplasia (BPH) (r = 0.9056), concluding that higher IPSS scores correlate with increased bladder wall thickness in obstructive conditions. However, the current study findings reflecting a weaker correlation, could be due to the characteristics of the study’s population or methodological differences, such as the use of different cutoff values for DWT.</w:t>
      </w:r>
    </w:p>
    <w:p w14:paraId="7F417F77" w14:textId="77777777" w:rsidR="000E4DFA" w:rsidRDefault="002F21A7" w:rsidP="00B9532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However, the correlation between post-void DWT and IPSS scores (r = 0.030, p = 0.619) was not statistically significant suggesting that the detrusor wall thickness measured after voiding does not relate to the patient’s symptom severity, as indicated by the IPSS score. T</w:t>
      </w:r>
      <w:r w:rsidR="0037629F">
        <w:rPr>
          <w:rFonts w:ascii="Times New Roman" w:eastAsia="Calibri" w:hAnsi="Times New Roman" w:cs="Times New Roman"/>
          <w:color w:val="000000"/>
          <w:kern w:val="0"/>
          <w:sz w:val="24"/>
          <w:szCs w:val="24"/>
        </w:rPr>
        <w:t xml:space="preserve">his aligns with </w:t>
      </w:r>
      <w:proofErr w:type="spellStart"/>
      <w:r w:rsidR="0037629F">
        <w:rPr>
          <w:rFonts w:ascii="Times New Roman" w:eastAsia="Calibri" w:hAnsi="Times New Roman" w:cs="Times New Roman"/>
          <w:color w:val="000000"/>
          <w:kern w:val="0"/>
          <w:sz w:val="24"/>
          <w:szCs w:val="24"/>
        </w:rPr>
        <w:t>Karakose</w:t>
      </w:r>
      <w:proofErr w:type="spellEnd"/>
      <w:r w:rsidR="0037629F">
        <w:rPr>
          <w:rFonts w:ascii="Times New Roman" w:eastAsia="Calibri" w:hAnsi="Times New Roman" w:cs="Times New Roman"/>
          <w:color w:val="000000"/>
          <w:kern w:val="0"/>
          <w:sz w:val="24"/>
          <w:szCs w:val="24"/>
        </w:rPr>
        <w:t xml:space="preserve"> </w:t>
      </w:r>
      <w:proofErr w:type="gramStart"/>
      <w:r w:rsidR="0037629F">
        <w:rPr>
          <w:rFonts w:ascii="Times New Roman" w:eastAsia="Calibri" w:hAnsi="Times New Roman" w:cs="Times New Roman"/>
          <w:color w:val="000000"/>
          <w:kern w:val="0"/>
          <w:sz w:val="24"/>
          <w:szCs w:val="24"/>
        </w:rPr>
        <w:t>et al.</w:t>
      </w:r>
      <w:r>
        <w:rPr>
          <w:rFonts w:ascii="Times New Roman" w:eastAsia="Calibri" w:hAnsi="Times New Roman" w:cs="Times New Roman"/>
          <w:color w:val="000000"/>
          <w:kern w:val="0"/>
          <w:sz w:val="24"/>
          <w:szCs w:val="24"/>
          <w:vertAlign w:val="superscript"/>
          <w:lang w:val="en-US"/>
        </w:rPr>
        <w:t>(</w:t>
      </w:r>
      <w:proofErr w:type="gramEnd"/>
      <w:r>
        <w:rPr>
          <w:rFonts w:ascii="Times New Roman" w:eastAsia="Calibri" w:hAnsi="Times New Roman" w:cs="Times New Roman"/>
          <w:color w:val="000000"/>
          <w:kern w:val="0"/>
          <w:sz w:val="24"/>
          <w:szCs w:val="24"/>
          <w:vertAlign w:val="superscript"/>
          <w:lang w:val="en-US"/>
        </w:rPr>
        <w:t>24</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who also found no significant relationship between DWT and IPSS, though they observed a strong association with urodynamic pressure parameters. The lack of a significant post-void DWT correlation could imply that factors contributing to bladder wall thickness might not be directly impacted by voiding but may instead relate to other underlying pathophysiolo</w:t>
      </w:r>
      <w:r w:rsidR="0037629F">
        <w:rPr>
          <w:rFonts w:ascii="Times New Roman" w:eastAsia="Calibri" w:hAnsi="Times New Roman" w:cs="Times New Roman"/>
          <w:color w:val="000000"/>
          <w:kern w:val="0"/>
          <w:sz w:val="24"/>
          <w:szCs w:val="24"/>
        </w:rPr>
        <w:t xml:space="preserve">gical mechanisms. Yilmaz </w:t>
      </w:r>
      <w:proofErr w:type="gramStart"/>
      <w:r w:rsidR="0037629F">
        <w:rPr>
          <w:rFonts w:ascii="Times New Roman" w:eastAsia="Calibri" w:hAnsi="Times New Roman" w:cs="Times New Roman"/>
          <w:color w:val="000000"/>
          <w:kern w:val="0"/>
          <w:sz w:val="24"/>
          <w:szCs w:val="24"/>
        </w:rPr>
        <w:t>et al.</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lang w:val="en-US"/>
        </w:rPr>
        <w:t>25</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similarly found a positive but insignificant correlation between bladder wall thickness (BWT) and IPSS, as well as with other parameters like age and duration of symptoms. These findings suggest that post-void DWT may not reliably reflect symptom severity as measured by IPSS, supporting the notion that other urodynamic factors are more critical for assessing bladder outlet obstruction (BOO)</w:t>
      </w:r>
      <w:r w:rsidR="0037629F">
        <w:rPr>
          <w:rFonts w:ascii="Times New Roman" w:eastAsia="Calibri" w:hAnsi="Times New Roman" w:cs="Times New Roman"/>
          <w:color w:val="000000"/>
          <w:kern w:val="0"/>
          <w:sz w:val="24"/>
          <w:szCs w:val="24"/>
        </w:rPr>
        <w:t xml:space="preserve">. Interestingly, </w:t>
      </w:r>
      <w:proofErr w:type="spellStart"/>
      <w:r w:rsidR="0037629F">
        <w:rPr>
          <w:rFonts w:ascii="Times New Roman" w:eastAsia="Calibri" w:hAnsi="Times New Roman" w:cs="Times New Roman"/>
          <w:color w:val="000000"/>
          <w:kern w:val="0"/>
          <w:sz w:val="24"/>
          <w:szCs w:val="24"/>
        </w:rPr>
        <w:t>Elsaied</w:t>
      </w:r>
      <w:proofErr w:type="spellEnd"/>
      <w:r w:rsidR="0037629F">
        <w:rPr>
          <w:rFonts w:ascii="Times New Roman" w:eastAsia="Calibri" w:hAnsi="Times New Roman" w:cs="Times New Roman"/>
          <w:color w:val="000000"/>
          <w:kern w:val="0"/>
          <w:sz w:val="24"/>
          <w:szCs w:val="24"/>
        </w:rPr>
        <w:t xml:space="preserve"> et al.</w:t>
      </w:r>
      <w:r>
        <w:rPr>
          <w:rFonts w:ascii="Times New Roman" w:eastAsia="Calibri" w:hAnsi="Times New Roman" w:cs="Times New Roman"/>
          <w:color w:val="000000"/>
          <w:kern w:val="0"/>
          <w:sz w:val="24"/>
          <w:szCs w:val="24"/>
          <w:vertAlign w:val="superscript"/>
        </w:rPr>
        <w:t>(7)</w:t>
      </w:r>
      <w:r w:rsidR="0037629F">
        <w:rPr>
          <w:rFonts w:ascii="Times New Roman" w:eastAsia="Calibri" w:hAnsi="Times New Roman" w:cs="Times New Roman"/>
          <w:color w:val="000000"/>
          <w:kern w:val="0"/>
          <w:sz w:val="24"/>
          <w:szCs w:val="24"/>
        </w:rPr>
        <w:t xml:space="preserve"> and Prakash et al.</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vertAlign w:val="superscript"/>
          <w:lang w:val="en-US"/>
        </w:rPr>
        <w:t>2</w:t>
      </w:r>
      <w:r>
        <w:rPr>
          <w:rFonts w:ascii="Times New Roman" w:eastAsia="Calibri" w:hAnsi="Times New Roman" w:cs="Times New Roman"/>
          <w:color w:val="000000"/>
          <w:kern w:val="0"/>
          <w:sz w:val="24"/>
          <w:szCs w:val="24"/>
          <w:vertAlign w:val="superscript"/>
        </w:rPr>
        <w:t>6)</w:t>
      </w:r>
      <w:r>
        <w:rPr>
          <w:rFonts w:ascii="Times New Roman" w:eastAsia="Calibri" w:hAnsi="Times New Roman" w:cs="Times New Roman"/>
          <w:color w:val="000000"/>
          <w:kern w:val="0"/>
          <w:sz w:val="24"/>
          <w:szCs w:val="24"/>
        </w:rPr>
        <w:t xml:space="preserve"> found that DWT is a highly accurate and specific non-invasive measure for diagnosing BOO, particularly when compared to IPSS, which can be subjective and dependent on patient literacy. The diagnostic utility of Detrusor Wall Thickness (DWT) has been widely supported in the literature, even though the current study shows a weak correl</w:t>
      </w:r>
      <w:r w:rsidR="0037629F">
        <w:rPr>
          <w:rFonts w:ascii="Times New Roman" w:eastAsia="Calibri" w:hAnsi="Times New Roman" w:cs="Times New Roman"/>
          <w:color w:val="000000"/>
          <w:kern w:val="0"/>
          <w:sz w:val="24"/>
          <w:szCs w:val="24"/>
        </w:rPr>
        <w:t xml:space="preserve">ation with IPSS. </w:t>
      </w:r>
      <w:proofErr w:type="spellStart"/>
      <w:r w:rsidR="0037629F">
        <w:rPr>
          <w:rFonts w:ascii="Times New Roman" w:eastAsia="Calibri" w:hAnsi="Times New Roman" w:cs="Times New Roman"/>
          <w:color w:val="000000"/>
          <w:kern w:val="0"/>
          <w:sz w:val="24"/>
          <w:szCs w:val="24"/>
        </w:rPr>
        <w:t>Elsaied</w:t>
      </w:r>
      <w:proofErr w:type="spellEnd"/>
      <w:r w:rsidR="0037629F">
        <w:rPr>
          <w:rFonts w:ascii="Times New Roman" w:eastAsia="Calibri" w:hAnsi="Times New Roman" w:cs="Times New Roman"/>
          <w:color w:val="000000"/>
          <w:kern w:val="0"/>
          <w:sz w:val="24"/>
          <w:szCs w:val="24"/>
        </w:rPr>
        <w:t xml:space="preserve"> et al.</w:t>
      </w:r>
      <w:r>
        <w:rPr>
          <w:rFonts w:ascii="Times New Roman" w:eastAsia="Calibri" w:hAnsi="Times New Roman" w:cs="Times New Roman"/>
          <w:color w:val="000000"/>
          <w:kern w:val="0"/>
          <w:sz w:val="24"/>
          <w:szCs w:val="24"/>
          <w:vertAlign w:val="superscript"/>
        </w:rPr>
        <w:t>(7)</w:t>
      </w:r>
      <w:r>
        <w:rPr>
          <w:rFonts w:ascii="Times New Roman" w:eastAsia="Calibri" w:hAnsi="Times New Roman" w:cs="Times New Roman"/>
          <w:color w:val="000000"/>
          <w:kern w:val="0"/>
          <w:sz w:val="24"/>
          <w:szCs w:val="24"/>
        </w:rPr>
        <w:t xml:space="preserve"> found that DWT had the highest accuracy (88.0%), specificity (92.6%), and positive predictive value (90.5%) among non-invasive tests when compared to maximum flow rate (</w:t>
      </w:r>
      <w:proofErr w:type="spellStart"/>
      <w:r>
        <w:rPr>
          <w:rFonts w:ascii="Times New Roman" w:eastAsia="Calibri" w:hAnsi="Times New Roman" w:cs="Times New Roman"/>
          <w:color w:val="000000"/>
          <w:kern w:val="0"/>
          <w:sz w:val="24"/>
          <w:szCs w:val="24"/>
        </w:rPr>
        <w:t>Qmax</w:t>
      </w:r>
      <w:proofErr w:type="spellEnd"/>
      <w:r>
        <w:rPr>
          <w:rFonts w:ascii="Times New Roman" w:eastAsia="Calibri" w:hAnsi="Times New Roman" w:cs="Times New Roman"/>
          <w:color w:val="000000"/>
          <w:kern w:val="0"/>
          <w:sz w:val="24"/>
          <w:szCs w:val="24"/>
        </w:rPr>
        <w:t xml:space="preserve">), which was the most sensitive (100%). Similarly, Prakash et al. </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vertAlign w:val="superscript"/>
          <w:lang w:val="en-US"/>
        </w:rPr>
        <w:t>2</w:t>
      </w:r>
      <w:r>
        <w:rPr>
          <w:rFonts w:ascii="Times New Roman" w:eastAsia="Calibri" w:hAnsi="Times New Roman" w:cs="Times New Roman"/>
          <w:color w:val="000000"/>
          <w:kern w:val="0"/>
          <w:sz w:val="24"/>
          <w:szCs w:val="24"/>
          <w:vertAlign w:val="superscript"/>
        </w:rPr>
        <w:t xml:space="preserve">6) </w:t>
      </w:r>
      <w:r>
        <w:rPr>
          <w:rFonts w:ascii="Times New Roman" w:eastAsia="Calibri" w:hAnsi="Times New Roman" w:cs="Times New Roman"/>
          <w:color w:val="000000"/>
          <w:kern w:val="0"/>
          <w:sz w:val="24"/>
          <w:szCs w:val="24"/>
        </w:rPr>
        <w:t xml:space="preserve">also noted that while DWT had the highest specificity (96.43%) and accuracy (90.57%), </w:t>
      </w:r>
      <w:proofErr w:type="spellStart"/>
      <w:r>
        <w:rPr>
          <w:rFonts w:ascii="Times New Roman" w:eastAsia="Calibri" w:hAnsi="Times New Roman" w:cs="Times New Roman"/>
          <w:color w:val="000000"/>
          <w:kern w:val="0"/>
          <w:sz w:val="24"/>
          <w:szCs w:val="24"/>
        </w:rPr>
        <w:t>Qmax</w:t>
      </w:r>
      <w:proofErr w:type="spellEnd"/>
      <w:r>
        <w:rPr>
          <w:rFonts w:ascii="Times New Roman" w:eastAsia="Calibri" w:hAnsi="Times New Roman" w:cs="Times New Roman"/>
          <w:color w:val="000000"/>
          <w:kern w:val="0"/>
          <w:sz w:val="24"/>
          <w:szCs w:val="24"/>
        </w:rPr>
        <w:t xml:space="preserve"> &lt;15 had the highest sensitivity (96%), concluding that incorporating DWT would significantly increase the accuracy of </w:t>
      </w:r>
      <w:r>
        <w:rPr>
          <w:rFonts w:ascii="Times New Roman" w:eastAsia="Calibri" w:hAnsi="Times New Roman" w:cs="Times New Roman"/>
          <w:color w:val="000000"/>
          <w:kern w:val="0"/>
          <w:sz w:val="24"/>
          <w:szCs w:val="24"/>
        </w:rPr>
        <w:lastRenderedPageBreak/>
        <w:t xml:space="preserve">diagnosing bladder outlet obstruction (BOO). Therefore, DWT remains a reliable non-invasive method, especially when combined with </w:t>
      </w:r>
      <w:proofErr w:type="spellStart"/>
      <w:r>
        <w:rPr>
          <w:rFonts w:ascii="Times New Roman" w:eastAsia="Calibri" w:hAnsi="Times New Roman" w:cs="Times New Roman"/>
          <w:color w:val="000000"/>
          <w:kern w:val="0"/>
          <w:sz w:val="24"/>
          <w:szCs w:val="24"/>
        </w:rPr>
        <w:t>Qmax</w:t>
      </w:r>
      <w:proofErr w:type="spellEnd"/>
      <w:r>
        <w:rPr>
          <w:rFonts w:ascii="Times New Roman" w:eastAsia="Calibri" w:hAnsi="Times New Roman" w:cs="Times New Roman"/>
          <w:color w:val="000000"/>
          <w:kern w:val="0"/>
          <w:sz w:val="24"/>
          <w:szCs w:val="24"/>
        </w:rPr>
        <w:t xml:space="preserve"> for greater diagnostic sensitivity. Furthermore, the study’s use of a 2.0 mm average DWT cutoff also aligns with studies that reported this threshold for BOO </w:t>
      </w:r>
      <w:r w:rsidR="00986115">
        <w:rPr>
          <w:rFonts w:ascii="Times New Roman" w:eastAsia="Calibri" w:hAnsi="Times New Roman" w:cs="Times New Roman"/>
          <w:color w:val="000000"/>
          <w:kern w:val="0"/>
          <w:sz w:val="24"/>
          <w:szCs w:val="24"/>
        </w:rPr>
        <w:t xml:space="preserve">diagnosis, such as Malde </w:t>
      </w:r>
      <w:proofErr w:type="gramStart"/>
      <w:r w:rsidR="00986115">
        <w:rPr>
          <w:rFonts w:ascii="Times New Roman" w:eastAsia="Calibri" w:hAnsi="Times New Roman" w:cs="Times New Roman"/>
          <w:color w:val="000000"/>
          <w:kern w:val="0"/>
          <w:sz w:val="24"/>
          <w:szCs w:val="24"/>
        </w:rPr>
        <w:t>et al.</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lang w:val="en-US"/>
        </w:rPr>
        <w:t>2</w:t>
      </w:r>
      <w:r>
        <w:rPr>
          <w:rFonts w:ascii="Times New Roman" w:eastAsia="Calibri" w:hAnsi="Times New Roman" w:cs="Times New Roman"/>
          <w:color w:val="000000"/>
          <w:kern w:val="0"/>
          <w:sz w:val="24"/>
          <w:szCs w:val="24"/>
          <w:vertAlign w:val="superscript"/>
        </w:rPr>
        <w:t>7)</w:t>
      </w:r>
      <w:r>
        <w:rPr>
          <w:rFonts w:ascii="Times New Roman" w:eastAsia="Calibri" w:hAnsi="Times New Roman" w:cs="Times New Roman"/>
          <w:color w:val="000000"/>
          <w:kern w:val="0"/>
          <w:sz w:val="24"/>
          <w:szCs w:val="24"/>
        </w:rPr>
        <w:t>, but it appears that DWT alone may not fully capture the symptomatic complexity indicated by IPSS.</w:t>
      </w:r>
    </w:p>
    <w:p w14:paraId="0EC3FB6F" w14:textId="77777777" w:rsidR="00CF3F1A" w:rsidRDefault="00CF3F1A" w:rsidP="00A611AB">
      <w:pPr>
        <w:spacing w:before="100" w:line="360" w:lineRule="auto"/>
        <w:contextualSpacing/>
        <w:rPr>
          <w:rFonts w:ascii="Times New Roman" w:eastAsia="Calibri" w:hAnsi="Times New Roman" w:cs="Times New Roman"/>
          <w:color w:val="000000"/>
          <w:kern w:val="0"/>
          <w:sz w:val="24"/>
          <w:szCs w:val="24"/>
        </w:rPr>
      </w:pPr>
    </w:p>
    <w:p w14:paraId="0F9186E7" w14:textId="77777777" w:rsidR="000E4DFA" w:rsidRDefault="002F21A7" w:rsidP="00A611AB">
      <w:pPr>
        <w:spacing w:before="100" w:line="360" w:lineRule="auto"/>
        <w:rPr>
          <w:rFonts w:ascii="Times New Roman" w:eastAsia="Calibri" w:hAnsi="Times New Roman" w:cs="Times New Roman"/>
          <w:color w:val="000000"/>
          <w:kern w:val="0"/>
          <w:sz w:val="24"/>
          <w:szCs w:val="24"/>
        </w:rPr>
      </w:pPr>
      <w:r>
        <w:rPr>
          <w:rFonts w:ascii="Times New Roman" w:eastAsia="Calibri" w:hAnsi="Times New Roman" w:cs="Times New Roman"/>
          <w:b/>
          <w:bCs/>
          <w:color w:val="000000"/>
          <w:kern w:val="0"/>
          <w:sz w:val="24"/>
          <w:szCs w:val="24"/>
        </w:rPr>
        <w:t>CONCLUSION</w:t>
      </w:r>
    </w:p>
    <w:p w14:paraId="5CF0FA86" w14:textId="77777777" w:rsidR="000E4DFA" w:rsidRDefault="002F21A7" w:rsidP="00A611AB">
      <w:pPr>
        <w:spacing w:before="100" w:line="360" w:lineRule="auto"/>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The findings demonstrate that an increase</w:t>
      </w:r>
      <w:r>
        <w:rPr>
          <w:rFonts w:ascii="Times New Roman" w:eastAsia="Calibri" w:hAnsi="Times New Roman" w:cs="Times New Roman"/>
          <w:color w:val="000000"/>
          <w:kern w:val="0"/>
          <w:sz w:val="24"/>
          <w:szCs w:val="24"/>
          <w:lang w:val="en-US"/>
        </w:rPr>
        <w:t xml:space="preserve"> in</w:t>
      </w:r>
      <w:r>
        <w:rPr>
          <w:rFonts w:ascii="Times New Roman" w:eastAsia="Calibri" w:hAnsi="Times New Roman" w:cs="Times New Roman"/>
          <w:color w:val="000000"/>
          <w:kern w:val="0"/>
          <w:sz w:val="24"/>
          <w:szCs w:val="24"/>
        </w:rPr>
        <w:t xml:space="preserve"> Detrusor wall thickening (DWT) </w:t>
      </w:r>
      <w:r>
        <w:rPr>
          <w:rFonts w:ascii="Times New Roman" w:eastAsia="Calibri" w:hAnsi="Times New Roman" w:cs="Times New Roman"/>
          <w:color w:val="000000"/>
          <w:kern w:val="0"/>
          <w:sz w:val="24"/>
          <w:szCs w:val="24"/>
          <w:lang w:val="en-US"/>
        </w:rPr>
        <w:t>is a</w:t>
      </w:r>
      <w:r>
        <w:rPr>
          <w:rFonts w:ascii="Times New Roman" w:eastAsia="Calibri" w:hAnsi="Times New Roman" w:cs="Times New Roman"/>
          <w:color w:val="000000"/>
          <w:kern w:val="0"/>
          <w:sz w:val="24"/>
          <w:szCs w:val="24"/>
        </w:rPr>
        <w:t xml:space="preserve"> key indicator of bladder outlet obstruction (BOO), commonly associated with benign prostatic hyperplasia (BPH). </w:t>
      </w:r>
      <w:r>
        <w:rPr>
          <w:rFonts w:ascii="Times New Roman" w:eastAsia="Calibri" w:hAnsi="Times New Roman" w:cs="Times New Roman"/>
          <w:color w:val="000000"/>
          <w:kern w:val="0"/>
          <w:sz w:val="24"/>
          <w:szCs w:val="24"/>
          <w:lang w:val="en-US"/>
        </w:rPr>
        <w:t>T</w:t>
      </w:r>
      <w:r>
        <w:rPr>
          <w:rFonts w:ascii="Times New Roman" w:eastAsia="Calibri" w:hAnsi="Times New Roman" w:cs="Times New Roman"/>
          <w:color w:val="000000"/>
          <w:kern w:val="0"/>
          <w:sz w:val="24"/>
          <w:szCs w:val="24"/>
        </w:rPr>
        <w:t>he correlation between DWT and IPSS was weaker than anticipated</w:t>
      </w:r>
      <w:r w:rsidR="003D4FC7">
        <w:rPr>
          <w:rFonts w:ascii="Times New Roman" w:eastAsia="Calibri" w:hAnsi="Times New Roman" w:cs="Times New Roman"/>
          <w:color w:val="000000"/>
          <w:kern w:val="0"/>
          <w:sz w:val="24"/>
          <w:szCs w:val="24"/>
        </w:rPr>
        <w:t xml:space="preserve"> but was nevertheless up to statistically significant level; </w:t>
      </w:r>
      <w:r>
        <w:rPr>
          <w:rFonts w:ascii="Times New Roman" w:eastAsia="Calibri" w:hAnsi="Times New Roman" w:cs="Times New Roman"/>
          <w:color w:val="000000"/>
          <w:kern w:val="0"/>
          <w:sz w:val="24"/>
          <w:szCs w:val="24"/>
        </w:rPr>
        <w:t>suggest</w:t>
      </w:r>
      <w:r>
        <w:rPr>
          <w:rFonts w:ascii="Times New Roman" w:eastAsia="Calibri" w:hAnsi="Times New Roman" w:cs="Times New Roman"/>
          <w:color w:val="000000"/>
          <w:kern w:val="0"/>
          <w:sz w:val="24"/>
          <w:szCs w:val="24"/>
          <w:lang w:val="en-US"/>
        </w:rPr>
        <w:t>ing</w:t>
      </w:r>
      <w:r w:rsidR="003D4FC7">
        <w:rPr>
          <w:rFonts w:ascii="Times New Roman" w:eastAsia="Calibri" w:hAnsi="Times New Roman" w:cs="Times New Roman"/>
          <w:color w:val="000000"/>
          <w:kern w:val="0"/>
          <w:sz w:val="24"/>
          <w:szCs w:val="24"/>
        </w:rPr>
        <w:t xml:space="preserve"> that, though </w:t>
      </w:r>
      <w:r>
        <w:rPr>
          <w:rFonts w:ascii="Times New Roman" w:eastAsia="Calibri" w:hAnsi="Times New Roman" w:cs="Times New Roman"/>
          <w:color w:val="000000"/>
          <w:kern w:val="0"/>
          <w:sz w:val="24"/>
          <w:szCs w:val="24"/>
        </w:rPr>
        <w:t>other physiological factors and compensatory mechanisms may contribute to the clinical manifestation of LUTS</w:t>
      </w:r>
      <w:r w:rsidR="003D4FC7">
        <w:rPr>
          <w:rFonts w:ascii="Times New Roman" w:eastAsia="Calibri" w:hAnsi="Times New Roman" w:cs="Times New Roman"/>
          <w:color w:val="000000"/>
          <w:kern w:val="0"/>
          <w:sz w:val="24"/>
          <w:szCs w:val="24"/>
        </w:rPr>
        <w:t>,</w:t>
      </w:r>
      <w:r w:rsidR="003D4FC7" w:rsidRPr="003D4FC7">
        <w:rPr>
          <w:rFonts w:ascii="Times New Roman" w:eastAsia="Calibri" w:hAnsi="Times New Roman" w:cs="Times New Roman"/>
          <w:color w:val="000000"/>
          <w:kern w:val="0"/>
          <w:sz w:val="24"/>
          <w:szCs w:val="24"/>
        </w:rPr>
        <w:t xml:space="preserve"> </w:t>
      </w:r>
      <w:r w:rsidR="003D4FC7">
        <w:rPr>
          <w:rFonts w:ascii="Times New Roman" w:eastAsia="Calibri" w:hAnsi="Times New Roman" w:cs="Times New Roman"/>
          <w:color w:val="000000"/>
          <w:kern w:val="0"/>
          <w:sz w:val="24"/>
          <w:szCs w:val="24"/>
        </w:rPr>
        <w:t>structural changes in the bladder makes a significant contribution to symptom severity</w:t>
      </w:r>
      <w:r>
        <w:rPr>
          <w:rFonts w:ascii="Times New Roman" w:eastAsia="Calibri" w:hAnsi="Times New Roman" w:cs="Times New Roman"/>
          <w:color w:val="000000"/>
          <w:kern w:val="0"/>
          <w:sz w:val="24"/>
          <w:szCs w:val="24"/>
        </w:rPr>
        <w:t>.</w:t>
      </w:r>
    </w:p>
    <w:p w14:paraId="23C7BFC5" w14:textId="77777777" w:rsidR="000E4DFA" w:rsidRDefault="002F21A7" w:rsidP="00A611AB">
      <w:pPr>
        <w:spacing w:before="100" w:line="360" w:lineRule="auto"/>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The study underscores the importance of incorporating both clinical and sonographic evaluations in the management of LUTS, as the IPSS alone may not adequately reflect the complexity o</w:t>
      </w:r>
      <w:r w:rsidR="00C258C2">
        <w:rPr>
          <w:rFonts w:ascii="Times New Roman" w:eastAsia="Calibri" w:hAnsi="Times New Roman" w:cs="Times New Roman"/>
          <w:color w:val="000000"/>
          <w:kern w:val="0"/>
          <w:sz w:val="24"/>
          <w:szCs w:val="24"/>
        </w:rPr>
        <w:t>f the condition. The use of DWT</w:t>
      </w:r>
      <w:r>
        <w:rPr>
          <w:rFonts w:ascii="Times New Roman" w:eastAsia="Calibri" w:hAnsi="Times New Roman" w:cs="Times New Roman"/>
          <w:color w:val="000000"/>
          <w:kern w:val="0"/>
          <w:sz w:val="24"/>
          <w:szCs w:val="24"/>
        </w:rPr>
        <w:t xml:space="preserve"> measurement enhances diagnostic accuracy and provides a more comprehensive understanding of bladder function, which is critical for optimizing treatment strategies. Furthermore, the study highlights the significant associations between demographic factors—such as age, education, and occupation—and the severity of LUTS, suggesting that these variables should be considered in designing interventions aimed at improving patient outcomes.</w:t>
      </w:r>
    </w:p>
    <w:p w14:paraId="73EDCB69" w14:textId="77777777" w:rsidR="00C31877" w:rsidRDefault="00C31877" w:rsidP="00E034C1">
      <w:pPr>
        <w:spacing w:line="480" w:lineRule="auto"/>
        <w:jc w:val="both"/>
        <w:rPr>
          <w:rFonts w:ascii="Times New Roman" w:hAnsi="Times New Roman" w:cs="Times New Roman"/>
          <w:b/>
          <w:bCs/>
          <w:sz w:val="24"/>
          <w:szCs w:val="24"/>
        </w:rPr>
      </w:pPr>
    </w:p>
    <w:p w14:paraId="11C73477" w14:textId="0582546F" w:rsidR="00E034C1" w:rsidRPr="005F4840" w:rsidRDefault="00E034C1" w:rsidP="00E034C1">
      <w:pPr>
        <w:spacing w:line="480" w:lineRule="auto"/>
        <w:jc w:val="both"/>
        <w:rPr>
          <w:rFonts w:ascii="Times New Roman" w:hAnsi="Times New Roman" w:cs="Times New Roman"/>
          <w:sz w:val="24"/>
          <w:szCs w:val="24"/>
        </w:rPr>
      </w:pPr>
      <w:bookmarkStart w:id="0" w:name="_GoBack"/>
      <w:bookmarkEnd w:id="0"/>
      <w:r w:rsidRPr="005F4840">
        <w:rPr>
          <w:rFonts w:ascii="Times New Roman" w:hAnsi="Times New Roman" w:cs="Times New Roman"/>
          <w:b/>
          <w:bCs/>
          <w:sz w:val="24"/>
          <w:szCs w:val="24"/>
        </w:rPr>
        <w:t>Ethical Approval and consent to participate</w:t>
      </w:r>
      <w:r w:rsidRPr="005F4840">
        <w:rPr>
          <w:rFonts w:ascii="Times New Roman" w:hAnsi="Times New Roman" w:cs="Times New Roman"/>
          <w:sz w:val="24"/>
          <w:szCs w:val="24"/>
        </w:rPr>
        <w:t>: Ethical clearance for this study was obtained from the Research and Ethics Committee of Nnamdi Azikiwe University Teaching Hospital (NAUTH), Nnewi</w:t>
      </w:r>
      <w:r>
        <w:rPr>
          <w:rFonts w:ascii="Times New Roman" w:hAnsi="Times New Roman" w:cs="Times New Roman"/>
          <w:sz w:val="24"/>
          <w:szCs w:val="24"/>
        </w:rPr>
        <w:t xml:space="preserve">. </w:t>
      </w:r>
      <w:r w:rsidRPr="00C00250">
        <w:rPr>
          <w:rFonts w:ascii="Times New Roman" w:hAnsi="Times New Roman" w:cs="Times New Roman"/>
          <w:b/>
          <w:sz w:val="24"/>
          <w:szCs w:val="24"/>
        </w:rPr>
        <w:t>Informed consent</w:t>
      </w:r>
      <w:r>
        <w:rPr>
          <w:rFonts w:ascii="Times New Roman" w:hAnsi="Times New Roman" w:cs="Times New Roman"/>
          <w:sz w:val="24"/>
          <w:szCs w:val="24"/>
        </w:rPr>
        <w:t xml:space="preserve"> was obtained from the participants, and</w:t>
      </w:r>
      <w:r w:rsidRPr="005F4840">
        <w:rPr>
          <w:rFonts w:ascii="Times New Roman" w:hAnsi="Times New Roman" w:cs="Times New Roman"/>
          <w:sz w:val="24"/>
          <w:szCs w:val="24"/>
        </w:rPr>
        <w:t xml:space="preserve"> detailed explanation of the purpose, procedure, benefit and risk of </w:t>
      </w:r>
      <w:r w:rsidRPr="005F4840">
        <w:rPr>
          <w:rFonts w:ascii="Times New Roman" w:hAnsi="Times New Roman" w:cs="Times New Roman"/>
          <w:sz w:val="24"/>
          <w:szCs w:val="24"/>
        </w:rPr>
        <w:lastRenderedPageBreak/>
        <w:t xml:space="preserve">the study was given to </w:t>
      </w:r>
      <w:r>
        <w:rPr>
          <w:rFonts w:ascii="Times New Roman" w:hAnsi="Times New Roman" w:cs="Times New Roman"/>
          <w:sz w:val="24"/>
          <w:szCs w:val="24"/>
        </w:rPr>
        <w:t>the patients before recruitment</w:t>
      </w:r>
      <w:r w:rsidRPr="005F4840">
        <w:rPr>
          <w:rFonts w:ascii="Times New Roman" w:hAnsi="Times New Roman" w:cs="Times New Roman"/>
          <w:sz w:val="24"/>
          <w:szCs w:val="24"/>
        </w:rPr>
        <w:t>. Those who refused to participate in the study were not discriminated against.</w:t>
      </w:r>
    </w:p>
    <w:p w14:paraId="223481C3" w14:textId="77777777" w:rsidR="00E034C1" w:rsidRPr="005F4840" w:rsidRDefault="00E034C1" w:rsidP="00E034C1">
      <w:pPr>
        <w:spacing w:line="480" w:lineRule="auto"/>
        <w:jc w:val="both"/>
        <w:rPr>
          <w:rFonts w:ascii="Times New Roman" w:hAnsi="Times New Roman" w:cs="Times New Roman"/>
          <w:sz w:val="24"/>
          <w:szCs w:val="24"/>
        </w:rPr>
      </w:pPr>
      <w:r w:rsidRPr="005F4840">
        <w:rPr>
          <w:rFonts w:ascii="Times New Roman" w:hAnsi="Times New Roman" w:cs="Times New Roman"/>
          <w:b/>
          <w:bCs/>
          <w:sz w:val="24"/>
          <w:szCs w:val="24"/>
        </w:rPr>
        <w:t>Availability of data and materials</w:t>
      </w:r>
      <w:r w:rsidRPr="005F4840">
        <w:rPr>
          <w:rFonts w:ascii="Times New Roman" w:hAnsi="Times New Roman" w:cs="Times New Roman"/>
          <w:sz w:val="24"/>
          <w:szCs w:val="24"/>
        </w:rPr>
        <w:t xml:space="preserve">: </w:t>
      </w:r>
      <w:r w:rsidRPr="005F4840">
        <w:rPr>
          <w:rFonts w:ascii="Times New Roman" w:hAnsi="Times New Roman"/>
          <w:sz w:val="24"/>
          <w:szCs w:val="24"/>
        </w:rPr>
        <w:t xml:space="preserve">The datasets used and/or </w:t>
      </w:r>
      <w:proofErr w:type="spellStart"/>
      <w:r w:rsidRPr="005F4840">
        <w:rPr>
          <w:rFonts w:ascii="Times New Roman" w:hAnsi="Times New Roman"/>
          <w:sz w:val="24"/>
          <w:szCs w:val="24"/>
        </w:rPr>
        <w:t>analyzed</w:t>
      </w:r>
      <w:proofErr w:type="spellEnd"/>
      <w:r w:rsidRPr="005F4840">
        <w:rPr>
          <w:rFonts w:ascii="Times New Roman" w:hAnsi="Times New Roman"/>
          <w:sz w:val="24"/>
          <w:szCs w:val="24"/>
        </w:rPr>
        <w:t xml:space="preserve"> during the current study are available upon reasonable request from the corresponding author.</w:t>
      </w:r>
    </w:p>
    <w:p w14:paraId="1A609008" w14:textId="77777777" w:rsidR="00C31877" w:rsidRDefault="00C31877" w:rsidP="008F0B2C">
      <w:pPr>
        <w:spacing w:line="480" w:lineRule="auto"/>
        <w:rPr>
          <w:rFonts w:ascii="Times New Roman" w:hAnsi="Times New Roman" w:cs="Times New Roman"/>
          <w:b/>
          <w:bCs/>
          <w:sz w:val="24"/>
          <w:szCs w:val="24"/>
          <w:lang w:val="en-US"/>
        </w:rPr>
      </w:pPr>
    </w:p>
    <w:p w14:paraId="290A63B1" w14:textId="5D22C807" w:rsidR="000E4DFA" w:rsidRDefault="002F21A7" w:rsidP="008F0B2C">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0E9F422A" w14:textId="77777777" w:rsidR="000E4DFA" w:rsidRDefault="002F21A7" w:rsidP="008F0B2C">
      <w:pPr>
        <w:shd w:val="clear" w:color="auto" w:fill="FFFFFF"/>
        <w:spacing w:line="480" w:lineRule="auto"/>
        <w:rPr>
          <w:rFonts w:ascii="Times New Roman" w:eastAsia="Times New Roman" w:hAnsi="Times New Roman" w:cs="Times New Roman"/>
          <w:color w:val="000000"/>
          <w:kern w:val="0"/>
          <w:sz w:val="24"/>
          <w:szCs w:val="24"/>
          <w:lang w:val="en-US"/>
        </w:rPr>
      </w:pPr>
      <w:r>
        <w:rPr>
          <w:rFonts w:ascii="Times New Roman" w:eastAsia="Calibri" w:hAnsi="Times New Roman" w:cs="Times New Roman"/>
          <w:kern w:val="0"/>
          <w:sz w:val="24"/>
          <w:szCs w:val="24"/>
          <w:lang w:val="en-US"/>
        </w:rPr>
        <w:t>1. Lepor H. Pathophysiology of Lower Urinary Tract Symptoms in the Aging Male Population.</w:t>
      </w:r>
      <w:r>
        <w:rPr>
          <w:rFonts w:ascii="Times New Roman" w:eastAsia="Times New Roman" w:hAnsi="Times New Roman" w:cs="Times New Roman"/>
          <w:color w:val="000000"/>
          <w:kern w:val="0"/>
          <w:sz w:val="24"/>
          <w:szCs w:val="24"/>
          <w:lang w:val="en-US"/>
        </w:rPr>
        <w:t xml:space="preserve"> Rev Urol. 2005; 7(Suppl 7): S3-S11 </w:t>
      </w:r>
    </w:p>
    <w:p w14:paraId="0EB9F5F7" w14:textId="77777777" w:rsidR="000E4DFA" w:rsidRDefault="008F0B2C" w:rsidP="008F0B2C">
      <w:pPr>
        <w:spacing w:line="480" w:lineRule="auto"/>
        <w:rPr>
          <w:rFonts w:ascii="Times New Roman" w:eastAsia="Times New Roman" w:hAnsi="Times New Roman" w:cs="Times New Roman"/>
          <w:color w:val="323232"/>
          <w:kern w:val="0"/>
          <w:sz w:val="24"/>
          <w:szCs w:val="24"/>
          <w:lang w:val="en-US"/>
        </w:rPr>
      </w:pPr>
      <w:r>
        <w:rPr>
          <w:rFonts w:ascii="Times New Roman" w:eastAsia="Calibri" w:hAnsi="Times New Roman" w:cs="Times New Roman"/>
          <w:kern w:val="0"/>
          <w:sz w:val="24"/>
          <w:szCs w:val="24"/>
          <w:lang w:val="en-US"/>
        </w:rPr>
        <w:t xml:space="preserve">2. </w:t>
      </w:r>
      <w:hyperlink r:id="rId8" w:history="1">
        <w:r w:rsidR="002F21A7">
          <w:rPr>
            <w:rFonts w:ascii="Times New Roman" w:eastAsia="Calibri" w:hAnsi="Times New Roman" w:cs="Times New Roman"/>
            <w:color w:val="0000FF"/>
            <w:kern w:val="0"/>
            <w:sz w:val="24"/>
            <w:szCs w:val="24"/>
            <w:u w:val="single"/>
            <w:lang w:val="en-US"/>
          </w:rPr>
          <w:t>Liao</w:t>
        </w:r>
      </w:hyperlink>
      <w:r w:rsidR="002F21A7">
        <w:rPr>
          <w:rFonts w:ascii="Times New Roman" w:eastAsia="Calibri" w:hAnsi="Times New Roman" w:cs="Times New Roman"/>
          <w:color w:val="0000FF"/>
          <w:kern w:val="0"/>
          <w:sz w:val="24"/>
          <w:szCs w:val="24"/>
          <w:u w:val="single"/>
          <w:lang w:val="en-US"/>
        </w:rPr>
        <w:t xml:space="preserve"> </w:t>
      </w:r>
      <w:proofErr w:type="spellStart"/>
      <w:r w:rsidR="002F21A7">
        <w:rPr>
          <w:rFonts w:ascii="Times New Roman" w:eastAsia="Calibri" w:hAnsi="Times New Roman" w:cs="Times New Roman"/>
          <w:color w:val="0000FF"/>
          <w:kern w:val="0"/>
          <w:sz w:val="24"/>
          <w:szCs w:val="24"/>
          <w:u w:val="single"/>
          <w:lang w:val="en-US"/>
        </w:rPr>
        <w:t>L</w:t>
      </w:r>
      <w:r w:rsidR="002F21A7">
        <w:rPr>
          <w:rFonts w:ascii="Times New Roman" w:eastAsia="Calibri" w:hAnsi="Times New Roman" w:cs="Times New Roman"/>
          <w:kern w:val="0"/>
          <w:sz w:val="24"/>
          <w:szCs w:val="24"/>
          <w:shd w:val="clear" w:color="auto" w:fill="FFFFFF"/>
          <w:lang w:val="en-US"/>
        </w:rPr>
        <w:t>,</w:t>
      </w:r>
      <w:hyperlink r:id="rId9" w:history="1">
        <w:r w:rsidR="002F21A7">
          <w:rPr>
            <w:rFonts w:ascii="Times New Roman" w:eastAsia="Calibri" w:hAnsi="Times New Roman" w:cs="Times New Roman"/>
            <w:color w:val="0000FF"/>
            <w:kern w:val="0"/>
            <w:sz w:val="24"/>
            <w:szCs w:val="24"/>
            <w:u w:val="single"/>
            <w:lang w:val="en-US"/>
          </w:rPr>
          <w:t>Chuang</w:t>
        </w:r>
        <w:proofErr w:type="spellEnd"/>
      </w:hyperlink>
      <w:r w:rsidR="002F21A7">
        <w:rPr>
          <w:rFonts w:ascii="Times New Roman" w:eastAsia="Calibri" w:hAnsi="Times New Roman" w:cs="Times New Roman"/>
          <w:color w:val="0000FF"/>
          <w:kern w:val="0"/>
          <w:sz w:val="24"/>
          <w:szCs w:val="24"/>
          <w:u w:val="single"/>
          <w:lang w:val="en-US"/>
        </w:rPr>
        <w:t xml:space="preserve"> YC</w:t>
      </w:r>
      <w:r w:rsidR="002F21A7">
        <w:rPr>
          <w:rFonts w:ascii="Times New Roman" w:eastAsia="Calibri" w:hAnsi="Times New Roman" w:cs="Times New Roman"/>
          <w:kern w:val="0"/>
          <w:sz w:val="24"/>
          <w:szCs w:val="24"/>
          <w:shd w:val="clear" w:color="auto" w:fill="FFFFFF"/>
          <w:lang w:val="en-US"/>
        </w:rPr>
        <w:t xml:space="preserve">, </w:t>
      </w:r>
      <w:hyperlink r:id="rId10" w:history="1">
        <w:r w:rsidR="002F21A7">
          <w:rPr>
            <w:rFonts w:ascii="Times New Roman" w:eastAsia="Calibri" w:hAnsi="Times New Roman" w:cs="Times New Roman"/>
            <w:color w:val="0000FF"/>
            <w:kern w:val="0"/>
            <w:sz w:val="24"/>
            <w:szCs w:val="24"/>
            <w:u w:val="single"/>
            <w:lang w:val="en-US"/>
          </w:rPr>
          <w:t>Liu</w:t>
        </w:r>
      </w:hyperlink>
      <w:r w:rsidR="002F21A7">
        <w:rPr>
          <w:rFonts w:ascii="Times New Roman" w:eastAsia="Calibri" w:hAnsi="Times New Roman" w:cs="Times New Roman"/>
          <w:color w:val="0000FF"/>
          <w:kern w:val="0"/>
          <w:sz w:val="24"/>
          <w:szCs w:val="24"/>
          <w:u w:val="single"/>
          <w:lang w:val="en-US"/>
        </w:rPr>
        <w:t xml:space="preserve"> S</w:t>
      </w:r>
      <w:r w:rsidR="002F21A7">
        <w:rPr>
          <w:rFonts w:ascii="Times New Roman" w:eastAsia="Calibri" w:hAnsi="Times New Roman" w:cs="Times New Roman"/>
          <w:kern w:val="0"/>
          <w:sz w:val="24"/>
          <w:szCs w:val="24"/>
          <w:shd w:val="clear" w:color="auto" w:fill="FFFFFF"/>
          <w:lang w:val="en-US"/>
        </w:rPr>
        <w:t>,</w:t>
      </w:r>
      <w:hyperlink r:id="rId11" w:history="1">
        <w:r w:rsidR="002F21A7">
          <w:rPr>
            <w:rFonts w:ascii="Times New Roman" w:eastAsia="Calibri" w:hAnsi="Times New Roman" w:cs="Times New Roman"/>
            <w:color w:val="0000FF"/>
            <w:kern w:val="0"/>
            <w:sz w:val="24"/>
            <w:szCs w:val="24"/>
            <w:u w:val="single"/>
            <w:lang w:val="en-US"/>
          </w:rPr>
          <w:t xml:space="preserve"> Lee</w:t>
        </w:r>
      </w:hyperlink>
      <w:r w:rsidR="002F21A7">
        <w:rPr>
          <w:rFonts w:ascii="Times New Roman" w:eastAsia="Calibri" w:hAnsi="Times New Roman" w:cs="Times New Roman"/>
          <w:color w:val="0000FF"/>
          <w:kern w:val="0"/>
          <w:sz w:val="24"/>
          <w:szCs w:val="24"/>
          <w:u w:val="single"/>
          <w:lang w:val="en-US"/>
        </w:rPr>
        <w:t xml:space="preserve"> K</w:t>
      </w:r>
      <w:r w:rsidR="002F21A7">
        <w:rPr>
          <w:rFonts w:ascii="Times New Roman" w:eastAsia="Calibri" w:hAnsi="Times New Roman" w:cs="Times New Roman"/>
          <w:kern w:val="0"/>
          <w:sz w:val="24"/>
          <w:szCs w:val="24"/>
          <w:shd w:val="clear" w:color="auto" w:fill="FFFFFF"/>
          <w:lang w:val="en-US"/>
        </w:rPr>
        <w:t>,</w:t>
      </w:r>
      <w:hyperlink r:id="rId12" w:history="1">
        <w:r w:rsidR="002F21A7">
          <w:rPr>
            <w:rFonts w:ascii="Times New Roman" w:eastAsia="Calibri" w:hAnsi="Times New Roman" w:cs="Times New Roman"/>
            <w:color w:val="0000FF"/>
            <w:kern w:val="0"/>
            <w:sz w:val="24"/>
            <w:szCs w:val="24"/>
            <w:u w:val="single"/>
            <w:lang w:val="en-US"/>
          </w:rPr>
          <w:t xml:space="preserve"> Yoo</w:t>
        </w:r>
      </w:hyperlink>
      <w:r w:rsidR="002F21A7">
        <w:rPr>
          <w:rFonts w:ascii="Times New Roman" w:eastAsia="Calibri" w:hAnsi="Times New Roman" w:cs="Times New Roman"/>
          <w:color w:val="0000FF"/>
          <w:kern w:val="0"/>
          <w:sz w:val="24"/>
          <w:szCs w:val="24"/>
          <w:u w:val="single"/>
          <w:lang w:val="en-US"/>
        </w:rPr>
        <w:t xml:space="preserve"> TK</w:t>
      </w:r>
      <w:r w:rsidR="002F21A7">
        <w:rPr>
          <w:rFonts w:ascii="Times New Roman" w:eastAsia="Calibri" w:hAnsi="Times New Roman" w:cs="Times New Roman"/>
          <w:kern w:val="0"/>
          <w:sz w:val="24"/>
          <w:szCs w:val="24"/>
          <w:shd w:val="clear" w:color="auto" w:fill="FFFFFF"/>
          <w:lang w:val="en-US"/>
        </w:rPr>
        <w:t>,</w:t>
      </w:r>
      <w:hyperlink r:id="rId13" w:history="1">
        <w:r w:rsidR="002F21A7">
          <w:rPr>
            <w:rFonts w:ascii="Times New Roman" w:eastAsia="Calibri" w:hAnsi="Times New Roman" w:cs="Times New Roman"/>
            <w:color w:val="0000FF"/>
            <w:kern w:val="0"/>
            <w:sz w:val="24"/>
            <w:szCs w:val="24"/>
            <w:u w:val="single"/>
            <w:lang w:val="en-US"/>
          </w:rPr>
          <w:t xml:space="preserve"> Chu</w:t>
        </w:r>
      </w:hyperlink>
      <w:r w:rsidR="002F21A7">
        <w:rPr>
          <w:rFonts w:ascii="Times New Roman" w:eastAsia="Calibri" w:hAnsi="Times New Roman" w:cs="Times New Roman"/>
          <w:color w:val="0000FF"/>
          <w:kern w:val="0"/>
          <w:sz w:val="24"/>
          <w:szCs w:val="24"/>
          <w:u w:val="single"/>
          <w:lang w:val="en-US"/>
        </w:rPr>
        <w:t xml:space="preserve"> R</w:t>
      </w:r>
      <w:r w:rsidR="002F21A7">
        <w:rPr>
          <w:rFonts w:ascii="Times New Roman" w:eastAsia="Calibri" w:hAnsi="Times New Roman" w:cs="Times New Roman"/>
          <w:kern w:val="0"/>
          <w:sz w:val="24"/>
          <w:szCs w:val="24"/>
          <w:shd w:val="clear" w:color="auto" w:fill="FFFFFF"/>
          <w:lang w:val="en-US"/>
        </w:rPr>
        <w:t>, et al</w:t>
      </w:r>
      <w:r w:rsidR="002F21A7">
        <w:rPr>
          <w:rFonts w:ascii="Times New Roman" w:eastAsia="Calibri" w:hAnsi="Times New Roman" w:cs="Times New Roman"/>
          <w:kern w:val="0"/>
          <w:sz w:val="24"/>
          <w:szCs w:val="24"/>
          <w:lang w:val="en-US"/>
        </w:rPr>
        <w:t xml:space="preserve">. </w:t>
      </w:r>
      <w:r w:rsidR="002F21A7">
        <w:rPr>
          <w:rFonts w:ascii="Times New Roman" w:eastAsia="Times New Roman" w:hAnsi="Times New Roman" w:cs="Times New Roman"/>
          <w:bCs/>
          <w:color w:val="323232"/>
          <w:kern w:val="0"/>
          <w:sz w:val="24"/>
          <w:szCs w:val="24"/>
          <w:lang w:val="en-US"/>
        </w:rPr>
        <w:t xml:space="preserve">Effect of lower urinary tract symptoms on the quality of life and sexual function of males in China, Taiwan, and South Korea: subgroup analysis of cross-sectional, population based study </w:t>
      </w:r>
      <w:r w:rsidR="002F21A7">
        <w:rPr>
          <w:rFonts w:ascii="Times New Roman" w:eastAsia="Times New Roman" w:hAnsi="Times New Roman" w:cs="Times New Roman"/>
          <w:color w:val="323232"/>
          <w:kern w:val="0"/>
          <w:sz w:val="24"/>
          <w:szCs w:val="24"/>
          <w:lang w:val="en-US"/>
        </w:rPr>
        <w:t>Low Urinary Tract Symptoms. 2019;11 p. O78-O84</w:t>
      </w:r>
    </w:p>
    <w:p w14:paraId="0F1DBAC2" w14:textId="77777777" w:rsidR="000E4DFA" w:rsidRDefault="008F0B2C" w:rsidP="008F0B2C">
      <w:pPr>
        <w:spacing w:line="480" w:lineRule="auto"/>
        <w:rPr>
          <w:rFonts w:ascii="Times New Roman" w:eastAsia="Times New Roman" w:hAnsi="Times New Roman" w:cs="Times New Roman"/>
          <w:color w:val="323232"/>
          <w:kern w:val="0"/>
          <w:sz w:val="24"/>
          <w:szCs w:val="24"/>
          <w:lang w:val="en-US"/>
        </w:rPr>
      </w:pPr>
      <w:r>
        <w:rPr>
          <w:rFonts w:ascii="Times New Roman" w:eastAsia="Calibri" w:hAnsi="Times New Roman" w:cs="Times New Roman"/>
          <w:kern w:val="0"/>
          <w:sz w:val="24"/>
          <w:szCs w:val="24"/>
          <w:lang w:val="en-US"/>
        </w:rPr>
        <w:t xml:space="preserve">3. </w:t>
      </w:r>
      <w:r w:rsidR="002F21A7">
        <w:rPr>
          <w:rFonts w:ascii="Times New Roman" w:eastAsia="Calibri" w:hAnsi="Times New Roman" w:cs="Times New Roman"/>
          <w:kern w:val="0"/>
          <w:sz w:val="24"/>
          <w:szCs w:val="24"/>
          <w:lang w:val="en-US"/>
        </w:rPr>
        <w:t xml:space="preserve">Speakman M, Kirby R, Doyle S, Ioannou C. </w:t>
      </w:r>
      <w:r w:rsidR="002F21A7">
        <w:rPr>
          <w:rFonts w:ascii="Times New Roman" w:eastAsia="Calibri" w:hAnsi="Times New Roman" w:cs="Times New Roman"/>
          <w:color w:val="212121"/>
          <w:kern w:val="0"/>
          <w:sz w:val="24"/>
          <w:szCs w:val="24"/>
          <w:shd w:val="clear" w:color="auto" w:fill="FFFFFF"/>
          <w:lang w:val="en-US"/>
        </w:rPr>
        <w:t xml:space="preserve"> Burden of male lower urinary tract symptoms (LUTS) suggestive of benign prostatic hyperplasia (BPH)—focus on the UK. BJU Int. </w:t>
      </w:r>
      <w:proofErr w:type="gramStart"/>
      <w:r w:rsidR="002F21A7">
        <w:rPr>
          <w:rFonts w:ascii="Times New Roman" w:eastAsia="Calibri" w:hAnsi="Times New Roman" w:cs="Times New Roman"/>
          <w:color w:val="212121"/>
          <w:kern w:val="0"/>
          <w:sz w:val="24"/>
          <w:szCs w:val="24"/>
          <w:shd w:val="clear" w:color="auto" w:fill="FFFFFF"/>
          <w:lang w:val="en-US"/>
        </w:rPr>
        <w:t>2015;115:508</w:t>
      </w:r>
      <w:proofErr w:type="gramEnd"/>
      <w:r w:rsidR="002F21A7">
        <w:rPr>
          <w:rFonts w:ascii="Times New Roman" w:eastAsia="Calibri" w:hAnsi="Times New Roman" w:cs="Times New Roman"/>
          <w:color w:val="212121"/>
          <w:kern w:val="0"/>
          <w:sz w:val="24"/>
          <w:szCs w:val="24"/>
          <w:shd w:val="clear" w:color="auto" w:fill="FFFFFF"/>
          <w:lang w:val="en-US"/>
        </w:rPr>
        <w:t xml:space="preserve">‐519. </w:t>
      </w:r>
    </w:p>
    <w:p w14:paraId="02925688" w14:textId="77777777" w:rsidR="000E4DFA" w:rsidRDefault="008F0B2C" w:rsidP="008F0B2C">
      <w:pPr>
        <w:shd w:val="clear" w:color="auto" w:fill="FFFFFF"/>
        <w:spacing w:after="0" w:line="480" w:lineRule="auto"/>
        <w:rPr>
          <w:rFonts w:ascii="Times New Roman" w:eastAsia="Times New Roman" w:hAnsi="Times New Roman" w:cs="Times New Roman"/>
          <w:color w:val="212121"/>
          <w:kern w:val="0"/>
          <w:sz w:val="24"/>
          <w:szCs w:val="24"/>
          <w:lang w:val="en-US"/>
        </w:rPr>
      </w:pPr>
      <w:r>
        <w:rPr>
          <w:rFonts w:ascii="Times New Roman" w:eastAsia="Calibri" w:hAnsi="Times New Roman" w:cs="Times New Roman"/>
          <w:kern w:val="0"/>
          <w:sz w:val="24"/>
          <w:szCs w:val="24"/>
          <w:lang w:val="en-US"/>
        </w:rPr>
        <w:t xml:space="preserve">4. </w:t>
      </w:r>
      <w:r w:rsidR="002F21A7">
        <w:rPr>
          <w:rFonts w:ascii="Times New Roman" w:eastAsia="Times New Roman" w:hAnsi="Times New Roman" w:cs="Times New Roman"/>
          <w:color w:val="212121"/>
          <w:kern w:val="0"/>
          <w:sz w:val="24"/>
          <w:szCs w:val="24"/>
          <w:lang w:val="en-US"/>
        </w:rPr>
        <w:t xml:space="preserve">O'Leary MP. Lower urinary tract symptoms/benign prostatic hyperplasia: maintaining symptom control and reducing complications. Urology. </w:t>
      </w:r>
      <w:proofErr w:type="gramStart"/>
      <w:r w:rsidR="002F21A7">
        <w:rPr>
          <w:rFonts w:ascii="Times New Roman" w:eastAsia="Times New Roman" w:hAnsi="Times New Roman" w:cs="Times New Roman"/>
          <w:color w:val="212121"/>
          <w:kern w:val="0"/>
          <w:sz w:val="24"/>
          <w:szCs w:val="24"/>
          <w:lang w:val="en-US"/>
        </w:rPr>
        <w:t>2003;62:15</w:t>
      </w:r>
      <w:proofErr w:type="gramEnd"/>
      <w:r w:rsidR="002F21A7">
        <w:rPr>
          <w:rFonts w:ascii="Times New Roman" w:eastAsia="Times New Roman" w:hAnsi="Times New Roman" w:cs="Times New Roman"/>
          <w:color w:val="212121"/>
          <w:kern w:val="0"/>
          <w:sz w:val="24"/>
          <w:szCs w:val="24"/>
          <w:lang w:val="en-US"/>
        </w:rPr>
        <w:t xml:space="preserve">‐23. </w:t>
      </w:r>
    </w:p>
    <w:p w14:paraId="430E5FC5" w14:textId="77777777" w:rsidR="000E4DFA" w:rsidRDefault="008F0B2C"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 xml:space="preserve">5. </w:t>
      </w:r>
      <w:r w:rsidR="002F21A7">
        <w:rPr>
          <w:rFonts w:ascii="Times New Roman" w:eastAsia="Calibri" w:hAnsi="Times New Roman" w:cs="Times New Roman"/>
          <w:kern w:val="0"/>
          <w:sz w:val="24"/>
          <w:szCs w:val="24"/>
          <w:lang w:val="en-US"/>
        </w:rPr>
        <w:t xml:space="preserve">Bosch R, Abrams P, </w:t>
      </w:r>
      <w:proofErr w:type="spellStart"/>
      <w:r w:rsidR="002F21A7">
        <w:rPr>
          <w:rFonts w:ascii="Times New Roman" w:eastAsia="Calibri" w:hAnsi="Times New Roman" w:cs="Times New Roman"/>
          <w:kern w:val="0"/>
          <w:sz w:val="24"/>
          <w:szCs w:val="24"/>
          <w:lang w:val="en-US"/>
        </w:rPr>
        <w:t>Averbeck</w:t>
      </w:r>
      <w:proofErr w:type="spellEnd"/>
      <w:r w:rsidR="002F21A7">
        <w:rPr>
          <w:rFonts w:ascii="Times New Roman" w:eastAsia="Calibri" w:hAnsi="Times New Roman" w:cs="Times New Roman"/>
          <w:kern w:val="0"/>
          <w:sz w:val="24"/>
          <w:szCs w:val="24"/>
          <w:lang w:val="en-US"/>
        </w:rPr>
        <w:t xml:space="preserve"> MA, </w:t>
      </w:r>
      <w:proofErr w:type="spellStart"/>
      <w:r w:rsidR="002F21A7">
        <w:rPr>
          <w:rFonts w:ascii="Times New Roman" w:eastAsia="Calibri" w:hAnsi="Times New Roman" w:cs="Times New Roman"/>
          <w:kern w:val="0"/>
          <w:sz w:val="24"/>
          <w:szCs w:val="24"/>
          <w:lang w:val="en-US"/>
        </w:rPr>
        <w:t>Finazzi</w:t>
      </w:r>
      <w:proofErr w:type="spellEnd"/>
      <w:r w:rsidR="002F21A7">
        <w:rPr>
          <w:rFonts w:ascii="Times New Roman" w:eastAsia="Calibri" w:hAnsi="Times New Roman" w:cs="Times New Roman"/>
          <w:kern w:val="0"/>
          <w:sz w:val="24"/>
          <w:szCs w:val="24"/>
          <w:lang w:val="en-US"/>
        </w:rPr>
        <w:t xml:space="preserve"> </w:t>
      </w:r>
      <w:proofErr w:type="spellStart"/>
      <w:r w:rsidR="002F21A7">
        <w:rPr>
          <w:rFonts w:ascii="Times New Roman" w:eastAsia="Calibri" w:hAnsi="Times New Roman" w:cs="Times New Roman"/>
          <w:kern w:val="0"/>
          <w:sz w:val="24"/>
          <w:szCs w:val="24"/>
          <w:lang w:val="en-US"/>
        </w:rPr>
        <w:t>Agró</w:t>
      </w:r>
      <w:proofErr w:type="spellEnd"/>
      <w:r w:rsidR="002F21A7">
        <w:rPr>
          <w:rFonts w:ascii="Times New Roman" w:eastAsia="Calibri" w:hAnsi="Times New Roman" w:cs="Times New Roman"/>
          <w:kern w:val="0"/>
          <w:sz w:val="24"/>
          <w:szCs w:val="24"/>
          <w:lang w:val="en-US"/>
        </w:rPr>
        <w:t xml:space="preserve"> E, </w:t>
      </w:r>
      <w:proofErr w:type="spellStart"/>
      <w:r w:rsidR="002F21A7">
        <w:rPr>
          <w:rFonts w:ascii="Times New Roman" w:eastAsia="Calibri" w:hAnsi="Times New Roman" w:cs="Times New Roman"/>
          <w:kern w:val="0"/>
          <w:sz w:val="24"/>
          <w:szCs w:val="24"/>
          <w:lang w:val="en-US"/>
        </w:rPr>
        <w:t>Gammie</w:t>
      </w:r>
      <w:proofErr w:type="spellEnd"/>
      <w:r w:rsidR="002F21A7">
        <w:rPr>
          <w:rFonts w:ascii="Times New Roman" w:eastAsia="Calibri" w:hAnsi="Times New Roman" w:cs="Times New Roman"/>
          <w:kern w:val="0"/>
          <w:sz w:val="24"/>
          <w:szCs w:val="24"/>
          <w:lang w:val="en-US"/>
        </w:rPr>
        <w:t xml:space="preserve"> A, </w:t>
      </w:r>
      <w:proofErr w:type="spellStart"/>
      <w:r w:rsidR="002F21A7">
        <w:rPr>
          <w:rFonts w:ascii="Times New Roman" w:eastAsia="Calibri" w:hAnsi="Times New Roman" w:cs="Times New Roman"/>
          <w:kern w:val="0"/>
          <w:sz w:val="24"/>
          <w:szCs w:val="24"/>
          <w:lang w:val="en-US"/>
        </w:rPr>
        <w:t>Marcelissen</w:t>
      </w:r>
      <w:proofErr w:type="spellEnd"/>
      <w:r w:rsidR="002F21A7">
        <w:rPr>
          <w:rFonts w:ascii="Times New Roman" w:eastAsia="Calibri" w:hAnsi="Times New Roman" w:cs="Times New Roman"/>
          <w:kern w:val="0"/>
          <w:sz w:val="24"/>
          <w:szCs w:val="24"/>
          <w:lang w:val="en-US"/>
        </w:rPr>
        <w:t xml:space="preserve"> T, et al. Do functional changes occur in the bladder due to bladder outlet obstruction? - ICI-RS 2018 [Internet]. Vol. 38, </w:t>
      </w:r>
      <w:proofErr w:type="spellStart"/>
      <w:r w:rsidR="002F21A7">
        <w:rPr>
          <w:rFonts w:ascii="Times New Roman" w:eastAsia="Calibri" w:hAnsi="Times New Roman" w:cs="Times New Roman"/>
          <w:kern w:val="0"/>
          <w:sz w:val="24"/>
          <w:szCs w:val="24"/>
          <w:lang w:val="en-US"/>
        </w:rPr>
        <w:t>Neurourology</w:t>
      </w:r>
      <w:proofErr w:type="spellEnd"/>
      <w:r w:rsidR="002F21A7">
        <w:rPr>
          <w:rFonts w:ascii="Times New Roman" w:eastAsia="Calibri" w:hAnsi="Times New Roman" w:cs="Times New Roman"/>
          <w:kern w:val="0"/>
          <w:sz w:val="24"/>
          <w:szCs w:val="24"/>
          <w:lang w:val="en-US"/>
        </w:rPr>
        <w:t xml:space="preserve"> and Urodynamics. John Wiley and Sons Inc.; 2019. p. S56–65. </w:t>
      </w:r>
    </w:p>
    <w:p w14:paraId="197CE389" w14:textId="77777777" w:rsidR="000E4DFA" w:rsidRDefault="008F0B2C"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lastRenderedPageBreak/>
        <w:t xml:space="preserve">6. </w:t>
      </w:r>
      <w:proofErr w:type="spellStart"/>
      <w:r w:rsidR="002F21A7">
        <w:rPr>
          <w:rFonts w:ascii="Times New Roman" w:eastAsia="Calibri" w:hAnsi="Times New Roman" w:cs="Times New Roman"/>
          <w:kern w:val="0"/>
          <w:sz w:val="24"/>
          <w:szCs w:val="24"/>
          <w:lang w:val="en-US"/>
        </w:rPr>
        <w:t>Elmissiry</w:t>
      </w:r>
      <w:proofErr w:type="spellEnd"/>
      <w:r w:rsidR="002F21A7">
        <w:rPr>
          <w:rFonts w:ascii="Times New Roman" w:eastAsia="Calibri" w:hAnsi="Times New Roman" w:cs="Times New Roman"/>
          <w:kern w:val="0"/>
          <w:sz w:val="24"/>
          <w:szCs w:val="24"/>
          <w:lang w:val="en-US"/>
        </w:rPr>
        <w:t xml:space="preserve"> MM, Ali AG, </w:t>
      </w:r>
      <w:proofErr w:type="spellStart"/>
      <w:r w:rsidR="002F21A7">
        <w:rPr>
          <w:rFonts w:ascii="Times New Roman" w:eastAsia="Calibri" w:hAnsi="Times New Roman" w:cs="Times New Roman"/>
          <w:kern w:val="0"/>
          <w:sz w:val="24"/>
          <w:szCs w:val="24"/>
          <w:lang w:val="en-US"/>
        </w:rPr>
        <w:t>Abulfotooh</w:t>
      </w:r>
      <w:proofErr w:type="spellEnd"/>
      <w:r w:rsidR="002F21A7">
        <w:rPr>
          <w:rFonts w:ascii="Times New Roman" w:eastAsia="Calibri" w:hAnsi="Times New Roman" w:cs="Times New Roman"/>
          <w:kern w:val="0"/>
          <w:sz w:val="24"/>
          <w:szCs w:val="24"/>
          <w:lang w:val="en-US"/>
        </w:rPr>
        <w:t xml:space="preserve"> A, Moussa AA, Ali GA. Factors determining the amount of residual urine in men with bladder outlet obstruction: Could it be a predictor for bladder contractility? Arab J Urol. 2014; 12(3):214–8. </w:t>
      </w:r>
    </w:p>
    <w:p w14:paraId="6731B684" w14:textId="77777777" w:rsidR="000E4DFA" w:rsidRDefault="008F0B2C" w:rsidP="008F0B2C">
      <w:pPr>
        <w:widowControl w:val="0"/>
        <w:spacing w:before="100" w:line="480" w:lineRule="auto"/>
        <w:rPr>
          <w:rFonts w:ascii="Times New Roman" w:hAnsi="Times New Roman" w:cs="Times New Roman"/>
          <w:sz w:val="24"/>
          <w:szCs w:val="24"/>
          <w:lang w:val="en-US"/>
        </w:rPr>
      </w:pPr>
      <w:r>
        <w:rPr>
          <w:rFonts w:ascii="Times New Roman" w:eastAsia="Calibri" w:hAnsi="Times New Roman" w:cs="Times New Roman"/>
          <w:kern w:val="0"/>
          <w:sz w:val="24"/>
          <w:szCs w:val="24"/>
          <w:lang w:val="en-US"/>
        </w:rPr>
        <w:t xml:space="preserve">7. </w:t>
      </w:r>
      <w:proofErr w:type="spellStart"/>
      <w:r w:rsidR="002F21A7">
        <w:rPr>
          <w:rFonts w:ascii="Times New Roman" w:eastAsia="Calibri" w:hAnsi="Times New Roman" w:cs="Times New Roman"/>
          <w:kern w:val="0"/>
          <w:sz w:val="24"/>
          <w:szCs w:val="24"/>
          <w:lang w:val="en-US"/>
        </w:rPr>
        <w:t>ElSaied</w:t>
      </w:r>
      <w:proofErr w:type="spellEnd"/>
      <w:r w:rsidR="002F21A7">
        <w:rPr>
          <w:rFonts w:ascii="Times New Roman" w:eastAsia="Calibri" w:hAnsi="Times New Roman" w:cs="Times New Roman"/>
          <w:kern w:val="0"/>
          <w:sz w:val="24"/>
          <w:szCs w:val="24"/>
          <w:lang w:val="en-US"/>
        </w:rPr>
        <w:t xml:space="preserve"> W, </w:t>
      </w:r>
      <w:proofErr w:type="spellStart"/>
      <w:r w:rsidR="002F21A7">
        <w:rPr>
          <w:rFonts w:ascii="Times New Roman" w:eastAsia="Calibri" w:hAnsi="Times New Roman" w:cs="Times New Roman"/>
          <w:kern w:val="0"/>
          <w:sz w:val="24"/>
          <w:szCs w:val="24"/>
          <w:lang w:val="en-US"/>
        </w:rPr>
        <w:t>Mosharafa</w:t>
      </w:r>
      <w:proofErr w:type="spellEnd"/>
      <w:r w:rsidR="002F21A7">
        <w:rPr>
          <w:rFonts w:ascii="Times New Roman" w:eastAsia="Calibri" w:hAnsi="Times New Roman" w:cs="Times New Roman"/>
          <w:kern w:val="0"/>
          <w:sz w:val="24"/>
          <w:szCs w:val="24"/>
          <w:lang w:val="en-US"/>
        </w:rPr>
        <w:t xml:space="preserve"> A, </w:t>
      </w:r>
      <w:proofErr w:type="spellStart"/>
      <w:r w:rsidR="002F21A7">
        <w:rPr>
          <w:rFonts w:ascii="Times New Roman" w:eastAsia="Calibri" w:hAnsi="Times New Roman" w:cs="Times New Roman"/>
          <w:kern w:val="0"/>
          <w:sz w:val="24"/>
          <w:szCs w:val="24"/>
          <w:lang w:val="en-US"/>
        </w:rPr>
        <w:t>ElFayoumy</w:t>
      </w:r>
      <w:proofErr w:type="spellEnd"/>
      <w:r w:rsidR="002F21A7">
        <w:rPr>
          <w:rFonts w:ascii="Times New Roman" w:eastAsia="Calibri" w:hAnsi="Times New Roman" w:cs="Times New Roman"/>
          <w:kern w:val="0"/>
          <w:sz w:val="24"/>
          <w:szCs w:val="24"/>
          <w:lang w:val="en-US"/>
        </w:rPr>
        <w:t xml:space="preserve"> H, </w:t>
      </w:r>
      <w:proofErr w:type="spellStart"/>
      <w:r w:rsidR="002F21A7">
        <w:rPr>
          <w:rFonts w:ascii="Times New Roman" w:eastAsia="Calibri" w:hAnsi="Times New Roman" w:cs="Times New Roman"/>
          <w:kern w:val="0"/>
          <w:sz w:val="24"/>
          <w:szCs w:val="24"/>
          <w:lang w:val="en-US"/>
        </w:rPr>
        <w:t>ElGhoniemy</w:t>
      </w:r>
      <w:proofErr w:type="spellEnd"/>
      <w:r w:rsidR="002F21A7">
        <w:rPr>
          <w:rFonts w:ascii="Times New Roman" w:eastAsia="Calibri" w:hAnsi="Times New Roman" w:cs="Times New Roman"/>
          <w:kern w:val="0"/>
          <w:sz w:val="24"/>
          <w:szCs w:val="24"/>
          <w:lang w:val="en-US"/>
        </w:rPr>
        <w:t xml:space="preserve"> M, </w:t>
      </w:r>
      <w:proofErr w:type="spellStart"/>
      <w:r w:rsidR="002F21A7">
        <w:rPr>
          <w:rFonts w:ascii="Times New Roman" w:eastAsia="Calibri" w:hAnsi="Times New Roman" w:cs="Times New Roman"/>
          <w:kern w:val="0"/>
          <w:sz w:val="24"/>
          <w:szCs w:val="24"/>
          <w:lang w:val="en-US"/>
        </w:rPr>
        <w:t>Ziada</w:t>
      </w:r>
      <w:proofErr w:type="spellEnd"/>
      <w:r w:rsidR="002F21A7">
        <w:rPr>
          <w:rFonts w:ascii="Times New Roman" w:eastAsia="Calibri" w:hAnsi="Times New Roman" w:cs="Times New Roman"/>
          <w:kern w:val="0"/>
          <w:sz w:val="24"/>
          <w:szCs w:val="24"/>
          <w:lang w:val="en-US"/>
        </w:rPr>
        <w:t xml:space="preserve"> A, </w:t>
      </w:r>
      <w:proofErr w:type="spellStart"/>
      <w:r w:rsidR="002F21A7">
        <w:rPr>
          <w:rFonts w:ascii="Times New Roman" w:eastAsia="Calibri" w:hAnsi="Times New Roman" w:cs="Times New Roman"/>
          <w:kern w:val="0"/>
          <w:sz w:val="24"/>
          <w:szCs w:val="24"/>
          <w:lang w:val="en-US"/>
        </w:rPr>
        <w:t>ElGhamrawy</w:t>
      </w:r>
      <w:proofErr w:type="spellEnd"/>
      <w:r w:rsidR="002F21A7">
        <w:rPr>
          <w:rFonts w:ascii="Times New Roman" w:eastAsia="Calibri" w:hAnsi="Times New Roman" w:cs="Times New Roman"/>
          <w:kern w:val="0"/>
          <w:sz w:val="24"/>
          <w:szCs w:val="24"/>
          <w:lang w:val="en-US"/>
        </w:rPr>
        <w:t xml:space="preserve"> H, et al. Detrusor wall thickness compared to other non-invasive methods in diagnosing men with bladder outlet obstruction: A prospective controlled study. African J Urol. 2013; 19(4):160–4. </w:t>
      </w:r>
    </w:p>
    <w:p w14:paraId="7933C52F"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 xml:space="preserve">8. State Population, 2006 - Nigeria Data Portal. Available from: </w:t>
      </w:r>
      <w:hyperlink r:id="rId14" w:history="1">
        <w:r>
          <w:rPr>
            <w:rStyle w:val="Hyperlink"/>
            <w:rFonts w:ascii="Times New Roman" w:eastAsia="Calibri" w:hAnsi="Times New Roman" w:cs="Times New Roman"/>
            <w:kern w:val="0"/>
            <w:sz w:val="24"/>
            <w:szCs w:val="24"/>
            <w:lang w:val="en-US"/>
          </w:rPr>
          <w:t>https://nigeria.opendataforafrica.org/ifpbxbd/state-population-2006</w:t>
        </w:r>
      </w:hyperlink>
    </w:p>
    <w:p w14:paraId="5220971B"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9.Israel, G.D. (1992) Determining Sample Size. University of Florida Cooperative Extension Service, Institute of Food and Agriculture Sciences, EDIS, Florida. - References - Scientific Research Publishing 1992.</w:t>
      </w:r>
    </w:p>
    <w:p w14:paraId="4751CA8A"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 xml:space="preserve">10.Nnabugwu II, </w:t>
      </w:r>
      <w:proofErr w:type="spellStart"/>
      <w:r>
        <w:rPr>
          <w:rFonts w:ascii="Times New Roman" w:eastAsia="Calibri" w:hAnsi="Times New Roman" w:cs="Times New Roman"/>
          <w:kern w:val="0"/>
          <w:sz w:val="24"/>
          <w:szCs w:val="24"/>
          <w:lang w:val="en-US"/>
        </w:rPr>
        <w:t>Okoronkwo</w:t>
      </w:r>
      <w:proofErr w:type="spellEnd"/>
      <w:r>
        <w:rPr>
          <w:rFonts w:ascii="Times New Roman" w:eastAsia="Calibri" w:hAnsi="Times New Roman" w:cs="Times New Roman"/>
          <w:kern w:val="0"/>
          <w:sz w:val="24"/>
          <w:szCs w:val="24"/>
          <w:lang w:val="en-US"/>
        </w:rPr>
        <w:t xml:space="preserve"> IL, </w:t>
      </w:r>
      <w:proofErr w:type="spellStart"/>
      <w:r>
        <w:rPr>
          <w:rFonts w:ascii="Times New Roman" w:eastAsia="Calibri" w:hAnsi="Times New Roman" w:cs="Times New Roman"/>
          <w:kern w:val="0"/>
          <w:sz w:val="24"/>
          <w:szCs w:val="24"/>
          <w:lang w:val="en-US"/>
        </w:rPr>
        <w:t>Nnabugwu</w:t>
      </w:r>
      <w:proofErr w:type="spellEnd"/>
      <w:r>
        <w:rPr>
          <w:rFonts w:ascii="Times New Roman" w:eastAsia="Calibri" w:hAnsi="Times New Roman" w:cs="Times New Roman"/>
          <w:kern w:val="0"/>
          <w:sz w:val="24"/>
          <w:szCs w:val="24"/>
          <w:lang w:val="en-US"/>
        </w:rPr>
        <w:t xml:space="preserve"> CA. Lower urinary tract symptoms in men: challenges to early hospital presentation in a resource-poor health system. BMC </w:t>
      </w:r>
      <w:proofErr w:type="spellStart"/>
      <w:r>
        <w:rPr>
          <w:rFonts w:ascii="Times New Roman" w:eastAsia="Calibri" w:hAnsi="Times New Roman" w:cs="Times New Roman"/>
          <w:kern w:val="0"/>
          <w:sz w:val="24"/>
          <w:szCs w:val="24"/>
          <w:lang w:val="en-US"/>
        </w:rPr>
        <w:t>Urol</w:t>
      </w:r>
      <w:proofErr w:type="spellEnd"/>
      <w:r>
        <w:rPr>
          <w:rFonts w:ascii="Times New Roman" w:eastAsia="Calibri" w:hAnsi="Times New Roman" w:cs="Times New Roman"/>
          <w:kern w:val="0"/>
          <w:sz w:val="24"/>
          <w:szCs w:val="24"/>
          <w:lang w:val="en-US"/>
        </w:rPr>
        <w:t xml:space="preserve"> 2020; 20(1):1–7.</w:t>
      </w:r>
    </w:p>
    <w:p w14:paraId="27D3E0E8" w14:textId="77777777" w:rsidR="000E4DFA" w:rsidRDefault="002F21A7" w:rsidP="008F0B2C">
      <w:pPr>
        <w:widowControl w:val="0"/>
        <w:spacing w:before="100" w:line="480" w:lineRule="auto"/>
        <w:rPr>
          <w:rFonts w:ascii="Times New Roman" w:eastAsia="Times New Roman" w:hAnsi="Times New Roman" w:cs="Times New Roman"/>
          <w:color w:val="0563C1"/>
          <w:kern w:val="0"/>
          <w:sz w:val="24"/>
          <w:szCs w:val="24"/>
          <w:u w:val="single"/>
          <w:lang w:eastAsia="en-GB"/>
        </w:rPr>
      </w:pPr>
      <w:r>
        <w:rPr>
          <w:rFonts w:ascii="Times New Roman" w:eastAsia="Calibri" w:hAnsi="Times New Roman" w:cs="Times New Roman"/>
          <w:kern w:val="0"/>
          <w:sz w:val="24"/>
          <w:szCs w:val="24"/>
          <w:lang w:val="en-US"/>
        </w:rPr>
        <w:t>11.</w:t>
      </w:r>
      <w:r>
        <w:rPr>
          <w:rFonts w:ascii="Times New Roman" w:eastAsia="Times New Roman" w:hAnsi="Times New Roman" w:cs="Times New Roman"/>
          <w:color w:val="000000"/>
          <w:kern w:val="0"/>
          <w:sz w:val="24"/>
          <w:szCs w:val="24"/>
          <w:lang w:eastAsia="en-GB"/>
        </w:rPr>
        <w:t xml:space="preserve">Ng M, Leslie SW, </w:t>
      </w:r>
      <w:proofErr w:type="spellStart"/>
      <w:r>
        <w:rPr>
          <w:rFonts w:ascii="Times New Roman" w:eastAsia="Times New Roman" w:hAnsi="Times New Roman" w:cs="Times New Roman"/>
          <w:color w:val="000000"/>
          <w:kern w:val="0"/>
          <w:sz w:val="24"/>
          <w:szCs w:val="24"/>
          <w:lang w:eastAsia="en-GB"/>
        </w:rPr>
        <w:t>Baradhi</w:t>
      </w:r>
      <w:proofErr w:type="spellEnd"/>
      <w:r>
        <w:rPr>
          <w:rFonts w:ascii="Times New Roman" w:eastAsia="Times New Roman" w:hAnsi="Times New Roman" w:cs="Times New Roman"/>
          <w:color w:val="000000"/>
          <w:kern w:val="0"/>
          <w:sz w:val="24"/>
          <w:szCs w:val="24"/>
          <w:lang w:eastAsia="en-GB"/>
        </w:rPr>
        <w:t xml:space="preserve"> KM. Benign Prostatic Hyperplasia [Internet]. </w:t>
      </w:r>
      <w:proofErr w:type="spellStart"/>
      <w:r>
        <w:rPr>
          <w:rFonts w:ascii="Times New Roman" w:eastAsia="Times New Roman" w:hAnsi="Times New Roman" w:cs="Times New Roman"/>
          <w:color w:val="000000"/>
          <w:kern w:val="0"/>
          <w:sz w:val="24"/>
          <w:szCs w:val="24"/>
          <w:lang w:eastAsia="en-GB"/>
        </w:rPr>
        <w:t>StatPearls</w:t>
      </w:r>
      <w:proofErr w:type="spellEnd"/>
      <w:r>
        <w:rPr>
          <w:rFonts w:ascii="Times New Roman" w:eastAsia="Times New Roman" w:hAnsi="Times New Roman" w:cs="Times New Roman"/>
          <w:color w:val="000000"/>
          <w:kern w:val="0"/>
          <w:sz w:val="24"/>
          <w:szCs w:val="24"/>
          <w:lang w:eastAsia="en-GB"/>
        </w:rPr>
        <w:t xml:space="preserve"> - NCBI Bookshelf. 2024. Available from: </w:t>
      </w:r>
      <w:hyperlink r:id="rId15" w:history="1">
        <w:r>
          <w:rPr>
            <w:rFonts w:ascii="Times New Roman" w:eastAsia="Times New Roman" w:hAnsi="Times New Roman" w:cs="Times New Roman"/>
            <w:color w:val="0563C1"/>
            <w:kern w:val="0"/>
            <w:sz w:val="24"/>
            <w:szCs w:val="24"/>
            <w:u w:val="single"/>
            <w:lang w:eastAsia="en-GB"/>
          </w:rPr>
          <w:t>https://www.ncbi.nlm.nih.gov/books/NBK558920/</w:t>
        </w:r>
      </w:hyperlink>
    </w:p>
    <w:p w14:paraId="0667F6C8" w14:textId="77777777" w:rsidR="000E4DFA" w:rsidRDefault="002F21A7" w:rsidP="008F0B2C">
      <w:pPr>
        <w:spacing w:after="0" w:line="480" w:lineRule="auto"/>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563C1"/>
          <w:kern w:val="0"/>
          <w:sz w:val="24"/>
          <w:szCs w:val="24"/>
          <w:u w:val="single"/>
          <w:lang w:val="en-US" w:eastAsia="en-GB"/>
        </w:rPr>
        <w:t>12.</w:t>
      </w:r>
      <w:r w:rsidR="008F0B2C">
        <w:rPr>
          <w:rFonts w:ascii="Times New Roman" w:eastAsia="Times New Roman" w:hAnsi="Times New Roman" w:cs="Times New Roman"/>
          <w:color w:val="0563C1"/>
          <w:kern w:val="0"/>
          <w:sz w:val="24"/>
          <w:szCs w:val="24"/>
          <w:u w:val="single"/>
          <w:lang w:val="en-US" w:eastAsia="en-GB"/>
        </w:rPr>
        <w:t xml:space="preserve"> </w:t>
      </w:r>
      <w:r>
        <w:rPr>
          <w:rFonts w:ascii="Times New Roman" w:eastAsia="Times New Roman" w:hAnsi="Times New Roman" w:cs="Times New Roman"/>
          <w:color w:val="000000"/>
          <w:kern w:val="0"/>
          <w:sz w:val="24"/>
          <w:szCs w:val="24"/>
          <w:lang w:val="de-DE" w:eastAsia="en-GB"/>
        </w:rPr>
        <w:t xml:space="preserve">Abdelmoteleb H, Jefferies ER, Drake MJ. </w:t>
      </w:r>
      <w:r>
        <w:rPr>
          <w:rFonts w:ascii="Times New Roman" w:eastAsia="Times New Roman" w:hAnsi="Times New Roman" w:cs="Times New Roman"/>
          <w:color w:val="000000"/>
          <w:kern w:val="0"/>
          <w:sz w:val="24"/>
          <w:szCs w:val="24"/>
          <w:lang w:eastAsia="en-GB"/>
        </w:rPr>
        <w:t xml:space="preserve">Assessment and management of male lower urinary tract symptoms (LUTS). International Journal of Surgery [Internet]. 2016 Jan </w:t>
      </w:r>
      <w:proofErr w:type="gramStart"/>
      <w:r>
        <w:rPr>
          <w:rFonts w:ascii="Times New Roman" w:eastAsia="Times New Roman" w:hAnsi="Times New Roman" w:cs="Times New Roman"/>
          <w:color w:val="000000"/>
          <w:kern w:val="0"/>
          <w:sz w:val="24"/>
          <w:szCs w:val="24"/>
          <w:lang w:eastAsia="en-GB"/>
        </w:rPr>
        <w:t>1;25:164</w:t>
      </w:r>
      <w:proofErr w:type="gramEnd"/>
      <w:r>
        <w:rPr>
          <w:rFonts w:ascii="Times New Roman" w:eastAsia="Times New Roman" w:hAnsi="Times New Roman" w:cs="Times New Roman"/>
          <w:color w:val="000000"/>
          <w:kern w:val="0"/>
          <w:sz w:val="24"/>
          <w:szCs w:val="24"/>
          <w:lang w:eastAsia="en-GB"/>
        </w:rPr>
        <w:t xml:space="preserve">–71. Available from: </w:t>
      </w:r>
      <w:hyperlink r:id="rId16" w:history="1">
        <w:r>
          <w:rPr>
            <w:rFonts w:ascii="Times New Roman" w:eastAsia="Times New Roman" w:hAnsi="Times New Roman" w:cs="Times New Roman"/>
            <w:color w:val="0563C1"/>
            <w:kern w:val="0"/>
            <w:sz w:val="24"/>
            <w:szCs w:val="24"/>
            <w:u w:val="single"/>
            <w:lang w:eastAsia="en-GB"/>
          </w:rPr>
          <w:t>https://doi.org/10.1016/j.ijsu.2015.11.043</w:t>
        </w:r>
      </w:hyperlink>
    </w:p>
    <w:p w14:paraId="5D73099B" w14:textId="77777777" w:rsidR="000E4DFA" w:rsidRDefault="002F21A7" w:rsidP="008F0B2C">
      <w:pPr>
        <w:widowControl w:val="0"/>
        <w:spacing w:before="100" w:line="480" w:lineRule="auto"/>
        <w:rPr>
          <w:rFonts w:ascii="Times New Roman" w:eastAsia="Times New Roman" w:hAnsi="Times New Roman" w:cs="Times New Roman"/>
          <w:color w:val="0563C1"/>
          <w:kern w:val="0"/>
          <w:sz w:val="24"/>
          <w:szCs w:val="24"/>
          <w:u w:val="single"/>
          <w:lang w:eastAsia="en-GB"/>
        </w:rPr>
      </w:pPr>
      <w:r>
        <w:rPr>
          <w:rFonts w:ascii="Times New Roman" w:eastAsia="Times New Roman" w:hAnsi="Times New Roman" w:cs="Times New Roman"/>
          <w:color w:val="0563C1"/>
          <w:kern w:val="0"/>
          <w:sz w:val="24"/>
          <w:szCs w:val="24"/>
          <w:u w:val="single"/>
          <w:lang w:val="en-US" w:eastAsia="en-GB"/>
        </w:rPr>
        <w:t>13.</w:t>
      </w:r>
      <w:r w:rsidR="008F0B2C">
        <w:rPr>
          <w:rFonts w:ascii="Times New Roman" w:eastAsia="Times New Roman" w:hAnsi="Times New Roman" w:cs="Times New Roman"/>
          <w:color w:val="0563C1"/>
          <w:kern w:val="0"/>
          <w:sz w:val="24"/>
          <w:szCs w:val="24"/>
          <w:u w:val="single"/>
          <w:lang w:val="en-US" w:eastAsia="en-GB"/>
        </w:rPr>
        <w:t xml:space="preserve"> </w:t>
      </w:r>
      <w:r>
        <w:rPr>
          <w:rFonts w:ascii="Times New Roman" w:eastAsia="Times New Roman" w:hAnsi="Times New Roman" w:cs="Times New Roman"/>
          <w:color w:val="000000"/>
          <w:kern w:val="0"/>
          <w:sz w:val="24"/>
          <w:szCs w:val="24"/>
          <w:lang w:eastAsia="en-GB"/>
        </w:rPr>
        <w:t xml:space="preserve">Bhattarai K, Khadka H, Thapa BR, </w:t>
      </w:r>
      <w:proofErr w:type="spellStart"/>
      <w:r>
        <w:rPr>
          <w:rFonts w:ascii="Times New Roman" w:eastAsia="Times New Roman" w:hAnsi="Times New Roman" w:cs="Times New Roman"/>
          <w:color w:val="000000"/>
          <w:kern w:val="0"/>
          <w:sz w:val="24"/>
          <w:szCs w:val="24"/>
          <w:lang w:eastAsia="en-GB"/>
        </w:rPr>
        <w:t>Katwal</w:t>
      </w:r>
      <w:proofErr w:type="spellEnd"/>
      <w:r>
        <w:rPr>
          <w:rFonts w:ascii="Times New Roman" w:eastAsia="Times New Roman" w:hAnsi="Times New Roman" w:cs="Times New Roman"/>
          <w:color w:val="000000"/>
          <w:kern w:val="0"/>
          <w:sz w:val="24"/>
          <w:szCs w:val="24"/>
          <w:lang w:eastAsia="en-GB"/>
        </w:rPr>
        <w:t xml:space="preserve"> S. Association of detrusor wall </w:t>
      </w:r>
      <w:r>
        <w:rPr>
          <w:rFonts w:ascii="Times New Roman" w:eastAsia="Times New Roman" w:hAnsi="Times New Roman" w:cs="Times New Roman"/>
          <w:color w:val="000000"/>
          <w:kern w:val="0"/>
          <w:sz w:val="24"/>
          <w:szCs w:val="24"/>
          <w:lang w:eastAsia="en-GB"/>
        </w:rPr>
        <w:lastRenderedPageBreak/>
        <w:t>thickness (DWT) with lower urinary tract symptom severity in benign prostatic hyperplasia: a cross-sectional study. Annals of Medicine and Surgery [Internet]. 2024 Apr17;86(6):3249–</w:t>
      </w:r>
      <w:proofErr w:type="gramStart"/>
      <w:r>
        <w:rPr>
          <w:rFonts w:ascii="Times New Roman" w:eastAsia="Times New Roman" w:hAnsi="Times New Roman" w:cs="Times New Roman"/>
          <w:color w:val="000000"/>
          <w:kern w:val="0"/>
          <w:sz w:val="24"/>
          <w:szCs w:val="24"/>
          <w:lang w:eastAsia="en-GB"/>
        </w:rPr>
        <w:t>54.</w:t>
      </w:r>
      <w:r>
        <w:rPr>
          <w:rFonts w:ascii="Times New Roman" w:eastAsia="Times New Roman" w:hAnsi="Times New Roman" w:cs="Times New Roman"/>
          <w:color w:val="000000"/>
          <w:kern w:val="0"/>
          <w:sz w:val="24"/>
          <w:szCs w:val="24"/>
          <w:lang w:val="en-US" w:eastAsia="en-GB"/>
        </w:rPr>
        <w:t>Available</w:t>
      </w:r>
      <w:proofErr w:type="gramEnd"/>
      <w:r>
        <w:rPr>
          <w:rFonts w:ascii="Times New Roman" w:eastAsia="Times New Roman" w:hAnsi="Times New Roman" w:cs="Times New Roman"/>
          <w:color w:val="000000"/>
          <w:kern w:val="0"/>
          <w:sz w:val="24"/>
          <w:szCs w:val="24"/>
          <w:lang w:val="en-US" w:eastAsia="en-GB"/>
        </w:rPr>
        <w:t xml:space="preserve"> from</w:t>
      </w:r>
      <w:r>
        <w:rPr>
          <w:rFonts w:ascii="Times New Roman" w:eastAsia="Times New Roman" w:hAnsi="Times New Roman" w:cs="Times New Roman"/>
          <w:color w:val="000000"/>
          <w:kern w:val="0"/>
          <w:sz w:val="24"/>
          <w:szCs w:val="24"/>
          <w:lang w:eastAsia="en-GB"/>
        </w:rPr>
        <w:t>:</w:t>
      </w:r>
      <w:hyperlink r:id="rId17" w:history="1">
        <w:r>
          <w:rPr>
            <w:rFonts w:ascii="Times New Roman" w:eastAsia="Times New Roman" w:hAnsi="Times New Roman" w:cs="Times New Roman"/>
            <w:color w:val="0563C1"/>
            <w:kern w:val="0"/>
            <w:sz w:val="24"/>
            <w:szCs w:val="24"/>
            <w:u w:val="single"/>
            <w:lang w:eastAsia="en-GB"/>
          </w:rPr>
          <w:t>https://doi.org/10.1097/ms9.0000000000002062</w:t>
        </w:r>
      </w:hyperlink>
    </w:p>
    <w:p w14:paraId="21446CEE"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Times New Roman" w:hAnsi="Times New Roman" w:cs="Times New Roman"/>
          <w:color w:val="0563C1"/>
          <w:kern w:val="0"/>
          <w:sz w:val="24"/>
          <w:szCs w:val="24"/>
          <w:u w:val="single"/>
          <w:lang w:val="en-US" w:eastAsia="en-GB"/>
        </w:rPr>
        <w:t>14.</w:t>
      </w:r>
      <w:r w:rsidR="008F0B2C">
        <w:rPr>
          <w:rFonts w:ascii="Times New Roman" w:eastAsia="Times New Roman" w:hAnsi="Times New Roman" w:cs="Times New Roman"/>
          <w:color w:val="0563C1"/>
          <w:kern w:val="0"/>
          <w:sz w:val="24"/>
          <w:szCs w:val="24"/>
          <w:u w:val="single"/>
          <w:lang w:val="en-US" w:eastAsia="en-GB"/>
        </w:rPr>
        <w:t xml:space="preserve"> </w:t>
      </w:r>
      <w:r>
        <w:rPr>
          <w:rFonts w:ascii="Times New Roman" w:eastAsia="Calibri" w:hAnsi="Times New Roman" w:cs="Times New Roman"/>
          <w:kern w:val="0"/>
          <w:sz w:val="24"/>
          <w:szCs w:val="24"/>
          <w:lang w:val="en-US"/>
        </w:rPr>
        <w:t xml:space="preserve">Petras JM, Cummings JF. Sympathetic and parasympathetic innervation of the urinary bladder and urethra. Brain Res. 1978 Sep 22; 153(2):363–9. </w:t>
      </w:r>
    </w:p>
    <w:p w14:paraId="5913B655"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Times New Roman" w:hAnsi="Times New Roman" w:cs="Times New Roman"/>
          <w:color w:val="0563C1"/>
          <w:kern w:val="0"/>
          <w:sz w:val="24"/>
          <w:szCs w:val="24"/>
          <w:u w:val="single"/>
          <w:lang w:val="en-US" w:eastAsia="en-GB"/>
        </w:rPr>
        <w:t>15.</w:t>
      </w:r>
      <w:r w:rsidR="008F0B2C">
        <w:rPr>
          <w:rFonts w:ascii="Times New Roman" w:eastAsia="Times New Roman" w:hAnsi="Times New Roman" w:cs="Times New Roman"/>
          <w:color w:val="0563C1"/>
          <w:kern w:val="0"/>
          <w:sz w:val="24"/>
          <w:szCs w:val="24"/>
          <w:u w:val="single"/>
          <w:lang w:val="en-US" w:eastAsia="en-GB"/>
        </w:rPr>
        <w:t xml:space="preserve"> </w:t>
      </w:r>
      <w:r>
        <w:rPr>
          <w:rFonts w:ascii="Times New Roman" w:eastAsia="Calibri" w:hAnsi="Times New Roman" w:cs="Times New Roman"/>
          <w:kern w:val="0"/>
          <w:sz w:val="24"/>
          <w:szCs w:val="24"/>
          <w:lang w:val="en-US"/>
        </w:rPr>
        <w:t xml:space="preserve">Amu OC, Udeh EI, Ugochukwu AI, </w:t>
      </w:r>
      <w:proofErr w:type="spellStart"/>
      <w:r>
        <w:rPr>
          <w:rFonts w:ascii="Times New Roman" w:eastAsia="Calibri" w:hAnsi="Times New Roman" w:cs="Times New Roman"/>
          <w:kern w:val="0"/>
          <w:sz w:val="24"/>
          <w:szCs w:val="24"/>
          <w:lang w:val="en-US"/>
        </w:rPr>
        <w:t>Dakum</w:t>
      </w:r>
      <w:proofErr w:type="spellEnd"/>
      <w:r>
        <w:rPr>
          <w:rFonts w:ascii="Times New Roman" w:eastAsia="Calibri" w:hAnsi="Times New Roman" w:cs="Times New Roman"/>
          <w:kern w:val="0"/>
          <w:sz w:val="24"/>
          <w:szCs w:val="24"/>
          <w:lang w:val="en-US"/>
        </w:rPr>
        <w:t xml:space="preserve"> NK, </w:t>
      </w:r>
      <w:proofErr w:type="spellStart"/>
      <w:r>
        <w:rPr>
          <w:rFonts w:ascii="Times New Roman" w:eastAsia="Calibri" w:hAnsi="Times New Roman" w:cs="Times New Roman"/>
          <w:kern w:val="0"/>
          <w:sz w:val="24"/>
          <w:szCs w:val="24"/>
          <w:lang w:val="en-US"/>
        </w:rPr>
        <w:t>Ramyil</w:t>
      </w:r>
      <w:proofErr w:type="spellEnd"/>
      <w:r>
        <w:rPr>
          <w:rFonts w:ascii="Times New Roman" w:eastAsia="Calibri" w:hAnsi="Times New Roman" w:cs="Times New Roman"/>
          <w:kern w:val="0"/>
          <w:sz w:val="24"/>
          <w:szCs w:val="24"/>
          <w:lang w:val="en-US"/>
        </w:rPr>
        <w:t xml:space="preserve"> VM. The value of international prostate symptom scoring system in the management of </w:t>
      </w:r>
      <w:proofErr w:type="spellStart"/>
      <w:r>
        <w:rPr>
          <w:rFonts w:ascii="Times New Roman" w:eastAsia="Calibri" w:hAnsi="Times New Roman" w:cs="Times New Roman"/>
          <w:kern w:val="0"/>
          <w:sz w:val="24"/>
          <w:szCs w:val="24"/>
          <w:lang w:val="en-US"/>
        </w:rPr>
        <w:t>bph</w:t>
      </w:r>
      <w:proofErr w:type="spellEnd"/>
      <w:r>
        <w:rPr>
          <w:rFonts w:ascii="Times New Roman" w:eastAsia="Calibri" w:hAnsi="Times New Roman" w:cs="Times New Roman"/>
          <w:kern w:val="0"/>
          <w:sz w:val="24"/>
          <w:szCs w:val="24"/>
          <w:lang w:val="en-US"/>
        </w:rPr>
        <w:t xml:space="preserve"> in </w:t>
      </w:r>
      <w:proofErr w:type="spellStart"/>
      <w:r>
        <w:rPr>
          <w:rFonts w:ascii="Times New Roman" w:eastAsia="Calibri" w:hAnsi="Times New Roman" w:cs="Times New Roman"/>
          <w:kern w:val="0"/>
          <w:sz w:val="24"/>
          <w:szCs w:val="24"/>
          <w:lang w:val="en-US"/>
        </w:rPr>
        <w:t>jos</w:t>
      </w:r>
      <w:proofErr w:type="spellEnd"/>
      <w:r>
        <w:rPr>
          <w:rFonts w:ascii="Times New Roman" w:eastAsia="Calibri" w:hAnsi="Times New Roman" w:cs="Times New Roman"/>
          <w:kern w:val="0"/>
          <w:sz w:val="24"/>
          <w:szCs w:val="24"/>
          <w:lang w:val="en-US"/>
        </w:rPr>
        <w:t xml:space="preserve">, </w:t>
      </w:r>
      <w:proofErr w:type="spellStart"/>
      <w:r>
        <w:rPr>
          <w:rFonts w:ascii="Times New Roman" w:eastAsia="Calibri" w:hAnsi="Times New Roman" w:cs="Times New Roman"/>
          <w:kern w:val="0"/>
          <w:sz w:val="24"/>
          <w:szCs w:val="24"/>
          <w:lang w:val="en-US"/>
        </w:rPr>
        <w:t>nigeria</w:t>
      </w:r>
      <w:proofErr w:type="spellEnd"/>
      <w:r>
        <w:rPr>
          <w:rFonts w:ascii="Times New Roman" w:eastAsia="Calibri" w:hAnsi="Times New Roman" w:cs="Times New Roman"/>
          <w:kern w:val="0"/>
          <w:sz w:val="24"/>
          <w:szCs w:val="24"/>
          <w:lang w:val="en-US"/>
        </w:rPr>
        <w:t xml:space="preserve">. Niger J Clin </w:t>
      </w:r>
      <w:proofErr w:type="spellStart"/>
      <w:r>
        <w:rPr>
          <w:rFonts w:ascii="Times New Roman" w:eastAsia="Calibri" w:hAnsi="Times New Roman" w:cs="Times New Roman"/>
          <w:kern w:val="0"/>
          <w:sz w:val="24"/>
          <w:szCs w:val="24"/>
          <w:lang w:val="en-US"/>
        </w:rPr>
        <w:t>Pract</w:t>
      </w:r>
      <w:proofErr w:type="spellEnd"/>
      <w:r>
        <w:rPr>
          <w:rFonts w:ascii="Times New Roman" w:eastAsia="Calibri" w:hAnsi="Times New Roman" w:cs="Times New Roman"/>
          <w:kern w:val="0"/>
          <w:sz w:val="24"/>
          <w:szCs w:val="24"/>
          <w:lang w:val="en-US"/>
        </w:rPr>
        <w:t>. 2013 Jul;16(3):273–8</w:t>
      </w:r>
    </w:p>
    <w:p w14:paraId="6446CCD8"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16.</w:t>
      </w:r>
      <w:r w:rsidR="008F0B2C">
        <w:rPr>
          <w:rFonts w:ascii="Times New Roman" w:eastAsia="Calibri" w:hAnsi="Times New Roman" w:cs="Times New Roman"/>
          <w:kern w:val="0"/>
          <w:sz w:val="24"/>
          <w:szCs w:val="24"/>
          <w:lang w:val="en-US"/>
        </w:rPr>
        <w:t xml:space="preserve"> </w:t>
      </w:r>
      <w:r>
        <w:rPr>
          <w:rFonts w:ascii="Times New Roman" w:eastAsia="Calibri" w:hAnsi="Times New Roman" w:cs="Times New Roman"/>
          <w:kern w:val="0"/>
          <w:sz w:val="24"/>
          <w:szCs w:val="24"/>
          <w:lang w:val="en-US"/>
        </w:rPr>
        <w:t>Bassey, Ima-</w:t>
      </w:r>
      <w:proofErr w:type="spellStart"/>
      <w:r>
        <w:rPr>
          <w:rFonts w:ascii="Times New Roman" w:eastAsia="Calibri" w:hAnsi="Times New Roman" w:cs="Times New Roman"/>
          <w:kern w:val="0"/>
          <w:sz w:val="24"/>
          <w:szCs w:val="24"/>
          <w:lang w:val="en-US"/>
        </w:rPr>
        <w:t>Abasi</w:t>
      </w:r>
      <w:proofErr w:type="spellEnd"/>
      <w:r>
        <w:rPr>
          <w:rFonts w:ascii="Times New Roman" w:eastAsia="Calibri" w:hAnsi="Times New Roman" w:cs="Times New Roman"/>
          <w:kern w:val="0"/>
          <w:sz w:val="24"/>
          <w:szCs w:val="24"/>
          <w:lang w:val="en-US"/>
        </w:rPr>
        <w:t xml:space="preserve"> &amp; </w:t>
      </w:r>
      <w:proofErr w:type="spellStart"/>
      <w:r>
        <w:rPr>
          <w:rFonts w:ascii="Times New Roman" w:eastAsia="Calibri" w:hAnsi="Times New Roman" w:cs="Times New Roman"/>
          <w:kern w:val="0"/>
          <w:sz w:val="24"/>
          <w:szCs w:val="24"/>
          <w:lang w:val="en-US"/>
        </w:rPr>
        <w:t>Isiwele</w:t>
      </w:r>
      <w:proofErr w:type="spellEnd"/>
      <w:r>
        <w:rPr>
          <w:rFonts w:ascii="Times New Roman" w:eastAsia="Calibri" w:hAnsi="Times New Roman" w:cs="Times New Roman"/>
          <w:kern w:val="0"/>
          <w:sz w:val="24"/>
          <w:szCs w:val="24"/>
          <w:lang w:val="en-US"/>
        </w:rPr>
        <w:t xml:space="preserve">, </w:t>
      </w:r>
      <w:proofErr w:type="spellStart"/>
      <w:r>
        <w:rPr>
          <w:rFonts w:ascii="Times New Roman" w:eastAsia="Calibri" w:hAnsi="Times New Roman" w:cs="Times New Roman"/>
          <w:kern w:val="0"/>
          <w:sz w:val="24"/>
          <w:szCs w:val="24"/>
          <w:lang w:val="en-US"/>
        </w:rPr>
        <w:t>Edoise</w:t>
      </w:r>
      <w:proofErr w:type="spellEnd"/>
      <w:r>
        <w:rPr>
          <w:rFonts w:ascii="Times New Roman" w:eastAsia="Calibri" w:hAnsi="Times New Roman" w:cs="Times New Roman"/>
          <w:kern w:val="0"/>
          <w:sz w:val="24"/>
          <w:szCs w:val="24"/>
          <w:lang w:val="en-US"/>
        </w:rPr>
        <w:t xml:space="preserve"> &amp; </w:t>
      </w:r>
      <w:proofErr w:type="spellStart"/>
      <w:r>
        <w:rPr>
          <w:rFonts w:ascii="Times New Roman" w:eastAsia="Calibri" w:hAnsi="Times New Roman" w:cs="Times New Roman"/>
          <w:kern w:val="0"/>
          <w:sz w:val="24"/>
          <w:szCs w:val="24"/>
          <w:lang w:val="en-US"/>
        </w:rPr>
        <w:t>Eyam</w:t>
      </w:r>
      <w:proofErr w:type="spellEnd"/>
      <w:r>
        <w:rPr>
          <w:rFonts w:ascii="Times New Roman" w:eastAsia="Calibri" w:hAnsi="Times New Roman" w:cs="Times New Roman"/>
          <w:kern w:val="0"/>
          <w:sz w:val="24"/>
          <w:szCs w:val="24"/>
          <w:lang w:val="en-US"/>
        </w:rPr>
        <w:t xml:space="preserve">, </w:t>
      </w:r>
      <w:proofErr w:type="spellStart"/>
      <w:r>
        <w:rPr>
          <w:rFonts w:ascii="Times New Roman" w:eastAsia="Calibri" w:hAnsi="Times New Roman" w:cs="Times New Roman"/>
          <w:kern w:val="0"/>
          <w:sz w:val="24"/>
          <w:szCs w:val="24"/>
          <w:lang w:val="en-US"/>
        </w:rPr>
        <w:t>Eyam</w:t>
      </w:r>
      <w:proofErr w:type="spellEnd"/>
      <w:r>
        <w:rPr>
          <w:rFonts w:ascii="Times New Roman" w:eastAsia="Calibri" w:hAnsi="Times New Roman" w:cs="Times New Roman"/>
          <w:kern w:val="0"/>
          <w:sz w:val="24"/>
          <w:szCs w:val="24"/>
          <w:lang w:val="en-US"/>
        </w:rPr>
        <w:t xml:space="preserve"> &amp; </w:t>
      </w:r>
      <w:proofErr w:type="spellStart"/>
      <w:r>
        <w:rPr>
          <w:rFonts w:ascii="Times New Roman" w:eastAsia="Calibri" w:hAnsi="Times New Roman" w:cs="Times New Roman"/>
          <w:kern w:val="0"/>
          <w:sz w:val="24"/>
          <w:szCs w:val="24"/>
          <w:lang w:val="en-US"/>
        </w:rPr>
        <w:t>Ushie</w:t>
      </w:r>
      <w:proofErr w:type="spellEnd"/>
      <w:r>
        <w:rPr>
          <w:rFonts w:ascii="Times New Roman" w:eastAsia="Calibri" w:hAnsi="Times New Roman" w:cs="Times New Roman"/>
          <w:kern w:val="0"/>
          <w:sz w:val="24"/>
          <w:szCs w:val="24"/>
          <w:lang w:val="en-US"/>
        </w:rPr>
        <w:t xml:space="preserve">, David &amp; Ani, </w:t>
      </w:r>
      <w:proofErr w:type="spellStart"/>
      <w:r>
        <w:rPr>
          <w:rFonts w:ascii="Times New Roman" w:eastAsia="Calibri" w:hAnsi="Times New Roman" w:cs="Times New Roman"/>
          <w:kern w:val="0"/>
          <w:sz w:val="24"/>
          <w:szCs w:val="24"/>
          <w:lang w:val="en-US"/>
        </w:rPr>
        <w:t>Nchiewe</w:t>
      </w:r>
      <w:proofErr w:type="spellEnd"/>
      <w:r>
        <w:rPr>
          <w:rFonts w:ascii="Times New Roman" w:eastAsia="Calibri" w:hAnsi="Times New Roman" w:cs="Times New Roman"/>
          <w:kern w:val="0"/>
          <w:sz w:val="24"/>
          <w:szCs w:val="24"/>
          <w:lang w:val="en-US"/>
        </w:rPr>
        <w:t xml:space="preserve">. (2018). Correlation of International Prostate Symptom Score with Prostate Volume and Quality of Life in a Screened Population of University Workers. International Journal of Contemporary Medical Research. 5. 15 - 17. </w:t>
      </w:r>
    </w:p>
    <w:p w14:paraId="0B2D5EE0"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17.</w:t>
      </w:r>
      <w:r w:rsidR="008F0B2C">
        <w:rPr>
          <w:rFonts w:ascii="Times New Roman" w:eastAsia="Calibri" w:hAnsi="Times New Roman" w:cs="Times New Roman"/>
          <w:kern w:val="0"/>
          <w:sz w:val="24"/>
          <w:szCs w:val="24"/>
          <w:lang w:val="en-US" w:eastAsia="en-GB"/>
        </w:rPr>
        <w:t xml:space="preserve"> </w:t>
      </w:r>
      <w:r>
        <w:rPr>
          <w:rFonts w:ascii="Times New Roman" w:eastAsia="Calibri" w:hAnsi="Times New Roman" w:cs="Times New Roman"/>
          <w:kern w:val="0"/>
          <w:sz w:val="24"/>
          <w:szCs w:val="24"/>
          <w:lang w:val="en-US"/>
        </w:rPr>
        <w:t xml:space="preserve">Barry MJ, </w:t>
      </w:r>
      <w:proofErr w:type="spellStart"/>
      <w:r>
        <w:rPr>
          <w:rFonts w:ascii="Times New Roman" w:eastAsia="Calibri" w:hAnsi="Times New Roman" w:cs="Times New Roman"/>
          <w:kern w:val="0"/>
          <w:sz w:val="24"/>
          <w:szCs w:val="24"/>
          <w:lang w:val="en-US"/>
        </w:rPr>
        <w:t>Avins</w:t>
      </w:r>
      <w:proofErr w:type="spellEnd"/>
      <w:r>
        <w:rPr>
          <w:rFonts w:ascii="Times New Roman" w:eastAsia="Calibri" w:hAnsi="Times New Roman" w:cs="Times New Roman"/>
          <w:kern w:val="0"/>
          <w:sz w:val="24"/>
          <w:szCs w:val="24"/>
          <w:lang w:val="en-US"/>
        </w:rPr>
        <w:t xml:space="preserve"> AL, </w:t>
      </w:r>
      <w:proofErr w:type="spellStart"/>
      <w:r>
        <w:rPr>
          <w:rFonts w:ascii="Times New Roman" w:eastAsia="Calibri" w:hAnsi="Times New Roman" w:cs="Times New Roman"/>
          <w:kern w:val="0"/>
          <w:sz w:val="24"/>
          <w:szCs w:val="24"/>
          <w:lang w:val="en-US"/>
        </w:rPr>
        <w:t>Meleth</w:t>
      </w:r>
      <w:proofErr w:type="spellEnd"/>
      <w:r>
        <w:rPr>
          <w:rFonts w:ascii="Times New Roman" w:eastAsia="Calibri" w:hAnsi="Times New Roman" w:cs="Times New Roman"/>
          <w:kern w:val="0"/>
          <w:sz w:val="24"/>
          <w:szCs w:val="24"/>
          <w:lang w:val="en-US"/>
        </w:rPr>
        <w:t xml:space="preserve"> S. Performance of the American urological </w:t>
      </w:r>
    </w:p>
    <w:p w14:paraId="669D7A22"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 xml:space="preserve">association symptom index with and without an additional urge incontinence item. Urology. 2011;78(3):550–4. </w:t>
      </w:r>
    </w:p>
    <w:p w14:paraId="4263647C"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18.</w:t>
      </w:r>
      <w:r w:rsidR="008F0B2C">
        <w:rPr>
          <w:rFonts w:ascii="Times New Roman" w:eastAsia="Calibri" w:hAnsi="Times New Roman" w:cs="Times New Roman"/>
          <w:kern w:val="0"/>
          <w:sz w:val="24"/>
          <w:szCs w:val="24"/>
          <w:lang w:val="en-US" w:eastAsia="en-GB"/>
        </w:rPr>
        <w:t xml:space="preserve"> </w:t>
      </w:r>
      <w:r>
        <w:rPr>
          <w:rFonts w:ascii="Times New Roman" w:eastAsia="Calibri" w:hAnsi="Times New Roman" w:cs="Times New Roman"/>
          <w:kern w:val="0"/>
          <w:sz w:val="24"/>
          <w:szCs w:val="24"/>
          <w:lang w:val="en-US"/>
        </w:rPr>
        <w:t xml:space="preserve">Anilkumar BU, Shyam S. Correlation of international prostate symptom score and uroflowmetry in evaluation of benign prostatic hyperplasia. Int Surg J. 2020;7(10):3381. </w:t>
      </w:r>
    </w:p>
    <w:p w14:paraId="7A12C5BB"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19.</w:t>
      </w:r>
      <w:r w:rsidR="008F0B2C">
        <w:rPr>
          <w:rFonts w:ascii="Times New Roman" w:eastAsia="Calibri" w:hAnsi="Times New Roman" w:cs="Times New Roman"/>
          <w:kern w:val="0"/>
          <w:sz w:val="24"/>
          <w:szCs w:val="24"/>
          <w:lang w:val="en-US" w:eastAsia="en-GB"/>
        </w:rPr>
        <w:t xml:space="preserve"> </w:t>
      </w:r>
      <w:r>
        <w:rPr>
          <w:rFonts w:ascii="Times New Roman" w:eastAsia="Calibri" w:hAnsi="Times New Roman" w:cs="Times New Roman"/>
          <w:kern w:val="0"/>
          <w:sz w:val="24"/>
          <w:szCs w:val="24"/>
          <w:lang w:val="en-US"/>
        </w:rPr>
        <w:t>Jindal T, Sinha RK, Mukherjee S, Mandal SN, Karmakar D. Misinterpretation of the international prostate symptom score questionnaire by Indian patients. Indian J Urol. 2014; 30(3):252–5</w:t>
      </w:r>
    </w:p>
    <w:p w14:paraId="3D388B39"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lastRenderedPageBreak/>
        <w:t>20.</w:t>
      </w:r>
      <w:r w:rsidR="008F0B2C">
        <w:rPr>
          <w:rFonts w:ascii="Times New Roman" w:eastAsia="Calibri" w:hAnsi="Times New Roman" w:cs="Times New Roman"/>
          <w:kern w:val="0"/>
          <w:sz w:val="24"/>
          <w:szCs w:val="24"/>
          <w:lang w:val="en-US"/>
        </w:rPr>
        <w:t xml:space="preserve"> </w:t>
      </w:r>
      <w:proofErr w:type="spellStart"/>
      <w:r>
        <w:rPr>
          <w:rFonts w:ascii="Times New Roman" w:eastAsia="Calibri" w:hAnsi="Times New Roman" w:cs="Times New Roman"/>
          <w:kern w:val="0"/>
          <w:sz w:val="24"/>
          <w:szCs w:val="24"/>
          <w:lang w:val="en-US"/>
        </w:rPr>
        <w:t>Oelke</w:t>
      </w:r>
      <w:proofErr w:type="spellEnd"/>
      <w:r>
        <w:rPr>
          <w:rFonts w:ascii="Times New Roman" w:eastAsia="Calibri" w:hAnsi="Times New Roman" w:cs="Times New Roman"/>
          <w:kern w:val="0"/>
          <w:sz w:val="24"/>
          <w:szCs w:val="24"/>
          <w:lang w:val="en-US"/>
        </w:rPr>
        <w:t xml:space="preserve"> M, </w:t>
      </w:r>
      <w:proofErr w:type="spellStart"/>
      <w:r>
        <w:rPr>
          <w:rFonts w:ascii="Times New Roman" w:eastAsia="Calibri" w:hAnsi="Times New Roman" w:cs="Times New Roman"/>
          <w:kern w:val="0"/>
          <w:sz w:val="24"/>
          <w:szCs w:val="24"/>
          <w:lang w:val="en-US"/>
        </w:rPr>
        <w:t>Höfner</w:t>
      </w:r>
      <w:proofErr w:type="spellEnd"/>
      <w:r>
        <w:rPr>
          <w:rFonts w:ascii="Times New Roman" w:eastAsia="Calibri" w:hAnsi="Times New Roman" w:cs="Times New Roman"/>
          <w:kern w:val="0"/>
          <w:sz w:val="24"/>
          <w:szCs w:val="24"/>
          <w:lang w:val="en-US"/>
        </w:rPr>
        <w:t xml:space="preserve"> K, Wiese B, Grünewald V, Jonas U. Increase in detrusor wall thickness indicates bladder outlet obstruction (BOO) in men. World J Urol. 2002;19(6):443–52. </w:t>
      </w:r>
    </w:p>
    <w:p w14:paraId="3D41DFF3"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21.</w:t>
      </w:r>
      <w:r w:rsidR="008F0B2C">
        <w:rPr>
          <w:rFonts w:ascii="Times New Roman" w:eastAsia="Calibri" w:hAnsi="Times New Roman" w:cs="Times New Roman"/>
          <w:kern w:val="0"/>
          <w:sz w:val="24"/>
          <w:szCs w:val="24"/>
          <w:lang w:val="en-US" w:eastAsia="en-GB"/>
        </w:rPr>
        <w:t xml:space="preserve"> </w:t>
      </w:r>
      <w:r>
        <w:rPr>
          <w:rFonts w:ascii="Times New Roman" w:eastAsia="Calibri" w:hAnsi="Times New Roman" w:cs="Times New Roman"/>
          <w:kern w:val="0"/>
          <w:sz w:val="24"/>
          <w:szCs w:val="24"/>
          <w:lang w:val="en-US"/>
        </w:rPr>
        <w:t xml:space="preserve">Park J, Suh J, Yoo S, Cho MC, Son H. Bladder wall thickness and detrusor wall thickness can help to predict the bladder outlet obstruction in men over the age of 70 years with symptomatic benign prostatic hyperplasia. </w:t>
      </w:r>
      <w:proofErr w:type="spellStart"/>
      <w:r>
        <w:rPr>
          <w:rFonts w:ascii="Times New Roman" w:eastAsia="Calibri" w:hAnsi="Times New Roman" w:cs="Times New Roman"/>
          <w:kern w:val="0"/>
          <w:sz w:val="24"/>
          <w:szCs w:val="24"/>
          <w:lang w:val="en-US"/>
        </w:rPr>
        <w:t>Investig</w:t>
      </w:r>
      <w:proofErr w:type="spellEnd"/>
      <w:r>
        <w:rPr>
          <w:rFonts w:ascii="Times New Roman" w:eastAsia="Calibri" w:hAnsi="Times New Roman" w:cs="Times New Roman"/>
          <w:kern w:val="0"/>
          <w:sz w:val="24"/>
          <w:szCs w:val="24"/>
          <w:lang w:val="en-US"/>
        </w:rPr>
        <w:t xml:space="preserve"> Clin Urol. 2020; 61(5):491–7. </w:t>
      </w:r>
    </w:p>
    <w:p w14:paraId="233949BE"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22.</w:t>
      </w:r>
      <w:r w:rsidR="008F0B2C">
        <w:rPr>
          <w:rFonts w:ascii="Times New Roman" w:eastAsia="Calibri" w:hAnsi="Times New Roman" w:cs="Times New Roman"/>
          <w:kern w:val="0"/>
          <w:sz w:val="24"/>
          <w:szCs w:val="24"/>
          <w:lang w:val="en-US" w:eastAsia="en-GB"/>
        </w:rPr>
        <w:t xml:space="preserve"> </w:t>
      </w:r>
      <w:r>
        <w:rPr>
          <w:rFonts w:ascii="Times New Roman" w:eastAsia="Calibri" w:hAnsi="Times New Roman" w:cs="Times New Roman"/>
          <w:kern w:val="0"/>
          <w:sz w:val="24"/>
          <w:szCs w:val="24"/>
          <w:lang w:val="en-US"/>
        </w:rPr>
        <w:t xml:space="preserve">Lee H, Choo M, Kim M, Cho SY, Lee SB, Jeong H, et al. Changes in Bladder Wall Thickness and Detrusor Wall Thickness After Surgical Treatment of Benign Prostatic Enlargement in Patients With Lower Urinary Tract Symptoms: A Preliminary Report. Korean J </w:t>
      </w:r>
      <w:proofErr w:type="spellStart"/>
      <w:r>
        <w:rPr>
          <w:rFonts w:ascii="Times New Roman" w:eastAsia="Calibri" w:hAnsi="Times New Roman" w:cs="Times New Roman"/>
          <w:kern w:val="0"/>
          <w:sz w:val="24"/>
          <w:szCs w:val="24"/>
          <w:lang w:val="en-US"/>
        </w:rPr>
        <w:t>Urol</w:t>
      </w:r>
      <w:proofErr w:type="spellEnd"/>
      <w:r>
        <w:rPr>
          <w:rFonts w:ascii="Times New Roman" w:eastAsia="Calibri" w:hAnsi="Times New Roman" w:cs="Times New Roman"/>
          <w:kern w:val="0"/>
          <w:sz w:val="24"/>
          <w:szCs w:val="24"/>
          <w:lang w:val="en-US"/>
        </w:rPr>
        <w:t xml:space="preserve"> </w:t>
      </w:r>
      <w:r>
        <w:rPr>
          <w:rFonts w:ascii="Times New Roman" w:eastAsia="MS Gothic" w:hAnsi="Times New Roman" w:cs="Times New Roman"/>
          <w:kern w:val="0"/>
          <w:sz w:val="24"/>
          <w:szCs w:val="24"/>
          <w:lang w:val="en-US"/>
        </w:rPr>
        <w:t>Ⓒ</w:t>
      </w:r>
      <w:r>
        <w:rPr>
          <w:rFonts w:ascii="Times New Roman" w:eastAsia="Calibri" w:hAnsi="Times New Roman" w:cs="Times New Roman"/>
          <w:kern w:val="0"/>
          <w:sz w:val="24"/>
          <w:szCs w:val="24"/>
          <w:lang w:val="en-US"/>
        </w:rPr>
        <w:t xml:space="preserve"> Korean </w:t>
      </w:r>
      <w:proofErr w:type="spellStart"/>
      <w:r>
        <w:rPr>
          <w:rFonts w:ascii="Times New Roman" w:eastAsia="Calibri" w:hAnsi="Times New Roman" w:cs="Times New Roman"/>
          <w:kern w:val="0"/>
          <w:sz w:val="24"/>
          <w:szCs w:val="24"/>
          <w:lang w:val="en-US"/>
        </w:rPr>
        <w:t>Urol</w:t>
      </w:r>
      <w:proofErr w:type="spellEnd"/>
      <w:r>
        <w:rPr>
          <w:rFonts w:ascii="Times New Roman" w:eastAsia="Calibri" w:hAnsi="Times New Roman" w:cs="Times New Roman"/>
          <w:kern w:val="0"/>
          <w:sz w:val="24"/>
          <w:szCs w:val="24"/>
          <w:lang w:val="en-US"/>
        </w:rPr>
        <w:t xml:space="preserve"> Assoc. 2014; 55:47–51. </w:t>
      </w:r>
    </w:p>
    <w:p w14:paraId="67CEB70B" w14:textId="77777777" w:rsidR="000E4DFA" w:rsidRDefault="002F21A7" w:rsidP="008F0B2C">
      <w:pPr>
        <w:shd w:val="clear" w:color="auto" w:fill="FFFFFF"/>
        <w:spacing w:line="480" w:lineRule="auto"/>
        <w:rPr>
          <w:rFonts w:ascii="Times New Roman" w:eastAsia="Times New Roman" w:hAnsi="Times New Roman" w:cs="Times New Roman"/>
          <w:kern w:val="0"/>
          <w:sz w:val="24"/>
          <w:szCs w:val="24"/>
          <w:lang w:val="en-US"/>
        </w:rPr>
      </w:pPr>
      <w:r>
        <w:rPr>
          <w:rFonts w:ascii="Times New Roman" w:eastAsia="Calibri" w:hAnsi="Times New Roman" w:cs="Times New Roman"/>
          <w:kern w:val="0"/>
          <w:sz w:val="24"/>
          <w:szCs w:val="24"/>
          <w:lang w:val="en-US" w:eastAsia="en-GB"/>
        </w:rPr>
        <w:t>23.</w:t>
      </w:r>
      <w:r w:rsidR="008F0B2C">
        <w:rPr>
          <w:rFonts w:ascii="Times New Roman" w:eastAsia="Calibri" w:hAnsi="Times New Roman" w:cs="Times New Roman"/>
          <w:kern w:val="0"/>
          <w:sz w:val="24"/>
          <w:szCs w:val="24"/>
          <w:lang w:val="en-US" w:eastAsia="en-GB"/>
        </w:rPr>
        <w:t xml:space="preserve"> </w:t>
      </w:r>
      <w:r>
        <w:rPr>
          <w:rFonts w:ascii="Times New Roman" w:eastAsia="Times New Roman" w:hAnsi="Times New Roman" w:cs="Times New Roman"/>
          <w:kern w:val="0"/>
          <w:sz w:val="24"/>
          <w:szCs w:val="24"/>
          <w:lang w:val="en-US"/>
        </w:rPr>
        <w:t xml:space="preserve">Anwar M, Saifullah M, Malik MTB, Munir MI, Akmal M, Subhani GM, Javed SH. Correlation between bladder wall thickness and IPSS in patients having benign prostatic hyperplasia. Professional Med J 2020; 27(12):2553-2557. </w:t>
      </w:r>
    </w:p>
    <w:p w14:paraId="0051039B"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24.</w:t>
      </w:r>
      <w:r w:rsidR="008F0B2C">
        <w:rPr>
          <w:rFonts w:ascii="Times New Roman" w:eastAsia="Calibri" w:hAnsi="Times New Roman" w:cs="Times New Roman"/>
          <w:kern w:val="0"/>
          <w:sz w:val="24"/>
          <w:szCs w:val="24"/>
          <w:lang w:val="en-US" w:eastAsia="en-GB"/>
        </w:rPr>
        <w:t xml:space="preserve"> </w:t>
      </w:r>
      <w:proofErr w:type="spellStart"/>
      <w:r>
        <w:rPr>
          <w:rFonts w:ascii="Times New Roman" w:eastAsia="Calibri" w:hAnsi="Times New Roman" w:cs="Times New Roman"/>
          <w:color w:val="000000"/>
          <w:kern w:val="0"/>
          <w:sz w:val="24"/>
          <w:szCs w:val="24"/>
          <w:shd w:val="clear" w:color="auto" w:fill="FFFFFF"/>
          <w:lang w:val="en-US"/>
        </w:rPr>
        <w:t>Karakose</w:t>
      </w:r>
      <w:proofErr w:type="spellEnd"/>
      <w:r>
        <w:rPr>
          <w:rFonts w:ascii="Times New Roman" w:eastAsia="Calibri" w:hAnsi="Times New Roman" w:cs="Times New Roman"/>
          <w:color w:val="000000"/>
          <w:kern w:val="0"/>
          <w:sz w:val="24"/>
          <w:szCs w:val="24"/>
          <w:shd w:val="clear" w:color="auto" w:fill="FFFFFF"/>
          <w:lang w:val="en-US"/>
        </w:rPr>
        <w:t xml:space="preserve"> A, </w:t>
      </w:r>
      <w:proofErr w:type="spellStart"/>
      <w:r>
        <w:rPr>
          <w:rFonts w:ascii="Times New Roman" w:eastAsia="Calibri" w:hAnsi="Times New Roman" w:cs="Times New Roman"/>
          <w:color w:val="000000"/>
          <w:kern w:val="0"/>
          <w:sz w:val="24"/>
          <w:szCs w:val="24"/>
          <w:shd w:val="clear" w:color="auto" w:fill="FFFFFF"/>
          <w:lang w:val="en-US"/>
        </w:rPr>
        <w:t>Aydogdu</w:t>
      </w:r>
      <w:proofErr w:type="spellEnd"/>
      <w:r>
        <w:rPr>
          <w:rFonts w:ascii="Times New Roman" w:eastAsia="Calibri" w:hAnsi="Times New Roman" w:cs="Times New Roman"/>
          <w:color w:val="000000"/>
          <w:kern w:val="0"/>
          <w:sz w:val="24"/>
          <w:szCs w:val="24"/>
          <w:shd w:val="clear" w:color="auto" w:fill="FFFFFF"/>
          <w:lang w:val="en-US"/>
        </w:rPr>
        <w:t xml:space="preserve"> O, </w:t>
      </w:r>
      <w:proofErr w:type="spellStart"/>
      <w:r>
        <w:rPr>
          <w:rFonts w:ascii="Times New Roman" w:eastAsia="Calibri" w:hAnsi="Times New Roman" w:cs="Times New Roman"/>
          <w:color w:val="000000"/>
          <w:kern w:val="0"/>
          <w:sz w:val="24"/>
          <w:szCs w:val="24"/>
          <w:shd w:val="clear" w:color="auto" w:fill="FFFFFF"/>
          <w:lang w:val="en-US"/>
        </w:rPr>
        <w:t>Atesci</w:t>
      </w:r>
      <w:proofErr w:type="spellEnd"/>
      <w:r>
        <w:rPr>
          <w:rFonts w:ascii="Times New Roman" w:eastAsia="Calibri" w:hAnsi="Times New Roman" w:cs="Times New Roman"/>
          <w:color w:val="000000"/>
          <w:kern w:val="0"/>
          <w:sz w:val="24"/>
          <w:szCs w:val="24"/>
          <w:shd w:val="clear" w:color="auto" w:fill="FFFFFF"/>
          <w:lang w:val="en-US"/>
        </w:rPr>
        <w:t xml:space="preserve"> YZ. The relationship between bladder wall thickness and lower urinary tract symptoms: Does bladder wall thickness change after alpha-blocker therapy with alfuzosin? </w:t>
      </w:r>
      <w:proofErr w:type="spellStart"/>
      <w:r>
        <w:rPr>
          <w:rFonts w:ascii="Times New Roman" w:eastAsia="Calibri" w:hAnsi="Times New Roman" w:cs="Times New Roman"/>
          <w:color w:val="000000"/>
          <w:kern w:val="0"/>
          <w:sz w:val="24"/>
          <w:szCs w:val="24"/>
          <w:shd w:val="clear" w:color="auto" w:fill="FFFFFF"/>
          <w:lang w:val="en-US"/>
        </w:rPr>
        <w:t>Cuaj</w:t>
      </w:r>
      <w:proofErr w:type="spellEnd"/>
      <w:r>
        <w:rPr>
          <w:rFonts w:ascii="Times New Roman" w:eastAsia="Calibri" w:hAnsi="Times New Roman" w:cs="Times New Roman"/>
          <w:color w:val="000000"/>
          <w:kern w:val="0"/>
          <w:sz w:val="24"/>
          <w:szCs w:val="24"/>
          <w:shd w:val="clear" w:color="auto" w:fill="FFFFFF"/>
          <w:lang w:val="en-US"/>
        </w:rPr>
        <w:t xml:space="preserve">-Can </w:t>
      </w:r>
      <w:proofErr w:type="spellStart"/>
      <w:r>
        <w:rPr>
          <w:rFonts w:ascii="Times New Roman" w:eastAsia="Calibri" w:hAnsi="Times New Roman" w:cs="Times New Roman"/>
          <w:color w:val="000000"/>
          <w:kern w:val="0"/>
          <w:sz w:val="24"/>
          <w:szCs w:val="24"/>
          <w:shd w:val="clear" w:color="auto" w:fill="FFFFFF"/>
          <w:lang w:val="en-US"/>
        </w:rPr>
        <w:t>Urol</w:t>
      </w:r>
      <w:proofErr w:type="spellEnd"/>
      <w:r>
        <w:rPr>
          <w:rFonts w:ascii="Times New Roman" w:eastAsia="Calibri" w:hAnsi="Times New Roman" w:cs="Times New Roman"/>
          <w:color w:val="000000"/>
          <w:kern w:val="0"/>
          <w:sz w:val="24"/>
          <w:szCs w:val="24"/>
          <w:shd w:val="clear" w:color="auto" w:fill="FFFFFF"/>
          <w:lang w:val="en-US"/>
        </w:rPr>
        <w:t xml:space="preserve"> Assoc. 2014;8: E26–E9.</w:t>
      </w:r>
    </w:p>
    <w:p w14:paraId="3F040649"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25.</w:t>
      </w:r>
      <w:r>
        <w:rPr>
          <w:rFonts w:ascii="Times New Roman" w:eastAsia="Calibri" w:hAnsi="Times New Roman" w:cs="Times New Roman"/>
          <w:kern w:val="0"/>
          <w:sz w:val="24"/>
          <w:szCs w:val="24"/>
          <w:lang w:val="en-US"/>
        </w:rPr>
        <w:t>Yilmaz A</w:t>
      </w:r>
      <w:r>
        <w:rPr>
          <w:rFonts w:ascii="Times New Roman" w:eastAsia="Calibri" w:hAnsi="Times New Roman" w:cs="Times New Roman"/>
          <w:color w:val="333333"/>
          <w:kern w:val="0"/>
          <w:sz w:val="24"/>
          <w:szCs w:val="24"/>
          <w:shd w:val="clear" w:color="auto" w:fill="FFFFFF"/>
          <w:lang w:val="en-US"/>
        </w:rPr>
        <w:t>, </w:t>
      </w:r>
      <w:hyperlink r:id="rId18" w:history="1">
        <w:r>
          <w:rPr>
            <w:rFonts w:ascii="Times New Roman" w:eastAsia="Calibri" w:hAnsi="Times New Roman" w:cs="Times New Roman"/>
            <w:color w:val="030303"/>
            <w:kern w:val="0"/>
            <w:sz w:val="24"/>
            <w:szCs w:val="24"/>
            <w:shd w:val="clear" w:color="auto" w:fill="FFFFFF"/>
            <w:lang w:val="en-US"/>
          </w:rPr>
          <w:t>Aslan Y</w:t>
        </w:r>
        <w:r>
          <w:rPr>
            <w:rFonts w:ascii="Times New Roman" w:eastAsia="Calibri" w:hAnsi="Times New Roman" w:cs="Times New Roman"/>
            <w:color w:val="030303"/>
            <w:kern w:val="0"/>
            <w:sz w:val="24"/>
            <w:szCs w:val="24"/>
            <w:vertAlign w:val="superscript"/>
            <w:lang w:val="en-US"/>
          </w:rPr>
          <w:t> </w:t>
        </w:r>
      </w:hyperlink>
      <w:r>
        <w:rPr>
          <w:rFonts w:ascii="Times New Roman" w:eastAsia="Calibri" w:hAnsi="Times New Roman" w:cs="Times New Roman"/>
          <w:color w:val="333333"/>
          <w:kern w:val="0"/>
          <w:sz w:val="24"/>
          <w:szCs w:val="24"/>
          <w:shd w:val="clear" w:color="auto" w:fill="FFFFFF"/>
          <w:lang w:val="en-US"/>
        </w:rPr>
        <w:t>, </w:t>
      </w:r>
      <w:r>
        <w:rPr>
          <w:rFonts w:ascii="Times New Roman" w:eastAsia="Calibri" w:hAnsi="Times New Roman" w:cs="Times New Roman"/>
          <w:kern w:val="0"/>
          <w:sz w:val="24"/>
          <w:szCs w:val="24"/>
          <w:lang w:val="en-US"/>
        </w:rPr>
        <w:t>Uzun B</w:t>
      </w:r>
      <w:r>
        <w:rPr>
          <w:rFonts w:ascii="Times New Roman" w:eastAsia="Calibri" w:hAnsi="Times New Roman" w:cs="Times New Roman"/>
          <w:color w:val="333333"/>
          <w:kern w:val="0"/>
          <w:sz w:val="24"/>
          <w:szCs w:val="24"/>
          <w:shd w:val="clear" w:color="auto" w:fill="FFFFFF"/>
          <w:lang w:val="en-US"/>
        </w:rPr>
        <w:t>, </w:t>
      </w:r>
      <w:proofErr w:type="spellStart"/>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"https://turkishjournalofurology.com/en/relationship-between-bladder-wall-thickness-and-duration-of-symptoms-uroflowmetry-parameters-and-international-prostate-symptom-score-in-patients-with-lower-urinary-tract-symptoms-13201" \o "Ümit   Tekdoğan " </w:instrText>
      </w:r>
      <w:r>
        <w:rPr>
          <w:rFonts w:ascii="Times New Roman" w:hAnsi="Times New Roman" w:cs="Times New Roman"/>
          <w:sz w:val="24"/>
          <w:szCs w:val="24"/>
        </w:rPr>
        <w:fldChar w:fldCharType="separate"/>
      </w:r>
      <w:r>
        <w:rPr>
          <w:rFonts w:ascii="Times New Roman" w:eastAsia="Calibri" w:hAnsi="Times New Roman" w:cs="Times New Roman"/>
          <w:color w:val="030303"/>
          <w:kern w:val="0"/>
          <w:sz w:val="24"/>
          <w:szCs w:val="24"/>
          <w:shd w:val="clear" w:color="auto" w:fill="FFFFFF"/>
          <w:lang w:val="en-US"/>
        </w:rPr>
        <w:t>Tekdoğan</w:t>
      </w:r>
      <w:proofErr w:type="spellEnd"/>
      <w:r>
        <w:rPr>
          <w:rFonts w:ascii="Times New Roman" w:eastAsia="Calibri" w:hAnsi="Times New Roman" w:cs="Times New Roman"/>
          <w:color w:val="030303"/>
          <w:kern w:val="0"/>
          <w:sz w:val="24"/>
          <w:szCs w:val="24"/>
          <w:shd w:val="clear" w:color="auto" w:fill="FFFFFF"/>
          <w:lang w:val="en-US"/>
        </w:rPr>
        <w:t xml:space="preserve"> U</w:t>
      </w:r>
      <w:r>
        <w:rPr>
          <w:rFonts w:ascii="Times New Roman" w:eastAsia="Calibri" w:hAnsi="Times New Roman" w:cs="Times New Roman"/>
          <w:color w:val="030303"/>
          <w:kern w:val="0"/>
          <w:sz w:val="24"/>
          <w:szCs w:val="24"/>
          <w:vertAlign w:val="superscript"/>
          <w:lang w:val="en-US"/>
        </w:rPr>
        <w:t> </w:t>
      </w:r>
      <w:r>
        <w:rPr>
          <w:rFonts w:ascii="Times New Roman" w:eastAsia="Calibri" w:hAnsi="Times New Roman" w:cs="Times New Roman"/>
          <w:color w:val="030303"/>
          <w:kern w:val="0"/>
          <w:sz w:val="24"/>
          <w:szCs w:val="24"/>
          <w:vertAlign w:val="superscript"/>
          <w:lang w:val="en-US"/>
        </w:rPr>
        <w:fldChar w:fldCharType="end"/>
      </w:r>
      <w:r>
        <w:rPr>
          <w:rFonts w:ascii="Times New Roman" w:eastAsia="Calibri" w:hAnsi="Times New Roman" w:cs="Times New Roman"/>
          <w:color w:val="333333"/>
          <w:kern w:val="0"/>
          <w:sz w:val="24"/>
          <w:szCs w:val="24"/>
          <w:shd w:val="clear" w:color="auto" w:fill="FFFFFF"/>
          <w:lang w:val="en-US"/>
        </w:rPr>
        <w:t>, </w:t>
      </w:r>
      <w:proofErr w:type="spellStart"/>
      <w:r>
        <w:rPr>
          <w:rFonts w:ascii="Times New Roman" w:eastAsia="Calibri" w:hAnsi="Times New Roman" w:cs="Times New Roman"/>
          <w:kern w:val="0"/>
          <w:sz w:val="24"/>
          <w:szCs w:val="24"/>
          <w:lang w:val="en-US"/>
        </w:rPr>
        <w:t>Tuncel</w:t>
      </w:r>
      <w:proofErr w:type="spellEnd"/>
      <w:r>
        <w:rPr>
          <w:rFonts w:ascii="Times New Roman" w:eastAsia="Calibri" w:hAnsi="Times New Roman" w:cs="Times New Roman"/>
          <w:kern w:val="0"/>
          <w:sz w:val="24"/>
          <w:szCs w:val="24"/>
          <w:lang w:val="en-US"/>
        </w:rPr>
        <w:t xml:space="preserve"> A</w:t>
      </w:r>
      <w:r>
        <w:rPr>
          <w:rFonts w:ascii="Times New Roman" w:eastAsia="Calibri" w:hAnsi="Times New Roman" w:cs="Times New Roman"/>
          <w:color w:val="333333"/>
          <w:kern w:val="0"/>
          <w:sz w:val="24"/>
          <w:szCs w:val="24"/>
          <w:shd w:val="clear" w:color="auto" w:fill="FFFFFF"/>
          <w:lang w:val="en-US"/>
        </w:rPr>
        <w:t>, </w:t>
      </w:r>
      <w:r>
        <w:rPr>
          <w:rFonts w:ascii="Times New Roman" w:eastAsia="Calibri" w:hAnsi="Times New Roman" w:cs="Times New Roman"/>
          <w:kern w:val="0"/>
          <w:sz w:val="24"/>
          <w:szCs w:val="24"/>
          <w:lang w:val="en-US"/>
        </w:rPr>
        <w:t>Atan A Relationship between bladder wall thickness and duration of symptoms, uroflowmetry parameters, and international prostate symptom score in patients with lower urinary tract symptoms.</w:t>
      </w:r>
      <w:r>
        <w:rPr>
          <w:rFonts w:ascii="Times New Roman" w:eastAsia="Calibri" w:hAnsi="Times New Roman" w:cs="Times New Roman"/>
          <w:color w:val="030303"/>
          <w:kern w:val="0"/>
          <w:sz w:val="24"/>
          <w:szCs w:val="24"/>
          <w:shd w:val="clear" w:color="auto" w:fill="FFFFFF"/>
          <w:lang w:val="en-US"/>
        </w:rPr>
        <w:t xml:space="preserve"> Turk J </w:t>
      </w:r>
      <w:proofErr w:type="spellStart"/>
      <w:r>
        <w:rPr>
          <w:rFonts w:ascii="Times New Roman" w:eastAsia="Calibri" w:hAnsi="Times New Roman" w:cs="Times New Roman"/>
          <w:color w:val="030303"/>
          <w:kern w:val="0"/>
          <w:sz w:val="24"/>
          <w:szCs w:val="24"/>
          <w:shd w:val="clear" w:color="auto" w:fill="FFFFFF"/>
          <w:lang w:val="en-US"/>
        </w:rPr>
        <w:t>Urol</w:t>
      </w:r>
      <w:proofErr w:type="spellEnd"/>
      <w:r>
        <w:rPr>
          <w:rFonts w:ascii="Times New Roman" w:eastAsia="Calibri" w:hAnsi="Times New Roman" w:cs="Times New Roman"/>
          <w:color w:val="030303"/>
          <w:kern w:val="0"/>
          <w:sz w:val="24"/>
          <w:szCs w:val="24"/>
          <w:shd w:val="clear" w:color="auto" w:fill="FFFFFF"/>
          <w:lang w:val="en-US"/>
        </w:rPr>
        <w:t> 2009; 35: 361-365</w:t>
      </w:r>
    </w:p>
    <w:p w14:paraId="1871E21C"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26.</w:t>
      </w:r>
      <w:r w:rsidR="008F0B2C">
        <w:rPr>
          <w:rFonts w:ascii="Times New Roman" w:eastAsia="Calibri" w:hAnsi="Times New Roman" w:cs="Times New Roman"/>
          <w:kern w:val="0"/>
          <w:sz w:val="24"/>
          <w:szCs w:val="24"/>
          <w:lang w:val="en-US" w:eastAsia="en-GB"/>
        </w:rPr>
        <w:t xml:space="preserve"> </w:t>
      </w:r>
      <w:r>
        <w:rPr>
          <w:rFonts w:ascii="Times New Roman" w:eastAsia="Calibri" w:hAnsi="Times New Roman" w:cs="Times New Roman"/>
          <w:kern w:val="0"/>
          <w:sz w:val="24"/>
          <w:szCs w:val="24"/>
          <w:shd w:val="clear" w:color="auto" w:fill="FFFFFF"/>
          <w:lang w:val="en-US"/>
        </w:rPr>
        <w:t xml:space="preserve">Prakash JVS, Arun A, Balaji AR, </w:t>
      </w:r>
      <w:proofErr w:type="spellStart"/>
      <w:r>
        <w:rPr>
          <w:rFonts w:ascii="Times New Roman" w:eastAsia="Calibri" w:hAnsi="Times New Roman" w:cs="Times New Roman"/>
          <w:kern w:val="0"/>
          <w:sz w:val="24"/>
          <w:szCs w:val="24"/>
          <w:shd w:val="clear" w:color="auto" w:fill="FFFFFF"/>
          <w:lang w:val="en-US"/>
        </w:rPr>
        <w:t>Vetrichandar</w:t>
      </w:r>
      <w:proofErr w:type="spellEnd"/>
      <w:r>
        <w:rPr>
          <w:rFonts w:ascii="Times New Roman" w:eastAsia="Calibri" w:hAnsi="Times New Roman" w:cs="Times New Roman"/>
          <w:kern w:val="0"/>
          <w:sz w:val="24"/>
          <w:szCs w:val="24"/>
          <w:shd w:val="clear" w:color="auto" w:fill="FFFFFF"/>
          <w:lang w:val="en-US"/>
        </w:rPr>
        <w:t xml:space="preserve"> S, </w:t>
      </w:r>
      <w:proofErr w:type="spellStart"/>
      <w:r>
        <w:rPr>
          <w:rFonts w:ascii="Times New Roman" w:eastAsia="Calibri" w:hAnsi="Times New Roman" w:cs="Times New Roman"/>
          <w:kern w:val="0"/>
          <w:sz w:val="24"/>
          <w:szCs w:val="24"/>
          <w:shd w:val="clear" w:color="auto" w:fill="FFFFFF"/>
          <w:lang w:val="en-US"/>
        </w:rPr>
        <w:t>Arasi</w:t>
      </w:r>
      <w:proofErr w:type="spellEnd"/>
      <w:r>
        <w:rPr>
          <w:rFonts w:ascii="Times New Roman" w:eastAsia="Calibri" w:hAnsi="Times New Roman" w:cs="Times New Roman"/>
          <w:kern w:val="0"/>
          <w:sz w:val="24"/>
          <w:szCs w:val="24"/>
          <w:shd w:val="clear" w:color="auto" w:fill="FFFFFF"/>
          <w:lang w:val="en-US"/>
        </w:rPr>
        <w:t xml:space="preserve"> KV, et al. (2019) </w:t>
      </w:r>
      <w:r>
        <w:rPr>
          <w:rFonts w:ascii="Times New Roman" w:eastAsia="Calibri" w:hAnsi="Times New Roman" w:cs="Times New Roman"/>
          <w:kern w:val="0"/>
          <w:sz w:val="24"/>
          <w:szCs w:val="24"/>
          <w:shd w:val="clear" w:color="auto" w:fill="FFFFFF"/>
          <w:lang w:val="en-US"/>
        </w:rPr>
        <w:lastRenderedPageBreak/>
        <w:t xml:space="preserve">Detrusor Wall Thickness an Adjunct or Alternative in the Diagnosis of Bladder Outlet Obstruction in Men - Prospective Controlled Study. J </w:t>
      </w:r>
      <w:proofErr w:type="spellStart"/>
      <w:r>
        <w:rPr>
          <w:rFonts w:ascii="Times New Roman" w:eastAsia="Calibri" w:hAnsi="Times New Roman" w:cs="Times New Roman"/>
          <w:kern w:val="0"/>
          <w:sz w:val="24"/>
          <w:szCs w:val="24"/>
          <w:shd w:val="clear" w:color="auto" w:fill="FFFFFF"/>
          <w:lang w:val="en-US"/>
        </w:rPr>
        <w:t>Urol</w:t>
      </w:r>
      <w:proofErr w:type="spellEnd"/>
      <w:r>
        <w:rPr>
          <w:rFonts w:ascii="Times New Roman" w:eastAsia="Calibri" w:hAnsi="Times New Roman" w:cs="Times New Roman"/>
          <w:kern w:val="0"/>
          <w:sz w:val="24"/>
          <w:szCs w:val="24"/>
          <w:shd w:val="clear" w:color="auto" w:fill="FFFFFF"/>
          <w:lang w:val="en-US"/>
        </w:rPr>
        <w:t xml:space="preserve"> Ren Dis 2004: 1171. </w:t>
      </w:r>
    </w:p>
    <w:p w14:paraId="63FC07E3" w14:textId="77777777" w:rsidR="000E4DFA" w:rsidRDefault="002F21A7" w:rsidP="008F0B2C">
      <w:pPr>
        <w:widowControl w:val="0"/>
        <w:spacing w:before="100" w:line="48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kern w:val="0"/>
          <w:sz w:val="24"/>
          <w:szCs w:val="24"/>
          <w:lang w:val="en-US" w:eastAsia="en-GB"/>
        </w:rPr>
        <w:t>27.</w:t>
      </w:r>
      <w:r w:rsidR="008F0B2C">
        <w:rPr>
          <w:rFonts w:ascii="Times New Roman" w:eastAsia="Calibri" w:hAnsi="Times New Roman" w:cs="Times New Roman"/>
          <w:kern w:val="0"/>
          <w:sz w:val="24"/>
          <w:szCs w:val="24"/>
          <w:lang w:val="en-US" w:eastAsia="en-GB"/>
        </w:rPr>
        <w:t xml:space="preserve"> </w:t>
      </w:r>
      <w:r>
        <w:rPr>
          <w:rFonts w:ascii="Times New Roman" w:eastAsia="Calibri" w:hAnsi="Times New Roman" w:cs="Times New Roman"/>
          <w:kern w:val="0"/>
          <w:sz w:val="24"/>
          <w:szCs w:val="24"/>
          <w:lang w:val="en-US"/>
        </w:rPr>
        <w:t>Malde S, Nambiar AK, Umbach R, Lam TB, Bach T, Bachmann A, et al. Platinum Priority-Guidelines Systematic Review of the Performance of Noninvasive Tests in Diagnosing Bladder Outlet Obstruction in Men with Lower Urinary Tract Symptoms. 2017.</w:t>
      </w:r>
    </w:p>
    <w:sectPr w:rsidR="000E4DFA">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29EDC" w14:textId="77777777" w:rsidR="00390B0A" w:rsidRDefault="00390B0A">
      <w:pPr>
        <w:spacing w:line="240" w:lineRule="auto"/>
      </w:pPr>
      <w:r>
        <w:separator/>
      </w:r>
    </w:p>
  </w:endnote>
  <w:endnote w:type="continuationSeparator" w:id="0">
    <w:p w14:paraId="0B193D54" w14:textId="77777777" w:rsidR="00390B0A" w:rsidRDefault="00390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E6FF" w14:textId="77777777" w:rsidR="00C31877" w:rsidRDefault="00C31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66E5A" w14:textId="77777777" w:rsidR="00C31877" w:rsidRDefault="00C31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2881" w14:textId="77777777" w:rsidR="00C31877" w:rsidRDefault="00C31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B1D83" w14:textId="77777777" w:rsidR="00390B0A" w:rsidRDefault="00390B0A">
      <w:pPr>
        <w:spacing w:after="0"/>
      </w:pPr>
      <w:r>
        <w:separator/>
      </w:r>
    </w:p>
  </w:footnote>
  <w:footnote w:type="continuationSeparator" w:id="0">
    <w:p w14:paraId="655D4217" w14:textId="77777777" w:rsidR="00390B0A" w:rsidRDefault="00390B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7CF9" w14:textId="5E65C28A" w:rsidR="00C31877" w:rsidRDefault="00C31877">
    <w:pPr>
      <w:pStyle w:val="Header"/>
    </w:pPr>
    <w:r>
      <w:rPr>
        <w:noProof/>
      </w:rPr>
      <w:pict w14:anchorId="0390A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3387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5198" w14:textId="0F2DC8F6" w:rsidR="000E4DFA" w:rsidRDefault="00C31877">
    <w:pPr>
      <w:spacing w:after="0" w:line="240" w:lineRule="auto"/>
      <w:rPr>
        <w:rFonts w:ascii="Times New Roman" w:eastAsia="Times New Roman" w:hAnsi="Times New Roman" w:cs="Times New Roman"/>
        <w:sz w:val="24"/>
        <w:szCs w:val="24"/>
        <w:lang w:eastAsia="zh-CN"/>
      </w:rPr>
    </w:pPr>
    <w:r>
      <w:rPr>
        <w:noProof/>
      </w:rPr>
      <w:pict w14:anchorId="01C8C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3387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605FF60" w14:textId="77777777" w:rsidR="000E4DFA" w:rsidRDefault="000E4DFA">
    <w:pPr>
      <w:spacing w:before="100" w:line="480" w:lineRule="auto"/>
      <w:rPr>
        <w:rFonts w:ascii="Times New Roman" w:eastAsia="Calibri" w:hAnsi="Times New Roman" w:cs="Times New Roman"/>
        <w:b/>
        <w:kern w:val="0"/>
        <w:sz w:val="24"/>
        <w:szCs w:val="24"/>
        <w:lang w:val="en-US"/>
      </w:rPr>
    </w:pPr>
  </w:p>
  <w:p w14:paraId="4F22C078" w14:textId="77777777" w:rsidR="000E4DFA" w:rsidRDefault="000E4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DD7A" w14:textId="3F5BEE9E" w:rsidR="00C31877" w:rsidRDefault="00C31877">
    <w:pPr>
      <w:pStyle w:val="Header"/>
    </w:pPr>
    <w:r>
      <w:rPr>
        <w:noProof/>
      </w:rPr>
      <w:pict w14:anchorId="73A94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3387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1DBABA"/>
    <w:multiLevelType w:val="singleLevel"/>
    <w:tmpl w:val="C21DBAB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C23E83"/>
    <w:rsid w:val="0002404C"/>
    <w:rsid w:val="00035435"/>
    <w:rsid w:val="00060ED2"/>
    <w:rsid w:val="000736F1"/>
    <w:rsid w:val="000E4DFA"/>
    <w:rsid w:val="000E7DA9"/>
    <w:rsid w:val="000F5930"/>
    <w:rsid w:val="00107D2E"/>
    <w:rsid w:val="00147609"/>
    <w:rsid w:val="00151EE6"/>
    <w:rsid w:val="00163BAE"/>
    <w:rsid w:val="00183E82"/>
    <w:rsid w:val="00190DAE"/>
    <w:rsid w:val="001D4A67"/>
    <w:rsid w:val="001D7899"/>
    <w:rsid w:val="001F160E"/>
    <w:rsid w:val="00267313"/>
    <w:rsid w:val="00290F19"/>
    <w:rsid w:val="002C4B48"/>
    <w:rsid w:val="002F21A7"/>
    <w:rsid w:val="002F4147"/>
    <w:rsid w:val="003100EF"/>
    <w:rsid w:val="003308BA"/>
    <w:rsid w:val="00346F52"/>
    <w:rsid w:val="00352EE8"/>
    <w:rsid w:val="0037629F"/>
    <w:rsid w:val="00390B0A"/>
    <w:rsid w:val="00396614"/>
    <w:rsid w:val="003C1E89"/>
    <w:rsid w:val="003C4029"/>
    <w:rsid w:val="003D4FC7"/>
    <w:rsid w:val="003D5C71"/>
    <w:rsid w:val="004951A0"/>
    <w:rsid w:val="004A715C"/>
    <w:rsid w:val="004C1D0C"/>
    <w:rsid w:val="004F2822"/>
    <w:rsid w:val="00504DC2"/>
    <w:rsid w:val="00566EC4"/>
    <w:rsid w:val="00567EE1"/>
    <w:rsid w:val="00570D83"/>
    <w:rsid w:val="0057214B"/>
    <w:rsid w:val="00586BA2"/>
    <w:rsid w:val="005A1E98"/>
    <w:rsid w:val="005C3120"/>
    <w:rsid w:val="00630857"/>
    <w:rsid w:val="00661B97"/>
    <w:rsid w:val="00672653"/>
    <w:rsid w:val="006832D9"/>
    <w:rsid w:val="0069227C"/>
    <w:rsid w:val="0071715A"/>
    <w:rsid w:val="00731FEF"/>
    <w:rsid w:val="00737C3E"/>
    <w:rsid w:val="00797432"/>
    <w:rsid w:val="007E2FAE"/>
    <w:rsid w:val="00811E86"/>
    <w:rsid w:val="0082307E"/>
    <w:rsid w:val="00827706"/>
    <w:rsid w:val="0083202F"/>
    <w:rsid w:val="00843368"/>
    <w:rsid w:val="0085293E"/>
    <w:rsid w:val="00854BD5"/>
    <w:rsid w:val="00864762"/>
    <w:rsid w:val="00892994"/>
    <w:rsid w:val="00892B4A"/>
    <w:rsid w:val="008A3330"/>
    <w:rsid w:val="008A5B0B"/>
    <w:rsid w:val="008C5D03"/>
    <w:rsid w:val="008E4224"/>
    <w:rsid w:val="008E775C"/>
    <w:rsid w:val="008F0B2C"/>
    <w:rsid w:val="0092123B"/>
    <w:rsid w:val="00945F62"/>
    <w:rsid w:val="009679BE"/>
    <w:rsid w:val="009702D3"/>
    <w:rsid w:val="0097074D"/>
    <w:rsid w:val="00986115"/>
    <w:rsid w:val="009C2323"/>
    <w:rsid w:val="009D05A4"/>
    <w:rsid w:val="009F7271"/>
    <w:rsid w:val="00A01FAA"/>
    <w:rsid w:val="00A06B53"/>
    <w:rsid w:val="00A25266"/>
    <w:rsid w:val="00A27884"/>
    <w:rsid w:val="00A45871"/>
    <w:rsid w:val="00A556C1"/>
    <w:rsid w:val="00A611AB"/>
    <w:rsid w:val="00A7796D"/>
    <w:rsid w:val="00AD192E"/>
    <w:rsid w:val="00AD3CD3"/>
    <w:rsid w:val="00B14B9D"/>
    <w:rsid w:val="00B85D41"/>
    <w:rsid w:val="00B9532B"/>
    <w:rsid w:val="00C05C12"/>
    <w:rsid w:val="00C14EFF"/>
    <w:rsid w:val="00C21F12"/>
    <w:rsid w:val="00C258C2"/>
    <w:rsid w:val="00C31877"/>
    <w:rsid w:val="00C77EB8"/>
    <w:rsid w:val="00CB7670"/>
    <w:rsid w:val="00CC1C2D"/>
    <w:rsid w:val="00CD6071"/>
    <w:rsid w:val="00CE53EC"/>
    <w:rsid w:val="00CF3F1A"/>
    <w:rsid w:val="00D60A84"/>
    <w:rsid w:val="00DA10E1"/>
    <w:rsid w:val="00DD1D3A"/>
    <w:rsid w:val="00DD335C"/>
    <w:rsid w:val="00DF63FF"/>
    <w:rsid w:val="00E034C1"/>
    <w:rsid w:val="00EA427B"/>
    <w:rsid w:val="00ED4687"/>
    <w:rsid w:val="00EF7607"/>
    <w:rsid w:val="00F27586"/>
    <w:rsid w:val="00F44149"/>
    <w:rsid w:val="00F452C4"/>
    <w:rsid w:val="00F776DC"/>
    <w:rsid w:val="00F9212C"/>
    <w:rsid w:val="00FA6064"/>
    <w:rsid w:val="00FE0297"/>
    <w:rsid w:val="02A6505A"/>
    <w:rsid w:val="10394E5C"/>
    <w:rsid w:val="25563FC2"/>
    <w:rsid w:val="33C23E83"/>
    <w:rsid w:val="42117E13"/>
    <w:rsid w:val="42F12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35159F"/>
  <w15:docId w15:val="{C0975D9A-3CD3-4587-A011-90BDA855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eastAsiaTheme="minorHAnsi"/>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99"/>
    <w:qFormat/>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3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Raw=Liao%2C+Limin" TargetMode="External"/><Relationship Id="rId13" Type="http://schemas.openxmlformats.org/officeDocument/2006/relationships/hyperlink" Target="https://onlinelibrary.wiley.com/action/doSearch?ContribAuthorRaw=Chu%2C+Romeo" TargetMode="External"/><Relationship Id="rId18" Type="http://schemas.openxmlformats.org/officeDocument/2006/relationships/hyperlink" Target="https://turkishjournalofurology.com/en/relationship-between-bladder-wall-thickness-and-duration-of-symptoms-uroflowmetry-parameters-and-international-prostate-symptom-score-in-patients-with-lower-urinary-tract-symptoms-132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onlinelibrary.wiley.com/action/doSearch?ContribAuthorRaw=Yoo%2C+Tag+Keun" TargetMode="External"/><Relationship Id="rId17" Type="http://schemas.openxmlformats.org/officeDocument/2006/relationships/hyperlink" Target="https://doi.org/10.1097/ms9.000000000000206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ijsu.2015.11.04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action/doSearch?ContribAuthorRaw=Lee%2C+Kyu-Sung"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ncbi.nlm.nih.gov/books/NBK558920/" TargetMode="External"/><Relationship Id="rId23" Type="http://schemas.openxmlformats.org/officeDocument/2006/relationships/header" Target="header3.xml"/><Relationship Id="rId10" Type="http://schemas.openxmlformats.org/officeDocument/2006/relationships/hyperlink" Target="https://onlinelibrary.wiley.com/action/doSearch?ContribAuthorRaw=Liu%2C+Shih-Pin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linelibrary.wiley.com/action/doSearch?ContribAuthorRaw=Chuang%2C+Yao-Chi" TargetMode="External"/><Relationship Id="rId14" Type="http://schemas.openxmlformats.org/officeDocument/2006/relationships/hyperlink" Target="https://nigeria.opendataforafrica.org/ifpbxbd/state-population-2006"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C\Documents\Dr.%20Melifonwu\URINARY%20TRACT_Dr.%20Melifonwu%20Dataset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t>IPSS-Average </a:t>
            </a:r>
            <a:r>
              <a:rPr lang="en-US" sz="1200" b="1" i="0" u="none" strike="noStrike" baseline="0">
                <a:effectLst/>
              </a:rPr>
              <a:t>Detrusor wall thickness </a:t>
            </a:r>
            <a:r>
              <a:rPr lang="en-US" sz="1200" b="1"/>
              <a:t> relationship</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45603674540701"/>
          <c:y val="0.15792893770840899"/>
          <c:w val="0.82498840769903803"/>
          <c:h val="0.63401246719160098"/>
        </c:manualLayout>
      </c:layout>
      <c:scatterChart>
        <c:scatterStyle val="lineMarker"/>
        <c:varyColors val="0"/>
        <c:ser>
          <c:idx val="0"/>
          <c:order val="0"/>
          <c:tx>
            <c:strRef>
              <c:f>'scatter plot'!$B$1</c:f>
              <c:strCache>
                <c:ptCount val="1"/>
                <c:pt idx="0">
                  <c:v>average dwt value pre</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25400" cap="rnd">
                <a:solidFill>
                  <a:srgbClr val="FF0000"/>
                </a:solidFill>
                <a:prstDash val="solid"/>
              </a:ln>
              <a:effectLst/>
            </c:spPr>
            <c:trendlineType val="linear"/>
            <c:dispRSqr val="1"/>
            <c:dispEq val="1"/>
            <c:trendlineLbl>
              <c:layout>
                <c:manualLayout>
                  <c:x val="0.13027646544182001"/>
                  <c:y val="-0.236907990667833"/>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xVal>
            <c:numRef>
              <c:f>'scatter plot'!$A$2:$A$274</c:f>
              <c:numCache>
                <c:formatCode>General</c:formatCode>
                <c:ptCount val="273"/>
                <c:pt idx="0">
                  <c:v>14</c:v>
                </c:pt>
                <c:pt idx="1">
                  <c:v>13</c:v>
                </c:pt>
                <c:pt idx="2">
                  <c:v>4</c:v>
                </c:pt>
                <c:pt idx="3">
                  <c:v>18</c:v>
                </c:pt>
                <c:pt idx="4">
                  <c:v>7</c:v>
                </c:pt>
                <c:pt idx="5">
                  <c:v>8</c:v>
                </c:pt>
                <c:pt idx="6">
                  <c:v>15</c:v>
                </c:pt>
                <c:pt idx="7">
                  <c:v>30</c:v>
                </c:pt>
                <c:pt idx="8">
                  <c:v>18</c:v>
                </c:pt>
                <c:pt idx="9">
                  <c:v>23</c:v>
                </c:pt>
                <c:pt idx="10">
                  <c:v>26</c:v>
                </c:pt>
                <c:pt idx="11">
                  <c:v>34</c:v>
                </c:pt>
                <c:pt idx="12">
                  <c:v>3</c:v>
                </c:pt>
                <c:pt idx="13">
                  <c:v>5</c:v>
                </c:pt>
                <c:pt idx="14">
                  <c:v>5</c:v>
                </c:pt>
                <c:pt idx="15">
                  <c:v>35</c:v>
                </c:pt>
                <c:pt idx="16">
                  <c:v>7</c:v>
                </c:pt>
                <c:pt idx="17">
                  <c:v>18</c:v>
                </c:pt>
                <c:pt idx="18">
                  <c:v>10</c:v>
                </c:pt>
                <c:pt idx="19">
                  <c:v>22</c:v>
                </c:pt>
                <c:pt idx="20">
                  <c:v>11</c:v>
                </c:pt>
                <c:pt idx="21">
                  <c:v>8</c:v>
                </c:pt>
                <c:pt idx="22">
                  <c:v>14</c:v>
                </c:pt>
                <c:pt idx="23">
                  <c:v>7</c:v>
                </c:pt>
                <c:pt idx="24">
                  <c:v>7</c:v>
                </c:pt>
                <c:pt idx="25">
                  <c:v>7</c:v>
                </c:pt>
                <c:pt idx="26">
                  <c:v>30</c:v>
                </c:pt>
                <c:pt idx="27">
                  <c:v>31</c:v>
                </c:pt>
                <c:pt idx="28">
                  <c:v>17</c:v>
                </c:pt>
                <c:pt idx="29">
                  <c:v>14</c:v>
                </c:pt>
                <c:pt idx="30">
                  <c:v>23</c:v>
                </c:pt>
                <c:pt idx="31">
                  <c:v>25</c:v>
                </c:pt>
                <c:pt idx="32">
                  <c:v>34</c:v>
                </c:pt>
                <c:pt idx="33">
                  <c:v>14</c:v>
                </c:pt>
                <c:pt idx="34">
                  <c:v>30</c:v>
                </c:pt>
                <c:pt idx="35">
                  <c:v>17</c:v>
                </c:pt>
                <c:pt idx="36">
                  <c:v>27</c:v>
                </c:pt>
                <c:pt idx="37">
                  <c:v>35</c:v>
                </c:pt>
                <c:pt idx="38">
                  <c:v>9</c:v>
                </c:pt>
                <c:pt idx="39">
                  <c:v>25</c:v>
                </c:pt>
                <c:pt idx="40">
                  <c:v>29</c:v>
                </c:pt>
                <c:pt idx="41">
                  <c:v>8</c:v>
                </c:pt>
                <c:pt idx="42">
                  <c:v>7</c:v>
                </c:pt>
                <c:pt idx="43">
                  <c:v>3</c:v>
                </c:pt>
                <c:pt idx="44">
                  <c:v>16</c:v>
                </c:pt>
                <c:pt idx="45">
                  <c:v>23</c:v>
                </c:pt>
                <c:pt idx="46">
                  <c:v>12</c:v>
                </c:pt>
                <c:pt idx="47">
                  <c:v>18</c:v>
                </c:pt>
                <c:pt idx="48">
                  <c:v>9</c:v>
                </c:pt>
                <c:pt idx="49">
                  <c:v>9</c:v>
                </c:pt>
                <c:pt idx="50">
                  <c:v>23</c:v>
                </c:pt>
                <c:pt idx="51">
                  <c:v>10</c:v>
                </c:pt>
                <c:pt idx="52">
                  <c:v>5</c:v>
                </c:pt>
                <c:pt idx="53">
                  <c:v>9</c:v>
                </c:pt>
                <c:pt idx="54">
                  <c:v>6</c:v>
                </c:pt>
                <c:pt idx="55">
                  <c:v>34</c:v>
                </c:pt>
                <c:pt idx="56">
                  <c:v>32</c:v>
                </c:pt>
                <c:pt idx="57">
                  <c:v>16</c:v>
                </c:pt>
                <c:pt idx="58">
                  <c:v>6</c:v>
                </c:pt>
                <c:pt idx="59">
                  <c:v>6</c:v>
                </c:pt>
                <c:pt idx="60">
                  <c:v>11</c:v>
                </c:pt>
                <c:pt idx="61">
                  <c:v>9</c:v>
                </c:pt>
                <c:pt idx="62">
                  <c:v>35</c:v>
                </c:pt>
                <c:pt idx="63">
                  <c:v>35</c:v>
                </c:pt>
                <c:pt idx="64">
                  <c:v>2</c:v>
                </c:pt>
                <c:pt idx="65">
                  <c:v>11</c:v>
                </c:pt>
                <c:pt idx="66">
                  <c:v>13</c:v>
                </c:pt>
                <c:pt idx="67">
                  <c:v>5</c:v>
                </c:pt>
                <c:pt idx="68">
                  <c:v>6</c:v>
                </c:pt>
                <c:pt idx="69">
                  <c:v>23</c:v>
                </c:pt>
                <c:pt idx="70">
                  <c:v>4</c:v>
                </c:pt>
                <c:pt idx="71">
                  <c:v>5</c:v>
                </c:pt>
                <c:pt idx="72">
                  <c:v>5</c:v>
                </c:pt>
                <c:pt idx="73">
                  <c:v>20</c:v>
                </c:pt>
                <c:pt idx="74">
                  <c:v>24</c:v>
                </c:pt>
                <c:pt idx="75">
                  <c:v>3</c:v>
                </c:pt>
                <c:pt idx="76">
                  <c:v>9</c:v>
                </c:pt>
                <c:pt idx="77">
                  <c:v>6</c:v>
                </c:pt>
                <c:pt idx="78">
                  <c:v>3</c:v>
                </c:pt>
                <c:pt idx="79">
                  <c:v>10</c:v>
                </c:pt>
                <c:pt idx="80">
                  <c:v>14</c:v>
                </c:pt>
                <c:pt idx="81">
                  <c:v>13</c:v>
                </c:pt>
                <c:pt idx="82">
                  <c:v>4</c:v>
                </c:pt>
                <c:pt idx="83">
                  <c:v>18</c:v>
                </c:pt>
                <c:pt idx="84">
                  <c:v>7</c:v>
                </c:pt>
                <c:pt idx="85">
                  <c:v>8</c:v>
                </c:pt>
                <c:pt idx="86">
                  <c:v>15</c:v>
                </c:pt>
                <c:pt idx="87">
                  <c:v>30</c:v>
                </c:pt>
                <c:pt idx="88">
                  <c:v>18</c:v>
                </c:pt>
                <c:pt idx="89">
                  <c:v>23</c:v>
                </c:pt>
                <c:pt idx="90">
                  <c:v>26</c:v>
                </c:pt>
                <c:pt idx="91">
                  <c:v>34</c:v>
                </c:pt>
                <c:pt idx="92">
                  <c:v>3</c:v>
                </c:pt>
                <c:pt idx="93">
                  <c:v>5</c:v>
                </c:pt>
                <c:pt idx="94">
                  <c:v>5</c:v>
                </c:pt>
                <c:pt idx="95">
                  <c:v>35</c:v>
                </c:pt>
                <c:pt idx="96">
                  <c:v>7</c:v>
                </c:pt>
                <c:pt idx="97">
                  <c:v>18</c:v>
                </c:pt>
                <c:pt idx="98">
                  <c:v>10</c:v>
                </c:pt>
                <c:pt idx="99">
                  <c:v>22</c:v>
                </c:pt>
                <c:pt idx="100">
                  <c:v>11</c:v>
                </c:pt>
                <c:pt idx="101">
                  <c:v>8</c:v>
                </c:pt>
                <c:pt idx="102">
                  <c:v>14</c:v>
                </c:pt>
                <c:pt idx="103">
                  <c:v>7</c:v>
                </c:pt>
                <c:pt idx="104">
                  <c:v>7</c:v>
                </c:pt>
                <c:pt idx="105">
                  <c:v>7</c:v>
                </c:pt>
                <c:pt idx="106">
                  <c:v>30</c:v>
                </c:pt>
                <c:pt idx="107">
                  <c:v>31</c:v>
                </c:pt>
                <c:pt idx="108">
                  <c:v>17</c:v>
                </c:pt>
                <c:pt idx="109">
                  <c:v>14</c:v>
                </c:pt>
                <c:pt idx="110">
                  <c:v>23</c:v>
                </c:pt>
                <c:pt idx="111">
                  <c:v>25</c:v>
                </c:pt>
                <c:pt idx="112">
                  <c:v>34</c:v>
                </c:pt>
                <c:pt idx="113">
                  <c:v>14</c:v>
                </c:pt>
                <c:pt idx="114">
                  <c:v>30</c:v>
                </c:pt>
                <c:pt idx="115">
                  <c:v>17</c:v>
                </c:pt>
                <c:pt idx="116">
                  <c:v>27</c:v>
                </c:pt>
                <c:pt idx="117">
                  <c:v>35</c:v>
                </c:pt>
                <c:pt idx="118">
                  <c:v>9</c:v>
                </c:pt>
                <c:pt idx="119">
                  <c:v>25</c:v>
                </c:pt>
                <c:pt idx="120">
                  <c:v>29</c:v>
                </c:pt>
                <c:pt idx="121">
                  <c:v>8</c:v>
                </c:pt>
                <c:pt idx="122">
                  <c:v>7</c:v>
                </c:pt>
                <c:pt idx="123">
                  <c:v>3</c:v>
                </c:pt>
                <c:pt idx="124">
                  <c:v>16</c:v>
                </c:pt>
                <c:pt idx="125">
                  <c:v>23</c:v>
                </c:pt>
                <c:pt idx="126">
                  <c:v>12</c:v>
                </c:pt>
                <c:pt idx="127">
                  <c:v>18</c:v>
                </c:pt>
                <c:pt idx="128">
                  <c:v>9</c:v>
                </c:pt>
                <c:pt idx="129">
                  <c:v>9</c:v>
                </c:pt>
                <c:pt idx="130">
                  <c:v>23</c:v>
                </c:pt>
                <c:pt idx="131">
                  <c:v>10</c:v>
                </c:pt>
                <c:pt idx="132">
                  <c:v>5</c:v>
                </c:pt>
                <c:pt idx="133">
                  <c:v>9</c:v>
                </c:pt>
                <c:pt idx="134">
                  <c:v>6</c:v>
                </c:pt>
                <c:pt idx="135">
                  <c:v>34</c:v>
                </c:pt>
                <c:pt idx="136">
                  <c:v>32</c:v>
                </c:pt>
                <c:pt idx="137">
                  <c:v>16</c:v>
                </c:pt>
                <c:pt idx="138">
                  <c:v>6</c:v>
                </c:pt>
                <c:pt idx="139">
                  <c:v>6</c:v>
                </c:pt>
                <c:pt idx="140">
                  <c:v>11</c:v>
                </c:pt>
                <c:pt idx="141">
                  <c:v>9</c:v>
                </c:pt>
                <c:pt idx="142">
                  <c:v>35</c:v>
                </c:pt>
                <c:pt idx="143">
                  <c:v>35</c:v>
                </c:pt>
                <c:pt idx="144">
                  <c:v>2</c:v>
                </c:pt>
                <c:pt idx="145">
                  <c:v>11</c:v>
                </c:pt>
                <c:pt idx="146">
                  <c:v>13</c:v>
                </c:pt>
                <c:pt idx="147">
                  <c:v>5</c:v>
                </c:pt>
                <c:pt idx="148">
                  <c:v>6</c:v>
                </c:pt>
                <c:pt idx="149">
                  <c:v>23</c:v>
                </c:pt>
                <c:pt idx="150">
                  <c:v>4</c:v>
                </c:pt>
                <c:pt idx="151">
                  <c:v>5</c:v>
                </c:pt>
                <c:pt idx="152">
                  <c:v>5</c:v>
                </c:pt>
                <c:pt idx="153">
                  <c:v>20</c:v>
                </c:pt>
                <c:pt idx="154">
                  <c:v>24</c:v>
                </c:pt>
                <c:pt idx="155">
                  <c:v>3</c:v>
                </c:pt>
                <c:pt idx="156">
                  <c:v>9</c:v>
                </c:pt>
                <c:pt idx="157">
                  <c:v>6</c:v>
                </c:pt>
                <c:pt idx="158">
                  <c:v>3</c:v>
                </c:pt>
                <c:pt idx="159">
                  <c:v>10</c:v>
                </c:pt>
                <c:pt idx="160">
                  <c:v>14</c:v>
                </c:pt>
                <c:pt idx="161">
                  <c:v>13</c:v>
                </c:pt>
                <c:pt idx="162">
                  <c:v>4</c:v>
                </c:pt>
                <c:pt idx="163">
                  <c:v>18</c:v>
                </c:pt>
                <c:pt idx="164">
                  <c:v>7</c:v>
                </c:pt>
                <c:pt idx="165">
                  <c:v>8</c:v>
                </c:pt>
                <c:pt idx="166">
                  <c:v>15</c:v>
                </c:pt>
                <c:pt idx="167">
                  <c:v>30</c:v>
                </c:pt>
                <c:pt idx="168">
                  <c:v>18</c:v>
                </c:pt>
                <c:pt idx="169">
                  <c:v>23</c:v>
                </c:pt>
                <c:pt idx="170">
                  <c:v>26</c:v>
                </c:pt>
                <c:pt idx="171">
                  <c:v>34</c:v>
                </c:pt>
                <c:pt idx="172">
                  <c:v>3</c:v>
                </c:pt>
                <c:pt idx="173">
                  <c:v>5</c:v>
                </c:pt>
                <c:pt idx="174">
                  <c:v>5</c:v>
                </c:pt>
                <c:pt idx="175">
                  <c:v>33</c:v>
                </c:pt>
                <c:pt idx="176">
                  <c:v>7</c:v>
                </c:pt>
                <c:pt idx="177">
                  <c:v>18</c:v>
                </c:pt>
                <c:pt idx="178">
                  <c:v>10</c:v>
                </c:pt>
                <c:pt idx="179">
                  <c:v>22</c:v>
                </c:pt>
                <c:pt idx="180">
                  <c:v>11</c:v>
                </c:pt>
                <c:pt idx="181">
                  <c:v>8</c:v>
                </c:pt>
                <c:pt idx="182">
                  <c:v>14</c:v>
                </c:pt>
                <c:pt idx="183">
                  <c:v>7</c:v>
                </c:pt>
                <c:pt idx="184">
                  <c:v>7</c:v>
                </c:pt>
                <c:pt idx="185">
                  <c:v>7</c:v>
                </c:pt>
                <c:pt idx="186">
                  <c:v>30</c:v>
                </c:pt>
                <c:pt idx="187">
                  <c:v>31</c:v>
                </c:pt>
                <c:pt idx="188">
                  <c:v>17</c:v>
                </c:pt>
                <c:pt idx="189">
                  <c:v>14</c:v>
                </c:pt>
                <c:pt idx="190">
                  <c:v>23</c:v>
                </c:pt>
                <c:pt idx="191">
                  <c:v>25</c:v>
                </c:pt>
                <c:pt idx="192">
                  <c:v>34</c:v>
                </c:pt>
                <c:pt idx="193">
                  <c:v>14</c:v>
                </c:pt>
                <c:pt idx="194">
                  <c:v>30</c:v>
                </c:pt>
                <c:pt idx="195">
                  <c:v>17</c:v>
                </c:pt>
                <c:pt idx="196">
                  <c:v>27</c:v>
                </c:pt>
                <c:pt idx="197">
                  <c:v>35</c:v>
                </c:pt>
                <c:pt idx="198">
                  <c:v>9</c:v>
                </c:pt>
                <c:pt idx="199">
                  <c:v>25</c:v>
                </c:pt>
                <c:pt idx="200">
                  <c:v>29</c:v>
                </c:pt>
                <c:pt idx="201">
                  <c:v>8</c:v>
                </c:pt>
                <c:pt idx="202">
                  <c:v>7</c:v>
                </c:pt>
                <c:pt idx="203">
                  <c:v>3</c:v>
                </c:pt>
                <c:pt idx="204">
                  <c:v>16</c:v>
                </c:pt>
                <c:pt idx="205">
                  <c:v>23</c:v>
                </c:pt>
                <c:pt idx="206">
                  <c:v>12</c:v>
                </c:pt>
                <c:pt idx="207">
                  <c:v>18</c:v>
                </c:pt>
                <c:pt idx="208">
                  <c:v>9</c:v>
                </c:pt>
                <c:pt idx="209">
                  <c:v>9</c:v>
                </c:pt>
                <c:pt idx="210">
                  <c:v>23</c:v>
                </c:pt>
                <c:pt idx="211">
                  <c:v>10</c:v>
                </c:pt>
                <c:pt idx="212">
                  <c:v>5</c:v>
                </c:pt>
                <c:pt idx="213">
                  <c:v>9</c:v>
                </c:pt>
                <c:pt idx="214">
                  <c:v>6</c:v>
                </c:pt>
                <c:pt idx="215">
                  <c:v>34</c:v>
                </c:pt>
                <c:pt idx="216">
                  <c:v>32</c:v>
                </c:pt>
                <c:pt idx="217">
                  <c:v>16</c:v>
                </c:pt>
                <c:pt idx="218">
                  <c:v>6</c:v>
                </c:pt>
                <c:pt idx="219">
                  <c:v>6</c:v>
                </c:pt>
                <c:pt idx="220">
                  <c:v>11</c:v>
                </c:pt>
                <c:pt idx="221">
                  <c:v>9</c:v>
                </c:pt>
                <c:pt idx="222">
                  <c:v>35</c:v>
                </c:pt>
                <c:pt idx="223">
                  <c:v>35</c:v>
                </c:pt>
                <c:pt idx="224">
                  <c:v>2</c:v>
                </c:pt>
                <c:pt idx="225">
                  <c:v>11</c:v>
                </c:pt>
                <c:pt idx="226">
                  <c:v>13</c:v>
                </c:pt>
                <c:pt idx="227">
                  <c:v>5</c:v>
                </c:pt>
                <c:pt idx="228">
                  <c:v>6</c:v>
                </c:pt>
                <c:pt idx="229">
                  <c:v>23</c:v>
                </c:pt>
                <c:pt idx="230">
                  <c:v>4</c:v>
                </c:pt>
                <c:pt idx="231">
                  <c:v>5</c:v>
                </c:pt>
                <c:pt idx="232">
                  <c:v>5</c:v>
                </c:pt>
                <c:pt idx="233">
                  <c:v>20</c:v>
                </c:pt>
                <c:pt idx="234">
                  <c:v>24</c:v>
                </c:pt>
                <c:pt idx="235">
                  <c:v>3</c:v>
                </c:pt>
                <c:pt idx="236">
                  <c:v>9</c:v>
                </c:pt>
                <c:pt idx="237">
                  <c:v>6</c:v>
                </c:pt>
                <c:pt idx="238">
                  <c:v>3</c:v>
                </c:pt>
                <c:pt idx="239">
                  <c:v>10</c:v>
                </c:pt>
                <c:pt idx="240">
                  <c:v>14</c:v>
                </c:pt>
                <c:pt idx="241">
                  <c:v>13</c:v>
                </c:pt>
                <c:pt idx="242">
                  <c:v>4</c:v>
                </c:pt>
                <c:pt idx="243">
                  <c:v>18</c:v>
                </c:pt>
                <c:pt idx="244">
                  <c:v>7</c:v>
                </c:pt>
                <c:pt idx="245">
                  <c:v>8</c:v>
                </c:pt>
                <c:pt idx="246">
                  <c:v>15</c:v>
                </c:pt>
                <c:pt idx="247">
                  <c:v>30</c:v>
                </c:pt>
                <c:pt idx="248">
                  <c:v>18</c:v>
                </c:pt>
                <c:pt idx="249">
                  <c:v>23</c:v>
                </c:pt>
                <c:pt idx="250">
                  <c:v>26</c:v>
                </c:pt>
                <c:pt idx="251">
                  <c:v>34</c:v>
                </c:pt>
                <c:pt idx="252">
                  <c:v>3</c:v>
                </c:pt>
                <c:pt idx="253">
                  <c:v>5</c:v>
                </c:pt>
                <c:pt idx="254">
                  <c:v>5</c:v>
                </c:pt>
                <c:pt idx="255">
                  <c:v>35</c:v>
                </c:pt>
                <c:pt idx="256">
                  <c:v>7</c:v>
                </c:pt>
                <c:pt idx="257">
                  <c:v>18</c:v>
                </c:pt>
                <c:pt idx="258">
                  <c:v>10</c:v>
                </c:pt>
                <c:pt idx="259">
                  <c:v>22</c:v>
                </c:pt>
                <c:pt idx="260">
                  <c:v>11</c:v>
                </c:pt>
                <c:pt idx="261">
                  <c:v>8</c:v>
                </c:pt>
                <c:pt idx="262">
                  <c:v>14</c:v>
                </c:pt>
                <c:pt idx="263">
                  <c:v>7</c:v>
                </c:pt>
                <c:pt idx="264">
                  <c:v>7</c:v>
                </c:pt>
                <c:pt idx="265">
                  <c:v>7</c:v>
                </c:pt>
                <c:pt idx="266">
                  <c:v>30</c:v>
                </c:pt>
                <c:pt idx="267">
                  <c:v>31</c:v>
                </c:pt>
                <c:pt idx="268">
                  <c:v>17</c:v>
                </c:pt>
                <c:pt idx="269">
                  <c:v>14</c:v>
                </c:pt>
                <c:pt idx="270">
                  <c:v>23</c:v>
                </c:pt>
                <c:pt idx="271">
                  <c:v>25</c:v>
                </c:pt>
                <c:pt idx="272">
                  <c:v>34</c:v>
                </c:pt>
              </c:numCache>
            </c:numRef>
          </c:xVal>
          <c:yVal>
            <c:numRef>
              <c:f>'scatter plot'!$B$2:$B$274</c:f>
              <c:numCache>
                <c:formatCode>General</c:formatCode>
                <c:ptCount val="273"/>
                <c:pt idx="0">
                  <c:v>1.9</c:v>
                </c:pt>
                <c:pt idx="1">
                  <c:v>1.8</c:v>
                </c:pt>
                <c:pt idx="2">
                  <c:v>2.1</c:v>
                </c:pt>
                <c:pt idx="3">
                  <c:v>2.4</c:v>
                </c:pt>
                <c:pt idx="4">
                  <c:v>2</c:v>
                </c:pt>
                <c:pt idx="5">
                  <c:v>1.5</c:v>
                </c:pt>
                <c:pt idx="6">
                  <c:v>3.9</c:v>
                </c:pt>
                <c:pt idx="7">
                  <c:v>2.7</c:v>
                </c:pt>
                <c:pt idx="8">
                  <c:v>2.1</c:v>
                </c:pt>
                <c:pt idx="9">
                  <c:v>1.7</c:v>
                </c:pt>
                <c:pt idx="10">
                  <c:v>1.9</c:v>
                </c:pt>
                <c:pt idx="11">
                  <c:v>3.2</c:v>
                </c:pt>
                <c:pt idx="12">
                  <c:v>1.77</c:v>
                </c:pt>
                <c:pt idx="13">
                  <c:v>1.9</c:v>
                </c:pt>
                <c:pt idx="14">
                  <c:v>2.4</c:v>
                </c:pt>
                <c:pt idx="15">
                  <c:v>1.7</c:v>
                </c:pt>
                <c:pt idx="16">
                  <c:v>1.7</c:v>
                </c:pt>
                <c:pt idx="17">
                  <c:v>1.9</c:v>
                </c:pt>
                <c:pt idx="18">
                  <c:v>1.5</c:v>
                </c:pt>
                <c:pt idx="19">
                  <c:v>1.2</c:v>
                </c:pt>
                <c:pt idx="20">
                  <c:v>2.1</c:v>
                </c:pt>
                <c:pt idx="21">
                  <c:v>1.5</c:v>
                </c:pt>
                <c:pt idx="22">
                  <c:v>1.5</c:v>
                </c:pt>
                <c:pt idx="23">
                  <c:v>3.1</c:v>
                </c:pt>
                <c:pt idx="24">
                  <c:v>1.6</c:v>
                </c:pt>
                <c:pt idx="25">
                  <c:v>1.5</c:v>
                </c:pt>
                <c:pt idx="26">
                  <c:v>1.5</c:v>
                </c:pt>
                <c:pt idx="27">
                  <c:v>3.3</c:v>
                </c:pt>
                <c:pt idx="28">
                  <c:v>1.3</c:v>
                </c:pt>
                <c:pt idx="29">
                  <c:v>1.7</c:v>
                </c:pt>
                <c:pt idx="30">
                  <c:v>2</c:v>
                </c:pt>
                <c:pt idx="31">
                  <c:v>1.3</c:v>
                </c:pt>
                <c:pt idx="32">
                  <c:v>1.9</c:v>
                </c:pt>
                <c:pt idx="33">
                  <c:v>3</c:v>
                </c:pt>
                <c:pt idx="34">
                  <c:v>2.1</c:v>
                </c:pt>
                <c:pt idx="35">
                  <c:v>2.1</c:v>
                </c:pt>
                <c:pt idx="36">
                  <c:v>1.7</c:v>
                </c:pt>
                <c:pt idx="37">
                  <c:v>1.7</c:v>
                </c:pt>
                <c:pt idx="38">
                  <c:v>1.7</c:v>
                </c:pt>
                <c:pt idx="39">
                  <c:v>1.9</c:v>
                </c:pt>
                <c:pt idx="40">
                  <c:v>2.8</c:v>
                </c:pt>
                <c:pt idx="41">
                  <c:v>1.3</c:v>
                </c:pt>
                <c:pt idx="42">
                  <c:v>1.2</c:v>
                </c:pt>
                <c:pt idx="43">
                  <c:v>1.5</c:v>
                </c:pt>
                <c:pt idx="44">
                  <c:v>1.8</c:v>
                </c:pt>
                <c:pt idx="45">
                  <c:v>1.9</c:v>
                </c:pt>
                <c:pt idx="46">
                  <c:v>1.5</c:v>
                </c:pt>
                <c:pt idx="47">
                  <c:v>1.5</c:v>
                </c:pt>
                <c:pt idx="48">
                  <c:v>1.7</c:v>
                </c:pt>
                <c:pt idx="49">
                  <c:v>1.8</c:v>
                </c:pt>
                <c:pt idx="50">
                  <c:v>2.5</c:v>
                </c:pt>
                <c:pt idx="51">
                  <c:v>2.2999999999999998</c:v>
                </c:pt>
                <c:pt idx="52">
                  <c:v>1.8</c:v>
                </c:pt>
                <c:pt idx="53">
                  <c:v>2.8</c:v>
                </c:pt>
                <c:pt idx="54">
                  <c:v>3.6</c:v>
                </c:pt>
                <c:pt idx="55">
                  <c:v>1.3</c:v>
                </c:pt>
                <c:pt idx="56">
                  <c:v>1.8</c:v>
                </c:pt>
                <c:pt idx="57">
                  <c:v>2.4</c:v>
                </c:pt>
                <c:pt idx="58">
                  <c:v>2.7</c:v>
                </c:pt>
                <c:pt idx="59">
                  <c:v>2.2000000000000002</c:v>
                </c:pt>
                <c:pt idx="60">
                  <c:v>1.47</c:v>
                </c:pt>
                <c:pt idx="61">
                  <c:v>1.4</c:v>
                </c:pt>
                <c:pt idx="62">
                  <c:v>2.2000000000000002</c:v>
                </c:pt>
                <c:pt idx="63">
                  <c:v>2</c:v>
                </c:pt>
                <c:pt idx="64">
                  <c:v>1.7</c:v>
                </c:pt>
                <c:pt idx="65">
                  <c:v>2</c:v>
                </c:pt>
                <c:pt idx="66">
                  <c:v>2.5</c:v>
                </c:pt>
                <c:pt idx="67">
                  <c:v>2.5</c:v>
                </c:pt>
                <c:pt idx="68">
                  <c:v>1.8</c:v>
                </c:pt>
                <c:pt idx="69">
                  <c:v>2.06</c:v>
                </c:pt>
                <c:pt idx="70">
                  <c:v>1.77</c:v>
                </c:pt>
                <c:pt idx="71">
                  <c:v>1.8</c:v>
                </c:pt>
                <c:pt idx="72">
                  <c:v>2.4</c:v>
                </c:pt>
                <c:pt idx="73">
                  <c:v>2.5</c:v>
                </c:pt>
                <c:pt idx="74">
                  <c:v>3</c:v>
                </c:pt>
                <c:pt idx="75">
                  <c:v>2</c:v>
                </c:pt>
                <c:pt idx="76">
                  <c:v>1.7</c:v>
                </c:pt>
                <c:pt idx="77">
                  <c:v>1.2</c:v>
                </c:pt>
                <c:pt idx="78">
                  <c:v>1.5</c:v>
                </c:pt>
                <c:pt idx="79">
                  <c:v>1.6</c:v>
                </c:pt>
                <c:pt idx="80">
                  <c:v>1.9</c:v>
                </c:pt>
                <c:pt idx="81">
                  <c:v>1.8</c:v>
                </c:pt>
                <c:pt idx="82">
                  <c:v>2.1</c:v>
                </c:pt>
                <c:pt idx="83">
                  <c:v>2.4</c:v>
                </c:pt>
                <c:pt idx="84">
                  <c:v>2</c:v>
                </c:pt>
                <c:pt idx="85">
                  <c:v>1.5</c:v>
                </c:pt>
                <c:pt idx="86">
                  <c:v>3.9</c:v>
                </c:pt>
                <c:pt idx="87">
                  <c:v>2.7</c:v>
                </c:pt>
                <c:pt idx="88">
                  <c:v>2.1</c:v>
                </c:pt>
                <c:pt idx="89">
                  <c:v>1.7</c:v>
                </c:pt>
                <c:pt idx="90">
                  <c:v>1.9</c:v>
                </c:pt>
                <c:pt idx="91">
                  <c:v>3.2</c:v>
                </c:pt>
                <c:pt idx="92">
                  <c:v>1.77</c:v>
                </c:pt>
                <c:pt idx="93">
                  <c:v>1.9</c:v>
                </c:pt>
                <c:pt idx="94">
                  <c:v>2.4</c:v>
                </c:pt>
                <c:pt idx="95">
                  <c:v>1.7</c:v>
                </c:pt>
                <c:pt idx="96">
                  <c:v>1.7</c:v>
                </c:pt>
                <c:pt idx="97">
                  <c:v>1.9</c:v>
                </c:pt>
                <c:pt idx="98">
                  <c:v>1.5</c:v>
                </c:pt>
                <c:pt idx="99">
                  <c:v>1.2</c:v>
                </c:pt>
                <c:pt idx="100">
                  <c:v>2.1</c:v>
                </c:pt>
                <c:pt idx="101">
                  <c:v>1.5</c:v>
                </c:pt>
                <c:pt idx="102">
                  <c:v>1.5</c:v>
                </c:pt>
                <c:pt idx="103">
                  <c:v>3.1</c:v>
                </c:pt>
                <c:pt idx="104">
                  <c:v>1.6</c:v>
                </c:pt>
                <c:pt idx="105">
                  <c:v>1.5</c:v>
                </c:pt>
                <c:pt idx="106">
                  <c:v>1.5</c:v>
                </c:pt>
                <c:pt idx="107">
                  <c:v>3.3</c:v>
                </c:pt>
                <c:pt idx="108">
                  <c:v>1.3</c:v>
                </c:pt>
                <c:pt idx="109">
                  <c:v>1.7</c:v>
                </c:pt>
                <c:pt idx="110">
                  <c:v>2</c:v>
                </c:pt>
                <c:pt idx="111">
                  <c:v>1.3</c:v>
                </c:pt>
                <c:pt idx="112">
                  <c:v>1.9</c:v>
                </c:pt>
                <c:pt idx="113">
                  <c:v>3</c:v>
                </c:pt>
                <c:pt idx="114">
                  <c:v>2.1</c:v>
                </c:pt>
                <c:pt idx="115">
                  <c:v>2.1</c:v>
                </c:pt>
                <c:pt idx="116">
                  <c:v>1.7</c:v>
                </c:pt>
                <c:pt idx="117">
                  <c:v>1.7</c:v>
                </c:pt>
                <c:pt idx="118">
                  <c:v>1.7</c:v>
                </c:pt>
                <c:pt idx="119">
                  <c:v>1.9</c:v>
                </c:pt>
                <c:pt idx="120">
                  <c:v>2.8</c:v>
                </c:pt>
                <c:pt idx="121">
                  <c:v>1.3</c:v>
                </c:pt>
                <c:pt idx="122">
                  <c:v>1.2</c:v>
                </c:pt>
                <c:pt idx="123">
                  <c:v>1.5</c:v>
                </c:pt>
                <c:pt idx="124">
                  <c:v>1.8</c:v>
                </c:pt>
                <c:pt idx="125">
                  <c:v>1.9</c:v>
                </c:pt>
                <c:pt idx="126">
                  <c:v>1.5</c:v>
                </c:pt>
                <c:pt idx="127">
                  <c:v>1.5</c:v>
                </c:pt>
                <c:pt idx="128">
                  <c:v>1.7</c:v>
                </c:pt>
                <c:pt idx="129">
                  <c:v>1.8</c:v>
                </c:pt>
                <c:pt idx="130">
                  <c:v>2.5</c:v>
                </c:pt>
                <c:pt idx="131">
                  <c:v>2.2999999999999998</c:v>
                </c:pt>
                <c:pt idx="132">
                  <c:v>1.8</c:v>
                </c:pt>
                <c:pt idx="133">
                  <c:v>2.8</c:v>
                </c:pt>
                <c:pt idx="134">
                  <c:v>3.6</c:v>
                </c:pt>
                <c:pt idx="135">
                  <c:v>1.3</c:v>
                </c:pt>
                <c:pt idx="136">
                  <c:v>1.8</c:v>
                </c:pt>
                <c:pt idx="137">
                  <c:v>2.4</c:v>
                </c:pt>
                <c:pt idx="138">
                  <c:v>2.7</c:v>
                </c:pt>
                <c:pt idx="139">
                  <c:v>2.2000000000000002</c:v>
                </c:pt>
                <c:pt idx="140">
                  <c:v>1.47</c:v>
                </c:pt>
                <c:pt idx="141">
                  <c:v>1.4</c:v>
                </c:pt>
                <c:pt idx="142">
                  <c:v>2.2000000000000002</c:v>
                </c:pt>
                <c:pt idx="143">
                  <c:v>2</c:v>
                </c:pt>
                <c:pt idx="144">
                  <c:v>1.7</c:v>
                </c:pt>
                <c:pt idx="145">
                  <c:v>2</c:v>
                </c:pt>
                <c:pt idx="146">
                  <c:v>2.5</c:v>
                </c:pt>
                <c:pt idx="147">
                  <c:v>2.5</c:v>
                </c:pt>
                <c:pt idx="148">
                  <c:v>1.8</c:v>
                </c:pt>
                <c:pt idx="149">
                  <c:v>2.06</c:v>
                </c:pt>
                <c:pt idx="150">
                  <c:v>1.77</c:v>
                </c:pt>
                <c:pt idx="151">
                  <c:v>1.8</c:v>
                </c:pt>
                <c:pt idx="152">
                  <c:v>2.4</c:v>
                </c:pt>
                <c:pt idx="153">
                  <c:v>2.5</c:v>
                </c:pt>
                <c:pt idx="154">
                  <c:v>3</c:v>
                </c:pt>
                <c:pt idx="155">
                  <c:v>2</c:v>
                </c:pt>
                <c:pt idx="156">
                  <c:v>1.7</c:v>
                </c:pt>
                <c:pt idx="157">
                  <c:v>1.2</c:v>
                </c:pt>
                <c:pt idx="158">
                  <c:v>1.5</c:v>
                </c:pt>
                <c:pt idx="159">
                  <c:v>1.6</c:v>
                </c:pt>
                <c:pt idx="160">
                  <c:v>1.9</c:v>
                </c:pt>
                <c:pt idx="161">
                  <c:v>1.8</c:v>
                </c:pt>
                <c:pt idx="162">
                  <c:v>2.1</c:v>
                </c:pt>
                <c:pt idx="163">
                  <c:v>2.4</c:v>
                </c:pt>
                <c:pt idx="164">
                  <c:v>2</c:v>
                </c:pt>
                <c:pt idx="165">
                  <c:v>1.5</c:v>
                </c:pt>
                <c:pt idx="166">
                  <c:v>3.9</c:v>
                </c:pt>
                <c:pt idx="167">
                  <c:v>2.7</c:v>
                </c:pt>
                <c:pt idx="168">
                  <c:v>2.1</c:v>
                </c:pt>
                <c:pt idx="169">
                  <c:v>1.7</c:v>
                </c:pt>
                <c:pt idx="170">
                  <c:v>1.9</c:v>
                </c:pt>
                <c:pt idx="171">
                  <c:v>3.2</c:v>
                </c:pt>
                <c:pt idx="172">
                  <c:v>1.77</c:v>
                </c:pt>
                <c:pt idx="173">
                  <c:v>1.9</c:v>
                </c:pt>
                <c:pt idx="174">
                  <c:v>2.4</c:v>
                </c:pt>
                <c:pt idx="175">
                  <c:v>1.7</c:v>
                </c:pt>
                <c:pt idx="176">
                  <c:v>1.7</c:v>
                </c:pt>
                <c:pt idx="177">
                  <c:v>1.9</c:v>
                </c:pt>
                <c:pt idx="178">
                  <c:v>1.5</c:v>
                </c:pt>
                <c:pt idx="179">
                  <c:v>1.2</c:v>
                </c:pt>
                <c:pt idx="180">
                  <c:v>2.1</c:v>
                </c:pt>
                <c:pt idx="181">
                  <c:v>1.5</c:v>
                </c:pt>
                <c:pt idx="182">
                  <c:v>1.5</c:v>
                </c:pt>
                <c:pt idx="183">
                  <c:v>3.1</c:v>
                </c:pt>
                <c:pt idx="184">
                  <c:v>1.6</c:v>
                </c:pt>
                <c:pt idx="185">
                  <c:v>1.5</c:v>
                </c:pt>
                <c:pt idx="186">
                  <c:v>1.5</c:v>
                </c:pt>
                <c:pt idx="187">
                  <c:v>3.3</c:v>
                </c:pt>
                <c:pt idx="188">
                  <c:v>1.3</c:v>
                </c:pt>
                <c:pt idx="189">
                  <c:v>1.7</c:v>
                </c:pt>
                <c:pt idx="190">
                  <c:v>2</c:v>
                </c:pt>
                <c:pt idx="191">
                  <c:v>1.3</c:v>
                </c:pt>
                <c:pt idx="192">
                  <c:v>1.9</c:v>
                </c:pt>
                <c:pt idx="193">
                  <c:v>3</c:v>
                </c:pt>
                <c:pt idx="194">
                  <c:v>2.1</c:v>
                </c:pt>
                <c:pt idx="195">
                  <c:v>2.1</c:v>
                </c:pt>
                <c:pt idx="196">
                  <c:v>1.7</c:v>
                </c:pt>
                <c:pt idx="197">
                  <c:v>1.7</c:v>
                </c:pt>
                <c:pt idx="198">
                  <c:v>1.7</c:v>
                </c:pt>
                <c:pt idx="199">
                  <c:v>1.9</c:v>
                </c:pt>
                <c:pt idx="200">
                  <c:v>2.8</c:v>
                </c:pt>
                <c:pt idx="201">
                  <c:v>1.3</c:v>
                </c:pt>
                <c:pt idx="202">
                  <c:v>1.2</c:v>
                </c:pt>
                <c:pt idx="203">
                  <c:v>1.5</c:v>
                </c:pt>
                <c:pt idx="204">
                  <c:v>1.8</c:v>
                </c:pt>
                <c:pt idx="205">
                  <c:v>1.9</c:v>
                </c:pt>
                <c:pt idx="206">
                  <c:v>1.5</c:v>
                </c:pt>
                <c:pt idx="207">
                  <c:v>1.5</c:v>
                </c:pt>
                <c:pt idx="208">
                  <c:v>1.7</c:v>
                </c:pt>
                <c:pt idx="209">
                  <c:v>1.8</c:v>
                </c:pt>
                <c:pt idx="210">
                  <c:v>2.5</c:v>
                </c:pt>
                <c:pt idx="211">
                  <c:v>2.2999999999999998</c:v>
                </c:pt>
                <c:pt idx="212">
                  <c:v>1.8</c:v>
                </c:pt>
                <c:pt idx="213">
                  <c:v>2.8</c:v>
                </c:pt>
                <c:pt idx="214">
                  <c:v>3.6</c:v>
                </c:pt>
                <c:pt idx="215">
                  <c:v>1.3</c:v>
                </c:pt>
                <c:pt idx="216">
                  <c:v>1.8</c:v>
                </c:pt>
                <c:pt idx="217">
                  <c:v>2.4</c:v>
                </c:pt>
                <c:pt idx="218">
                  <c:v>2.7</c:v>
                </c:pt>
                <c:pt idx="219">
                  <c:v>2.2000000000000002</c:v>
                </c:pt>
                <c:pt idx="220">
                  <c:v>1.47</c:v>
                </c:pt>
                <c:pt idx="221">
                  <c:v>1.4</c:v>
                </c:pt>
                <c:pt idx="222">
                  <c:v>2.2000000000000002</c:v>
                </c:pt>
                <c:pt idx="223">
                  <c:v>2</c:v>
                </c:pt>
                <c:pt idx="224">
                  <c:v>1.7</c:v>
                </c:pt>
                <c:pt idx="225">
                  <c:v>2</c:v>
                </c:pt>
                <c:pt idx="226">
                  <c:v>2.5</c:v>
                </c:pt>
                <c:pt idx="227">
                  <c:v>2.5</c:v>
                </c:pt>
                <c:pt idx="228">
                  <c:v>1.8</c:v>
                </c:pt>
                <c:pt idx="229">
                  <c:v>2.06</c:v>
                </c:pt>
                <c:pt idx="230">
                  <c:v>1.77</c:v>
                </c:pt>
                <c:pt idx="231">
                  <c:v>1.8</c:v>
                </c:pt>
                <c:pt idx="232">
                  <c:v>2.4</c:v>
                </c:pt>
                <c:pt idx="233">
                  <c:v>2.5</c:v>
                </c:pt>
                <c:pt idx="234">
                  <c:v>3</c:v>
                </c:pt>
                <c:pt idx="235">
                  <c:v>2</c:v>
                </c:pt>
                <c:pt idx="236">
                  <c:v>1.7</c:v>
                </c:pt>
                <c:pt idx="237">
                  <c:v>1.2</c:v>
                </c:pt>
                <c:pt idx="238">
                  <c:v>1.5</c:v>
                </c:pt>
                <c:pt idx="239">
                  <c:v>1.6</c:v>
                </c:pt>
                <c:pt idx="240">
                  <c:v>1.9</c:v>
                </c:pt>
                <c:pt idx="241">
                  <c:v>1.8</c:v>
                </c:pt>
                <c:pt idx="242">
                  <c:v>2.1</c:v>
                </c:pt>
                <c:pt idx="243">
                  <c:v>2.4</c:v>
                </c:pt>
                <c:pt idx="244">
                  <c:v>2</c:v>
                </c:pt>
                <c:pt idx="245">
                  <c:v>1.5</c:v>
                </c:pt>
                <c:pt idx="246">
                  <c:v>3.9</c:v>
                </c:pt>
                <c:pt idx="247">
                  <c:v>2.7</c:v>
                </c:pt>
                <c:pt idx="248">
                  <c:v>2.1</c:v>
                </c:pt>
                <c:pt idx="249">
                  <c:v>1.7</c:v>
                </c:pt>
                <c:pt idx="250">
                  <c:v>1.9</c:v>
                </c:pt>
                <c:pt idx="251">
                  <c:v>3.2</c:v>
                </c:pt>
                <c:pt idx="252">
                  <c:v>1.77</c:v>
                </c:pt>
                <c:pt idx="253">
                  <c:v>1.9</c:v>
                </c:pt>
                <c:pt idx="254">
                  <c:v>2.4</c:v>
                </c:pt>
                <c:pt idx="255">
                  <c:v>1.7</c:v>
                </c:pt>
                <c:pt idx="256">
                  <c:v>1.7</c:v>
                </c:pt>
                <c:pt idx="257">
                  <c:v>1.9</c:v>
                </c:pt>
                <c:pt idx="258">
                  <c:v>1.5</c:v>
                </c:pt>
                <c:pt idx="259">
                  <c:v>1.2</c:v>
                </c:pt>
                <c:pt idx="260">
                  <c:v>2.1</c:v>
                </c:pt>
                <c:pt idx="261">
                  <c:v>1.5</c:v>
                </c:pt>
                <c:pt idx="262">
                  <c:v>1.5</c:v>
                </c:pt>
                <c:pt idx="263">
                  <c:v>3.1</c:v>
                </c:pt>
                <c:pt idx="264">
                  <c:v>1.6</c:v>
                </c:pt>
                <c:pt idx="265">
                  <c:v>1.5</c:v>
                </c:pt>
                <c:pt idx="266">
                  <c:v>1.5</c:v>
                </c:pt>
                <c:pt idx="267">
                  <c:v>3.3</c:v>
                </c:pt>
                <c:pt idx="268">
                  <c:v>1.3</c:v>
                </c:pt>
                <c:pt idx="269">
                  <c:v>1.7</c:v>
                </c:pt>
                <c:pt idx="270">
                  <c:v>2</c:v>
                </c:pt>
                <c:pt idx="271">
                  <c:v>1.3</c:v>
                </c:pt>
                <c:pt idx="272">
                  <c:v>1.9</c:v>
                </c:pt>
              </c:numCache>
            </c:numRef>
          </c:yVal>
          <c:smooth val="0"/>
          <c:extLst>
            <c:ext xmlns:c16="http://schemas.microsoft.com/office/drawing/2014/chart" uri="{C3380CC4-5D6E-409C-BE32-E72D297353CC}">
              <c16:uniqueId val="{00000001-E049-4607-B447-AD4ACF9CF527}"/>
            </c:ext>
          </c:extLst>
        </c:ser>
        <c:dLbls>
          <c:showLegendKey val="0"/>
          <c:showVal val="0"/>
          <c:showCatName val="0"/>
          <c:showSerName val="0"/>
          <c:showPercent val="0"/>
          <c:showBubbleSize val="0"/>
        </c:dLbls>
        <c:axId val="471836808"/>
        <c:axId val="471838376"/>
      </c:scatterChart>
      <c:valAx>
        <c:axId val="471836808"/>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IPSS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71838376"/>
        <c:crosses val="autoZero"/>
        <c:crossBetween val="midCat"/>
      </c:valAx>
      <c:valAx>
        <c:axId val="4718383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Average DWT (mm)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71836808"/>
        <c:crosses val="autoZero"/>
        <c:crossBetween val="midCat"/>
      </c:valAx>
      <c:spPr>
        <a:noFill/>
        <a:ln>
          <a:noFill/>
        </a:ln>
        <a:effectLst/>
      </c:spPr>
    </c:plotArea>
    <c:plotVisOnly val="1"/>
    <c:dispBlanksAs val="gap"/>
    <c:showDLblsOverMax val="0"/>
    <c:extLst>
      <c:ext uri="{0b15fc19-7d7d-44ad-8c2d-2c3a37ce22c3}">
        <chartProps xmlns="https://web.wps.cn/et/2018/main" chartId="{d2cf30c0-0daa-45cc-9702-c302324d26a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TotalTime>
  <Pages>19</Pages>
  <Words>9044</Words>
  <Characters>51553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Echeta Aronu</dc:creator>
  <cp:lastModifiedBy>SDI 1084</cp:lastModifiedBy>
  <cp:revision>8</cp:revision>
  <dcterms:created xsi:type="dcterms:W3CDTF">2025-10-22T18:56:00Z</dcterms:created>
  <dcterms:modified xsi:type="dcterms:W3CDTF">2025-10-23T07:36:00Z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C0D448F91D9B490080DC24885E1BCC52_13</vt:lpwstr>
  </property>
</Properties>
</file>