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8E977" w14:textId="10D714BB" w:rsidR="00033314" w:rsidRDefault="004A7A89" w:rsidP="00033314">
      <w:pPr>
        <w:jc w:val="both"/>
        <w:rPr>
          <w:lang w:val="en-US"/>
        </w:rPr>
      </w:pPr>
      <w:r w:rsidRPr="004A7A89">
        <w:br/>
      </w:r>
      <w:r w:rsidR="00033314" w:rsidRPr="007537BB">
        <w:rPr>
          <w:b/>
          <w:bCs/>
          <w:lang w:val="en-US"/>
        </w:rPr>
        <w:t>EMPOWERING ADOLESCENTS: ASSESSING KNOWLEDGE AND PRACTICES OF LIFE SKILLS, SEXUALITY EDUCATION, AND MENSTRUAL HYGIENE AMONG SECONDARY SCHOOL STUDENTS IN ONDO STATE, NIGERIA</w:t>
      </w:r>
    </w:p>
    <w:p w14:paraId="17F290F3" w14:textId="5D5BF296" w:rsidR="004A7A89" w:rsidRPr="004A7A89" w:rsidRDefault="005C382F" w:rsidP="00654EB9">
      <w:pPr>
        <w:jc w:val="both"/>
      </w:pPr>
      <w:r w:rsidRPr="005C382F">
        <w:rPr>
          <w:b/>
          <w:bCs/>
          <w:color w:val="4472C4" w:themeColor="accent1"/>
        </w:rPr>
        <w:t>ABSTRACT</w:t>
      </w:r>
      <w:r w:rsidR="004A7A89" w:rsidRPr="004A7A89">
        <w:br/>
        <w:t xml:space="preserve">Adolescents face heightened risks related to sexual and reproductive health (SRH) due to early sexual debut, limited knowledge, stigma, and poor access to youth-friendly health services (YFHS). This cross-sectional study assessed awareness, knowledge, and utilization of SRH services among secondary school students in Ondo State, Nigeria. A total of 221 students from four schools—Babcock University High School (BUHS), Wexford College, CAC Grammar School, and Impact High School—were surveyed using a structured questionnaire. Data were </w:t>
      </w:r>
      <w:r w:rsidR="000D4B1F" w:rsidRPr="004A7A89">
        <w:t>analysed</w:t>
      </w:r>
      <w:r w:rsidR="004A7A89" w:rsidRPr="004A7A89">
        <w:t xml:space="preserve"> using Epi-Info and descriptive statistics. Results indicated that while awareness of sexuality education and drug abuse was relatively high, awareness of youth-friendly services was considerably lower. Utilization of youth-friendly clinics was also minimal</w:t>
      </w:r>
      <w:r>
        <w:t xml:space="preserve">. </w:t>
      </w:r>
      <w:r w:rsidR="004A7A89" w:rsidRPr="004A7A89">
        <w:t>Misconceptions about HIV transmission pe</w:t>
      </w:r>
      <w:bookmarkStart w:id="0" w:name="_GoBack"/>
      <w:bookmarkEnd w:id="0"/>
      <w:r w:rsidR="004A7A89" w:rsidRPr="004A7A89">
        <w:t>rsisted, including beliefs about casual contact. The findings underscore significant gaps between awareness and service utilization, highlighting structural, sociocultural, and stigma-related barriers. The study recommends intensified awareness creation, integration of SRH education into school curricula, and improved availability of adolescent-friendly health services.</w:t>
      </w:r>
    </w:p>
    <w:p w14:paraId="4FAF74CC" w14:textId="77777777" w:rsidR="004A7A89" w:rsidRPr="004A7A89" w:rsidRDefault="004A7A89" w:rsidP="00654EB9">
      <w:pPr>
        <w:jc w:val="both"/>
      </w:pPr>
      <w:r w:rsidRPr="004A7A89">
        <w:rPr>
          <w:b/>
          <w:bCs/>
        </w:rPr>
        <w:t>Keywords:</w:t>
      </w:r>
      <w:r w:rsidRPr="004A7A89">
        <w:t xml:space="preserve"> adolescents, sexual and reproductive health, awareness, Nigeria, youth-friendly services, Ondo State</w:t>
      </w:r>
    </w:p>
    <w:p w14:paraId="10731822" w14:textId="79F1EBD3" w:rsidR="004A7A89" w:rsidRPr="002743F7" w:rsidRDefault="002743F7" w:rsidP="00654EB9">
      <w:pPr>
        <w:jc w:val="both"/>
        <w:rPr>
          <w:b/>
          <w:bCs/>
          <w:color w:val="4472C4" w:themeColor="accent1"/>
        </w:rPr>
      </w:pPr>
      <w:r w:rsidRPr="002743F7">
        <w:rPr>
          <w:b/>
          <w:bCs/>
          <w:color w:val="4472C4" w:themeColor="accent1"/>
        </w:rPr>
        <w:t>INTRODUCTION</w:t>
      </w:r>
    </w:p>
    <w:p w14:paraId="2A719B6E" w14:textId="7EC0B3D2" w:rsidR="004A7A89" w:rsidRPr="004A7A89" w:rsidRDefault="004A7A89" w:rsidP="00654EB9">
      <w:pPr>
        <w:jc w:val="both"/>
      </w:pPr>
      <w:r w:rsidRPr="004A7A89">
        <w:t xml:space="preserve">Adolescence is a pivotal stage of life marked by significant biological, psychological, and social transitions. During this period, individuals often experiment with </w:t>
      </w:r>
      <w:r w:rsidR="000D4B1F" w:rsidRPr="004A7A89">
        <w:t>behaviours</w:t>
      </w:r>
      <w:r w:rsidRPr="004A7A89">
        <w:t xml:space="preserve"> that may expose them to sexual and reproductive health (SRH) risks, including unintended pregnancies, sexually transmitted infections (STIs), and HIV/AIDS (World Health Organization [WHO], 2021). Globally, adolescents account for a disproportionate share of new HIV infections and other preventable health burdens, particularly in sub-Saharan Africa, where poverty, stigma, and inadequate access to adolescent-friendly services persist (Adeleke et al., 2020).</w:t>
      </w:r>
    </w:p>
    <w:p w14:paraId="6364A4F3" w14:textId="77777777" w:rsidR="004A7A89" w:rsidRPr="004A7A89" w:rsidRDefault="004A7A89" w:rsidP="00654EB9">
      <w:pPr>
        <w:jc w:val="both"/>
      </w:pPr>
      <w:r w:rsidRPr="004A7A89">
        <w:t>In Nigeria, SRH challenges are particularly pronounced. Studies report an increase in early sexual debut, low contraceptive use, and widespread misconceptions about HIV and STI transmission (Ajibola &amp; Mary, 2025; Osunmakinwa et al., 2022). For example, Osunmakinwa et al. (2022) found that nearly 20% of in-school adolescents in Akure, Ondo State had engaged in sexual intercourse, with more than a third initiating sex before age 12. Such early initiation increases exposure to negative outcomes, including unsafe abortions, school dropout, and gender-based violence.</w:t>
      </w:r>
    </w:p>
    <w:p w14:paraId="2718DDE3" w14:textId="77777777" w:rsidR="004A7A89" w:rsidRPr="004A7A89" w:rsidRDefault="004A7A89" w:rsidP="00654EB9">
      <w:pPr>
        <w:jc w:val="both"/>
      </w:pPr>
      <w:r w:rsidRPr="004A7A89">
        <w:t xml:space="preserve">Awareness creation and the provision of adolescent and youth-friendly health services (YFHS) are vital strategies for reducing SRH risks. Research shows that while many Nigerian adolescents demonstrate some awareness of SRH topics, their actual utilization of available health services is </w:t>
      </w:r>
      <w:r w:rsidRPr="004A7A89">
        <w:lastRenderedPageBreak/>
        <w:t>often very limited (Eneji, Odey, &amp; Adinya, 2025). The reasons include stigma, confidentiality concerns, and provider bias, which discourage young people from seeking care (Uwakwe, 2025).</w:t>
      </w:r>
    </w:p>
    <w:p w14:paraId="00051E9E" w14:textId="77777777" w:rsidR="004A7A89" w:rsidRPr="004A7A89" w:rsidRDefault="004A7A89" w:rsidP="00654EB9">
      <w:pPr>
        <w:jc w:val="both"/>
      </w:pPr>
      <w:r w:rsidRPr="004A7A89">
        <w:t>Evidence also indicates that school-based interventions can improve adolescents’ SRH knowledge and shape health-seeking behaviors. For instance, Olatoye and Olowokere (2025) reported that adolescents in Ife Central who had greater access to structured sex education demonstrated higher levels of correct knowledge, though misconceptions persisted. Similarly, Akpong et al. (2025) emphasized that integrating sexuality education with healthy lifestyle promotion reinforced safer choices among secondary school students.</w:t>
      </w:r>
    </w:p>
    <w:p w14:paraId="5F743C02" w14:textId="2C8638EC" w:rsidR="004A7A89" w:rsidRPr="004A7A89" w:rsidRDefault="004A7A89" w:rsidP="00654EB9">
      <w:pPr>
        <w:jc w:val="both"/>
      </w:pPr>
      <w:r w:rsidRPr="004A7A89">
        <w:t xml:space="preserve">Despite the importance of these interventions, limited empirical evidence exists on the awareness and utilization of YFHS among secondary school students in Ondo State. This study was therefore designed to fill that gap. It assessed the awareness, knowledge, and health-seeking </w:t>
      </w:r>
      <w:r w:rsidR="000D4B1F" w:rsidRPr="004A7A89">
        <w:t>behaviours</w:t>
      </w:r>
      <w:r w:rsidRPr="004A7A89">
        <w:t xml:space="preserve"> of students from four secondary schools in the state, with the aim of identifying gaps and generating evidence for policy and programmatic interventions.</w:t>
      </w:r>
    </w:p>
    <w:p w14:paraId="6BB1A676" w14:textId="26CF518E" w:rsidR="004A7A89" w:rsidRPr="002743F7" w:rsidRDefault="002743F7" w:rsidP="00654EB9">
      <w:pPr>
        <w:jc w:val="both"/>
        <w:rPr>
          <w:b/>
          <w:bCs/>
          <w:color w:val="4472C4" w:themeColor="accent1"/>
        </w:rPr>
      </w:pPr>
      <w:r w:rsidRPr="002743F7">
        <w:rPr>
          <w:b/>
          <w:bCs/>
          <w:color w:val="4472C4" w:themeColor="accent1"/>
        </w:rPr>
        <w:t>METHODS</w:t>
      </w:r>
    </w:p>
    <w:p w14:paraId="194BF8A7" w14:textId="77777777" w:rsidR="004A7A89" w:rsidRPr="004A7A89" w:rsidRDefault="004A7A89" w:rsidP="00654EB9">
      <w:pPr>
        <w:jc w:val="both"/>
        <w:rPr>
          <w:b/>
          <w:bCs/>
        </w:rPr>
      </w:pPr>
      <w:r w:rsidRPr="004A7A89">
        <w:rPr>
          <w:b/>
          <w:bCs/>
        </w:rPr>
        <w:t>Study Area</w:t>
      </w:r>
    </w:p>
    <w:p w14:paraId="128ED4D8" w14:textId="77777777" w:rsidR="004A7A89" w:rsidRPr="004A7A89" w:rsidRDefault="004A7A89" w:rsidP="00654EB9">
      <w:pPr>
        <w:jc w:val="both"/>
      </w:pPr>
      <w:r w:rsidRPr="004A7A89">
        <w:t>This study was conducted in Ondo State, located in southwestern Nigeria. The state has a population characterized by a mix of urban and rural settlements and represents a setting where adolescents face diverse health challenges. Prior research in the region highlights early sexual debut, low contraceptive uptake, and poor utilization of youth-friendly services (Osunmakinwa et al., 2022).</w:t>
      </w:r>
    </w:p>
    <w:p w14:paraId="0C882276" w14:textId="77777777" w:rsidR="004A7A89" w:rsidRPr="004A7A89" w:rsidRDefault="004A7A89" w:rsidP="00654EB9">
      <w:pPr>
        <w:jc w:val="both"/>
        <w:rPr>
          <w:b/>
          <w:bCs/>
        </w:rPr>
      </w:pPr>
      <w:r w:rsidRPr="004A7A89">
        <w:rPr>
          <w:b/>
          <w:bCs/>
        </w:rPr>
        <w:t>Study Design and Population</w:t>
      </w:r>
    </w:p>
    <w:p w14:paraId="003AE66B" w14:textId="7EF80AC8" w:rsidR="004A7A89" w:rsidRPr="004A7A89" w:rsidRDefault="004A7A89" w:rsidP="00654EB9">
      <w:pPr>
        <w:jc w:val="both"/>
      </w:pPr>
      <w:r w:rsidRPr="004A7A89">
        <w:t xml:space="preserve">A descriptive cross-sectional design was </w:t>
      </w:r>
      <w:r w:rsidR="00654EB9" w:rsidRPr="004A7A89">
        <w:t>adopted</w:t>
      </w:r>
      <w:r w:rsidR="002743F7">
        <w:t>.</w:t>
      </w:r>
      <w:r w:rsidRPr="004A7A89">
        <w:t xml:space="preserve"> The study population comprised adolescents aged 10–19 years attending four secondary schools:</w:t>
      </w:r>
      <w:r w:rsidR="002743F7">
        <w:t xml:space="preserve"> </w:t>
      </w:r>
      <w:r w:rsidRPr="004A7A89">
        <w:t>Babcock University High School (BUHS)</w:t>
      </w:r>
      <w:r w:rsidR="002743F7">
        <w:t xml:space="preserve">, </w:t>
      </w:r>
      <w:r w:rsidRPr="004A7A89">
        <w:t>CAC Grammar School (CACGS)</w:t>
      </w:r>
      <w:r w:rsidR="002743F7">
        <w:t xml:space="preserve">, </w:t>
      </w:r>
      <w:r w:rsidRPr="004A7A89">
        <w:t>Impact High School</w:t>
      </w:r>
      <w:r w:rsidR="002743F7">
        <w:t xml:space="preserve">, and </w:t>
      </w:r>
      <w:r w:rsidRPr="004A7A89">
        <w:t>Wexford College</w:t>
      </w:r>
      <w:r w:rsidR="002743F7">
        <w:t>. T</w:t>
      </w:r>
      <w:r w:rsidRPr="004A7A89">
        <w:t>hese schools were selected using a random sampling approach to ensure diversity in socioeconomic and cultural backgrounds.</w:t>
      </w:r>
    </w:p>
    <w:p w14:paraId="6EA64A58" w14:textId="77777777" w:rsidR="004A7A89" w:rsidRPr="004A7A89" w:rsidRDefault="004A7A89" w:rsidP="00654EB9">
      <w:pPr>
        <w:jc w:val="both"/>
        <w:rPr>
          <w:b/>
          <w:bCs/>
        </w:rPr>
      </w:pPr>
      <w:r w:rsidRPr="004A7A89">
        <w:rPr>
          <w:b/>
          <w:bCs/>
        </w:rPr>
        <w:t>Sample Size Determination</w:t>
      </w:r>
    </w:p>
    <w:p w14:paraId="7C7F0A01" w14:textId="77777777" w:rsidR="004A7A89" w:rsidRPr="004A7A89" w:rsidRDefault="004A7A89" w:rsidP="002743F7">
      <w:pPr>
        <w:spacing w:after="0"/>
        <w:jc w:val="both"/>
      </w:pPr>
      <w:r w:rsidRPr="004A7A89">
        <w:t>A total of 221 students participated in the study. The sample size was determined using Cochran’s formula for finite populations, with the following assumptions:</w:t>
      </w:r>
    </w:p>
    <w:p w14:paraId="30AFB024" w14:textId="77777777" w:rsidR="004A7A89" w:rsidRPr="004A7A89" w:rsidRDefault="004A7A89" w:rsidP="002743F7">
      <w:pPr>
        <w:numPr>
          <w:ilvl w:val="0"/>
          <w:numId w:val="2"/>
        </w:numPr>
        <w:spacing w:after="0" w:line="240" w:lineRule="auto"/>
        <w:jc w:val="both"/>
      </w:pPr>
      <w:r w:rsidRPr="004A7A89">
        <w:t>95% confidence level</w:t>
      </w:r>
    </w:p>
    <w:p w14:paraId="5F051E95" w14:textId="77777777" w:rsidR="004A7A89" w:rsidRPr="004A7A89" w:rsidRDefault="004A7A89" w:rsidP="002743F7">
      <w:pPr>
        <w:numPr>
          <w:ilvl w:val="0"/>
          <w:numId w:val="2"/>
        </w:numPr>
        <w:spacing w:after="0" w:line="240" w:lineRule="auto"/>
        <w:jc w:val="both"/>
      </w:pPr>
      <w:r w:rsidRPr="004A7A89">
        <w:t>5% margin of error</w:t>
      </w:r>
    </w:p>
    <w:p w14:paraId="62731B3C" w14:textId="77777777" w:rsidR="004A7A89" w:rsidRDefault="004A7A89" w:rsidP="002743F7">
      <w:pPr>
        <w:numPr>
          <w:ilvl w:val="0"/>
          <w:numId w:val="2"/>
        </w:numPr>
        <w:spacing w:after="0" w:line="240" w:lineRule="auto"/>
        <w:jc w:val="both"/>
      </w:pPr>
      <w:r w:rsidRPr="004A7A89">
        <w:t>20% estimated prevalence of prior sexual activity among adolescents, based on previous research in Akure (Osunmakinwa et al., 2022).</w:t>
      </w:r>
    </w:p>
    <w:p w14:paraId="2D64E565" w14:textId="77777777" w:rsidR="00930EF4" w:rsidRDefault="00930EF4" w:rsidP="00654EB9">
      <w:pPr>
        <w:jc w:val="both"/>
        <w:rPr>
          <w:b/>
          <w:bCs/>
        </w:rPr>
      </w:pPr>
    </w:p>
    <w:p w14:paraId="74E8B638" w14:textId="36D53BD3" w:rsidR="004A7A89" w:rsidRPr="004A7A89" w:rsidRDefault="004A7A89" w:rsidP="00654EB9">
      <w:pPr>
        <w:jc w:val="both"/>
        <w:rPr>
          <w:b/>
          <w:bCs/>
        </w:rPr>
      </w:pPr>
      <w:r w:rsidRPr="004A7A89">
        <w:rPr>
          <w:b/>
          <w:bCs/>
        </w:rPr>
        <w:t>Data Collection</w:t>
      </w:r>
    </w:p>
    <w:p w14:paraId="729CAA97" w14:textId="16B971C1" w:rsidR="004A7A89" w:rsidRPr="004A7A89" w:rsidRDefault="004A7A89" w:rsidP="002743F7">
      <w:pPr>
        <w:jc w:val="both"/>
      </w:pPr>
      <w:r w:rsidRPr="004A7A89">
        <w:t>Data were collected using a pre-tested, self-administered questionnaire</w:t>
      </w:r>
      <w:r w:rsidR="002743F7">
        <w:t xml:space="preserve">. </w:t>
      </w:r>
      <w:r w:rsidRPr="004A7A89">
        <w:t xml:space="preserve">The questionnaire </w:t>
      </w:r>
      <w:r w:rsidR="002743F7">
        <w:t xml:space="preserve">was divided into </w:t>
      </w:r>
      <w:r w:rsidRPr="004A7A89">
        <w:t>Sociodemographic characteristics</w:t>
      </w:r>
      <w:r w:rsidR="002743F7">
        <w:t xml:space="preserve">, </w:t>
      </w:r>
      <w:r w:rsidRPr="004A7A89">
        <w:t>Awareness of SRH issues (e.g., STIs, HIV/AIDS, sexuality education, drug abuse, youth-friendly services)</w:t>
      </w:r>
      <w:r w:rsidR="002743F7">
        <w:t xml:space="preserve">, </w:t>
      </w:r>
      <w:r w:rsidRPr="004A7A89">
        <w:t xml:space="preserve">Utilization of YFHS (e.g., visits to clinics, use of </w:t>
      </w:r>
      <w:r w:rsidRPr="004A7A89">
        <w:lastRenderedPageBreak/>
        <w:t>contraceptives, participation in health clubs)</w:t>
      </w:r>
      <w:r w:rsidR="002743F7">
        <w:t xml:space="preserve">, and </w:t>
      </w:r>
      <w:r w:rsidRPr="004A7A89">
        <w:t xml:space="preserve">Protective </w:t>
      </w:r>
      <w:r w:rsidR="002743F7" w:rsidRPr="004A7A89">
        <w:t>behaviours</w:t>
      </w:r>
      <w:r w:rsidRPr="004A7A89">
        <w:t xml:space="preserve"> (e.g., self-prevention against sexual abuse, menstrual hygiene practices)</w:t>
      </w:r>
      <w:r w:rsidR="002743F7">
        <w:t>.</w:t>
      </w:r>
    </w:p>
    <w:p w14:paraId="7F4960CE" w14:textId="77777777" w:rsidR="004A7A89" w:rsidRPr="004A7A89" w:rsidRDefault="004A7A89" w:rsidP="00654EB9">
      <w:pPr>
        <w:jc w:val="both"/>
        <w:rPr>
          <w:b/>
          <w:bCs/>
        </w:rPr>
      </w:pPr>
      <w:r w:rsidRPr="004A7A89">
        <w:rPr>
          <w:b/>
          <w:bCs/>
        </w:rPr>
        <w:t>Data Analysis</w:t>
      </w:r>
    </w:p>
    <w:p w14:paraId="0E32B3F9" w14:textId="619928E6" w:rsidR="004A7A89" w:rsidRPr="004A7A89" w:rsidRDefault="004A7A89" w:rsidP="002743F7">
      <w:pPr>
        <w:jc w:val="both"/>
      </w:pPr>
      <w:r w:rsidRPr="004A7A89">
        <w:t>Responses were collated, coded, and entered into Microsoft Excel, then exported to Epi-Info version 7 for statistical analysis. Analysis included</w:t>
      </w:r>
      <w:r w:rsidR="002743F7">
        <w:t xml:space="preserve">: </w:t>
      </w:r>
      <w:r w:rsidRPr="004A7A89">
        <w:t>Descriptive statistics</w:t>
      </w:r>
      <w:r w:rsidR="002743F7">
        <w:t xml:space="preserve"> (</w:t>
      </w:r>
      <w:r w:rsidRPr="004A7A89">
        <w:t>Frequencies and percentages summarized awareness and utilization rates</w:t>
      </w:r>
      <w:r w:rsidR="002743F7">
        <w:t xml:space="preserve">), </w:t>
      </w:r>
      <w:r w:rsidRPr="004A7A89">
        <w:t>Cross-tabulations</w:t>
      </w:r>
      <w:r w:rsidR="002743F7">
        <w:t xml:space="preserve"> to </w:t>
      </w:r>
      <w:r w:rsidRPr="004A7A89">
        <w:t xml:space="preserve">compare awareness and </w:t>
      </w:r>
      <w:r w:rsidR="002743F7" w:rsidRPr="004A7A89">
        <w:t>behaviour</w:t>
      </w:r>
      <w:r w:rsidRPr="004A7A89">
        <w:t xml:space="preserve"> across schools</w:t>
      </w:r>
      <w:r w:rsidR="002743F7">
        <w:t xml:space="preserve">, </w:t>
      </w:r>
      <w:r w:rsidRPr="004A7A89">
        <w:t>Graphical presentation</w:t>
      </w:r>
      <w:r w:rsidR="002743F7">
        <w:t xml:space="preserve"> (</w:t>
      </w:r>
      <w:r w:rsidRPr="004A7A89">
        <w:t>Pie charts, bar charts, and tables were used for data visualization</w:t>
      </w:r>
      <w:r w:rsidR="002743F7">
        <w:t>)</w:t>
      </w:r>
    </w:p>
    <w:p w14:paraId="1644BFDE" w14:textId="77777777" w:rsidR="00930EF4" w:rsidRDefault="00930EF4" w:rsidP="00654EB9">
      <w:pPr>
        <w:jc w:val="both"/>
        <w:rPr>
          <w:b/>
          <w:bCs/>
          <w:color w:val="4472C4" w:themeColor="accent1"/>
        </w:rPr>
      </w:pPr>
    </w:p>
    <w:p w14:paraId="0E01703D" w14:textId="77777777" w:rsidR="00930EF4" w:rsidRDefault="00930EF4" w:rsidP="00654EB9">
      <w:pPr>
        <w:jc w:val="both"/>
        <w:rPr>
          <w:b/>
          <w:bCs/>
          <w:color w:val="4472C4" w:themeColor="accent1"/>
        </w:rPr>
      </w:pPr>
    </w:p>
    <w:p w14:paraId="4CF4FF3A" w14:textId="77777777" w:rsidR="00930EF4" w:rsidRDefault="00930EF4" w:rsidP="00654EB9">
      <w:pPr>
        <w:jc w:val="both"/>
        <w:rPr>
          <w:b/>
          <w:bCs/>
          <w:color w:val="4472C4" w:themeColor="accent1"/>
        </w:rPr>
      </w:pPr>
    </w:p>
    <w:p w14:paraId="30778854" w14:textId="77777777" w:rsidR="00930EF4" w:rsidRDefault="00930EF4" w:rsidP="00654EB9">
      <w:pPr>
        <w:jc w:val="both"/>
        <w:rPr>
          <w:b/>
          <w:bCs/>
          <w:color w:val="4472C4" w:themeColor="accent1"/>
        </w:rPr>
      </w:pPr>
    </w:p>
    <w:p w14:paraId="7DF7FB36" w14:textId="77777777" w:rsidR="00930EF4" w:rsidRDefault="00930EF4" w:rsidP="00654EB9">
      <w:pPr>
        <w:jc w:val="both"/>
        <w:rPr>
          <w:b/>
          <w:bCs/>
          <w:color w:val="4472C4" w:themeColor="accent1"/>
        </w:rPr>
      </w:pPr>
    </w:p>
    <w:p w14:paraId="5465367C" w14:textId="77777777" w:rsidR="00930EF4" w:rsidRDefault="00930EF4" w:rsidP="00654EB9">
      <w:pPr>
        <w:jc w:val="both"/>
        <w:rPr>
          <w:b/>
          <w:bCs/>
          <w:color w:val="4472C4" w:themeColor="accent1"/>
        </w:rPr>
      </w:pPr>
    </w:p>
    <w:p w14:paraId="6593DA06" w14:textId="77777777" w:rsidR="00930EF4" w:rsidRDefault="00930EF4" w:rsidP="00654EB9">
      <w:pPr>
        <w:jc w:val="both"/>
        <w:rPr>
          <w:b/>
          <w:bCs/>
          <w:color w:val="4472C4" w:themeColor="accent1"/>
        </w:rPr>
      </w:pPr>
    </w:p>
    <w:p w14:paraId="07DD7A5B" w14:textId="49E80851" w:rsidR="004A7A89" w:rsidRPr="002743F7" w:rsidRDefault="002743F7" w:rsidP="00654EB9">
      <w:pPr>
        <w:jc w:val="both"/>
        <w:rPr>
          <w:b/>
          <w:bCs/>
          <w:color w:val="4472C4" w:themeColor="accent1"/>
        </w:rPr>
      </w:pPr>
      <w:r w:rsidRPr="002743F7">
        <w:rPr>
          <w:b/>
          <w:bCs/>
          <w:color w:val="4472C4" w:themeColor="accent1"/>
        </w:rPr>
        <w:t>RESULTS</w:t>
      </w:r>
    </w:p>
    <w:p w14:paraId="56ABAE01" w14:textId="77777777" w:rsidR="004A7A89" w:rsidRPr="004A7A89" w:rsidRDefault="004A7A89" w:rsidP="00654EB9">
      <w:pPr>
        <w:jc w:val="both"/>
        <w:rPr>
          <w:b/>
          <w:bCs/>
        </w:rPr>
      </w:pPr>
      <w:r w:rsidRPr="004A7A89">
        <w:rPr>
          <w:b/>
          <w:bCs/>
        </w:rPr>
        <w:t>Respondents’ Distribution Across Schools</w:t>
      </w:r>
    </w:p>
    <w:p w14:paraId="172B6CC7" w14:textId="77F8CEF4" w:rsidR="00654EB9" w:rsidRDefault="00654EB9" w:rsidP="00654EB9">
      <w:pPr>
        <w:jc w:val="both"/>
        <w:rPr>
          <w:i/>
          <w:iCs/>
        </w:rPr>
      </w:pPr>
      <w:r>
        <w:rPr>
          <w:noProof/>
          <w:lang w:eastAsia="en-IN"/>
        </w:rPr>
        <w:drawing>
          <wp:inline distT="0" distB="0" distL="0" distR="0" wp14:anchorId="1F285D7B" wp14:editId="4197CA10">
            <wp:extent cx="5731510" cy="388965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31" t="11585" r="29864" b="13484"/>
                    <a:stretch/>
                  </pic:blipFill>
                  <pic:spPr bwMode="auto">
                    <a:xfrm>
                      <a:off x="0" y="0"/>
                      <a:ext cx="5731510" cy="3889659"/>
                    </a:xfrm>
                    <a:prstGeom prst="rect">
                      <a:avLst/>
                    </a:prstGeom>
                    <a:ln>
                      <a:noFill/>
                    </a:ln>
                    <a:extLst>
                      <a:ext uri="{53640926-AAD7-44D8-BBD7-CCE9431645EC}">
                        <a14:shadowObscured xmlns:a14="http://schemas.microsoft.com/office/drawing/2010/main"/>
                      </a:ext>
                    </a:extLst>
                  </pic:spPr>
                </pic:pic>
              </a:graphicData>
            </a:graphic>
          </wp:inline>
        </w:drawing>
      </w:r>
    </w:p>
    <w:p w14:paraId="133F3801" w14:textId="1ED6BC61" w:rsidR="004A7A89" w:rsidRDefault="004A7A89" w:rsidP="00654EB9">
      <w:pPr>
        <w:jc w:val="both"/>
        <w:rPr>
          <w:i/>
          <w:iCs/>
        </w:rPr>
      </w:pPr>
      <w:r w:rsidRPr="004A7A89">
        <w:rPr>
          <w:b/>
          <w:bCs/>
          <w:i/>
          <w:iCs/>
        </w:rPr>
        <w:lastRenderedPageBreak/>
        <w:t>Figure 1</w:t>
      </w:r>
      <w:r w:rsidR="00654EB9" w:rsidRPr="007810B3">
        <w:rPr>
          <w:b/>
          <w:bCs/>
          <w:i/>
          <w:iCs/>
        </w:rPr>
        <w:t>:</w:t>
      </w:r>
      <w:r w:rsidR="00654EB9">
        <w:rPr>
          <w:i/>
          <w:iCs/>
        </w:rPr>
        <w:t xml:space="preserve"> </w:t>
      </w:r>
      <w:r w:rsidRPr="004A7A89">
        <w:rPr>
          <w:i/>
          <w:iCs/>
        </w:rPr>
        <w:t xml:space="preserve">Respondents’ Distribution Across Secondary Schools </w:t>
      </w:r>
    </w:p>
    <w:p w14:paraId="0BB0B7AB" w14:textId="77777777" w:rsidR="00930EF4" w:rsidRDefault="00930EF4" w:rsidP="00654EB9">
      <w:pPr>
        <w:jc w:val="both"/>
        <w:rPr>
          <w:i/>
          <w:iCs/>
        </w:rPr>
      </w:pPr>
    </w:p>
    <w:p w14:paraId="250D00A0" w14:textId="77777777" w:rsidR="00654EB9" w:rsidRDefault="00654EB9" w:rsidP="00654EB9">
      <w:pPr>
        <w:rPr>
          <w:rFonts w:ascii="Times New Roman" w:hAnsi="Times New Roman" w:cs="Times New Roman"/>
          <w:b/>
        </w:rPr>
      </w:pPr>
      <w:r>
        <w:rPr>
          <w:rFonts w:ascii="Times New Roman" w:hAnsi="Times New Roman" w:cs="Times New Roman"/>
          <w:b/>
        </w:rPr>
        <w:t xml:space="preserve">Table 1: </w:t>
      </w:r>
      <w:r w:rsidRPr="007810B3">
        <w:rPr>
          <w:rFonts w:ascii="Times New Roman" w:hAnsi="Times New Roman" w:cs="Times New Roman"/>
          <w:bCs/>
        </w:rPr>
        <w:t>Respondents awareness/knowledge of Family life and Health Education</w:t>
      </w:r>
    </w:p>
    <w:tbl>
      <w:tblPr>
        <w:tblW w:w="9072" w:type="dxa"/>
        <w:tblLayout w:type="fixed"/>
        <w:tblLook w:val="04A0" w:firstRow="1" w:lastRow="0" w:firstColumn="1" w:lastColumn="0" w:noHBand="0" w:noVBand="1"/>
      </w:tblPr>
      <w:tblGrid>
        <w:gridCol w:w="3828"/>
        <w:gridCol w:w="1311"/>
        <w:gridCol w:w="1311"/>
        <w:gridCol w:w="1311"/>
        <w:gridCol w:w="1311"/>
      </w:tblGrid>
      <w:tr w:rsidR="00654EB9" w:rsidRPr="001B34DE" w14:paraId="40161E19" w14:textId="77777777" w:rsidTr="00654EB9">
        <w:tc>
          <w:tcPr>
            <w:tcW w:w="3828" w:type="dxa"/>
            <w:vMerge w:val="restart"/>
            <w:vAlign w:val="bottom"/>
          </w:tcPr>
          <w:p w14:paraId="1B0BCB17"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vAlign w:val="bottom"/>
          </w:tcPr>
          <w:p w14:paraId="2E7B025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12893B7A" w14:textId="77777777" w:rsidTr="00654EB9">
        <w:tc>
          <w:tcPr>
            <w:tcW w:w="3828" w:type="dxa"/>
            <w:vMerge/>
            <w:vAlign w:val="bottom"/>
          </w:tcPr>
          <w:p w14:paraId="2B8D7209"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C5C8BA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vAlign w:val="bottom"/>
          </w:tcPr>
          <w:p w14:paraId="35664AF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vAlign w:val="bottom"/>
          </w:tcPr>
          <w:p w14:paraId="3057336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vAlign w:val="bottom"/>
          </w:tcPr>
          <w:p w14:paraId="1C5C0DC7"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1B34DE" w14:paraId="6F0232AF" w14:textId="77777777" w:rsidTr="00654EB9">
        <w:tc>
          <w:tcPr>
            <w:tcW w:w="3828" w:type="dxa"/>
            <w:vAlign w:val="bottom"/>
          </w:tcPr>
          <w:p w14:paraId="35BB62E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xml:space="preserve">Heard of family life and </w:t>
            </w:r>
            <w:r>
              <w:rPr>
                <w:rFonts w:ascii="Times New Roman" w:eastAsia="Times New Roman" w:hAnsi="Times New Roman" w:cs="Times New Roman"/>
                <w:color w:val="000000"/>
              </w:rPr>
              <w:t>HIV</w:t>
            </w:r>
          </w:p>
        </w:tc>
        <w:tc>
          <w:tcPr>
            <w:tcW w:w="1311" w:type="dxa"/>
            <w:vAlign w:val="bottom"/>
          </w:tcPr>
          <w:p w14:paraId="70CF135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55(32.35)</w:t>
            </w:r>
          </w:p>
        </w:tc>
        <w:tc>
          <w:tcPr>
            <w:tcW w:w="1311" w:type="dxa"/>
            <w:vAlign w:val="bottom"/>
          </w:tcPr>
          <w:p w14:paraId="5326948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31(18.24)</w:t>
            </w:r>
          </w:p>
        </w:tc>
        <w:tc>
          <w:tcPr>
            <w:tcW w:w="1311" w:type="dxa"/>
            <w:vAlign w:val="bottom"/>
          </w:tcPr>
          <w:p w14:paraId="0A1CCC4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31(18.24)</w:t>
            </w:r>
          </w:p>
        </w:tc>
        <w:tc>
          <w:tcPr>
            <w:tcW w:w="1311" w:type="dxa"/>
            <w:vAlign w:val="bottom"/>
          </w:tcPr>
          <w:p w14:paraId="0DD63D8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53(31.18)</w:t>
            </w:r>
          </w:p>
        </w:tc>
      </w:tr>
      <w:tr w:rsidR="00654EB9" w:rsidRPr="001B34DE" w14:paraId="68C90C85" w14:textId="77777777" w:rsidTr="00654EB9">
        <w:tc>
          <w:tcPr>
            <w:tcW w:w="3828" w:type="dxa"/>
            <w:vAlign w:val="bottom"/>
          </w:tcPr>
          <w:p w14:paraId="425F65F3"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60D6F73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1D6CDF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A7BC5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5F23AD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1B93B71D" w14:textId="77777777" w:rsidTr="00654EB9">
        <w:tc>
          <w:tcPr>
            <w:tcW w:w="3828" w:type="dxa"/>
            <w:vAlign w:val="bottom"/>
          </w:tcPr>
          <w:p w14:paraId="03F23B3D"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Life building skills</w:t>
            </w:r>
          </w:p>
        </w:tc>
        <w:tc>
          <w:tcPr>
            <w:tcW w:w="1311" w:type="dxa"/>
            <w:vAlign w:val="bottom"/>
          </w:tcPr>
          <w:p w14:paraId="7ED73C5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48(29.63)</w:t>
            </w:r>
          </w:p>
        </w:tc>
        <w:tc>
          <w:tcPr>
            <w:tcW w:w="1311" w:type="dxa"/>
            <w:vAlign w:val="bottom"/>
          </w:tcPr>
          <w:p w14:paraId="2233DE9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31(19.14)</w:t>
            </w:r>
          </w:p>
        </w:tc>
        <w:tc>
          <w:tcPr>
            <w:tcW w:w="1311" w:type="dxa"/>
            <w:vAlign w:val="bottom"/>
          </w:tcPr>
          <w:p w14:paraId="3AEFAEE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28(17.28)</w:t>
            </w:r>
          </w:p>
        </w:tc>
        <w:tc>
          <w:tcPr>
            <w:tcW w:w="1311" w:type="dxa"/>
            <w:vAlign w:val="bottom"/>
          </w:tcPr>
          <w:p w14:paraId="1815E8E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55(33.95)</w:t>
            </w:r>
          </w:p>
        </w:tc>
      </w:tr>
      <w:tr w:rsidR="00654EB9" w:rsidRPr="001B34DE" w14:paraId="4EA640A6" w14:textId="77777777" w:rsidTr="00654EB9">
        <w:tc>
          <w:tcPr>
            <w:tcW w:w="3828" w:type="dxa"/>
            <w:vAlign w:val="bottom"/>
          </w:tcPr>
          <w:p w14:paraId="0CE48FE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3772605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9E7FE38"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4107EC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7DCDA0E"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472ECC69" w14:textId="77777777" w:rsidTr="00654EB9">
        <w:tc>
          <w:tcPr>
            <w:tcW w:w="3828" w:type="dxa"/>
            <w:vAlign w:val="bottom"/>
          </w:tcPr>
          <w:p w14:paraId="5B0AF9E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Sexuality education</w:t>
            </w:r>
          </w:p>
        </w:tc>
        <w:tc>
          <w:tcPr>
            <w:tcW w:w="1311" w:type="dxa"/>
            <w:vAlign w:val="bottom"/>
          </w:tcPr>
          <w:p w14:paraId="4F228F8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66(33)</w:t>
            </w:r>
          </w:p>
        </w:tc>
        <w:tc>
          <w:tcPr>
            <w:tcW w:w="1311" w:type="dxa"/>
            <w:vAlign w:val="bottom"/>
          </w:tcPr>
          <w:p w14:paraId="7BE8074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36(18)</w:t>
            </w:r>
          </w:p>
        </w:tc>
        <w:tc>
          <w:tcPr>
            <w:tcW w:w="1311" w:type="dxa"/>
            <w:vAlign w:val="bottom"/>
          </w:tcPr>
          <w:p w14:paraId="0F6B15B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30(15)</w:t>
            </w:r>
          </w:p>
        </w:tc>
        <w:tc>
          <w:tcPr>
            <w:tcW w:w="1311" w:type="dxa"/>
            <w:vAlign w:val="bottom"/>
          </w:tcPr>
          <w:p w14:paraId="1A2CE3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68(34)</w:t>
            </w:r>
          </w:p>
        </w:tc>
      </w:tr>
      <w:tr w:rsidR="00654EB9" w:rsidRPr="001B34DE" w14:paraId="293062AC" w14:textId="77777777" w:rsidTr="00654EB9">
        <w:tc>
          <w:tcPr>
            <w:tcW w:w="3828" w:type="dxa"/>
            <w:vAlign w:val="bottom"/>
          </w:tcPr>
          <w:p w14:paraId="6964AF4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56A566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26873A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C2A4E3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E07B82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032E115B" w14:textId="77777777" w:rsidTr="00654EB9">
        <w:tc>
          <w:tcPr>
            <w:tcW w:w="3828" w:type="dxa"/>
            <w:vAlign w:val="bottom"/>
          </w:tcPr>
          <w:p w14:paraId="4046244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Internet addiction</w:t>
            </w:r>
          </w:p>
        </w:tc>
        <w:tc>
          <w:tcPr>
            <w:tcW w:w="1311" w:type="dxa"/>
            <w:vAlign w:val="bottom"/>
          </w:tcPr>
          <w:p w14:paraId="5DEB39D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58(36.25)</w:t>
            </w:r>
          </w:p>
        </w:tc>
        <w:tc>
          <w:tcPr>
            <w:tcW w:w="1311" w:type="dxa"/>
            <w:vAlign w:val="bottom"/>
          </w:tcPr>
          <w:p w14:paraId="2417033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16(10)</w:t>
            </w:r>
          </w:p>
        </w:tc>
        <w:tc>
          <w:tcPr>
            <w:tcW w:w="1311" w:type="dxa"/>
            <w:vAlign w:val="bottom"/>
          </w:tcPr>
          <w:p w14:paraId="21E21B9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30(18.75)</w:t>
            </w:r>
          </w:p>
        </w:tc>
        <w:tc>
          <w:tcPr>
            <w:tcW w:w="1311" w:type="dxa"/>
            <w:vAlign w:val="bottom"/>
          </w:tcPr>
          <w:p w14:paraId="7A49FAF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56(35)</w:t>
            </w:r>
          </w:p>
        </w:tc>
      </w:tr>
      <w:tr w:rsidR="00654EB9" w:rsidRPr="001B34DE" w14:paraId="0A186532" w14:textId="77777777" w:rsidTr="00654EB9">
        <w:tc>
          <w:tcPr>
            <w:tcW w:w="3828" w:type="dxa"/>
            <w:vAlign w:val="bottom"/>
          </w:tcPr>
          <w:p w14:paraId="195C7CF1"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0C31FBD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496A91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2E0BBB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28EC49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2A22771C" w14:textId="77777777" w:rsidTr="00654EB9">
        <w:tc>
          <w:tcPr>
            <w:tcW w:w="3828" w:type="dxa"/>
            <w:vAlign w:val="bottom"/>
          </w:tcPr>
          <w:p w14:paraId="64EED334"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Drug abuse</w:t>
            </w:r>
          </w:p>
        </w:tc>
        <w:tc>
          <w:tcPr>
            <w:tcW w:w="1311" w:type="dxa"/>
            <w:vAlign w:val="bottom"/>
          </w:tcPr>
          <w:p w14:paraId="392959E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69(35.03)</w:t>
            </w:r>
          </w:p>
        </w:tc>
        <w:tc>
          <w:tcPr>
            <w:tcW w:w="1311" w:type="dxa"/>
            <w:vAlign w:val="bottom"/>
          </w:tcPr>
          <w:p w14:paraId="026A5E2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32(16.24)</w:t>
            </w:r>
          </w:p>
        </w:tc>
        <w:tc>
          <w:tcPr>
            <w:tcW w:w="1311" w:type="dxa"/>
            <w:vAlign w:val="bottom"/>
          </w:tcPr>
          <w:p w14:paraId="45AB3F0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30(15.23)</w:t>
            </w:r>
          </w:p>
        </w:tc>
        <w:tc>
          <w:tcPr>
            <w:tcW w:w="1311" w:type="dxa"/>
            <w:vAlign w:val="bottom"/>
          </w:tcPr>
          <w:p w14:paraId="559E049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66(33.5)</w:t>
            </w:r>
          </w:p>
        </w:tc>
      </w:tr>
      <w:tr w:rsidR="00654EB9" w:rsidRPr="001B34DE" w14:paraId="304BE0FD" w14:textId="77777777" w:rsidTr="00654EB9">
        <w:tc>
          <w:tcPr>
            <w:tcW w:w="3828" w:type="dxa"/>
            <w:vAlign w:val="bottom"/>
          </w:tcPr>
          <w:p w14:paraId="074042BE"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474D372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848F17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641B1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708931"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7C6A719F" w14:textId="77777777" w:rsidTr="00654EB9">
        <w:tc>
          <w:tcPr>
            <w:tcW w:w="3828" w:type="dxa"/>
            <w:vAlign w:val="bottom"/>
          </w:tcPr>
          <w:p w14:paraId="6A03089F"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Heard of Youth friendly services</w:t>
            </w:r>
          </w:p>
        </w:tc>
        <w:tc>
          <w:tcPr>
            <w:tcW w:w="1311" w:type="dxa"/>
            <w:vAlign w:val="bottom"/>
          </w:tcPr>
          <w:p w14:paraId="116EBD3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25(28.41)</w:t>
            </w:r>
          </w:p>
        </w:tc>
        <w:tc>
          <w:tcPr>
            <w:tcW w:w="1311" w:type="dxa"/>
            <w:vAlign w:val="bottom"/>
          </w:tcPr>
          <w:p w14:paraId="605EA23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19(21.59)</w:t>
            </w:r>
          </w:p>
        </w:tc>
        <w:tc>
          <w:tcPr>
            <w:tcW w:w="1311" w:type="dxa"/>
            <w:vAlign w:val="bottom"/>
          </w:tcPr>
          <w:p w14:paraId="298184F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13(14.77)</w:t>
            </w:r>
          </w:p>
        </w:tc>
        <w:tc>
          <w:tcPr>
            <w:tcW w:w="1311" w:type="dxa"/>
            <w:vAlign w:val="bottom"/>
          </w:tcPr>
          <w:p w14:paraId="68D632DF"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31(35.23)</w:t>
            </w:r>
          </w:p>
        </w:tc>
      </w:tr>
      <w:tr w:rsidR="00654EB9" w:rsidRPr="001B34DE" w14:paraId="6E39A0F3" w14:textId="77777777" w:rsidTr="00654EB9">
        <w:tc>
          <w:tcPr>
            <w:tcW w:w="3828" w:type="dxa"/>
            <w:vAlign w:val="bottom"/>
          </w:tcPr>
          <w:p w14:paraId="1A95CE16"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000FD61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A942D3A"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980F39"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18CB64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5A72FD66" w14:textId="77777777" w:rsidTr="00654EB9">
        <w:tc>
          <w:tcPr>
            <w:tcW w:w="3828" w:type="dxa"/>
            <w:vAlign w:val="bottom"/>
          </w:tcPr>
          <w:p w14:paraId="33E07E58"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xml:space="preserve">Ever visited </w:t>
            </w:r>
            <w:r>
              <w:rPr>
                <w:rFonts w:ascii="Times New Roman" w:eastAsia="Times New Roman" w:hAnsi="Times New Roman" w:cs="Times New Roman"/>
                <w:color w:val="000000"/>
              </w:rPr>
              <w:t>Youth friendly clinic</w:t>
            </w:r>
          </w:p>
        </w:tc>
        <w:tc>
          <w:tcPr>
            <w:tcW w:w="1311" w:type="dxa"/>
            <w:vAlign w:val="bottom"/>
          </w:tcPr>
          <w:p w14:paraId="465BB76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14(56)</w:t>
            </w:r>
          </w:p>
        </w:tc>
        <w:tc>
          <w:tcPr>
            <w:tcW w:w="1311" w:type="dxa"/>
            <w:vAlign w:val="bottom"/>
          </w:tcPr>
          <w:p w14:paraId="4796F40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7(28)</w:t>
            </w:r>
          </w:p>
        </w:tc>
        <w:tc>
          <w:tcPr>
            <w:tcW w:w="1311" w:type="dxa"/>
            <w:vAlign w:val="bottom"/>
          </w:tcPr>
          <w:p w14:paraId="051CB10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w:t>
            </w:r>
          </w:p>
        </w:tc>
        <w:tc>
          <w:tcPr>
            <w:tcW w:w="1311" w:type="dxa"/>
            <w:vAlign w:val="bottom"/>
          </w:tcPr>
          <w:p w14:paraId="38C0E08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3(12)</w:t>
            </w:r>
          </w:p>
        </w:tc>
      </w:tr>
      <w:tr w:rsidR="00654EB9" w:rsidRPr="001B34DE" w14:paraId="4F148BAF" w14:textId="77777777" w:rsidTr="00654EB9">
        <w:tc>
          <w:tcPr>
            <w:tcW w:w="3828" w:type="dxa"/>
            <w:vAlign w:val="bottom"/>
          </w:tcPr>
          <w:p w14:paraId="08702825"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51C0D11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D22E57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EC97B8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29451D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1379A824" w14:textId="77777777" w:rsidTr="00654EB9">
        <w:tc>
          <w:tcPr>
            <w:tcW w:w="3828" w:type="dxa"/>
            <w:vAlign w:val="bottom"/>
          </w:tcPr>
          <w:p w14:paraId="623F8599" w14:textId="77777777" w:rsidR="00654EB9" w:rsidRPr="002D66C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Major sources of values</w:t>
            </w:r>
          </w:p>
        </w:tc>
        <w:tc>
          <w:tcPr>
            <w:tcW w:w="1311" w:type="dxa"/>
            <w:vAlign w:val="bottom"/>
          </w:tcPr>
          <w:p w14:paraId="39F5344C"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EE408CD"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D3254F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EF3A12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3B7C6C53" w14:textId="77777777" w:rsidTr="00654EB9">
        <w:tc>
          <w:tcPr>
            <w:tcW w:w="3828" w:type="dxa"/>
            <w:vAlign w:val="bottom"/>
          </w:tcPr>
          <w:p w14:paraId="3D341A43"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Family</w:t>
            </w:r>
          </w:p>
        </w:tc>
        <w:tc>
          <w:tcPr>
            <w:tcW w:w="1311" w:type="dxa"/>
            <w:vAlign w:val="bottom"/>
          </w:tcPr>
          <w:p w14:paraId="12E0442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62(32.98)</w:t>
            </w:r>
          </w:p>
        </w:tc>
        <w:tc>
          <w:tcPr>
            <w:tcW w:w="1311" w:type="dxa"/>
            <w:vAlign w:val="bottom"/>
          </w:tcPr>
          <w:p w14:paraId="40A2338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26(13.83)</w:t>
            </w:r>
          </w:p>
        </w:tc>
        <w:tc>
          <w:tcPr>
            <w:tcW w:w="1311" w:type="dxa"/>
            <w:vAlign w:val="bottom"/>
          </w:tcPr>
          <w:p w14:paraId="29A07D5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29(15.43)</w:t>
            </w:r>
          </w:p>
        </w:tc>
        <w:tc>
          <w:tcPr>
            <w:tcW w:w="1311" w:type="dxa"/>
            <w:vAlign w:val="bottom"/>
          </w:tcPr>
          <w:p w14:paraId="0CF559A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71(37.77)</w:t>
            </w:r>
          </w:p>
        </w:tc>
      </w:tr>
      <w:tr w:rsidR="00654EB9" w:rsidRPr="001B34DE" w14:paraId="327342F7" w14:textId="77777777" w:rsidTr="00654EB9">
        <w:tc>
          <w:tcPr>
            <w:tcW w:w="3828" w:type="dxa"/>
            <w:vAlign w:val="bottom"/>
          </w:tcPr>
          <w:p w14:paraId="2F548924"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Community</w:t>
            </w:r>
          </w:p>
        </w:tc>
        <w:tc>
          <w:tcPr>
            <w:tcW w:w="1311" w:type="dxa"/>
            <w:vAlign w:val="bottom"/>
          </w:tcPr>
          <w:p w14:paraId="591DED8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26(23.01)</w:t>
            </w:r>
          </w:p>
        </w:tc>
        <w:tc>
          <w:tcPr>
            <w:tcW w:w="1311" w:type="dxa"/>
            <w:vAlign w:val="bottom"/>
          </w:tcPr>
          <w:p w14:paraId="6C2DA6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22(19.47)</w:t>
            </w:r>
          </w:p>
        </w:tc>
        <w:tc>
          <w:tcPr>
            <w:tcW w:w="1311" w:type="dxa"/>
            <w:vAlign w:val="bottom"/>
          </w:tcPr>
          <w:p w14:paraId="2E617214"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21(18.58)</w:t>
            </w:r>
          </w:p>
        </w:tc>
        <w:tc>
          <w:tcPr>
            <w:tcW w:w="1311" w:type="dxa"/>
            <w:vAlign w:val="bottom"/>
          </w:tcPr>
          <w:p w14:paraId="6B623A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44(38.94)</w:t>
            </w:r>
          </w:p>
        </w:tc>
      </w:tr>
      <w:tr w:rsidR="00654EB9" w:rsidRPr="001B34DE" w14:paraId="1625E20D" w14:textId="77777777" w:rsidTr="00654EB9">
        <w:tc>
          <w:tcPr>
            <w:tcW w:w="3828" w:type="dxa"/>
            <w:vAlign w:val="bottom"/>
          </w:tcPr>
          <w:p w14:paraId="0ADCD87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Peer groups</w:t>
            </w:r>
          </w:p>
        </w:tc>
        <w:tc>
          <w:tcPr>
            <w:tcW w:w="1311" w:type="dxa"/>
            <w:vAlign w:val="bottom"/>
          </w:tcPr>
          <w:p w14:paraId="55694C2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20(21.98)</w:t>
            </w:r>
          </w:p>
        </w:tc>
        <w:tc>
          <w:tcPr>
            <w:tcW w:w="1311" w:type="dxa"/>
            <w:vAlign w:val="bottom"/>
          </w:tcPr>
          <w:p w14:paraId="439B8F3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22(24.18)</w:t>
            </w:r>
          </w:p>
        </w:tc>
        <w:tc>
          <w:tcPr>
            <w:tcW w:w="1311" w:type="dxa"/>
            <w:vAlign w:val="bottom"/>
          </w:tcPr>
          <w:p w14:paraId="41D143E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15(16.48)</w:t>
            </w:r>
          </w:p>
        </w:tc>
        <w:tc>
          <w:tcPr>
            <w:tcW w:w="1311" w:type="dxa"/>
            <w:vAlign w:val="bottom"/>
          </w:tcPr>
          <w:p w14:paraId="142623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34(37.36)</w:t>
            </w:r>
          </w:p>
        </w:tc>
      </w:tr>
      <w:tr w:rsidR="00654EB9" w:rsidRPr="001B34DE" w14:paraId="11D38143" w14:textId="77777777" w:rsidTr="00654EB9">
        <w:tc>
          <w:tcPr>
            <w:tcW w:w="3828" w:type="dxa"/>
            <w:vAlign w:val="bottom"/>
          </w:tcPr>
          <w:p w14:paraId="465DB75B"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School environment</w:t>
            </w:r>
          </w:p>
        </w:tc>
        <w:tc>
          <w:tcPr>
            <w:tcW w:w="1311" w:type="dxa"/>
            <w:vAlign w:val="bottom"/>
          </w:tcPr>
          <w:p w14:paraId="14500576"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32(30.48)</w:t>
            </w:r>
          </w:p>
        </w:tc>
        <w:tc>
          <w:tcPr>
            <w:tcW w:w="1311" w:type="dxa"/>
            <w:vAlign w:val="bottom"/>
          </w:tcPr>
          <w:p w14:paraId="5CEE4CD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9(8.57)</w:t>
            </w:r>
          </w:p>
        </w:tc>
        <w:tc>
          <w:tcPr>
            <w:tcW w:w="1311" w:type="dxa"/>
            <w:vAlign w:val="bottom"/>
          </w:tcPr>
          <w:p w14:paraId="3D05DCA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24(22.86)</w:t>
            </w:r>
          </w:p>
        </w:tc>
        <w:tc>
          <w:tcPr>
            <w:tcW w:w="1311" w:type="dxa"/>
            <w:vAlign w:val="bottom"/>
          </w:tcPr>
          <w:p w14:paraId="24EF77C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40(38.1)</w:t>
            </w:r>
          </w:p>
        </w:tc>
      </w:tr>
      <w:tr w:rsidR="00654EB9" w:rsidRPr="001B34DE" w14:paraId="7235D8C3" w14:textId="77777777" w:rsidTr="00654EB9">
        <w:tc>
          <w:tcPr>
            <w:tcW w:w="3828" w:type="dxa"/>
            <w:vAlign w:val="bottom"/>
          </w:tcPr>
          <w:p w14:paraId="7A12AAFF"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Places of worship</w:t>
            </w:r>
          </w:p>
        </w:tc>
        <w:tc>
          <w:tcPr>
            <w:tcW w:w="1311" w:type="dxa"/>
            <w:vAlign w:val="bottom"/>
          </w:tcPr>
          <w:p w14:paraId="3936F9A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33(35.48)</w:t>
            </w:r>
          </w:p>
        </w:tc>
        <w:tc>
          <w:tcPr>
            <w:tcW w:w="1311" w:type="dxa"/>
            <w:vAlign w:val="bottom"/>
          </w:tcPr>
          <w:p w14:paraId="0D14C08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6(6.45)</w:t>
            </w:r>
          </w:p>
        </w:tc>
        <w:tc>
          <w:tcPr>
            <w:tcW w:w="1311" w:type="dxa"/>
            <w:vAlign w:val="bottom"/>
          </w:tcPr>
          <w:p w14:paraId="7029F53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20(21.51)</w:t>
            </w:r>
          </w:p>
        </w:tc>
        <w:tc>
          <w:tcPr>
            <w:tcW w:w="1311" w:type="dxa"/>
            <w:vAlign w:val="bottom"/>
          </w:tcPr>
          <w:p w14:paraId="14B155D0"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34(36.56)</w:t>
            </w:r>
          </w:p>
        </w:tc>
      </w:tr>
      <w:tr w:rsidR="00654EB9" w:rsidRPr="001B34DE" w14:paraId="650C9C31" w14:textId="77777777" w:rsidTr="00654EB9">
        <w:tc>
          <w:tcPr>
            <w:tcW w:w="3828" w:type="dxa"/>
            <w:vAlign w:val="bottom"/>
          </w:tcPr>
          <w:p w14:paraId="16C9A6A1"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 </w:t>
            </w:r>
          </w:p>
        </w:tc>
        <w:tc>
          <w:tcPr>
            <w:tcW w:w="1311" w:type="dxa"/>
            <w:vAlign w:val="bottom"/>
          </w:tcPr>
          <w:p w14:paraId="510A36A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FDF2EB6"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00FBCA2"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6C45563"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666FC17A" w14:textId="77777777" w:rsidTr="00654EB9">
        <w:tc>
          <w:tcPr>
            <w:tcW w:w="3828" w:type="dxa"/>
            <w:vAlign w:val="bottom"/>
          </w:tcPr>
          <w:p w14:paraId="2FD0FA90" w14:textId="77777777" w:rsidR="00654EB9" w:rsidRPr="002D66C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Type of self esteem</w:t>
            </w:r>
          </w:p>
        </w:tc>
        <w:tc>
          <w:tcPr>
            <w:tcW w:w="1311" w:type="dxa"/>
            <w:vAlign w:val="bottom"/>
          </w:tcPr>
          <w:p w14:paraId="7F293C54"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BFC506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9A69E25"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0DD9F8"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1B34DE" w14:paraId="38CD773E" w14:textId="77777777" w:rsidTr="00654EB9">
        <w:tc>
          <w:tcPr>
            <w:tcW w:w="3828" w:type="dxa"/>
            <w:vAlign w:val="bottom"/>
          </w:tcPr>
          <w:p w14:paraId="685E62F9"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High self esteem</w:t>
            </w:r>
          </w:p>
        </w:tc>
        <w:tc>
          <w:tcPr>
            <w:tcW w:w="1311" w:type="dxa"/>
            <w:vAlign w:val="bottom"/>
          </w:tcPr>
          <w:p w14:paraId="0807DBC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49(31.61)</w:t>
            </w:r>
          </w:p>
        </w:tc>
        <w:tc>
          <w:tcPr>
            <w:tcW w:w="1311" w:type="dxa"/>
            <w:vAlign w:val="bottom"/>
          </w:tcPr>
          <w:p w14:paraId="308620C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19(12.26)</w:t>
            </w:r>
          </w:p>
        </w:tc>
        <w:tc>
          <w:tcPr>
            <w:tcW w:w="1311" w:type="dxa"/>
            <w:vAlign w:val="bottom"/>
          </w:tcPr>
          <w:p w14:paraId="24A540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27(17.42)</w:t>
            </w:r>
          </w:p>
        </w:tc>
        <w:tc>
          <w:tcPr>
            <w:tcW w:w="1311" w:type="dxa"/>
            <w:vAlign w:val="bottom"/>
          </w:tcPr>
          <w:p w14:paraId="72A1808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60(38.71)</w:t>
            </w:r>
          </w:p>
        </w:tc>
      </w:tr>
      <w:tr w:rsidR="00654EB9" w:rsidRPr="001B34DE" w14:paraId="560ED351" w14:textId="77777777" w:rsidTr="00654EB9">
        <w:tc>
          <w:tcPr>
            <w:tcW w:w="3828" w:type="dxa"/>
            <w:vAlign w:val="bottom"/>
          </w:tcPr>
          <w:p w14:paraId="3D644D15"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Moderate</w:t>
            </w:r>
          </w:p>
        </w:tc>
        <w:tc>
          <w:tcPr>
            <w:tcW w:w="1311" w:type="dxa"/>
            <w:vAlign w:val="bottom"/>
          </w:tcPr>
          <w:p w14:paraId="4BEDE40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15(24.19)</w:t>
            </w:r>
          </w:p>
        </w:tc>
        <w:tc>
          <w:tcPr>
            <w:tcW w:w="1311" w:type="dxa"/>
            <w:vAlign w:val="bottom"/>
          </w:tcPr>
          <w:p w14:paraId="0051289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20(32.26)</w:t>
            </w:r>
          </w:p>
        </w:tc>
        <w:tc>
          <w:tcPr>
            <w:tcW w:w="1311" w:type="dxa"/>
            <w:vAlign w:val="bottom"/>
          </w:tcPr>
          <w:p w14:paraId="448E4EF1"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7(11.29)</w:t>
            </w:r>
          </w:p>
        </w:tc>
        <w:tc>
          <w:tcPr>
            <w:tcW w:w="1311" w:type="dxa"/>
            <w:vAlign w:val="bottom"/>
          </w:tcPr>
          <w:p w14:paraId="22774E9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20(32.26)</w:t>
            </w:r>
          </w:p>
        </w:tc>
      </w:tr>
      <w:tr w:rsidR="00654EB9" w:rsidRPr="001B34DE" w14:paraId="35264F09" w14:textId="77777777" w:rsidTr="00654EB9">
        <w:tc>
          <w:tcPr>
            <w:tcW w:w="3828" w:type="dxa"/>
            <w:vAlign w:val="bottom"/>
          </w:tcPr>
          <w:p w14:paraId="11CDA9D0"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Low</w:t>
            </w:r>
          </w:p>
        </w:tc>
        <w:tc>
          <w:tcPr>
            <w:tcW w:w="1311" w:type="dxa"/>
            <w:vAlign w:val="bottom"/>
          </w:tcPr>
          <w:p w14:paraId="19F84CCF"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41(32.28)</w:t>
            </w:r>
          </w:p>
        </w:tc>
        <w:tc>
          <w:tcPr>
            <w:tcW w:w="1311" w:type="dxa"/>
            <w:vAlign w:val="bottom"/>
          </w:tcPr>
          <w:p w14:paraId="65A7562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15(11.81)</w:t>
            </w:r>
          </w:p>
        </w:tc>
        <w:tc>
          <w:tcPr>
            <w:tcW w:w="1311" w:type="dxa"/>
            <w:vAlign w:val="bottom"/>
          </w:tcPr>
          <w:p w14:paraId="5FA1BFEE"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25(19.69)</w:t>
            </w:r>
          </w:p>
        </w:tc>
        <w:tc>
          <w:tcPr>
            <w:tcW w:w="1311" w:type="dxa"/>
            <w:vAlign w:val="bottom"/>
          </w:tcPr>
          <w:p w14:paraId="5B4D0785"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46(36.22)</w:t>
            </w:r>
          </w:p>
        </w:tc>
      </w:tr>
      <w:tr w:rsidR="00654EB9" w:rsidRPr="001B34DE" w14:paraId="10BAC88D" w14:textId="77777777" w:rsidTr="00654EB9">
        <w:tc>
          <w:tcPr>
            <w:tcW w:w="3828" w:type="dxa"/>
            <w:vAlign w:val="bottom"/>
          </w:tcPr>
          <w:p w14:paraId="19B2DE52" w14:textId="77777777" w:rsidR="00654EB9" w:rsidRPr="001B34DE" w:rsidRDefault="00654EB9" w:rsidP="00D2047E">
            <w:pPr>
              <w:spacing w:after="0" w:line="240" w:lineRule="auto"/>
              <w:rPr>
                <w:rFonts w:ascii="Times New Roman" w:eastAsia="Times New Roman" w:hAnsi="Times New Roman" w:cs="Times New Roman"/>
                <w:color w:val="000000"/>
              </w:rPr>
            </w:pPr>
            <w:r w:rsidRPr="001B34DE">
              <w:rPr>
                <w:rFonts w:ascii="Times New Roman" w:eastAsia="Times New Roman" w:hAnsi="Times New Roman" w:cs="Times New Roman"/>
                <w:color w:val="000000"/>
              </w:rPr>
              <w:t>Up</w:t>
            </w:r>
          </w:p>
        </w:tc>
        <w:tc>
          <w:tcPr>
            <w:tcW w:w="1311" w:type="dxa"/>
            <w:vAlign w:val="bottom"/>
          </w:tcPr>
          <w:p w14:paraId="7E079F4A"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15(36.59)</w:t>
            </w:r>
          </w:p>
        </w:tc>
        <w:tc>
          <w:tcPr>
            <w:tcW w:w="1311" w:type="dxa"/>
            <w:vAlign w:val="bottom"/>
          </w:tcPr>
          <w:p w14:paraId="0576E03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9(21.95)</w:t>
            </w:r>
          </w:p>
        </w:tc>
        <w:tc>
          <w:tcPr>
            <w:tcW w:w="1311" w:type="dxa"/>
            <w:vAlign w:val="bottom"/>
          </w:tcPr>
          <w:p w14:paraId="3C85052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3(7.32)</w:t>
            </w:r>
          </w:p>
        </w:tc>
        <w:tc>
          <w:tcPr>
            <w:tcW w:w="1311" w:type="dxa"/>
            <w:vAlign w:val="bottom"/>
          </w:tcPr>
          <w:p w14:paraId="5622D10D"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sidRPr="001B34DE">
              <w:rPr>
                <w:rFonts w:ascii="Times New Roman" w:eastAsia="Times New Roman" w:hAnsi="Times New Roman" w:cs="Times New Roman"/>
                <w:color w:val="000000"/>
              </w:rPr>
              <w:t>14(34.15)</w:t>
            </w:r>
          </w:p>
        </w:tc>
      </w:tr>
    </w:tbl>
    <w:p w14:paraId="68AC811E" w14:textId="77777777" w:rsidR="00654EB9" w:rsidRDefault="00654EB9" w:rsidP="00654EB9">
      <w:pPr>
        <w:rPr>
          <w:rFonts w:ascii="Times New Roman" w:hAnsi="Times New Roman" w:cs="Times New Roman"/>
          <w:b/>
        </w:rPr>
      </w:pPr>
    </w:p>
    <w:p w14:paraId="579585BC" w14:textId="77777777" w:rsidR="00930EF4" w:rsidRDefault="00930EF4" w:rsidP="00654EB9">
      <w:pPr>
        <w:rPr>
          <w:rFonts w:ascii="Times New Roman" w:hAnsi="Times New Roman" w:cs="Times New Roman"/>
          <w:b/>
        </w:rPr>
      </w:pPr>
    </w:p>
    <w:p w14:paraId="730364EB" w14:textId="77777777" w:rsidR="00930EF4" w:rsidRDefault="00930EF4" w:rsidP="00654EB9">
      <w:pPr>
        <w:rPr>
          <w:rFonts w:ascii="Times New Roman" w:hAnsi="Times New Roman" w:cs="Times New Roman"/>
          <w:b/>
        </w:rPr>
      </w:pPr>
    </w:p>
    <w:p w14:paraId="0DE39C70" w14:textId="1E385AE2" w:rsidR="00654EB9" w:rsidRDefault="00654EB9" w:rsidP="00654EB9">
      <w:pPr>
        <w:rPr>
          <w:rFonts w:ascii="Times New Roman" w:hAnsi="Times New Roman" w:cs="Times New Roman"/>
          <w:b/>
        </w:rPr>
      </w:pPr>
      <w:r>
        <w:rPr>
          <w:rFonts w:ascii="Times New Roman" w:hAnsi="Times New Roman" w:cs="Times New Roman"/>
          <w:b/>
        </w:rPr>
        <w:t xml:space="preserve">Table 2: </w:t>
      </w:r>
      <w:r w:rsidRPr="007810B3">
        <w:rPr>
          <w:rFonts w:ascii="Times New Roman" w:hAnsi="Times New Roman" w:cs="Times New Roman"/>
          <w:bCs/>
        </w:rPr>
        <w:t>Respondents’ awareness/knowledge of Sexual and Reproductive Health</w:t>
      </w: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3828"/>
        <w:gridCol w:w="1311"/>
        <w:gridCol w:w="1311"/>
        <w:gridCol w:w="1311"/>
        <w:gridCol w:w="1311"/>
      </w:tblGrid>
      <w:tr w:rsidR="00654EB9" w:rsidRPr="001B34DE" w14:paraId="56C997EC" w14:textId="77777777" w:rsidTr="00654EB9">
        <w:tc>
          <w:tcPr>
            <w:tcW w:w="3828" w:type="dxa"/>
            <w:vMerge w:val="restart"/>
            <w:tcBorders>
              <w:top w:val="single" w:sz="4" w:space="0" w:color="auto"/>
              <w:bottom w:val="nil"/>
            </w:tcBorders>
            <w:vAlign w:val="bottom"/>
          </w:tcPr>
          <w:p w14:paraId="2A634CD2"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tcBorders>
              <w:top w:val="single" w:sz="4" w:space="0" w:color="auto"/>
              <w:bottom w:val="single" w:sz="4" w:space="0" w:color="auto"/>
            </w:tcBorders>
            <w:vAlign w:val="bottom"/>
          </w:tcPr>
          <w:p w14:paraId="3E86DC9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5BA9D51B" w14:textId="77777777" w:rsidTr="00654EB9">
        <w:tc>
          <w:tcPr>
            <w:tcW w:w="3828" w:type="dxa"/>
            <w:vMerge/>
            <w:tcBorders>
              <w:top w:val="nil"/>
              <w:bottom w:val="single" w:sz="4" w:space="0" w:color="auto"/>
            </w:tcBorders>
            <w:vAlign w:val="bottom"/>
          </w:tcPr>
          <w:p w14:paraId="0ED6175F"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tcBorders>
              <w:top w:val="single" w:sz="4" w:space="0" w:color="auto"/>
              <w:bottom w:val="single" w:sz="4" w:space="0" w:color="auto"/>
            </w:tcBorders>
            <w:vAlign w:val="bottom"/>
          </w:tcPr>
          <w:p w14:paraId="464B5AC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tcBorders>
              <w:top w:val="single" w:sz="4" w:space="0" w:color="auto"/>
              <w:bottom w:val="single" w:sz="4" w:space="0" w:color="auto"/>
            </w:tcBorders>
            <w:vAlign w:val="bottom"/>
          </w:tcPr>
          <w:p w14:paraId="53E7224B"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tcBorders>
              <w:top w:val="single" w:sz="4" w:space="0" w:color="auto"/>
              <w:bottom w:val="single" w:sz="4" w:space="0" w:color="auto"/>
            </w:tcBorders>
            <w:vAlign w:val="bottom"/>
          </w:tcPr>
          <w:p w14:paraId="651B7D7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tcBorders>
              <w:top w:val="single" w:sz="4" w:space="0" w:color="auto"/>
              <w:bottom w:val="single" w:sz="4" w:space="0" w:color="auto"/>
            </w:tcBorders>
            <w:vAlign w:val="bottom"/>
          </w:tcPr>
          <w:p w14:paraId="6AA87553"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1B34DE" w14:paraId="5A3D8FFA" w14:textId="77777777" w:rsidTr="00654EB9">
        <w:tc>
          <w:tcPr>
            <w:tcW w:w="3828" w:type="dxa"/>
            <w:tcBorders>
              <w:bottom w:val="nil"/>
            </w:tcBorders>
            <w:vAlign w:val="bottom"/>
          </w:tcPr>
          <w:p w14:paraId="1D61527D" w14:textId="77777777" w:rsidR="00654EB9" w:rsidRPr="00981E2B"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Types of STIs</w:t>
            </w:r>
          </w:p>
        </w:tc>
        <w:tc>
          <w:tcPr>
            <w:tcW w:w="1311" w:type="dxa"/>
            <w:tcBorders>
              <w:bottom w:val="nil"/>
            </w:tcBorders>
            <w:vAlign w:val="bottom"/>
          </w:tcPr>
          <w:p w14:paraId="39A64B8B"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3BACEDEF"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7430CCE0"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c>
          <w:tcPr>
            <w:tcW w:w="1311" w:type="dxa"/>
            <w:tcBorders>
              <w:bottom w:val="nil"/>
            </w:tcBorders>
            <w:vAlign w:val="bottom"/>
          </w:tcPr>
          <w:p w14:paraId="0F30B287" w14:textId="77777777" w:rsidR="00654EB9" w:rsidRPr="001B34DE"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E2B3F8E" w14:textId="77777777" w:rsidTr="00654EB9">
        <w:tc>
          <w:tcPr>
            <w:tcW w:w="3828" w:type="dxa"/>
            <w:tcBorders>
              <w:top w:val="nil"/>
              <w:bottom w:val="nil"/>
            </w:tcBorders>
            <w:vAlign w:val="bottom"/>
          </w:tcPr>
          <w:p w14:paraId="06C946BC"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981E2B">
              <w:rPr>
                <w:rFonts w:ascii="Times New Roman" w:eastAsia="Times New Roman" w:hAnsi="Times New Roman" w:cs="Times New Roman"/>
                <w:color w:val="000000"/>
              </w:rPr>
              <w:t>hlamydia</w:t>
            </w:r>
          </w:p>
        </w:tc>
        <w:tc>
          <w:tcPr>
            <w:tcW w:w="1311" w:type="dxa"/>
            <w:tcBorders>
              <w:top w:val="nil"/>
              <w:bottom w:val="nil"/>
            </w:tcBorders>
            <w:vAlign w:val="bottom"/>
          </w:tcPr>
          <w:p w14:paraId="72AB56C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7(38.89)</w:t>
            </w:r>
          </w:p>
        </w:tc>
        <w:tc>
          <w:tcPr>
            <w:tcW w:w="1311" w:type="dxa"/>
            <w:tcBorders>
              <w:top w:val="nil"/>
              <w:bottom w:val="nil"/>
            </w:tcBorders>
            <w:vAlign w:val="bottom"/>
          </w:tcPr>
          <w:p w14:paraId="322C671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3(16.67)</w:t>
            </w:r>
          </w:p>
        </w:tc>
        <w:tc>
          <w:tcPr>
            <w:tcW w:w="1311" w:type="dxa"/>
            <w:tcBorders>
              <w:top w:val="nil"/>
              <w:bottom w:val="nil"/>
            </w:tcBorders>
            <w:vAlign w:val="bottom"/>
          </w:tcPr>
          <w:p w14:paraId="6C7B6E5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tcBorders>
              <w:top w:val="nil"/>
              <w:bottom w:val="nil"/>
            </w:tcBorders>
            <w:vAlign w:val="bottom"/>
          </w:tcPr>
          <w:p w14:paraId="5645C88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8(44.44)</w:t>
            </w:r>
          </w:p>
        </w:tc>
      </w:tr>
      <w:tr w:rsidR="00654EB9" w:rsidRPr="00981E2B" w14:paraId="418A77E4" w14:textId="77777777" w:rsidTr="00654EB9">
        <w:tc>
          <w:tcPr>
            <w:tcW w:w="3828" w:type="dxa"/>
            <w:vAlign w:val="bottom"/>
          </w:tcPr>
          <w:p w14:paraId="6C321A3A"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w:t>
            </w:r>
            <w:r w:rsidRPr="00981E2B">
              <w:rPr>
                <w:rFonts w:ascii="Times New Roman" w:eastAsia="Times New Roman" w:hAnsi="Times New Roman" w:cs="Times New Roman"/>
                <w:color w:val="000000"/>
              </w:rPr>
              <w:t>onorrhea</w:t>
            </w:r>
          </w:p>
        </w:tc>
        <w:tc>
          <w:tcPr>
            <w:tcW w:w="1311" w:type="dxa"/>
            <w:vAlign w:val="bottom"/>
          </w:tcPr>
          <w:p w14:paraId="592515A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37(27.41)</w:t>
            </w:r>
          </w:p>
        </w:tc>
        <w:tc>
          <w:tcPr>
            <w:tcW w:w="1311" w:type="dxa"/>
            <w:vAlign w:val="bottom"/>
          </w:tcPr>
          <w:p w14:paraId="7EBBDDB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16(11.85)</w:t>
            </w:r>
          </w:p>
        </w:tc>
        <w:tc>
          <w:tcPr>
            <w:tcW w:w="1311" w:type="dxa"/>
            <w:vAlign w:val="bottom"/>
          </w:tcPr>
          <w:p w14:paraId="0835849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24(17.78)</w:t>
            </w:r>
          </w:p>
        </w:tc>
        <w:tc>
          <w:tcPr>
            <w:tcW w:w="1311" w:type="dxa"/>
            <w:vAlign w:val="bottom"/>
          </w:tcPr>
          <w:p w14:paraId="082D00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58(42.96)</w:t>
            </w:r>
          </w:p>
        </w:tc>
      </w:tr>
      <w:tr w:rsidR="00654EB9" w:rsidRPr="00981E2B" w14:paraId="5C8B23CB" w14:textId="77777777" w:rsidTr="00654EB9">
        <w:tc>
          <w:tcPr>
            <w:tcW w:w="3828" w:type="dxa"/>
            <w:vAlign w:val="bottom"/>
          </w:tcPr>
          <w:p w14:paraId="78264B34"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w:t>
            </w:r>
            <w:r w:rsidRPr="00981E2B">
              <w:rPr>
                <w:rFonts w:ascii="Times New Roman" w:eastAsia="Times New Roman" w:hAnsi="Times New Roman" w:cs="Times New Roman"/>
                <w:color w:val="000000"/>
              </w:rPr>
              <w:t>erpes</w:t>
            </w:r>
          </w:p>
        </w:tc>
        <w:tc>
          <w:tcPr>
            <w:tcW w:w="1311" w:type="dxa"/>
            <w:vAlign w:val="bottom"/>
          </w:tcPr>
          <w:p w14:paraId="702000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5(16.13)</w:t>
            </w:r>
          </w:p>
        </w:tc>
        <w:tc>
          <w:tcPr>
            <w:tcW w:w="1311" w:type="dxa"/>
            <w:vAlign w:val="bottom"/>
          </w:tcPr>
          <w:p w14:paraId="16CE7C4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1(3.23)</w:t>
            </w:r>
          </w:p>
        </w:tc>
        <w:tc>
          <w:tcPr>
            <w:tcW w:w="1311" w:type="dxa"/>
            <w:vAlign w:val="bottom"/>
          </w:tcPr>
          <w:p w14:paraId="0A83513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12(38.71)</w:t>
            </w:r>
          </w:p>
        </w:tc>
        <w:tc>
          <w:tcPr>
            <w:tcW w:w="1311" w:type="dxa"/>
            <w:vAlign w:val="bottom"/>
          </w:tcPr>
          <w:p w14:paraId="6AD084F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13(41.94)</w:t>
            </w:r>
          </w:p>
        </w:tc>
      </w:tr>
      <w:tr w:rsidR="00654EB9" w:rsidRPr="00981E2B" w14:paraId="74B95B5E" w14:textId="77777777" w:rsidTr="00654EB9">
        <w:tc>
          <w:tcPr>
            <w:tcW w:w="3828" w:type="dxa"/>
            <w:vAlign w:val="bottom"/>
          </w:tcPr>
          <w:p w14:paraId="60E91802"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HIV/AIDS</w:t>
            </w:r>
          </w:p>
        </w:tc>
        <w:tc>
          <w:tcPr>
            <w:tcW w:w="1311" w:type="dxa"/>
            <w:vAlign w:val="bottom"/>
          </w:tcPr>
          <w:p w14:paraId="694AE8D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57(34.76)</w:t>
            </w:r>
          </w:p>
        </w:tc>
        <w:tc>
          <w:tcPr>
            <w:tcW w:w="1311" w:type="dxa"/>
            <w:vAlign w:val="bottom"/>
          </w:tcPr>
          <w:p w14:paraId="79D300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23(14.02)</w:t>
            </w:r>
          </w:p>
        </w:tc>
        <w:tc>
          <w:tcPr>
            <w:tcW w:w="1311" w:type="dxa"/>
            <w:vAlign w:val="bottom"/>
          </w:tcPr>
          <w:p w14:paraId="2ECC04B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26(15.85)</w:t>
            </w:r>
          </w:p>
        </w:tc>
        <w:tc>
          <w:tcPr>
            <w:tcW w:w="1311" w:type="dxa"/>
            <w:vAlign w:val="bottom"/>
          </w:tcPr>
          <w:p w14:paraId="63DEC85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58(35.37)</w:t>
            </w:r>
          </w:p>
        </w:tc>
      </w:tr>
      <w:tr w:rsidR="00654EB9" w:rsidRPr="00981E2B" w14:paraId="01EF0A5F" w14:textId="77777777" w:rsidTr="00654EB9">
        <w:tc>
          <w:tcPr>
            <w:tcW w:w="3828" w:type="dxa"/>
            <w:vAlign w:val="bottom"/>
          </w:tcPr>
          <w:p w14:paraId="05F31F36"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w:t>
            </w:r>
            <w:r w:rsidRPr="00981E2B">
              <w:rPr>
                <w:rFonts w:ascii="Times New Roman" w:eastAsia="Times New Roman" w:hAnsi="Times New Roman" w:cs="Times New Roman"/>
                <w:color w:val="000000"/>
              </w:rPr>
              <w:t>richomoniasis</w:t>
            </w:r>
          </w:p>
        </w:tc>
        <w:tc>
          <w:tcPr>
            <w:tcW w:w="1311" w:type="dxa"/>
            <w:vAlign w:val="bottom"/>
          </w:tcPr>
          <w:p w14:paraId="5B010A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10(34.48)</w:t>
            </w:r>
          </w:p>
        </w:tc>
        <w:tc>
          <w:tcPr>
            <w:tcW w:w="1311" w:type="dxa"/>
            <w:vAlign w:val="bottom"/>
          </w:tcPr>
          <w:p w14:paraId="51EB476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2(6.9)</w:t>
            </w:r>
          </w:p>
        </w:tc>
        <w:tc>
          <w:tcPr>
            <w:tcW w:w="1311" w:type="dxa"/>
            <w:vAlign w:val="bottom"/>
          </w:tcPr>
          <w:p w14:paraId="4A1DFF9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2(6.9)</w:t>
            </w:r>
          </w:p>
        </w:tc>
        <w:tc>
          <w:tcPr>
            <w:tcW w:w="1311" w:type="dxa"/>
            <w:vAlign w:val="bottom"/>
          </w:tcPr>
          <w:p w14:paraId="7BE4571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15(51.72)</w:t>
            </w:r>
          </w:p>
        </w:tc>
      </w:tr>
      <w:tr w:rsidR="00654EB9" w:rsidRPr="00981E2B" w14:paraId="2EC88581" w14:textId="77777777" w:rsidTr="00654EB9">
        <w:tc>
          <w:tcPr>
            <w:tcW w:w="3828" w:type="dxa"/>
            <w:vAlign w:val="bottom"/>
          </w:tcPr>
          <w:p w14:paraId="4A6D845A"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67B401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157C46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F1730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7BD288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D680D09" w14:textId="77777777" w:rsidTr="00654EB9">
        <w:tc>
          <w:tcPr>
            <w:tcW w:w="3828" w:type="dxa"/>
            <w:vAlign w:val="bottom"/>
          </w:tcPr>
          <w:p w14:paraId="5DB68432" w14:textId="77777777"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Signs and symptoms of AIDS</w:t>
            </w:r>
          </w:p>
        </w:tc>
        <w:tc>
          <w:tcPr>
            <w:tcW w:w="1311" w:type="dxa"/>
            <w:vAlign w:val="bottom"/>
          </w:tcPr>
          <w:p w14:paraId="3DFA664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A3386A4"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5C12648"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DE676C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75707366" w14:textId="77777777" w:rsidTr="00654EB9">
        <w:tc>
          <w:tcPr>
            <w:tcW w:w="3828" w:type="dxa"/>
            <w:vAlign w:val="bottom"/>
          </w:tcPr>
          <w:p w14:paraId="3BC8CA17"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w:t>
            </w:r>
            <w:r w:rsidRPr="00981E2B">
              <w:rPr>
                <w:rFonts w:ascii="Times New Roman" w:eastAsia="Times New Roman" w:hAnsi="Times New Roman" w:cs="Times New Roman"/>
                <w:color w:val="000000"/>
              </w:rPr>
              <w:t>rolonged cough</w:t>
            </w:r>
          </w:p>
        </w:tc>
        <w:tc>
          <w:tcPr>
            <w:tcW w:w="1311" w:type="dxa"/>
            <w:vAlign w:val="bottom"/>
          </w:tcPr>
          <w:p w14:paraId="20FDBA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17(26.98)</w:t>
            </w:r>
          </w:p>
        </w:tc>
        <w:tc>
          <w:tcPr>
            <w:tcW w:w="1311" w:type="dxa"/>
            <w:vAlign w:val="bottom"/>
          </w:tcPr>
          <w:p w14:paraId="40EAD07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14(22.22)</w:t>
            </w:r>
          </w:p>
        </w:tc>
        <w:tc>
          <w:tcPr>
            <w:tcW w:w="1311" w:type="dxa"/>
            <w:vAlign w:val="bottom"/>
          </w:tcPr>
          <w:p w14:paraId="0B4D7C1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16(25.4)</w:t>
            </w:r>
          </w:p>
        </w:tc>
        <w:tc>
          <w:tcPr>
            <w:tcW w:w="1311" w:type="dxa"/>
            <w:vAlign w:val="bottom"/>
          </w:tcPr>
          <w:p w14:paraId="369E640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16(25.4)</w:t>
            </w:r>
          </w:p>
        </w:tc>
      </w:tr>
      <w:tr w:rsidR="00654EB9" w:rsidRPr="00981E2B" w14:paraId="2ABEB902" w14:textId="77777777" w:rsidTr="00654EB9">
        <w:tc>
          <w:tcPr>
            <w:tcW w:w="3828" w:type="dxa"/>
            <w:vAlign w:val="bottom"/>
          </w:tcPr>
          <w:p w14:paraId="760810DA"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81E2B">
              <w:rPr>
                <w:rFonts w:ascii="Times New Roman" w:eastAsia="Times New Roman" w:hAnsi="Times New Roman" w:cs="Times New Roman"/>
                <w:color w:val="000000"/>
              </w:rPr>
              <w:t>rolonged diarrhea</w:t>
            </w:r>
          </w:p>
        </w:tc>
        <w:tc>
          <w:tcPr>
            <w:tcW w:w="1311" w:type="dxa"/>
            <w:vAlign w:val="bottom"/>
          </w:tcPr>
          <w:p w14:paraId="2E7B84B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14(26.42)</w:t>
            </w:r>
          </w:p>
        </w:tc>
        <w:tc>
          <w:tcPr>
            <w:tcW w:w="1311" w:type="dxa"/>
            <w:vAlign w:val="bottom"/>
          </w:tcPr>
          <w:p w14:paraId="539E39C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8(15.09)</w:t>
            </w:r>
          </w:p>
        </w:tc>
        <w:tc>
          <w:tcPr>
            <w:tcW w:w="1311" w:type="dxa"/>
            <w:vAlign w:val="bottom"/>
          </w:tcPr>
          <w:p w14:paraId="781AE84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14(26.42)</w:t>
            </w:r>
          </w:p>
        </w:tc>
        <w:tc>
          <w:tcPr>
            <w:tcW w:w="1311" w:type="dxa"/>
            <w:vAlign w:val="bottom"/>
          </w:tcPr>
          <w:p w14:paraId="3B4D97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17(32.08)</w:t>
            </w:r>
          </w:p>
        </w:tc>
      </w:tr>
      <w:tr w:rsidR="00654EB9" w:rsidRPr="00981E2B" w14:paraId="7116B344" w14:textId="77777777" w:rsidTr="00654EB9">
        <w:tc>
          <w:tcPr>
            <w:tcW w:w="3828" w:type="dxa"/>
            <w:vAlign w:val="bottom"/>
          </w:tcPr>
          <w:p w14:paraId="71CC3A1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w:t>
            </w:r>
            <w:r w:rsidRPr="00981E2B">
              <w:rPr>
                <w:rFonts w:ascii="Times New Roman" w:eastAsia="Times New Roman" w:hAnsi="Times New Roman" w:cs="Times New Roman"/>
                <w:color w:val="000000"/>
              </w:rPr>
              <w:t>nexplained weight loss</w:t>
            </w:r>
          </w:p>
        </w:tc>
        <w:tc>
          <w:tcPr>
            <w:tcW w:w="1311" w:type="dxa"/>
            <w:vAlign w:val="bottom"/>
          </w:tcPr>
          <w:p w14:paraId="42DCB52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43(29.86)</w:t>
            </w:r>
          </w:p>
        </w:tc>
        <w:tc>
          <w:tcPr>
            <w:tcW w:w="1311" w:type="dxa"/>
            <w:vAlign w:val="bottom"/>
          </w:tcPr>
          <w:p w14:paraId="281E99A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24(16.67)</w:t>
            </w:r>
          </w:p>
        </w:tc>
        <w:tc>
          <w:tcPr>
            <w:tcW w:w="1311" w:type="dxa"/>
            <w:vAlign w:val="bottom"/>
          </w:tcPr>
          <w:p w14:paraId="38FA22A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25(17.36)</w:t>
            </w:r>
          </w:p>
        </w:tc>
        <w:tc>
          <w:tcPr>
            <w:tcW w:w="1311" w:type="dxa"/>
            <w:vAlign w:val="bottom"/>
          </w:tcPr>
          <w:p w14:paraId="6F10C30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52(36.11)</w:t>
            </w:r>
          </w:p>
        </w:tc>
      </w:tr>
      <w:tr w:rsidR="00654EB9" w:rsidRPr="00981E2B" w14:paraId="28117D1E" w14:textId="77777777" w:rsidTr="00654EB9">
        <w:tc>
          <w:tcPr>
            <w:tcW w:w="3828" w:type="dxa"/>
            <w:vAlign w:val="bottom"/>
          </w:tcPr>
          <w:p w14:paraId="0EE81BBC"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w:t>
            </w:r>
            <w:r w:rsidRPr="00981E2B">
              <w:rPr>
                <w:rFonts w:ascii="Times New Roman" w:eastAsia="Times New Roman" w:hAnsi="Times New Roman" w:cs="Times New Roman"/>
                <w:color w:val="000000"/>
              </w:rPr>
              <w:t>oss of appetite</w:t>
            </w:r>
          </w:p>
        </w:tc>
        <w:tc>
          <w:tcPr>
            <w:tcW w:w="1311" w:type="dxa"/>
            <w:vAlign w:val="bottom"/>
          </w:tcPr>
          <w:p w14:paraId="797CC1A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45(31.69)</w:t>
            </w:r>
          </w:p>
        </w:tc>
        <w:tc>
          <w:tcPr>
            <w:tcW w:w="1311" w:type="dxa"/>
            <w:vAlign w:val="bottom"/>
          </w:tcPr>
          <w:p w14:paraId="421E130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16(11.2</w:t>
            </w:r>
            <w:r>
              <w:rPr>
                <w:rFonts w:ascii="Times New Roman" w:eastAsia="Times New Roman" w:hAnsi="Times New Roman" w:cs="Times New Roman"/>
                <w:color w:val="000000"/>
              </w:rPr>
              <w:t>8</w:t>
            </w:r>
            <w:r w:rsidRPr="00981E2B">
              <w:rPr>
                <w:rFonts w:ascii="Times New Roman" w:eastAsia="Times New Roman" w:hAnsi="Times New Roman" w:cs="Times New Roman"/>
                <w:color w:val="000000"/>
              </w:rPr>
              <w:t>)</w:t>
            </w:r>
          </w:p>
        </w:tc>
        <w:tc>
          <w:tcPr>
            <w:tcW w:w="1311" w:type="dxa"/>
            <w:vAlign w:val="bottom"/>
          </w:tcPr>
          <w:p w14:paraId="16CC30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26(18.3</w:t>
            </w:r>
            <w:r>
              <w:rPr>
                <w:rFonts w:ascii="Times New Roman" w:eastAsia="Times New Roman" w:hAnsi="Times New Roman" w:cs="Times New Roman"/>
                <w:color w:val="000000"/>
              </w:rPr>
              <w:t>1</w:t>
            </w:r>
            <w:r w:rsidRPr="00981E2B">
              <w:rPr>
                <w:rFonts w:ascii="Times New Roman" w:eastAsia="Times New Roman" w:hAnsi="Times New Roman" w:cs="Times New Roman"/>
                <w:color w:val="000000"/>
              </w:rPr>
              <w:t>)</w:t>
            </w:r>
          </w:p>
        </w:tc>
        <w:tc>
          <w:tcPr>
            <w:tcW w:w="1311" w:type="dxa"/>
            <w:vAlign w:val="bottom"/>
          </w:tcPr>
          <w:p w14:paraId="327E084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58(40.8</w:t>
            </w:r>
            <w:r>
              <w:rPr>
                <w:rFonts w:ascii="Times New Roman" w:eastAsia="Times New Roman" w:hAnsi="Times New Roman" w:cs="Times New Roman"/>
                <w:color w:val="000000"/>
              </w:rPr>
              <w:t>5</w:t>
            </w:r>
            <w:r w:rsidRPr="00981E2B">
              <w:rPr>
                <w:rFonts w:ascii="Times New Roman" w:eastAsia="Times New Roman" w:hAnsi="Times New Roman" w:cs="Times New Roman"/>
                <w:color w:val="000000"/>
              </w:rPr>
              <w:t>)</w:t>
            </w:r>
          </w:p>
        </w:tc>
      </w:tr>
      <w:tr w:rsidR="00654EB9" w:rsidRPr="00981E2B" w14:paraId="21825531" w14:textId="77777777" w:rsidTr="00654EB9">
        <w:tc>
          <w:tcPr>
            <w:tcW w:w="3828" w:type="dxa"/>
            <w:vAlign w:val="bottom"/>
          </w:tcPr>
          <w:p w14:paraId="41F9A72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w:t>
            </w:r>
            <w:r w:rsidRPr="00981E2B">
              <w:rPr>
                <w:rFonts w:ascii="Times New Roman" w:eastAsia="Times New Roman" w:hAnsi="Times New Roman" w:cs="Times New Roman"/>
                <w:color w:val="000000"/>
              </w:rPr>
              <w:t>ashes</w:t>
            </w:r>
          </w:p>
        </w:tc>
        <w:tc>
          <w:tcPr>
            <w:tcW w:w="1311" w:type="dxa"/>
            <w:vAlign w:val="bottom"/>
          </w:tcPr>
          <w:p w14:paraId="218DCF3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10(26.32)</w:t>
            </w:r>
          </w:p>
        </w:tc>
        <w:tc>
          <w:tcPr>
            <w:tcW w:w="1311" w:type="dxa"/>
            <w:vAlign w:val="bottom"/>
          </w:tcPr>
          <w:p w14:paraId="58545C1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3(7.89)</w:t>
            </w:r>
          </w:p>
        </w:tc>
        <w:tc>
          <w:tcPr>
            <w:tcW w:w="1311" w:type="dxa"/>
            <w:vAlign w:val="bottom"/>
          </w:tcPr>
          <w:p w14:paraId="375D744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14(36.84)</w:t>
            </w:r>
          </w:p>
        </w:tc>
        <w:tc>
          <w:tcPr>
            <w:tcW w:w="1311" w:type="dxa"/>
            <w:vAlign w:val="bottom"/>
          </w:tcPr>
          <w:p w14:paraId="1743DD0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11(28.95)</w:t>
            </w:r>
          </w:p>
        </w:tc>
      </w:tr>
      <w:tr w:rsidR="00654EB9" w:rsidRPr="00981E2B" w14:paraId="3202870A" w14:textId="77777777" w:rsidTr="00654EB9">
        <w:tc>
          <w:tcPr>
            <w:tcW w:w="3828" w:type="dxa"/>
            <w:vAlign w:val="bottom"/>
          </w:tcPr>
          <w:p w14:paraId="200B0CDF" w14:textId="77777777" w:rsidR="00654EB9"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62F9993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C776A1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C2C993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5FDBB2D"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21B29B7F" w14:textId="77777777" w:rsidTr="00654EB9">
        <w:tc>
          <w:tcPr>
            <w:tcW w:w="3828" w:type="dxa"/>
            <w:vAlign w:val="bottom"/>
          </w:tcPr>
          <w:p w14:paraId="26034E5F" w14:textId="77777777"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Modes of HIV Transmission</w:t>
            </w:r>
          </w:p>
        </w:tc>
        <w:tc>
          <w:tcPr>
            <w:tcW w:w="1311" w:type="dxa"/>
            <w:vAlign w:val="bottom"/>
          </w:tcPr>
          <w:p w14:paraId="67E24DC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FCEBF2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9874E2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6CDD6B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204FC2B" w14:textId="77777777" w:rsidTr="00654EB9">
        <w:tc>
          <w:tcPr>
            <w:tcW w:w="3828" w:type="dxa"/>
            <w:vAlign w:val="bottom"/>
          </w:tcPr>
          <w:p w14:paraId="5C04246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w:t>
            </w:r>
            <w:r w:rsidRPr="00981E2B">
              <w:rPr>
                <w:rFonts w:ascii="Times New Roman" w:eastAsia="Times New Roman" w:hAnsi="Times New Roman" w:cs="Times New Roman"/>
                <w:color w:val="000000"/>
              </w:rPr>
              <w:t>nprotected sex</w:t>
            </w:r>
          </w:p>
        </w:tc>
        <w:tc>
          <w:tcPr>
            <w:tcW w:w="1311" w:type="dxa"/>
            <w:vAlign w:val="bottom"/>
          </w:tcPr>
          <w:p w14:paraId="25F4CE3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55(28.21)</w:t>
            </w:r>
          </w:p>
        </w:tc>
        <w:tc>
          <w:tcPr>
            <w:tcW w:w="1311" w:type="dxa"/>
            <w:vAlign w:val="bottom"/>
          </w:tcPr>
          <w:p w14:paraId="3B98158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39(20)</w:t>
            </w:r>
          </w:p>
        </w:tc>
        <w:tc>
          <w:tcPr>
            <w:tcW w:w="1311" w:type="dxa"/>
            <w:vAlign w:val="bottom"/>
          </w:tcPr>
          <w:p w14:paraId="547EDE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29(14.87)</w:t>
            </w:r>
          </w:p>
        </w:tc>
        <w:tc>
          <w:tcPr>
            <w:tcW w:w="1311" w:type="dxa"/>
            <w:vAlign w:val="bottom"/>
          </w:tcPr>
          <w:p w14:paraId="22278AC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72(36.92)</w:t>
            </w:r>
          </w:p>
        </w:tc>
      </w:tr>
      <w:tr w:rsidR="00654EB9" w:rsidRPr="00981E2B" w14:paraId="7F5BE212" w14:textId="77777777" w:rsidTr="00654EB9">
        <w:tc>
          <w:tcPr>
            <w:tcW w:w="3828" w:type="dxa"/>
            <w:vAlign w:val="bottom"/>
          </w:tcPr>
          <w:p w14:paraId="744AD6B5"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w:t>
            </w:r>
            <w:r w:rsidRPr="00981E2B">
              <w:rPr>
                <w:rFonts w:ascii="Times New Roman" w:eastAsia="Times New Roman" w:hAnsi="Times New Roman" w:cs="Times New Roman"/>
                <w:color w:val="000000"/>
              </w:rPr>
              <w:t>andshake with infected person</w:t>
            </w:r>
          </w:p>
        </w:tc>
        <w:tc>
          <w:tcPr>
            <w:tcW w:w="1311" w:type="dxa"/>
            <w:vAlign w:val="bottom"/>
          </w:tcPr>
          <w:p w14:paraId="761BDCD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6(46.15)</w:t>
            </w:r>
          </w:p>
        </w:tc>
        <w:tc>
          <w:tcPr>
            <w:tcW w:w="1311" w:type="dxa"/>
            <w:vAlign w:val="bottom"/>
          </w:tcPr>
          <w:p w14:paraId="25F3B39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3(23.08)</w:t>
            </w:r>
          </w:p>
        </w:tc>
        <w:tc>
          <w:tcPr>
            <w:tcW w:w="1311" w:type="dxa"/>
            <w:vAlign w:val="bottom"/>
          </w:tcPr>
          <w:p w14:paraId="113E7E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1(7.69)</w:t>
            </w:r>
          </w:p>
        </w:tc>
        <w:tc>
          <w:tcPr>
            <w:tcW w:w="1311" w:type="dxa"/>
            <w:vAlign w:val="bottom"/>
          </w:tcPr>
          <w:p w14:paraId="259926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3(23.08)</w:t>
            </w:r>
          </w:p>
        </w:tc>
      </w:tr>
      <w:tr w:rsidR="00654EB9" w:rsidRPr="00981E2B" w14:paraId="39048E77" w14:textId="77777777" w:rsidTr="00654EB9">
        <w:tc>
          <w:tcPr>
            <w:tcW w:w="3828" w:type="dxa"/>
            <w:vAlign w:val="bottom"/>
          </w:tcPr>
          <w:p w14:paraId="02FCC16E"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ating with infected person</w:t>
            </w:r>
          </w:p>
        </w:tc>
        <w:tc>
          <w:tcPr>
            <w:tcW w:w="1311" w:type="dxa"/>
            <w:vAlign w:val="bottom"/>
          </w:tcPr>
          <w:p w14:paraId="35955A3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3DB31E9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1BA873B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3(21.43)</w:t>
            </w:r>
          </w:p>
        </w:tc>
        <w:tc>
          <w:tcPr>
            <w:tcW w:w="1311" w:type="dxa"/>
            <w:vAlign w:val="bottom"/>
          </w:tcPr>
          <w:p w14:paraId="286B576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5(35.71)</w:t>
            </w:r>
          </w:p>
        </w:tc>
      </w:tr>
      <w:tr w:rsidR="00654EB9" w:rsidRPr="00981E2B" w14:paraId="653D81D6" w14:textId="77777777" w:rsidTr="00654EB9">
        <w:tc>
          <w:tcPr>
            <w:tcW w:w="3828" w:type="dxa"/>
            <w:vAlign w:val="bottom"/>
          </w:tcPr>
          <w:p w14:paraId="7EDA3DB9"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Pr="00981E2B">
              <w:rPr>
                <w:rFonts w:ascii="Times New Roman" w:eastAsia="Times New Roman" w:hAnsi="Times New Roman" w:cs="Times New Roman"/>
                <w:color w:val="000000"/>
              </w:rPr>
              <w:t>leeping on same bed with infected person</w:t>
            </w:r>
          </w:p>
        </w:tc>
        <w:tc>
          <w:tcPr>
            <w:tcW w:w="1311" w:type="dxa"/>
            <w:vAlign w:val="bottom"/>
          </w:tcPr>
          <w:p w14:paraId="157EE1E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8(40)</w:t>
            </w:r>
          </w:p>
        </w:tc>
        <w:tc>
          <w:tcPr>
            <w:tcW w:w="1311" w:type="dxa"/>
            <w:vAlign w:val="bottom"/>
          </w:tcPr>
          <w:p w14:paraId="3FAC88B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2(10)</w:t>
            </w:r>
          </w:p>
        </w:tc>
        <w:tc>
          <w:tcPr>
            <w:tcW w:w="1311" w:type="dxa"/>
            <w:vAlign w:val="bottom"/>
          </w:tcPr>
          <w:p w14:paraId="5905F1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3FE7E3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10(50)</w:t>
            </w:r>
          </w:p>
        </w:tc>
      </w:tr>
      <w:tr w:rsidR="00654EB9" w:rsidRPr="00981E2B" w14:paraId="098863DD" w14:textId="77777777" w:rsidTr="00654EB9">
        <w:tc>
          <w:tcPr>
            <w:tcW w:w="3828" w:type="dxa"/>
            <w:vAlign w:val="bottom"/>
          </w:tcPr>
          <w:p w14:paraId="03AAD7DF"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Pr="00981E2B">
              <w:rPr>
                <w:rFonts w:ascii="Times New Roman" w:eastAsia="Times New Roman" w:hAnsi="Times New Roman" w:cs="Times New Roman"/>
                <w:color w:val="000000"/>
              </w:rPr>
              <w:t>other to child</w:t>
            </w:r>
          </w:p>
        </w:tc>
        <w:tc>
          <w:tcPr>
            <w:tcW w:w="1311" w:type="dxa"/>
            <w:vAlign w:val="bottom"/>
          </w:tcPr>
          <w:p w14:paraId="4C2833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43(31.85)</w:t>
            </w:r>
          </w:p>
        </w:tc>
        <w:tc>
          <w:tcPr>
            <w:tcW w:w="1311" w:type="dxa"/>
            <w:vAlign w:val="bottom"/>
          </w:tcPr>
          <w:p w14:paraId="3D496C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21(15.56)</w:t>
            </w:r>
          </w:p>
        </w:tc>
        <w:tc>
          <w:tcPr>
            <w:tcW w:w="1311" w:type="dxa"/>
            <w:vAlign w:val="bottom"/>
          </w:tcPr>
          <w:p w14:paraId="44D677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22(16.3)</w:t>
            </w:r>
          </w:p>
        </w:tc>
        <w:tc>
          <w:tcPr>
            <w:tcW w:w="1311" w:type="dxa"/>
            <w:vAlign w:val="bottom"/>
          </w:tcPr>
          <w:p w14:paraId="72C1A29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49(36.3)</w:t>
            </w:r>
          </w:p>
        </w:tc>
      </w:tr>
      <w:tr w:rsidR="00654EB9" w:rsidRPr="00981E2B" w14:paraId="6E79E26B" w14:textId="77777777" w:rsidTr="00654EB9">
        <w:tc>
          <w:tcPr>
            <w:tcW w:w="3828" w:type="dxa"/>
            <w:vAlign w:val="bottom"/>
          </w:tcPr>
          <w:p w14:paraId="506BCE74" w14:textId="77777777" w:rsidR="00654EB9"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52DC28A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31194A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4814ED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FB99AF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4671C04" w14:textId="77777777" w:rsidTr="00654EB9">
        <w:tc>
          <w:tcPr>
            <w:tcW w:w="3828" w:type="dxa"/>
            <w:vAlign w:val="bottom"/>
          </w:tcPr>
          <w:p w14:paraId="54F01F07" w14:textId="77777777" w:rsidR="00654EB9" w:rsidRPr="00BA08D9" w:rsidRDefault="00654EB9" w:rsidP="00D2047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Modes of STIs/HIV trasmission</w:t>
            </w:r>
          </w:p>
        </w:tc>
        <w:tc>
          <w:tcPr>
            <w:tcW w:w="1311" w:type="dxa"/>
            <w:vAlign w:val="bottom"/>
          </w:tcPr>
          <w:p w14:paraId="1AE328A3"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79AA79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31B41E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7BC787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C45CFF9" w14:textId="77777777" w:rsidTr="00654EB9">
        <w:tc>
          <w:tcPr>
            <w:tcW w:w="3828" w:type="dxa"/>
            <w:vAlign w:val="bottom"/>
          </w:tcPr>
          <w:p w14:paraId="42AA9FA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Pr="00981E2B">
              <w:rPr>
                <w:rFonts w:ascii="Times New Roman" w:eastAsia="Times New Roman" w:hAnsi="Times New Roman" w:cs="Times New Roman"/>
                <w:color w:val="000000"/>
              </w:rPr>
              <w:t>bstinence</w:t>
            </w:r>
          </w:p>
        </w:tc>
        <w:tc>
          <w:tcPr>
            <w:tcW w:w="1311" w:type="dxa"/>
            <w:vAlign w:val="bottom"/>
          </w:tcPr>
          <w:p w14:paraId="26BC314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26(29.21)</w:t>
            </w:r>
          </w:p>
        </w:tc>
        <w:tc>
          <w:tcPr>
            <w:tcW w:w="1311" w:type="dxa"/>
            <w:vAlign w:val="bottom"/>
          </w:tcPr>
          <w:p w14:paraId="1CBB0F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11(12.36)</w:t>
            </w:r>
          </w:p>
        </w:tc>
        <w:tc>
          <w:tcPr>
            <w:tcW w:w="1311" w:type="dxa"/>
            <w:vAlign w:val="bottom"/>
          </w:tcPr>
          <w:p w14:paraId="4F4381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19(21.35)</w:t>
            </w:r>
          </w:p>
        </w:tc>
        <w:tc>
          <w:tcPr>
            <w:tcW w:w="1311" w:type="dxa"/>
            <w:vAlign w:val="bottom"/>
          </w:tcPr>
          <w:p w14:paraId="6BBBBCC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33(37.08)</w:t>
            </w:r>
          </w:p>
        </w:tc>
      </w:tr>
      <w:tr w:rsidR="00654EB9" w:rsidRPr="00981E2B" w14:paraId="5EE1D3AF" w14:textId="77777777" w:rsidTr="00654EB9">
        <w:tc>
          <w:tcPr>
            <w:tcW w:w="3828" w:type="dxa"/>
            <w:tcBorders>
              <w:bottom w:val="nil"/>
            </w:tcBorders>
            <w:vAlign w:val="bottom"/>
          </w:tcPr>
          <w:p w14:paraId="3D48476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Pr="00981E2B">
              <w:rPr>
                <w:rFonts w:ascii="Times New Roman" w:eastAsia="Times New Roman" w:hAnsi="Times New Roman" w:cs="Times New Roman"/>
                <w:color w:val="000000"/>
              </w:rPr>
              <w:t>void sharing sharps</w:t>
            </w:r>
          </w:p>
        </w:tc>
        <w:tc>
          <w:tcPr>
            <w:tcW w:w="1311" w:type="dxa"/>
            <w:tcBorders>
              <w:bottom w:val="nil"/>
            </w:tcBorders>
            <w:vAlign w:val="bottom"/>
          </w:tcPr>
          <w:p w14:paraId="18E8A4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61(33.89)</w:t>
            </w:r>
          </w:p>
        </w:tc>
        <w:tc>
          <w:tcPr>
            <w:tcW w:w="1311" w:type="dxa"/>
            <w:tcBorders>
              <w:bottom w:val="nil"/>
            </w:tcBorders>
            <w:vAlign w:val="bottom"/>
          </w:tcPr>
          <w:p w14:paraId="2FEA217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28(15.56)</w:t>
            </w:r>
          </w:p>
        </w:tc>
        <w:tc>
          <w:tcPr>
            <w:tcW w:w="1311" w:type="dxa"/>
            <w:tcBorders>
              <w:bottom w:val="nil"/>
            </w:tcBorders>
            <w:vAlign w:val="bottom"/>
          </w:tcPr>
          <w:p w14:paraId="4412F2E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27(15)</w:t>
            </w:r>
          </w:p>
        </w:tc>
        <w:tc>
          <w:tcPr>
            <w:tcW w:w="1311" w:type="dxa"/>
            <w:tcBorders>
              <w:bottom w:val="nil"/>
            </w:tcBorders>
            <w:vAlign w:val="bottom"/>
          </w:tcPr>
          <w:p w14:paraId="25FC660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64(35.56)</w:t>
            </w:r>
          </w:p>
        </w:tc>
      </w:tr>
      <w:tr w:rsidR="00654EB9" w:rsidRPr="00981E2B" w14:paraId="6E2672B1" w14:textId="77777777" w:rsidTr="00654EB9">
        <w:tc>
          <w:tcPr>
            <w:tcW w:w="3828" w:type="dxa"/>
            <w:tcBorders>
              <w:top w:val="nil"/>
              <w:bottom w:val="single" w:sz="4" w:space="0" w:color="auto"/>
            </w:tcBorders>
            <w:vAlign w:val="bottom"/>
          </w:tcPr>
          <w:p w14:paraId="1882B79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w:t>
            </w:r>
            <w:r w:rsidRPr="00981E2B">
              <w:rPr>
                <w:rFonts w:ascii="Times New Roman" w:eastAsia="Times New Roman" w:hAnsi="Times New Roman" w:cs="Times New Roman"/>
                <w:color w:val="000000"/>
              </w:rPr>
              <w:t>nsisting on screened blood for transfusion</w:t>
            </w:r>
          </w:p>
        </w:tc>
        <w:tc>
          <w:tcPr>
            <w:tcW w:w="1311" w:type="dxa"/>
            <w:tcBorders>
              <w:top w:val="nil"/>
              <w:bottom w:val="single" w:sz="4" w:space="0" w:color="auto"/>
            </w:tcBorders>
            <w:vAlign w:val="bottom"/>
          </w:tcPr>
          <w:p w14:paraId="69C90B1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34(31.48)</w:t>
            </w:r>
          </w:p>
        </w:tc>
        <w:tc>
          <w:tcPr>
            <w:tcW w:w="1311" w:type="dxa"/>
            <w:tcBorders>
              <w:top w:val="nil"/>
              <w:bottom w:val="single" w:sz="4" w:space="0" w:color="auto"/>
            </w:tcBorders>
            <w:vAlign w:val="bottom"/>
          </w:tcPr>
          <w:p w14:paraId="60BB7441"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19(17.59)</w:t>
            </w:r>
          </w:p>
        </w:tc>
        <w:tc>
          <w:tcPr>
            <w:tcW w:w="1311" w:type="dxa"/>
            <w:tcBorders>
              <w:top w:val="nil"/>
              <w:bottom w:val="single" w:sz="4" w:space="0" w:color="auto"/>
            </w:tcBorders>
            <w:vAlign w:val="bottom"/>
          </w:tcPr>
          <w:p w14:paraId="1267C7F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20(18.52)</w:t>
            </w:r>
          </w:p>
        </w:tc>
        <w:tc>
          <w:tcPr>
            <w:tcW w:w="1311" w:type="dxa"/>
            <w:tcBorders>
              <w:top w:val="nil"/>
              <w:bottom w:val="single" w:sz="4" w:space="0" w:color="auto"/>
            </w:tcBorders>
            <w:vAlign w:val="bottom"/>
          </w:tcPr>
          <w:p w14:paraId="326F2D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35(32.41)</w:t>
            </w:r>
          </w:p>
        </w:tc>
      </w:tr>
    </w:tbl>
    <w:p w14:paraId="540AD6BA" w14:textId="77777777" w:rsidR="00654EB9" w:rsidRDefault="00654EB9" w:rsidP="00654EB9">
      <w:pPr>
        <w:rPr>
          <w:rFonts w:ascii="Times New Roman" w:hAnsi="Times New Roman" w:cs="Times New Roman"/>
          <w:b/>
        </w:rPr>
      </w:pPr>
    </w:p>
    <w:p w14:paraId="3EDC8319" w14:textId="77777777" w:rsidR="00654EB9" w:rsidRDefault="00654EB9" w:rsidP="00654EB9">
      <w:pPr>
        <w:rPr>
          <w:rFonts w:ascii="Times New Roman" w:hAnsi="Times New Roman" w:cs="Times New Roman"/>
          <w:b/>
        </w:rPr>
      </w:pPr>
    </w:p>
    <w:p w14:paraId="2C9E34A5" w14:textId="77777777" w:rsidR="00654EB9" w:rsidRDefault="00654EB9" w:rsidP="00654EB9">
      <w:pPr>
        <w:rPr>
          <w:rFonts w:ascii="Times New Roman" w:hAnsi="Times New Roman" w:cs="Times New Roman"/>
          <w:b/>
        </w:rPr>
      </w:pPr>
    </w:p>
    <w:p w14:paraId="4DECC006" w14:textId="77777777" w:rsidR="00654EB9" w:rsidRDefault="00654EB9" w:rsidP="00654EB9">
      <w:pPr>
        <w:rPr>
          <w:rFonts w:ascii="Times New Roman" w:hAnsi="Times New Roman" w:cs="Times New Roman"/>
          <w:b/>
        </w:rPr>
      </w:pPr>
      <w:r>
        <w:rPr>
          <w:rFonts w:ascii="Times New Roman" w:hAnsi="Times New Roman" w:cs="Times New Roman"/>
          <w:b/>
        </w:rPr>
        <w:t xml:space="preserve">Table 3: </w:t>
      </w:r>
      <w:r w:rsidRPr="007810B3">
        <w:rPr>
          <w:rFonts w:ascii="Times New Roman" w:hAnsi="Times New Roman" w:cs="Times New Roman"/>
          <w:bCs/>
        </w:rPr>
        <w:t>Other Parameters</w:t>
      </w: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3828"/>
        <w:gridCol w:w="1311"/>
        <w:gridCol w:w="1311"/>
        <w:gridCol w:w="1311"/>
        <w:gridCol w:w="1311"/>
      </w:tblGrid>
      <w:tr w:rsidR="00654EB9" w:rsidRPr="001B34DE" w14:paraId="1EC4DE06" w14:textId="77777777" w:rsidTr="00654EB9">
        <w:tc>
          <w:tcPr>
            <w:tcW w:w="3828" w:type="dxa"/>
            <w:vMerge w:val="restart"/>
            <w:tcBorders>
              <w:top w:val="single" w:sz="4" w:space="0" w:color="auto"/>
              <w:bottom w:val="nil"/>
            </w:tcBorders>
            <w:vAlign w:val="bottom"/>
          </w:tcPr>
          <w:p w14:paraId="31DE951C" w14:textId="77777777" w:rsidR="00654EB9" w:rsidRPr="001B34DE"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Variable</w:t>
            </w:r>
          </w:p>
        </w:tc>
        <w:tc>
          <w:tcPr>
            <w:tcW w:w="5244" w:type="dxa"/>
            <w:gridSpan w:val="4"/>
            <w:tcBorders>
              <w:top w:val="single" w:sz="4" w:space="0" w:color="auto"/>
              <w:bottom w:val="single" w:sz="4" w:space="0" w:color="auto"/>
            </w:tcBorders>
            <w:vAlign w:val="bottom"/>
          </w:tcPr>
          <w:p w14:paraId="430B2CDC"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School</w:t>
            </w:r>
          </w:p>
        </w:tc>
      </w:tr>
      <w:tr w:rsidR="00654EB9" w:rsidRPr="001B34DE" w14:paraId="5256803C" w14:textId="77777777" w:rsidTr="00654EB9">
        <w:tc>
          <w:tcPr>
            <w:tcW w:w="3828" w:type="dxa"/>
            <w:vMerge/>
            <w:tcBorders>
              <w:top w:val="nil"/>
              <w:bottom w:val="single" w:sz="4" w:space="0" w:color="auto"/>
            </w:tcBorders>
            <w:vAlign w:val="bottom"/>
          </w:tcPr>
          <w:p w14:paraId="01864774" w14:textId="77777777" w:rsidR="00654EB9" w:rsidRPr="001B34DE" w:rsidRDefault="00654EB9" w:rsidP="00D2047E">
            <w:pPr>
              <w:spacing w:after="0" w:line="240" w:lineRule="auto"/>
              <w:rPr>
                <w:rFonts w:ascii="Times New Roman" w:eastAsia="Times New Roman" w:hAnsi="Times New Roman" w:cs="Times New Roman"/>
                <w:color w:val="000000"/>
              </w:rPr>
            </w:pPr>
          </w:p>
        </w:tc>
        <w:tc>
          <w:tcPr>
            <w:tcW w:w="1311" w:type="dxa"/>
            <w:tcBorders>
              <w:top w:val="single" w:sz="4" w:space="0" w:color="auto"/>
              <w:bottom w:val="single" w:sz="4" w:space="0" w:color="auto"/>
            </w:tcBorders>
            <w:vAlign w:val="bottom"/>
          </w:tcPr>
          <w:p w14:paraId="176FD442"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BUHS</w:t>
            </w:r>
          </w:p>
        </w:tc>
        <w:tc>
          <w:tcPr>
            <w:tcW w:w="1311" w:type="dxa"/>
            <w:tcBorders>
              <w:top w:val="single" w:sz="4" w:space="0" w:color="auto"/>
              <w:bottom w:val="single" w:sz="4" w:space="0" w:color="auto"/>
            </w:tcBorders>
            <w:vAlign w:val="bottom"/>
          </w:tcPr>
          <w:p w14:paraId="382E9469"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CACGS</w:t>
            </w:r>
          </w:p>
        </w:tc>
        <w:tc>
          <w:tcPr>
            <w:tcW w:w="1311" w:type="dxa"/>
            <w:tcBorders>
              <w:top w:val="single" w:sz="4" w:space="0" w:color="auto"/>
              <w:bottom w:val="single" w:sz="4" w:space="0" w:color="auto"/>
            </w:tcBorders>
            <w:vAlign w:val="bottom"/>
          </w:tcPr>
          <w:p w14:paraId="6E005A7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Impact</w:t>
            </w:r>
          </w:p>
        </w:tc>
        <w:tc>
          <w:tcPr>
            <w:tcW w:w="1311" w:type="dxa"/>
            <w:tcBorders>
              <w:top w:val="single" w:sz="4" w:space="0" w:color="auto"/>
              <w:bottom w:val="single" w:sz="4" w:space="0" w:color="auto"/>
            </w:tcBorders>
            <w:vAlign w:val="bottom"/>
          </w:tcPr>
          <w:p w14:paraId="1E9B9958" w14:textId="77777777" w:rsidR="00654EB9" w:rsidRPr="001B34DE" w:rsidRDefault="00654EB9" w:rsidP="00D2047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Wexford</w:t>
            </w:r>
          </w:p>
        </w:tc>
      </w:tr>
      <w:tr w:rsidR="00654EB9" w:rsidRPr="00981E2B" w14:paraId="63CC5B50" w14:textId="77777777" w:rsidTr="00654EB9">
        <w:tc>
          <w:tcPr>
            <w:tcW w:w="3828" w:type="dxa"/>
            <w:vAlign w:val="bottom"/>
          </w:tcPr>
          <w:p w14:paraId="5B8271A2"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been treated for STI</w:t>
            </w:r>
          </w:p>
        </w:tc>
        <w:tc>
          <w:tcPr>
            <w:tcW w:w="1311" w:type="dxa"/>
            <w:vAlign w:val="bottom"/>
          </w:tcPr>
          <w:p w14:paraId="364E4D0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3(50)</w:t>
            </w:r>
          </w:p>
        </w:tc>
        <w:tc>
          <w:tcPr>
            <w:tcW w:w="1311" w:type="dxa"/>
            <w:vAlign w:val="bottom"/>
          </w:tcPr>
          <w:p w14:paraId="74ED3AE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1(16.67)</w:t>
            </w:r>
          </w:p>
        </w:tc>
        <w:tc>
          <w:tcPr>
            <w:tcW w:w="1311" w:type="dxa"/>
            <w:vAlign w:val="bottom"/>
          </w:tcPr>
          <w:p w14:paraId="4BFA002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2(33.33)</w:t>
            </w:r>
          </w:p>
        </w:tc>
        <w:tc>
          <w:tcPr>
            <w:tcW w:w="1311" w:type="dxa"/>
            <w:vAlign w:val="bottom"/>
          </w:tcPr>
          <w:p w14:paraId="50E45CE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4D120D00" w14:textId="77777777" w:rsidTr="00654EB9">
        <w:tc>
          <w:tcPr>
            <w:tcW w:w="3828" w:type="dxa"/>
            <w:vAlign w:val="bottom"/>
          </w:tcPr>
          <w:p w14:paraId="31D7E6A7"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42B85F4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62CBD2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D615323"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9BF5AF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3BBB3011" w14:textId="77777777" w:rsidTr="00654EB9">
        <w:tc>
          <w:tcPr>
            <w:tcW w:w="3828" w:type="dxa"/>
            <w:vAlign w:val="bottom"/>
          </w:tcPr>
          <w:p w14:paraId="48898D38"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used contraceptive</w:t>
            </w:r>
          </w:p>
        </w:tc>
        <w:tc>
          <w:tcPr>
            <w:tcW w:w="1311" w:type="dxa"/>
            <w:vAlign w:val="bottom"/>
          </w:tcPr>
          <w:p w14:paraId="5FFB7D7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2(66.67)</w:t>
            </w:r>
          </w:p>
        </w:tc>
        <w:tc>
          <w:tcPr>
            <w:tcW w:w="1311" w:type="dxa"/>
            <w:vAlign w:val="bottom"/>
          </w:tcPr>
          <w:p w14:paraId="4E098CE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F6E929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FFA988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1(33.33)</w:t>
            </w:r>
          </w:p>
        </w:tc>
      </w:tr>
      <w:tr w:rsidR="00654EB9" w:rsidRPr="00981E2B" w14:paraId="26A9FEA2" w14:textId="77777777" w:rsidTr="00654EB9">
        <w:tc>
          <w:tcPr>
            <w:tcW w:w="3828" w:type="dxa"/>
            <w:vAlign w:val="bottom"/>
          </w:tcPr>
          <w:p w14:paraId="172FC3A9"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1E71E8D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2FD32C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692C80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80F869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FA59B11" w14:textId="77777777" w:rsidTr="00654EB9">
        <w:tc>
          <w:tcPr>
            <w:tcW w:w="3828" w:type="dxa"/>
            <w:vAlign w:val="bottom"/>
          </w:tcPr>
          <w:p w14:paraId="629A48CB"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prevented self from sexual abuse</w:t>
            </w:r>
          </w:p>
        </w:tc>
        <w:tc>
          <w:tcPr>
            <w:tcW w:w="1311" w:type="dxa"/>
            <w:vAlign w:val="bottom"/>
          </w:tcPr>
          <w:p w14:paraId="53E7799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33(44.59)</w:t>
            </w:r>
          </w:p>
        </w:tc>
        <w:tc>
          <w:tcPr>
            <w:tcW w:w="1311" w:type="dxa"/>
            <w:vAlign w:val="bottom"/>
          </w:tcPr>
          <w:p w14:paraId="722FD07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18(24.32)</w:t>
            </w:r>
          </w:p>
        </w:tc>
        <w:tc>
          <w:tcPr>
            <w:tcW w:w="1311" w:type="dxa"/>
            <w:vAlign w:val="bottom"/>
          </w:tcPr>
          <w:p w14:paraId="2F5D842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5(6.76)</w:t>
            </w:r>
          </w:p>
        </w:tc>
        <w:tc>
          <w:tcPr>
            <w:tcW w:w="1311" w:type="dxa"/>
            <w:vAlign w:val="bottom"/>
          </w:tcPr>
          <w:p w14:paraId="31A3B00C"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18(24.32)</w:t>
            </w:r>
          </w:p>
        </w:tc>
      </w:tr>
      <w:tr w:rsidR="00654EB9" w:rsidRPr="00981E2B" w14:paraId="106CC4A3" w14:textId="77777777" w:rsidTr="00654EB9">
        <w:tc>
          <w:tcPr>
            <w:tcW w:w="3828" w:type="dxa"/>
            <w:vAlign w:val="bottom"/>
          </w:tcPr>
          <w:p w14:paraId="3F3ACBCB"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4DA904E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82D3FA5"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AEF8C3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2E2C35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362DF263" w14:textId="77777777" w:rsidTr="00654EB9">
        <w:tc>
          <w:tcPr>
            <w:tcW w:w="3828" w:type="dxa"/>
            <w:vAlign w:val="bottom"/>
          </w:tcPr>
          <w:p w14:paraId="37C06780"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w:t>
            </w:r>
            <w:r w:rsidRPr="00981E2B">
              <w:rPr>
                <w:rFonts w:ascii="Times New Roman" w:eastAsia="Times New Roman" w:hAnsi="Times New Roman" w:cs="Times New Roman"/>
                <w:color w:val="000000"/>
              </w:rPr>
              <w:t>ver been treated on minor ailments</w:t>
            </w:r>
          </w:p>
        </w:tc>
        <w:tc>
          <w:tcPr>
            <w:tcW w:w="1311" w:type="dxa"/>
            <w:vAlign w:val="bottom"/>
          </w:tcPr>
          <w:p w14:paraId="6B4F5B8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22(25.29)</w:t>
            </w:r>
          </w:p>
        </w:tc>
        <w:tc>
          <w:tcPr>
            <w:tcW w:w="1311" w:type="dxa"/>
            <w:vAlign w:val="bottom"/>
          </w:tcPr>
          <w:p w14:paraId="5E768B6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16(18.39)</w:t>
            </w:r>
          </w:p>
        </w:tc>
        <w:tc>
          <w:tcPr>
            <w:tcW w:w="1311" w:type="dxa"/>
            <w:vAlign w:val="bottom"/>
          </w:tcPr>
          <w:p w14:paraId="04CECDF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19(21.84)</w:t>
            </w:r>
          </w:p>
        </w:tc>
        <w:tc>
          <w:tcPr>
            <w:tcW w:w="1311" w:type="dxa"/>
            <w:vAlign w:val="bottom"/>
          </w:tcPr>
          <w:p w14:paraId="0CBFD3D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30(34.48)</w:t>
            </w:r>
          </w:p>
        </w:tc>
      </w:tr>
      <w:tr w:rsidR="00654EB9" w:rsidRPr="00981E2B" w14:paraId="45949E91" w14:textId="77777777" w:rsidTr="00654EB9">
        <w:tc>
          <w:tcPr>
            <w:tcW w:w="3828" w:type="dxa"/>
            <w:vAlign w:val="bottom"/>
          </w:tcPr>
          <w:p w14:paraId="1BB8844D"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10B84AA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913AF0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32D426E"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A5A4EF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1718DE59" w14:textId="77777777" w:rsidTr="00654EB9">
        <w:tc>
          <w:tcPr>
            <w:tcW w:w="3828" w:type="dxa"/>
            <w:vAlign w:val="bottom"/>
          </w:tcPr>
          <w:p w14:paraId="71940108"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Pr="00981E2B">
              <w:rPr>
                <w:rFonts w:ascii="Times New Roman" w:eastAsia="Times New Roman" w:hAnsi="Times New Roman" w:cs="Times New Roman"/>
                <w:color w:val="000000"/>
              </w:rPr>
              <w:t>chool has sick bay</w:t>
            </w:r>
          </w:p>
        </w:tc>
        <w:tc>
          <w:tcPr>
            <w:tcW w:w="1311" w:type="dxa"/>
            <w:vAlign w:val="bottom"/>
          </w:tcPr>
          <w:p w14:paraId="55F8805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58(29.44)</w:t>
            </w:r>
          </w:p>
        </w:tc>
        <w:tc>
          <w:tcPr>
            <w:tcW w:w="1311" w:type="dxa"/>
            <w:vAlign w:val="bottom"/>
          </w:tcPr>
          <w:p w14:paraId="3961AF1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38(19.29)</w:t>
            </w:r>
          </w:p>
        </w:tc>
        <w:tc>
          <w:tcPr>
            <w:tcW w:w="1311" w:type="dxa"/>
            <w:vAlign w:val="bottom"/>
          </w:tcPr>
          <w:p w14:paraId="738661B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28(14.21)</w:t>
            </w:r>
          </w:p>
        </w:tc>
        <w:tc>
          <w:tcPr>
            <w:tcW w:w="1311" w:type="dxa"/>
            <w:vAlign w:val="bottom"/>
          </w:tcPr>
          <w:p w14:paraId="055E8B7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73(37.06)</w:t>
            </w:r>
          </w:p>
        </w:tc>
      </w:tr>
      <w:tr w:rsidR="00654EB9" w:rsidRPr="00981E2B" w14:paraId="1BD283AA" w14:textId="77777777" w:rsidTr="00654EB9">
        <w:tc>
          <w:tcPr>
            <w:tcW w:w="3828" w:type="dxa"/>
            <w:vAlign w:val="bottom"/>
          </w:tcPr>
          <w:p w14:paraId="3016C3D1"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7462E75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151DA36"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C2D08C9"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36B6BF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4D22892E" w14:textId="77777777" w:rsidTr="00654EB9">
        <w:tc>
          <w:tcPr>
            <w:tcW w:w="3828" w:type="dxa"/>
            <w:vAlign w:val="bottom"/>
          </w:tcPr>
          <w:p w14:paraId="7611CCB3"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School has h</w:t>
            </w:r>
            <w:r w:rsidRPr="00981E2B">
              <w:rPr>
                <w:rFonts w:ascii="Times New Roman" w:eastAsia="Times New Roman" w:hAnsi="Times New Roman" w:cs="Times New Roman"/>
                <w:color w:val="000000"/>
              </w:rPr>
              <w:t>ealth club</w:t>
            </w:r>
          </w:p>
        </w:tc>
        <w:tc>
          <w:tcPr>
            <w:tcW w:w="1311" w:type="dxa"/>
            <w:vAlign w:val="bottom"/>
          </w:tcPr>
          <w:p w14:paraId="23E6D4DB"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29(32.22)</w:t>
            </w:r>
          </w:p>
        </w:tc>
        <w:tc>
          <w:tcPr>
            <w:tcW w:w="1311" w:type="dxa"/>
            <w:vAlign w:val="bottom"/>
          </w:tcPr>
          <w:p w14:paraId="6980A9B3"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31(34.44)</w:t>
            </w:r>
          </w:p>
        </w:tc>
        <w:tc>
          <w:tcPr>
            <w:tcW w:w="1311" w:type="dxa"/>
            <w:vAlign w:val="bottom"/>
          </w:tcPr>
          <w:p w14:paraId="07FB378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6(6.67)</w:t>
            </w:r>
          </w:p>
        </w:tc>
        <w:tc>
          <w:tcPr>
            <w:tcW w:w="1311" w:type="dxa"/>
            <w:vAlign w:val="bottom"/>
          </w:tcPr>
          <w:p w14:paraId="4B8F224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24(26.67)</w:t>
            </w:r>
          </w:p>
        </w:tc>
      </w:tr>
      <w:tr w:rsidR="00654EB9" w:rsidRPr="00981E2B" w14:paraId="40B9D56D" w14:textId="77777777" w:rsidTr="00654EB9">
        <w:tc>
          <w:tcPr>
            <w:tcW w:w="3828" w:type="dxa"/>
            <w:vAlign w:val="bottom"/>
          </w:tcPr>
          <w:p w14:paraId="40F59AEE"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2945618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65BBFD7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7F7B49D"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74D8EAE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5B0F9BC7" w14:textId="77777777" w:rsidTr="00654EB9">
        <w:tc>
          <w:tcPr>
            <w:tcW w:w="3828" w:type="dxa"/>
            <w:vAlign w:val="bottom"/>
          </w:tcPr>
          <w:p w14:paraId="343D8127" w14:textId="77777777" w:rsidR="00654EB9" w:rsidRPr="00981E2B" w:rsidRDefault="00654EB9" w:rsidP="00D2047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981E2B">
              <w:rPr>
                <w:rFonts w:ascii="Times New Roman" w:eastAsia="Times New Roman" w:hAnsi="Times New Roman" w:cs="Times New Roman"/>
                <w:color w:val="000000"/>
              </w:rPr>
              <w:t>eer education done by school health club members</w:t>
            </w:r>
          </w:p>
        </w:tc>
        <w:tc>
          <w:tcPr>
            <w:tcW w:w="1311" w:type="dxa"/>
            <w:vAlign w:val="bottom"/>
          </w:tcPr>
          <w:p w14:paraId="369084B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30(37.5)</w:t>
            </w:r>
          </w:p>
        </w:tc>
        <w:tc>
          <w:tcPr>
            <w:tcW w:w="1311" w:type="dxa"/>
            <w:vAlign w:val="bottom"/>
          </w:tcPr>
          <w:p w14:paraId="6141431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29(36.25)</w:t>
            </w:r>
          </w:p>
        </w:tc>
        <w:tc>
          <w:tcPr>
            <w:tcW w:w="1311" w:type="dxa"/>
            <w:vAlign w:val="bottom"/>
          </w:tcPr>
          <w:p w14:paraId="1FB8A46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7(8.75)</w:t>
            </w:r>
          </w:p>
        </w:tc>
        <w:tc>
          <w:tcPr>
            <w:tcW w:w="1311" w:type="dxa"/>
            <w:vAlign w:val="bottom"/>
          </w:tcPr>
          <w:p w14:paraId="0988AADD"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14(17.5)</w:t>
            </w:r>
          </w:p>
        </w:tc>
      </w:tr>
      <w:tr w:rsidR="00654EB9" w:rsidRPr="00981E2B" w14:paraId="170453DF" w14:textId="77777777" w:rsidTr="00654EB9">
        <w:tc>
          <w:tcPr>
            <w:tcW w:w="3828" w:type="dxa"/>
            <w:vAlign w:val="bottom"/>
          </w:tcPr>
          <w:p w14:paraId="00D803AE" w14:textId="77777777" w:rsidR="00654EB9" w:rsidRPr="00981E2B" w:rsidRDefault="00654EB9" w:rsidP="00D2047E">
            <w:pPr>
              <w:spacing w:after="0" w:line="240" w:lineRule="auto"/>
              <w:rPr>
                <w:rFonts w:ascii="Times New Roman" w:eastAsia="Times New Roman" w:hAnsi="Times New Roman" w:cs="Times New Roman"/>
                <w:color w:val="000000"/>
              </w:rPr>
            </w:pPr>
          </w:p>
        </w:tc>
        <w:tc>
          <w:tcPr>
            <w:tcW w:w="1311" w:type="dxa"/>
            <w:vAlign w:val="bottom"/>
          </w:tcPr>
          <w:p w14:paraId="7A11CA47"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1789FC1C"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239975FF"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5150777A"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6B315E18" w14:textId="77777777" w:rsidTr="00654EB9">
        <w:tc>
          <w:tcPr>
            <w:tcW w:w="3828" w:type="dxa"/>
            <w:vAlign w:val="bottom"/>
          </w:tcPr>
          <w:p w14:paraId="1C124F9B" w14:textId="77777777" w:rsidR="00654EB9" w:rsidRPr="00E61B67" w:rsidRDefault="00654EB9" w:rsidP="00D2047E">
            <w:pPr>
              <w:spacing w:after="0" w:line="240" w:lineRule="auto"/>
              <w:rPr>
                <w:rFonts w:ascii="Times New Roman" w:eastAsia="Times New Roman" w:hAnsi="Times New Roman" w:cs="Times New Roman"/>
                <w:b/>
                <w:color w:val="000000"/>
              </w:rPr>
            </w:pPr>
            <w:r w:rsidRPr="00E61B67">
              <w:rPr>
                <w:rFonts w:ascii="Times New Roman" w:eastAsia="Times New Roman" w:hAnsi="Times New Roman" w:cs="Times New Roman"/>
                <w:b/>
                <w:color w:val="000000"/>
              </w:rPr>
              <w:t>Method of menstrual hygiene during menses</w:t>
            </w:r>
          </w:p>
        </w:tc>
        <w:tc>
          <w:tcPr>
            <w:tcW w:w="1311" w:type="dxa"/>
            <w:vAlign w:val="bottom"/>
          </w:tcPr>
          <w:p w14:paraId="0584ACA0"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4DDF3C42"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8178A6B"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c>
          <w:tcPr>
            <w:tcW w:w="1311" w:type="dxa"/>
            <w:vAlign w:val="bottom"/>
          </w:tcPr>
          <w:p w14:paraId="0A25E791" w14:textId="77777777" w:rsidR="00654EB9" w:rsidRPr="00981E2B" w:rsidRDefault="00654EB9" w:rsidP="00D2047E">
            <w:pPr>
              <w:spacing w:after="0" w:line="240" w:lineRule="auto"/>
              <w:jc w:val="center"/>
              <w:rPr>
                <w:rFonts w:ascii="Times New Roman" w:eastAsia="Times New Roman" w:hAnsi="Times New Roman" w:cs="Times New Roman"/>
                <w:color w:val="000000"/>
              </w:rPr>
            </w:pPr>
          </w:p>
        </w:tc>
      </w:tr>
      <w:tr w:rsidR="00654EB9" w:rsidRPr="00981E2B" w14:paraId="5CB0F73F" w14:textId="77777777" w:rsidTr="00654EB9">
        <w:tc>
          <w:tcPr>
            <w:tcW w:w="3828" w:type="dxa"/>
            <w:vAlign w:val="bottom"/>
          </w:tcPr>
          <w:p w14:paraId="5FF3B64D"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Clothe</w:t>
            </w:r>
          </w:p>
        </w:tc>
        <w:tc>
          <w:tcPr>
            <w:tcW w:w="1311" w:type="dxa"/>
            <w:vAlign w:val="bottom"/>
          </w:tcPr>
          <w:p w14:paraId="23A5A448"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49C1EBF"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1(100)</w:t>
            </w:r>
          </w:p>
        </w:tc>
        <w:tc>
          <w:tcPr>
            <w:tcW w:w="1311" w:type="dxa"/>
            <w:vAlign w:val="bottom"/>
          </w:tcPr>
          <w:p w14:paraId="14544EE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016361F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2DEBE945" w14:textId="77777777" w:rsidTr="00654EB9">
        <w:tc>
          <w:tcPr>
            <w:tcW w:w="3828" w:type="dxa"/>
            <w:vAlign w:val="bottom"/>
          </w:tcPr>
          <w:p w14:paraId="0C0A1B89"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Sanitary pad</w:t>
            </w:r>
          </w:p>
        </w:tc>
        <w:tc>
          <w:tcPr>
            <w:tcW w:w="1311" w:type="dxa"/>
            <w:vAlign w:val="bottom"/>
          </w:tcPr>
          <w:p w14:paraId="7ACF081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26(22.22)</w:t>
            </w:r>
          </w:p>
        </w:tc>
        <w:tc>
          <w:tcPr>
            <w:tcW w:w="1311" w:type="dxa"/>
            <w:vAlign w:val="bottom"/>
          </w:tcPr>
          <w:p w14:paraId="7375884E"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31(26.5)</w:t>
            </w:r>
          </w:p>
        </w:tc>
        <w:tc>
          <w:tcPr>
            <w:tcW w:w="1311" w:type="dxa"/>
            <w:vAlign w:val="bottom"/>
          </w:tcPr>
          <w:p w14:paraId="7EFB1C9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15(12.82)</w:t>
            </w:r>
          </w:p>
        </w:tc>
        <w:tc>
          <w:tcPr>
            <w:tcW w:w="1311" w:type="dxa"/>
            <w:vAlign w:val="bottom"/>
          </w:tcPr>
          <w:p w14:paraId="028470E6"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45(38.46)</w:t>
            </w:r>
          </w:p>
        </w:tc>
      </w:tr>
      <w:tr w:rsidR="00654EB9" w:rsidRPr="00981E2B" w14:paraId="2F89398C" w14:textId="77777777" w:rsidTr="00654EB9">
        <w:tc>
          <w:tcPr>
            <w:tcW w:w="3828" w:type="dxa"/>
            <w:vAlign w:val="bottom"/>
          </w:tcPr>
          <w:p w14:paraId="4E60BB02"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Tissue paper</w:t>
            </w:r>
          </w:p>
        </w:tc>
        <w:tc>
          <w:tcPr>
            <w:tcW w:w="1311" w:type="dxa"/>
            <w:vAlign w:val="bottom"/>
          </w:tcPr>
          <w:p w14:paraId="6FF31C6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1(100)</w:t>
            </w:r>
          </w:p>
        </w:tc>
        <w:tc>
          <w:tcPr>
            <w:tcW w:w="1311" w:type="dxa"/>
            <w:vAlign w:val="bottom"/>
          </w:tcPr>
          <w:p w14:paraId="5C94C194"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51D32CD9"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c>
          <w:tcPr>
            <w:tcW w:w="1311" w:type="dxa"/>
            <w:vAlign w:val="bottom"/>
          </w:tcPr>
          <w:p w14:paraId="2D6C51C2"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0(0)</w:t>
            </w:r>
          </w:p>
        </w:tc>
      </w:tr>
      <w:tr w:rsidR="00654EB9" w:rsidRPr="00981E2B" w14:paraId="01854FAC" w14:textId="77777777" w:rsidTr="00654EB9">
        <w:tc>
          <w:tcPr>
            <w:tcW w:w="3828" w:type="dxa"/>
            <w:tcBorders>
              <w:bottom w:val="single" w:sz="4" w:space="0" w:color="auto"/>
            </w:tcBorders>
            <w:vAlign w:val="bottom"/>
          </w:tcPr>
          <w:p w14:paraId="3E7180EF" w14:textId="77777777" w:rsidR="00654EB9" w:rsidRPr="00981E2B" w:rsidRDefault="00654EB9" w:rsidP="00D2047E">
            <w:pPr>
              <w:spacing w:after="0" w:line="240" w:lineRule="auto"/>
              <w:rPr>
                <w:rFonts w:ascii="Times New Roman" w:eastAsia="Times New Roman" w:hAnsi="Times New Roman" w:cs="Times New Roman"/>
                <w:color w:val="000000"/>
              </w:rPr>
            </w:pPr>
            <w:r w:rsidRPr="00981E2B">
              <w:rPr>
                <w:rFonts w:ascii="Times New Roman" w:eastAsia="Times New Roman" w:hAnsi="Times New Roman" w:cs="Times New Roman"/>
                <w:color w:val="000000"/>
              </w:rPr>
              <w:t>Total</w:t>
            </w:r>
          </w:p>
        </w:tc>
        <w:tc>
          <w:tcPr>
            <w:tcW w:w="1311" w:type="dxa"/>
            <w:tcBorders>
              <w:bottom w:val="single" w:sz="4" w:space="0" w:color="auto"/>
            </w:tcBorders>
            <w:vAlign w:val="bottom"/>
          </w:tcPr>
          <w:p w14:paraId="236C18D5"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27(22.69)</w:t>
            </w:r>
          </w:p>
        </w:tc>
        <w:tc>
          <w:tcPr>
            <w:tcW w:w="1311" w:type="dxa"/>
            <w:tcBorders>
              <w:bottom w:val="single" w:sz="4" w:space="0" w:color="auto"/>
            </w:tcBorders>
            <w:vAlign w:val="bottom"/>
          </w:tcPr>
          <w:p w14:paraId="05016C37"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32(26.89)</w:t>
            </w:r>
          </w:p>
        </w:tc>
        <w:tc>
          <w:tcPr>
            <w:tcW w:w="1311" w:type="dxa"/>
            <w:tcBorders>
              <w:bottom w:val="single" w:sz="4" w:space="0" w:color="auto"/>
            </w:tcBorders>
            <w:vAlign w:val="bottom"/>
          </w:tcPr>
          <w:p w14:paraId="22A11C60"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15(12.61)</w:t>
            </w:r>
          </w:p>
        </w:tc>
        <w:tc>
          <w:tcPr>
            <w:tcW w:w="1311" w:type="dxa"/>
            <w:tcBorders>
              <w:bottom w:val="single" w:sz="4" w:space="0" w:color="auto"/>
            </w:tcBorders>
            <w:vAlign w:val="bottom"/>
          </w:tcPr>
          <w:p w14:paraId="19CA50AA" w14:textId="77777777" w:rsidR="00654EB9" w:rsidRPr="00981E2B" w:rsidRDefault="00654EB9" w:rsidP="00D2047E">
            <w:pPr>
              <w:spacing w:after="0" w:line="240" w:lineRule="auto"/>
              <w:jc w:val="center"/>
              <w:rPr>
                <w:rFonts w:ascii="Times New Roman" w:eastAsia="Times New Roman" w:hAnsi="Times New Roman" w:cs="Times New Roman"/>
                <w:color w:val="000000"/>
              </w:rPr>
            </w:pPr>
            <w:r w:rsidRPr="00981E2B">
              <w:rPr>
                <w:rFonts w:ascii="Times New Roman" w:eastAsia="Times New Roman" w:hAnsi="Times New Roman" w:cs="Times New Roman"/>
                <w:color w:val="000000"/>
              </w:rPr>
              <w:t>45(37.82)</w:t>
            </w:r>
          </w:p>
        </w:tc>
      </w:tr>
    </w:tbl>
    <w:p w14:paraId="724E18A7" w14:textId="77777777" w:rsidR="00654EB9" w:rsidRDefault="00654EB9" w:rsidP="00654EB9">
      <w:pPr>
        <w:rPr>
          <w:rFonts w:ascii="Times New Roman" w:hAnsi="Times New Roman" w:cs="Times New Roman"/>
          <w:b/>
        </w:rPr>
      </w:pPr>
    </w:p>
    <w:p w14:paraId="0C1AF180" w14:textId="77777777" w:rsidR="00930EF4" w:rsidRDefault="00930EF4" w:rsidP="00654EB9">
      <w:pPr>
        <w:rPr>
          <w:rFonts w:ascii="Times New Roman" w:hAnsi="Times New Roman" w:cs="Times New Roman"/>
          <w:b/>
        </w:rPr>
      </w:pPr>
    </w:p>
    <w:p w14:paraId="275E8A8E" w14:textId="77777777" w:rsidR="00654EB9" w:rsidRDefault="00654EB9" w:rsidP="00654EB9">
      <w:pPr>
        <w:rPr>
          <w:rFonts w:ascii="Times New Roman" w:hAnsi="Times New Roman" w:cs="Times New Roman"/>
          <w:b/>
        </w:rPr>
      </w:pPr>
      <w:r>
        <w:rPr>
          <w:noProof/>
          <w:lang w:eastAsia="en-IN"/>
        </w:rPr>
        <w:drawing>
          <wp:inline distT="0" distB="0" distL="0" distR="0" wp14:anchorId="5E15903A" wp14:editId="719FBDDE">
            <wp:extent cx="5895340" cy="3349256"/>
            <wp:effectExtent l="0" t="0" r="1016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A282C4" w14:textId="740B16F0" w:rsidR="007810B3" w:rsidRDefault="007810B3" w:rsidP="007810B3">
      <w:pPr>
        <w:jc w:val="both"/>
        <w:rPr>
          <w:i/>
          <w:iCs/>
        </w:rPr>
      </w:pPr>
      <w:r w:rsidRPr="004A7A89">
        <w:rPr>
          <w:b/>
          <w:bCs/>
          <w:i/>
          <w:iCs/>
        </w:rPr>
        <w:t xml:space="preserve">Figure </w:t>
      </w:r>
      <w:r w:rsidRPr="007810B3">
        <w:rPr>
          <w:b/>
          <w:bCs/>
          <w:i/>
          <w:iCs/>
        </w:rPr>
        <w:t>2</w:t>
      </w:r>
      <w:r>
        <w:rPr>
          <w:i/>
          <w:iCs/>
        </w:rPr>
        <w:t>: Knowledge of STI/HIV</w:t>
      </w:r>
    </w:p>
    <w:p w14:paraId="5846841C" w14:textId="0B3DD1EE" w:rsidR="004A7A89" w:rsidRPr="005C382F" w:rsidRDefault="005C382F" w:rsidP="00654EB9">
      <w:pPr>
        <w:jc w:val="both"/>
        <w:rPr>
          <w:b/>
          <w:bCs/>
          <w:color w:val="4472C4" w:themeColor="accent1"/>
        </w:rPr>
      </w:pPr>
      <w:r w:rsidRPr="005C382F">
        <w:rPr>
          <w:b/>
          <w:bCs/>
          <w:color w:val="4472C4" w:themeColor="accent1"/>
        </w:rPr>
        <w:t>DISCUSSION</w:t>
      </w:r>
    </w:p>
    <w:p w14:paraId="5B91B5FF" w14:textId="77777777" w:rsidR="004F3DEF" w:rsidRPr="00CE2169" w:rsidRDefault="004F3DEF" w:rsidP="004F3DEF">
      <w:pPr>
        <w:jc w:val="both"/>
      </w:pPr>
      <w:r w:rsidRPr="00CE2169">
        <w:t xml:space="preserve">The result show that adolescent awareness of sexual and reproductive health (SRH) issues among secondary school students in Ondo State was high, but the utilization of youth-friendly services was strikingly low. </w:t>
      </w:r>
    </w:p>
    <w:p w14:paraId="7FFFE70D" w14:textId="77777777" w:rsidR="004F3DEF" w:rsidRPr="00CE2169" w:rsidRDefault="004F3DEF" w:rsidP="004F3DEF">
      <w:pPr>
        <w:jc w:val="both"/>
      </w:pPr>
      <w:r>
        <w:t>A</w:t>
      </w:r>
      <w:r w:rsidRPr="00CE2169">
        <w:t xml:space="preserve">wareness of sexuality education was </w:t>
      </w:r>
      <w:r>
        <w:t>fair</w:t>
      </w:r>
      <w:r w:rsidRPr="00CE2169">
        <w:t xml:space="preserve"> with 33% of BUHS students, 18% of CACGS, 15% of Impact, and 34% of Wexford reporting knowledge of it</w:t>
      </w:r>
      <w:r>
        <w:t xml:space="preserve"> (T</w:t>
      </w:r>
      <w:r w:rsidRPr="00CE2169">
        <w:t>able 1</w:t>
      </w:r>
      <w:r>
        <w:t>)</w:t>
      </w:r>
      <w:r w:rsidRPr="00CE2169">
        <w:t xml:space="preserve">. Similarly, awareness of HIV and family life education was above 30% in BUHS and Wexford, but just 18% in CACGS and Impact. </w:t>
      </w:r>
      <w:r>
        <w:t>W</w:t>
      </w:r>
      <w:r w:rsidRPr="00CE2169">
        <w:t xml:space="preserve">hile certain schools had successfully integrated family life and sexuality education into their curriculum, others lagged behind. These findings are consistent with Olatoye and Olowokere (2025), who observed that adolescents exposed to formalized sexuality education curricula had significantly higher knowledge of HIV prevention. </w:t>
      </w:r>
      <w:r>
        <w:t xml:space="preserve">Government and school management will have to do more in ensuring </w:t>
      </w:r>
      <w:r w:rsidRPr="00CE2169">
        <w:t>sexuality education</w:t>
      </w:r>
      <w:r>
        <w:t xml:space="preserve"> is institutionalize</w:t>
      </w:r>
      <w:r w:rsidRPr="00CE2169">
        <w:t xml:space="preserve"> across schools </w:t>
      </w:r>
      <w:r>
        <w:t xml:space="preserve">and implementation is monitored to produce desired results. </w:t>
      </w:r>
    </w:p>
    <w:p w14:paraId="174FE1C0" w14:textId="77777777" w:rsidR="004F3DEF" w:rsidRDefault="004F3DEF" w:rsidP="004F3DEF">
      <w:pPr>
        <w:jc w:val="both"/>
      </w:pPr>
      <w:r>
        <w:t>Contrary to</w:t>
      </w:r>
      <w:r w:rsidRPr="00CE2169">
        <w:t xml:space="preserve"> studies by Mensah and Enumah (2025), who found that awareness of drug-related risks is often higher than that of reproductive health issues because of the visible effects of drug misuse in communities</w:t>
      </w:r>
      <w:r>
        <w:t xml:space="preserve">, the results in this study shows less than 50% of sampled school students are aware of drug related risks, similar to that of reproductive health indicating more has to be done for the </w:t>
      </w:r>
      <w:r w:rsidRPr="00CE2169">
        <w:t>success of national anti-drug campaigns.</w:t>
      </w:r>
      <w:r>
        <w:t xml:space="preserve"> A</w:t>
      </w:r>
      <w:r w:rsidRPr="00CE2169">
        <w:t>wareness of youth-friendly services was much lower</w:t>
      </w:r>
      <w:r>
        <w:t xml:space="preserve">, the </w:t>
      </w:r>
      <w:r w:rsidRPr="00CE2169">
        <w:t xml:space="preserve">paradox between high </w:t>
      </w:r>
      <w:r>
        <w:t xml:space="preserve">situation </w:t>
      </w:r>
      <w:r w:rsidRPr="00CE2169">
        <w:t xml:space="preserve">awareness and low </w:t>
      </w:r>
      <w:r>
        <w:t>clue</w:t>
      </w:r>
      <w:r w:rsidRPr="00CE2169">
        <w:t xml:space="preserve"> of available supportive services has been emphasized </w:t>
      </w:r>
      <w:r w:rsidRPr="00CE2169">
        <w:lastRenderedPageBreak/>
        <w:t>by Eneji et al. (2025), who showed that even when schools establish health clubs or linkages to youth-friendly clinics, students remain unaware of how to access them.</w:t>
      </w:r>
    </w:p>
    <w:p w14:paraId="3B358780" w14:textId="77777777" w:rsidR="004F3DEF" w:rsidRDefault="004F3DEF" w:rsidP="004F3DEF">
      <w:pPr>
        <w:jc w:val="both"/>
      </w:pPr>
      <w:r>
        <w:t>M</w:t>
      </w:r>
      <w:r w:rsidRPr="00CE2169">
        <w:t>ore concerning</w:t>
      </w:r>
      <w:r>
        <w:t xml:space="preserve"> is the </w:t>
      </w:r>
      <w:r w:rsidRPr="00CE2169">
        <w:t>service utilization</w:t>
      </w:r>
      <w:r>
        <w:t xml:space="preserve"> of youth friendly services with o</w:t>
      </w:r>
      <w:r w:rsidRPr="00CE2169">
        <w:t xml:space="preserve">nly 14% of BUHS students, 7% of CACGS, 4% of Impact, and 12% of Wexford </w:t>
      </w:r>
      <w:r>
        <w:t>indicting ev</w:t>
      </w:r>
      <w:r w:rsidRPr="00CE2169">
        <w:t xml:space="preserve">er visited a youth-friendly clinic. Osonuga et al. (2025) and Ladi-Akinyemi et al. (2024) reported </w:t>
      </w:r>
      <w:r>
        <w:t xml:space="preserve">similar result and attributed service utilization failure to </w:t>
      </w:r>
      <w:r w:rsidRPr="00CE2169">
        <w:t>barriers such as lack of confidentiality, stigma, and negative provider attitudes. In Plateau State, Envuladu (2025) described how adolescents reported fear of being judged by health workers, which limited their willingness to visit facilities.</w:t>
      </w:r>
      <w:r>
        <w:t xml:space="preserve"> With the understanding that these should be youth friendly centres where such barriers were already removed, t</w:t>
      </w:r>
      <w:r w:rsidRPr="00CE2169">
        <w:t>he low utilization figures in Ondo State thus underscore a structural failure: awareness campaigns have not translated into meaningful service uptake.</w:t>
      </w:r>
    </w:p>
    <w:p w14:paraId="651159D7" w14:textId="56105967" w:rsidR="004F3DEF" w:rsidRDefault="004F3DEF" w:rsidP="004F3DEF">
      <w:pPr>
        <w:spacing w:after="0"/>
        <w:jc w:val="both"/>
      </w:pPr>
      <w:r>
        <w:rPr>
          <w:noProof/>
          <w:lang w:eastAsia="en-IN"/>
        </w:rPr>
        <w:drawing>
          <wp:inline distT="0" distB="0" distL="0" distR="0" wp14:anchorId="4C42A992" wp14:editId="7BDB3A0C">
            <wp:extent cx="5729875" cy="4391247"/>
            <wp:effectExtent l="0" t="0" r="4445" b="9525"/>
            <wp:docPr id="156349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687" cy="4452413"/>
                    </a:xfrm>
                    <a:prstGeom prst="rect">
                      <a:avLst/>
                    </a:prstGeom>
                    <a:noFill/>
                    <a:ln>
                      <a:noFill/>
                    </a:ln>
                  </pic:spPr>
                </pic:pic>
              </a:graphicData>
            </a:graphic>
          </wp:inline>
        </w:drawing>
      </w:r>
    </w:p>
    <w:p w14:paraId="4DBF5A9A" w14:textId="654A5B87" w:rsidR="004F3DEF" w:rsidRPr="00CE2169" w:rsidRDefault="004F3DEF" w:rsidP="004F3DEF">
      <w:pPr>
        <w:spacing w:after="0"/>
        <w:jc w:val="both"/>
      </w:pPr>
      <w:r w:rsidRPr="00B91B55">
        <w:rPr>
          <w:b/>
          <w:bCs/>
        </w:rPr>
        <w:t>Figure 3:</w:t>
      </w:r>
      <w:r>
        <w:t xml:space="preserve"> Awareness – Utilization paradox for health services</w:t>
      </w:r>
      <w:r w:rsidR="00930EF4">
        <w:t xml:space="preserve"> (ChatGPT 5.0)</w:t>
      </w:r>
    </w:p>
    <w:p w14:paraId="01B720E3" w14:textId="77777777" w:rsidR="004F3DEF" w:rsidRDefault="004F3DEF" w:rsidP="004F3DEF">
      <w:pPr>
        <w:jc w:val="both"/>
      </w:pPr>
    </w:p>
    <w:p w14:paraId="0F9C2028" w14:textId="244EE515" w:rsidR="004F3DEF" w:rsidRPr="00CE2169" w:rsidRDefault="004F3DEF" w:rsidP="004F3DEF">
      <w:pPr>
        <w:jc w:val="both"/>
      </w:pPr>
      <w:r w:rsidRPr="00CE2169">
        <w:t xml:space="preserve">The </w:t>
      </w:r>
      <w:r>
        <w:t>f</w:t>
      </w:r>
      <w:r w:rsidRPr="00CE2169">
        <w:t>amilies (about 33% at BUHS and 38% at Wexford) and places of worship (35% at BUHS and 37% at Wexford) remain the dominant influences shaping adolescent behaviour. This shows that adolescents are more influenced by families and religious institutions than by school curricula.</w:t>
      </w:r>
      <w:r>
        <w:t xml:space="preserve"> Without family and religious involvement, </w:t>
      </w:r>
      <w:r w:rsidRPr="00CE2169">
        <w:t>schools alone cannot counter the silence around sexuality in many Nigerian households (Uwakwe, 2025).</w:t>
      </w:r>
      <w:r>
        <w:t xml:space="preserve"> C</w:t>
      </w:r>
      <w:r w:rsidRPr="00CE2169">
        <w:t xml:space="preserve">ommunity-based organizations can bridge this gap </w:t>
      </w:r>
      <w:r w:rsidRPr="00CE2169">
        <w:lastRenderedPageBreak/>
        <w:t>by collaborating with families and religious leaders to deliver SRH information in culturally sensitive ways (Chukelu</w:t>
      </w:r>
      <w:r>
        <w:t>,</w:t>
      </w:r>
      <w:r w:rsidRPr="00CE2169">
        <w:t xml:space="preserve"> 2025)</w:t>
      </w:r>
      <w:r>
        <w:t>.</w:t>
      </w:r>
    </w:p>
    <w:p w14:paraId="738A4C29" w14:textId="77777777" w:rsidR="004F3DEF" w:rsidRPr="00CE2169" w:rsidRDefault="004F3DEF" w:rsidP="004F3DEF">
      <w:pPr>
        <w:jc w:val="both"/>
      </w:pPr>
      <w:r w:rsidRPr="00CE2169">
        <w:t>The result also show that self-esteem was unevenly distributed. High self-esteem was reported by 38.7% of Wexford respondents compared to 31.6% in BUHS and just 12.3% in CACGS. Low self-esteem was also common, with 36% in Wexford and 32% in BUHS reporting it. This pattern suggests polarization, where some adolescents feel empowered while others are vulnerable. Research has shown that self-esteem strongly influences health-seeking behavior. Akpong et al. (2025) noted that adolescents with low self-esteem were more likely to succumb to sexual coercion or fail to insist on condom use. Thus, health programming must integrate self-esteem building into sexuality education and health clubs to empower adolescents to act on the knowledge they acquire.</w:t>
      </w:r>
    </w:p>
    <w:p w14:paraId="1B98B27D" w14:textId="77777777" w:rsidR="004F3DEF" w:rsidRPr="00CE2169" w:rsidRDefault="004F3DEF" w:rsidP="004F3DEF">
      <w:pPr>
        <w:jc w:val="both"/>
      </w:pPr>
      <w:r>
        <w:t>G</w:t>
      </w:r>
      <w:r w:rsidRPr="00CE2169">
        <w:t xml:space="preserve">onorrhoea was the most widely recognized STI, </w:t>
      </w:r>
      <w:r>
        <w:t xml:space="preserve">followed by </w:t>
      </w:r>
      <w:r w:rsidRPr="00CE2169">
        <w:t xml:space="preserve">HIV/AIDS </w:t>
      </w:r>
      <w:r>
        <w:t xml:space="preserve">(Table 2). Knowledge of other STIs such as </w:t>
      </w:r>
      <w:r w:rsidRPr="00CE2169">
        <w:t xml:space="preserve">chlamydia and herpes </w:t>
      </w:r>
      <w:r>
        <w:t xml:space="preserve">were not consistent or completely unknown among students in some schools. </w:t>
      </w:r>
      <w:r w:rsidRPr="00CE2169">
        <w:t xml:space="preserve">This trend </w:t>
      </w:r>
      <w:r>
        <w:t xml:space="preserve">was documented by </w:t>
      </w:r>
      <w:r w:rsidRPr="00CE2169">
        <w:t xml:space="preserve">Okolie et al. </w:t>
      </w:r>
      <w:r>
        <w:t>(</w:t>
      </w:r>
      <w:r w:rsidRPr="00CE2169">
        <w:t>2024) where HIV dominates the discourse while other STIs remain underrepresented</w:t>
      </w:r>
      <w:r>
        <w:t>. If this trend remains unchanged, a</w:t>
      </w:r>
      <w:r w:rsidRPr="00CE2169">
        <w:t>dolescents may overlook other infections, delay diagnosis and treatment and contributing to complications such as infertility.</w:t>
      </w:r>
    </w:p>
    <w:p w14:paraId="4C0426F9" w14:textId="77777777" w:rsidR="004F3DEF" w:rsidRPr="00CE2169" w:rsidRDefault="004F3DEF" w:rsidP="004F3DEF">
      <w:pPr>
        <w:jc w:val="both"/>
      </w:pPr>
      <w:r>
        <w:t>Though students have been treated for STIs (</w:t>
      </w:r>
      <w:r w:rsidRPr="00CE2169">
        <w:t>Table 3</w:t>
      </w:r>
      <w:r>
        <w:t xml:space="preserve">) which indicating prevalence of unprotected sexual activity among students, contraceptive use among students remains low. </w:t>
      </w:r>
      <w:r w:rsidRPr="00CE2169">
        <w:t xml:space="preserve"> These low utilization figures </w:t>
      </w:r>
      <w:r>
        <w:t xml:space="preserve">is a </w:t>
      </w:r>
      <w:r w:rsidRPr="00CE2169">
        <w:t xml:space="preserve">global pattern </w:t>
      </w:r>
      <w:r>
        <w:t>that have been noticed in West Africa (</w:t>
      </w:r>
      <w:r w:rsidRPr="00CE2169">
        <w:t>Mensah and Enumah 2025), adolescent contraceptive uptake remains constrained by stigma, gender norms, and limited availability of adolescent-friendly providers.</w:t>
      </w:r>
    </w:p>
    <w:p w14:paraId="5657F5D3" w14:textId="77777777" w:rsidR="004F3DEF" w:rsidRPr="00CE2169" w:rsidRDefault="004F3DEF" w:rsidP="004F3DEF">
      <w:pPr>
        <w:jc w:val="both"/>
      </w:pPr>
      <w:r>
        <w:t>W</w:t>
      </w:r>
      <w:r w:rsidRPr="00CE2169">
        <w:t>hile adolescents are exposed to SRH messages and demonstrate partial awareness, they continue to harbor misconceptions and fail to utilize available services. This paradox mirrors findings from across Nigeria and West Africa</w:t>
      </w:r>
      <w:r>
        <w:t xml:space="preserve"> (</w:t>
      </w:r>
      <w:r w:rsidRPr="00CE2169">
        <w:t>Eneji et al.</w:t>
      </w:r>
      <w:r>
        <w:t xml:space="preserve">, </w:t>
      </w:r>
      <w:r w:rsidRPr="00CE2169">
        <w:t>2025</w:t>
      </w:r>
      <w:r>
        <w:t>;</w:t>
      </w:r>
      <w:r w:rsidRPr="00CE2169">
        <w:t xml:space="preserve"> Chukelu 2025)</w:t>
      </w:r>
      <w:r>
        <w:t xml:space="preserve">. </w:t>
      </w:r>
      <w:r w:rsidRPr="00CE2169">
        <w:t>These consistencies across regions highlight a systemic problem: awareness campaigns are not sufficient to drive utilization unless they are complemented by structural reforms in service delivery, cultural engagement, and adolescent empowerment.</w:t>
      </w:r>
    </w:p>
    <w:p w14:paraId="077E718E" w14:textId="77777777" w:rsidR="004F3DEF" w:rsidRDefault="004F3DEF" w:rsidP="004F3DEF">
      <w:pPr>
        <w:jc w:val="both"/>
      </w:pPr>
      <w:r w:rsidRPr="00CE2169">
        <w:t>Adolescence is a critical developmental window, and gaps in SRH knowledge and practice have lifelong consequences, from unplanned pregnancies to HIV infection and drug</w:t>
      </w:r>
      <w:r>
        <w:t xml:space="preserve"> </w:t>
      </w:r>
      <w:r w:rsidRPr="00CE2169">
        <w:t xml:space="preserve">related harm. </w:t>
      </w:r>
      <w:r>
        <w:t>P</w:t>
      </w:r>
      <w:r w:rsidRPr="00CE2169">
        <w:t>rogramming must shift focus from simply raising awareness to ensuring that awareness translates into action. This will require scaling up peer education, strengthening youth-friendly services, engaging families and religious leaders, and addressing stigma and confidentiality concerns. Without such holistic interventions, low utilization will persist, undermining adolescent health outcomes.</w:t>
      </w:r>
    </w:p>
    <w:p w14:paraId="5EEC632D" w14:textId="755C1F56" w:rsidR="00CD4038" w:rsidRDefault="00CD4038" w:rsidP="004F3DEF">
      <w:pPr>
        <w:jc w:val="both"/>
      </w:pPr>
    </w:p>
    <w:p w14:paraId="6A2B2A6A" w14:textId="15070E3C" w:rsidR="00A230FC" w:rsidRDefault="00A230FC" w:rsidP="004F3DEF">
      <w:pPr>
        <w:jc w:val="both"/>
      </w:pPr>
    </w:p>
    <w:p w14:paraId="4AB9D296" w14:textId="77777777" w:rsidR="00A230FC" w:rsidRDefault="00A230FC" w:rsidP="004F3DEF">
      <w:pPr>
        <w:jc w:val="both"/>
      </w:pPr>
    </w:p>
    <w:p w14:paraId="779C7996" w14:textId="77777777" w:rsidR="005C382F" w:rsidRDefault="005C382F" w:rsidP="004F3DEF">
      <w:pPr>
        <w:jc w:val="both"/>
      </w:pPr>
    </w:p>
    <w:p w14:paraId="171BC59F" w14:textId="0FCE2635" w:rsidR="004A7A89" w:rsidRPr="004A7A89" w:rsidRDefault="005C382F" w:rsidP="00654EB9">
      <w:pPr>
        <w:jc w:val="both"/>
        <w:rPr>
          <w:b/>
          <w:bCs/>
        </w:rPr>
      </w:pPr>
      <w:r w:rsidRPr="005C382F">
        <w:rPr>
          <w:b/>
          <w:bCs/>
          <w:color w:val="4472C4" w:themeColor="accent1"/>
        </w:rPr>
        <w:lastRenderedPageBreak/>
        <w:t>REFERENCES</w:t>
      </w:r>
    </w:p>
    <w:p w14:paraId="295A5024" w14:textId="77777777" w:rsidR="005C382F" w:rsidRPr="004A7A89" w:rsidRDefault="005C382F" w:rsidP="005E6B43">
      <w:pPr>
        <w:numPr>
          <w:ilvl w:val="0"/>
          <w:numId w:val="8"/>
        </w:numPr>
        <w:spacing w:after="0"/>
        <w:jc w:val="both"/>
      </w:pPr>
      <w:r w:rsidRPr="004A7A89">
        <w:t xml:space="preserve">Ajibola, I., &amp; Mary, A. I. (2025). Sexual behaviours, contraceptive knowledge, and determinants among undergraduate students in a private university in Southwest Nigeria. </w:t>
      </w:r>
      <w:r w:rsidRPr="004A7A89">
        <w:rPr>
          <w:i/>
          <w:iCs/>
        </w:rPr>
        <w:t>African Journal of Health Education, 17</w:t>
      </w:r>
      <w:r w:rsidRPr="004A7A89">
        <w:t>(2), 112–128.</w:t>
      </w:r>
    </w:p>
    <w:p w14:paraId="08C1482D" w14:textId="77777777" w:rsidR="005C382F" w:rsidRDefault="005C382F" w:rsidP="005E6B43">
      <w:pPr>
        <w:pStyle w:val="ListParagraph"/>
        <w:numPr>
          <w:ilvl w:val="0"/>
          <w:numId w:val="8"/>
        </w:numPr>
        <w:spacing w:after="0"/>
        <w:jc w:val="both"/>
      </w:pPr>
      <w:r w:rsidRPr="005C382F">
        <w:t xml:space="preserve">Ajibola, O., &amp; Mary, L. (2025). Misconceptions and barriers to adolescent health-seeking behavior in Nigeria. </w:t>
      </w:r>
      <w:r w:rsidRPr="005C382F">
        <w:rPr>
          <w:i/>
          <w:iCs/>
        </w:rPr>
        <w:t>African Journal of Adolescent Health, 14</w:t>
      </w:r>
      <w:r w:rsidRPr="005C382F">
        <w:t xml:space="preserve">(2), 112–124. </w:t>
      </w:r>
    </w:p>
    <w:p w14:paraId="6DB63009" w14:textId="77777777" w:rsidR="005C382F" w:rsidRPr="005C382F" w:rsidRDefault="005C382F" w:rsidP="005E6B43">
      <w:pPr>
        <w:pStyle w:val="ListParagraph"/>
        <w:spacing w:after="0"/>
        <w:jc w:val="both"/>
        <w:rPr>
          <w:sz w:val="10"/>
          <w:szCs w:val="10"/>
        </w:rPr>
      </w:pPr>
    </w:p>
    <w:p w14:paraId="79FAAAAE" w14:textId="77777777" w:rsidR="005C382F" w:rsidRPr="004A7A89" w:rsidRDefault="005C382F" w:rsidP="005E6B43">
      <w:pPr>
        <w:numPr>
          <w:ilvl w:val="0"/>
          <w:numId w:val="8"/>
        </w:numPr>
        <w:spacing w:after="0"/>
        <w:jc w:val="both"/>
      </w:pPr>
      <w:r w:rsidRPr="004A7A89">
        <w:t xml:space="preserve">Akpong, B. A., Modey, S., Okang, M., &amp; Agianipe, O. (2025). Sex education and adoption of healthy lifestyle among secondary school students in Cross River State, Nigeria. </w:t>
      </w:r>
      <w:r w:rsidRPr="004A7A89">
        <w:rPr>
          <w:i/>
          <w:iCs/>
        </w:rPr>
        <w:t>ResearchGate Preprint</w:t>
      </w:r>
      <w:r w:rsidRPr="004A7A89">
        <w:t xml:space="preserve">. </w:t>
      </w:r>
      <w:hyperlink r:id="rId10" w:history="1">
        <w:r w:rsidRPr="004A7A89">
          <w:rPr>
            <w:rStyle w:val="Hyperlink"/>
          </w:rPr>
          <w:t>https://www.researchgate.net/publication/393137403</w:t>
        </w:r>
      </w:hyperlink>
    </w:p>
    <w:p w14:paraId="6E782C03" w14:textId="77777777" w:rsidR="005C382F" w:rsidRDefault="005C382F" w:rsidP="005E6B43">
      <w:pPr>
        <w:numPr>
          <w:ilvl w:val="0"/>
          <w:numId w:val="8"/>
        </w:numPr>
        <w:spacing w:after="0"/>
        <w:jc w:val="both"/>
      </w:pPr>
      <w:r w:rsidRPr="00A5266C">
        <w:t>Chinenye-Julius, A., Olaosebikan, D., Oduyoye, O., &amp; Okafor, N. (2021). Assessing The Knowledge, Perception, and Utilization of Youth Friendly Health Services Amongst Adolescents in Selected Secondary Schools in Lagos State. </w:t>
      </w:r>
      <w:r w:rsidRPr="00A5266C">
        <w:rPr>
          <w:i/>
          <w:iCs/>
        </w:rPr>
        <w:t>Euro Afro Studies International Journal</w:t>
      </w:r>
      <w:r w:rsidRPr="00A5266C">
        <w:t>, </w:t>
      </w:r>
      <w:r w:rsidRPr="00A5266C">
        <w:rPr>
          <w:i/>
          <w:iCs/>
        </w:rPr>
        <w:t>3</w:t>
      </w:r>
      <w:r w:rsidRPr="00A5266C">
        <w:t>(7), 19-28.</w:t>
      </w:r>
    </w:p>
    <w:p w14:paraId="133D7238" w14:textId="77777777" w:rsidR="005C382F" w:rsidRDefault="005C382F" w:rsidP="005E6B43">
      <w:pPr>
        <w:pStyle w:val="ListParagraph"/>
        <w:numPr>
          <w:ilvl w:val="0"/>
          <w:numId w:val="8"/>
        </w:numPr>
        <w:spacing w:after="0"/>
        <w:jc w:val="both"/>
      </w:pPr>
      <w:r w:rsidRPr="005C382F">
        <w:t xml:space="preserve">Chukelu, C. N. (2025). Evaluating the role of community-based organizations in adolescent sexual and reproductive health education and early pregnancy prevention in Makoko, Yaba. </w:t>
      </w:r>
      <w:r w:rsidRPr="005C382F">
        <w:rPr>
          <w:i/>
          <w:iCs/>
        </w:rPr>
        <w:t>Journal of Research in Adult and Continuing Education</w:t>
      </w:r>
      <w:r w:rsidRPr="005C382F">
        <w:t xml:space="preserve">. </w:t>
      </w:r>
    </w:p>
    <w:p w14:paraId="04FF41A7" w14:textId="77777777" w:rsidR="005C382F" w:rsidRPr="005C382F" w:rsidRDefault="005C382F" w:rsidP="005E6B43">
      <w:pPr>
        <w:pStyle w:val="ListParagraph"/>
        <w:spacing w:after="0"/>
        <w:jc w:val="both"/>
        <w:rPr>
          <w:sz w:val="12"/>
          <w:szCs w:val="12"/>
        </w:rPr>
      </w:pPr>
    </w:p>
    <w:p w14:paraId="7591A580" w14:textId="5AB7E65B" w:rsidR="005E6B43" w:rsidRPr="005E6B43" w:rsidRDefault="005C382F" w:rsidP="005E6B43">
      <w:pPr>
        <w:pStyle w:val="ListParagraph"/>
        <w:numPr>
          <w:ilvl w:val="0"/>
          <w:numId w:val="8"/>
        </w:numPr>
        <w:spacing w:after="0"/>
        <w:jc w:val="both"/>
      </w:pPr>
      <w:r w:rsidRPr="005C382F">
        <w:t xml:space="preserve">Eneji, R. I., Odey, S. A., &amp; Adinya, O. J. (2025). Accessibility of youth-friendly sexual and reproductive health services to secondary school adolescents in Southern Cross River, Nigeria. </w:t>
      </w:r>
      <w:r w:rsidRPr="005C382F">
        <w:rPr>
          <w:i/>
          <w:iCs/>
        </w:rPr>
        <w:t>Educational Research and Reviews, 9</w:t>
      </w:r>
      <w:r w:rsidRPr="005C382F">
        <w:t xml:space="preserve">(3), 41–60. </w:t>
      </w:r>
    </w:p>
    <w:p w14:paraId="64A810BE" w14:textId="1DFBCA31" w:rsidR="005E6B43" w:rsidRPr="005E6B43" w:rsidRDefault="005C382F" w:rsidP="005E6B43">
      <w:pPr>
        <w:pStyle w:val="ListParagraph"/>
        <w:numPr>
          <w:ilvl w:val="0"/>
          <w:numId w:val="8"/>
        </w:numPr>
        <w:spacing w:after="0"/>
        <w:jc w:val="both"/>
      </w:pPr>
      <w:r w:rsidRPr="005C382F">
        <w:t xml:space="preserve">Envuladu, E. A. (2025). Responding to adolescent sexual and reproductive health care needs: The complexities in Plateau State, Nigeria. </w:t>
      </w:r>
      <w:r w:rsidRPr="005C382F">
        <w:rPr>
          <w:i/>
          <w:iCs/>
        </w:rPr>
        <w:t>Utrecht University Research Portal</w:t>
      </w:r>
      <w:r w:rsidRPr="005C382F">
        <w:t xml:space="preserve">. </w:t>
      </w:r>
    </w:p>
    <w:p w14:paraId="360DB67E" w14:textId="74A68DC7" w:rsidR="005E6B43" w:rsidRPr="005E6B43" w:rsidRDefault="005C382F" w:rsidP="005E6B43">
      <w:pPr>
        <w:pStyle w:val="ListParagraph"/>
        <w:numPr>
          <w:ilvl w:val="0"/>
          <w:numId w:val="8"/>
        </w:numPr>
        <w:spacing w:after="0"/>
        <w:jc w:val="both"/>
      </w:pPr>
      <w:r w:rsidRPr="005C382F">
        <w:t xml:space="preserve">Ladi-Akinyemi, T., Balogun, M., Welch, S., &amp; Emmanuel, G. (2024). Barriers to integration and implementation of adolescent and youth-friendly health services in Southwest Nigeria: A mixed method study. </w:t>
      </w:r>
      <w:r w:rsidRPr="005C382F">
        <w:rPr>
          <w:i/>
          <w:iCs/>
        </w:rPr>
        <w:t>Research Square</w:t>
      </w:r>
      <w:r w:rsidRPr="005C382F">
        <w:t xml:space="preserve">. </w:t>
      </w:r>
    </w:p>
    <w:p w14:paraId="0FC6F188" w14:textId="77777777" w:rsidR="005C382F" w:rsidRPr="005C382F" w:rsidRDefault="005C382F" w:rsidP="005E6B43">
      <w:pPr>
        <w:pStyle w:val="ListParagraph"/>
        <w:numPr>
          <w:ilvl w:val="0"/>
          <w:numId w:val="8"/>
        </w:numPr>
        <w:spacing w:after="0"/>
        <w:jc w:val="both"/>
      </w:pPr>
      <w:r w:rsidRPr="005C382F">
        <w:t xml:space="preserve">Mensah, L. S., &amp; Enumah, C. C. (2025). Global patterns and challenges in teen contraceptive use: A systematic review. </w:t>
      </w:r>
      <w:r w:rsidRPr="005C382F">
        <w:rPr>
          <w:i/>
          <w:iCs/>
        </w:rPr>
        <w:t>International Journal of Research and Reports in Public Health</w:t>
      </w:r>
      <w:r w:rsidRPr="005C382F">
        <w:t xml:space="preserve">. </w:t>
      </w:r>
    </w:p>
    <w:p w14:paraId="5E2CA268" w14:textId="77777777" w:rsidR="005C382F" w:rsidRPr="005C382F" w:rsidRDefault="005C382F" w:rsidP="005E6B43">
      <w:pPr>
        <w:pStyle w:val="ListParagraph"/>
        <w:numPr>
          <w:ilvl w:val="0"/>
          <w:numId w:val="8"/>
        </w:numPr>
        <w:spacing w:after="0"/>
        <w:jc w:val="both"/>
      </w:pPr>
      <w:r w:rsidRPr="005C382F">
        <w:t xml:space="preserve">Okolie, E. A., Bassey, P. E., &amp; Ike, F. N. (2024). Knowledge, attitudes, and practices towards youth-friendly SRH service delivery in Calabar Metropolis, South-South Nigeria. </w:t>
      </w:r>
      <w:r w:rsidRPr="005C382F">
        <w:rPr>
          <w:i/>
          <w:iCs/>
        </w:rPr>
        <w:t>BioSocial Health Journal</w:t>
      </w:r>
      <w:r w:rsidRPr="005C382F">
        <w:t xml:space="preserve">. </w:t>
      </w:r>
    </w:p>
    <w:p w14:paraId="6FEE668D" w14:textId="77777777" w:rsidR="005C382F" w:rsidRPr="005C382F" w:rsidRDefault="005C382F" w:rsidP="005E6B43">
      <w:pPr>
        <w:pStyle w:val="ListParagraph"/>
        <w:numPr>
          <w:ilvl w:val="0"/>
          <w:numId w:val="8"/>
        </w:numPr>
        <w:spacing w:after="0"/>
        <w:jc w:val="both"/>
      </w:pPr>
      <w:r w:rsidRPr="005C382F">
        <w:t xml:space="preserve">Olatoye, T., &amp; Olowokere, F. (2025). Impact of school-based sexuality education on HIV awareness among Nigerian adolescents. </w:t>
      </w:r>
      <w:r w:rsidRPr="005C382F">
        <w:rPr>
          <w:i/>
          <w:iCs/>
        </w:rPr>
        <w:t>Nigerian Journal of Health Education, 21</w:t>
      </w:r>
      <w:r w:rsidRPr="005C382F">
        <w:t xml:space="preserve">(3), 98–110. </w:t>
      </w:r>
    </w:p>
    <w:p w14:paraId="27E1266F" w14:textId="77777777" w:rsidR="005C382F" w:rsidRPr="004A7A89" w:rsidRDefault="005C382F" w:rsidP="005E6B43">
      <w:pPr>
        <w:numPr>
          <w:ilvl w:val="0"/>
          <w:numId w:val="8"/>
        </w:numPr>
        <w:spacing w:after="0"/>
        <w:jc w:val="both"/>
      </w:pPr>
      <w:r w:rsidRPr="004A7A89">
        <w:t xml:space="preserve">Osonuga, A. A., Osonuga, R., Akinloye, E., &amp; Oluwaferanmi, A. (2025). Factors predisposing to teenage pregnancy among female secondary school students in Southwest Nigeria. </w:t>
      </w:r>
      <w:r w:rsidRPr="004A7A89">
        <w:rPr>
          <w:i/>
          <w:iCs/>
        </w:rPr>
        <w:t>African Journal of Health, Nursing and Midwifery, 8</w:t>
      </w:r>
      <w:r w:rsidRPr="004A7A89">
        <w:t xml:space="preserve">(1), 88–103. </w:t>
      </w:r>
      <w:hyperlink r:id="rId11" w:history="1">
        <w:r w:rsidRPr="004A7A89">
          <w:rPr>
            <w:rStyle w:val="Hyperlink"/>
          </w:rPr>
          <w:t>https://abjournals.org/ajhnm/wp-content/uploads/sites/18/journal/published_paper/volume-8/issue-1/AJHNM_JPMIFAIM.pdf</w:t>
        </w:r>
      </w:hyperlink>
    </w:p>
    <w:p w14:paraId="038C49DE" w14:textId="77777777" w:rsidR="005C382F" w:rsidRPr="005C382F" w:rsidRDefault="005C382F" w:rsidP="005E6B43">
      <w:pPr>
        <w:pStyle w:val="ListParagraph"/>
        <w:numPr>
          <w:ilvl w:val="0"/>
          <w:numId w:val="8"/>
        </w:numPr>
        <w:spacing w:after="0"/>
        <w:jc w:val="both"/>
      </w:pPr>
      <w:r w:rsidRPr="005C382F">
        <w:t xml:space="preserve">Osonuga, B., Yusuf, K., &amp; Oladele, M. (2025). Barriers to accessing youth-friendly services in Nigeria. </w:t>
      </w:r>
      <w:r w:rsidRPr="005C382F">
        <w:rPr>
          <w:i/>
          <w:iCs/>
        </w:rPr>
        <w:t>West African Journal of Health Policy, 18</w:t>
      </w:r>
      <w:r w:rsidRPr="005C382F">
        <w:t xml:space="preserve">(2), 87–102. </w:t>
      </w:r>
    </w:p>
    <w:p w14:paraId="37FA7F73" w14:textId="77777777" w:rsidR="005C382F" w:rsidRPr="004A7A89" w:rsidRDefault="005C382F" w:rsidP="005E6B43">
      <w:pPr>
        <w:numPr>
          <w:ilvl w:val="0"/>
          <w:numId w:val="8"/>
        </w:numPr>
        <w:spacing w:after="0"/>
        <w:jc w:val="both"/>
      </w:pPr>
      <w:r w:rsidRPr="004A7A89">
        <w:lastRenderedPageBreak/>
        <w:t xml:space="preserve">Osunmakinwa, O., Olugbenga-Bello, A., Ibirongbe, D., &amp; Adebimpe, O. (2022). Knowledge, age at sexual debut and sexual behaviour of secondary school adolescents in Akure, Ondo State, Nigeria. </w:t>
      </w:r>
      <w:r w:rsidRPr="004A7A89">
        <w:rPr>
          <w:i/>
          <w:iCs/>
        </w:rPr>
        <w:t>Wes J Med Biomed Sci, 3</w:t>
      </w:r>
      <w:r w:rsidRPr="004A7A89">
        <w:t xml:space="preserve">(3–4), 1–15. </w:t>
      </w:r>
      <w:hyperlink r:id="rId12" w:history="1">
        <w:r w:rsidRPr="004A7A89">
          <w:rPr>
            <w:rStyle w:val="Hyperlink"/>
          </w:rPr>
          <w:t>https://wjmbs.com.ng/index.php/wjmbs/article/view/98</w:t>
        </w:r>
      </w:hyperlink>
    </w:p>
    <w:p w14:paraId="1FF8224A" w14:textId="77777777" w:rsidR="005C382F" w:rsidRPr="005C382F" w:rsidRDefault="005C382F" w:rsidP="005E6B43">
      <w:pPr>
        <w:pStyle w:val="ListParagraph"/>
        <w:numPr>
          <w:ilvl w:val="0"/>
          <w:numId w:val="8"/>
        </w:numPr>
        <w:spacing w:after="0"/>
        <w:jc w:val="both"/>
      </w:pPr>
      <w:r w:rsidRPr="005C382F">
        <w:t xml:space="preserve">Uwakwe, A. (2025). Sociocultural determinants of adolescent sexual health in Nigeria. </w:t>
      </w:r>
      <w:r w:rsidRPr="005C382F">
        <w:rPr>
          <w:i/>
          <w:iCs/>
        </w:rPr>
        <w:t>Journal of African Social Studies, 29</w:t>
      </w:r>
      <w:r w:rsidRPr="005C382F">
        <w:t xml:space="preserve">(1), 45–60. </w:t>
      </w:r>
    </w:p>
    <w:p w14:paraId="0D483D9D" w14:textId="77777777" w:rsidR="005C382F" w:rsidRDefault="005C382F" w:rsidP="005E6B43">
      <w:pPr>
        <w:numPr>
          <w:ilvl w:val="0"/>
          <w:numId w:val="8"/>
        </w:numPr>
        <w:spacing w:after="0"/>
        <w:jc w:val="both"/>
      </w:pPr>
      <w:r w:rsidRPr="004A7A89">
        <w:t xml:space="preserve">Uwakwe, C. E. (2025). Sociocultural and psychological influences on premarital sexual behaviour among Nigerian university students. </w:t>
      </w:r>
      <w:r w:rsidRPr="004A7A89">
        <w:rPr>
          <w:i/>
          <w:iCs/>
        </w:rPr>
        <w:t>International Research Journal of Sociology, Psychology, and Anthropology, 2</w:t>
      </w:r>
      <w:r w:rsidRPr="004A7A89">
        <w:t xml:space="preserve">(4). </w:t>
      </w:r>
      <w:hyperlink r:id="rId13" w:history="1">
        <w:r w:rsidRPr="004A7A89">
          <w:rPr>
            <w:rStyle w:val="Hyperlink"/>
          </w:rPr>
          <w:t>https://aydenjournals.com/index.php/IRJSPA/article/download/1000/1004</w:t>
        </w:r>
      </w:hyperlink>
    </w:p>
    <w:p w14:paraId="27706383" w14:textId="77777777" w:rsidR="005C382F" w:rsidRDefault="005C382F" w:rsidP="005E6B43">
      <w:pPr>
        <w:numPr>
          <w:ilvl w:val="0"/>
          <w:numId w:val="8"/>
        </w:numPr>
        <w:spacing w:after="0"/>
        <w:jc w:val="both"/>
      </w:pPr>
      <w:r w:rsidRPr="004A7A89">
        <w:t xml:space="preserve">World Health Organization. (2021). </w:t>
      </w:r>
      <w:r w:rsidRPr="004A7A89">
        <w:rPr>
          <w:i/>
          <w:iCs/>
        </w:rPr>
        <w:t>Global health estimates: Adolescent health</w:t>
      </w:r>
      <w:r w:rsidRPr="004A7A89">
        <w:t>. Geneva: WHO.</w:t>
      </w:r>
    </w:p>
    <w:sectPr w:rsidR="005C382F" w:rsidSect="00930EF4">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35956" w14:textId="77777777" w:rsidR="00102700" w:rsidRDefault="00102700" w:rsidP="004D55DC">
      <w:pPr>
        <w:spacing w:after="0" w:line="240" w:lineRule="auto"/>
      </w:pPr>
      <w:r>
        <w:separator/>
      </w:r>
    </w:p>
  </w:endnote>
  <w:endnote w:type="continuationSeparator" w:id="0">
    <w:p w14:paraId="5E45CBCA" w14:textId="77777777" w:rsidR="00102700" w:rsidRDefault="00102700" w:rsidP="004D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36AD4" w14:textId="77777777" w:rsidR="004D55DC" w:rsidRDefault="004D55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89B3" w14:textId="77777777" w:rsidR="004D55DC" w:rsidRDefault="004D5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226F" w14:textId="77777777" w:rsidR="004D55DC" w:rsidRDefault="004D5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11209" w14:textId="77777777" w:rsidR="00102700" w:rsidRDefault="00102700" w:rsidP="004D55DC">
      <w:pPr>
        <w:spacing w:after="0" w:line="240" w:lineRule="auto"/>
      </w:pPr>
      <w:r>
        <w:separator/>
      </w:r>
    </w:p>
  </w:footnote>
  <w:footnote w:type="continuationSeparator" w:id="0">
    <w:p w14:paraId="786C3ADD" w14:textId="77777777" w:rsidR="00102700" w:rsidRDefault="00102700" w:rsidP="004D5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3339" w14:textId="7AEF65AF" w:rsidR="004D55DC" w:rsidRDefault="004D55DC">
    <w:pPr>
      <w:pStyle w:val="Header"/>
    </w:pPr>
    <w:r>
      <w:rPr>
        <w:noProof/>
      </w:rPr>
      <w:pict w14:anchorId="5917A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6"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DDD3" w14:textId="769426F9" w:rsidR="004D55DC" w:rsidRDefault="004D55DC">
    <w:pPr>
      <w:pStyle w:val="Header"/>
    </w:pPr>
    <w:r>
      <w:rPr>
        <w:noProof/>
      </w:rPr>
      <w:pict w14:anchorId="419E7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7"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4DBD" w14:textId="6D2D89BD" w:rsidR="004D55DC" w:rsidRDefault="004D55DC">
    <w:pPr>
      <w:pStyle w:val="Header"/>
    </w:pPr>
    <w:r>
      <w:rPr>
        <w:noProof/>
      </w:rPr>
      <w:pict w14:anchorId="6F13F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99515"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2468"/>
    <w:multiLevelType w:val="multilevel"/>
    <w:tmpl w:val="D13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C5483"/>
    <w:multiLevelType w:val="hybridMultilevel"/>
    <w:tmpl w:val="754A16DA"/>
    <w:lvl w:ilvl="0" w:tplc="8BA8231C">
      <w:start w:val="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13009D1"/>
    <w:multiLevelType w:val="hybridMultilevel"/>
    <w:tmpl w:val="352E9B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774029D"/>
    <w:multiLevelType w:val="multilevel"/>
    <w:tmpl w:val="EA3CC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50B5C"/>
    <w:multiLevelType w:val="multilevel"/>
    <w:tmpl w:val="EE3C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F0B4D"/>
    <w:multiLevelType w:val="hybridMultilevel"/>
    <w:tmpl w:val="A4F86FCA"/>
    <w:lvl w:ilvl="0" w:tplc="11821054">
      <w:start w:val="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AF46286"/>
    <w:multiLevelType w:val="multilevel"/>
    <w:tmpl w:val="E85C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A3224"/>
    <w:multiLevelType w:val="multilevel"/>
    <w:tmpl w:val="ACD4C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2B3681"/>
    <w:multiLevelType w:val="multilevel"/>
    <w:tmpl w:val="51F2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B1BD8"/>
    <w:multiLevelType w:val="multilevel"/>
    <w:tmpl w:val="F3CC731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E16C52"/>
    <w:multiLevelType w:val="hybridMultilevel"/>
    <w:tmpl w:val="91CCEA38"/>
    <w:lvl w:ilvl="0" w:tplc="AE7E8FF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B5133C4"/>
    <w:multiLevelType w:val="multilevel"/>
    <w:tmpl w:val="379E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1"/>
  </w:num>
  <w:num w:numId="4">
    <w:abstractNumId w:val="8"/>
  </w:num>
  <w:num w:numId="5">
    <w:abstractNumId w:val="3"/>
  </w:num>
  <w:num w:numId="6">
    <w:abstractNumId w:val="0"/>
  </w:num>
  <w:num w:numId="7">
    <w:abstractNumId w:val="7"/>
  </w:num>
  <w:num w:numId="8">
    <w:abstractNumId w:val="9"/>
  </w:num>
  <w:num w:numId="9">
    <w:abstractNumId w:val="2"/>
  </w:num>
  <w:num w:numId="10">
    <w:abstractNumId w:val="1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A89"/>
    <w:rsid w:val="00033314"/>
    <w:rsid w:val="0007665F"/>
    <w:rsid w:val="000D4B1F"/>
    <w:rsid w:val="00102700"/>
    <w:rsid w:val="002743F7"/>
    <w:rsid w:val="003165CB"/>
    <w:rsid w:val="003A125C"/>
    <w:rsid w:val="00401199"/>
    <w:rsid w:val="004A7A89"/>
    <w:rsid w:val="004D55DC"/>
    <w:rsid w:val="004E3B24"/>
    <w:rsid w:val="004F3DEF"/>
    <w:rsid w:val="005C382F"/>
    <w:rsid w:val="005E6B43"/>
    <w:rsid w:val="00654EB9"/>
    <w:rsid w:val="0067062E"/>
    <w:rsid w:val="007537BB"/>
    <w:rsid w:val="007810B3"/>
    <w:rsid w:val="007843A4"/>
    <w:rsid w:val="009274EF"/>
    <w:rsid w:val="00930EF4"/>
    <w:rsid w:val="009439D9"/>
    <w:rsid w:val="0095527B"/>
    <w:rsid w:val="00A230FC"/>
    <w:rsid w:val="00A5266C"/>
    <w:rsid w:val="00CD4038"/>
    <w:rsid w:val="00DA575E"/>
    <w:rsid w:val="00DB63DF"/>
    <w:rsid w:val="00EA4D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C0A252"/>
  <w15:chartTrackingRefBased/>
  <w15:docId w15:val="{89AC028C-F977-4831-AAC6-DDCAAD17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7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7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7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7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7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7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7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7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7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7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A89"/>
    <w:rPr>
      <w:rFonts w:eastAsiaTheme="majorEastAsia" w:cstheme="majorBidi"/>
      <w:color w:val="272727" w:themeColor="text1" w:themeTint="D8"/>
    </w:rPr>
  </w:style>
  <w:style w:type="paragraph" w:styleId="Title">
    <w:name w:val="Title"/>
    <w:basedOn w:val="Normal"/>
    <w:next w:val="Normal"/>
    <w:link w:val="TitleChar"/>
    <w:uiPriority w:val="10"/>
    <w:qFormat/>
    <w:rsid w:val="004A7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A89"/>
    <w:pPr>
      <w:spacing w:before="160"/>
      <w:jc w:val="center"/>
    </w:pPr>
    <w:rPr>
      <w:i/>
      <w:iCs/>
      <w:color w:val="404040" w:themeColor="text1" w:themeTint="BF"/>
    </w:rPr>
  </w:style>
  <w:style w:type="character" w:customStyle="1" w:styleId="QuoteChar">
    <w:name w:val="Quote Char"/>
    <w:basedOn w:val="DefaultParagraphFont"/>
    <w:link w:val="Quote"/>
    <w:uiPriority w:val="29"/>
    <w:rsid w:val="004A7A89"/>
    <w:rPr>
      <w:i/>
      <w:iCs/>
      <w:color w:val="404040" w:themeColor="text1" w:themeTint="BF"/>
    </w:rPr>
  </w:style>
  <w:style w:type="paragraph" w:styleId="ListParagraph">
    <w:name w:val="List Paragraph"/>
    <w:basedOn w:val="Normal"/>
    <w:uiPriority w:val="34"/>
    <w:qFormat/>
    <w:rsid w:val="004A7A89"/>
    <w:pPr>
      <w:ind w:left="720"/>
      <w:contextualSpacing/>
    </w:pPr>
  </w:style>
  <w:style w:type="character" w:styleId="IntenseEmphasis">
    <w:name w:val="Intense Emphasis"/>
    <w:basedOn w:val="DefaultParagraphFont"/>
    <w:uiPriority w:val="21"/>
    <w:qFormat/>
    <w:rsid w:val="004A7A89"/>
    <w:rPr>
      <w:i/>
      <w:iCs/>
      <w:color w:val="2F5496" w:themeColor="accent1" w:themeShade="BF"/>
    </w:rPr>
  </w:style>
  <w:style w:type="paragraph" w:styleId="IntenseQuote">
    <w:name w:val="Intense Quote"/>
    <w:basedOn w:val="Normal"/>
    <w:next w:val="Normal"/>
    <w:link w:val="IntenseQuoteChar"/>
    <w:uiPriority w:val="30"/>
    <w:qFormat/>
    <w:rsid w:val="004A7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7A89"/>
    <w:rPr>
      <w:i/>
      <w:iCs/>
      <w:color w:val="2F5496" w:themeColor="accent1" w:themeShade="BF"/>
    </w:rPr>
  </w:style>
  <w:style w:type="character" w:styleId="IntenseReference">
    <w:name w:val="Intense Reference"/>
    <w:basedOn w:val="DefaultParagraphFont"/>
    <w:uiPriority w:val="32"/>
    <w:qFormat/>
    <w:rsid w:val="004A7A89"/>
    <w:rPr>
      <w:b/>
      <w:bCs/>
      <w:smallCaps/>
      <w:color w:val="2F5496" w:themeColor="accent1" w:themeShade="BF"/>
      <w:spacing w:val="5"/>
    </w:rPr>
  </w:style>
  <w:style w:type="character" w:styleId="Hyperlink">
    <w:name w:val="Hyperlink"/>
    <w:basedOn w:val="DefaultParagraphFont"/>
    <w:uiPriority w:val="99"/>
    <w:unhideWhenUsed/>
    <w:rsid w:val="004A7A89"/>
    <w:rPr>
      <w:color w:val="0563C1" w:themeColor="hyperlink"/>
      <w:u w:val="single"/>
    </w:rPr>
  </w:style>
  <w:style w:type="character" w:customStyle="1" w:styleId="UnresolvedMention1">
    <w:name w:val="Unresolved Mention1"/>
    <w:basedOn w:val="DefaultParagraphFont"/>
    <w:uiPriority w:val="99"/>
    <w:semiHidden/>
    <w:unhideWhenUsed/>
    <w:rsid w:val="004A7A89"/>
    <w:rPr>
      <w:color w:val="605E5C"/>
      <w:shd w:val="clear" w:color="auto" w:fill="E1DFDD"/>
    </w:rPr>
  </w:style>
  <w:style w:type="character" w:styleId="FollowedHyperlink">
    <w:name w:val="FollowedHyperlink"/>
    <w:basedOn w:val="DefaultParagraphFont"/>
    <w:uiPriority w:val="99"/>
    <w:semiHidden/>
    <w:unhideWhenUsed/>
    <w:rsid w:val="00A5266C"/>
    <w:rPr>
      <w:color w:val="954F72" w:themeColor="followedHyperlink"/>
      <w:u w:val="single"/>
    </w:rPr>
  </w:style>
  <w:style w:type="character" w:customStyle="1" w:styleId="UnresolvedMention2">
    <w:name w:val="Unresolved Mention2"/>
    <w:basedOn w:val="DefaultParagraphFont"/>
    <w:uiPriority w:val="99"/>
    <w:semiHidden/>
    <w:unhideWhenUsed/>
    <w:rsid w:val="00401199"/>
    <w:rPr>
      <w:color w:val="605E5C"/>
      <w:shd w:val="clear" w:color="auto" w:fill="E1DFDD"/>
    </w:rPr>
  </w:style>
  <w:style w:type="paragraph" w:styleId="Header">
    <w:name w:val="header"/>
    <w:basedOn w:val="Normal"/>
    <w:link w:val="HeaderChar"/>
    <w:uiPriority w:val="99"/>
    <w:unhideWhenUsed/>
    <w:rsid w:val="004D5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5DC"/>
  </w:style>
  <w:style w:type="paragraph" w:styleId="Footer">
    <w:name w:val="footer"/>
    <w:basedOn w:val="Normal"/>
    <w:link w:val="FooterChar"/>
    <w:uiPriority w:val="99"/>
    <w:unhideWhenUsed/>
    <w:rsid w:val="004D5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aydenjournals.com/index.php/IRJSPA/article/download/1000/1004"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jmbs.com.ng/index.php/wjmbs/article/view/9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bjournals.org/ajhnm/wp-content/uploads/sites/18/journal/published_paper/volume-8/issue-1/AJHNM_JPMIFAIM.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researchgate.net/publication/393137403"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D:\Work\Sir%20AY\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Knowledge</a:t>
            </a:r>
            <a:r>
              <a:rPr lang="en-US" baseline="0"/>
              <a:t> of STIs/HIV/AIDS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spPr>
            <a:solidFill>
              <a:srgbClr val="FF0000"/>
            </a:solidFill>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D219-45C8-8CED-669C972C7D48}"/>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D219-45C8-8CED-669C972C7D48}"/>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D219-45C8-8CED-669C972C7D48}"/>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D219-45C8-8CED-669C972C7D48}"/>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09-D219-45C8-8CED-669C972C7D48}"/>
              </c:ext>
            </c:extLst>
          </c:dPt>
          <c:dPt>
            <c:idx val="5"/>
            <c:invertIfNegative val="0"/>
            <c:bubble3D val="0"/>
            <c:spPr>
              <a:solidFill>
                <a:srgbClr val="FF0000"/>
              </a:solidFill>
              <a:ln>
                <a:noFill/>
              </a:ln>
              <a:effectLst/>
              <a:sp3d/>
            </c:spPr>
            <c:extLst>
              <c:ext xmlns:c16="http://schemas.microsoft.com/office/drawing/2014/chart" uri="{C3380CC4-5D6E-409C-BE32-E72D297353CC}">
                <c16:uniqueId val="{0000000B-D219-45C8-8CED-669C972C7D48}"/>
              </c:ext>
            </c:extLst>
          </c:dPt>
          <c:dPt>
            <c:idx val="6"/>
            <c:invertIfNegative val="0"/>
            <c:bubble3D val="0"/>
            <c:spPr>
              <a:solidFill>
                <a:srgbClr val="00B050"/>
              </a:solidFill>
              <a:ln>
                <a:noFill/>
              </a:ln>
              <a:effectLst/>
              <a:sp3d/>
            </c:spPr>
            <c:extLst>
              <c:ext xmlns:c16="http://schemas.microsoft.com/office/drawing/2014/chart" uri="{C3380CC4-5D6E-409C-BE32-E72D297353CC}">
                <c16:uniqueId val="{0000000D-D219-45C8-8CED-669C972C7D48}"/>
              </c:ext>
            </c:extLst>
          </c:dPt>
          <c:dPt>
            <c:idx val="7"/>
            <c:invertIfNegative val="0"/>
            <c:bubble3D val="0"/>
            <c:spPr>
              <a:solidFill>
                <a:srgbClr val="FF0000"/>
              </a:solidFill>
              <a:ln>
                <a:noFill/>
              </a:ln>
              <a:effectLst/>
              <a:sp3d/>
            </c:spPr>
            <c:extLst>
              <c:ext xmlns:c16="http://schemas.microsoft.com/office/drawing/2014/chart" uri="{C3380CC4-5D6E-409C-BE32-E72D297353CC}">
                <c16:uniqueId val="{0000000F-D219-45C8-8CED-669C972C7D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Sheet3!$A$1:$B$8</c:f>
              <c:multiLvlStrCache>
                <c:ptCount val="8"/>
                <c:lvl>
                  <c:pt idx="0">
                    <c:v>GOOD</c:v>
                  </c:pt>
                  <c:pt idx="1">
                    <c:v>POOR</c:v>
                  </c:pt>
                  <c:pt idx="2">
                    <c:v>GOOD</c:v>
                  </c:pt>
                  <c:pt idx="3">
                    <c:v>POOR</c:v>
                  </c:pt>
                  <c:pt idx="4">
                    <c:v>GOOD</c:v>
                  </c:pt>
                  <c:pt idx="5">
                    <c:v>POOR</c:v>
                  </c:pt>
                  <c:pt idx="6">
                    <c:v>GOOD</c:v>
                  </c:pt>
                  <c:pt idx="7">
                    <c:v>POOR</c:v>
                  </c:pt>
                </c:lvl>
                <c:lvl>
                  <c:pt idx="0">
                    <c:v>BUHS</c:v>
                  </c:pt>
                  <c:pt idx="2">
                    <c:v>CACGS</c:v>
                  </c:pt>
                  <c:pt idx="4">
                    <c:v>IMPACT</c:v>
                  </c:pt>
                  <c:pt idx="6">
                    <c:v>WEXFORD</c:v>
                  </c:pt>
                </c:lvl>
              </c:multiLvlStrCache>
            </c:multiLvlStrRef>
          </c:cat>
          <c:val>
            <c:numRef>
              <c:f>Sheet3!$C$1:$C$8</c:f>
              <c:numCache>
                <c:formatCode>General</c:formatCode>
                <c:ptCount val="8"/>
                <c:pt idx="0">
                  <c:v>26</c:v>
                </c:pt>
                <c:pt idx="1">
                  <c:v>46</c:v>
                </c:pt>
                <c:pt idx="2">
                  <c:v>7</c:v>
                </c:pt>
                <c:pt idx="3">
                  <c:v>34</c:v>
                </c:pt>
                <c:pt idx="4">
                  <c:v>22</c:v>
                </c:pt>
                <c:pt idx="5">
                  <c:v>9</c:v>
                </c:pt>
                <c:pt idx="6">
                  <c:v>32</c:v>
                </c:pt>
                <c:pt idx="7">
                  <c:v>45</c:v>
                </c:pt>
              </c:numCache>
            </c:numRef>
          </c:val>
          <c:extLst>
            <c:ext xmlns:c16="http://schemas.microsoft.com/office/drawing/2014/chart" uri="{C3380CC4-5D6E-409C-BE32-E72D297353CC}">
              <c16:uniqueId val="{00000010-D219-45C8-8CED-669C972C7D48}"/>
            </c:ext>
          </c:extLst>
        </c:ser>
        <c:dLbls>
          <c:showLegendKey val="0"/>
          <c:showVal val="0"/>
          <c:showCatName val="0"/>
          <c:showSerName val="0"/>
          <c:showPercent val="0"/>
          <c:showBubbleSize val="0"/>
        </c:dLbls>
        <c:gapWidth val="50"/>
        <c:gapDepth val="50"/>
        <c:shape val="box"/>
        <c:axId val="324793424"/>
        <c:axId val="324795600"/>
        <c:axId val="0"/>
      </c:bar3DChart>
      <c:catAx>
        <c:axId val="324793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5600"/>
        <c:crosses val="autoZero"/>
        <c:auto val="1"/>
        <c:lblAlgn val="ctr"/>
        <c:lblOffset val="100"/>
        <c:noMultiLvlLbl val="0"/>
      </c:catAx>
      <c:valAx>
        <c:axId val="32479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93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dc:creator>
  <cp:keywords/>
  <dc:description/>
  <cp:lastModifiedBy>SDI 1084</cp:lastModifiedBy>
  <cp:revision>18</cp:revision>
  <dcterms:created xsi:type="dcterms:W3CDTF">2025-10-20T14:21:00Z</dcterms:created>
  <dcterms:modified xsi:type="dcterms:W3CDTF">2025-10-21T06:16:00Z</dcterms:modified>
</cp:coreProperties>
</file>