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E59A" w14:textId="7089EE18" w:rsidR="00EC0AE9" w:rsidRPr="00D87DE1" w:rsidRDefault="00EC0AE9" w:rsidP="00E35803">
      <w:pPr>
        <w:spacing w:line="360" w:lineRule="auto"/>
        <w:rPr>
          <w:rFonts w:ascii="Times New Roman" w:hAnsi="Times New Roman" w:cs="Times New Roman"/>
          <w:b/>
          <w:bCs/>
        </w:rPr>
      </w:pPr>
      <w:r w:rsidRPr="00D87DE1">
        <w:rPr>
          <w:rFonts w:ascii="Times New Roman" w:hAnsi="Times New Roman" w:cs="Times New Roman"/>
          <w:b/>
          <w:bCs/>
        </w:rPr>
        <w:t>Association of maternal serum zinc level with neonatal birth weight in term deliveries</w:t>
      </w:r>
    </w:p>
    <w:p w14:paraId="1924E44B" w14:textId="77777777" w:rsidR="00602FFE" w:rsidRDefault="00602FFE" w:rsidP="00E35803">
      <w:pPr>
        <w:spacing w:before="100" w:beforeAutospacing="1" w:after="100" w:afterAutospacing="1" w:line="360" w:lineRule="auto"/>
        <w:jc w:val="both"/>
        <w:rPr>
          <w:rFonts w:ascii="Times New Roman" w:eastAsia="Times New Roman" w:hAnsi="Times New Roman" w:cs="Times New Roman"/>
          <w:b/>
          <w:bCs/>
          <w:kern w:val="0"/>
          <w14:ligatures w14:val="none"/>
        </w:rPr>
      </w:pPr>
    </w:p>
    <w:p w14:paraId="739BD993" w14:textId="77777777" w:rsidR="00602FFE" w:rsidRDefault="00602FFE" w:rsidP="00E35803">
      <w:pPr>
        <w:spacing w:before="100" w:beforeAutospacing="1" w:after="100" w:afterAutospacing="1" w:line="360" w:lineRule="auto"/>
        <w:jc w:val="both"/>
        <w:rPr>
          <w:rFonts w:ascii="Times New Roman" w:eastAsia="Times New Roman" w:hAnsi="Times New Roman" w:cs="Times New Roman"/>
          <w:b/>
          <w:bCs/>
          <w:kern w:val="0"/>
          <w14:ligatures w14:val="none"/>
        </w:rPr>
      </w:pPr>
    </w:p>
    <w:p w14:paraId="6399ED93" w14:textId="77777777" w:rsidR="00602FFE" w:rsidRDefault="00602FFE" w:rsidP="00E35803">
      <w:pPr>
        <w:spacing w:before="100" w:beforeAutospacing="1" w:after="100" w:afterAutospacing="1" w:line="360" w:lineRule="auto"/>
        <w:jc w:val="both"/>
        <w:rPr>
          <w:rFonts w:ascii="Times New Roman" w:eastAsia="Times New Roman" w:hAnsi="Times New Roman" w:cs="Times New Roman"/>
          <w:b/>
          <w:bCs/>
          <w:kern w:val="0"/>
          <w14:ligatures w14:val="none"/>
        </w:rPr>
      </w:pPr>
    </w:p>
    <w:p w14:paraId="545150C4" w14:textId="77777777" w:rsidR="00602FFE" w:rsidRDefault="00602FFE" w:rsidP="00E35803">
      <w:pPr>
        <w:spacing w:before="100" w:beforeAutospacing="1" w:after="100" w:afterAutospacing="1" w:line="360" w:lineRule="auto"/>
        <w:jc w:val="both"/>
        <w:rPr>
          <w:rFonts w:ascii="Times New Roman" w:eastAsia="Times New Roman" w:hAnsi="Times New Roman" w:cs="Times New Roman"/>
          <w:b/>
          <w:bCs/>
          <w:kern w:val="0"/>
          <w14:ligatures w14:val="none"/>
        </w:rPr>
      </w:pPr>
    </w:p>
    <w:p w14:paraId="298C5F20" w14:textId="77777777" w:rsidR="00602FFE" w:rsidRDefault="00602FFE" w:rsidP="00E35803">
      <w:pPr>
        <w:spacing w:before="100" w:beforeAutospacing="1" w:after="100" w:afterAutospacing="1" w:line="360" w:lineRule="auto"/>
        <w:jc w:val="both"/>
        <w:rPr>
          <w:rFonts w:ascii="Times New Roman" w:eastAsia="Times New Roman" w:hAnsi="Times New Roman" w:cs="Times New Roman"/>
          <w:b/>
          <w:bCs/>
          <w:kern w:val="0"/>
          <w14:ligatures w14:val="none"/>
        </w:rPr>
      </w:pPr>
    </w:p>
    <w:p w14:paraId="3FCE34A6" w14:textId="4E94479E"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Abstract</w:t>
      </w:r>
    </w:p>
    <w:p w14:paraId="64C69A65"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Background:</w:t>
      </w:r>
      <w:r w:rsidRPr="00D87DE1">
        <w:rPr>
          <w:rFonts w:ascii="Times New Roman" w:eastAsia="Times New Roman" w:hAnsi="Times New Roman" w:cs="Times New Roman"/>
          <w:kern w:val="0"/>
          <w14:ligatures w14:val="none"/>
        </w:rPr>
        <w:t xml:space="preserve"> Zinc is an essential micronutrient involved in cellular growth, protein synthesis, and immune regulation. During pregnancy, maternal zinc requirements increase, and deficiency has been implicated in adverse birth outcomes, including low birth weight (LBW). LBW remains a major public health concern in Bangladesh, where maternal malnutrition is prevalent.</w:t>
      </w:r>
    </w:p>
    <w:p w14:paraId="321E0995"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Objective:</w:t>
      </w:r>
      <w:r w:rsidRPr="00D87DE1">
        <w:rPr>
          <w:rFonts w:ascii="Times New Roman" w:eastAsia="Times New Roman" w:hAnsi="Times New Roman" w:cs="Times New Roman"/>
          <w:kern w:val="0"/>
          <w14:ligatures w14:val="none"/>
        </w:rPr>
        <w:t xml:space="preserve"> To investigate the association between maternal serum zinc levels and neonatal birth weight in term deliveries.</w:t>
      </w:r>
    </w:p>
    <w:p w14:paraId="45625A64"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Methods:</w:t>
      </w:r>
      <w:r w:rsidRPr="00D87DE1">
        <w:rPr>
          <w:rFonts w:ascii="Times New Roman" w:eastAsia="Times New Roman" w:hAnsi="Times New Roman" w:cs="Times New Roman"/>
          <w:kern w:val="0"/>
          <w14:ligatures w14:val="none"/>
        </w:rPr>
        <w:t xml:space="preserve"> This case-control study was conducted at the Department of Obstetrics and </w:t>
      </w:r>
      <w:proofErr w:type="spellStart"/>
      <w:r w:rsidRPr="00D87DE1">
        <w:rPr>
          <w:rFonts w:ascii="Times New Roman" w:eastAsia="Times New Roman" w:hAnsi="Times New Roman" w:cs="Times New Roman"/>
          <w:kern w:val="0"/>
          <w14:ligatures w14:val="none"/>
        </w:rPr>
        <w:t>Gynaecology</w:t>
      </w:r>
      <w:proofErr w:type="spellEnd"/>
      <w:r w:rsidRPr="00D87DE1">
        <w:rPr>
          <w:rFonts w:ascii="Times New Roman" w:eastAsia="Times New Roman" w:hAnsi="Times New Roman" w:cs="Times New Roman"/>
          <w:kern w:val="0"/>
          <w14:ligatures w14:val="none"/>
        </w:rPr>
        <w:t xml:space="preserve">, Sir </w:t>
      </w:r>
      <w:proofErr w:type="spellStart"/>
      <w:r w:rsidRPr="00D87DE1">
        <w:rPr>
          <w:rFonts w:ascii="Times New Roman" w:eastAsia="Times New Roman" w:hAnsi="Times New Roman" w:cs="Times New Roman"/>
          <w:kern w:val="0"/>
          <w14:ligatures w14:val="none"/>
        </w:rPr>
        <w:t>Salimullah</w:t>
      </w:r>
      <w:proofErr w:type="spellEnd"/>
      <w:r w:rsidRPr="00D87DE1">
        <w:rPr>
          <w:rFonts w:ascii="Times New Roman" w:eastAsia="Times New Roman" w:hAnsi="Times New Roman" w:cs="Times New Roman"/>
          <w:kern w:val="0"/>
          <w14:ligatures w14:val="none"/>
        </w:rPr>
        <w:t xml:space="preserve"> Medical College Mitford Hospital, Dhaka, between August 2022 and July 2023. A total of 130 term pregnant women were enrolled, comprising 65 cases (mothers of LBW neonates &lt;2500 g) and 65 controls (mothers of normal birth weight neonates ≥2500 g). Maternal demographic and obstetric data were collected, and serum zinc levels were measured immediately after delivery. Neonatal anthropometric parameters were assessed within 24 hours of birth. Data were analyzed using SPSS 25, with chi-square and t-tests applied for group comparisons, and Pearson’s correlation used to assess associations.</w:t>
      </w:r>
    </w:p>
    <w:p w14:paraId="6932902F"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Results:</w:t>
      </w:r>
      <w:r w:rsidRPr="00D87DE1">
        <w:rPr>
          <w:rFonts w:ascii="Times New Roman" w:eastAsia="Times New Roman" w:hAnsi="Times New Roman" w:cs="Times New Roman"/>
          <w:kern w:val="0"/>
          <w14:ligatures w14:val="none"/>
        </w:rPr>
        <w:t xml:space="preserve"> The mean maternal age was significantly higher in the case group compared to controls (30.89±6.10 vs. 27.03±5.33 years, p&lt;0.001). No significant differences were observed regarding parity and mode of delivery between groups. Neonates of LBW mothers had significantly lower </w:t>
      </w:r>
      <w:r w:rsidRPr="00D87DE1">
        <w:rPr>
          <w:rFonts w:ascii="Times New Roman" w:eastAsia="Times New Roman" w:hAnsi="Times New Roman" w:cs="Times New Roman"/>
          <w:kern w:val="0"/>
          <w14:ligatures w14:val="none"/>
        </w:rPr>
        <w:lastRenderedPageBreak/>
        <w:t>crown-heel length, head circumference, and ponderal index (all p&lt;0.001). Zinc deficiency (&lt;60 µg/dL) was markedly more prevalent in the case group (72.3%) than in controls (24.6%) (p&lt;0.001). A positive correlation was observed between maternal serum zinc levels and neonatal birth weight (r=0.551, p&lt;0.001).</w:t>
      </w:r>
    </w:p>
    <w:p w14:paraId="53D23D74"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Conclusion:</w:t>
      </w:r>
      <w:r w:rsidRPr="00D87DE1">
        <w:rPr>
          <w:rFonts w:ascii="Times New Roman" w:eastAsia="Times New Roman" w:hAnsi="Times New Roman" w:cs="Times New Roman"/>
          <w:kern w:val="0"/>
          <w14:ligatures w14:val="none"/>
        </w:rPr>
        <w:t xml:space="preserve"> Maternal zinc deficiency and advanced maternal age were significantly associated with LBW in term neonates, whereas parity and mode of delivery showed no independent effect. These findings underscore the importance of early detection and correction of micronutrient deficiencies, particularly zinc, during pregnancy to improve neonatal outcomes in resource-limited settings.</w:t>
      </w:r>
    </w:p>
    <w:p w14:paraId="438C77F0"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Keywords:</w:t>
      </w:r>
      <w:r w:rsidRPr="00D87DE1">
        <w:rPr>
          <w:rFonts w:ascii="Times New Roman" w:eastAsia="Times New Roman" w:hAnsi="Times New Roman" w:cs="Times New Roman"/>
          <w:kern w:val="0"/>
          <w14:ligatures w14:val="none"/>
        </w:rPr>
        <w:t xml:space="preserve"> Maternal zinc deficiency, low birth weight, term delivery, neonatal anthropometry, Bangladesh</w:t>
      </w:r>
    </w:p>
    <w:p w14:paraId="5B9085C5" w14:textId="2881B79F" w:rsidR="00F95DBF" w:rsidRPr="00D87DE1" w:rsidRDefault="00F95DBF" w:rsidP="00E35803">
      <w:pPr>
        <w:spacing w:line="360" w:lineRule="auto"/>
        <w:rPr>
          <w:rFonts w:ascii="Times New Roman" w:hAnsi="Times New Roman" w:cs="Times New Roman"/>
          <w:b/>
          <w:bCs/>
        </w:rPr>
      </w:pPr>
      <w:r w:rsidRPr="00D87DE1">
        <w:rPr>
          <w:rFonts w:ascii="Times New Roman" w:hAnsi="Times New Roman" w:cs="Times New Roman"/>
          <w:b/>
          <w:bCs/>
        </w:rPr>
        <w:t>Introduction</w:t>
      </w:r>
    </w:p>
    <w:p w14:paraId="172461DC" w14:textId="0ADF5799"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Zinc is an essential trace element that plays a vital role in numerous biochemical and physiological processes, including cellular growth, immune function, and enzymatic regulation. During pregnancy, the demand for zinc increases significantly due to rapid maternal tissue expansion, fetal growth, and development of the placenta. </w:t>
      </w:r>
      <w:r w:rsidR="00EC0AE9" w:rsidRPr="00D87DE1">
        <w:rPr>
          <w:rFonts w:ascii="Times New Roman" w:hAnsi="Times New Roman" w:cs="Times New Roman"/>
          <w:vertAlign w:val="superscript"/>
        </w:rPr>
        <w:t>1-2</w:t>
      </w:r>
      <w:r w:rsidR="00EC0AE9" w:rsidRPr="00D87DE1">
        <w:rPr>
          <w:rFonts w:ascii="Times New Roman" w:hAnsi="Times New Roman" w:cs="Times New Roman"/>
        </w:rPr>
        <w:t xml:space="preserve"> </w:t>
      </w:r>
      <w:r w:rsidRPr="00D87DE1">
        <w:rPr>
          <w:rFonts w:ascii="Times New Roman" w:hAnsi="Times New Roman" w:cs="Times New Roman"/>
        </w:rPr>
        <w:t>Maternal zinc deficiency has been identified as a common nutritional concern in low- and middle-income countries, where dietary intake is often inadequate and absorption may be impaired by coexisting nutritional deficiencies. Given zinc’s biological role in cell proliferation and protein synthesis, inadequate maternal zinc levels may adversely affect fetal development and birth outcomes.</w:t>
      </w:r>
      <w:r w:rsidR="00EC0AE9" w:rsidRPr="00D87DE1">
        <w:rPr>
          <w:rFonts w:ascii="Times New Roman" w:hAnsi="Times New Roman" w:cs="Times New Roman"/>
          <w:vertAlign w:val="superscript"/>
        </w:rPr>
        <w:t>3</w:t>
      </w:r>
    </w:p>
    <w:p w14:paraId="288A3F7F" w14:textId="581C1A8D"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Birth weight is one of the most important indicators of neonatal health and survival. Low birth weight, defined as less than 2,500 grams, is associated with higher risks of neonatal morbidity, mortality, impaired growth, and long-term health complications. Multiple maternal factors—including nutritional status, infections, socioeconomic determinants, and antenatal care—contribute to birth weight. </w:t>
      </w:r>
      <w:r w:rsidR="00EC0AE9" w:rsidRPr="00D87DE1">
        <w:rPr>
          <w:rFonts w:ascii="Times New Roman" w:hAnsi="Times New Roman" w:cs="Times New Roman"/>
          <w:vertAlign w:val="superscript"/>
        </w:rPr>
        <w:t>4-5</w:t>
      </w:r>
      <w:r w:rsidR="00EC0AE9" w:rsidRPr="00D87DE1">
        <w:rPr>
          <w:rFonts w:ascii="Times New Roman" w:hAnsi="Times New Roman" w:cs="Times New Roman"/>
        </w:rPr>
        <w:t xml:space="preserve"> </w:t>
      </w:r>
      <w:r w:rsidRPr="00D87DE1">
        <w:rPr>
          <w:rFonts w:ascii="Times New Roman" w:hAnsi="Times New Roman" w:cs="Times New Roman"/>
        </w:rPr>
        <w:t>Among micronutrients, zinc has attracted considerable attention due to its role in fetal growth and development. Several observational and interventional studies have investigated the relationship between maternal zinc levels and birth weight, yet findings remain inconsistent, with some reporting positive associations and others showing no significant effect</w:t>
      </w:r>
      <w:r w:rsidRPr="00D87DE1">
        <w:rPr>
          <w:rFonts w:ascii="Times New Roman" w:hAnsi="Times New Roman" w:cs="Times New Roman"/>
          <w:vertAlign w:val="superscript"/>
        </w:rPr>
        <w:t>.</w:t>
      </w:r>
      <w:r w:rsidR="00EC0AE9" w:rsidRPr="00D87DE1">
        <w:rPr>
          <w:rFonts w:ascii="Times New Roman" w:hAnsi="Times New Roman" w:cs="Times New Roman"/>
          <w:vertAlign w:val="superscript"/>
        </w:rPr>
        <w:t>6</w:t>
      </w:r>
    </w:p>
    <w:p w14:paraId="13394AAA" w14:textId="18B3F474"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lastRenderedPageBreak/>
        <w:t xml:space="preserve">The maternal serum zinc concentration during pregnancy reflects both dietary intake and physiological adaptations, such as hemodilution and increased transfer of zinc to the fetus. A decline in serum zinc levels as pregnancy advances has been widely documented, and insufficient levels have been hypothesized to contribute to intrauterine growth restriction and low birth weight. </w:t>
      </w:r>
      <w:r w:rsidR="00EC0AE9" w:rsidRPr="00D87DE1">
        <w:rPr>
          <w:rFonts w:ascii="Times New Roman" w:hAnsi="Times New Roman" w:cs="Times New Roman"/>
          <w:vertAlign w:val="superscript"/>
        </w:rPr>
        <w:t xml:space="preserve">7 </w:t>
      </w:r>
      <w:r w:rsidRPr="00D87DE1">
        <w:rPr>
          <w:rFonts w:ascii="Times New Roman" w:hAnsi="Times New Roman" w:cs="Times New Roman"/>
        </w:rPr>
        <w:t>At the same time, it is important to recognize that zinc metabolism is complex and influenced by other nutrients such as iron and folate, making it difficult to attribute effects to zinc deficiency in isolation. Nevertheless, evaluating maternal serum zinc levels provides a practical approach to understanding its potential association with fetal growth.</w:t>
      </w:r>
      <w:r w:rsidR="00EC0AE9" w:rsidRPr="00D87DE1">
        <w:rPr>
          <w:rFonts w:ascii="Times New Roman" w:hAnsi="Times New Roman" w:cs="Times New Roman"/>
        </w:rPr>
        <w:t xml:space="preserve"> </w:t>
      </w:r>
      <w:r w:rsidR="00EC0AE9" w:rsidRPr="00D87DE1">
        <w:rPr>
          <w:rFonts w:ascii="Times New Roman" w:hAnsi="Times New Roman" w:cs="Times New Roman"/>
          <w:vertAlign w:val="superscript"/>
        </w:rPr>
        <w:t>8</w:t>
      </w:r>
    </w:p>
    <w:p w14:paraId="3E308C19" w14:textId="3CD78372"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Globally, zinc deficiency has been estimated to affect a large proportion of pregnant women, particularly in South Asia and Sub-Saharan Africa. In Bangladesh, where maternal malnutrition continues to be a major public health challenge, the prevalence of low birth weight remains high compared to global averages.</w:t>
      </w:r>
      <w:r w:rsidRPr="00D87DE1">
        <w:rPr>
          <w:rFonts w:ascii="Times New Roman" w:hAnsi="Times New Roman" w:cs="Times New Roman"/>
          <w:vertAlign w:val="superscript"/>
        </w:rPr>
        <w:t xml:space="preserve"> </w:t>
      </w:r>
      <w:r w:rsidR="00EC0AE9" w:rsidRPr="00D87DE1">
        <w:rPr>
          <w:rFonts w:ascii="Times New Roman" w:hAnsi="Times New Roman" w:cs="Times New Roman"/>
          <w:vertAlign w:val="superscript"/>
        </w:rPr>
        <w:t>9</w:t>
      </w:r>
      <w:r w:rsidR="00EC0AE9" w:rsidRPr="00D87DE1">
        <w:rPr>
          <w:rFonts w:ascii="Times New Roman" w:hAnsi="Times New Roman" w:cs="Times New Roman"/>
        </w:rPr>
        <w:t xml:space="preserve"> </w:t>
      </w:r>
      <w:r w:rsidRPr="00D87DE1">
        <w:rPr>
          <w:rFonts w:ascii="Times New Roman" w:hAnsi="Times New Roman" w:cs="Times New Roman"/>
        </w:rPr>
        <w:t>Exploring the association between maternal zinc status and neonatal birth weight in this setting is particularly important, as it may help identify a modifiable risk factor contributing to poor perinatal outcomes.</w:t>
      </w:r>
    </w:p>
    <w:p w14:paraId="02D49ADB"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Understanding whether maternal serum zinc levels are significantly associated with neonatal birth weight can provide valuable evidence for public health strategies. If a strong relationship is established, nutritional interventions such as zinc supplementation during pregnancy may serve as a cost-effective means to improve birth outcomes. However, given the conflicting findings in existing literature, context-specific studies are required to clarify this relationship.</w:t>
      </w:r>
    </w:p>
    <w:p w14:paraId="31456D85" w14:textId="3EDDB205"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 xml:space="preserve">Objective </w:t>
      </w:r>
    </w:p>
    <w:p w14:paraId="4F87565E" w14:textId="6C221986"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This study aims to investigate the association between maternal serum zinc level and neonatal birth weight in term deliveries. </w:t>
      </w:r>
    </w:p>
    <w:p w14:paraId="7E25C36E" w14:textId="77777777" w:rsidR="00610E08" w:rsidRDefault="00610E08" w:rsidP="00E35803">
      <w:pPr>
        <w:spacing w:line="360" w:lineRule="auto"/>
        <w:jc w:val="both"/>
        <w:rPr>
          <w:rFonts w:ascii="Times New Roman" w:hAnsi="Times New Roman" w:cs="Times New Roman"/>
          <w:b/>
          <w:bCs/>
        </w:rPr>
      </w:pPr>
    </w:p>
    <w:p w14:paraId="17D326F5" w14:textId="4FE77950"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 xml:space="preserve">Methodology </w:t>
      </w:r>
    </w:p>
    <w:p w14:paraId="74F766AF" w14:textId="1C87CD24"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Study Design</w:t>
      </w:r>
    </w:p>
    <w:p w14:paraId="60D23606"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This study was conducted as a case-control study. The research was carried out in the Department of Obstetrics and </w:t>
      </w:r>
      <w:proofErr w:type="spellStart"/>
      <w:r w:rsidRPr="00D87DE1">
        <w:rPr>
          <w:rFonts w:ascii="Times New Roman" w:hAnsi="Times New Roman" w:cs="Times New Roman"/>
        </w:rPr>
        <w:t>Gynaecology</w:t>
      </w:r>
      <w:proofErr w:type="spellEnd"/>
      <w:r w:rsidRPr="00D87DE1">
        <w:rPr>
          <w:rFonts w:ascii="Times New Roman" w:hAnsi="Times New Roman" w:cs="Times New Roman"/>
        </w:rPr>
        <w:t xml:space="preserve"> at Sir </w:t>
      </w:r>
      <w:proofErr w:type="spellStart"/>
      <w:r w:rsidRPr="00D87DE1">
        <w:rPr>
          <w:rFonts w:ascii="Times New Roman" w:hAnsi="Times New Roman" w:cs="Times New Roman"/>
        </w:rPr>
        <w:t>Salimullah</w:t>
      </w:r>
      <w:proofErr w:type="spellEnd"/>
      <w:r w:rsidRPr="00D87DE1">
        <w:rPr>
          <w:rFonts w:ascii="Times New Roman" w:hAnsi="Times New Roman" w:cs="Times New Roman"/>
        </w:rPr>
        <w:t xml:space="preserve"> Medical College Mitford Hospital, Dhaka. The study period extended from August 2022 to July 2023.</w:t>
      </w:r>
    </w:p>
    <w:p w14:paraId="7A4B996D" w14:textId="18F22525"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lastRenderedPageBreak/>
        <w:t>Study Population and Sampling</w:t>
      </w:r>
    </w:p>
    <w:p w14:paraId="4977269A"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The study population included all pregnant women at term pregnancy who were admitted to the hospital for delivery. A purposive sampling technique was employed to select the participants. The sample size was calculated using the formula for comparison of two means. Based on data from Jyotsna et al. (2015), the required sample size was estimated to be 65 participants in each group. Therefore, a total of 130 women were enrolled in the study, comprising 65 cases and 65 controls.</w:t>
      </w:r>
    </w:p>
    <w:p w14:paraId="4C7C7A21" w14:textId="1EE02B84"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Selection Criteria</w:t>
      </w:r>
    </w:p>
    <w:p w14:paraId="10B5471E"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Women aged between 18 and 45 years with a body mass index of 18–24.9 kg/m², who had completed 37 to 42 weeks of gestation, and who delivered apparently healthy live-born neonates without congenital anomalies were included in the study. Only those who were willing to participate and able to comprehend the questions were considered eligible. Exclusion criteria comprised pregnancies complicated by hypertensive disorders, gestational diabetes, pre-existing diabetes, renal or liver disease, cardiac disease, autoimmune or connective tissue disorders, and those taking drugs such as anticonvulsants, anticoagulants, or anti-epileptics. Women with </w:t>
      </w:r>
      <w:proofErr w:type="spellStart"/>
      <w:r w:rsidRPr="00D87DE1">
        <w:rPr>
          <w:rFonts w:ascii="Times New Roman" w:hAnsi="Times New Roman" w:cs="Times New Roman"/>
        </w:rPr>
        <w:t>haemoglobin</w:t>
      </w:r>
      <w:proofErr w:type="spellEnd"/>
      <w:r w:rsidRPr="00D87DE1">
        <w:rPr>
          <w:rFonts w:ascii="Times New Roman" w:hAnsi="Times New Roman" w:cs="Times New Roman"/>
        </w:rPr>
        <w:t xml:space="preserve"> levels below 10 g/dl, multiple pregnancies, fetal congenital anomalies, stillbirths, or intrauterine death were also excluded, as were those with a history of fever and rash during the antenatal period.</w:t>
      </w:r>
    </w:p>
    <w:p w14:paraId="1D6DCD14" w14:textId="4033D0DB"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Data Collection Procedure</w:t>
      </w:r>
    </w:p>
    <w:p w14:paraId="668F5EE3"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Prior to initiation, ethical approval was obtained from the Ethical Review Committee of Sir </w:t>
      </w:r>
      <w:proofErr w:type="spellStart"/>
      <w:r w:rsidRPr="00D87DE1">
        <w:rPr>
          <w:rFonts w:ascii="Times New Roman" w:hAnsi="Times New Roman" w:cs="Times New Roman"/>
        </w:rPr>
        <w:t>Salimullah</w:t>
      </w:r>
      <w:proofErr w:type="spellEnd"/>
      <w:r w:rsidRPr="00D87DE1">
        <w:rPr>
          <w:rFonts w:ascii="Times New Roman" w:hAnsi="Times New Roman" w:cs="Times New Roman"/>
        </w:rPr>
        <w:t xml:space="preserve"> Medical College. Eligible mothers with singleton term pregnancies and their newborns were enrolled after informed consent. The case group included mothers who delivered low birth weight babies (&lt;2500 g), while the control group included those who delivered normal birth weight babies (&gt;2500 g). Serum zinc levels were measured immediately after delivery. Maternal demographic and obstetric data were collected through interviews and medical records, while gestational age was assessed based on the last menstrual period and early ultrasound reports. Neonatal weight was measured using a calibrated baby scale with 0.1 kg accuracy.</w:t>
      </w:r>
    </w:p>
    <w:p w14:paraId="7385396D"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From each mother, 5 ml of venous blood was collected aseptically using disposable syringes and transferred to clean, zinc-free containers. The samples were kept at room temperature for 20 minutes and centrifuged for 10 minutes at 3500 rpm. Serum was separated without disturbing the </w:t>
      </w:r>
      <w:r w:rsidRPr="00D87DE1">
        <w:rPr>
          <w:rFonts w:ascii="Times New Roman" w:hAnsi="Times New Roman" w:cs="Times New Roman"/>
        </w:rPr>
        <w:lastRenderedPageBreak/>
        <w:t xml:space="preserve">buffy coat, transferred to zinc-free polypropylene tubes, and stored at –20°C until analysis. Anthropometric measurements of neonates were taken within 12–24 hours after birth. Crown-heel length was measured using an oilcloth tailor’s tape, and head circumference was measured at the largest </w:t>
      </w:r>
      <w:proofErr w:type="spellStart"/>
      <w:r w:rsidRPr="00D87DE1">
        <w:rPr>
          <w:rFonts w:ascii="Times New Roman" w:hAnsi="Times New Roman" w:cs="Times New Roman"/>
        </w:rPr>
        <w:t>occipito</w:t>
      </w:r>
      <w:proofErr w:type="spellEnd"/>
      <w:r w:rsidRPr="00D87DE1">
        <w:rPr>
          <w:rFonts w:ascii="Times New Roman" w:hAnsi="Times New Roman" w:cs="Times New Roman"/>
        </w:rPr>
        <w:t>-frontal circumference. Ponderal index was calculated using Rohrer's formula.</w:t>
      </w:r>
    </w:p>
    <w:p w14:paraId="60CD7E15" w14:textId="722CEAAD"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Data Collection Tools</w:t>
      </w:r>
    </w:p>
    <w:p w14:paraId="0D39CF53"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Data were gathered using a semi-structured questionnaire, an interview schedule prepared in Bengali, and a checklist for each participant. Informed written consent was obtained in both Bangla and English prior to participation.</w:t>
      </w:r>
    </w:p>
    <w:p w14:paraId="2FA6908D" w14:textId="30060650"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Data Processing and Analysis</w:t>
      </w:r>
    </w:p>
    <w:p w14:paraId="4FCCA402"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All collected data were checked, verified, and entered into SPSS version 25 for analysis. Socio-demographic, clinical, and laboratory findings were summarized using descriptive statistics. Continuous variables were expressed as mean ± standard deviation, while categorical variables were presented as frequencies and percentages. Associations between categorical variables were tested using the chi-square test, and differences in continuous variables were analyzed using independent Student’s t-test. Pearson’s correlation coefficient was applied to examine linear relationships between continuous variables. Logistic regression analyses, both univariate and multivariate, were performed to identify predictors of low birth weight. Statistical significance was set at p &lt; 0.05 with a 95% confidence interval.</w:t>
      </w:r>
    </w:p>
    <w:p w14:paraId="1ACA0D7C" w14:textId="77777777" w:rsidR="00610E08" w:rsidRDefault="00610E08" w:rsidP="00E35803">
      <w:pPr>
        <w:spacing w:line="360" w:lineRule="auto"/>
        <w:jc w:val="both"/>
        <w:rPr>
          <w:rFonts w:ascii="Times New Roman" w:hAnsi="Times New Roman" w:cs="Times New Roman"/>
          <w:b/>
          <w:bCs/>
        </w:rPr>
      </w:pPr>
    </w:p>
    <w:p w14:paraId="4543096F" w14:textId="75F6DEB0" w:rsidR="00F95DBF" w:rsidRPr="00D87DE1" w:rsidRDefault="0059062A" w:rsidP="00E35803">
      <w:pPr>
        <w:spacing w:line="360" w:lineRule="auto"/>
        <w:jc w:val="both"/>
        <w:rPr>
          <w:rFonts w:ascii="Times New Roman" w:hAnsi="Times New Roman" w:cs="Times New Roman"/>
          <w:b/>
          <w:bCs/>
        </w:rPr>
      </w:pPr>
      <w:r w:rsidRPr="00D87DE1">
        <w:rPr>
          <w:rFonts w:ascii="Times New Roman" w:hAnsi="Times New Roman" w:cs="Times New Roman"/>
          <w:b/>
          <w:bCs/>
        </w:rPr>
        <w:t>Results</w:t>
      </w:r>
    </w:p>
    <w:p w14:paraId="160936D5" w14:textId="141D5B44"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The mean age of the mothers in the case group (30.89±6.10 years) was significantly higher (&lt;.05) than that in the control group (27.03±5.33 years). The age distribution also differed significantly (&lt;.05) between the two groups, with the majority of the case group falling within the 31-35 years range, while the control group was predominantly within the 21-25 years range.</w:t>
      </w:r>
    </w:p>
    <w:p w14:paraId="0EBDFBC0" w14:textId="2D3CBDE1" w:rsidR="00F95DBF" w:rsidRPr="00D87DE1" w:rsidRDefault="00F95DBF" w:rsidP="00E35803">
      <w:pPr>
        <w:spacing w:after="0" w:line="360" w:lineRule="auto"/>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Table-1: Distribution of the study participants by age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06"/>
        <w:gridCol w:w="2170"/>
        <w:gridCol w:w="1925"/>
      </w:tblGrid>
      <w:tr w:rsidR="00F95DBF" w:rsidRPr="00D87DE1" w14:paraId="60336524" w14:textId="77777777" w:rsidTr="00A65718">
        <w:trPr>
          <w:trHeight w:val="707"/>
        </w:trPr>
        <w:tc>
          <w:tcPr>
            <w:tcW w:w="2108" w:type="dxa"/>
            <w:shd w:val="clear" w:color="auto" w:fill="DAE9F7" w:themeFill="text2" w:themeFillTint="1A"/>
            <w:vAlign w:val="center"/>
          </w:tcPr>
          <w:p w14:paraId="296F9B31"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Maternal age (year)</w:t>
            </w:r>
          </w:p>
        </w:tc>
        <w:tc>
          <w:tcPr>
            <w:tcW w:w="2106" w:type="dxa"/>
            <w:shd w:val="clear" w:color="auto" w:fill="DAE9F7" w:themeFill="text2" w:themeFillTint="1A"/>
            <w:vAlign w:val="center"/>
          </w:tcPr>
          <w:p w14:paraId="39A1613F"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7F1C7B6F"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02B85175"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2170" w:type="dxa"/>
            <w:shd w:val="clear" w:color="auto" w:fill="DAE9F7" w:themeFill="text2" w:themeFillTint="1A"/>
            <w:vAlign w:val="center"/>
          </w:tcPr>
          <w:p w14:paraId="741999FE"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153590BA"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42FDE5E5"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1925" w:type="dxa"/>
            <w:shd w:val="clear" w:color="auto" w:fill="DAE9F7" w:themeFill="text2" w:themeFillTint="1A"/>
            <w:vAlign w:val="center"/>
          </w:tcPr>
          <w:p w14:paraId="2169501E"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p value</w:t>
            </w:r>
          </w:p>
        </w:tc>
      </w:tr>
      <w:tr w:rsidR="00F95DBF" w:rsidRPr="00D87DE1" w14:paraId="1DB23183" w14:textId="77777777" w:rsidTr="00936242">
        <w:trPr>
          <w:trHeight w:val="682"/>
        </w:trPr>
        <w:tc>
          <w:tcPr>
            <w:tcW w:w="2108" w:type="dxa"/>
            <w:vAlign w:val="center"/>
          </w:tcPr>
          <w:p w14:paraId="2EBBF28B"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lastRenderedPageBreak/>
              <w:t>18-20</w:t>
            </w:r>
          </w:p>
        </w:tc>
        <w:tc>
          <w:tcPr>
            <w:tcW w:w="2106" w:type="dxa"/>
            <w:vAlign w:val="center"/>
          </w:tcPr>
          <w:p w14:paraId="7B547783"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7(10.8)</w:t>
            </w:r>
          </w:p>
        </w:tc>
        <w:tc>
          <w:tcPr>
            <w:tcW w:w="2170" w:type="dxa"/>
            <w:vAlign w:val="center"/>
          </w:tcPr>
          <w:p w14:paraId="7279E58E"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4 (6.2)</w:t>
            </w:r>
          </w:p>
        </w:tc>
        <w:tc>
          <w:tcPr>
            <w:tcW w:w="1925" w:type="dxa"/>
            <w:vMerge w:val="restart"/>
            <w:vAlign w:val="center"/>
          </w:tcPr>
          <w:p w14:paraId="49687A49" w14:textId="77777777" w:rsidR="00F95DBF" w:rsidRPr="00D87DE1" w:rsidRDefault="00F95DBF" w:rsidP="00936242">
            <w:pPr>
              <w:spacing w:after="0" w:line="360" w:lineRule="auto"/>
              <w:jc w:val="center"/>
              <w:rPr>
                <w:rFonts w:ascii="Times New Roman" w:eastAsia="Calibri" w:hAnsi="Times New Roman" w:cs="Times New Roman"/>
                <w14:ligatures w14:val="none"/>
              </w:rPr>
            </w:pPr>
          </w:p>
          <w:p w14:paraId="0D555533"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&lt;.001*</w:t>
            </w:r>
          </w:p>
        </w:tc>
      </w:tr>
      <w:tr w:rsidR="00F95DBF" w:rsidRPr="00D87DE1" w14:paraId="74F35449" w14:textId="77777777" w:rsidTr="00936242">
        <w:trPr>
          <w:trHeight w:val="707"/>
        </w:trPr>
        <w:tc>
          <w:tcPr>
            <w:tcW w:w="2108" w:type="dxa"/>
            <w:vAlign w:val="center"/>
          </w:tcPr>
          <w:p w14:paraId="582239F7"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21-25</w:t>
            </w:r>
          </w:p>
        </w:tc>
        <w:tc>
          <w:tcPr>
            <w:tcW w:w="2106" w:type="dxa"/>
            <w:vAlign w:val="center"/>
          </w:tcPr>
          <w:p w14:paraId="3416AE98"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5 (7.7)</w:t>
            </w:r>
          </w:p>
        </w:tc>
        <w:tc>
          <w:tcPr>
            <w:tcW w:w="2170" w:type="dxa"/>
            <w:vAlign w:val="center"/>
          </w:tcPr>
          <w:p w14:paraId="6534CC57"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26 (40)</w:t>
            </w:r>
          </w:p>
        </w:tc>
        <w:tc>
          <w:tcPr>
            <w:tcW w:w="1925" w:type="dxa"/>
            <w:vMerge/>
            <w:vAlign w:val="center"/>
          </w:tcPr>
          <w:p w14:paraId="35901E9E" w14:textId="77777777" w:rsidR="00F95DBF" w:rsidRPr="00D87DE1" w:rsidRDefault="00F95DBF" w:rsidP="00936242">
            <w:pPr>
              <w:spacing w:after="0" w:line="360" w:lineRule="auto"/>
              <w:jc w:val="center"/>
              <w:rPr>
                <w:rFonts w:ascii="Times New Roman" w:eastAsia="Calibri" w:hAnsi="Times New Roman" w:cs="Times New Roman"/>
                <w14:ligatures w14:val="none"/>
              </w:rPr>
            </w:pPr>
          </w:p>
        </w:tc>
      </w:tr>
      <w:tr w:rsidR="00F95DBF" w:rsidRPr="00D87DE1" w14:paraId="79AE2AD5" w14:textId="77777777" w:rsidTr="00936242">
        <w:trPr>
          <w:trHeight w:val="682"/>
        </w:trPr>
        <w:tc>
          <w:tcPr>
            <w:tcW w:w="2108" w:type="dxa"/>
            <w:vAlign w:val="center"/>
          </w:tcPr>
          <w:p w14:paraId="35F559E6"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26-30</w:t>
            </w:r>
          </w:p>
        </w:tc>
        <w:tc>
          <w:tcPr>
            <w:tcW w:w="2106" w:type="dxa"/>
            <w:vAlign w:val="center"/>
          </w:tcPr>
          <w:p w14:paraId="20869D41"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11 (16.9)</w:t>
            </w:r>
          </w:p>
        </w:tc>
        <w:tc>
          <w:tcPr>
            <w:tcW w:w="2170" w:type="dxa"/>
            <w:vAlign w:val="center"/>
          </w:tcPr>
          <w:p w14:paraId="674B9224"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19 (29.2)</w:t>
            </w:r>
          </w:p>
        </w:tc>
        <w:tc>
          <w:tcPr>
            <w:tcW w:w="1925" w:type="dxa"/>
            <w:vMerge/>
            <w:vAlign w:val="center"/>
          </w:tcPr>
          <w:p w14:paraId="59324C83" w14:textId="77777777" w:rsidR="00F95DBF" w:rsidRPr="00D87DE1" w:rsidRDefault="00F95DBF" w:rsidP="00936242">
            <w:pPr>
              <w:spacing w:after="0" w:line="360" w:lineRule="auto"/>
              <w:jc w:val="center"/>
              <w:rPr>
                <w:rFonts w:ascii="Times New Roman" w:eastAsia="Calibri" w:hAnsi="Times New Roman" w:cs="Times New Roman"/>
                <w14:ligatures w14:val="none"/>
              </w:rPr>
            </w:pPr>
          </w:p>
        </w:tc>
      </w:tr>
      <w:tr w:rsidR="00936242" w:rsidRPr="00D87DE1" w14:paraId="1E576D70" w14:textId="77777777" w:rsidTr="00936242">
        <w:trPr>
          <w:trHeight w:val="707"/>
        </w:trPr>
        <w:tc>
          <w:tcPr>
            <w:tcW w:w="2108" w:type="dxa"/>
            <w:vAlign w:val="center"/>
          </w:tcPr>
          <w:p w14:paraId="54CBB63B"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31-35</w:t>
            </w:r>
          </w:p>
          <w:p w14:paraId="4A5518A1"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06" w:type="dxa"/>
            <w:vAlign w:val="center"/>
          </w:tcPr>
          <w:p w14:paraId="6F157083"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25 (38.5)</w:t>
            </w:r>
          </w:p>
          <w:p w14:paraId="3D9EA55E"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70" w:type="dxa"/>
            <w:vAlign w:val="center"/>
          </w:tcPr>
          <w:p w14:paraId="65DE939E"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9 (13.8)</w:t>
            </w:r>
          </w:p>
          <w:p w14:paraId="0A3AD407"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1925" w:type="dxa"/>
            <w:vMerge/>
            <w:vAlign w:val="center"/>
          </w:tcPr>
          <w:p w14:paraId="0DE4D1F5"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r>
      <w:tr w:rsidR="00936242" w:rsidRPr="00D87DE1" w14:paraId="36E28A29" w14:textId="77777777" w:rsidTr="00936242">
        <w:trPr>
          <w:trHeight w:val="707"/>
        </w:trPr>
        <w:tc>
          <w:tcPr>
            <w:tcW w:w="2108" w:type="dxa"/>
            <w:vAlign w:val="center"/>
          </w:tcPr>
          <w:p w14:paraId="609335F9"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36 -40</w:t>
            </w:r>
          </w:p>
          <w:p w14:paraId="10A5510C"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06" w:type="dxa"/>
            <w:vAlign w:val="center"/>
          </w:tcPr>
          <w:p w14:paraId="000E7D10"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14 (21.5)</w:t>
            </w:r>
          </w:p>
          <w:p w14:paraId="3122EC3D"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70" w:type="dxa"/>
            <w:vAlign w:val="center"/>
          </w:tcPr>
          <w:p w14:paraId="2EA27AAB" w14:textId="5FBA11BA"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7</w:t>
            </w:r>
            <w:r w:rsidR="00610E08">
              <w:rPr>
                <w:rFonts w:ascii="Times New Roman" w:eastAsia="Calibri" w:hAnsi="Times New Roman" w:cs="Times New Roman"/>
                <w14:ligatures w14:val="none"/>
              </w:rPr>
              <w:t xml:space="preserve"> </w:t>
            </w:r>
            <w:r w:rsidRPr="00D87DE1">
              <w:rPr>
                <w:rFonts w:ascii="Times New Roman" w:eastAsia="Calibri" w:hAnsi="Times New Roman" w:cs="Times New Roman"/>
                <w14:ligatures w14:val="none"/>
              </w:rPr>
              <w:t>(10.8)</w:t>
            </w:r>
          </w:p>
          <w:p w14:paraId="23CDA073"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1925" w:type="dxa"/>
            <w:vMerge/>
            <w:vAlign w:val="center"/>
          </w:tcPr>
          <w:p w14:paraId="22912FC6"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r>
      <w:tr w:rsidR="00936242" w:rsidRPr="00D87DE1" w14:paraId="70E465C3" w14:textId="77777777" w:rsidTr="00936242">
        <w:trPr>
          <w:trHeight w:val="707"/>
        </w:trPr>
        <w:tc>
          <w:tcPr>
            <w:tcW w:w="2108" w:type="dxa"/>
            <w:vAlign w:val="center"/>
          </w:tcPr>
          <w:p w14:paraId="489C8B12" w14:textId="6E52064E"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41-45</w:t>
            </w:r>
          </w:p>
        </w:tc>
        <w:tc>
          <w:tcPr>
            <w:tcW w:w="2106" w:type="dxa"/>
            <w:vAlign w:val="center"/>
          </w:tcPr>
          <w:p w14:paraId="388FFD11" w14:textId="30EB565B" w:rsidR="00936242" w:rsidRPr="00D87DE1" w:rsidRDefault="00610E08"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 (4.6)</w:t>
            </w:r>
          </w:p>
        </w:tc>
        <w:tc>
          <w:tcPr>
            <w:tcW w:w="2170" w:type="dxa"/>
            <w:vAlign w:val="center"/>
          </w:tcPr>
          <w:p w14:paraId="06EC529D" w14:textId="03E47465"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0</w:t>
            </w:r>
          </w:p>
        </w:tc>
        <w:tc>
          <w:tcPr>
            <w:tcW w:w="1925" w:type="dxa"/>
            <w:vMerge/>
            <w:vAlign w:val="center"/>
          </w:tcPr>
          <w:p w14:paraId="332A17EB"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r>
      <w:tr w:rsidR="00F95DBF" w:rsidRPr="00D87DE1" w14:paraId="1043855C" w14:textId="77777777" w:rsidTr="00936242">
        <w:trPr>
          <w:trHeight w:val="707"/>
        </w:trPr>
        <w:tc>
          <w:tcPr>
            <w:tcW w:w="2108" w:type="dxa"/>
            <w:vAlign w:val="center"/>
          </w:tcPr>
          <w:p w14:paraId="69CEBE74" w14:textId="77777777" w:rsidR="00F95DBF" w:rsidRPr="00D87DE1" w:rsidRDefault="00F95DBF" w:rsidP="00936242">
            <w:pPr>
              <w:spacing w:after="0" w:line="360" w:lineRule="auto"/>
              <w:jc w:val="center"/>
              <w:rPr>
                <w:rFonts w:ascii="Times New Roman" w:eastAsia="Calibri" w:hAnsi="Times New Roman" w:cs="Times New Roman"/>
                <w14:ligatures w14:val="none"/>
              </w:rPr>
            </w:pPr>
            <w:bookmarkStart w:id="0" w:name="_Hlk142835027"/>
            <w:proofErr w:type="spellStart"/>
            <w:r w:rsidRPr="00D87DE1">
              <w:rPr>
                <w:rFonts w:ascii="Times New Roman" w:eastAsia="Calibri" w:hAnsi="Times New Roman" w:cs="Times New Roman"/>
                <w14:ligatures w14:val="none"/>
              </w:rPr>
              <w:t>Mean±SD</w:t>
            </w:r>
            <w:proofErr w:type="spellEnd"/>
          </w:p>
        </w:tc>
        <w:tc>
          <w:tcPr>
            <w:tcW w:w="2106" w:type="dxa"/>
            <w:vAlign w:val="center"/>
          </w:tcPr>
          <w:p w14:paraId="3B6D5C81"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30.89±6.10</w:t>
            </w:r>
          </w:p>
        </w:tc>
        <w:tc>
          <w:tcPr>
            <w:tcW w:w="2170" w:type="dxa"/>
            <w:vAlign w:val="center"/>
          </w:tcPr>
          <w:p w14:paraId="6D829E12"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27.03±5.33</w:t>
            </w:r>
          </w:p>
        </w:tc>
        <w:tc>
          <w:tcPr>
            <w:tcW w:w="1925" w:type="dxa"/>
            <w:vAlign w:val="center"/>
          </w:tcPr>
          <w:p w14:paraId="46F7173E"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&lt;.001**</w:t>
            </w:r>
          </w:p>
        </w:tc>
      </w:tr>
      <w:bookmarkEnd w:id="0"/>
    </w:tbl>
    <w:p w14:paraId="050DA6B8" w14:textId="5399CABC" w:rsidR="00F95DBF" w:rsidRPr="00D87DE1" w:rsidRDefault="00F95DBF" w:rsidP="00E35803">
      <w:pPr>
        <w:spacing w:line="360" w:lineRule="auto"/>
        <w:rPr>
          <w:rFonts w:ascii="Times New Roman" w:hAnsi="Times New Roman" w:cs="Times New Roman"/>
        </w:rPr>
      </w:pPr>
    </w:p>
    <w:p w14:paraId="3596B3CE" w14:textId="77777777" w:rsidR="00610E08" w:rsidRDefault="00610E08" w:rsidP="00E35803">
      <w:pPr>
        <w:spacing w:line="360" w:lineRule="auto"/>
        <w:rPr>
          <w:rFonts w:ascii="Times New Roman" w:hAnsi="Times New Roman" w:cs="Times New Roman"/>
        </w:rPr>
      </w:pPr>
    </w:p>
    <w:p w14:paraId="596AA62D" w14:textId="77777777" w:rsidR="00610E08" w:rsidRDefault="00610E08" w:rsidP="00E35803">
      <w:pPr>
        <w:spacing w:line="360" w:lineRule="auto"/>
        <w:rPr>
          <w:rFonts w:ascii="Times New Roman" w:hAnsi="Times New Roman" w:cs="Times New Roman"/>
        </w:rPr>
      </w:pPr>
    </w:p>
    <w:p w14:paraId="243D9A6C" w14:textId="77777777" w:rsidR="00610E08" w:rsidRDefault="00610E08" w:rsidP="00E35803">
      <w:pPr>
        <w:spacing w:line="360" w:lineRule="auto"/>
        <w:rPr>
          <w:rFonts w:ascii="Times New Roman" w:hAnsi="Times New Roman" w:cs="Times New Roman"/>
        </w:rPr>
      </w:pPr>
    </w:p>
    <w:p w14:paraId="176F6BAF" w14:textId="77777777" w:rsidR="00610E08" w:rsidRDefault="00610E08" w:rsidP="00E35803">
      <w:pPr>
        <w:spacing w:line="360" w:lineRule="auto"/>
        <w:rPr>
          <w:rFonts w:ascii="Times New Roman" w:hAnsi="Times New Roman" w:cs="Times New Roman"/>
        </w:rPr>
      </w:pPr>
    </w:p>
    <w:p w14:paraId="3D031E96" w14:textId="77777777" w:rsidR="00610E08" w:rsidRDefault="00610E08" w:rsidP="00E35803">
      <w:pPr>
        <w:spacing w:line="360" w:lineRule="auto"/>
        <w:rPr>
          <w:rFonts w:ascii="Times New Roman" w:hAnsi="Times New Roman" w:cs="Times New Roman"/>
        </w:rPr>
      </w:pPr>
    </w:p>
    <w:p w14:paraId="69F14B84" w14:textId="2882CD1A" w:rsidR="00F95DBF" w:rsidRPr="00D87DE1" w:rsidRDefault="00EC0AE9" w:rsidP="00E35803">
      <w:pPr>
        <w:spacing w:line="360" w:lineRule="auto"/>
        <w:rPr>
          <w:rFonts w:ascii="Times New Roman" w:hAnsi="Times New Roman" w:cs="Times New Roman"/>
        </w:rPr>
      </w:pPr>
      <w:r w:rsidRPr="00D87DE1">
        <w:rPr>
          <w:rFonts w:ascii="Times New Roman" w:hAnsi="Times New Roman" w:cs="Times New Roman"/>
        </w:rPr>
        <w:t xml:space="preserve">Concerning parity, there </w:t>
      </w:r>
      <w:proofErr w:type="gramStart"/>
      <w:r w:rsidRPr="00D87DE1">
        <w:rPr>
          <w:rFonts w:ascii="Times New Roman" w:hAnsi="Times New Roman" w:cs="Times New Roman"/>
        </w:rPr>
        <w:t>is  no</w:t>
      </w:r>
      <w:proofErr w:type="gramEnd"/>
      <w:r w:rsidRPr="00D87DE1">
        <w:rPr>
          <w:rFonts w:ascii="Times New Roman" w:hAnsi="Times New Roman" w:cs="Times New Roman"/>
        </w:rPr>
        <w:t xml:space="preserve"> statistically significant difference was found between the cases and control groups (p≥.05).</w:t>
      </w:r>
    </w:p>
    <w:p w14:paraId="2CF77C31" w14:textId="4350A27B" w:rsidR="00F95DBF" w:rsidRPr="00D87DE1" w:rsidRDefault="00F95DBF" w:rsidP="00E35803">
      <w:pPr>
        <w:autoSpaceDE w:val="0"/>
        <w:autoSpaceDN w:val="0"/>
        <w:adjustRightInd w:val="0"/>
        <w:spacing w:after="0" w:line="360" w:lineRule="auto"/>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w:t>
      </w:r>
      <w:r w:rsidR="00EC0AE9" w:rsidRPr="00D87DE1">
        <w:rPr>
          <w:rFonts w:ascii="Times New Roman" w:eastAsia="Calibri" w:hAnsi="Times New Roman" w:cs="Times New Roman"/>
          <w:b/>
          <w:bCs/>
          <w:kern w:val="0"/>
          <w:lang w:bidi="bn-BD"/>
          <w14:ligatures w14:val="none"/>
        </w:rPr>
        <w:t>2</w:t>
      </w:r>
      <w:r w:rsidRPr="00D87DE1">
        <w:rPr>
          <w:rFonts w:ascii="Times New Roman" w:eastAsia="Calibri" w:hAnsi="Times New Roman" w:cs="Times New Roman"/>
          <w:b/>
          <w:bCs/>
          <w:kern w:val="0"/>
          <w:lang w:bidi="bn-BD"/>
          <w14:ligatures w14:val="none"/>
        </w:rPr>
        <w:t>: Distribution of the respondents by parity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216"/>
        <w:gridCol w:w="2227"/>
        <w:gridCol w:w="2197"/>
      </w:tblGrid>
      <w:tr w:rsidR="00F95DBF" w:rsidRPr="00D87DE1" w14:paraId="15B7EC8C" w14:textId="77777777" w:rsidTr="00610E08">
        <w:trPr>
          <w:trHeight w:val="797"/>
        </w:trPr>
        <w:tc>
          <w:tcPr>
            <w:tcW w:w="2134" w:type="dxa"/>
            <w:shd w:val="clear" w:color="auto" w:fill="DAE9F7" w:themeFill="text2" w:themeFillTint="1A"/>
            <w:vAlign w:val="center"/>
          </w:tcPr>
          <w:p w14:paraId="2D643A0B"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bookmarkStart w:id="1" w:name="_Hlk141630948"/>
            <w:r w:rsidRPr="00D87DE1">
              <w:rPr>
                <w:rFonts w:ascii="Times New Roman" w:eastAsia="Calibri" w:hAnsi="Times New Roman" w:cs="Times New Roman"/>
                <w:b/>
                <w:bCs/>
                <w:lang w:bidi="bn-BD"/>
                <w14:ligatures w14:val="none"/>
              </w:rPr>
              <w:t>Parity</w:t>
            </w:r>
            <w:bookmarkEnd w:id="1"/>
          </w:p>
        </w:tc>
        <w:tc>
          <w:tcPr>
            <w:tcW w:w="2216" w:type="dxa"/>
            <w:shd w:val="clear" w:color="auto" w:fill="DAE9F7" w:themeFill="text2" w:themeFillTint="1A"/>
            <w:vAlign w:val="center"/>
          </w:tcPr>
          <w:p w14:paraId="7913947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7F332BE2"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6927862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227" w:type="dxa"/>
            <w:shd w:val="clear" w:color="auto" w:fill="DAE9F7" w:themeFill="text2" w:themeFillTint="1A"/>
            <w:vAlign w:val="center"/>
          </w:tcPr>
          <w:p w14:paraId="2C521BD3"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6502341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2094FFF1"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197" w:type="dxa"/>
            <w:shd w:val="clear" w:color="auto" w:fill="DAE9F7" w:themeFill="text2" w:themeFillTint="1A"/>
            <w:vAlign w:val="center"/>
          </w:tcPr>
          <w:p w14:paraId="0F2B9320"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p value</w:t>
            </w:r>
          </w:p>
        </w:tc>
      </w:tr>
      <w:tr w:rsidR="00F95DBF" w:rsidRPr="00D87DE1" w14:paraId="52382E11" w14:textId="77777777" w:rsidTr="00610E08">
        <w:trPr>
          <w:trHeight w:val="797"/>
        </w:trPr>
        <w:tc>
          <w:tcPr>
            <w:tcW w:w="2134" w:type="dxa"/>
            <w:vAlign w:val="center"/>
          </w:tcPr>
          <w:p w14:paraId="4BFA79F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Primipara</w:t>
            </w:r>
          </w:p>
        </w:tc>
        <w:tc>
          <w:tcPr>
            <w:tcW w:w="2216" w:type="dxa"/>
            <w:vAlign w:val="center"/>
          </w:tcPr>
          <w:p w14:paraId="6326FBE2"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44 (67.7)</w:t>
            </w:r>
          </w:p>
        </w:tc>
        <w:tc>
          <w:tcPr>
            <w:tcW w:w="2227" w:type="dxa"/>
            <w:vAlign w:val="center"/>
          </w:tcPr>
          <w:p w14:paraId="6999FB8B"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36 (55.4)</w:t>
            </w:r>
          </w:p>
        </w:tc>
        <w:tc>
          <w:tcPr>
            <w:tcW w:w="2197" w:type="dxa"/>
            <w:vMerge w:val="restart"/>
            <w:vAlign w:val="center"/>
          </w:tcPr>
          <w:p w14:paraId="5353F9A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p w14:paraId="579D8D07"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0.347*</w:t>
            </w:r>
          </w:p>
        </w:tc>
      </w:tr>
      <w:tr w:rsidR="00F95DBF" w:rsidRPr="00D87DE1" w14:paraId="57443464" w14:textId="77777777" w:rsidTr="00610E08">
        <w:trPr>
          <w:trHeight w:val="797"/>
        </w:trPr>
        <w:tc>
          <w:tcPr>
            <w:tcW w:w="2134" w:type="dxa"/>
            <w:vAlign w:val="center"/>
          </w:tcPr>
          <w:p w14:paraId="504C2AED"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Para 1-3</w:t>
            </w:r>
          </w:p>
        </w:tc>
        <w:tc>
          <w:tcPr>
            <w:tcW w:w="2216" w:type="dxa"/>
            <w:vAlign w:val="center"/>
          </w:tcPr>
          <w:p w14:paraId="15179D6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11 (16.90)</w:t>
            </w:r>
          </w:p>
        </w:tc>
        <w:tc>
          <w:tcPr>
            <w:tcW w:w="2227" w:type="dxa"/>
            <w:vAlign w:val="center"/>
          </w:tcPr>
          <w:p w14:paraId="45FDD042"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16 (24.6)</w:t>
            </w:r>
          </w:p>
        </w:tc>
        <w:tc>
          <w:tcPr>
            <w:tcW w:w="2197" w:type="dxa"/>
            <w:vMerge/>
            <w:vAlign w:val="center"/>
          </w:tcPr>
          <w:p w14:paraId="352B400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tc>
      </w:tr>
      <w:tr w:rsidR="00F95DBF" w:rsidRPr="00D87DE1" w14:paraId="0EF25564" w14:textId="77777777" w:rsidTr="00610E08">
        <w:trPr>
          <w:trHeight w:val="797"/>
        </w:trPr>
        <w:tc>
          <w:tcPr>
            <w:tcW w:w="2134" w:type="dxa"/>
            <w:vAlign w:val="center"/>
          </w:tcPr>
          <w:p w14:paraId="6E9AD71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lastRenderedPageBreak/>
              <w:t>Para &gt;3</w:t>
            </w:r>
          </w:p>
        </w:tc>
        <w:tc>
          <w:tcPr>
            <w:tcW w:w="2216" w:type="dxa"/>
            <w:vAlign w:val="center"/>
          </w:tcPr>
          <w:p w14:paraId="453A6360"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10 (15.4)</w:t>
            </w:r>
          </w:p>
        </w:tc>
        <w:tc>
          <w:tcPr>
            <w:tcW w:w="2227" w:type="dxa"/>
            <w:vAlign w:val="center"/>
          </w:tcPr>
          <w:p w14:paraId="6C03216E"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13 (20)</w:t>
            </w:r>
          </w:p>
        </w:tc>
        <w:tc>
          <w:tcPr>
            <w:tcW w:w="2197" w:type="dxa"/>
            <w:vMerge/>
            <w:vAlign w:val="center"/>
          </w:tcPr>
          <w:p w14:paraId="4F2664B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tc>
      </w:tr>
    </w:tbl>
    <w:p w14:paraId="01C28472"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Case: Mothers of neonates with low birth weight (&lt;2500 gm)</w:t>
      </w:r>
    </w:p>
    <w:p w14:paraId="1E5FB5D9"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Control: Mothers of neonates with normal weight (≥2500 gm)</w:t>
      </w:r>
    </w:p>
    <w:p w14:paraId="58D014A8"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p value was determined by chi square test*</w:t>
      </w:r>
    </w:p>
    <w:p w14:paraId="41B5652C" w14:textId="77777777" w:rsidR="00F95DBF" w:rsidRPr="00D87DE1" w:rsidRDefault="00F95DBF" w:rsidP="00E35803">
      <w:pPr>
        <w:autoSpaceDE w:val="0"/>
        <w:autoSpaceDN w:val="0"/>
        <w:adjustRightInd w:val="0"/>
        <w:spacing w:after="0" w:line="360" w:lineRule="auto"/>
        <w:rPr>
          <w:rFonts w:ascii="Times New Roman" w:eastAsia="Calibri" w:hAnsi="Times New Roman" w:cs="Times New Roman"/>
          <w:b/>
          <w:bCs/>
          <w:kern w:val="0"/>
          <w:lang w:bidi="bn-BD"/>
          <w14:ligatures w14:val="none"/>
        </w:rPr>
      </w:pPr>
    </w:p>
    <w:p w14:paraId="645BEC97" w14:textId="5B697C7F"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Regarding the mode of delivery, the majority of the participants underwent vaginal delivery. No statistical difference was observed (p≥.05).</w:t>
      </w:r>
    </w:p>
    <w:p w14:paraId="0880C72D" w14:textId="4B25D294"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w:t>
      </w:r>
      <w:r w:rsidR="00EC0AE9" w:rsidRPr="00D87DE1">
        <w:rPr>
          <w:rFonts w:ascii="Times New Roman" w:eastAsia="Calibri" w:hAnsi="Times New Roman" w:cs="Times New Roman"/>
          <w:b/>
          <w:bCs/>
          <w:kern w:val="0"/>
          <w:lang w:bidi="bn-BD"/>
          <w14:ligatures w14:val="none"/>
        </w:rPr>
        <w:t>3</w:t>
      </w:r>
      <w:r w:rsidRPr="00D87DE1">
        <w:rPr>
          <w:rFonts w:ascii="Times New Roman" w:eastAsia="Calibri" w:hAnsi="Times New Roman" w:cs="Times New Roman"/>
          <w:b/>
          <w:bCs/>
          <w:kern w:val="0"/>
          <w:lang w:bidi="bn-BD"/>
          <w14:ligatures w14:val="none"/>
        </w:rPr>
        <w:t xml:space="preserve">: Distribution of study participants by </w:t>
      </w:r>
      <w:bookmarkStart w:id="2" w:name="_Hlk141631047"/>
      <w:r w:rsidRPr="00D87DE1">
        <w:rPr>
          <w:rFonts w:ascii="Times New Roman" w:eastAsia="Calibri" w:hAnsi="Times New Roman" w:cs="Times New Roman"/>
          <w:b/>
          <w:bCs/>
          <w:kern w:val="0"/>
          <w:lang w:bidi="bn-BD"/>
          <w14:ligatures w14:val="none"/>
        </w:rPr>
        <w:t xml:space="preserve">mode of delivery </w:t>
      </w:r>
      <w:bookmarkEnd w:id="2"/>
      <w:r w:rsidRPr="00D87DE1">
        <w:rPr>
          <w:rFonts w:ascii="Times New Roman" w:eastAsia="Calibri" w:hAnsi="Times New Roman" w:cs="Times New Roman"/>
          <w:b/>
          <w:bCs/>
          <w:kern w:val="0"/>
          <w:lang w:bidi="bn-BD"/>
          <w14:ligatures w14:val="none"/>
        </w:rPr>
        <w:t>(n=130)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136"/>
        <w:gridCol w:w="2137"/>
        <w:gridCol w:w="2137"/>
      </w:tblGrid>
      <w:tr w:rsidR="00F95DBF" w:rsidRPr="00D87DE1" w14:paraId="665A5E1A" w14:textId="77777777" w:rsidTr="00610E08">
        <w:trPr>
          <w:trHeight w:val="918"/>
        </w:trPr>
        <w:tc>
          <w:tcPr>
            <w:tcW w:w="2935" w:type="dxa"/>
            <w:shd w:val="clear" w:color="auto" w:fill="DAE9F7" w:themeFill="text2" w:themeFillTint="1A"/>
            <w:vAlign w:val="center"/>
          </w:tcPr>
          <w:p w14:paraId="4F65C058"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Mode of delivery</w:t>
            </w:r>
          </w:p>
        </w:tc>
        <w:tc>
          <w:tcPr>
            <w:tcW w:w="2136" w:type="dxa"/>
            <w:shd w:val="clear" w:color="auto" w:fill="DAE9F7" w:themeFill="text2" w:themeFillTint="1A"/>
            <w:vAlign w:val="center"/>
          </w:tcPr>
          <w:p w14:paraId="0D90D640"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08780668"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7F9A7D3F"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2137" w:type="dxa"/>
            <w:shd w:val="clear" w:color="auto" w:fill="DAE9F7" w:themeFill="text2" w:themeFillTint="1A"/>
            <w:vAlign w:val="center"/>
          </w:tcPr>
          <w:p w14:paraId="64C3E64D"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4A670119"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6CA1EFD9"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2137" w:type="dxa"/>
            <w:shd w:val="clear" w:color="auto" w:fill="DAE9F7" w:themeFill="text2" w:themeFillTint="1A"/>
            <w:vAlign w:val="center"/>
          </w:tcPr>
          <w:p w14:paraId="1B7B5AE2"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p value</w:t>
            </w:r>
          </w:p>
        </w:tc>
      </w:tr>
      <w:tr w:rsidR="00F95DBF" w:rsidRPr="00D87DE1" w14:paraId="088DB9E7" w14:textId="77777777" w:rsidTr="00610E08">
        <w:trPr>
          <w:trHeight w:val="948"/>
        </w:trPr>
        <w:tc>
          <w:tcPr>
            <w:tcW w:w="2935" w:type="dxa"/>
            <w:vAlign w:val="center"/>
          </w:tcPr>
          <w:p w14:paraId="33D8E8A8"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Vaginal delivery</w:t>
            </w:r>
          </w:p>
        </w:tc>
        <w:tc>
          <w:tcPr>
            <w:tcW w:w="2136" w:type="dxa"/>
            <w:vAlign w:val="center"/>
          </w:tcPr>
          <w:p w14:paraId="23624D60"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42(64.6)</w:t>
            </w:r>
          </w:p>
        </w:tc>
        <w:tc>
          <w:tcPr>
            <w:tcW w:w="2137" w:type="dxa"/>
            <w:vAlign w:val="center"/>
          </w:tcPr>
          <w:p w14:paraId="0D3F1546"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47(72.3)</w:t>
            </w:r>
          </w:p>
        </w:tc>
        <w:tc>
          <w:tcPr>
            <w:tcW w:w="2137" w:type="dxa"/>
            <w:vAlign w:val="center"/>
          </w:tcPr>
          <w:p w14:paraId="481FD726"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0.345*</w:t>
            </w:r>
          </w:p>
        </w:tc>
      </w:tr>
      <w:tr w:rsidR="00F95DBF" w:rsidRPr="00D87DE1" w14:paraId="26AF92B7" w14:textId="77777777" w:rsidTr="00610E08">
        <w:trPr>
          <w:trHeight w:val="948"/>
        </w:trPr>
        <w:tc>
          <w:tcPr>
            <w:tcW w:w="2935" w:type="dxa"/>
            <w:vAlign w:val="center"/>
          </w:tcPr>
          <w:p w14:paraId="40219860"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Lower segment cesarean section</w:t>
            </w:r>
          </w:p>
        </w:tc>
        <w:tc>
          <w:tcPr>
            <w:tcW w:w="2136" w:type="dxa"/>
            <w:vAlign w:val="center"/>
          </w:tcPr>
          <w:p w14:paraId="63DF8353"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23(35.4)</w:t>
            </w:r>
          </w:p>
        </w:tc>
        <w:tc>
          <w:tcPr>
            <w:tcW w:w="2137" w:type="dxa"/>
            <w:vAlign w:val="center"/>
          </w:tcPr>
          <w:p w14:paraId="10BDE8F0"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18(27.7)</w:t>
            </w:r>
          </w:p>
        </w:tc>
        <w:tc>
          <w:tcPr>
            <w:tcW w:w="2137" w:type="dxa"/>
            <w:vAlign w:val="center"/>
          </w:tcPr>
          <w:p w14:paraId="609DF43C"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p>
        </w:tc>
      </w:tr>
    </w:tbl>
    <w:p w14:paraId="5E385D2D"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bookmarkStart w:id="3" w:name="_Hlk141631031"/>
      <w:r w:rsidRPr="00610E08">
        <w:rPr>
          <w:rFonts w:ascii="Times New Roman" w:eastAsia="Calibri" w:hAnsi="Times New Roman" w:cs="Times New Roman"/>
          <w:kern w:val="0"/>
          <w:lang w:bidi="bn-BD"/>
          <w14:ligatures w14:val="none"/>
        </w:rPr>
        <w:t>Case: Mothers of neonates with low birth weight (&lt;2500 gm)</w:t>
      </w:r>
    </w:p>
    <w:p w14:paraId="335B7C3D"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Control: Mothers of neonates with normal weight (≥2500 gm)</w:t>
      </w:r>
    </w:p>
    <w:bookmarkEnd w:id="3"/>
    <w:p w14:paraId="57B9F16C"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p value was determined by chi square test*</w:t>
      </w:r>
    </w:p>
    <w:p w14:paraId="136F9E18"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LSCS: Lower segment cesarian section, VD: Vaginal delivery</w:t>
      </w:r>
    </w:p>
    <w:p w14:paraId="0A67486E" w14:textId="6228A907" w:rsidR="00EC0AE9" w:rsidRPr="00D87DE1" w:rsidRDefault="00EC0AE9" w:rsidP="00610E08">
      <w:pPr>
        <w:spacing w:after="20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Neonates of the case group have significantly shorter crown-heel lengths, smaller head </w:t>
      </w:r>
      <w:proofErr w:type="gramStart"/>
      <w:r w:rsidRPr="00D87DE1">
        <w:rPr>
          <w:rFonts w:ascii="Times New Roman" w:eastAsia="Calibri" w:hAnsi="Times New Roman" w:cs="Times New Roman"/>
          <w:kern w:val="0"/>
          <w:lang w:bidi="bn-BD"/>
          <w14:ligatures w14:val="none"/>
        </w:rPr>
        <w:t>circumferences  and</w:t>
      </w:r>
      <w:proofErr w:type="gramEnd"/>
      <w:r w:rsidRPr="00D87DE1">
        <w:rPr>
          <w:rFonts w:ascii="Times New Roman" w:eastAsia="Calibri" w:hAnsi="Times New Roman" w:cs="Times New Roman"/>
          <w:kern w:val="0"/>
          <w:lang w:bidi="bn-BD"/>
          <w14:ligatures w14:val="none"/>
        </w:rPr>
        <w:t xml:space="preserve"> lower ponderal indices compared to neonates of mothers with normal weight babies.</w:t>
      </w:r>
    </w:p>
    <w:p w14:paraId="078BE8F0" w14:textId="37525650" w:rsidR="00F95DBF" w:rsidRPr="00D87DE1" w:rsidRDefault="00F95DBF" w:rsidP="00E35803">
      <w:pPr>
        <w:spacing w:after="200" w:line="360" w:lineRule="auto"/>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Table-4: Anthropometric measurements of the neonates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051"/>
        <w:gridCol w:w="1569"/>
        <w:gridCol w:w="2097"/>
      </w:tblGrid>
      <w:tr w:rsidR="00F95DBF" w:rsidRPr="00D87DE1" w14:paraId="0D2B8A7D" w14:textId="77777777" w:rsidTr="00A65718">
        <w:trPr>
          <w:trHeight w:val="1425"/>
        </w:trPr>
        <w:tc>
          <w:tcPr>
            <w:tcW w:w="2797" w:type="dxa"/>
            <w:shd w:val="clear" w:color="auto" w:fill="DAE9F7" w:themeFill="text2" w:themeFillTint="1A"/>
            <w:vAlign w:val="center"/>
          </w:tcPr>
          <w:p w14:paraId="1D74057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p>
        </w:tc>
        <w:tc>
          <w:tcPr>
            <w:tcW w:w="2051" w:type="dxa"/>
            <w:shd w:val="clear" w:color="auto" w:fill="DAE9F7" w:themeFill="text2" w:themeFillTint="1A"/>
            <w:vAlign w:val="center"/>
          </w:tcPr>
          <w:p w14:paraId="0702B4F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Case</w:t>
            </w:r>
          </w:p>
          <w:p w14:paraId="0DE568E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n=65</w:t>
            </w:r>
          </w:p>
          <w:p w14:paraId="34F66BD1"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proofErr w:type="spellStart"/>
            <w:r w:rsidRPr="00D87DE1">
              <w:rPr>
                <w:rFonts w:ascii="Times New Roman" w:eastAsia="Calibri" w:hAnsi="Times New Roman" w:cs="Times New Roman"/>
                <w:b/>
                <w:bCs/>
                <w:kern w:val="0"/>
                <w:lang w:bidi="bn-BD"/>
                <w14:ligatures w14:val="none"/>
              </w:rPr>
              <w:t>mean±SD</w:t>
            </w:r>
            <w:proofErr w:type="spellEnd"/>
          </w:p>
        </w:tc>
        <w:tc>
          <w:tcPr>
            <w:tcW w:w="1569" w:type="dxa"/>
            <w:shd w:val="clear" w:color="auto" w:fill="DAE9F7" w:themeFill="text2" w:themeFillTint="1A"/>
            <w:vAlign w:val="center"/>
          </w:tcPr>
          <w:p w14:paraId="6C92FB1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Control</w:t>
            </w:r>
          </w:p>
          <w:p w14:paraId="5DB80DE7"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n=65</w:t>
            </w:r>
          </w:p>
          <w:p w14:paraId="78FA41B0"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proofErr w:type="spellStart"/>
            <w:r w:rsidRPr="00D87DE1">
              <w:rPr>
                <w:rFonts w:ascii="Times New Roman" w:eastAsia="Calibri" w:hAnsi="Times New Roman" w:cs="Times New Roman"/>
                <w:b/>
                <w:bCs/>
                <w:kern w:val="0"/>
                <w:lang w:bidi="bn-BD"/>
                <w14:ligatures w14:val="none"/>
              </w:rPr>
              <w:t>mean±SD</w:t>
            </w:r>
            <w:proofErr w:type="spellEnd"/>
          </w:p>
        </w:tc>
        <w:tc>
          <w:tcPr>
            <w:tcW w:w="2097" w:type="dxa"/>
            <w:shd w:val="clear" w:color="auto" w:fill="DAE9F7" w:themeFill="text2" w:themeFillTint="1A"/>
            <w:vAlign w:val="center"/>
          </w:tcPr>
          <w:p w14:paraId="33B6F6E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p value</w:t>
            </w:r>
          </w:p>
        </w:tc>
      </w:tr>
      <w:tr w:rsidR="00F95DBF" w:rsidRPr="00D87DE1" w14:paraId="3258B3F1" w14:textId="77777777" w:rsidTr="00A65718">
        <w:trPr>
          <w:trHeight w:val="825"/>
        </w:trPr>
        <w:tc>
          <w:tcPr>
            <w:tcW w:w="2797" w:type="dxa"/>
            <w:vAlign w:val="center"/>
          </w:tcPr>
          <w:p w14:paraId="5A6C8D37"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lastRenderedPageBreak/>
              <w:t>Crown-Heel Length (cm)</w:t>
            </w:r>
          </w:p>
        </w:tc>
        <w:tc>
          <w:tcPr>
            <w:tcW w:w="2051" w:type="dxa"/>
            <w:vAlign w:val="center"/>
          </w:tcPr>
          <w:p w14:paraId="11724C7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42.71±1.06</w:t>
            </w:r>
          </w:p>
        </w:tc>
        <w:tc>
          <w:tcPr>
            <w:tcW w:w="1569" w:type="dxa"/>
            <w:vAlign w:val="center"/>
          </w:tcPr>
          <w:p w14:paraId="68ECA17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50.88±1.60</w:t>
            </w:r>
          </w:p>
        </w:tc>
        <w:tc>
          <w:tcPr>
            <w:tcW w:w="2097" w:type="dxa"/>
            <w:vAlign w:val="center"/>
          </w:tcPr>
          <w:p w14:paraId="58FB0E1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&lt;.001**</w:t>
            </w:r>
          </w:p>
        </w:tc>
      </w:tr>
      <w:tr w:rsidR="00F95DBF" w:rsidRPr="00D87DE1" w14:paraId="5D16B838" w14:textId="77777777" w:rsidTr="00A65718">
        <w:trPr>
          <w:trHeight w:val="961"/>
        </w:trPr>
        <w:tc>
          <w:tcPr>
            <w:tcW w:w="2797" w:type="dxa"/>
            <w:vAlign w:val="center"/>
          </w:tcPr>
          <w:p w14:paraId="0FFBFCB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Head circumference (cm)</w:t>
            </w:r>
          </w:p>
        </w:tc>
        <w:tc>
          <w:tcPr>
            <w:tcW w:w="2051" w:type="dxa"/>
            <w:vAlign w:val="center"/>
          </w:tcPr>
          <w:p w14:paraId="511BD6D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31.55±.79</w:t>
            </w:r>
          </w:p>
        </w:tc>
        <w:tc>
          <w:tcPr>
            <w:tcW w:w="1569" w:type="dxa"/>
            <w:vAlign w:val="center"/>
          </w:tcPr>
          <w:p w14:paraId="340E03C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34.91±.81</w:t>
            </w:r>
          </w:p>
        </w:tc>
        <w:tc>
          <w:tcPr>
            <w:tcW w:w="2097" w:type="dxa"/>
            <w:vAlign w:val="center"/>
          </w:tcPr>
          <w:p w14:paraId="18B46F1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&lt;.001**</w:t>
            </w:r>
          </w:p>
        </w:tc>
      </w:tr>
      <w:tr w:rsidR="00F95DBF" w:rsidRPr="00D87DE1" w14:paraId="039D590D" w14:textId="77777777" w:rsidTr="00A65718">
        <w:trPr>
          <w:trHeight w:val="816"/>
        </w:trPr>
        <w:tc>
          <w:tcPr>
            <w:tcW w:w="2797" w:type="dxa"/>
            <w:vAlign w:val="center"/>
          </w:tcPr>
          <w:p w14:paraId="4BA627A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Ponderal Index (cm)</w:t>
            </w:r>
          </w:p>
        </w:tc>
        <w:tc>
          <w:tcPr>
            <w:tcW w:w="2051" w:type="dxa"/>
            <w:vAlign w:val="center"/>
          </w:tcPr>
          <w:p w14:paraId="404B9C9D"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2.31±.05</w:t>
            </w:r>
          </w:p>
        </w:tc>
        <w:tc>
          <w:tcPr>
            <w:tcW w:w="1569" w:type="dxa"/>
            <w:vAlign w:val="center"/>
          </w:tcPr>
          <w:p w14:paraId="2FC40B4D"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2.51±.07</w:t>
            </w:r>
          </w:p>
        </w:tc>
        <w:tc>
          <w:tcPr>
            <w:tcW w:w="2097" w:type="dxa"/>
            <w:vAlign w:val="center"/>
          </w:tcPr>
          <w:p w14:paraId="0EF261C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&lt;.001**</w:t>
            </w:r>
          </w:p>
        </w:tc>
      </w:tr>
    </w:tbl>
    <w:p w14:paraId="466DE7B8"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Case: Mothers of neonates with low birth weight (&lt;2500 gm)</w:t>
      </w:r>
    </w:p>
    <w:p w14:paraId="015F46D4"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Control: Mothers of neonates with normal weight (≥2500 gm)</w:t>
      </w:r>
    </w:p>
    <w:p w14:paraId="3F2CE358"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p value was determined by independent student t test**</w:t>
      </w:r>
    </w:p>
    <w:p w14:paraId="381A86E1"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p>
    <w:p w14:paraId="07E16144" w14:textId="71E37C77"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Zinc deficiency was significantly more prevalent (p&lt;.05) in the case group (72.3%) compared to the control group (24.6%).</w:t>
      </w:r>
    </w:p>
    <w:p w14:paraId="0F061BC3" w14:textId="4D13C4C9"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w:t>
      </w:r>
      <w:r w:rsidR="00EC0AE9" w:rsidRPr="00D87DE1">
        <w:rPr>
          <w:rFonts w:ascii="Times New Roman" w:eastAsia="Calibri" w:hAnsi="Times New Roman" w:cs="Times New Roman"/>
          <w:b/>
          <w:bCs/>
          <w:kern w:val="0"/>
          <w:lang w:bidi="bn-BD"/>
          <w14:ligatures w14:val="none"/>
        </w:rPr>
        <w:t>5</w:t>
      </w:r>
      <w:r w:rsidRPr="00D87DE1">
        <w:rPr>
          <w:rFonts w:ascii="Times New Roman" w:eastAsia="Calibri" w:hAnsi="Times New Roman" w:cs="Times New Roman"/>
          <w:b/>
          <w:bCs/>
          <w:kern w:val="0"/>
          <w:lang w:bidi="bn-BD"/>
          <w14:ligatures w14:val="none"/>
        </w:rPr>
        <w:t>: Association between Zinc deficiency and low birth weight neonates among the study participants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99"/>
        <w:gridCol w:w="2111"/>
        <w:gridCol w:w="2082"/>
      </w:tblGrid>
      <w:tr w:rsidR="00F95DBF" w:rsidRPr="00D87DE1" w14:paraId="5D943F1B" w14:textId="77777777" w:rsidTr="00A65718">
        <w:trPr>
          <w:trHeight w:val="947"/>
        </w:trPr>
        <w:tc>
          <w:tcPr>
            <w:tcW w:w="2031" w:type="dxa"/>
            <w:shd w:val="clear" w:color="auto" w:fill="DAE9F7" w:themeFill="text2" w:themeFillTint="1A"/>
            <w:vAlign w:val="center"/>
          </w:tcPr>
          <w:p w14:paraId="7863AF0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Zinc deficiency</w:t>
            </w:r>
          </w:p>
          <w:p w14:paraId="233E794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(&lt;60</w:t>
            </w:r>
            <w:r w:rsidRPr="00D87DE1">
              <w:rPr>
                <w:rFonts w:ascii="Times New Roman" w:eastAsia="Calibri" w:hAnsi="Times New Roman" w:cs="Times New Roman"/>
                <w:b/>
                <w:bCs/>
                <w14:ligatures w14:val="none"/>
              </w:rPr>
              <w:t xml:space="preserve"> µg/dL)</w:t>
            </w:r>
          </w:p>
        </w:tc>
        <w:tc>
          <w:tcPr>
            <w:tcW w:w="2099" w:type="dxa"/>
            <w:shd w:val="clear" w:color="auto" w:fill="DAE9F7" w:themeFill="text2" w:themeFillTint="1A"/>
            <w:vAlign w:val="center"/>
          </w:tcPr>
          <w:p w14:paraId="2EC0968E"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2D5C8AA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5240AE1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111" w:type="dxa"/>
            <w:shd w:val="clear" w:color="auto" w:fill="DAE9F7" w:themeFill="text2" w:themeFillTint="1A"/>
            <w:vAlign w:val="center"/>
          </w:tcPr>
          <w:p w14:paraId="16639EB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06CDB891"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1D2E487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082" w:type="dxa"/>
            <w:shd w:val="clear" w:color="auto" w:fill="DAE9F7" w:themeFill="text2" w:themeFillTint="1A"/>
            <w:vAlign w:val="center"/>
          </w:tcPr>
          <w:p w14:paraId="139F33D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p value</w:t>
            </w:r>
          </w:p>
        </w:tc>
      </w:tr>
      <w:tr w:rsidR="00F95DBF" w:rsidRPr="00D87DE1" w14:paraId="63249EAF" w14:textId="77777777" w:rsidTr="00936242">
        <w:trPr>
          <w:trHeight w:val="947"/>
        </w:trPr>
        <w:tc>
          <w:tcPr>
            <w:tcW w:w="2031" w:type="dxa"/>
            <w:vAlign w:val="center"/>
          </w:tcPr>
          <w:p w14:paraId="1B45C8A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Yes</w:t>
            </w:r>
          </w:p>
        </w:tc>
        <w:tc>
          <w:tcPr>
            <w:tcW w:w="2099" w:type="dxa"/>
            <w:vAlign w:val="center"/>
          </w:tcPr>
          <w:p w14:paraId="5F2F59F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47 (72.3)</w:t>
            </w:r>
          </w:p>
        </w:tc>
        <w:tc>
          <w:tcPr>
            <w:tcW w:w="2111" w:type="dxa"/>
            <w:vAlign w:val="center"/>
          </w:tcPr>
          <w:p w14:paraId="369BA53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16 (24.6)</w:t>
            </w:r>
          </w:p>
        </w:tc>
        <w:tc>
          <w:tcPr>
            <w:tcW w:w="2082" w:type="dxa"/>
            <w:vMerge w:val="restart"/>
            <w:vAlign w:val="center"/>
          </w:tcPr>
          <w:p w14:paraId="0C1DD6D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p w14:paraId="6FC7E83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&lt;0.001*</w:t>
            </w:r>
          </w:p>
        </w:tc>
      </w:tr>
      <w:tr w:rsidR="00F95DBF" w:rsidRPr="00D87DE1" w14:paraId="2389D7AA" w14:textId="77777777" w:rsidTr="00936242">
        <w:trPr>
          <w:trHeight w:val="947"/>
        </w:trPr>
        <w:tc>
          <w:tcPr>
            <w:tcW w:w="2031" w:type="dxa"/>
            <w:vAlign w:val="center"/>
          </w:tcPr>
          <w:p w14:paraId="0EE8809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No</w:t>
            </w:r>
          </w:p>
        </w:tc>
        <w:tc>
          <w:tcPr>
            <w:tcW w:w="2099" w:type="dxa"/>
            <w:vAlign w:val="center"/>
          </w:tcPr>
          <w:p w14:paraId="089A9CC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18 (27.7)</w:t>
            </w:r>
          </w:p>
        </w:tc>
        <w:tc>
          <w:tcPr>
            <w:tcW w:w="2111" w:type="dxa"/>
            <w:vAlign w:val="center"/>
          </w:tcPr>
          <w:p w14:paraId="2E7CD89B"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49 (75.4)</w:t>
            </w:r>
          </w:p>
        </w:tc>
        <w:tc>
          <w:tcPr>
            <w:tcW w:w="2082" w:type="dxa"/>
            <w:vMerge/>
            <w:vAlign w:val="center"/>
          </w:tcPr>
          <w:p w14:paraId="068E7E2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tc>
      </w:tr>
    </w:tbl>
    <w:p w14:paraId="7A234B27" w14:textId="77777777" w:rsidR="00F95DBF" w:rsidRPr="00610E08"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Case: Mothers of neonates with low birth weight (&lt;2500 gm)</w:t>
      </w:r>
    </w:p>
    <w:p w14:paraId="3707126D" w14:textId="77777777" w:rsidR="00F95DBF" w:rsidRPr="00610E08"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Control: Mothers of neonates with normal weight (≥2500 gm)</w:t>
      </w:r>
    </w:p>
    <w:p w14:paraId="255AB1CC" w14:textId="77777777" w:rsidR="00F95DBF" w:rsidRPr="00610E08"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p value was determined by chi square test*</w:t>
      </w:r>
    </w:p>
    <w:p w14:paraId="53B7C23F" w14:textId="77777777" w:rsidR="00EC0AE9" w:rsidRPr="00D87DE1" w:rsidRDefault="00EC0AE9" w:rsidP="00E35803">
      <w:pPr>
        <w:autoSpaceDE w:val="0"/>
        <w:autoSpaceDN w:val="0"/>
        <w:adjustRightInd w:val="0"/>
        <w:spacing w:after="0" w:line="360" w:lineRule="auto"/>
        <w:rPr>
          <w:rFonts w:ascii="Times New Roman" w:eastAsia="Calibri" w:hAnsi="Times New Roman" w:cs="Times New Roman"/>
          <w:kern w:val="0"/>
          <w:lang w:bidi="bn-BD"/>
          <w14:ligatures w14:val="none"/>
        </w:rPr>
      </w:pPr>
    </w:p>
    <w:p w14:paraId="23639C8D" w14:textId="45AB325C" w:rsidR="00F95DBF" w:rsidRPr="00D87DE1" w:rsidRDefault="00EC0AE9"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A positive correlation was observed between maternal serum zinc level and neonatal birth weight, with a correlation coefficient (r) of 0.551 (p&lt;.001).</w:t>
      </w:r>
    </w:p>
    <w:p w14:paraId="1A1DBF6F" w14:textId="4DC4BAC5" w:rsidR="00F95DBF" w:rsidRPr="00D87DE1"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D87DE1">
        <w:rPr>
          <w:rFonts w:ascii="Times New Roman" w:eastAsia="Calibri" w:hAnsi="Times New Roman" w:cs="Times New Roman"/>
          <w:noProof/>
          <w:kern w:val="0"/>
          <w14:ligatures w14:val="none"/>
        </w:rPr>
        <w:lastRenderedPageBreak/>
        <w:drawing>
          <wp:inline distT="0" distB="0" distL="0" distR="0" wp14:anchorId="2EFF7AFB" wp14:editId="648141C3">
            <wp:extent cx="5160645" cy="3991610"/>
            <wp:effectExtent l="0" t="0" r="1905" b="0"/>
            <wp:docPr id="22382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0645" cy="3991610"/>
                    </a:xfrm>
                    <a:prstGeom prst="rect">
                      <a:avLst/>
                    </a:prstGeom>
                    <a:noFill/>
                    <a:ln>
                      <a:noFill/>
                    </a:ln>
                  </pic:spPr>
                </pic:pic>
              </a:graphicData>
            </a:graphic>
          </wp:inline>
        </w:drawing>
      </w:r>
    </w:p>
    <w:p w14:paraId="0245CD69" w14:textId="669964CD"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Figure-1: Scatter plot diagram showing correlation between maternal serum zinc level and neonatal birth weight (n=130)</w:t>
      </w:r>
    </w:p>
    <w:p w14:paraId="06BF4D0F"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bookmarkStart w:id="4" w:name="_Hlk141778929"/>
    </w:p>
    <w:p w14:paraId="16AA299F" w14:textId="5B79AD51"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 xml:space="preserve">Discussion </w:t>
      </w:r>
    </w:p>
    <w:p w14:paraId="6AF91533" w14:textId="34DD6A45"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In the present study, the mean maternal age in the case group was significantly higher than that of the control group. Most of the mothers delivering low birth weight neonates were within the 31–35 years age range, whereas the control group was largely concentrated in the 21–25 years range. This finding aligns with previous studies that identified advanced maternal age as a risk factor for adverse pregnancy outcomes, including low birth weight. For instance, a study conducted reported that mothers above 30 years were more likely to deliver low birth weight babies compared to younger mothers. </w:t>
      </w:r>
      <w:r w:rsidR="00EC0AE9" w:rsidRPr="00D87DE1">
        <w:rPr>
          <w:rFonts w:ascii="Times New Roman" w:eastAsia="Calibri" w:hAnsi="Times New Roman" w:cs="Times New Roman"/>
          <w:kern w:val="0"/>
          <w:vertAlign w:val="superscript"/>
          <w:lang w:bidi="bn-BD"/>
          <w14:ligatures w14:val="none"/>
        </w:rPr>
        <w:t xml:space="preserve">10 </w:t>
      </w:r>
      <w:r w:rsidRPr="00D87DE1">
        <w:rPr>
          <w:rFonts w:ascii="Times New Roman" w:eastAsia="Calibri" w:hAnsi="Times New Roman" w:cs="Times New Roman"/>
          <w:kern w:val="0"/>
          <w:lang w:bidi="bn-BD"/>
          <w14:ligatures w14:val="none"/>
        </w:rPr>
        <w:t>Similarly, research found that advanced maternal age is associated with reduced placental efficiency and increased risk of intrauterine growth restriction, which may explain the higher prevalence of low birth weight in older mothers observed in the present study.</w:t>
      </w:r>
      <w:r w:rsidR="00EC0AE9" w:rsidRPr="00D87DE1">
        <w:rPr>
          <w:rFonts w:ascii="Times New Roman" w:eastAsia="Calibri" w:hAnsi="Times New Roman" w:cs="Times New Roman"/>
          <w:kern w:val="0"/>
          <w:vertAlign w:val="superscript"/>
          <w:lang w:bidi="bn-BD"/>
          <w14:ligatures w14:val="none"/>
        </w:rPr>
        <w:t>11</w:t>
      </w:r>
    </w:p>
    <w:p w14:paraId="70AF2775"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0A899CEE" w14:textId="594090A8"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With regard to parity, our results did not demonstrate a statistically significant association between parity and neonatal birth weight. Both cases and controls were distributed across primiparous and </w:t>
      </w:r>
      <w:r w:rsidRPr="00D87DE1">
        <w:rPr>
          <w:rFonts w:ascii="Times New Roman" w:eastAsia="Calibri" w:hAnsi="Times New Roman" w:cs="Times New Roman"/>
          <w:kern w:val="0"/>
          <w:lang w:bidi="bn-BD"/>
          <w14:ligatures w14:val="none"/>
        </w:rPr>
        <w:lastRenderedPageBreak/>
        <w:t xml:space="preserve">multiparous categories without meaningful differences. This observation is consistent with findings who reported that parity alone does not significantly influence birth weight when confounding factors such as maternal nutritional status and antenatal care are accounted for. </w:t>
      </w:r>
      <w:r w:rsidR="00EC0AE9" w:rsidRPr="00D87DE1">
        <w:rPr>
          <w:rFonts w:ascii="Times New Roman" w:eastAsia="Calibri" w:hAnsi="Times New Roman" w:cs="Times New Roman"/>
          <w:kern w:val="0"/>
          <w:vertAlign w:val="superscript"/>
          <w:lang w:bidi="bn-BD"/>
          <w14:ligatures w14:val="none"/>
        </w:rPr>
        <w:t>13</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In contrast, some studies, have suggested that primiparous women are at greater risk of delivering low birth weight infants, highlighting that the relationship between parity and neonatal outcomes may vary by population and contextual factors.</w:t>
      </w:r>
      <w:r w:rsidR="00EC0AE9" w:rsidRPr="00D87DE1">
        <w:rPr>
          <w:rFonts w:ascii="Times New Roman" w:eastAsia="Calibri" w:hAnsi="Times New Roman" w:cs="Times New Roman"/>
          <w:kern w:val="0"/>
          <w:vertAlign w:val="superscript"/>
          <w:lang w:bidi="bn-BD"/>
          <w14:ligatures w14:val="none"/>
        </w:rPr>
        <w:t>14</w:t>
      </w:r>
    </w:p>
    <w:p w14:paraId="5C561FD0"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6F0F6818" w14:textId="08237FFB"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Mode of delivery in the current study did not differ significantly between cases and controls, with vaginal delivery being the most common route in both groups. These results mirror those of who also reported no substantial difference in birth outcomes when stratified by vaginal versus cesarean section delivery.</w:t>
      </w:r>
      <w:r w:rsidR="00EC0AE9" w:rsidRPr="00D87DE1">
        <w:rPr>
          <w:rFonts w:ascii="Times New Roman" w:eastAsia="Calibri" w:hAnsi="Times New Roman" w:cs="Times New Roman"/>
          <w:kern w:val="0"/>
          <w:vertAlign w:val="superscript"/>
          <w:lang w:bidi="bn-BD"/>
          <w14:ligatures w14:val="none"/>
        </w:rPr>
        <w:t xml:space="preserve">15 </w:t>
      </w:r>
      <w:r w:rsidRPr="00D87DE1">
        <w:rPr>
          <w:rFonts w:ascii="Times New Roman" w:eastAsia="Calibri" w:hAnsi="Times New Roman" w:cs="Times New Roman"/>
          <w:kern w:val="0"/>
          <w:lang w:bidi="bn-BD"/>
          <w14:ligatures w14:val="none"/>
        </w:rPr>
        <w:t xml:space="preserve">It suggests that while obstetric complications may necessitate cesarean delivery, mode of delivery in itself does not directly determine neonatal birth weight. However, other literature such as a </w:t>
      </w:r>
      <w:proofErr w:type="gramStart"/>
      <w:r w:rsidRPr="00D87DE1">
        <w:rPr>
          <w:rFonts w:ascii="Times New Roman" w:eastAsia="Calibri" w:hAnsi="Times New Roman" w:cs="Times New Roman"/>
          <w:kern w:val="0"/>
          <w:lang w:bidi="bn-BD"/>
          <w14:ligatures w14:val="none"/>
        </w:rPr>
        <w:t>study notes</w:t>
      </w:r>
      <w:proofErr w:type="gramEnd"/>
      <w:r w:rsidRPr="00D87DE1">
        <w:rPr>
          <w:rFonts w:ascii="Times New Roman" w:eastAsia="Calibri" w:hAnsi="Times New Roman" w:cs="Times New Roman"/>
          <w:kern w:val="0"/>
          <w:lang w:bidi="bn-BD"/>
          <w14:ligatures w14:val="none"/>
        </w:rPr>
        <w:t xml:space="preserve"> that cesarean deliveries may sometimes be performed preemptively in high-risk pregnancies, which could indirectly increase the likelihood of </w:t>
      </w:r>
      <w:proofErr w:type="gramStart"/>
      <w:r w:rsidRPr="00D87DE1">
        <w:rPr>
          <w:rFonts w:ascii="Times New Roman" w:eastAsia="Calibri" w:hAnsi="Times New Roman" w:cs="Times New Roman"/>
          <w:kern w:val="0"/>
          <w:lang w:bidi="bn-BD"/>
          <w14:ligatures w14:val="none"/>
        </w:rPr>
        <w:t>low birth weight</w:t>
      </w:r>
      <w:proofErr w:type="gramEnd"/>
      <w:r w:rsidRPr="00D87DE1">
        <w:rPr>
          <w:rFonts w:ascii="Times New Roman" w:eastAsia="Calibri" w:hAnsi="Times New Roman" w:cs="Times New Roman"/>
          <w:kern w:val="0"/>
          <w:lang w:bidi="bn-BD"/>
          <w14:ligatures w14:val="none"/>
        </w:rPr>
        <w:t xml:space="preserve"> infants being born via this route.</w:t>
      </w:r>
      <w:r w:rsidR="00EC0AE9" w:rsidRPr="00D87DE1">
        <w:rPr>
          <w:rFonts w:ascii="Times New Roman" w:eastAsia="Calibri" w:hAnsi="Times New Roman" w:cs="Times New Roman"/>
          <w:kern w:val="0"/>
          <w:vertAlign w:val="superscript"/>
          <w:lang w:bidi="bn-BD"/>
          <w14:ligatures w14:val="none"/>
        </w:rPr>
        <w:t>15</w:t>
      </w:r>
    </w:p>
    <w:p w14:paraId="3D195263"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0F7A6893" w14:textId="6C3CC3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The anthropometric measurements of neonates in our study demonstrated highly significant differences between cases and controls. Infants of mothers in the case group had markedly lower crown-heel length, head circumference, and ponderal index. This finding is strongly supported by studies which reported that low birth weight neonates tend to have reduced linear growth and smaller head circumference compared to normal birth weight infants.</w:t>
      </w:r>
      <w:r w:rsidR="00EC0AE9" w:rsidRPr="00D87DE1">
        <w:rPr>
          <w:rFonts w:ascii="Times New Roman" w:eastAsia="Calibri" w:hAnsi="Times New Roman" w:cs="Times New Roman"/>
          <w:kern w:val="0"/>
          <w:vertAlign w:val="superscript"/>
          <w:lang w:bidi="bn-BD"/>
          <w14:ligatures w14:val="none"/>
        </w:rPr>
        <w:t>12-</w:t>
      </w:r>
      <w:proofErr w:type="gramStart"/>
      <w:r w:rsidR="00EC0AE9" w:rsidRPr="00D87DE1">
        <w:rPr>
          <w:rFonts w:ascii="Times New Roman" w:eastAsia="Calibri" w:hAnsi="Times New Roman" w:cs="Times New Roman"/>
          <w:kern w:val="0"/>
          <w:vertAlign w:val="superscript"/>
          <w:lang w:bidi="bn-BD"/>
          <w14:ligatures w14:val="none"/>
        </w:rPr>
        <w:t>13</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 xml:space="preserve"> These</w:t>
      </w:r>
      <w:proofErr w:type="gramEnd"/>
      <w:r w:rsidRPr="00D87DE1">
        <w:rPr>
          <w:rFonts w:ascii="Times New Roman" w:eastAsia="Calibri" w:hAnsi="Times New Roman" w:cs="Times New Roman"/>
          <w:kern w:val="0"/>
          <w:lang w:bidi="bn-BD"/>
          <w14:ligatures w14:val="none"/>
        </w:rPr>
        <w:t xml:space="preserve"> anthropometric parameters are key indicators of intrauterine growth, and their reduction among the cases in our study reinforces the clinical significance of low birth weight as a marker of impaired fetal development.</w:t>
      </w:r>
    </w:p>
    <w:p w14:paraId="660A8340"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3C5A22C4" w14:textId="4DA2BE40"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One of the most notable findings of this study is the strong association between maternal zinc deficiency and low birth weight. A significantly higher proportion of mothers in the case group (72.3%) were zinc deficient compared to the control group (24.6%). Moreover, a positive correlation was observed between maternal serum zinc levels and neonatal birth weight. This is consistent with the work who demonstrated that maternal zinc deficiency is an independent predictor of intrauterine growth restriction and low birth weight.</w:t>
      </w:r>
      <w:r w:rsidRPr="00D87DE1">
        <w:rPr>
          <w:rFonts w:ascii="Times New Roman" w:eastAsia="Calibri" w:hAnsi="Times New Roman" w:cs="Times New Roman"/>
          <w:kern w:val="0"/>
          <w:vertAlign w:val="superscript"/>
          <w:lang w:bidi="bn-BD"/>
          <w14:ligatures w14:val="none"/>
        </w:rPr>
        <w:t xml:space="preserve"> </w:t>
      </w:r>
      <w:r w:rsidR="00EC0AE9" w:rsidRPr="00D87DE1">
        <w:rPr>
          <w:rFonts w:ascii="Times New Roman" w:eastAsia="Calibri" w:hAnsi="Times New Roman" w:cs="Times New Roman"/>
          <w:kern w:val="0"/>
          <w:vertAlign w:val="superscript"/>
          <w:lang w:bidi="bn-BD"/>
          <w14:ligatures w14:val="none"/>
        </w:rPr>
        <w:t>9</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 xml:space="preserve">Similar findings were reported </w:t>
      </w:r>
      <w:r w:rsidRPr="00D87DE1">
        <w:rPr>
          <w:rFonts w:ascii="Times New Roman" w:eastAsia="Calibri" w:hAnsi="Times New Roman" w:cs="Times New Roman"/>
          <w:kern w:val="0"/>
          <w:lang w:bidi="bn-BD"/>
          <w14:ligatures w14:val="none"/>
        </w:rPr>
        <w:lastRenderedPageBreak/>
        <w:t xml:space="preserve">highlighting the biological role of zinc in DNA synthesis, cell division, and placental development. </w:t>
      </w:r>
      <w:r w:rsidR="00EC0AE9" w:rsidRPr="00D87DE1">
        <w:rPr>
          <w:rFonts w:ascii="Times New Roman" w:eastAsia="Calibri" w:hAnsi="Times New Roman" w:cs="Times New Roman"/>
          <w:kern w:val="0"/>
          <w:vertAlign w:val="superscript"/>
          <w:lang w:bidi="bn-BD"/>
          <w14:ligatures w14:val="none"/>
        </w:rPr>
        <w:t>14</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By contrast, some studies, including a randomized controlled trial reported no significant improvement in birth weight outcomes following zinc supplementation, suggesting that zinc deficiency may act synergistically with other micronutrient deficiencies and maternal health factors.</w:t>
      </w:r>
      <w:r w:rsidR="00EC0AE9" w:rsidRPr="00D87DE1">
        <w:rPr>
          <w:rFonts w:ascii="Times New Roman" w:eastAsia="Calibri" w:hAnsi="Times New Roman" w:cs="Times New Roman"/>
          <w:kern w:val="0"/>
          <w:vertAlign w:val="superscript"/>
          <w:lang w:bidi="bn-BD"/>
          <w14:ligatures w14:val="none"/>
        </w:rPr>
        <w:t>15</w:t>
      </w:r>
    </w:p>
    <w:p w14:paraId="68F47DFC"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6678B827" w14:textId="06922303"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Taken together, our results support the evidence that maternal age and zinc deficiency are significant determinants of low birth weight, whereas parity and mode of delivery did not show independent associations in this study. The strong positive correlation between maternal serum zinc levels and neonatal birth weight underscores the importance of addressing micronutrient deficiencies during pregnancy. These findings highlight the need for targeted nutritional interventions, particularly in high-risk populations, to improve maternal zinc status and thereby reduce the burden of low birth weight in resource-limited settings.</w:t>
      </w:r>
    </w:p>
    <w:p w14:paraId="554E3775"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1C66DEE4" w14:textId="4C63913E"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 xml:space="preserve">Conclusion </w:t>
      </w:r>
    </w:p>
    <w:p w14:paraId="6824BE08" w14:textId="77A724A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The findings of this study demonstrate a significant association between maternal zinc deficiency and the occurrence of low birth weight in term neonates, with zinc deficiency being markedly higher among mothers of </w:t>
      </w:r>
      <w:proofErr w:type="gramStart"/>
      <w:r w:rsidRPr="00D87DE1">
        <w:rPr>
          <w:rFonts w:ascii="Times New Roman" w:eastAsia="Calibri" w:hAnsi="Times New Roman" w:cs="Times New Roman"/>
          <w:kern w:val="0"/>
          <w:lang w:bidi="bn-BD"/>
          <w14:ligatures w14:val="none"/>
        </w:rPr>
        <w:t>low birth weight</w:t>
      </w:r>
      <w:proofErr w:type="gramEnd"/>
      <w:r w:rsidRPr="00D87DE1">
        <w:rPr>
          <w:rFonts w:ascii="Times New Roman" w:eastAsia="Calibri" w:hAnsi="Times New Roman" w:cs="Times New Roman"/>
          <w:kern w:val="0"/>
          <w:lang w:bidi="bn-BD"/>
          <w14:ligatures w14:val="none"/>
        </w:rPr>
        <w:t xml:space="preserve"> infants. Maternal age was also significantly higher in the case group, suggesting that advancing maternal age may contribute to adverse birth outcomes, while parity and mode of delivery showed no significant influence. Furthermore, neonates in the case group had significantly lower anthropometric measurements, including crown-heel length, head circumference, and ponderal index, compared to controls. Importantly, a positive correlation was observed between maternal serum zinc levels and neonatal birth weight, underscoring the critical role of adequate maternal micronutrient status in supporting optimal fetal growth. These results highlight the need for early screening and nutritional interventions during pregnancy to reduce the risk of low birth weight and its associated complications.</w:t>
      </w:r>
    </w:p>
    <w:p w14:paraId="4FC29A30" w14:textId="77777777"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p>
    <w:p w14:paraId="1F1C2056" w14:textId="73A2026A"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Reference:</w:t>
      </w:r>
    </w:p>
    <w:p w14:paraId="1E6C0348"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Britto RP, Florêncio TM, B.S., 2013. Influence of maternal height and weight on low birth weight: a cross- sectional study in poor communities of northeastern Brazil. </w:t>
      </w:r>
      <w:proofErr w:type="spellStart"/>
      <w:r w:rsidRPr="00D87DE1">
        <w:rPr>
          <w:rFonts w:ascii="Times New Roman" w:eastAsia="Calibri" w:hAnsi="Times New Roman" w:cs="Times New Roman"/>
          <w:kern w:val="0"/>
          <w:lang w:bidi="bn-BD"/>
          <w14:ligatures w14:val="none"/>
        </w:rPr>
        <w:t>PLoS</w:t>
      </w:r>
      <w:proofErr w:type="spellEnd"/>
      <w:r w:rsidRPr="00D87DE1">
        <w:rPr>
          <w:rFonts w:ascii="Times New Roman" w:eastAsia="Calibri" w:hAnsi="Times New Roman" w:cs="Times New Roman"/>
          <w:kern w:val="0"/>
          <w:lang w:bidi="bn-BD"/>
          <w14:ligatures w14:val="none"/>
        </w:rPr>
        <w:t xml:space="preserve"> One, 8(11), 1-8.</w:t>
      </w:r>
    </w:p>
    <w:p w14:paraId="30C6B24E"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lastRenderedPageBreak/>
        <w:t>Cedars, M., 2015. Childhood implications of parental aging. Fertil Steril., 103(6), 1379–80.</w:t>
      </w:r>
    </w:p>
    <w:p w14:paraId="51B3294F"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Chiudzu</w:t>
      </w:r>
      <w:proofErr w:type="spellEnd"/>
      <w:r w:rsidRPr="00D87DE1">
        <w:rPr>
          <w:rFonts w:ascii="Times New Roman" w:eastAsia="Calibri" w:hAnsi="Times New Roman" w:cs="Times New Roman"/>
          <w:kern w:val="0"/>
          <w:lang w:bidi="bn-BD"/>
          <w14:ligatures w14:val="none"/>
        </w:rPr>
        <w:t>, G., Choko, A.T., Maluwa, A., Huber, S. &amp; Odland, J., 2020. Maternal serum concentrations of selenium, copper, and zinc during pregnancy are associated with risk of spontaneous preterm birth: a case-control study from Malawi. Journal of Pregnancy, 2020(1), 1-7.</w:t>
      </w:r>
    </w:p>
    <w:p w14:paraId="6144A6C5"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Christian, P., </w:t>
      </w:r>
      <w:proofErr w:type="spellStart"/>
      <w:r w:rsidRPr="00D87DE1">
        <w:rPr>
          <w:rFonts w:ascii="Times New Roman" w:eastAsia="Calibri" w:hAnsi="Times New Roman" w:cs="Times New Roman"/>
          <w:kern w:val="0"/>
          <w:lang w:bidi="bn-BD"/>
          <w14:ligatures w14:val="none"/>
        </w:rPr>
        <w:t>Khatry</w:t>
      </w:r>
      <w:proofErr w:type="spellEnd"/>
      <w:r w:rsidRPr="00D87DE1">
        <w:rPr>
          <w:rFonts w:ascii="Times New Roman" w:eastAsia="Calibri" w:hAnsi="Times New Roman" w:cs="Times New Roman"/>
          <w:kern w:val="0"/>
          <w:lang w:bidi="bn-BD"/>
          <w14:ligatures w14:val="none"/>
        </w:rPr>
        <w:t xml:space="preserve">, S.K., Katz, J., Pradhan, E.K., LeClerq, S.C., Shrestha, S.R., et al., 2003. Effects of alternative maternal micronutrient supplements on low birth weight in rural </w:t>
      </w:r>
      <w:proofErr w:type="spellStart"/>
      <w:r w:rsidRPr="00D87DE1">
        <w:rPr>
          <w:rFonts w:ascii="Times New Roman" w:eastAsia="Calibri" w:hAnsi="Times New Roman" w:cs="Times New Roman"/>
          <w:kern w:val="0"/>
          <w:lang w:bidi="bn-BD"/>
          <w14:ligatures w14:val="none"/>
        </w:rPr>
        <w:t>nepal</w:t>
      </w:r>
      <w:proofErr w:type="spellEnd"/>
      <w:r w:rsidRPr="00D87DE1">
        <w:rPr>
          <w:rFonts w:ascii="Times New Roman" w:eastAsia="Calibri" w:hAnsi="Times New Roman" w:cs="Times New Roman"/>
          <w:kern w:val="0"/>
          <w:lang w:bidi="bn-BD"/>
          <w14:ligatures w14:val="none"/>
        </w:rPr>
        <w:t xml:space="preserve">: Double blind </w:t>
      </w:r>
      <w:proofErr w:type="spellStart"/>
      <w:r w:rsidRPr="00D87DE1">
        <w:rPr>
          <w:rFonts w:ascii="Times New Roman" w:eastAsia="Calibri" w:hAnsi="Times New Roman" w:cs="Times New Roman"/>
          <w:kern w:val="0"/>
          <w:lang w:bidi="bn-BD"/>
          <w14:ligatures w14:val="none"/>
        </w:rPr>
        <w:t>randomised</w:t>
      </w:r>
      <w:proofErr w:type="spellEnd"/>
      <w:r w:rsidRPr="00D87DE1">
        <w:rPr>
          <w:rFonts w:ascii="Times New Roman" w:eastAsia="Calibri" w:hAnsi="Times New Roman" w:cs="Times New Roman"/>
          <w:kern w:val="0"/>
          <w:lang w:bidi="bn-BD"/>
          <w14:ligatures w14:val="none"/>
        </w:rPr>
        <w:t xml:space="preserve"> community trial. British Medical Journal, 326(7389), 571–574.</w:t>
      </w:r>
    </w:p>
    <w:p w14:paraId="21BEC31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Davoudi-</w:t>
      </w:r>
      <w:proofErr w:type="spellStart"/>
      <w:r w:rsidRPr="00D87DE1">
        <w:rPr>
          <w:rFonts w:ascii="Times New Roman" w:eastAsia="Calibri" w:hAnsi="Times New Roman" w:cs="Times New Roman"/>
          <w:kern w:val="0"/>
          <w:lang w:bidi="bn-BD"/>
          <w14:ligatures w14:val="none"/>
        </w:rPr>
        <w:t>Kiakalayeh</w:t>
      </w:r>
      <w:proofErr w:type="spellEnd"/>
      <w:r w:rsidRPr="00D87DE1">
        <w:rPr>
          <w:rFonts w:ascii="Times New Roman" w:eastAsia="Calibri" w:hAnsi="Times New Roman" w:cs="Times New Roman"/>
          <w:kern w:val="0"/>
          <w:lang w:bidi="bn-BD"/>
          <w14:ligatures w14:val="none"/>
        </w:rPr>
        <w:t xml:space="preserve">, A., Mohammadi, R., </w:t>
      </w:r>
      <w:proofErr w:type="spellStart"/>
      <w:r w:rsidRPr="00D87DE1">
        <w:rPr>
          <w:rFonts w:ascii="Times New Roman" w:eastAsia="Calibri" w:hAnsi="Times New Roman" w:cs="Times New Roman"/>
          <w:kern w:val="0"/>
          <w:lang w:bidi="bn-BD"/>
          <w14:ligatures w14:val="none"/>
        </w:rPr>
        <w:t>Pourfathollah</w:t>
      </w:r>
      <w:proofErr w:type="spellEnd"/>
      <w:r w:rsidRPr="00D87DE1">
        <w:rPr>
          <w:rFonts w:ascii="Times New Roman" w:eastAsia="Calibri" w:hAnsi="Times New Roman" w:cs="Times New Roman"/>
          <w:kern w:val="0"/>
          <w:lang w:bidi="bn-BD"/>
          <w14:ligatures w14:val="none"/>
        </w:rPr>
        <w:t xml:space="preserve">, A.A., </w:t>
      </w:r>
      <w:proofErr w:type="spellStart"/>
      <w:r w:rsidRPr="00D87DE1">
        <w:rPr>
          <w:rFonts w:ascii="Times New Roman" w:eastAsia="Calibri" w:hAnsi="Times New Roman" w:cs="Times New Roman"/>
          <w:kern w:val="0"/>
          <w:lang w:bidi="bn-BD"/>
          <w14:ligatures w14:val="none"/>
        </w:rPr>
        <w:t>Siery</w:t>
      </w:r>
      <w:proofErr w:type="spellEnd"/>
      <w:r w:rsidRPr="00D87DE1">
        <w:rPr>
          <w:rFonts w:ascii="Times New Roman" w:eastAsia="Calibri" w:hAnsi="Times New Roman" w:cs="Times New Roman"/>
          <w:kern w:val="0"/>
          <w:lang w:bidi="bn-BD"/>
          <w14:ligatures w14:val="none"/>
        </w:rPr>
        <w:t>, Z. &amp; Davoudi-</w:t>
      </w:r>
      <w:proofErr w:type="spellStart"/>
      <w:r w:rsidRPr="00D87DE1">
        <w:rPr>
          <w:rFonts w:ascii="Times New Roman" w:eastAsia="Calibri" w:hAnsi="Times New Roman" w:cs="Times New Roman"/>
          <w:kern w:val="0"/>
          <w:lang w:bidi="bn-BD"/>
          <w14:ligatures w14:val="none"/>
        </w:rPr>
        <w:t>Kiakalayeh</w:t>
      </w:r>
      <w:proofErr w:type="spellEnd"/>
      <w:r w:rsidRPr="00D87DE1">
        <w:rPr>
          <w:rFonts w:ascii="Times New Roman" w:eastAsia="Calibri" w:hAnsi="Times New Roman" w:cs="Times New Roman"/>
          <w:kern w:val="0"/>
          <w:lang w:bidi="bn-BD"/>
          <w14:ligatures w14:val="none"/>
        </w:rPr>
        <w:t>, S., 2017. Alloimmunization in thalassemia patients: New insight for healthcare. International journal of preventive medicine, 8(1), 101.</w:t>
      </w:r>
    </w:p>
    <w:p w14:paraId="2E4DFB14"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Doppalapudi </w:t>
      </w:r>
      <w:proofErr w:type="spellStart"/>
      <w:r w:rsidRPr="00D87DE1">
        <w:rPr>
          <w:rFonts w:ascii="Times New Roman" w:eastAsia="Calibri" w:hAnsi="Times New Roman" w:cs="Times New Roman"/>
          <w:kern w:val="0"/>
          <w:lang w:bidi="bn-BD"/>
          <w14:ligatures w14:val="none"/>
        </w:rPr>
        <w:t>Anveh</w:t>
      </w:r>
      <w:proofErr w:type="spellEnd"/>
      <w:r w:rsidRPr="00D87DE1">
        <w:rPr>
          <w:rFonts w:ascii="Times New Roman" w:eastAsia="Calibri" w:hAnsi="Times New Roman" w:cs="Times New Roman"/>
          <w:kern w:val="0"/>
          <w:lang w:bidi="bn-BD"/>
          <w14:ligatures w14:val="none"/>
        </w:rPr>
        <w:t xml:space="preserve">, </w:t>
      </w:r>
      <w:proofErr w:type="spellStart"/>
      <w:r w:rsidRPr="00D87DE1">
        <w:rPr>
          <w:rFonts w:ascii="Times New Roman" w:eastAsia="Calibri" w:hAnsi="Times New Roman" w:cs="Times New Roman"/>
          <w:kern w:val="0"/>
          <w:lang w:bidi="bn-BD"/>
          <w14:ligatures w14:val="none"/>
        </w:rPr>
        <w:t>Girih</w:t>
      </w:r>
      <w:proofErr w:type="spellEnd"/>
      <w:r w:rsidRPr="00D87DE1">
        <w:rPr>
          <w:rFonts w:ascii="Times New Roman" w:eastAsia="Calibri" w:hAnsi="Times New Roman" w:cs="Times New Roman"/>
          <w:kern w:val="0"/>
          <w:lang w:bidi="bn-BD"/>
          <w14:ligatures w14:val="none"/>
        </w:rPr>
        <w:t xml:space="preserve"> G Joag, </w:t>
      </w:r>
      <w:proofErr w:type="spellStart"/>
      <w:r w:rsidRPr="00D87DE1">
        <w:rPr>
          <w:rFonts w:ascii="Times New Roman" w:eastAsia="Calibri" w:hAnsi="Times New Roman" w:cs="Times New Roman"/>
          <w:kern w:val="0"/>
          <w:lang w:bidi="bn-BD"/>
          <w14:ligatures w14:val="none"/>
        </w:rPr>
        <w:t>hrehta</w:t>
      </w:r>
      <w:proofErr w:type="spellEnd"/>
      <w:r w:rsidRPr="00D87DE1">
        <w:rPr>
          <w:rFonts w:ascii="Times New Roman" w:eastAsia="Calibri" w:hAnsi="Times New Roman" w:cs="Times New Roman"/>
          <w:kern w:val="0"/>
          <w:lang w:bidi="bn-BD"/>
          <w14:ligatures w14:val="none"/>
        </w:rPr>
        <w:t xml:space="preserve"> BR, K Mahendranath, S.M., 2023. Study of Cord Blood Zinc Levels in Low and Normal Birth Weight Neonates and Correlate with Their Mother’s Serum Zinc Levels. Journal of Population Therapeutics and Clinical Pharmacology, 30(16), 78–83.</w:t>
      </w:r>
    </w:p>
    <w:p w14:paraId="00A605F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Dumrongwongsiri</w:t>
      </w:r>
      <w:proofErr w:type="spellEnd"/>
      <w:r w:rsidRPr="00D87DE1">
        <w:rPr>
          <w:rFonts w:ascii="Times New Roman" w:eastAsia="Calibri" w:hAnsi="Times New Roman" w:cs="Times New Roman"/>
          <w:kern w:val="0"/>
          <w:lang w:bidi="bn-BD"/>
          <w14:ligatures w14:val="none"/>
        </w:rPr>
        <w:t xml:space="preserve">, O., </w:t>
      </w:r>
      <w:proofErr w:type="spellStart"/>
      <w:r w:rsidRPr="00D87DE1">
        <w:rPr>
          <w:rFonts w:ascii="Times New Roman" w:eastAsia="Calibri" w:hAnsi="Times New Roman" w:cs="Times New Roman"/>
          <w:kern w:val="0"/>
          <w:lang w:bidi="bn-BD"/>
          <w14:ligatures w14:val="none"/>
        </w:rPr>
        <w:t>Winichagoon</w:t>
      </w:r>
      <w:proofErr w:type="spellEnd"/>
      <w:r w:rsidRPr="00D87DE1">
        <w:rPr>
          <w:rFonts w:ascii="Times New Roman" w:eastAsia="Calibri" w:hAnsi="Times New Roman" w:cs="Times New Roman"/>
          <w:kern w:val="0"/>
          <w:lang w:bidi="bn-BD"/>
          <w14:ligatures w14:val="none"/>
        </w:rPr>
        <w:t xml:space="preserve">, P., </w:t>
      </w:r>
      <w:proofErr w:type="spellStart"/>
      <w:r w:rsidRPr="00D87DE1">
        <w:rPr>
          <w:rFonts w:ascii="Times New Roman" w:eastAsia="Calibri" w:hAnsi="Times New Roman" w:cs="Times New Roman"/>
          <w:kern w:val="0"/>
          <w:lang w:bidi="bn-BD"/>
          <w14:ligatures w14:val="none"/>
        </w:rPr>
        <w:t>Chongviriyaphan</w:t>
      </w:r>
      <w:proofErr w:type="spellEnd"/>
      <w:r w:rsidRPr="00D87DE1">
        <w:rPr>
          <w:rFonts w:ascii="Times New Roman" w:eastAsia="Calibri" w:hAnsi="Times New Roman" w:cs="Times New Roman"/>
          <w:kern w:val="0"/>
          <w:lang w:bidi="bn-BD"/>
          <w14:ligatures w14:val="none"/>
        </w:rPr>
        <w:t xml:space="preserve">, N., </w:t>
      </w:r>
      <w:proofErr w:type="spellStart"/>
      <w:r w:rsidRPr="00D87DE1">
        <w:rPr>
          <w:rFonts w:ascii="Times New Roman" w:eastAsia="Calibri" w:hAnsi="Times New Roman" w:cs="Times New Roman"/>
          <w:kern w:val="0"/>
          <w:lang w:bidi="bn-BD"/>
          <w14:ligatures w14:val="none"/>
        </w:rPr>
        <w:t>Suthutvoravut</w:t>
      </w:r>
      <w:proofErr w:type="spellEnd"/>
      <w:r w:rsidRPr="00D87DE1">
        <w:rPr>
          <w:rFonts w:ascii="Times New Roman" w:eastAsia="Calibri" w:hAnsi="Times New Roman" w:cs="Times New Roman"/>
          <w:kern w:val="0"/>
          <w:lang w:bidi="bn-BD"/>
          <w14:ligatures w14:val="none"/>
        </w:rPr>
        <w:t xml:space="preserve">, U., Grote, V. &amp; </w:t>
      </w:r>
      <w:proofErr w:type="spellStart"/>
      <w:r w:rsidRPr="00D87DE1">
        <w:rPr>
          <w:rFonts w:ascii="Times New Roman" w:eastAsia="Calibri" w:hAnsi="Times New Roman" w:cs="Times New Roman"/>
          <w:kern w:val="0"/>
          <w:lang w:bidi="bn-BD"/>
          <w14:ligatures w14:val="none"/>
        </w:rPr>
        <w:t>Koletzko</w:t>
      </w:r>
      <w:proofErr w:type="spellEnd"/>
      <w:r w:rsidRPr="00D87DE1">
        <w:rPr>
          <w:rFonts w:ascii="Times New Roman" w:eastAsia="Calibri" w:hAnsi="Times New Roman" w:cs="Times New Roman"/>
          <w:kern w:val="0"/>
          <w:lang w:bidi="bn-BD"/>
          <w14:ligatures w14:val="none"/>
        </w:rPr>
        <w:t>, B., 2021. Effect of maternal nutritional status and mode of delivery on zinc and iron stores at birth. Nutrients, 13(3), 860.</w:t>
      </w:r>
    </w:p>
    <w:p w14:paraId="7C3E693A"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Eliyati</w:t>
      </w:r>
      <w:proofErr w:type="spellEnd"/>
      <w:r w:rsidRPr="00D87DE1">
        <w:rPr>
          <w:rFonts w:ascii="Times New Roman" w:eastAsia="Calibri" w:hAnsi="Times New Roman" w:cs="Times New Roman"/>
          <w:kern w:val="0"/>
          <w:lang w:bidi="bn-BD"/>
          <w14:ligatures w14:val="none"/>
        </w:rPr>
        <w:t xml:space="preserve"> N, Faruk A, </w:t>
      </w:r>
      <w:proofErr w:type="spellStart"/>
      <w:r w:rsidRPr="00D87DE1">
        <w:rPr>
          <w:rFonts w:ascii="Times New Roman" w:eastAsia="Calibri" w:hAnsi="Times New Roman" w:cs="Times New Roman"/>
          <w:kern w:val="0"/>
          <w:lang w:bidi="bn-BD"/>
          <w14:ligatures w14:val="none"/>
        </w:rPr>
        <w:t>Kresnawati</w:t>
      </w:r>
      <w:proofErr w:type="spellEnd"/>
      <w:r w:rsidRPr="00D87DE1">
        <w:rPr>
          <w:rFonts w:ascii="Times New Roman" w:eastAsia="Calibri" w:hAnsi="Times New Roman" w:cs="Times New Roman"/>
          <w:kern w:val="0"/>
          <w:lang w:bidi="bn-BD"/>
          <w14:ligatures w14:val="none"/>
        </w:rPr>
        <w:t xml:space="preserve"> ES, A.I., 2019. Support vector machines for classification of low birth weight in Indonesia. J </w:t>
      </w:r>
      <w:proofErr w:type="spellStart"/>
      <w:r w:rsidRPr="00D87DE1">
        <w:rPr>
          <w:rFonts w:ascii="Times New Roman" w:eastAsia="Calibri" w:hAnsi="Times New Roman" w:cs="Times New Roman"/>
          <w:kern w:val="0"/>
          <w:lang w:bidi="bn-BD"/>
          <w14:ligatures w14:val="none"/>
        </w:rPr>
        <w:t>Phy</w:t>
      </w:r>
      <w:proofErr w:type="spellEnd"/>
      <w:r w:rsidRPr="00D87DE1">
        <w:rPr>
          <w:rFonts w:ascii="Times New Roman" w:eastAsia="Calibri" w:hAnsi="Times New Roman" w:cs="Times New Roman"/>
          <w:kern w:val="0"/>
          <w:lang w:bidi="bn-BD"/>
          <w14:ligatures w14:val="none"/>
        </w:rPr>
        <w:t xml:space="preserve"> Conf Series., 1282(1), 1-8.</w:t>
      </w:r>
    </w:p>
    <w:p w14:paraId="0157DA4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Fall CH, Sachdev HS, Osmond C, Restrepo-Mendez MC, Victora C, Martorell R, Stein AD, Sinha S, Tandon N, A.L., 2015. Association between maternal age at childbirth and child and adult outcomes in the offspring: a prospective study in five low-income and middle-income countries (COHORTS collaboration). Lancet Glob Health, 3(7), 366-77.</w:t>
      </w:r>
    </w:p>
    <w:p w14:paraId="225C71CA"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Fayed AA, Wahabi H, Mamdouh H, Kotb R, E.S., 2017. Demographic profile and pregnancy outcomes of adolescents and older mothers in Saudi Arabia: analysis from Riyadh Mother (RAHMA) and Baby cohort study. BMJ Open, 7(9), 1-11.</w:t>
      </w:r>
    </w:p>
    <w:p w14:paraId="4F86102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Gardosi, J.O., 2005. Prematurity and fetal growth restriction. Early Human Development, 81(1), 43-49.</w:t>
      </w:r>
    </w:p>
    <w:p w14:paraId="6525746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lastRenderedPageBreak/>
        <w:t>He Z, Bishwajit G, Y.S., 2018. Prevalence of low birth weight and its association with maternal body weight status in selected countries in Africa: a cross- sectional study. BMJ Open, 8(8), 1-8.</w:t>
      </w:r>
    </w:p>
    <w:p w14:paraId="68EE79D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Islam </w:t>
      </w:r>
      <w:proofErr w:type="spellStart"/>
      <w:r w:rsidRPr="00D87DE1">
        <w:rPr>
          <w:rFonts w:ascii="Times New Roman" w:eastAsia="Calibri" w:hAnsi="Times New Roman" w:cs="Times New Roman"/>
          <w:kern w:val="0"/>
          <w:lang w:bidi="bn-BD"/>
          <w14:ligatures w14:val="none"/>
        </w:rPr>
        <w:t>Pollob</w:t>
      </w:r>
      <w:proofErr w:type="spellEnd"/>
      <w:r w:rsidRPr="00D87DE1">
        <w:rPr>
          <w:rFonts w:ascii="Times New Roman" w:eastAsia="Calibri" w:hAnsi="Times New Roman" w:cs="Times New Roman"/>
          <w:kern w:val="0"/>
          <w:lang w:bidi="bn-BD"/>
          <w14:ligatures w14:val="none"/>
        </w:rPr>
        <w:t xml:space="preserve">, S.M., Abedin, M.M., Islam, M.T., Islam, M.M. &amp; </w:t>
      </w:r>
      <w:proofErr w:type="spellStart"/>
      <w:r w:rsidRPr="00D87DE1">
        <w:rPr>
          <w:rFonts w:ascii="Times New Roman" w:eastAsia="Calibri" w:hAnsi="Times New Roman" w:cs="Times New Roman"/>
          <w:kern w:val="0"/>
          <w:lang w:bidi="bn-BD"/>
          <w14:ligatures w14:val="none"/>
        </w:rPr>
        <w:t>Maniruzzaman</w:t>
      </w:r>
      <w:proofErr w:type="spellEnd"/>
      <w:r w:rsidRPr="00D87DE1">
        <w:rPr>
          <w:rFonts w:ascii="Times New Roman" w:eastAsia="Calibri" w:hAnsi="Times New Roman" w:cs="Times New Roman"/>
          <w:kern w:val="0"/>
          <w:lang w:bidi="bn-BD"/>
          <w14:ligatures w14:val="none"/>
        </w:rPr>
        <w:t>, M., 2022. Predicting risks of low birth weight in Bangladesh with machine learning. PLOS ONE, 17(5), 1-12.</w:t>
      </w:r>
    </w:p>
    <w:p w14:paraId="1FC412D5"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Jaafar, Z.A.A., Salman, D.A. &amp; Obeid, R.Z., 2018. The role of maternal and fetal serum zinc level in low birth weight. Journal of Pharmaceutical Sciences and Research, 10(8), 2115–2118.</w:t>
      </w:r>
    </w:p>
    <w:p w14:paraId="401328EE"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Jamshed, S., Khan, F., Begum, A., Barkat Ali, B., Akram, Z. &amp; Ariff, M., 2020. Frequency of Low Birth Weight and its Relationship </w:t>
      </w:r>
      <w:proofErr w:type="gramStart"/>
      <w:r w:rsidRPr="00D87DE1">
        <w:rPr>
          <w:rFonts w:ascii="Times New Roman" w:eastAsia="Calibri" w:hAnsi="Times New Roman" w:cs="Times New Roman"/>
          <w:kern w:val="0"/>
          <w:lang w:bidi="bn-BD"/>
          <w14:ligatures w14:val="none"/>
        </w:rPr>
        <w:t>With</w:t>
      </w:r>
      <w:proofErr w:type="gramEnd"/>
      <w:r w:rsidRPr="00D87DE1">
        <w:rPr>
          <w:rFonts w:ascii="Times New Roman" w:eastAsia="Calibri" w:hAnsi="Times New Roman" w:cs="Times New Roman"/>
          <w:kern w:val="0"/>
          <w:lang w:bidi="bn-BD"/>
          <w14:ligatures w14:val="none"/>
        </w:rPr>
        <w:t xml:space="preserve"> Maternal Nutritional and Dietary Factors: A Cross-Sectional Study. Cureus, 12(6), 6–13.</w:t>
      </w:r>
    </w:p>
    <w:p w14:paraId="5323EAA4" w14:textId="77777777"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bookmarkEnd w:id="4"/>
    <w:p w14:paraId="2EFFC904" w14:textId="77777777" w:rsidR="00F95DBF" w:rsidRPr="00D87DE1" w:rsidRDefault="00F95DBF" w:rsidP="00E35803">
      <w:pPr>
        <w:spacing w:line="360" w:lineRule="auto"/>
        <w:rPr>
          <w:rFonts w:ascii="Times New Roman" w:hAnsi="Times New Roman" w:cs="Times New Roman"/>
        </w:rPr>
      </w:pPr>
    </w:p>
    <w:sectPr w:rsidR="00F95DBF" w:rsidRPr="00D87D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7738" w14:textId="77777777" w:rsidR="00D563CD" w:rsidRDefault="00D563CD" w:rsidP="00BC1D2E">
      <w:pPr>
        <w:spacing w:after="0" w:line="240" w:lineRule="auto"/>
      </w:pPr>
      <w:r>
        <w:separator/>
      </w:r>
    </w:p>
  </w:endnote>
  <w:endnote w:type="continuationSeparator" w:id="0">
    <w:p w14:paraId="3EE20691" w14:textId="77777777" w:rsidR="00D563CD" w:rsidRDefault="00D563CD" w:rsidP="00BC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A6BB" w14:textId="77777777" w:rsidR="00BC1D2E" w:rsidRDefault="00BC1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FE4" w14:textId="77777777" w:rsidR="00BC1D2E" w:rsidRDefault="00BC1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F5C1" w14:textId="77777777" w:rsidR="00BC1D2E" w:rsidRDefault="00B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5EFB" w14:textId="77777777" w:rsidR="00D563CD" w:rsidRDefault="00D563CD" w:rsidP="00BC1D2E">
      <w:pPr>
        <w:spacing w:after="0" w:line="240" w:lineRule="auto"/>
      </w:pPr>
      <w:r>
        <w:separator/>
      </w:r>
    </w:p>
  </w:footnote>
  <w:footnote w:type="continuationSeparator" w:id="0">
    <w:p w14:paraId="7064A1E3" w14:textId="77777777" w:rsidR="00D563CD" w:rsidRDefault="00D563CD" w:rsidP="00BC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B59F" w14:textId="0BBE3D4F" w:rsidR="00BC1D2E" w:rsidRDefault="00ED09ED">
    <w:pPr>
      <w:pStyle w:val="Header"/>
    </w:pPr>
    <w:r>
      <w:rPr>
        <w:noProof/>
      </w:rPr>
      <w:pict w14:anchorId="71EC2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F77F" w14:textId="0ADAB1B7" w:rsidR="00BC1D2E" w:rsidRDefault="00ED09ED">
    <w:pPr>
      <w:pStyle w:val="Header"/>
    </w:pPr>
    <w:r>
      <w:rPr>
        <w:noProof/>
      </w:rPr>
      <w:pict w14:anchorId="21C48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06A4" w14:textId="3340C742" w:rsidR="00BC1D2E" w:rsidRDefault="00ED09ED">
    <w:pPr>
      <w:pStyle w:val="Header"/>
    </w:pPr>
    <w:r>
      <w:rPr>
        <w:noProof/>
      </w:rPr>
      <w:pict w14:anchorId="08294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D46"/>
    <w:multiLevelType w:val="hybridMultilevel"/>
    <w:tmpl w:val="DF8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6335A"/>
    <w:multiLevelType w:val="hybridMultilevel"/>
    <w:tmpl w:val="A8B8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B7B21"/>
    <w:multiLevelType w:val="hybridMultilevel"/>
    <w:tmpl w:val="C252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581189">
    <w:abstractNumId w:val="2"/>
  </w:num>
  <w:num w:numId="2" w16cid:durableId="746613497">
    <w:abstractNumId w:val="1"/>
  </w:num>
  <w:num w:numId="3" w16cid:durableId="157026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BF"/>
    <w:rsid w:val="000A6977"/>
    <w:rsid w:val="000D5C1A"/>
    <w:rsid w:val="001D1A0D"/>
    <w:rsid w:val="002B6F37"/>
    <w:rsid w:val="0035274F"/>
    <w:rsid w:val="003B3F0B"/>
    <w:rsid w:val="00416DC1"/>
    <w:rsid w:val="005419BA"/>
    <w:rsid w:val="00544C2A"/>
    <w:rsid w:val="0059062A"/>
    <w:rsid w:val="00602FFE"/>
    <w:rsid w:val="00610E08"/>
    <w:rsid w:val="00662485"/>
    <w:rsid w:val="00680250"/>
    <w:rsid w:val="00742D68"/>
    <w:rsid w:val="0083186D"/>
    <w:rsid w:val="00854A21"/>
    <w:rsid w:val="008D3380"/>
    <w:rsid w:val="009242D8"/>
    <w:rsid w:val="00931E15"/>
    <w:rsid w:val="00936242"/>
    <w:rsid w:val="009526F0"/>
    <w:rsid w:val="00A11215"/>
    <w:rsid w:val="00A65718"/>
    <w:rsid w:val="00AC5788"/>
    <w:rsid w:val="00B67541"/>
    <w:rsid w:val="00BC1D2E"/>
    <w:rsid w:val="00C71E4D"/>
    <w:rsid w:val="00C8267D"/>
    <w:rsid w:val="00CB6FA1"/>
    <w:rsid w:val="00D563CD"/>
    <w:rsid w:val="00D87DE1"/>
    <w:rsid w:val="00E35803"/>
    <w:rsid w:val="00E4221C"/>
    <w:rsid w:val="00EA3DFE"/>
    <w:rsid w:val="00EC0AE9"/>
    <w:rsid w:val="00ED09ED"/>
    <w:rsid w:val="00EE6865"/>
    <w:rsid w:val="00F737E6"/>
    <w:rsid w:val="00F9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3E83E"/>
  <w15:chartTrackingRefBased/>
  <w15:docId w15:val="{46074391-483C-49A2-A311-2FED9F63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DBF"/>
    <w:rPr>
      <w:rFonts w:eastAsiaTheme="majorEastAsia" w:cstheme="majorBidi"/>
      <w:color w:val="272727" w:themeColor="text1" w:themeTint="D8"/>
    </w:rPr>
  </w:style>
  <w:style w:type="paragraph" w:styleId="Title">
    <w:name w:val="Title"/>
    <w:basedOn w:val="Normal"/>
    <w:next w:val="Normal"/>
    <w:link w:val="TitleChar"/>
    <w:uiPriority w:val="10"/>
    <w:qFormat/>
    <w:rsid w:val="00F9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DBF"/>
    <w:pPr>
      <w:spacing w:before="160"/>
      <w:jc w:val="center"/>
    </w:pPr>
    <w:rPr>
      <w:i/>
      <w:iCs/>
      <w:color w:val="404040" w:themeColor="text1" w:themeTint="BF"/>
    </w:rPr>
  </w:style>
  <w:style w:type="character" w:customStyle="1" w:styleId="QuoteChar">
    <w:name w:val="Quote Char"/>
    <w:basedOn w:val="DefaultParagraphFont"/>
    <w:link w:val="Quote"/>
    <w:uiPriority w:val="29"/>
    <w:rsid w:val="00F95DBF"/>
    <w:rPr>
      <w:i/>
      <w:iCs/>
      <w:color w:val="404040" w:themeColor="text1" w:themeTint="BF"/>
    </w:rPr>
  </w:style>
  <w:style w:type="paragraph" w:styleId="ListParagraph">
    <w:name w:val="List Paragraph"/>
    <w:basedOn w:val="Normal"/>
    <w:uiPriority w:val="34"/>
    <w:qFormat/>
    <w:rsid w:val="00F95DBF"/>
    <w:pPr>
      <w:ind w:left="720"/>
      <w:contextualSpacing/>
    </w:pPr>
  </w:style>
  <w:style w:type="character" w:styleId="IntenseEmphasis">
    <w:name w:val="Intense Emphasis"/>
    <w:basedOn w:val="DefaultParagraphFont"/>
    <w:uiPriority w:val="21"/>
    <w:qFormat/>
    <w:rsid w:val="00F95DBF"/>
    <w:rPr>
      <w:i/>
      <w:iCs/>
      <w:color w:val="0F4761" w:themeColor="accent1" w:themeShade="BF"/>
    </w:rPr>
  </w:style>
  <w:style w:type="paragraph" w:styleId="IntenseQuote">
    <w:name w:val="Intense Quote"/>
    <w:basedOn w:val="Normal"/>
    <w:next w:val="Normal"/>
    <w:link w:val="IntenseQuoteChar"/>
    <w:uiPriority w:val="30"/>
    <w:qFormat/>
    <w:rsid w:val="00F9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DBF"/>
    <w:rPr>
      <w:i/>
      <w:iCs/>
      <w:color w:val="0F4761" w:themeColor="accent1" w:themeShade="BF"/>
    </w:rPr>
  </w:style>
  <w:style w:type="character" w:styleId="IntenseReference">
    <w:name w:val="Intense Reference"/>
    <w:basedOn w:val="DefaultParagraphFont"/>
    <w:uiPriority w:val="32"/>
    <w:qFormat/>
    <w:rsid w:val="00F95DBF"/>
    <w:rPr>
      <w:b/>
      <w:bCs/>
      <w:smallCaps/>
      <w:color w:val="0F4761" w:themeColor="accent1" w:themeShade="BF"/>
      <w:spacing w:val="5"/>
    </w:rPr>
  </w:style>
  <w:style w:type="paragraph" w:styleId="Header">
    <w:name w:val="header"/>
    <w:basedOn w:val="Normal"/>
    <w:link w:val="HeaderChar"/>
    <w:uiPriority w:val="99"/>
    <w:unhideWhenUsed/>
    <w:rsid w:val="00BC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2E"/>
  </w:style>
  <w:style w:type="paragraph" w:styleId="Footer">
    <w:name w:val="footer"/>
    <w:basedOn w:val="Normal"/>
    <w:link w:val="FooterChar"/>
    <w:uiPriority w:val="99"/>
    <w:unhideWhenUsed/>
    <w:rsid w:val="00BC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2E"/>
  </w:style>
  <w:style w:type="paragraph" w:styleId="NormalWeb">
    <w:name w:val="Normal (Web)"/>
    <w:basedOn w:val="Normal"/>
    <w:uiPriority w:val="99"/>
    <w:unhideWhenUsed/>
    <w:rsid w:val="00742D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2D68"/>
    <w:rPr>
      <w:b/>
      <w:bCs/>
    </w:rPr>
  </w:style>
  <w:style w:type="character" w:styleId="Hyperlink">
    <w:name w:val="Hyperlink"/>
    <w:basedOn w:val="DefaultParagraphFont"/>
    <w:uiPriority w:val="99"/>
    <w:unhideWhenUsed/>
    <w:rsid w:val="0083186D"/>
    <w:rPr>
      <w:color w:val="467886" w:themeColor="hyperlink"/>
      <w:u w:val="single"/>
    </w:rPr>
  </w:style>
  <w:style w:type="character" w:styleId="UnresolvedMention">
    <w:name w:val="Unresolved Mention"/>
    <w:basedOn w:val="DefaultParagraphFont"/>
    <w:uiPriority w:val="99"/>
    <w:semiHidden/>
    <w:unhideWhenUsed/>
    <w:rsid w:val="0083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24</cp:revision>
  <dcterms:created xsi:type="dcterms:W3CDTF">2025-09-14T05:51:00Z</dcterms:created>
  <dcterms:modified xsi:type="dcterms:W3CDTF">2025-10-21T08:22:00Z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e40283e0-4ad6-4b1b-b0fd-ef3334a09b5e</vt:lpwstr>
  </property>
</Properties>
</file>