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5714B9" w14:textId="77777777" w:rsidR="005D18C9" w:rsidRPr="00CB6389" w:rsidRDefault="005D18C9" w:rsidP="00763662">
      <w:pPr>
        <w:pStyle w:val="NormalWeb"/>
        <w:spacing w:line="360" w:lineRule="auto"/>
        <w:rPr>
          <w:color w:val="000000"/>
          <w:sz w:val="26"/>
          <w:szCs w:val="26"/>
        </w:rPr>
      </w:pPr>
      <w:proofErr w:type="spellStart"/>
      <w:r w:rsidRPr="00CB6389">
        <w:rPr>
          <w:b/>
          <w:bCs/>
          <w:color w:val="000000"/>
          <w:sz w:val="26"/>
          <w:szCs w:val="26"/>
        </w:rPr>
        <w:t>Nüshu</w:t>
      </w:r>
      <w:proofErr w:type="spellEnd"/>
      <w:r w:rsidRPr="00CB6389">
        <w:rPr>
          <w:b/>
          <w:bCs/>
          <w:color w:val="000000"/>
          <w:sz w:val="26"/>
          <w:szCs w:val="26"/>
        </w:rPr>
        <w:t xml:space="preserve"> (</w:t>
      </w:r>
      <w:r w:rsidRPr="00CB6389">
        <w:rPr>
          <w:rFonts w:eastAsia="SimSun"/>
          <w:b/>
          <w:bCs/>
          <w:color w:val="000000"/>
          <w:sz w:val="26"/>
          <w:szCs w:val="26"/>
        </w:rPr>
        <w:t>女书</w:t>
      </w:r>
      <w:r w:rsidRPr="00CB6389">
        <w:rPr>
          <w:b/>
          <w:bCs/>
          <w:color w:val="000000"/>
          <w:sz w:val="26"/>
          <w:szCs w:val="26"/>
        </w:rPr>
        <w:t>): Linguistic, Socio-cultural, and Musical Characterization of a Unique Women's Script</w:t>
      </w:r>
    </w:p>
    <w:p w14:paraId="62C84308" w14:textId="77777777" w:rsidR="003A5E68" w:rsidRPr="003A5E68" w:rsidRDefault="003A5E68" w:rsidP="00763662">
      <w:pPr>
        <w:pStyle w:val="NormalWeb"/>
        <w:spacing w:line="360" w:lineRule="auto"/>
        <w:rPr>
          <w:b/>
          <w:bCs/>
          <w:i/>
          <w:iCs/>
          <w:color w:val="000000"/>
          <w:lang w:val="en-IN"/>
        </w:rPr>
      </w:pPr>
    </w:p>
    <w:p w14:paraId="64D77E35" w14:textId="77777777" w:rsidR="00B55F44" w:rsidRDefault="005D18C9" w:rsidP="00B55F44">
      <w:pPr>
        <w:pStyle w:val="NormalWeb"/>
        <w:spacing w:line="360" w:lineRule="auto"/>
        <w:rPr>
          <w:color w:val="000000"/>
        </w:rPr>
      </w:pPr>
      <w:r w:rsidRPr="00763662">
        <w:rPr>
          <w:b/>
          <w:bCs/>
          <w:color w:val="000000"/>
        </w:rPr>
        <w:t>Abstract</w:t>
      </w:r>
      <w:r w:rsidRPr="00763662">
        <w:rPr>
          <w:rStyle w:val="apple-converted-space"/>
          <w:rFonts w:eastAsiaTheme="majorEastAsia"/>
          <w:color w:val="000000"/>
        </w:rPr>
        <w:t> </w:t>
      </w:r>
      <w:r w:rsidR="00B55F44" w:rsidRPr="00B55F44">
        <w:rPr>
          <w:rFonts w:hint="eastAsia"/>
          <w:color w:val="000000"/>
        </w:rPr>
        <w:t xml:space="preserve">This article comprehensively characterizes </w:t>
      </w:r>
      <w:proofErr w:type="spellStart"/>
      <w:r w:rsidR="00B55F44" w:rsidRPr="00B55F44">
        <w:rPr>
          <w:rFonts w:hint="eastAsia"/>
          <w:color w:val="000000"/>
        </w:rPr>
        <w:t>Nüshu</w:t>
      </w:r>
      <w:proofErr w:type="spellEnd"/>
      <w:r w:rsidR="00B55F44" w:rsidRPr="00B55F44">
        <w:rPr>
          <w:rFonts w:hint="eastAsia"/>
          <w:color w:val="000000"/>
        </w:rPr>
        <w:t xml:space="preserve"> (</w:t>
      </w:r>
      <w:r w:rsidR="00B55F44" w:rsidRPr="00B55F44">
        <w:rPr>
          <w:rFonts w:ascii="SimSun" w:eastAsia="SimSun" w:hAnsi="SimSun" w:cs="SimSun" w:hint="eastAsia"/>
          <w:color w:val="000000"/>
        </w:rPr>
        <w:t>女书</w:t>
      </w:r>
      <w:r w:rsidR="00B55F44" w:rsidRPr="00B55F44">
        <w:rPr>
          <w:rFonts w:hint="eastAsia"/>
          <w:color w:val="000000"/>
        </w:rPr>
        <w:t xml:space="preserve">, </w:t>
      </w:r>
      <w:proofErr w:type="spellStart"/>
      <w:r w:rsidR="00B55F44" w:rsidRPr="00B55F44">
        <w:rPr>
          <w:rFonts w:hint="eastAsia"/>
          <w:color w:val="000000"/>
        </w:rPr>
        <w:t>nǚshū</w:t>
      </w:r>
      <w:proofErr w:type="spellEnd"/>
      <w:r w:rsidR="00B55F44" w:rsidRPr="00B55F44">
        <w:rPr>
          <w:rFonts w:hint="eastAsia"/>
          <w:color w:val="000000"/>
        </w:rPr>
        <w:t xml:space="preserve">), the world's only writing system historically created and used exclusively by women. Originating in </w:t>
      </w:r>
      <w:proofErr w:type="spellStart"/>
      <w:r w:rsidR="00B55F44" w:rsidRPr="00B55F44">
        <w:rPr>
          <w:rFonts w:hint="eastAsia"/>
          <w:color w:val="000000"/>
        </w:rPr>
        <w:t>Jiangyong</w:t>
      </w:r>
      <w:proofErr w:type="spellEnd"/>
      <w:r w:rsidR="00B55F44" w:rsidRPr="00B55F44">
        <w:rPr>
          <w:rFonts w:hint="eastAsia"/>
          <w:color w:val="000000"/>
        </w:rPr>
        <w:t xml:space="preserve"> County, China, it is a significant cultural, linguistic, and </w:t>
      </w:r>
      <w:bookmarkStart w:id="0" w:name="_GoBack"/>
      <w:bookmarkEnd w:id="0"/>
      <w:r w:rsidR="00B55F44" w:rsidRPr="00B55F44">
        <w:rPr>
          <w:rFonts w:hint="eastAsia"/>
          <w:color w:val="000000"/>
        </w:rPr>
        <w:t>anthropological phenomen</w:t>
      </w:r>
      <w:r w:rsidR="00B55F44" w:rsidRPr="00B55F44">
        <w:rPr>
          <w:color w:val="000000"/>
        </w:rPr>
        <w:t>on.</w:t>
      </w:r>
    </w:p>
    <w:p w14:paraId="7DC6DA2A" w14:textId="02111822" w:rsidR="00B55F44" w:rsidRPr="00B55F44" w:rsidRDefault="00B55F44" w:rsidP="00B55F44">
      <w:pPr>
        <w:pStyle w:val="NormalWeb"/>
        <w:spacing w:line="360" w:lineRule="auto"/>
        <w:rPr>
          <w:color w:val="000000"/>
        </w:rPr>
      </w:pPr>
      <w:r w:rsidRPr="00B55F44">
        <w:rPr>
          <w:color w:val="000000"/>
        </w:rPr>
        <w:t xml:space="preserve">Based on literature review and recent fieldwork—including oral testimonies, corpus creation, and musical analysis—this study pursues three objectives. First, it outlines the historical and social context enabling its emergence in a patriarchal society. Second, it </w:t>
      </w:r>
      <w:proofErr w:type="spellStart"/>
      <w:r w:rsidRPr="00B55F44">
        <w:rPr>
          <w:color w:val="000000"/>
        </w:rPr>
        <w:t>analyzes</w:t>
      </w:r>
      <w:proofErr w:type="spellEnd"/>
      <w:r w:rsidRPr="00B55F44">
        <w:rPr>
          <w:color w:val="000000"/>
        </w:rPr>
        <w:t xml:space="preserve"> its structural characteristics as a phonetic syllabary (distinct from logographic </w:t>
      </w:r>
      <w:proofErr w:type="spellStart"/>
      <w:r w:rsidRPr="00B55F44">
        <w:rPr>
          <w:color w:val="000000"/>
        </w:rPr>
        <w:t>hanzi</w:t>
      </w:r>
      <w:proofErr w:type="spellEnd"/>
      <w:r w:rsidRPr="00B55F44">
        <w:rPr>
          <w:color w:val="000000"/>
        </w:rPr>
        <w:t xml:space="preserve">) and its linguistic features (phonology, lexicon, syntax). Third, it explores </w:t>
      </w:r>
      <w:proofErr w:type="spellStart"/>
      <w:r w:rsidRPr="00B55F44">
        <w:rPr>
          <w:color w:val="000000"/>
        </w:rPr>
        <w:t>Nüshu's</w:t>
      </w:r>
      <w:proofErr w:type="spellEnd"/>
      <w:r w:rsidRPr="00B55F44">
        <w:rPr>
          <w:color w:val="000000"/>
        </w:rPr>
        <w:t xml:space="preserve"> essential performative and musical dimension, linking its existence to singing and oral transmission.</w:t>
      </w:r>
    </w:p>
    <w:p w14:paraId="03B3F2AD" w14:textId="77777777" w:rsidR="00B55F44" w:rsidRDefault="00B55F44" w:rsidP="00B55F44">
      <w:pPr>
        <w:pStyle w:val="NormalWeb"/>
        <w:spacing w:line="360" w:lineRule="auto"/>
        <w:rPr>
          <w:color w:val="000000"/>
        </w:rPr>
      </w:pPr>
      <w:r w:rsidRPr="00B55F44">
        <w:rPr>
          <w:color w:val="000000"/>
        </w:rPr>
        <w:t xml:space="preserve">Finally, the article discusses </w:t>
      </w:r>
      <w:proofErr w:type="spellStart"/>
      <w:r w:rsidRPr="00B55F44">
        <w:rPr>
          <w:color w:val="000000"/>
        </w:rPr>
        <w:t>Nüshu's</w:t>
      </w:r>
      <w:proofErr w:type="spellEnd"/>
      <w:r w:rsidRPr="00B55F44">
        <w:rPr>
          <w:color w:val="000000"/>
        </w:rPr>
        <w:t xml:space="preserve"> status as an Intangible Cultural Heritage, </w:t>
      </w:r>
      <w:proofErr w:type="spellStart"/>
      <w:r w:rsidRPr="00B55F44">
        <w:rPr>
          <w:color w:val="000000"/>
        </w:rPr>
        <w:t>analyzing</w:t>
      </w:r>
      <w:proofErr w:type="spellEnd"/>
      <w:r w:rsidRPr="00B55F44">
        <w:rPr>
          <w:color w:val="000000"/>
        </w:rPr>
        <w:t xml:space="preserve"> the challenges of heritage designation, commercialization, and revitalization. The study argues </w:t>
      </w:r>
      <w:proofErr w:type="spellStart"/>
      <w:r w:rsidRPr="00B55F44">
        <w:rPr>
          <w:color w:val="000000"/>
        </w:rPr>
        <w:t>Nüshu</w:t>
      </w:r>
      <w:proofErr w:type="spellEnd"/>
      <w:r w:rsidRPr="00B55F44">
        <w:rPr>
          <w:color w:val="000000"/>
        </w:rPr>
        <w:t xml:space="preserve"> is inseparable from its vocal and communal dimension, affirming its value as a tool for resilience and sisterhood. It also positions </w:t>
      </w:r>
      <w:proofErr w:type="spellStart"/>
      <w:r w:rsidRPr="00B55F44">
        <w:rPr>
          <w:color w:val="000000"/>
        </w:rPr>
        <w:t>Nüshu</w:t>
      </w:r>
      <w:proofErr w:type="spellEnd"/>
      <w:r w:rsidRPr="00B55F44">
        <w:rPr>
          <w:color w:val="000000"/>
        </w:rPr>
        <w:t xml:space="preserve"> within a comparative framework of female-created writing systems (e.g., Japanese Hiragana, African Sande symbolism) to illustrate broader patterns of gendered creativity and linguistic resistance.</w:t>
      </w:r>
    </w:p>
    <w:p w14:paraId="603677F1" w14:textId="32B2780A" w:rsidR="005D18C9" w:rsidRPr="00763662" w:rsidRDefault="005D18C9" w:rsidP="00B55F44">
      <w:pPr>
        <w:pStyle w:val="NormalWeb"/>
        <w:spacing w:line="360" w:lineRule="auto"/>
        <w:rPr>
          <w:color w:val="000000"/>
        </w:rPr>
      </w:pPr>
      <w:r w:rsidRPr="00763662">
        <w:rPr>
          <w:b/>
          <w:bCs/>
          <w:color w:val="000000"/>
        </w:rPr>
        <w:t>Keywords</w:t>
      </w:r>
      <w:r w:rsidRPr="00763662">
        <w:rPr>
          <w:color w:val="000000"/>
        </w:rPr>
        <w:t xml:space="preserve">: </w:t>
      </w:r>
      <w:proofErr w:type="spellStart"/>
      <w:r w:rsidRPr="00763662">
        <w:rPr>
          <w:color w:val="000000"/>
        </w:rPr>
        <w:t>Nüshu</w:t>
      </w:r>
      <w:proofErr w:type="spellEnd"/>
      <w:r w:rsidRPr="00763662">
        <w:rPr>
          <w:color w:val="000000"/>
        </w:rPr>
        <w:t xml:space="preserve">, women's script, </w:t>
      </w:r>
      <w:proofErr w:type="spellStart"/>
      <w:r w:rsidRPr="00763662">
        <w:rPr>
          <w:color w:val="000000"/>
        </w:rPr>
        <w:t>gynography</w:t>
      </w:r>
      <w:proofErr w:type="spellEnd"/>
      <w:r w:rsidRPr="00763662">
        <w:rPr>
          <w:color w:val="000000"/>
        </w:rPr>
        <w:t xml:space="preserve">, Chinese linguistics, gender studies, intangible cultural heritage, ethnomusicology, </w:t>
      </w:r>
      <w:proofErr w:type="spellStart"/>
      <w:r w:rsidRPr="00763662">
        <w:rPr>
          <w:color w:val="000000"/>
        </w:rPr>
        <w:t>Jiangyong</w:t>
      </w:r>
      <w:proofErr w:type="spellEnd"/>
      <w:r w:rsidRPr="00763662">
        <w:rPr>
          <w:color w:val="000000"/>
        </w:rPr>
        <w:t>.</w:t>
      </w:r>
    </w:p>
    <w:p w14:paraId="37CC0A2D" w14:textId="0B1EC6BF" w:rsidR="005D18C9" w:rsidRPr="00763662" w:rsidRDefault="001F03B2" w:rsidP="00763662">
      <w:pPr>
        <w:spacing w:line="360" w:lineRule="auto"/>
        <w:rPr>
          <w:rFonts w:ascii="Times New Roman" w:hAnsi="Times New Roman" w:cs="Times New Roman"/>
        </w:rPr>
      </w:pPr>
      <w:r>
        <w:rPr>
          <w:rFonts w:ascii="Times New Roman" w:eastAsia="Times New Roman" w:hAnsi="Times New Roman" w:cs="Times New Roman"/>
          <w:noProof/>
          <w:color w:val="000000"/>
          <w:kern w:val="0"/>
        </w:rPr>
        <w:pict w14:anchorId="430E5A81">
          <v:rect id="_x0000_i1025" alt="" style="width:451.3pt;height:.05pt;mso-width-percent:0;mso-height-percent:0;mso-width-percent:0;mso-height-percent:0" o:hralign="center" o:hrstd="t" o:hr="t" fillcolor="#a0a0a0" stroked="f"/>
        </w:pict>
      </w:r>
    </w:p>
    <w:p w14:paraId="55246845" w14:textId="77777777" w:rsidR="005D18C9" w:rsidRPr="00763662" w:rsidRDefault="005D18C9" w:rsidP="00763662">
      <w:pPr>
        <w:pStyle w:val="NormalWeb"/>
        <w:spacing w:line="360" w:lineRule="auto"/>
        <w:rPr>
          <w:color w:val="000000"/>
        </w:rPr>
      </w:pPr>
      <w:r w:rsidRPr="00763662">
        <w:rPr>
          <w:b/>
          <w:bCs/>
          <w:color w:val="000000"/>
        </w:rPr>
        <w:t>1. Introduction</w:t>
      </w:r>
    </w:p>
    <w:p w14:paraId="6E3751BC" w14:textId="294F3980" w:rsidR="003028D1" w:rsidRPr="003028D1" w:rsidRDefault="003028D1" w:rsidP="003028D1">
      <w:pPr>
        <w:pStyle w:val="NormalWeb"/>
        <w:spacing w:line="360" w:lineRule="auto"/>
        <w:rPr>
          <w:color w:val="000000"/>
        </w:rPr>
      </w:pPr>
      <w:r w:rsidRPr="003028D1">
        <w:rPr>
          <w:color w:val="000000"/>
        </w:rPr>
        <w:t>The study of gender-specific writing systems and speech varieties has long intrigued anthropologists, linguists, and sociologists, as they reveal how language reflects and reinforces social hierarchies. Cross-cultural examples demonstrate that women's linguistic creativity often emerges under structural constraints</w:t>
      </w:r>
      <w:r w:rsidR="000253FC">
        <w:rPr>
          <w:color w:val="000000"/>
        </w:rPr>
        <w:t xml:space="preserve"> (</w:t>
      </w:r>
      <w:r w:rsidR="000253FC" w:rsidRPr="000253FC">
        <w:rPr>
          <w:color w:val="000000"/>
        </w:rPr>
        <w:t xml:space="preserve">see </w:t>
      </w:r>
      <w:r w:rsidR="000253FC" w:rsidRPr="000253FC">
        <w:rPr>
          <w:i/>
          <w:iCs/>
          <w:color w:val="000000"/>
        </w:rPr>
        <w:t>Ochs &amp; Schieffelin, 1984; Cameron, 1998; Shankar &amp; Cavanaugh, 2012</w:t>
      </w:r>
      <w:r w:rsidR="000253FC">
        <w:rPr>
          <w:color w:val="000000"/>
        </w:rPr>
        <w:t>)</w:t>
      </w:r>
      <w:r w:rsidRPr="003028D1">
        <w:rPr>
          <w:color w:val="000000"/>
        </w:rPr>
        <w:t xml:space="preserve">. For instance, the Japanese kana syllabaries, especially Hiragana, were developed and used primarily by women in the Heian period to express </w:t>
      </w:r>
      <w:r w:rsidRPr="003028D1">
        <w:rPr>
          <w:color w:val="000000"/>
        </w:rPr>
        <w:lastRenderedPageBreak/>
        <w:t>emotional and literary refinement in a context where mastery of classical Chinese (</w:t>
      </w:r>
      <w:proofErr w:type="spellStart"/>
      <w:r w:rsidRPr="003028D1">
        <w:rPr>
          <w:color w:val="000000"/>
        </w:rPr>
        <w:t>kanbun</w:t>
      </w:r>
      <w:proofErr w:type="spellEnd"/>
      <w:r w:rsidRPr="003028D1">
        <w:rPr>
          <w:color w:val="000000"/>
        </w:rPr>
        <w:t>) was restricted to men (Endo, 2015). Similarly, in parts of West Africa, certain secret female languages—such as Sande among the Mende (Boehm, 1984)—functioned as instruments of social cohesion and resistance. In the Americas, indigenous female weavers of the Andes have encoded genealogies and oral narratives through textile symbols that operate as semiotic systems parallel to verbal expression (Arnold, 1992).</w:t>
      </w:r>
    </w:p>
    <w:p w14:paraId="09A56BFE" w14:textId="77777777" w:rsidR="00060E86" w:rsidRPr="00060E86" w:rsidRDefault="003028D1" w:rsidP="00060E86">
      <w:pPr>
        <w:pStyle w:val="NormalWeb"/>
        <w:spacing w:line="360" w:lineRule="auto"/>
        <w:rPr>
          <w:color w:val="000000"/>
        </w:rPr>
      </w:pPr>
      <w:r w:rsidRPr="003028D1">
        <w:rPr>
          <w:color w:val="000000"/>
        </w:rPr>
        <w:t xml:space="preserve">These cross-cultural analogies illustrate that gendered writing or encoding practices often emerge where women’s voices are institutionally marginalized. Within this broader anthropological and sociolinguistic landscape, </w:t>
      </w:r>
      <w:proofErr w:type="spellStart"/>
      <w:r w:rsidRPr="003028D1">
        <w:rPr>
          <w:color w:val="000000"/>
        </w:rPr>
        <w:t>Nüshu</w:t>
      </w:r>
      <w:proofErr w:type="spellEnd"/>
      <w:r w:rsidRPr="003028D1">
        <w:rPr>
          <w:color w:val="000000"/>
        </w:rPr>
        <w:t xml:space="preserve"> represents a particularly radical manifestation of female textual agency: not merely a variation of language, but the creation of a new graphic system altogether. Situating </w:t>
      </w:r>
      <w:proofErr w:type="spellStart"/>
      <w:r w:rsidRPr="003028D1">
        <w:rPr>
          <w:color w:val="000000"/>
        </w:rPr>
        <w:t>Nüshu</w:t>
      </w:r>
      <w:proofErr w:type="spellEnd"/>
      <w:r w:rsidRPr="003028D1">
        <w:rPr>
          <w:color w:val="000000"/>
        </w:rPr>
        <w:t xml:space="preserve"> within this comparative framework allows us to understand it not as an isolated curiosity of Chinese ethnography, but as part of a larger human phenomenon of gendered literacy and resistance.</w:t>
      </w:r>
      <w:r>
        <w:rPr>
          <w:color w:val="000000"/>
        </w:rPr>
        <w:t xml:space="preserve"> </w:t>
      </w:r>
      <w:r w:rsidR="00060E86" w:rsidRPr="00060E86">
        <w:rPr>
          <w:color w:val="000000"/>
        </w:rPr>
        <w:t>Across cultures, gendered forms of writing and expression have emerged wherever access to literacy and formal education was restricted for women. A well-known example is the development of Hiragana in Japan, a syllabary used primarily by court women during the Heian period to produce some of the finest works of Japanese literature, including The Tale of Genji. Deprived of access to classical Chinese (</w:t>
      </w:r>
      <w:proofErr w:type="spellStart"/>
      <w:r w:rsidR="00060E86" w:rsidRPr="00060E86">
        <w:rPr>
          <w:color w:val="000000"/>
        </w:rPr>
        <w:t>kanbun</w:t>
      </w:r>
      <w:proofErr w:type="spellEnd"/>
      <w:r w:rsidR="00060E86" w:rsidRPr="00060E86">
        <w:rPr>
          <w:color w:val="000000"/>
        </w:rPr>
        <w:t>), these women created an alternative, gendered literacy that allowed them to express emotion and intimacy through written language (Endo, 2015).</w:t>
      </w:r>
    </w:p>
    <w:p w14:paraId="2A2C99AF" w14:textId="77777777" w:rsidR="00060E86" w:rsidRPr="00060E86" w:rsidRDefault="00060E86" w:rsidP="00060E86">
      <w:pPr>
        <w:pStyle w:val="NormalWeb"/>
        <w:spacing w:line="360" w:lineRule="auto"/>
        <w:rPr>
          <w:color w:val="000000"/>
        </w:rPr>
      </w:pPr>
      <w:r w:rsidRPr="00060E86">
        <w:rPr>
          <w:color w:val="000000"/>
        </w:rPr>
        <w:t>Analogous phenomena can be observed in other regions of the world. In West Africa, the Sande society among the Mende women employs a secret symbolic language as part of initiation rituals, combining linguistic, musical, and visual codes to sustain a female network of knowledge and solidarity (Boehm, 1984). Similarly, among indigenous communities in the Andes, female weavers have long used textile patterns as a parallel semiotic system to encode genealogies and oral narratives, transforming thread into text (Arnold, 1992).</w:t>
      </w:r>
    </w:p>
    <w:p w14:paraId="6D21CFFC" w14:textId="77777777" w:rsidR="00060E86" w:rsidRPr="00060E86" w:rsidRDefault="00060E86" w:rsidP="00060E86">
      <w:pPr>
        <w:pStyle w:val="NormalWeb"/>
        <w:spacing w:line="360" w:lineRule="auto"/>
        <w:rPr>
          <w:color w:val="000000"/>
        </w:rPr>
      </w:pPr>
      <w:r w:rsidRPr="00060E86">
        <w:rPr>
          <w:color w:val="000000"/>
        </w:rPr>
        <w:t xml:space="preserve">These cases demonstrate that when institutional access to literacy is denied, women often develop alternative semiotic strategies to preserve and transmit their voices. Within this cross-cultural and theoretical framework, </w:t>
      </w:r>
      <w:proofErr w:type="spellStart"/>
      <w:r w:rsidRPr="00060E86">
        <w:rPr>
          <w:color w:val="000000"/>
        </w:rPr>
        <w:t>Nüshu</w:t>
      </w:r>
      <w:proofErr w:type="spellEnd"/>
      <w:r w:rsidRPr="00060E86">
        <w:rPr>
          <w:color w:val="000000"/>
        </w:rPr>
        <w:t xml:space="preserve"> occupies a unique position—not merely as a regional phenomenon, but as an extraordinary manifestation of gendered textual creativity and cultural resilience (</w:t>
      </w:r>
      <w:r w:rsidRPr="00060E86">
        <w:rPr>
          <w:i/>
          <w:iCs/>
          <w:color w:val="000000"/>
        </w:rPr>
        <w:t>Shankar &amp; Cavanaugh, 2012</w:t>
      </w:r>
      <w:r w:rsidRPr="00060E86">
        <w:rPr>
          <w:color w:val="000000"/>
        </w:rPr>
        <w:t>).</w:t>
      </w:r>
      <w:r>
        <w:rPr>
          <w:color w:val="000000"/>
        </w:rPr>
        <w:t xml:space="preserve"> </w:t>
      </w:r>
      <w:r w:rsidRPr="00060E86">
        <w:rPr>
          <w:color w:val="000000"/>
        </w:rPr>
        <w:t xml:space="preserve">The study of female-authored scripts like </w:t>
      </w:r>
      <w:proofErr w:type="spellStart"/>
      <w:r w:rsidRPr="00060E86">
        <w:rPr>
          <w:color w:val="000000"/>
        </w:rPr>
        <w:t>Nüshu</w:t>
      </w:r>
      <w:proofErr w:type="spellEnd"/>
      <w:r w:rsidRPr="00060E86">
        <w:rPr>
          <w:color w:val="000000"/>
        </w:rPr>
        <w:t xml:space="preserve"> raises fundamental questions about the relationship between language, agency, and power. Following Bourdieu’s (1991) concept of linguistic capital, access to writing </w:t>
      </w:r>
      <w:r w:rsidRPr="00060E86">
        <w:rPr>
          <w:color w:val="000000"/>
        </w:rPr>
        <w:lastRenderedPageBreak/>
        <w:t>systems can be interpreted as a mechanism for reproducing social hierarchies. When women are excluded from institutional literacy, they respond by developing alternative symbolic systems, thereby transforming linguistic exclusion into cultural innovation. This process aligns with what Gal (2016) describes as “semiotic revalorization”—the ability of marginalized speakers to reassign value and meaning to stigmatized or peripheral forms of communication.</w:t>
      </w:r>
    </w:p>
    <w:p w14:paraId="70C0EFFC" w14:textId="1B8939E5" w:rsidR="005D18C9" w:rsidRPr="00763662" w:rsidRDefault="00060E86" w:rsidP="00060E86">
      <w:pPr>
        <w:pStyle w:val="NormalWeb"/>
        <w:spacing w:line="360" w:lineRule="auto"/>
        <w:rPr>
          <w:color w:val="000000"/>
        </w:rPr>
      </w:pPr>
      <w:r w:rsidRPr="00060E86">
        <w:rPr>
          <w:color w:val="000000"/>
        </w:rPr>
        <w:t xml:space="preserve">Within this framework, </w:t>
      </w:r>
      <w:proofErr w:type="spellStart"/>
      <w:r w:rsidRPr="00060E86">
        <w:rPr>
          <w:color w:val="000000"/>
        </w:rPr>
        <w:t>Nüshu</w:t>
      </w:r>
      <w:proofErr w:type="spellEnd"/>
      <w:r w:rsidRPr="00060E86">
        <w:rPr>
          <w:color w:val="000000"/>
        </w:rPr>
        <w:t xml:space="preserve"> represents not only an act of linguistic creativity but a subtle negotiation of power: an inscriptional practice that redefines the social boundaries of literacy, authorship, and voice. Its emergence can thus be interpreted as a case of subaltern literacy (Spivak, 1988), a strategy that transforms silence into authorship and marginality into symbolic presence.</w:t>
      </w:r>
      <w:r>
        <w:rPr>
          <w:color w:val="000000"/>
        </w:rPr>
        <w:t xml:space="preserve"> </w:t>
      </w:r>
      <w:r w:rsidR="005D18C9" w:rsidRPr="00763662">
        <w:rPr>
          <w:color w:val="000000"/>
        </w:rPr>
        <w:t xml:space="preserve">A unique case within this field is </w:t>
      </w:r>
      <w:proofErr w:type="spellStart"/>
      <w:r w:rsidR="005D18C9" w:rsidRPr="00763662">
        <w:rPr>
          <w:color w:val="000000"/>
        </w:rPr>
        <w:t>Nüshu</w:t>
      </w:r>
      <w:proofErr w:type="spellEnd"/>
      <w:r w:rsidR="005D18C9" w:rsidRPr="00763662">
        <w:rPr>
          <w:color w:val="000000"/>
        </w:rPr>
        <w:t xml:space="preserve"> (</w:t>
      </w:r>
      <w:r w:rsidR="005D18C9" w:rsidRPr="00763662">
        <w:rPr>
          <w:rFonts w:eastAsia="SimSun"/>
          <w:color w:val="000000"/>
        </w:rPr>
        <w:t>女书</w:t>
      </w:r>
      <w:r w:rsidR="005D18C9" w:rsidRPr="00763662">
        <w:rPr>
          <w:color w:val="000000"/>
        </w:rPr>
        <w:t xml:space="preserve">, </w:t>
      </w:r>
      <w:proofErr w:type="spellStart"/>
      <w:r w:rsidR="005D18C9" w:rsidRPr="00763662">
        <w:rPr>
          <w:color w:val="000000"/>
        </w:rPr>
        <w:t>nǚshū</w:t>
      </w:r>
      <w:proofErr w:type="spellEnd"/>
      <w:r w:rsidR="005D18C9" w:rsidRPr="00763662">
        <w:rPr>
          <w:color w:val="000000"/>
        </w:rPr>
        <w:t xml:space="preserve">), a writing system from </w:t>
      </w:r>
      <w:proofErr w:type="spellStart"/>
      <w:r w:rsidR="005D18C9" w:rsidRPr="00763662">
        <w:rPr>
          <w:color w:val="000000"/>
        </w:rPr>
        <w:t>Jiangyong</w:t>
      </w:r>
      <w:proofErr w:type="spellEnd"/>
      <w:r w:rsidR="005D18C9" w:rsidRPr="00763662">
        <w:rPr>
          <w:color w:val="000000"/>
        </w:rPr>
        <w:t xml:space="preserve"> County, China, created and transmitted for centuries exclusively by women. In a context where formal education and mastery of standard Chinese characters (</w:t>
      </w:r>
      <w:proofErr w:type="spellStart"/>
      <w:r w:rsidR="005D18C9" w:rsidRPr="00763662">
        <w:rPr>
          <w:color w:val="000000"/>
        </w:rPr>
        <w:t>hanzi</w:t>
      </w:r>
      <w:proofErr w:type="spellEnd"/>
      <w:r w:rsidR="005D18C9" w:rsidRPr="00763662">
        <w:rPr>
          <w:color w:val="000000"/>
        </w:rPr>
        <w:t xml:space="preserve">)—the key to social and political power—were systematically denied to them, the women of </w:t>
      </w:r>
      <w:proofErr w:type="spellStart"/>
      <w:r w:rsidR="005D18C9" w:rsidRPr="00763662">
        <w:rPr>
          <w:color w:val="000000"/>
        </w:rPr>
        <w:t>Jiangyong</w:t>
      </w:r>
      <w:proofErr w:type="spellEnd"/>
      <w:r w:rsidR="005D18C9" w:rsidRPr="00763662">
        <w:rPr>
          <w:color w:val="000000"/>
        </w:rPr>
        <w:t xml:space="preserve"> developed their own written code. This was not merely an alternative script; it was the foundation of a unique textual community, a space where they could articulate their experiences, share sorrows, and affirm their bonds.</w:t>
      </w:r>
    </w:p>
    <w:p w14:paraId="34C39D58" w14:textId="77777777" w:rsidR="005D18C9" w:rsidRPr="00763662" w:rsidRDefault="005D18C9" w:rsidP="00763662">
      <w:pPr>
        <w:pStyle w:val="NormalWeb"/>
        <w:spacing w:line="360" w:lineRule="auto"/>
        <w:rPr>
          <w:color w:val="000000"/>
        </w:rPr>
      </w:pPr>
      <w:r w:rsidRPr="00763662">
        <w:rPr>
          <w:color w:val="000000"/>
        </w:rPr>
        <w:t xml:space="preserve">This script embodied a poetic and emotional universe, serving as a vehicle for an exclusively female textual and performative community. It allowed for the circulation of shared narratives and emotions that otherwise would have remained unexpressed. Through characters traced on fans, embroidered on fabrics, or transcribed in notebooks, the women of </w:t>
      </w:r>
      <w:proofErr w:type="spellStart"/>
      <w:r w:rsidRPr="00763662">
        <w:rPr>
          <w:color w:val="000000"/>
        </w:rPr>
        <w:t>Jiangyong</w:t>
      </w:r>
      <w:proofErr w:type="spellEnd"/>
      <w:r w:rsidRPr="00763662">
        <w:rPr>
          <w:color w:val="000000"/>
        </w:rPr>
        <w:t xml:space="preserve"> constructed a private space for expression. This space functioned as an emotional refuge and as an archive of their collective memory, protected from the control of the male world. This written and sung space offered an opportunity for women to encode, preserve, and transmit their life experiences. These were frequently characterized by suffering, such as the practice of foot-binding and the stress of arranged marriages, but they were equally marked by resilience, mutual care, and solidarity. The existence of </w:t>
      </w:r>
      <w:proofErr w:type="spellStart"/>
      <w:r w:rsidRPr="00763662">
        <w:rPr>
          <w:color w:val="000000"/>
        </w:rPr>
        <w:t>Nüshu</w:t>
      </w:r>
      <w:proofErr w:type="spellEnd"/>
      <w:r w:rsidRPr="00763662">
        <w:rPr>
          <w:color w:val="000000"/>
        </w:rPr>
        <w:t xml:space="preserve"> is a testament to the capacity to create meaning and forge communities in restrictive circumstances, implicitly challenging social norms.</w:t>
      </w:r>
    </w:p>
    <w:p w14:paraId="4F780A1E" w14:textId="77777777" w:rsidR="005D18C9" w:rsidRPr="00763662" w:rsidRDefault="005D18C9" w:rsidP="00763662">
      <w:pPr>
        <w:pStyle w:val="NormalWeb"/>
        <w:spacing w:line="360" w:lineRule="auto"/>
        <w:rPr>
          <w:color w:val="000000"/>
        </w:rPr>
      </w:pPr>
      <w:r w:rsidRPr="00763662">
        <w:rPr>
          <w:color w:val="000000"/>
        </w:rPr>
        <w:t xml:space="preserve">The academic "rediscovery" of </w:t>
      </w:r>
      <w:proofErr w:type="spellStart"/>
      <w:r w:rsidRPr="00763662">
        <w:rPr>
          <w:color w:val="000000"/>
        </w:rPr>
        <w:t>Nüshu</w:t>
      </w:r>
      <w:proofErr w:type="spellEnd"/>
      <w:r w:rsidRPr="00763662">
        <w:rPr>
          <w:color w:val="000000"/>
        </w:rPr>
        <w:t xml:space="preserve"> in the 1980s opened an interdisciplinary field of study, intersecting linguistics, anthropology, history, gender studies, and ethnomusicology. </w:t>
      </w:r>
      <w:r w:rsidRPr="00763662">
        <w:rPr>
          <w:color w:val="000000"/>
        </w:rPr>
        <w:lastRenderedPageBreak/>
        <w:t xml:space="preserve">However, despite the growing body of research, understanding of </w:t>
      </w:r>
      <w:proofErr w:type="spellStart"/>
      <w:r w:rsidRPr="00763662">
        <w:rPr>
          <w:color w:val="000000"/>
        </w:rPr>
        <w:t>Nüshu</w:t>
      </w:r>
      <w:proofErr w:type="spellEnd"/>
      <w:r w:rsidRPr="00763662">
        <w:rPr>
          <w:color w:val="000000"/>
        </w:rPr>
        <w:t xml:space="preserve"> often remains partial. Many previous studies have tended to focus on its origins or sociological value, sometimes neglecting its linguistic structure. Detailed linguistic analyses remain relatively scarce. This gap is particularly evident in the lack of studies on its phonological and prosodic relationship with the local</w:t>
      </w:r>
      <w:r w:rsidRPr="00763662">
        <w:rPr>
          <w:rStyle w:val="apple-converted-space"/>
          <w:rFonts w:eastAsiaTheme="majorEastAsia"/>
          <w:color w:val="000000"/>
        </w:rPr>
        <w:t> </w:t>
      </w:r>
      <w:proofErr w:type="spellStart"/>
      <w:r w:rsidRPr="00763662">
        <w:rPr>
          <w:i/>
          <w:iCs/>
          <w:color w:val="000000"/>
        </w:rPr>
        <w:t>tuhua</w:t>
      </w:r>
      <w:proofErr w:type="spellEnd"/>
      <w:r w:rsidRPr="00763662">
        <w:rPr>
          <w:rStyle w:val="apple-converted-space"/>
          <w:rFonts w:eastAsiaTheme="majorEastAsia"/>
          <w:color w:val="000000"/>
        </w:rPr>
        <w:t> </w:t>
      </w:r>
      <w:r w:rsidRPr="00763662">
        <w:rPr>
          <w:color w:val="000000"/>
        </w:rPr>
        <w:t xml:space="preserve">dialect that </w:t>
      </w:r>
      <w:proofErr w:type="spellStart"/>
      <w:r w:rsidRPr="00763662">
        <w:rPr>
          <w:color w:val="000000"/>
        </w:rPr>
        <w:t>Nüshu</w:t>
      </w:r>
      <w:proofErr w:type="spellEnd"/>
      <w:r w:rsidRPr="00763662">
        <w:rPr>
          <w:color w:val="000000"/>
        </w:rPr>
        <w:t xml:space="preserve"> transcribes, which are crucial aspects for an accurate understanding of its syllabic nature.</w:t>
      </w:r>
    </w:p>
    <w:p w14:paraId="4B28EFDF" w14:textId="77777777" w:rsidR="005D18C9" w:rsidRPr="00763662" w:rsidRDefault="005D18C9" w:rsidP="00763662">
      <w:pPr>
        <w:pStyle w:val="NormalWeb"/>
        <w:spacing w:line="360" w:lineRule="auto"/>
        <w:rPr>
          <w:color w:val="000000"/>
        </w:rPr>
      </w:pPr>
      <w:r w:rsidRPr="00763662">
        <w:rPr>
          <w:color w:val="000000"/>
        </w:rPr>
        <w:t xml:space="preserve">A fundamental characteristic of </w:t>
      </w:r>
      <w:proofErr w:type="spellStart"/>
      <w:r w:rsidRPr="00763662">
        <w:rPr>
          <w:color w:val="000000"/>
        </w:rPr>
        <w:t>Nüshu</w:t>
      </w:r>
      <w:proofErr w:type="spellEnd"/>
      <w:r w:rsidRPr="00763662">
        <w:rPr>
          <w:color w:val="000000"/>
        </w:rPr>
        <w:t xml:space="preserve"> has often been underestimated: its performative nature. </w:t>
      </w:r>
      <w:proofErr w:type="spellStart"/>
      <w:r w:rsidRPr="00763662">
        <w:rPr>
          <w:color w:val="000000"/>
        </w:rPr>
        <w:t>Nüshu</w:t>
      </w:r>
      <w:proofErr w:type="spellEnd"/>
      <w:r w:rsidRPr="00763662">
        <w:rPr>
          <w:color w:val="000000"/>
        </w:rPr>
        <w:t xml:space="preserve"> was not conceived or used primarily for silent reading. It was a writing system intertwined with the voice and performance. </w:t>
      </w:r>
      <w:proofErr w:type="spellStart"/>
      <w:r w:rsidRPr="00763662">
        <w:rPr>
          <w:color w:val="000000"/>
        </w:rPr>
        <w:t>Nüshu</w:t>
      </w:r>
      <w:proofErr w:type="spellEnd"/>
      <w:r w:rsidRPr="00763662">
        <w:rPr>
          <w:color w:val="000000"/>
        </w:rPr>
        <w:t xml:space="preserve"> texts were, in essence, songs and rhythmic narratives that shaped crucial moments of women's lives. Their transmission was both oral and written, with the voice serving as the primary vehicle for conveying their emotional and cultural charge. This vocal and performative dimension is fundamental to grasping the meaning of </w:t>
      </w:r>
      <w:proofErr w:type="spellStart"/>
      <w:r w:rsidRPr="00763662">
        <w:rPr>
          <w:color w:val="000000"/>
        </w:rPr>
        <w:t>Nüshu</w:t>
      </w:r>
      <w:proofErr w:type="spellEnd"/>
      <w:r w:rsidRPr="00763662">
        <w:rPr>
          <w:color w:val="000000"/>
        </w:rPr>
        <w:t xml:space="preserve"> as a living cultural practice, rather than as a static textual artifact. The characters' emotional content is expressed most clearly when sung.</w:t>
      </w:r>
    </w:p>
    <w:p w14:paraId="7C872915" w14:textId="77777777" w:rsidR="005D18C9" w:rsidRPr="00763662" w:rsidRDefault="005D18C9" w:rsidP="00763662">
      <w:pPr>
        <w:pStyle w:val="NormalWeb"/>
        <w:spacing w:line="360" w:lineRule="auto"/>
        <w:rPr>
          <w:color w:val="000000"/>
        </w:rPr>
      </w:pPr>
      <w:r w:rsidRPr="00763662">
        <w:rPr>
          <w:color w:val="000000"/>
        </w:rPr>
        <w:t xml:space="preserve">This article aims to provide a holistic characterization of </w:t>
      </w:r>
      <w:proofErr w:type="spellStart"/>
      <w:r w:rsidRPr="00763662">
        <w:rPr>
          <w:color w:val="000000"/>
        </w:rPr>
        <w:t>Nüshu</w:t>
      </w:r>
      <w:proofErr w:type="spellEnd"/>
      <w:r w:rsidRPr="00763662">
        <w:rPr>
          <w:color w:val="000000"/>
        </w:rPr>
        <w:t xml:space="preserve">, presenting a critical and updated review that synthesizes the current body of knowledge regarding its origin, uses, and main structural characteristics. This review is integrated with data collected during field research in collaboration with Professor Zhao Liming of Tsinghua University and with local </w:t>
      </w:r>
      <w:proofErr w:type="spellStart"/>
      <w:r w:rsidRPr="00763662">
        <w:rPr>
          <w:color w:val="000000"/>
        </w:rPr>
        <w:t>Nüshu</w:t>
      </w:r>
      <w:proofErr w:type="spellEnd"/>
      <w:r w:rsidRPr="00763662">
        <w:rPr>
          <w:color w:val="000000"/>
        </w:rPr>
        <w:t xml:space="preserve"> inheritors, particularly Hu Yanyu. This phase allowed for the creation of an </w:t>
      </w:r>
      <w:proofErr w:type="spellStart"/>
      <w:r w:rsidRPr="00763662">
        <w:rPr>
          <w:color w:val="000000"/>
        </w:rPr>
        <w:t>audiovisual</w:t>
      </w:r>
      <w:proofErr w:type="spellEnd"/>
      <w:r w:rsidRPr="00763662">
        <w:rPr>
          <w:color w:val="000000"/>
        </w:rPr>
        <w:t xml:space="preserve"> corpus of </w:t>
      </w:r>
      <w:proofErr w:type="spellStart"/>
      <w:r w:rsidRPr="00763662">
        <w:rPr>
          <w:color w:val="000000"/>
        </w:rPr>
        <w:t>Nüshu</w:t>
      </w:r>
      <w:proofErr w:type="spellEnd"/>
      <w:r w:rsidRPr="00763662">
        <w:rPr>
          <w:color w:val="000000"/>
        </w:rPr>
        <w:t xml:space="preserve"> songs and the realization of phonetic transcriptions and new melodic analyses, which inform the perspective of this work.</w:t>
      </w:r>
    </w:p>
    <w:p w14:paraId="683FFA1F" w14:textId="77777777" w:rsidR="005D18C9" w:rsidRPr="00763662" w:rsidRDefault="005D18C9" w:rsidP="00763662">
      <w:pPr>
        <w:pStyle w:val="NormalWeb"/>
        <w:spacing w:line="360" w:lineRule="auto"/>
        <w:rPr>
          <w:color w:val="000000"/>
        </w:rPr>
      </w:pPr>
      <w:r w:rsidRPr="00763662">
        <w:rPr>
          <w:color w:val="000000"/>
        </w:rPr>
        <w:t xml:space="preserve">The article is structured into seven sections. Following this introduction, section two will establish the state of the art, tracing the history of </w:t>
      </w:r>
      <w:proofErr w:type="spellStart"/>
      <w:r w:rsidRPr="00763662">
        <w:rPr>
          <w:color w:val="000000"/>
        </w:rPr>
        <w:t>Nüshu's</w:t>
      </w:r>
      <w:proofErr w:type="spellEnd"/>
      <w:r w:rsidRPr="00763662">
        <w:rPr>
          <w:color w:val="000000"/>
        </w:rPr>
        <w:t xml:space="preserve"> academic rediscovery and delineating the main lines of research. Section three will </w:t>
      </w:r>
      <w:proofErr w:type="spellStart"/>
      <w:r w:rsidRPr="00763662">
        <w:rPr>
          <w:color w:val="000000"/>
        </w:rPr>
        <w:t>analyze</w:t>
      </w:r>
      <w:proofErr w:type="spellEnd"/>
      <w:r w:rsidRPr="00763662">
        <w:rPr>
          <w:color w:val="000000"/>
        </w:rPr>
        <w:t xml:space="preserve"> the geographical, ethnic, and socio-cultural context of </w:t>
      </w:r>
      <w:proofErr w:type="spellStart"/>
      <w:r w:rsidRPr="00763662">
        <w:rPr>
          <w:color w:val="000000"/>
        </w:rPr>
        <w:t>Jiangyong</w:t>
      </w:r>
      <w:proofErr w:type="spellEnd"/>
      <w:r w:rsidRPr="00763662">
        <w:rPr>
          <w:color w:val="000000"/>
        </w:rPr>
        <w:t xml:space="preserve">, examining the historical conditions that facilitated the emergence of this </w:t>
      </w:r>
      <w:proofErr w:type="spellStart"/>
      <w:r w:rsidRPr="00763662">
        <w:rPr>
          <w:color w:val="000000"/>
        </w:rPr>
        <w:t>gynography</w:t>
      </w:r>
      <w:proofErr w:type="spellEnd"/>
      <w:r w:rsidRPr="00763662">
        <w:rPr>
          <w:color w:val="000000"/>
        </w:rPr>
        <w:t xml:space="preserve">. Section four will focus on the linguistic and structural characterization of </w:t>
      </w:r>
      <w:proofErr w:type="spellStart"/>
      <w:r w:rsidRPr="00763662">
        <w:rPr>
          <w:color w:val="000000"/>
        </w:rPr>
        <w:t>Nüshu</w:t>
      </w:r>
      <w:proofErr w:type="spellEnd"/>
      <w:r w:rsidRPr="00763662">
        <w:rPr>
          <w:color w:val="000000"/>
        </w:rPr>
        <w:t xml:space="preserve">, providing a description of its graphic system, its syllabic nature, and some of its phonological and lexical peculiarities. Section five will explore the musical and performative dimension of </w:t>
      </w:r>
      <w:proofErr w:type="spellStart"/>
      <w:r w:rsidRPr="00763662">
        <w:rPr>
          <w:color w:val="000000"/>
        </w:rPr>
        <w:t>Nüshu</w:t>
      </w:r>
      <w:proofErr w:type="spellEnd"/>
      <w:r w:rsidRPr="00763662">
        <w:rPr>
          <w:color w:val="000000"/>
        </w:rPr>
        <w:t xml:space="preserve">; section six will examine the social practices and rituals that underpinned its use and transmission. Finally, Section seven will </w:t>
      </w:r>
      <w:proofErr w:type="spellStart"/>
      <w:r w:rsidRPr="00763662">
        <w:rPr>
          <w:color w:val="000000"/>
        </w:rPr>
        <w:t>analyze</w:t>
      </w:r>
      <w:proofErr w:type="spellEnd"/>
      <w:r w:rsidRPr="00763662">
        <w:rPr>
          <w:color w:val="000000"/>
        </w:rPr>
        <w:t xml:space="preserve"> the contemporary status of </w:t>
      </w:r>
      <w:proofErr w:type="spellStart"/>
      <w:r w:rsidRPr="00763662">
        <w:rPr>
          <w:color w:val="000000"/>
        </w:rPr>
        <w:t>Nüshu</w:t>
      </w:r>
      <w:proofErr w:type="spellEnd"/>
      <w:r w:rsidRPr="00763662">
        <w:rPr>
          <w:color w:val="000000"/>
        </w:rPr>
        <w:t xml:space="preserve"> as Intangible Cultural Heritage, discussing the challenges and opportunities presented by its revitalization.</w:t>
      </w:r>
    </w:p>
    <w:p w14:paraId="796B5BE3" w14:textId="77777777" w:rsidR="005D18C9" w:rsidRPr="00763662" w:rsidRDefault="005D18C9" w:rsidP="00763662">
      <w:pPr>
        <w:pStyle w:val="NormalWeb"/>
        <w:spacing w:line="360" w:lineRule="auto"/>
        <w:rPr>
          <w:color w:val="000000"/>
        </w:rPr>
      </w:pPr>
      <w:r w:rsidRPr="00763662">
        <w:rPr>
          <w:color w:val="000000"/>
        </w:rPr>
        <w:lastRenderedPageBreak/>
        <w:t xml:space="preserve">Through this analysis, the article intends to demonstrate that </w:t>
      </w:r>
      <w:proofErr w:type="spellStart"/>
      <w:r w:rsidRPr="00763662">
        <w:rPr>
          <w:color w:val="000000"/>
        </w:rPr>
        <w:t>Nüshu</w:t>
      </w:r>
      <w:proofErr w:type="spellEnd"/>
      <w:r w:rsidRPr="00763662">
        <w:rPr>
          <w:color w:val="000000"/>
        </w:rPr>
        <w:t xml:space="preserve"> is a complex semiotic system in which writing, sound, and social context are inextricably linked. Understanding </w:t>
      </w:r>
      <w:proofErr w:type="spellStart"/>
      <w:r w:rsidRPr="00763662">
        <w:rPr>
          <w:color w:val="000000"/>
        </w:rPr>
        <w:t>Nüshu</w:t>
      </w:r>
      <w:proofErr w:type="spellEnd"/>
      <w:r w:rsidRPr="00763662">
        <w:rPr>
          <w:color w:val="000000"/>
        </w:rPr>
        <w:t xml:space="preserve"> means recognizing the ability of its creators to transform the margins of society into a space of creativity and self-expression.</w:t>
      </w:r>
    </w:p>
    <w:p w14:paraId="6A1BE1D1" w14:textId="4AB302C4" w:rsidR="000D51EC" w:rsidRPr="00763662" w:rsidRDefault="001F03B2" w:rsidP="00763662">
      <w:pPr>
        <w:pStyle w:val="NormalWeb"/>
        <w:spacing w:line="360" w:lineRule="auto"/>
        <w:rPr>
          <w:color w:val="000000"/>
        </w:rPr>
      </w:pPr>
      <w:r>
        <w:rPr>
          <w:noProof/>
          <w:color w:val="000000"/>
          <w14:ligatures w14:val="standardContextual"/>
        </w:rPr>
        <w:pict w14:anchorId="05119F7B">
          <v:rect id="_x0000_i1026" alt="" style="width:451.3pt;height:.05pt;mso-width-percent:0;mso-height-percent:0;mso-width-percent:0;mso-height-percent:0" o:hralign="center" o:hrstd="t" o:hr="t" fillcolor="#a0a0a0" stroked="f"/>
        </w:pict>
      </w:r>
    </w:p>
    <w:p w14:paraId="7231F1B9" w14:textId="77777777" w:rsidR="00081DCF" w:rsidRPr="00763662" w:rsidRDefault="00081DCF" w:rsidP="00763662">
      <w:pPr>
        <w:pStyle w:val="NormalWeb"/>
        <w:spacing w:line="360" w:lineRule="auto"/>
        <w:rPr>
          <w:color w:val="000000"/>
        </w:rPr>
      </w:pPr>
    </w:p>
    <w:p w14:paraId="4AD898AD" w14:textId="77777777" w:rsidR="00081DCF" w:rsidRPr="00763662" w:rsidRDefault="00081DCF" w:rsidP="00763662">
      <w:pPr>
        <w:pStyle w:val="NormalWeb"/>
        <w:spacing w:line="360" w:lineRule="auto"/>
        <w:rPr>
          <w:color w:val="000000"/>
        </w:rPr>
      </w:pPr>
      <w:r w:rsidRPr="00763662">
        <w:rPr>
          <w:b/>
          <w:bCs/>
          <w:color w:val="000000"/>
        </w:rPr>
        <w:t>2. State of the Art</w:t>
      </w:r>
    </w:p>
    <w:p w14:paraId="726607FA" w14:textId="77777777" w:rsidR="00081DCF" w:rsidRDefault="00081DCF" w:rsidP="00763662">
      <w:pPr>
        <w:pStyle w:val="NormalWeb"/>
        <w:spacing w:line="360" w:lineRule="auto"/>
        <w:rPr>
          <w:color w:val="000000"/>
        </w:rPr>
      </w:pPr>
      <w:r w:rsidRPr="00763662">
        <w:rPr>
          <w:color w:val="000000"/>
        </w:rPr>
        <w:t xml:space="preserve">The academic history of </w:t>
      </w:r>
      <w:proofErr w:type="spellStart"/>
      <w:r w:rsidRPr="00763662">
        <w:rPr>
          <w:color w:val="000000"/>
        </w:rPr>
        <w:t>Nüshu</w:t>
      </w:r>
      <w:proofErr w:type="spellEnd"/>
      <w:r w:rsidRPr="00763662">
        <w:rPr>
          <w:color w:val="000000"/>
        </w:rPr>
        <w:t xml:space="preserve"> is recent. For centuries, its existence remained unknown outside the communities of </w:t>
      </w:r>
      <w:proofErr w:type="spellStart"/>
      <w:r w:rsidRPr="00763662">
        <w:rPr>
          <w:color w:val="000000"/>
        </w:rPr>
        <w:t>Jiangyong</w:t>
      </w:r>
      <w:proofErr w:type="spellEnd"/>
      <w:r w:rsidRPr="00763662">
        <w:rPr>
          <w:color w:val="000000"/>
        </w:rPr>
        <w:t xml:space="preserve"> County. Its emergence into the Chinese and international academic spotlight was the result of a confluence of events, scholarly investigations, and a growing interest in local cultures.</w:t>
      </w:r>
    </w:p>
    <w:p w14:paraId="3C5D46F5" w14:textId="22FB2945" w:rsidR="001461EF" w:rsidRPr="00763662" w:rsidRDefault="001461EF" w:rsidP="00763662">
      <w:pPr>
        <w:pStyle w:val="NormalWeb"/>
        <w:spacing w:line="360" w:lineRule="auto"/>
        <w:rPr>
          <w:color w:val="000000"/>
        </w:rPr>
      </w:pPr>
      <w:r w:rsidRPr="001461EF">
        <w:rPr>
          <w:color w:val="000000"/>
        </w:rPr>
        <w:t xml:space="preserve">This study adopts an interdisciplinary methodological framework combining linguistic analysis, ethnographic observation, and ethnomusicological documentation. Following </w:t>
      </w:r>
      <w:proofErr w:type="spellStart"/>
      <w:r w:rsidRPr="001461EF">
        <w:rPr>
          <w:color w:val="000000"/>
        </w:rPr>
        <w:t>Hymes</w:t>
      </w:r>
      <w:proofErr w:type="spellEnd"/>
      <w:r w:rsidRPr="001461EF">
        <w:rPr>
          <w:color w:val="000000"/>
        </w:rPr>
        <w:t xml:space="preserve"> (1974) and </w:t>
      </w:r>
      <w:proofErr w:type="spellStart"/>
      <w:r w:rsidRPr="001461EF">
        <w:rPr>
          <w:color w:val="000000"/>
        </w:rPr>
        <w:t>Duranti</w:t>
      </w:r>
      <w:proofErr w:type="spellEnd"/>
      <w:r w:rsidRPr="001461EF">
        <w:rPr>
          <w:color w:val="000000"/>
        </w:rPr>
        <w:t xml:space="preserve"> (1997), the research approaches </w:t>
      </w:r>
      <w:proofErr w:type="spellStart"/>
      <w:r w:rsidRPr="001461EF">
        <w:rPr>
          <w:color w:val="000000"/>
        </w:rPr>
        <w:t>Nüshu</w:t>
      </w:r>
      <w:proofErr w:type="spellEnd"/>
      <w:r w:rsidRPr="001461EF">
        <w:rPr>
          <w:color w:val="000000"/>
        </w:rPr>
        <w:t xml:space="preserve"> as a communicative practice embedded in its social context. Fieldwork was conducted through semi-structured interviews and participant observation in </w:t>
      </w:r>
      <w:proofErr w:type="spellStart"/>
      <w:r w:rsidRPr="001461EF">
        <w:rPr>
          <w:color w:val="000000"/>
        </w:rPr>
        <w:t>Jiangyong</w:t>
      </w:r>
      <w:proofErr w:type="spellEnd"/>
      <w:r w:rsidRPr="001461EF">
        <w:rPr>
          <w:color w:val="000000"/>
        </w:rPr>
        <w:t>, alongside the phonetic transcription and melodic analysis of songs recorded between 2019 and 2023. The integration of linguistic and musical data follows the model of multimodal ethnography (Pink, 2011), which emphasizes the interplay between voice, gesture, and material inscription in the creation of meaning.</w:t>
      </w:r>
    </w:p>
    <w:p w14:paraId="4F4CE793" w14:textId="77777777" w:rsidR="00081DCF" w:rsidRPr="00763662" w:rsidRDefault="00081DCF" w:rsidP="00763662">
      <w:pPr>
        <w:pStyle w:val="NormalWeb"/>
        <w:spacing w:line="360" w:lineRule="auto"/>
        <w:rPr>
          <w:color w:val="000000"/>
        </w:rPr>
      </w:pPr>
      <w:r w:rsidRPr="00763662">
        <w:rPr>
          <w:b/>
          <w:bCs/>
          <w:color w:val="000000"/>
        </w:rPr>
        <w:t>2.1. The Rediscovery</w:t>
      </w:r>
      <w:r w:rsidRPr="00763662">
        <w:rPr>
          <w:rStyle w:val="apple-converted-space"/>
          <w:rFonts w:eastAsiaTheme="majorEastAsia"/>
          <w:color w:val="000000"/>
        </w:rPr>
        <w:t> </w:t>
      </w:r>
      <w:r w:rsidRPr="00763662">
        <w:rPr>
          <w:color w:val="000000"/>
        </w:rPr>
        <w:t xml:space="preserve">Although local officials had reported observing the writing system in the 1950s, the political climate of the Great Leap Forward (1958-1962) and the subsequent Cultural Revolution (1966-1976) prevented systematic investigation. During the Cultural Revolution, </w:t>
      </w:r>
      <w:proofErr w:type="spellStart"/>
      <w:r w:rsidRPr="00763662">
        <w:rPr>
          <w:color w:val="000000"/>
        </w:rPr>
        <w:t>Nüshu</w:t>
      </w:r>
      <w:proofErr w:type="spellEnd"/>
      <w:r w:rsidRPr="00763662">
        <w:rPr>
          <w:color w:val="000000"/>
        </w:rPr>
        <w:t xml:space="preserve"> was condemned as "witchcraft writing" or a secret code. As a result, numerous texts were destroyed by their owners for fear of political persecution, and the practice and transmission of the script nearly ceased, accelerating its decline. This period represents a near-fatal break in the organic transmission of </w:t>
      </w:r>
      <w:proofErr w:type="spellStart"/>
      <w:r w:rsidRPr="00763662">
        <w:rPr>
          <w:color w:val="000000"/>
        </w:rPr>
        <w:t>Nüshu</w:t>
      </w:r>
      <w:proofErr w:type="spellEnd"/>
      <w:r w:rsidRPr="00763662">
        <w:rPr>
          <w:color w:val="000000"/>
        </w:rPr>
        <w:t>. The script faced a critical challenge for survival during this era, with many practitioners afraid to use or display it.</w:t>
      </w:r>
    </w:p>
    <w:p w14:paraId="545CBF81" w14:textId="77777777" w:rsidR="00081DCF" w:rsidRPr="00763662" w:rsidRDefault="00081DCF" w:rsidP="00763662">
      <w:pPr>
        <w:pStyle w:val="NormalWeb"/>
        <w:spacing w:line="360" w:lineRule="auto"/>
        <w:rPr>
          <w:color w:val="000000"/>
        </w:rPr>
      </w:pPr>
      <w:r w:rsidRPr="00763662">
        <w:rPr>
          <w:color w:val="000000"/>
        </w:rPr>
        <w:t xml:space="preserve">The academic "rediscovery" is conventionally dated to 1982, when Gong Zhebing, a professor at the South-Central </w:t>
      </w:r>
      <w:proofErr w:type="spellStart"/>
      <w:r w:rsidRPr="00763662">
        <w:rPr>
          <w:color w:val="000000"/>
        </w:rPr>
        <w:t>Minzu</w:t>
      </w:r>
      <w:proofErr w:type="spellEnd"/>
      <w:r w:rsidRPr="00763662">
        <w:rPr>
          <w:color w:val="000000"/>
        </w:rPr>
        <w:t xml:space="preserve"> University, observed unknown symbols on decorated </w:t>
      </w:r>
      <w:r w:rsidRPr="00763662">
        <w:rPr>
          <w:color w:val="000000"/>
        </w:rPr>
        <w:lastRenderedPageBreak/>
        <w:t xml:space="preserve">sashes worn by Yao girls during an ethnographic study. The young women reported that these were characters once used by their ancestors. This episode prompted Gong to deepen his investigations, which led him to the village of </w:t>
      </w:r>
      <w:proofErr w:type="spellStart"/>
      <w:r w:rsidRPr="00763662">
        <w:rPr>
          <w:color w:val="000000"/>
        </w:rPr>
        <w:t>Baishui</w:t>
      </w:r>
      <w:proofErr w:type="spellEnd"/>
      <w:r w:rsidRPr="00763662">
        <w:rPr>
          <w:color w:val="000000"/>
        </w:rPr>
        <w:t xml:space="preserve"> in </w:t>
      </w:r>
      <w:proofErr w:type="spellStart"/>
      <w:r w:rsidRPr="00763662">
        <w:rPr>
          <w:color w:val="000000"/>
        </w:rPr>
        <w:t>Jiangyong</w:t>
      </w:r>
      <w:proofErr w:type="spellEnd"/>
      <w:r w:rsidRPr="00763662">
        <w:rPr>
          <w:color w:val="000000"/>
        </w:rPr>
        <w:t xml:space="preserve"> County. Here he discovered a blue cloth handkerchief with over 800 unknown characters and met Gao Yinxian, one of the last natural inheritors of </w:t>
      </w:r>
      <w:proofErr w:type="spellStart"/>
      <w:r w:rsidRPr="00763662">
        <w:rPr>
          <w:color w:val="000000"/>
        </w:rPr>
        <w:t>Nüshu</w:t>
      </w:r>
      <w:proofErr w:type="spellEnd"/>
      <w:r w:rsidRPr="00763662">
        <w:rPr>
          <w:color w:val="000000"/>
        </w:rPr>
        <w:t xml:space="preserve">. It was she who confirmed that this writing was readable and in active use. After a year of study, Gong published the first scientific article on </w:t>
      </w:r>
      <w:proofErr w:type="spellStart"/>
      <w:r w:rsidRPr="00763662">
        <w:rPr>
          <w:color w:val="000000"/>
        </w:rPr>
        <w:t>Nüshu</w:t>
      </w:r>
      <w:proofErr w:type="spellEnd"/>
      <w:r w:rsidRPr="00763662">
        <w:rPr>
          <w:color w:val="000000"/>
        </w:rPr>
        <w:t xml:space="preserve"> in 1983, marking the beginning of its academic and cultural recognition. Initial research findings, published in the mid-1980s, confirmed the existence and uniqueness of </w:t>
      </w:r>
      <w:proofErr w:type="spellStart"/>
      <w:r w:rsidRPr="00763662">
        <w:rPr>
          <w:color w:val="000000"/>
        </w:rPr>
        <w:t>Nüshu</w:t>
      </w:r>
      <w:proofErr w:type="spellEnd"/>
      <w:r w:rsidRPr="00763662">
        <w:rPr>
          <w:color w:val="000000"/>
        </w:rPr>
        <w:t xml:space="preserve">, bringing a wave of media and scientific interest throughout China. This served as a catalyst, transforming </w:t>
      </w:r>
      <w:proofErr w:type="spellStart"/>
      <w:r w:rsidRPr="00763662">
        <w:rPr>
          <w:color w:val="000000"/>
        </w:rPr>
        <w:t>Nüshu</w:t>
      </w:r>
      <w:proofErr w:type="spellEnd"/>
      <w:r w:rsidRPr="00763662">
        <w:rPr>
          <w:color w:val="000000"/>
        </w:rPr>
        <w:t xml:space="preserve"> from a localized phenomenon into a nationally recognized object of academic inquiry.</w:t>
      </w:r>
    </w:p>
    <w:p w14:paraId="052B8E2F" w14:textId="77777777" w:rsidR="00081DCF" w:rsidRPr="00763662" w:rsidRDefault="00081DCF" w:rsidP="00763662">
      <w:pPr>
        <w:pStyle w:val="NormalWeb"/>
        <w:spacing w:line="360" w:lineRule="auto"/>
        <w:rPr>
          <w:color w:val="000000"/>
        </w:rPr>
      </w:pPr>
      <w:r w:rsidRPr="00763662">
        <w:rPr>
          <w:b/>
          <w:bCs/>
          <w:color w:val="000000"/>
        </w:rPr>
        <w:t>2.2. Foundational Chinese Scholarship</w:t>
      </w:r>
      <w:r w:rsidRPr="00763662">
        <w:rPr>
          <w:rStyle w:val="apple-converted-space"/>
          <w:rFonts w:eastAsiaTheme="majorEastAsia"/>
          <w:color w:val="000000"/>
        </w:rPr>
        <w:t> </w:t>
      </w:r>
      <w:r w:rsidRPr="00763662">
        <w:rPr>
          <w:color w:val="000000"/>
        </w:rPr>
        <w:t xml:space="preserve">The dedication of Chinese scholars has been fundamental to the preservation and documentation of </w:t>
      </w:r>
      <w:proofErr w:type="spellStart"/>
      <w:r w:rsidRPr="00763662">
        <w:rPr>
          <w:color w:val="000000"/>
        </w:rPr>
        <w:t>Nüshu</w:t>
      </w:r>
      <w:proofErr w:type="spellEnd"/>
      <w:r w:rsidRPr="00763662">
        <w:rPr>
          <w:color w:val="000000"/>
        </w:rPr>
        <w:t xml:space="preserve">. Among these figures, Professor Zhao Liming of Tsinghua University is notable. Beginning in the late 1980s, she has dedicated her academic career to the study of </w:t>
      </w:r>
      <w:proofErr w:type="spellStart"/>
      <w:r w:rsidRPr="00763662">
        <w:rPr>
          <w:color w:val="000000"/>
        </w:rPr>
        <w:t>Nüshu</w:t>
      </w:r>
      <w:proofErr w:type="spellEnd"/>
      <w:r w:rsidRPr="00763662">
        <w:rPr>
          <w:color w:val="000000"/>
        </w:rPr>
        <w:t xml:space="preserve">. Her extensive fieldwork led to the collection of a large corpus of original texts. She also conducted in-depth interviews with the last elderly women who retained a fluent mastery of </w:t>
      </w:r>
      <w:proofErr w:type="spellStart"/>
      <w:r w:rsidRPr="00763662">
        <w:rPr>
          <w:color w:val="000000"/>
        </w:rPr>
        <w:t>Nüshu</w:t>
      </w:r>
      <w:proofErr w:type="spellEnd"/>
      <w:r w:rsidRPr="00763662">
        <w:rPr>
          <w:color w:val="000000"/>
        </w:rPr>
        <w:t>, such as Yang Huanyi, who passed away in 2004 at the age of 98 and is considered the last "natural" practitioner. Professor Zhao's work was crucial for preserving an oral and written tradition that was on the brink of extinction, creating a valuable linguistic and ethnographic archive.</w:t>
      </w:r>
    </w:p>
    <w:p w14:paraId="72FA5E23" w14:textId="77777777" w:rsidR="00081DCF" w:rsidRPr="00763662" w:rsidRDefault="00081DCF" w:rsidP="00763662">
      <w:pPr>
        <w:pStyle w:val="NormalWeb"/>
        <w:spacing w:line="360" w:lineRule="auto"/>
        <w:rPr>
          <w:color w:val="000000"/>
        </w:rPr>
      </w:pPr>
      <w:r w:rsidRPr="00763662">
        <w:rPr>
          <w:color w:val="000000"/>
        </w:rPr>
        <w:t>Professor Zhao Liming's contribution is very important. Her work,</w:t>
      </w:r>
      <w:r w:rsidRPr="00763662">
        <w:rPr>
          <w:rStyle w:val="apple-converted-space"/>
          <w:rFonts w:eastAsiaTheme="majorEastAsia"/>
          <w:color w:val="000000"/>
        </w:rPr>
        <w:t> </w:t>
      </w:r>
      <w:proofErr w:type="spellStart"/>
      <w:r w:rsidRPr="00763662">
        <w:rPr>
          <w:i/>
          <w:iCs/>
          <w:color w:val="000000"/>
        </w:rPr>
        <w:t>Zhongguo</w:t>
      </w:r>
      <w:proofErr w:type="spellEnd"/>
      <w:r w:rsidRPr="00763662">
        <w:rPr>
          <w:i/>
          <w:iCs/>
          <w:color w:val="000000"/>
        </w:rPr>
        <w:t xml:space="preserve"> </w:t>
      </w:r>
      <w:proofErr w:type="spellStart"/>
      <w:r w:rsidRPr="00763662">
        <w:rPr>
          <w:i/>
          <w:iCs/>
          <w:color w:val="000000"/>
        </w:rPr>
        <w:t>Nüshu</w:t>
      </w:r>
      <w:proofErr w:type="spellEnd"/>
      <w:r w:rsidRPr="00763662">
        <w:rPr>
          <w:i/>
          <w:iCs/>
          <w:color w:val="000000"/>
        </w:rPr>
        <w:t xml:space="preserve"> </w:t>
      </w:r>
      <w:proofErr w:type="spellStart"/>
      <w:r w:rsidRPr="00763662">
        <w:rPr>
          <w:i/>
          <w:iCs/>
          <w:color w:val="000000"/>
        </w:rPr>
        <w:t>Jicheng</w:t>
      </w:r>
      <w:proofErr w:type="spellEnd"/>
      <w:r w:rsidRPr="00763662">
        <w:rPr>
          <w:rStyle w:val="apple-converted-space"/>
          <w:rFonts w:eastAsiaTheme="majorEastAsia"/>
          <w:color w:val="000000"/>
        </w:rPr>
        <w:t> </w:t>
      </w:r>
      <w:r w:rsidRPr="00763662">
        <w:rPr>
          <w:color w:val="000000"/>
        </w:rPr>
        <w:t xml:space="preserve">(Compendium of Chinese </w:t>
      </w:r>
      <w:proofErr w:type="spellStart"/>
      <w:r w:rsidRPr="00763662">
        <w:rPr>
          <w:color w:val="000000"/>
        </w:rPr>
        <w:t>Nüshu</w:t>
      </w:r>
      <w:proofErr w:type="spellEnd"/>
      <w:r w:rsidRPr="00763662">
        <w:rPr>
          <w:color w:val="000000"/>
        </w:rPr>
        <w:t xml:space="preserve">), published in 1992, represents the first systematic collection of </w:t>
      </w:r>
      <w:proofErr w:type="spellStart"/>
      <w:r w:rsidRPr="00763662">
        <w:rPr>
          <w:color w:val="000000"/>
        </w:rPr>
        <w:t>Nüshu</w:t>
      </w:r>
      <w:proofErr w:type="spellEnd"/>
      <w:r w:rsidRPr="00763662">
        <w:rPr>
          <w:color w:val="000000"/>
        </w:rPr>
        <w:t xml:space="preserve"> texts. This compendium includes transcriptions in standard Chinese characters and in-depth analyses. Her research established the nature of </w:t>
      </w:r>
      <w:proofErr w:type="spellStart"/>
      <w:r w:rsidRPr="00763662">
        <w:rPr>
          <w:color w:val="000000"/>
        </w:rPr>
        <w:t>Nüshu</w:t>
      </w:r>
      <w:proofErr w:type="spellEnd"/>
      <w:r w:rsidRPr="00763662">
        <w:rPr>
          <w:color w:val="000000"/>
        </w:rPr>
        <w:t xml:space="preserve"> as a syllabic writing system, demonstrating its connection to the phonology of the local </w:t>
      </w:r>
      <w:proofErr w:type="spellStart"/>
      <w:r w:rsidRPr="00763662">
        <w:rPr>
          <w:color w:val="000000"/>
        </w:rPr>
        <w:t>Jiangyong</w:t>
      </w:r>
      <w:proofErr w:type="spellEnd"/>
      <w:r w:rsidRPr="00763662">
        <w:rPr>
          <w:color w:val="000000"/>
        </w:rPr>
        <w:t xml:space="preserve"> dialect (</w:t>
      </w:r>
      <w:proofErr w:type="spellStart"/>
      <w:r w:rsidRPr="00763662">
        <w:rPr>
          <w:color w:val="000000"/>
        </w:rPr>
        <w:t>tuhua</w:t>
      </w:r>
      <w:proofErr w:type="spellEnd"/>
      <w:r w:rsidRPr="00763662">
        <w:rPr>
          <w:color w:val="000000"/>
        </w:rPr>
        <w:t xml:space="preserve">), and documented its various social and ritual uses. From a linguistic perspective, Zhao demonstrated that </w:t>
      </w:r>
      <w:proofErr w:type="spellStart"/>
      <w:r w:rsidRPr="00763662">
        <w:rPr>
          <w:color w:val="000000"/>
        </w:rPr>
        <w:t>Nüshu</w:t>
      </w:r>
      <w:proofErr w:type="spellEnd"/>
      <w:r w:rsidRPr="00763662">
        <w:rPr>
          <w:color w:val="000000"/>
        </w:rPr>
        <w:t xml:space="preserve"> is not a logogram, but a syllabary, a distinction for its structural analysis. Her work corrected previous speculations, such as the idea that </w:t>
      </w:r>
      <w:proofErr w:type="spellStart"/>
      <w:r w:rsidRPr="00763662">
        <w:rPr>
          <w:color w:val="000000"/>
        </w:rPr>
        <w:t>Nüshu</w:t>
      </w:r>
      <w:proofErr w:type="spellEnd"/>
      <w:r w:rsidRPr="00763662">
        <w:rPr>
          <w:color w:val="000000"/>
        </w:rPr>
        <w:t xml:space="preserve"> was an ancient pictographic script or that it was related to oracle bone inscriptions, thereby rooting the study of </w:t>
      </w:r>
      <w:proofErr w:type="spellStart"/>
      <w:r w:rsidRPr="00763662">
        <w:rPr>
          <w:color w:val="000000"/>
        </w:rPr>
        <w:t>Nüshu</w:t>
      </w:r>
      <w:proofErr w:type="spellEnd"/>
      <w:r w:rsidRPr="00763662">
        <w:rPr>
          <w:color w:val="000000"/>
        </w:rPr>
        <w:t xml:space="preserve"> in a linguistic and anthropological framework.</w:t>
      </w:r>
    </w:p>
    <w:p w14:paraId="6CEAB0A9" w14:textId="77777777" w:rsidR="001461EF" w:rsidRDefault="00081DCF" w:rsidP="00763662">
      <w:pPr>
        <w:pStyle w:val="NormalWeb"/>
        <w:spacing w:line="360" w:lineRule="auto"/>
        <w:rPr>
          <w:rStyle w:val="apple-converted-space"/>
          <w:rFonts w:eastAsiaTheme="majorEastAsia"/>
          <w:color w:val="000000"/>
        </w:rPr>
      </w:pPr>
      <w:r w:rsidRPr="00763662">
        <w:rPr>
          <w:b/>
          <w:bCs/>
          <w:color w:val="000000"/>
        </w:rPr>
        <w:t>2.3. International Research</w:t>
      </w:r>
      <w:r w:rsidRPr="00763662">
        <w:rPr>
          <w:rStyle w:val="apple-converted-space"/>
          <w:rFonts w:eastAsiaTheme="majorEastAsia"/>
          <w:color w:val="000000"/>
        </w:rPr>
        <w:t> </w:t>
      </w:r>
    </w:p>
    <w:p w14:paraId="09FA6658" w14:textId="677775AF" w:rsidR="00081DCF" w:rsidRPr="00763662" w:rsidRDefault="00081DCF" w:rsidP="00763662">
      <w:pPr>
        <w:pStyle w:val="NormalWeb"/>
        <w:spacing w:line="360" w:lineRule="auto"/>
        <w:rPr>
          <w:color w:val="000000"/>
        </w:rPr>
      </w:pPr>
      <w:r w:rsidRPr="00763662">
        <w:rPr>
          <w:color w:val="000000"/>
        </w:rPr>
        <w:lastRenderedPageBreak/>
        <w:t xml:space="preserve">From the 1990s onward, </w:t>
      </w:r>
      <w:proofErr w:type="spellStart"/>
      <w:r w:rsidRPr="00763662">
        <w:rPr>
          <w:color w:val="000000"/>
        </w:rPr>
        <w:t>Nüshu</w:t>
      </w:r>
      <w:proofErr w:type="spellEnd"/>
      <w:r w:rsidRPr="00763662">
        <w:rPr>
          <w:color w:val="000000"/>
        </w:rPr>
        <w:t xml:space="preserve"> captured the attention of the international academic community, which applied diverse theoretical lenses to the phenomenon. Anthropologist Cathy Silber was among the first Western scholars to conduct ethnographic research in </w:t>
      </w:r>
      <w:proofErr w:type="spellStart"/>
      <w:r w:rsidRPr="00763662">
        <w:rPr>
          <w:color w:val="000000"/>
        </w:rPr>
        <w:t>Jiangyong</w:t>
      </w:r>
      <w:proofErr w:type="spellEnd"/>
      <w:r w:rsidRPr="00763662">
        <w:rPr>
          <w:color w:val="000000"/>
        </w:rPr>
        <w:t xml:space="preserve">. Her work focused on the social practices surrounding </w:t>
      </w:r>
      <w:proofErr w:type="spellStart"/>
      <w:r w:rsidRPr="00763662">
        <w:rPr>
          <w:color w:val="000000"/>
        </w:rPr>
        <w:t>Nüshu</w:t>
      </w:r>
      <w:proofErr w:type="spellEnd"/>
      <w:r w:rsidRPr="00763662">
        <w:rPr>
          <w:color w:val="000000"/>
        </w:rPr>
        <w:t>, particularly the ritual of sworn sisterhood bonds (</w:t>
      </w:r>
      <w:proofErr w:type="spellStart"/>
      <w:r w:rsidRPr="00763662">
        <w:rPr>
          <w:color w:val="000000"/>
        </w:rPr>
        <w:t>jiébài</w:t>
      </w:r>
      <w:proofErr w:type="spellEnd"/>
      <w:r w:rsidRPr="00763662">
        <w:rPr>
          <w:color w:val="000000"/>
        </w:rPr>
        <w:t xml:space="preserve"> </w:t>
      </w:r>
      <w:proofErr w:type="spellStart"/>
      <w:r w:rsidRPr="00763662">
        <w:rPr>
          <w:color w:val="000000"/>
        </w:rPr>
        <w:t>zǐmèi</w:t>
      </w:r>
      <w:proofErr w:type="spellEnd"/>
      <w:r w:rsidRPr="00763662">
        <w:rPr>
          <w:color w:val="000000"/>
        </w:rPr>
        <w:t xml:space="preserve"> and laotong) and the function of the</w:t>
      </w:r>
      <w:r w:rsidRPr="00763662">
        <w:rPr>
          <w:rStyle w:val="apple-converted-space"/>
          <w:rFonts w:eastAsiaTheme="majorEastAsia"/>
          <w:color w:val="000000"/>
        </w:rPr>
        <w:t> </w:t>
      </w:r>
      <w:proofErr w:type="spellStart"/>
      <w:proofErr w:type="gramStart"/>
      <w:r w:rsidRPr="00763662">
        <w:rPr>
          <w:i/>
          <w:iCs/>
          <w:color w:val="000000"/>
        </w:rPr>
        <w:t>Sanzhaoshu</w:t>
      </w:r>
      <w:proofErr w:type="spellEnd"/>
      <w:r w:rsidRPr="00763662">
        <w:rPr>
          <w:color w:val="000000"/>
        </w:rPr>
        <w:t>(</w:t>
      </w:r>
      <w:proofErr w:type="gramEnd"/>
      <w:r w:rsidRPr="00763662">
        <w:rPr>
          <w:color w:val="000000"/>
        </w:rPr>
        <w:t xml:space="preserve">"Third Day Books"): books made of fabric and paper crafted by a bride's mother and sisters and given to her as a gift. Silber </w:t>
      </w:r>
      <w:proofErr w:type="spellStart"/>
      <w:r w:rsidRPr="00763662">
        <w:rPr>
          <w:color w:val="000000"/>
        </w:rPr>
        <w:t>analyzed</w:t>
      </w:r>
      <w:proofErr w:type="spellEnd"/>
      <w:r w:rsidRPr="00763662">
        <w:rPr>
          <w:color w:val="000000"/>
        </w:rPr>
        <w:t xml:space="preserve"> </w:t>
      </w:r>
      <w:proofErr w:type="spellStart"/>
      <w:r w:rsidRPr="00763662">
        <w:rPr>
          <w:color w:val="000000"/>
        </w:rPr>
        <w:t>Nüshu</w:t>
      </w:r>
      <w:proofErr w:type="spellEnd"/>
      <w:r w:rsidRPr="00763662">
        <w:rPr>
          <w:color w:val="000000"/>
        </w:rPr>
        <w:t xml:space="preserve"> not just as a writing system but as a "social technology" that allowed women to negotiate their identities and express their grief regarding patrilocal marriage, a practice that separated them from their original family. She coined the term "patrilocal resistance" to describe how </w:t>
      </w:r>
      <w:proofErr w:type="spellStart"/>
      <w:r w:rsidRPr="00763662">
        <w:rPr>
          <w:color w:val="000000"/>
        </w:rPr>
        <w:t>Nüshu</w:t>
      </w:r>
      <w:proofErr w:type="spellEnd"/>
      <w:r w:rsidRPr="00763662">
        <w:rPr>
          <w:color w:val="000000"/>
        </w:rPr>
        <w:t xml:space="preserve"> articulated a form of emotional critique and resilience within the constraints of the patriarchal system. This sociological-anthropological approach highlighted </w:t>
      </w:r>
      <w:proofErr w:type="spellStart"/>
      <w:r w:rsidRPr="00763662">
        <w:rPr>
          <w:color w:val="000000"/>
        </w:rPr>
        <w:t>Nüshu</w:t>
      </w:r>
      <w:proofErr w:type="spellEnd"/>
      <w:r w:rsidRPr="00763662">
        <w:rPr>
          <w:color w:val="000000"/>
        </w:rPr>
        <w:t xml:space="preserve"> as a tool for female empowerment and identity expression.</w:t>
      </w:r>
    </w:p>
    <w:p w14:paraId="6634FA95" w14:textId="022432C3" w:rsidR="00081DCF" w:rsidRPr="00763662" w:rsidRDefault="00081DCF" w:rsidP="00763662">
      <w:pPr>
        <w:pStyle w:val="NormalWeb"/>
        <w:spacing w:line="360" w:lineRule="auto"/>
        <w:rPr>
          <w:color w:val="000000"/>
        </w:rPr>
      </w:pPr>
      <w:r w:rsidRPr="00763662">
        <w:rPr>
          <w:color w:val="000000"/>
        </w:rPr>
        <w:t xml:space="preserve">Another significant contribution comes from Orie Endo, a Japanese scholar who played a role in the documentation and comparative study of </w:t>
      </w:r>
      <w:proofErr w:type="spellStart"/>
      <w:r w:rsidRPr="00763662">
        <w:rPr>
          <w:color w:val="000000"/>
        </w:rPr>
        <w:t>Nüshu</w:t>
      </w:r>
      <w:proofErr w:type="spellEnd"/>
      <w:r w:rsidRPr="00763662">
        <w:rPr>
          <w:color w:val="000000"/>
        </w:rPr>
        <w:t xml:space="preserve">. Endo collected a corpus of texts and worked closely with Yang Huanyi, ensuring the preservation of firsthand knowledge. Her approach often emphasized comparative aspects, for example, drawing parallels between the use of </w:t>
      </w:r>
      <w:proofErr w:type="spellStart"/>
      <w:r w:rsidRPr="00763662">
        <w:rPr>
          <w:color w:val="000000"/>
        </w:rPr>
        <w:t>Nüshu</w:t>
      </w:r>
      <w:proofErr w:type="spellEnd"/>
      <w:r w:rsidRPr="00763662">
        <w:rPr>
          <w:color w:val="000000"/>
        </w:rPr>
        <w:t xml:space="preserve"> and the historical use of the Hiragana syllabary by Japanese court women during the Heian period. This comparative lens contributed to integrating </w:t>
      </w:r>
      <w:proofErr w:type="spellStart"/>
      <w:r w:rsidRPr="00763662">
        <w:rPr>
          <w:color w:val="000000"/>
        </w:rPr>
        <w:t>Nüshu</w:t>
      </w:r>
      <w:proofErr w:type="spellEnd"/>
      <w:r w:rsidRPr="00763662">
        <w:rPr>
          <w:color w:val="000000"/>
        </w:rPr>
        <w:t xml:space="preserve"> into a broader global discourse on women's scripts, offering a framework for </w:t>
      </w:r>
      <w:proofErr w:type="spellStart"/>
      <w:r w:rsidRPr="00763662">
        <w:rPr>
          <w:color w:val="000000"/>
        </w:rPr>
        <w:t>analyzing</w:t>
      </w:r>
      <w:proofErr w:type="spellEnd"/>
      <w:r w:rsidRPr="00763662">
        <w:rPr>
          <w:color w:val="000000"/>
        </w:rPr>
        <w:t xml:space="preserve"> similarities and differences in female literacy strategies across different cultures.</w:t>
      </w:r>
    </w:p>
    <w:p w14:paraId="197E2450" w14:textId="77777777" w:rsidR="00081DCF" w:rsidRPr="00763662" w:rsidRDefault="00081DCF" w:rsidP="00763662">
      <w:pPr>
        <w:pStyle w:val="NormalWeb"/>
        <w:spacing w:line="360" w:lineRule="auto"/>
        <w:rPr>
          <w:color w:val="000000"/>
        </w:rPr>
      </w:pPr>
      <w:r w:rsidRPr="00763662">
        <w:rPr>
          <w:color w:val="000000"/>
        </w:rPr>
        <w:t xml:space="preserve">The popularization of </w:t>
      </w:r>
      <w:proofErr w:type="spellStart"/>
      <w:r w:rsidRPr="00763662">
        <w:rPr>
          <w:color w:val="000000"/>
        </w:rPr>
        <w:t>Nüshu</w:t>
      </w:r>
      <w:proofErr w:type="spellEnd"/>
      <w:r w:rsidRPr="00763662">
        <w:rPr>
          <w:color w:val="000000"/>
        </w:rPr>
        <w:t xml:space="preserve"> beyond academic circles is largely attributable to the historical novel by Lisa See,</w:t>
      </w:r>
      <w:r w:rsidRPr="00763662">
        <w:rPr>
          <w:rStyle w:val="apple-converted-space"/>
          <w:rFonts w:eastAsiaTheme="majorEastAsia"/>
          <w:color w:val="000000"/>
        </w:rPr>
        <w:t> </w:t>
      </w:r>
      <w:r w:rsidRPr="00763662">
        <w:rPr>
          <w:i/>
          <w:iCs/>
          <w:color w:val="000000"/>
        </w:rPr>
        <w:t>Snow Flower and the Secret Fan</w:t>
      </w:r>
      <w:r w:rsidRPr="00763662">
        <w:rPr>
          <w:rStyle w:val="apple-converted-space"/>
          <w:rFonts w:eastAsiaTheme="majorEastAsia"/>
          <w:color w:val="000000"/>
        </w:rPr>
        <w:t> </w:t>
      </w:r>
      <w:r w:rsidRPr="00763662">
        <w:rPr>
          <w:color w:val="000000"/>
        </w:rPr>
        <w:t xml:space="preserve">(2005), and its subsequent film adaptation. Although a work of fiction, the novel introduced </w:t>
      </w:r>
      <w:proofErr w:type="spellStart"/>
      <w:r w:rsidRPr="00763662">
        <w:rPr>
          <w:color w:val="000000"/>
        </w:rPr>
        <w:t>Nüshu</w:t>
      </w:r>
      <w:proofErr w:type="spellEnd"/>
      <w:r w:rsidRPr="00763662">
        <w:rPr>
          <w:color w:val="000000"/>
        </w:rPr>
        <w:t xml:space="preserve"> to a global audience. This popularization had an ambivalent effect: on one hand, it generated public interest and likely helped mobilize resources for </w:t>
      </w:r>
      <w:proofErr w:type="spellStart"/>
      <w:r w:rsidRPr="00763662">
        <w:rPr>
          <w:color w:val="000000"/>
        </w:rPr>
        <w:t>Nüshu's</w:t>
      </w:r>
      <w:proofErr w:type="spellEnd"/>
      <w:r w:rsidRPr="00763662">
        <w:rPr>
          <w:color w:val="000000"/>
        </w:rPr>
        <w:t xml:space="preserve"> preservation; on the other, it sometimes promoted a romanticized and decontextualized image, running the risk of simplifying its historical and linguistic complexity.</w:t>
      </w:r>
    </w:p>
    <w:p w14:paraId="310E92C4" w14:textId="77777777" w:rsidR="003F41C3" w:rsidRDefault="00081DCF" w:rsidP="00763662">
      <w:pPr>
        <w:pStyle w:val="NormalWeb"/>
        <w:spacing w:line="360" w:lineRule="auto"/>
        <w:rPr>
          <w:rStyle w:val="apple-converted-space"/>
          <w:rFonts w:eastAsiaTheme="majorEastAsia"/>
          <w:color w:val="000000"/>
        </w:rPr>
      </w:pPr>
      <w:r w:rsidRPr="00763662">
        <w:rPr>
          <w:b/>
          <w:bCs/>
          <w:color w:val="000000"/>
        </w:rPr>
        <w:t>2.4. Gaps in the Literature</w:t>
      </w:r>
      <w:r w:rsidRPr="00763662">
        <w:rPr>
          <w:rStyle w:val="apple-converted-space"/>
          <w:rFonts w:eastAsiaTheme="majorEastAsia"/>
          <w:color w:val="000000"/>
        </w:rPr>
        <w:t> </w:t>
      </w:r>
    </w:p>
    <w:p w14:paraId="1743C00C" w14:textId="57CB65D5" w:rsidR="00081DCF" w:rsidRPr="00763662" w:rsidRDefault="00081DCF" w:rsidP="00763662">
      <w:pPr>
        <w:pStyle w:val="NormalWeb"/>
        <w:spacing w:line="360" w:lineRule="auto"/>
        <w:rPr>
          <w:color w:val="000000"/>
        </w:rPr>
      </w:pPr>
      <w:r w:rsidRPr="00763662">
        <w:rPr>
          <w:color w:val="000000"/>
        </w:rPr>
        <w:t xml:space="preserve">Despite these existing studies, areas remain unexplored. A complete descriptive grammar of the </w:t>
      </w:r>
      <w:proofErr w:type="spellStart"/>
      <w:r w:rsidRPr="00763662">
        <w:rPr>
          <w:color w:val="000000"/>
        </w:rPr>
        <w:t>Nüshu</w:t>
      </w:r>
      <w:proofErr w:type="spellEnd"/>
      <w:r w:rsidRPr="00763662">
        <w:rPr>
          <w:color w:val="000000"/>
        </w:rPr>
        <w:t xml:space="preserve"> writing system and the </w:t>
      </w:r>
      <w:proofErr w:type="spellStart"/>
      <w:r w:rsidRPr="00763662">
        <w:rPr>
          <w:color w:val="000000"/>
        </w:rPr>
        <w:t>Tuhua</w:t>
      </w:r>
      <w:proofErr w:type="spellEnd"/>
      <w:r w:rsidRPr="00763662">
        <w:rPr>
          <w:color w:val="000000"/>
        </w:rPr>
        <w:t xml:space="preserve"> dialect that it transcribes is still a desideratum. The </w:t>
      </w:r>
      <w:r w:rsidRPr="00763662">
        <w:rPr>
          <w:color w:val="000000"/>
        </w:rPr>
        <w:lastRenderedPageBreak/>
        <w:t xml:space="preserve">phonology of the </w:t>
      </w:r>
      <w:proofErr w:type="spellStart"/>
      <w:r w:rsidRPr="00763662">
        <w:rPr>
          <w:color w:val="000000"/>
        </w:rPr>
        <w:t>Tuhua</w:t>
      </w:r>
      <w:proofErr w:type="spellEnd"/>
      <w:r w:rsidRPr="00763662">
        <w:rPr>
          <w:color w:val="000000"/>
        </w:rPr>
        <w:t xml:space="preserve"> dialect, in particular its tonal system and how these tones are conveyed or implied in </w:t>
      </w:r>
      <w:proofErr w:type="spellStart"/>
      <w:r w:rsidRPr="00763662">
        <w:rPr>
          <w:color w:val="000000"/>
        </w:rPr>
        <w:t>Nüshu</w:t>
      </w:r>
      <w:proofErr w:type="spellEnd"/>
      <w:r w:rsidRPr="00763662">
        <w:rPr>
          <w:color w:val="000000"/>
        </w:rPr>
        <w:t xml:space="preserve"> notation, has not been completely documented or </w:t>
      </w:r>
      <w:proofErr w:type="spellStart"/>
      <w:r w:rsidRPr="00763662">
        <w:rPr>
          <w:color w:val="000000"/>
        </w:rPr>
        <w:t>analyzed</w:t>
      </w:r>
      <w:proofErr w:type="spellEnd"/>
      <w:r w:rsidRPr="00763662">
        <w:rPr>
          <w:color w:val="000000"/>
        </w:rPr>
        <w:t xml:space="preserve"> in relation to the script. The interactions between the sung language (as written in </w:t>
      </w:r>
      <w:proofErr w:type="spellStart"/>
      <w:r w:rsidRPr="00763662">
        <w:rPr>
          <w:color w:val="000000"/>
        </w:rPr>
        <w:t>Nüshu</w:t>
      </w:r>
      <w:proofErr w:type="spellEnd"/>
      <w:r w:rsidRPr="00763662">
        <w:rPr>
          <w:color w:val="000000"/>
        </w:rPr>
        <w:t xml:space="preserve">) and the everyday spoken dialect remain poorly understood. For instance, there is a lack of analysis of how the specific tones of the </w:t>
      </w:r>
      <w:proofErr w:type="spellStart"/>
      <w:r w:rsidRPr="00763662">
        <w:rPr>
          <w:color w:val="000000"/>
        </w:rPr>
        <w:t>Tuhua</w:t>
      </w:r>
      <w:proofErr w:type="spellEnd"/>
      <w:r w:rsidRPr="00763662">
        <w:rPr>
          <w:color w:val="000000"/>
        </w:rPr>
        <w:t xml:space="preserve"> are rendered or implicitly managed within </w:t>
      </w:r>
      <w:proofErr w:type="spellStart"/>
      <w:r w:rsidRPr="00763662">
        <w:rPr>
          <w:color w:val="000000"/>
        </w:rPr>
        <w:t>Nüshu</w:t>
      </w:r>
      <w:proofErr w:type="spellEnd"/>
      <w:r w:rsidRPr="00763662">
        <w:rPr>
          <w:color w:val="000000"/>
        </w:rPr>
        <w:t xml:space="preserve"> notation, and how the accompanying song melody can compensate for any tonal ambiguity. This article's phonetic transcription of new field recordings aims to contribute to filling this gap. This implies a phonological analysis to establish the phonetic values of the </w:t>
      </w:r>
      <w:proofErr w:type="spellStart"/>
      <w:r w:rsidRPr="00763662">
        <w:rPr>
          <w:color w:val="000000"/>
        </w:rPr>
        <w:t>Nüshu</w:t>
      </w:r>
      <w:proofErr w:type="spellEnd"/>
      <w:r w:rsidRPr="00763662">
        <w:rPr>
          <w:color w:val="000000"/>
        </w:rPr>
        <w:t xml:space="preserve"> characters in the context of the </w:t>
      </w:r>
      <w:proofErr w:type="spellStart"/>
      <w:r w:rsidRPr="00763662">
        <w:rPr>
          <w:color w:val="000000"/>
        </w:rPr>
        <w:t>Jiangyong</w:t>
      </w:r>
      <w:proofErr w:type="spellEnd"/>
      <w:r w:rsidRPr="00763662">
        <w:rPr>
          <w:color w:val="000000"/>
        </w:rPr>
        <w:t xml:space="preserve"> dialect.</w:t>
      </w:r>
    </w:p>
    <w:p w14:paraId="1D2B3B91" w14:textId="77777777" w:rsidR="00081DCF" w:rsidRPr="00763662" w:rsidRDefault="00081DCF" w:rsidP="00763662">
      <w:pPr>
        <w:pStyle w:val="NormalWeb"/>
        <w:spacing w:line="360" w:lineRule="auto"/>
        <w:rPr>
          <w:color w:val="000000"/>
        </w:rPr>
      </w:pPr>
      <w:r w:rsidRPr="00763662">
        <w:rPr>
          <w:color w:val="000000"/>
        </w:rPr>
        <w:t xml:space="preserve">Furthermore, most previous academic works have treated </w:t>
      </w:r>
      <w:proofErr w:type="spellStart"/>
      <w:r w:rsidRPr="00763662">
        <w:rPr>
          <w:color w:val="000000"/>
        </w:rPr>
        <w:t>Nüshu</w:t>
      </w:r>
      <w:proofErr w:type="spellEnd"/>
      <w:r w:rsidRPr="00763662">
        <w:rPr>
          <w:color w:val="000000"/>
        </w:rPr>
        <w:t xml:space="preserve"> as a written text, focusing on the literal content of the songs but often overlooking their musical form. The melodies, intonations, and rhythms are not merely ornamental; they are constitutive elements of </w:t>
      </w:r>
      <w:proofErr w:type="spellStart"/>
      <w:r w:rsidRPr="00763662">
        <w:rPr>
          <w:color w:val="000000"/>
        </w:rPr>
        <w:t>Nüshu's</w:t>
      </w:r>
      <w:proofErr w:type="spellEnd"/>
      <w:r w:rsidRPr="00763662">
        <w:rPr>
          <w:color w:val="000000"/>
        </w:rPr>
        <w:t xml:space="preserve"> meaning and emotional impact. Ethnomusicology can offer analytical tools to understand how the musical structure interacts with the linguistic structure. The analysis of recorded melodies presented in this work is an attempt to reintegrate this dimension of </w:t>
      </w:r>
      <w:proofErr w:type="spellStart"/>
      <w:r w:rsidRPr="00763662">
        <w:rPr>
          <w:color w:val="000000"/>
        </w:rPr>
        <w:t>Nüshu</w:t>
      </w:r>
      <w:proofErr w:type="spellEnd"/>
      <w:r w:rsidRPr="00763662">
        <w:rPr>
          <w:color w:val="000000"/>
        </w:rPr>
        <w:t>. This will involve an analysis of the melodic contour, the identification of rhythmic patterns, and the study of how musical phrasing aligns with linguistic units.</w:t>
      </w:r>
    </w:p>
    <w:p w14:paraId="1E98EDCA" w14:textId="77777777" w:rsidR="00081DCF" w:rsidRDefault="00081DCF" w:rsidP="00763662">
      <w:pPr>
        <w:pStyle w:val="NormalWeb"/>
        <w:spacing w:line="360" w:lineRule="auto"/>
        <w:rPr>
          <w:color w:val="000000"/>
        </w:rPr>
      </w:pPr>
      <w:r w:rsidRPr="00763662">
        <w:rPr>
          <w:color w:val="000000"/>
        </w:rPr>
        <w:t xml:space="preserve">Finally, although parallels have been drawn with the Hiragana syllabary in Japan, a systematic comparative study is still absent. Such a study would </w:t>
      </w:r>
      <w:proofErr w:type="spellStart"/>
      <w:r w:rsidRPr="00763662">
        <w:rPr>
          <w:color w:val="000000"/>
        </w:rPr>
        <w:t>analyze</w:t>
      </w:r>
      <w:proofErr w:type="spellEnd"/>
      <w:r w:rsidRPr="00763662">
        <w:rPr>
          <w:color w:val="000000"/>
        </w:rPr>
        <w:t xml:space="preserve"> </w:t>
      </w:r>
      <w:proofErr w:type="spellStart"/>
      <w:r w:rsidRPr="00763662">
        <w:rPr>
          <w:color w:val="000000"/>
        </w:rPr>
        <w:t>Nüshu</w:t>
      </w:r>
      <w:proofErr w:type="spellEnd"/>
      <w:r w:rsidRPr="00763662">
        <w:rPr>
          <w:color w:val="000000"/>
        </w:rPr>
        <w:t xml:space="preserve"> not only at a linguistic level but also in terms of its functional and socio-cultural parallels with other known cases of </w:t>
      </w:r>
      <w:proofErr w:type="spellStart"/>
      <w:r w:rsidRPr="00763662">
        <w:rPr>
          <w:color w:val="000000"/>
        </w:rPr>
        <w:t>gynography</w:t>
      </w:r>
      <w:proofErr w:type="spellEnd"/>
      <w:r w:rsidRPr="00763662">
        <w:rPr>
          <w:color w:val="000000"/>
        </w:rPr>
        <w:t>. This could include a broader examination of informal or private writing practices used by marginalized groups in various societies. Such a comparative lens would allow for the identification of patterns in how subaltern groups leverage literacy for self-expression and community building. This article is positioned to synthesize the work of predecessors, highlight these identified research gaps, and present a perspective informed by empirical data to address these open questions.</w:t>
      </w:r>
    </w:p>
    <w:p w14:paraId="720A4F2F" w14:textId="243BD3E8" w:rsidR="003F41C3" w:rsidRPr="00763662" w:rsidRDefault="003F41C3" w:rsidP="00763662">
      <w:pPr>
        <w:pStyle w:val="NormalWeb"/>
        <w:spacing w:line="360" w:lineRule="auto"/>
        <w:rPr>
          <w:color w:val="000000"/>
        </w:rPr>
      </w:pPr>
      <w:r w:rsidRPr="003F41C3">
        <w:rPr>
          <w:color w:val="000000"/>
        </w:rPr>
        <w:t xml:space="preserve">Furthermore, as recent work in the anthropology of writing has demonstrated, vernacular literacy practices cannot be fully understood outside their social economies of meaning (Street, 1984; Barton &amp; Papen, 2010). Applying this lens to </w:t>
      </w:r>
      <w:proofErr w:type="spellStart"/>
      <w:r w:rsidRPr="003F41C3">
        <w:rPr>
          <w:color w:val="000000"/>
        </w:rPr>
        <w:t>Nüshu</w:t>
      </w:r>
      <w:proofErr w:type="spellEnd"/>
      <w:r w:rsidRPr="003F41C3">
        <w:rPr>
          <w:color w:val="000000"/>
        </w:rPr>
        <w:t xml:space="preserve"> allows us to view it not simply as a linguistic code but as a social literacy practice, whose value is constructed through local ideologies of femininity, kinship, and emotion. Future analyses should therefore </w:t>
      </w:r>
      <w:r w:rsidRPr="003F41C3">
        <w:rPr>
          <w:color w:val="000000"/>
        </w:rPr>
        <w:lastRenderedPageBreak/>
        <w:t>integrate ethnographic and semiotic approaches, combining textual study with attention to practice and performance.</w:t>
      </w:r>
    </w:p>
    <w:p w14:paraId="35FDBD78" w14:textId="625A6900" w:rsidR="000D51EC" w:rsidRPr="00763662" w:rsidRDefault="001F03B2" w:rsidP="00763662">
      <w:pPr>
        <w:pStyle w:val="NormalWeb"/>
        <w:spacing w:line="360" w:lineRule="auto"/>
        <w:rPr>
          <w:color w:val="000000"/>
        </w:rPr>
      </w:pPr>
      <w:r>
        <w:rPr>
          <w:noProof/>
          <w:color w:val="000000"/>
          <w14:ligatures w14:val="standardContextual"/>
        </w:rPr>
        <w:pict w14:anchorId="514FAB4D">
          <v:rect id="_x0000_i1027" alt="" style="width:451.3pt;height:.05pt;mso-width-percent:0;mso-height-percent:0;mso-width-percent:0;mso-height-percent:0" o:hralign="center" o:hrstd="t" o:hr="t" fillcolor="#a0a0a0" stroked="f"/>
        </w:pict>
      </w:r>
    </w:p>
    <w:p w14:paraId="2EC441DA" w14:textId="77777777" w:rsidR="00291F8E" w:rsidRPr="00291F8E" w:rsidRDefault="00291F8E" w:rsidP="00291F8E">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14:ligatures w14:val="none"/>
        </w:rPr>
      </w:pPr>
      <w:r w:rsidRPr="00291F8E">
        <w:rPr>
          <w:rFonts w:ascii="Times New Roman" w:eastAsia="Times New Roman" w:hAnsi="Times New Roman" w:cs="Times New Roman"/>
          <w:b/>
          <w:bCs/>
          <w:color w:val="000000"/>
          <w:kern w:val="0"/>
          <w:sz w:val="27"/>
          <w:szCs w:val="27"/>
          <w14:ligatures w14:val="none"/>
        </w:rPr>
        <w:t>3. The Context of Origin: A Socio-Cultural Ecosystem</w:t>
      </w:r>
    </w:p>
    <w:p w14:paraId="3A1F2688"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t xml:space="preserve">To understand why a phenomenon as specific as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arose, it is necessary to </w:t>
      </w:r>
      <w:proofErr w:type="spellStart"/>
      <w:r w:rsidRPr="00291F8E">
        <w:rPr>
          <w:rFonts w:ascii="Times New Roman" w:eastAsia="Times New Roman" w:hAnsi="Times New Roman" w:cs="Times New Roman"/>
          <w:color w:val="000000"/>
          <w:kern w:val="0"/>
          <w14:ligatures w14:val="none"/>
        </w:rPr>
        <w:t>analyze</w:t>
      </w:r>
      <w:proofErr w:type="spellEnd"/>
      <w:r w:rsidRPr="00291F8E">
        <w:rPr>
          <w:rFonts w:ascii="Times New Roman" w:eastAsia="Times New Roman" w:hAnsi="Times New Roman" w:cs="Times New Roman"/>
          <w:color w:val="000000"/>
          <w:kern w:val="0"/>
          <w14:ligatures w14:val="none"/>
        </w:rPr>
        <w:t xml:space="preserve"> the geographical, ethnic, and social terrain of </w:t>
      </w:r>
      <w:proofErr w:type="spellStart"/>
      <w:r w:rsidRPr="00291F8E">
        <w:rPr>
          <w:rFonts w:ascii="Times New Roman" w:eastAsia="Times New Roman" w:hAnsi="Times New Roman" w:cs="Times New Roman"/>
          <w:color w:val="000000"/>
          <w:kern w:val="0"/>
          <w14:ligatures w14:val="none"/>
        </w:rPr>
        <w:t>Jiangyong</w:t>
      </w:r>
      <w:proofErr w:type="spellEnd"/>
      <w:r w:rsidRPr="00291F8E">
        <w:rPr>
          <w:rFonts w:ascii="Times New Roman" w:eastAsia="Times New Roman" w:hAnsi="Times New Roman" w:cs="Times New Roman"/>
          <w:color w:val="000000"/>
          <w:kern w:val="0"/>
          <w14:ligatures w14:val="none"/>
        </w:rPr>
        <w:t xml:space="preserve"> County. The script’s emergence in this particular corner of China was not incidental; its development and persistence for centuries were the result of a specific confluence of factors. These include a degree of geographical isolation, sustained cultural interactions between different ethnic groups, a rigidly enforced patriarchal social structure, and, pivotally, the capacity of women to create and maintain spaces of autonomy and self-expression within that restrictive framework.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did not emerge in a vacuum; it was the product of a unique socio-cultural ecosystem where systemic constraints paradoxically nurtured an extraordinary form of cultural innovation.</w:t>
      </w:r>
    </w:p>
    <w:p w14:paraId="5815FD2E" w14:textId="77777777" w:rsidR="00291F8E" w:rsidRPr="00291F8E" w:rsidRDefault="00291F8E" w:rsidP="00291F8E">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291F8E">
        <w:rPr>
          <w:rFonts w:ascii="Times New Roman" w:eastAsia="Times New Roman" w:hAnsi="Times New Roman" w:cs="Times New Roman"/>
          <w:b/>
          <w:bCs/>
          <w:color w:val="000000"/>
          <w:kern w:val="0"/>
          <w14:ligatures w14:val="none"/>
        </w:rPr>
        <w:t>3.1. Geography and Inter-ethnic Dynamics</w:t>
      </w:r>
    </w:p>
    <w:p w14:paraId="5E9EBC61"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proofErr w:type="spellStart"/>
      <w:r w:rsidRPr="00291F8E">
        <w:rPr>
          <w:rFonts w:ascii="Times New Roman" w:eastAsia="Times New Roman" w:hAnsi="Times New Roman" w:cs="Times New Roman"/>
          <w:color w:val="000000"/>
          <w:kern w:val="0"/>
          <w14:ligatures w14:val="none"/>
        </w:rPr>
        <w:t>Jiangyong</w:t>
      </w:r>
      <w:proofErr w:type="spellEnd"/>
      <w:r w:rsidRPr="00291F8E">
        <w:rPr>
          <w:rFonts w:ascii="Times New Roman" w:eastAsia="Times New Roman" w:hAnsi="Times New Roman" w:cs="Times New Roman"/>
          <w:color w:val="000000"/>
          <w:kern w:val="0"/>
          <w14:ligatures w14:val="none"/>
        </w:rPr>
        <w:t xml:space="preserve"> County is located at the southern end of Hunan Province, a historically mountainous and peripheral region of the Chinese empire, bordering Guangdong Province and the Guangxi Zhuang Autonomous Region. The area is characterized by rugged terrain and the winding Xiao River (</w:t>
      </w:r>
      <w:r w:rsidRPr="00291F8E">
        <w:rPr>
          <w:rFonts w:ascii="Times New Roman" w:eastAsia="SimSun" w:hAnsi="Times New Roman" w:cs="Times New Roman"/>
          <w:color w:val="000000"/>
          <w:kern w:val="0"/>
          <w14:ligatures w14:val="none"/>
        </w:rPr>
        <w:t>瀟水</w:t>
      </w:r>
      <w:r w:rsidRPr="00291F8E">
        <w:rPr>
          <w:rFonts w:ascii="Times New Roman" w:eastAsia="Times New Roman" w:hAnsi="Times New Roman" w:cs="Times New Roman"/>
          <w:color w:val="000000"/>
          <w:kern w:val="0"/>
          <w14:ligatures w14:val="none"/>
        </w:rPr>
        <w:t xml:space="preserve">, </w:t>
      </w:r>
      <w:proofErr w:type="spellStart"/>
      <w:r w:rsidRPr="00291F8E">
        <w:rPr>
          <w:rFonts w:ascii="Times New Roman" w:eastAsia="Times New Roman" w:hAnsi="Times New Roman" w:cs="Times New Roman"/>
          <w:color w:val="000000"/>
          <w:kern w:val="0"/>
          <w14:ligatures w14:val="none"/>
        </w:rPr>
        <w:t>xiāo</w:t>
      </w:r>
      <w:proofErr w:type="spellEnd"/>
      <w:r w:rsidRPr="00291F8E">
        <w:rPr>
          <w:rFonts w:ascii="Times New Roman" w:eastAsia="Times New Roman" w:hAnsi="Times New Roman" w:cs="Times New Roman"/>
          <w:color w:val="000000"/>
          <w:kern w:val="0"/>
          <w14:ligatures w14:val="none"/>
        </w:rPr>
        <w:t xml:space="preserve"> </w:t>
      </w:r>
      <w:proofErr w:type="spellStart"/>
      <w:r w:rsidRPr="00291F8E">
        <w:rPr>
          <w:rFonts w:ascii="Times New Roman" w:eastAsia="Times New Roman" w:hAnsi="Times New Roman" w:cs="Times New Roman"/>
          <w:color w:val="000000"/>
          <w:kern w:val="0"/>
          <w14:ligatures w14:val="none"/>
        </w:rPr>
        <w:t>shuǐ</w:t>
      </w:r>
      <w:proofErr w:type="spellEnd"/>
      <w:r w:rsidRPr="00291F8E">
        <w:rPr>
          <w:rFonts w:ascii="Times New Roman" w:eastAsia="Times New Roman" w:hAnsi="Times New Roman" w:cs="Times New Roman"/>
          <w:color w:val="000000"/>
          <w:kern w:val="0"/>
          <w14:ligatures w14:val="none"/>
        </w:rPr>
        <w:t xml:space="preserve">), which flows through its valleys. This geography historically contributed to a significant degree of isolation from the main political and cultural </w:t>
      </w:r>
      <w:proofErr w:type="spellStart"/>
      <w:r w:rsidRPr="00291F8E">
        <w:rPr>
          <w:rFonts w:ascii="Times New Roman" w:eastAsia="Times New Roman" w:hAnsi="Times New Roman" w:cs="Times New Roman"/>
          <w:color w:val="000000"/>
          <w:kern w:val="0"/>
          <w14:ligatures w14:val="none"/>
        </w:rPr>
        <w:t>centers</w:t>
      </w:r>
      <w:proofErr w:type="spellEnd"/>
      <w:r w:rsidRPr="00291F8E">
        <w:rPr>
          <w:rFonts w:ascii="Times New Roman" w:eastAsia="Times New Roman" w:hAnsi="Times New Roman" w:cs="Times New Roman"/>
          <w:color w:val="000000"/>
          <w:kern w:val="0"/>
          <w14:ligatures w14:val="none"/>
        </w:rPr>
        <w:t xml:space="preserve"> of imperial China. Such relative isolation was a crucial factor in the preservation of indigenous dialects and local cultural practices, which often survived with greater tenacity than in regions more exposed to state-imposed linguistic standardization and cultural homogenization. This physical separation limited the pervasive influence of standard Mandarin (Putonghua, or previously </w:t>
      </w:r>
      <w:proofErr w:type="spellStart"/>
      <w:r w:rsidRPr="00291F8E">
        <w:rPr>
          <w:rFonts w:ascii="Times New Roman" w:eastAsia="Times New Roman" w:hAnsi="Times New Roman" w:cs="Times New Roman"/>
          <w:color w:val="000000"/>
          <w:kern w:val="0"/>
          <w14:ligatures w14:val="none"/>
        </w:rPr>
        <w:t>Guanhuà</w:t>
      </w:r>
      <w:proofErr w:type="spellEnd"/>
      <w:r w:rsidRPr="00291F8E">
        <w:rPr>
          <w:rFonts w:ascii="Times New Roman" w:eastAsia="Times New Roman" w:hAnsi="Times New Roman" w:cs="Times New Roman"/>
          <w:color w:val="000000"/>
          <w:kern w:val="0"/>
          <w14:ligatures w14:val="none"/>
        </w:rPr>
        <w:t xml:space="preserve">, </w:t>
      </w:r>
      <w:r w:rsidRPr="00291F8E">
        <w:rPr>
          <w:rFonts w:ascii="Times New Roman" w:eastAsia="SimSun" w:hAnsi="Times New Roman" w:cs="Times New Roman"/>
          <w:color w:val="000000"/>
          <w:kern w:val="0"/>
          <w14:ligatures w14:val="none"/>
        </w:rPr>
        <w:t>官话</w:t>
      </w:r>
      <w:r w:rsidRPr="00291F8E">
        <w:rPr>
          <w:rFonts w:ascii="Times New Roman" w:eastAsia="Times New Roman" w:hAnsi="Times New Roman" w:cs="Times New Roman"/>
          <w:color w:val="000000"/>
          <w:kern w:val="0"/>
          <w14:ligatures w14:val="none"/>
        </w:rPr>
        <w:t xml:space="preserve">) and the centralized Confucian orthodoxy, allowing the local dialect—and, by extension,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—to develop along its own distinct trajectory. The remote area, characterized by a complex interaction between Han (</w:t>
      </w:r>
      <w:r w:rsidRPr="00291F8E">
        <w:rPr>
          <w:rFonts w:ascii="Times New Roman" w:eastAsia="SimSun" w:hAnsi="Times New Roman" w:cs="Times New Roman"/>
          <w:color w:val="000000"/>
          <w:kern w:val="0"/>
          <w14:ligatures w14:val="none"/>
        </w:rPr>
        <w:t>汉族</w:t>
      </w:r>
      <w:r w:rsidRPr="00291F8E">
        <w:rPr>
          <w:rFonts w:ascii="Times New Roman" w:eastAsia="Times New Roman" w:hAnsi="Times New Roman" w:cs="Times New Roman"/>
          <w:color w:val="000000"/>
          <w:kern w:val="0"/>
          <w14:ligatures w14:val="none"/>
        </w:rPr>
        <w:t xml:space="preserve">, </w:t>
      </w:r>
      <w:proofErr w:type="spellStart"/>
      <w:r w:rsidRPr="00291F8E">
        <w:rPr>
          <w:rFonts w:ascii="Times New Roman" w:eastAsia="Times New Roman" w:hAnsi="Times New Roman" w:cs="Times New Roman"/>
          <w:color w:val="000000"/>
          <w:kern w:val="0"/>
          <w14:ligatures w14:val="none"/>
        </w:rPr>
        <w:t>hànzú</w:t>
      </w:r>
      <w:proofErr w:type="spellEnd"/>
      <w:r w:rsidRPr="00291F8E">
        <w:rPr>
          <w:rFonts w:ascii="Times New Roman" w:eastAsia="Times New Roman" w:hAnsi="Times New Roman" w:cs="Times New Roman"/>
          <w:color w:val="000000"/>
          <w:kern w:val="0"/>
          <w14:ligatures w14:val="none"/>
        </w:rPr>
        <w:t>) and Yao (</w:t>
      </w:r>
      <w:r w:rsidRPr="00291F8E">
        <w:rPr>
          <w:rFonts w:ascii="Times New Roman" w:eastAsia="SimSun" w:hAnsi="Times New Roman" w:cs="Times New Roman"/>
          <w:color w:val="000000"/>
          <w:kern w:val="0"/>
          <w14:ligatures w14:val="none"/>
        </w:rPr>
        <w:t>瑶族</w:t>
      </w:r>
      <w:r w:rsidRPr="00291F8E">
        <w:rPr>
          <w:rFonts w:ascii="Times New Roman" w:eastAsia="Times New Roman" w:hAnsi="Times New Roman" w:cs="Times New Roman"/>
          <w:color w:val="000000"/>
          <w:kern w:val="0"/>
          <w14:ligatures w14:val="none"/>
        </w:rPr>
        <w:t xml:space="preserve">, </w:t>
      </w:r>
      <w:proofErr w:type="spellStart"/>
      <w:r w:rsidRPr="00291F8E">
        <w:rPr>
          <w:rFonts w:ascii="Times New Roman" w:eastAsia="Times New Roman" w:hAnsi="Times New Roman" w:cs="Times New Roman"/>
          <w:color w:val="000000"/>
          <w:kern w:val="0"/>
          <w14:ligatures w14:val="none"/>
        </w:rPr>
        <w:t>yáozú</w:t>
      </w:r>
      <w:proofErr w:type="spellEnd"/>
      <w:r w:rsidRPr="00291F8E">
        <w:rPr>
          <w:rFonts w:ascii="Times New Roman" w:eastAsia="Times New Roman" w:hAnsi="Times New Roman" w:cs="Times New Roman"/>
          <w:color w:val="000000"/>
          <w:kern w:val="0"/>
          <w14:ligatures w14:val="none"/>
        </w:rPr>
        <w:t>) cultures, provided the fertile socio-cultural ground for this form of expression.</w:t>
      </w:r>
    </w:p>
    <w:p w14:paraId="0AADB9F2"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lastRenderedPageBreak/>
        <w:t xml:space="preserve">The interaction between the majority Han ethnic group and the indigenous Yao people is a contributing factor to the cultural uniqueness of the region. </w:t>
      </w:r>
      <w:proofErr w:type="spellStart"/>
      <w:r w:rsidRPr="00291F8E">
        <w:rPr>
          <w:rFonts w:ascii="Times New Roman" w:eastAsia="Times New Roman" w:hAnsi="Times New Roman" w:cs="Times New Roman"/>
          <w:color w:val="000000"/>
          <w:kern w:val="0"/>
          <w14:ligatures w14:val="none"/>
        </w:rPr>
        <w:t>Jiangyong</w:t>
      </w:r>
      <w:proofErr w:type="spellEnd"/>
      <w:r w:rsidRPr="00291F8E">
        <w:rPr>
          <w:rFonts w:ascii="Times New Roman" w:eastAsia="Times New Roman" w:hAnsi="Times New Roman" w:cs="Times New Roman"/>
          <w:color w:val="000000"/>
          <w:kern w:val="0"/>
          <w14:ligatures w14:val="none"/>
        </w:rPr>
        <w:t xml:space="preserve"> is a zone of historical and cultural contact, exhibiting significant syncretism in its customs, beliefs, and artistic expressions. Although the women who primarily used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were of Han ethnicity, they lived in close and continuous proximity to Yao communities. Historically, Yao culture, particularly in the mountainous regions of southern China, granted women a comparatively greater degree of social freedom and active participation in community life compared to the more rigid Han Confucian social structure. Yao women were, and still are, active participants in public life, including highly developed traditions of communal and antiphonal singing, which serve as a primary medium for courtship, social exchange, and the transmission of cultural knowledge (Lemoine, 2008).</w:t>
      </w:r>
    </w:p>
    <w:p w14:paraId="45C3312F"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t xml:space="preserve">Some scholars, including the foundational researcher Zhao Liming (2006), have hypothesized that this sustained inter-ethnic cultural interaction may have acted as a catalyst, encouraging Han women to develop autonomous forms of cultural expression. The vibrant tradition of public songs and ritualistic practices among Yao women, which emphasized vocal performance as a central element of social and personal identity, might have provided a compelling model or a source of inspiration for the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singing practices of their Han </w:t>
      </w:r>
      <w:proofErr w:type="spellStart"/>
      <w:r w:rsidRPr="00291F8E">
        <w:rPr>
          <w:rFonts w:ascii="Times New Roman" w:eastAsia="Times New Roman" w:hAnsi="Times New Roman" w:cs="Times New Roman"/>
          <w:color w:val="000000"/>
          <w:kern w:val="0"/>
          <w14:ligatures w14:val="none"/>
        </w:rPr>
        <w:t>neighbors</w:t>
      </w:r>
      <w:proofErr w:type="spellEnd"/>
      <w:r w:rsidRPr="00291F8E">
        <w:rPr>
          <w:rFonts w:ascii="Times New Roman" w:eastAsia="Times New Roman" w:hAnsi="Times New Roman" w:cs="Times New Roman"/>
          <w:color w:val="000000"/>
          <w:kern w:val="0"/>
          <w14:ligatures w14:val="none"/>
        </w:rPr>
        <w:t xml:space="preserve">. While Han women were confined to the domestic sphere, the audible presence of Yao female vocality in the shared environment could have reinforced the value of song as a legitimate and powerful medium for self-expression. This does not imply a direct borrowing of the script, but rather suggests that the cultural environment was one where female artistic expression, particularly through song, was a visible and valued practice, potentially fostering an environment conducive to the innovation that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represents.</w:t>
      </w:r>
    </w:p>
    <w:p w14:paraId="6C42C1B9" w14:textId="77777777" w:rsidR="00291F8E" w:rsidRPr="00291F8E" w:rsidRDefault="00291F8E" w:rsidP="00291F8E">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291F8E">
        <w:rPr>
          <w:rFonts w:ascii="Times New Roman" w:eastAsia="Times New Roman" w:hAnsi="Times New Roman" w:cs="Times New Roman"/>
          <w:b/>
          <w:bCs/>
          <w:color w:val="000000"/>
          <w:kern w:val="0"/>
          <w14:ligatures w14:val="none"/>
        </w:rPr>
        <w:t>3.2. A Patriarchal Society and Its Systemic Constraints</w:t>
      </w:r>
    </w:p>
    <w:p w14:paraId="580EB464"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t xml:space="preserve">Traditional Chinese society, structured on the foundational principles of Neo-Confucianism which became state orthodoxy during the late imperial period, was profoundly patriarchal, patrilineal, and patrilocal. Women were systematically denied access to formal education, which was unequivocally considered unnecessary, if not detrimental, to their prescribed roles as wives and mothers. Their lives were circumscribed by doctrines such as the "Three </w:t>
      </w:r>
      <w:proofErr w:type="spellStart"/>
      <w:r w:rsidRPr="00291F8E">
        <w:rPr>
          <w:rFonts w:ascii="Times New Roman" w:eastAsia="Times New Roman" w:hAnsi="Times New Roman" w:cs="Times New Roman"/>
          <w:color w:val="000000"/>
          <w:kern w:val="0"/>
          <w14:ligatures w14:val="none"/>
        </w:rPr>
        <w:t>Obediences</w:t>
      </w:r>
      <w:proofErr w:type="spellEnd"/>
      <w:r w:rsidRPr="00291F8E">
        <w:rPr>
          <w:rFonts w:ascii="Times New Roman" w:eastAsia="Times New Roman" w:hAnsi="Times New Roman" w:cs="Times New Roman"/>
          <w:color w:val="000000"/>
          <w:kern w:val="0"/>
          <w14:ligatures w14:val="none"/>
        </w:rPr>
        <w:t xml:space="preserve"> and Four Virtues" (</w:t>
      </w:r>
      <w:r w:rsidRPr="00291F8E">
        <w:rPr>
          <w:rFonts w:ascii="Times New Roman" w:eastAsia="SimSun" w:hAnsi="Times New Roman" w:cs="Times New Roman"/>
          <w:color w:val="000000"/>
          <w:kern w:val="0"/>
          <w14:ligatures w14:val="none"/>
        </w:rPr>
        <w:t>三从四德</w:t>
      </w:r>
      <w:r w:rsidRPr="00291F8E">
        <w:rPr>
          <w:rFonts w:ascii="Times New Roman" w:eastAsia="Times New Roman" w:hAnsi="Times New Roman" w:cs="Times New Roman"/>
          <w:color w:val="000000"/>
          <w:kern w:val="0"/>
          <w14:ligatures w14:val="none"/>
        </w:rPr>
        <w:t xml:space="preserve">, </w:t>
      </w:r>
      <w:proofErr w:type="spellStart"/>
      <w:r w:rsidRPr="00291F8E">
        <w:rPr>
          <w:rFonts w:ascii="Times New Roman" w:eastAsia="Times New Roman" w:hAnsi="Times New Roman" w:cs="Times New Roman"/>
          <w:color w:val="000000"/>
          <w:kern w:val="0"/>
          <w14:ligatures w14:val="none"/>
        </w:rPr>
        <w:t>sāncóng</w:t>
      </w:r>
      <w:proofErr w:type="spellEnd"/>
      <w:r w:rsidRPr="00291F8E">
        <w:rPr>
          <w:rFonts w:ascii="Times New Roman" w:eastAsia="Times New Roman" w:hAnsi="Times New Roman" w:cs="Times New Roman"/>
          <w:color w:val="000000"/>
          <w:kern w:val="0"/>
          <w14:ligatures w14:val="none"/>
        </w:rPr>
        <w:t xml:space="preserve"> </w:t>
      </w:r>
      <w:proofErr w:type="spellStart"/>
      <w:r w:rsidRPr="00291F8E">
        <w:rPr>
          <w:rFonts w:ascii="Times New Roman" w:eastAsia="Times New Roman" w:hAnsi="Times New Roman" w:cs="Times New Roman"/>
          <w:color w:val="000000"/>
          <w:kern w:val="0"/>
          <w14:ligatures w14:val="none"/>
        </w:rPr>
        <w:t>sìdé</w:t>
      </w:r>
      <w:proofErr w:type="spellEnd"/>
      <w:r w:rsidRPr="00291F8E">
        <w:rPr>
          <w:rFonts w:ascii="Times New Roman" w:eastAsia="Times New Roman" w:hAnsi="Times New Roman" w:cs="Times New Roman"/>
          <w:color w:val="000000"/>
          <w:kern w:val="0"/>
          <w14:ligatures w14:val="none"/>
        </w:rPr>
        <w:t xml:space="preserve">), which mandated obedience to the father before marriage, to the husband during marriage, and to the son in widowhood. This </w:t>
      </w:r>
      <w:r w:rsidRPr="00291F8E">
        <w:rPr>
          <w:rFonts w:ascii="Times New Roman" w:eastAsia="Times New Roman" w:hAnsi="Times New Roman" w:cs="Times New Roman"/>
          <w:color w:val="000000"/>
          <w:kern w:val="0"/>
          <w14:ligatures w14:val="none"/>
        </w:rPr>
        <w:lastRenderedPageBreak/>
        <w:t xml:space="preserve">pervasive and systematic exclusion from formal literacy in </w:t>
      </w:r>
      <w:proofErr w:type="spellStart"/>
      <w:r w:rsidRPr="00291F8E">
        <w:rPr>
          <w:rFonts w:ascii="Times New Roman" w:eastAsia="Times New Roman" w:hAnsi="Times New Roman" w:cs="Times New Roman"/>
          <w:color w:val="000000"/>
          <w:kern w:val="0"/>
          <w14:ligatures w14:val="none"/>
        </w:rPr>
        <w:t>hanzi</w:t>
      </w:r>
      <w:proofErr w:type="spellEnd"/>
      <w:r w:rsidRPr="00291F8E">
        <w:rPr>
          <w:rFonts w:ascii="Times New Roman" w:eastAsia="Times New Roman" w:hAnsi="Times New Roman" w:cs="Times New Roman"/>
          <w:color w:val="000000"/>
          <w:kern w:val="0"/>
          <w14:ligatures w14:val="none"/>
        </w:rPr>
        <w:t xml:space="preserve"> (Chinese characters) is, quite literally, the </w:t>
      </w:r>
      <w:proofErr w:type="spellStart"/>
      <w:r w:rsidRPr="00291F8E">
        <w:rPr>
          <w:rFonts w:ascii="Times New Roman" w:eastAsia="Times New Roman" w:hAnsi="Times New Roman" w:cs="Times New Roman"/>
          <w:i/>
          <w:iCs/>
          <w:color w:val="000000"/>
          <w:kern w:val="0"/>
          <w14:ligatures w14:val="none"/>
        </w:rPr>
        <w:t>conditio</w:t>
      </w:r>
      <w:proofErr w:type="spellEnd"/>
      <w:r w:rsidRPr="00291F8E">
        <w:rPr>
          <w:rFonts w:ascii="Times New Roman" w:eastAsia="Times New Roman" w:hAnsi="Times New Roman" w:cs="Times New Roman"/>
          <w:i/>
          <w:iCs/>
          <w:color w:val="000000"/>
          <w:kern w:val="0"/>
          <w14:ligatures w14:val="none"/>
        </w:rPr>
        <w:t xml:space="preserve"> sine qua non</w:t>
      </w:r>
      <w:r w:rsidRPr="00291F8E">
        <w:rPr>
          <w:rFonts w:ascii="Times New Roman" w:eastAsia="Times New Roman" w:hAnsi="Times New Roman" w:cs="Times New Roman"/>
          <w:color w:val="000000"/>
          <w:kern w:val="0"/>
          <w14:ligatures w14:val="none"/>
        </w:rPr>
        <w:t xml:space="preserve"> for the emergence of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Literacy in </w:t>
      </w:r>
      <w:proofErr w:type="spellStart"/>
      <w:r w:rsidRPr="00291F8E">
        <w:rPr>
          <w:rFonts w:ascii="Times New Roman" w:eastAsia="Times New Roman" w:hAnsi="Times New Roman" w:cs="Times New Roman"/>
          <w:color w:val="000000"/>
          <w:kern w:val="0"/>
          <w14:ligatures w14:val="none"/>
        </w:rPr>
        <w:t>hanzi</w:t>
      </w:r>
      <w:proofErr w:type="spellEnd"/>
      <w:r w:rsidRPr="00291F8E">
        <w:rPr>
          <w:rFonts w:ascii="Times New Roman" w:eastAsia="Times New Roman" w:hAnsi="Times New Roman" w:cs="Times New Roman"/>
          <w:color w:val="000000"/>
          <w:kern w:val="0"/>
          <w14:ligatures w14:val="none"/>
        </w:rPr>
        <w:t xml:space="preserve"> was the key to passing the imperial civil service examinations and thus accessing the male-only domains of bureaucracy, social prestige, and political power.</w:t>
      </w:r>
    </w:p>
    <w:p w14:paraId="472B469B"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therefore, arose precisely to fill this immense communication void. It was not an open or revolutionary challenge to the patriarchal system; rather, it was an ingenious and pragmatic creation that operated within its cracks and inherent limitations. It allowed women to acquire and possess their own distinct form of literacy, their own unique "cultural capital" (Bourdieu, 1986), within a social framework that defined them primarily by their supposed lack thereof. Two particularly oppressive social practices, ironically, played a pivotal role in inadvertently creating the specific conditions conducive to the development and flourishing of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w:t>
      </w:r>
    </w:p>
    <w:p w14:paraId="62407FD3" w14:textId="77777777" w:rsidR="00291F8E" w:rsidRPr="00291F8E" w:rsidRDefault="00291F8E" w:rsidP="00291F8E">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b/>
          <w:bCs/>
          <w:color w:val="000000"/>
          <w:kern w:val="0"/>
          <w14:ligatures w14:val="none"/>
        </w:rPr>
        <w:t>Foot-binding</w:t>
      </w:r>
      <w:r w:rsidRPr="00291F8E">
        <w:rPr>
          <w:rFonts w:ascii="Times New Roman" w:eastAsia="Times New Roman" w:hAnsi="Times New Roman" w:cs="Times New Roman"/>
          <w:color w:val="000000"/>
          <w:kern w:val="0"/>
          <w14:ligatures w14:val="none"/>
        </w:rPr>
        <w:t> (</w:t>
      </w:r>
      <w:r w:rsidRPr="00291F8E">
        <w:rPr>
          <w:rFonts w:ascii="Times New Roman" w:eastAsia="SimSun" w:hAnsi="Times New Roman" w:cs="Times New Roman"/>
          <w:color w:val="000000"/>
          <w:kern w:val="0"/>
          <w14:ligatures w14:val="none"/>
        </w:rPr>
        <w:t>缠足</w:t>
      </w:r>
      <w:r w:rsidRPr="00291F8E">
        <w:rPr>
          <w:rFonts w:ascii="Times New Roman" w:eastAsia="Times New Roman" w:hAnsi="Times New Roman" w:cs="Times New Roman"/>
          <w:color w:val="000000"/>
          <w:kern w:val="0"/>
          <w14:ligatures w14:val="none"/>
        </w:rPr>
        <w:t xml:space="preserve">, </w:t>
      </w:r>
      <w:proofErr w:type="spellStart"/>
      <w:r w:rsidRPr="00291F8E">
        <w:rPr>
          <w:rFonts w:ascii="Times New Roman" w:eastAsia="Times New Roman" w:hAnsi="Times New Roman" w:cs="Times New Roman"/>
          <w:color w:val="000000"/>
          <w:kern w:val="0"/>
          <w14:ligatures w14:val="none"/>
        </w:rPr>
        <w:t>chánzú</w:t>
      </w:r>
      <w:proofErr w:type="spellEnd"/>
      <w:r w:rsidRPr="00291F8E">
        <w:rPr>
          <w:rFonts w:ascii="Times New Roman" w:eastAsia="Times New Roman" w:hAnsi="Times New Roman" w:cs="Times New Roman"/>
          <w:color w:val="000000"/>
          <w:kern w:val="0"/>
          <w14:ligatures w14:val="none"/>
        </w:rPr>
        <w:t>): This painful and debilitating practice, tragically widespread throughout much of Han China for centuries, severely limited women's physical mobility. It effectively confined them to the domestic sphere, particularly within the "women's chambers" (</w:t>
      </w:r>
      <w:proofErr w:type="spellStart"/>
      <w:r w:rsidRPr="00291F8E">
        <w:rPr>
          <w:rFonts w:ascii="Times New Roman" w:eastAsia="Times New Roman" w:hAnsi="Times New Roman" w:cs="Times New Roman"/>
          <w:i/>
          <w:iCs/>
          <w:color w:val="000000"/>
          <w:kern w:val="0"/>
          <w14:ligatures w14:val="none"/>
        </w:rPr>
        <w:t>nüfang</w:t>
      </w:r>
      <w:proofErr w:type="spellEnd"/>
      <w:r w:rsidRPr="00291F8E">
        <w:rPr>
          <w:rFonts w:ascii="Times New Roman" w:eastAsia="Times New Roman" w:hAnsi="Times New Roman" w:cs="Times New Roman"/>
          <w:color w:val="000000"/>
          <w:kern w:val="0"/>
          <w14:ligatures w14:val="none"/>
        </w:rPr>
        <w:t xml:space="preserve">, </w:t>
      </w:r>
      <w:r w:rsidRPr="00291F8E">
        <w:rPr>
          <w:rFonts w:ascii="Times New Roman" w:eastAsia="SimSun" w:hAnsi="Times New Roman" w:cs="Times New Roman"/>
          <w:color w:val="000000"/>
          <w:kern w:val="0"/>
          <w14:ligatures w14:val="none"/>
        </w:rPr>
        <w:t>女房</w:t>
      </w:r>
      <w:r w:rsidRPr="00291F8E">
        <w:rPr>
          <w:rFonts w:ascii="Times New Roman" w:eastAsia="Times New Roman" w:hAnsi="Times New Roman" w:cs="Times New Roman"/>
          <w:color w:val="000000"/>
          <w:kern w:val="0"/>
          <w14:ligatures w14:val="none"/>
        </w:rPr>
        <w:t xml:space="preserve">) or inner courtyards. This forced spatial confinement, however, unintentionally fostered the creation of intensely close-knit and sedentary female communities. Women spent the vast majority of their lives together, engaged in shared domestic tasks like weaving, embroidering, and, crucially, singing. Within this intimate homosocial space,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became the perfect, almost secret, language through which to share their most intimate thoughts, personal stories, and collective songs, safe from male ears and judgment. This practice, despite its inherent cruelty and dehumanizing nature, paradoxically created protected niches of intense female interaction that directly nurtured the development, transmission, and evolution of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The very materials on which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was often written or embroidered—fans, handkerchiefs, and cloth booklets—were themselves objects of this domestic world.</w:t>
      </w:r>
    </w:p>
    <w:p w14:paraId="5F74A17C" w14:textId="77777777" w:rsidR="00291F8E" w:rsidRPr="00291F8E" w:rsidRDefault="00291F8E" w:rsidP="00291F8E">
      <w:pPr>
        <w:numPr>
          <w:ilvl w:val="0"/>
          <w:numId w:val="6"/>
        </w:num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b/>
          <w:bCs/>
          <w:color w:val="000000"/>
          <w:kern w:val="0"/>
          <w14:ligatures w14:val="none"/>
        </w:rPr>
        <w:t>Patrilocal Marriage</w:t>
      </w:r>
      <w:r w:rsidRPr="00291F8E">
        <w:rPr>
          <w:rFonts w:ascii="Times New Roman" w:eastAsia="Times New Roman" w:hAnsi="Times New Roman" w:cs="Times New Roman"/>
          <w:color w:val="000000"/>
          <w:kern w:val="0"/>
          <w14:ligatures w14:val="none"/>
        </w:rPr>
        <w:t xml:space="preserve">: After marriage, a woman was customarily obligated to leave her birth home and original village to reside with her husband's family. This new home was often located in a distant place, where she would invariably be considered an outsider, a stranger, and would immediately be subject to the absolute authority of her mother-in-law. This abrupt transition was frequently experienced as a time of profound trauma, deep emotional distress, and existential uprooting.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became a </w:t>
      </w:r>
      <w:r w:rsidRPr="00291F8E">
        <w:rPr>
          <w:rFonts w:ascii="Times New Roman" w:eastAsia="Times New Roman" w:hAnsi="Times New Roman" w:cs="Times New Roman"/>
          <w:color w:val="000000"/>
          <w:kern w:val="0"/>
          <w14:ligatures w14:val="none"/>
        </w:rPr>
        <w:lastRenderedPageBreak/>
        <w:t xml:space="preserve">fundamental tool for maintaining vital emotional and communicative ties with her own mother, her biological sisters, and her cherished childhood friends. Meticulously written letters in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allowed these women to transcend physical distances, offering invaluable comfort, reassurance, and solace, and, crucially, keeping the essential network of female affections and solidarity alive. The script functioned as a lifeline, mitigating the psychological toll of marital dislocation.</w:t>
      </w:r>
    </w:p>
    <w:p w14:paraId="1863F81A" w14:textId="77777777" w:rsidR="00291F8E" w:rsidRPr="00291F8E" w:rsidRDefault="00291F8E" w:rsidP="00291F8E">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291F8E">
        <w:rPr>
          <w:rFonts w:ascii="Times New Roman" w:eastAsia="Times New Roman" w:hAnsi="Times New Roman" w:cs="Times New Roman"/>
          <w:b/>
          <w:bCs/>
          <w:color w:val="000000"/>
          <w:kern w:val="0"/>
          <w14:ligatures w14:val="none"/>
        </w:rPr>
        <w:t>3.3. Spaces of Sisterhood: The </w:t>
      </w:r>
      <w:proofErr w:type="spellStart"/>
      <w:r w:rsidRPr="00291F8E">
        <w:rPr>
          <w:rFonts w:ascii="Times New Roman" w:eastAsia="Times New Roman" w:hAnsi="Times New Roman" w:cs="Times New Roman"/>
          <w:b/>
          <w:bCs/>
          <w:i/>
          <w:iCs/>
          <w:color w:val="000000"/>
          <w:kern w:val="0"/>
          <w14:ligatures w14:val="none"/>
        </w:rPr>
        <w:t>Jié-bài</w:t>
      </w:r>
      <w:proofErr w:type="spellEnd"/>
      <w:r w:rsidRPr="00291F8E">
        <w:rPr>
          <w:rFonts w:ascii="Times New Roman" w:eastAsia="Times New Roman" w:hAnsi="Times New Roman" w:cs="Times New Roman"/>
          <w:b/>
          <w:bCs/>
          <w:i/>
          <w:iCs/>
          <w:color w:val="000000"/>
          <w:kern w:val="0"/>
          <w14:ligatures w14:val="none"/>
        </w:rPr>
        <w:t xml:space="preserve"> </w:t>
      </w:r>
      <w:proofErr w:type="spellStart"/>
      <w:r w:rsidRPr="00291F8E">
        <w:rPr>
          <w:rFonts w:ascii="Times New Roman" w:eastAsia="Times New Roman" w:hAnsi="Times New Roman" w:cs="Times New Roman"/>
          <w:b/>
          <w:bCs/>
          <w:i/>
          <w:iCs/>
          <w:color w:val="000000"/>
          <w:kern w:val="0"/>
          <w14:ligatures w14:val="none"/>
        </w:rPr>
        <w:t>zǐ-mèi</w:t>
      </w:r>
      <w:proofErr w:type="spellEnd"/>
    </w:p>
    <w:p w14:paraId="4E31C00E"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t xml:space="preserve">Perhaps the most important social institution that </w:t>
      </w:r>
      <w:proofErr w:type="spellStart"/>
      <w:r w:rsidRPr="00291F8E">
        <w:rPr>
          <w:rFonts w:ascii="Times New Roman" w:eastAsia="Times New Roman" w:hAnsi="Times New Roman" w:cs="Times New Roman"/>
          <w:color w:val="000000"/>
          <w:kern w:val="0"/>
          <w14:ligatures w14:val="none"/>
        </w:rPr>
        <w:t>catalyzed</w:t>
      </w:r>
      <w:proofErr w:type="spellEnd"/>
      <w:r w:rsidRPr="00291F8E">
        <w:rPr>
          <w:rFonts w:ascii="Times New Roman" w:eastAsia="Times New Roman" w:hAnsi="Times New Roman" w:cs="Times New Roman"/>
          <w:color w:val="000000"/>
          <w:kern w:val="0"/>
          <w14:ligatures w14:val="none"/>
        </w:rPr>
        <w:t xml:space="preserve"> the flourishing of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was that of "sworn sisters" (</w:t>
      </w:r>
      <w:proofErr w:type="spellStart"/>
      <w:r w:rsidRPr="00291F8E">
        <w:rPr>
          <w:rFonts w:ascii="Times New Roman" w:eastAsia="Times New Roman" w:hAnsi="Times New Roman" w:cs="Times New Roman"/>
          <w:i/>
          <w:iCs/>
          <w:color w:val="000000"/>
          <w:kern w:val="0"/>
          <w14:ligatures w14:val="none"/>
        </w:rPr>
        <w:t>jié-bài</w:t>
      </w:r>
      <w:proofErr w:type="spellEnd"/>
      <w:r w:rsidRPr="00291F8E">
        <w:rPr>
          <w:rFonts w:ascii="Times New Roman" w:eastAsia="Times New Roman" w:hAnsi="Times New Roman" w:cs="Times New Roman"/>
          <w:i/>
          <w:iCs/>
          <w:color w:val="000000"/>
          <w:kern w:val="0"/>
          <w14:ligatures w14:val="none"/>
        </w:rPr>
        <w:t xml:space="preserve"> </w:t>
      </w:r>
      <w:proofErr w:type="spellStart"/>
      <w:r w:rsidRPr="00291F8E">
        <w:rPr>
          <w:rFonts w:ascii="Times New Roman" w:eastAsia="Times New Roman" w:hAnsi="Times New Roman" w:cs="Times New Roman"/>
          <w:i/>
          <w:iCs/>
          <w:color w:val="000000"/>
          <w:kern w:val="0"/>
          <w14:ligatures w14:val="none"/>
        </w:rPr>
        <w:t>zǐ-mèi</w:t>
      </w:r>
      <w:proofErr w:type="spellEnd"/>
      <w:r w:rsidRPr="00291F8E">
        <w:rPr>
          <w:rFonts w:ascii="Times New Roman" w:eastAsia="Times New Roman" w:hAnsi="Times New Roman" w:cs="Times New Roman"/>
          <w:color w:val="000000"/>
          <w:kern w:val="0"/>
          <w14:ligatures w14:val="none"/>
        </w:rPr>
        <w:t xml:space="preserve">, </w:t>
      </w:r>
      <w:r w:rsidRPr="00291F8E">
        <w:rPr>
          <w:rFonts w:ascii="Times New Roman" w:eastAsia="SimSun" w:hAnsi="Times New Roman" w:cs="Times New Roman"/>
          <w:color w:val="000000"/>
          <w:kern w:val="0"/>
          <w14:ligatures w14:val="none"/>
        </w:rPr>
        <w:t>结拜姊妹</w:t>
      </w:r>
      <w:r w:rsidRPr="00291F8E">
        <w:rPr>
          <w:rFonts w:ascii="Times New Roman" w:eastAsia="Times New Roman" w:hAnsi="Times New Roman" w:cs="Times New Roman"/>
          <w:color w:val="000000"/>
          <w:kern w:val="0"/>
          <w14:ligatures w14:val="none"/>
        </w:rPr>
        <w:t>). Groups of young, unmarried women would formally enter into solemn pacts of sisterhood, vowing eternal friendship, mutual support, and lifelong loyalty. This intricate sisterhood network was far more than just a simple affective bond; it constituted a structured and highly resilient social institution that provided fundamental emotional and practical support throughout a woman's entire life cycle. As argued in sociological studies of female relationships in traditional China, these bonds offered a "lifeline" in a restrictive society, creating a parallel kinship structure based on choice rather than birth (Mann, 1997).</w:t>
      </w:r>
    </w:p>
    <w:p w14:paraId="65A1C548"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t xml:space="preserve">Within these tightly knit sisterhoods,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served as the exclusive lingua franca. It was the cement that solidified these bonds. Girls learned the script organically from one another, often instructed by older female relatives or more experienced members of their sworn sister group. They diligently exchanged letters, shared newly composed poems, and sang traditional and new songs. Crucially, they collaborated in the meticulous creation of the </w:t>
      </w:r>
      <w:proofErr w:type="spellStart"/>
      <w:r w:rsidRPr="00291F8E">
        <w:rPr>
          <w:rFonts w:ascii="Times New Roman" w:eastAsia="Times New Roman" w:hAnsi="Times New Roman" w:cs="Times New Roman"/>
          <w:i/>
          <w:iCs/>
          <w:color w:val="000000"/>
          <w:kern w:val="0"/>
          <w14:ligatures w14:val="none"/>
        </w:rPr>
        <w:t>Sanzhaoshu</w:t>
      </w:r>
      <w:proofErr w:type="spellEnd"/>
      <w:r w:rsidRPr="00291F8E">
        <w:rPr>
          <w:rFonts w:ascii="Times New Roman" w:eastAsia="Times New Roman" w:hAnsi="Times New Roman" w:cs="Times New Roman"/>
          <w:color w:val="000000"/>
          <w:kern w:val="0"/>
          <w14:ligatures w14:val="none"/>
        </w:rPr>
        <w:t xml:space="preserve">. These "Third Day Books" were exquisitely decorated, containing a carefully curated collection of songs and heartfelt messages written in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These unique volumes were lovingly prepared by the sworn sisters and the bride's mother, and ceremoniously delivered to the bride on the third day after her wedding, marking her painful transition into a new family.</w:t>
      </w:r>
    </w:p>
    <w:p w14:paraId="0A1A4017"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t>The </w:t>
      </w:r>
      <w:proofErr w:type="spellStart"/>
      <w:r w:rsidRPr="00291F8E">
        <w:rPr>
          <w:rFonts w:ascii="Times New Roman" w:eastAsia="Times New Roman" w:hAnsi="Times New Roman" w:cs="Times New Roman"/>
          <w:i/>
          <w:iCs/>
          <w:color w:val="000000"/>
          <w:kern w:val="0"/>
          <w14:ligatures w14:val="none"/>
        </w:rPr>
        <w:t>Sanzhaoshu</w:t>
      </w:r>
      <w:proofErr w:type="spellEnd"/>
      <w:r w:rsidRPr="00291F8E">
        <w:rPr>
          <w:rFonts w:ascii="Times New Roman" w:eastAsia="Times New Roman" w:hAnsi="Times New Roman" w:cs="Times New Roman"/>
          <w:color w:val="000000"/>
          <w:kern w:val="0"/>
          <w14:ligatures w14:val="none"/>
        </w:rPr>
        <w:t xml:space="preserve"> represent one of the most significant and deeply moving textual genres within the entire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corpus. They contained poignant expressions of grief over the impending separation, practical advice for navigating the complexities of new married life, and often, bitter laments (</w:t>
      </w:r>
      <w:proofErr w:type="spellStart"/>
      <w:r w:rsidRPr="00291F8E">
        <w:rPr>
          <w:rFonts w:ascii="Times New Roman" w:eastAsia="Times New Roman" w:hAnsi="Times New Roman" w:cs="Times New Roman"/>
          <w:i/>
          <w:iCs/>
          <w:color w:val="000000"/>
          <w:kern w:val="0"/>
          <w14:ligatures w14:val="none"/>
        </w:rPr>
        <w:t>kujia</w:t>
      </w:r>
      <w:proofErr w:type="spellEnd"/>
      <w:r w:rsidRPr="00291F8E">
        <w:rPr>
          <w:rFonts w:ascii="Times New Roman" w:eastAsia="Times New Roman" w:hAnsi="Times New Roman" w:cs="Times New Roman"/>
          <w:color w:val="000000"/>
          <w:kern w:val="0"/>
          <w14:ligatures w14:val="none"/>
        </w:rPr>
        <w:t xml:space="preserve">, </w:t>
      </w:r>
      <w:r w:rsidRPr="00291F8E">
        <w:rPr>
          <w:rFonts w:ascii="Times New Roman" w:eastAsia="SimSun" w:hAnsi="Times New Roman" w:cs="Times New Roman"/>
          <w:color w:val="000000"/>
          <w:kern w:val="0"/>
          <w14:ligatures w14:val="none"/>
        </w:rPr>
        <w:t>哭嫁</w:t>
      </w:r>
      <w:r w:rsidRPr="00291F8E">
        <w:rPr>
          <w:rFonts w:ascii="Times New Roman" w:eastAsia="Times New Roman" w:hAnsi="Times New Roman" w:cs="Times New Roman"/>
          <w:color w:val="000000"/>
          <w:kern w:val="0"/>
          <w14:ligatures w14:val="none"/>
        </w:rPr>
        <w:t xml:space="preserve">) detailing the harsh realities of the female condition, coupled with powerful reaffirmations of the unbreakable bond of sisterhood (Silber, 2018; Zhao, 2006). These texts, therefore, transcended simple letters. They were sacred ritual </w:t>
      </w:r>
      <w:r w:rsidRPr="00291F8E">
        <w:rPr>
          <w:rFonts w:ascii="Times New Roman" w:eastAsia="Times New Roman" w:hAnsi="Times New Roman" w:cs="Times New Roman"/>
          <w:color w:val="000000"/>
          <w:kern w:val="0"/>
          <w14:ligatures w14:val="none"/>
        </w:rPr>
        <w:lastRenderedPageBreak/>
        <w:t>objects, laden with immense symbolic value, that physically materialized the vital network of affection, empathy, and unwavering support that would accompany and sustain the woman in her challenging new life. The very act of preparing and receiving these books was a performative act of emotional bonding and validation, a ritual that affirmed a woman's value within her natal community at the very moment she was being formally separated from it.</w:t>
      </w:r>
    </w:p>
    <w:p w14:paraId="2C19592B" w14:textId="77777777" w:rsidR="00291F8E" w:rsidRPr="00291F8E" w:rsidRDefault="00291F8E" w:rsidP="00291F8E">
      <w:pPr>
        <w:spacing w:before="100" w:beforeAutospacing="1" w:after="100" w:afterAutospacing="1" w:line="360" w:lineRule="auto"/>
        <w:rPr>
          <w:rFonts w:ascii="Times New Roman" w:eastAsia="Times New Roman" w:hAnsi="Times New Roman" w:cs="Times New Roman"/>
          <w:color w:val="000000"/>
          <w:kern w:val="0"/>
          <w14:ligatures w14:val="none"/>
        </w:rPr>
      </w:pPr>
      <w:r w:rsidRPr="00291F8E">
        <w:rPr>
          <w:rFonts w:ascii="Times New Roman" w:eastAsia="Times New Roman" w:hAnsi="Times New Roman" w:cs="Times New Roman"/>
          <w:color w:val="000000"/>
          <w:kern w:val="0"/>
          <w14:ligatures w14:val="none"/>
        </w:rPr>
        <w:t xml:space="preserve">In summary,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cannot be adequately understood as a simple linguistic code. It is the intricate product of a truly unique ecosystem—a socio-cultural "niche product" that emerged from the complex intersection of geographical isolation, dynamic cultural contact, pervasive patriarchal oppression, and the remarkable, indomitable capacity of women to forge deep bonds and create their own autonomous spaces for profound expressive and emotional freedom. The specific combination of these factors in </w:t>
      </w:r>
      <w:proofErr w:type="spellStart"/>
      <w:r w:rsidRPr="00291F8E">
        <w:rPr>
          <w:rFonts w:ascii="Times New Roman" w:eastAsia="Times New Roman" w:hAnsi="Times New Roman" w:cs="Times New Roman"/>
          <w:color w:val="000000"/>
          <w:kern w:val="0"/>
          <w14:ligatures w14:val="none"/>
        </w:rPr>
        <w:t>Jiangyong</w:t>
      </w:r>
      <w:proofErr w:type="spellEnd"/>
      <w:r w:rsidRPr="00291F8E">
        <w:rPr>
          <w:rFonts w:ascii="Times New Roman" w:eastAsia="Times New Roman" w:hAnsi="Times New Roman" w:cs="Times New Roman"/>
          <w:color w:val="000000"/>
          <w:kern w:val="0"/>
          <w14:ligatures w14:val="none"/>
        </w:rPr>
        <w:t xml:space="preserve"> created a historical window of opportunity for </w:t>
      </w:r>
      <w:proofErr w:type="spellStart"/>
      <w:r w:rsidRPr="00291F8E">
        <w:rPr>
          <w:rFonts w:ascii="Times New Roman" w:eastAsia="Times New Roman" w:hAnsi="Times New Roman" w:cs="Times New Roman"/>
          <w:color w:val="000000"/>
          <w:kern w:val="0"/>
          <w14:ligatures w14:val="none"/>
        </w:rPr>
        <w:t>Nüshu</w:t>
      </w:r>
      <w:proofErr w:type="spellEnd"/>
      <w:r w:rsidRPr="00291F8E">
        <w:rPr>
          <w:rFonts w:ascii="Times New Roman" w:eastAsia="Times New Roman" w:hAnsi="Times New Roman" w:cs="Times New Roman"/>
          <w:color w:val="000000"/>
          <w:kern w:val="0"/>
          <w14:ligatures w14:val="none"/>
        </w:rPr>
        <w:t xml:space="preserve"> not only to emerge but to persist for centuries as a testament to the resilience and creativity of its users.</w:t>
      </w:r>
    </w:p>
    <w:p w14:paraId="43FAB6D3" w14:textId="5631BAE7" w:rsidR="005D18C9" w:rsidRPr="00763662" w:rsidRDefault="001F03B2" w:rsidP="00763662">
      <w:pPr>
        <w:spacing w:line="360" w:lineRule="auto"/>
        <w:rPr>
          <w:rFonts w:ascii="Times New Roman" w:hAnsi="Times New Roman" w:cs="Times New Roman"/>
        </w:rPr>
      </w:pPr>
      <w:r>
        <w:rPr>
          <w:rFonts w:ascii="Times New Roman" w:eastAsia="Times New Roman" w:hAnsi="Times New Roman" w:cs="Times New Roman"/>
          <w:noProof/>
          <w:color w:val="000000"/>
          <w:kern w:val="0"/>
        </w:rPr>
        <w:pict w14:anchorId="20337AAD">
          <v:rect id="_x0000_i1028" alt="" style="width:451.3pt;height:.05pt;mso-width-percent:0;mso-height-percent:0;mso-width-percent:0;mso-height-percent:0" o:hralign="center" o:hrstd="t" o:hr="t" fillcolor="#a0a0a0" stroked="f"/>
        </w:pict>
      </w:r>
    </w:p>
    <w:p w14:paraId="25F67B2D" w14:textId="77777777" w:rsidR="003405DE" w:rsidRPr="003405DE" w:rsidRDefault="003405DE" w:rsidP="00E17873">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14:ligatures w14:val="none"/>
        </w:rPr>
      </w:pPr>
      <w:r w:rsidRPr="003405DE">
        <w:rPr>
          <w:rFonts w:ascii="Times New Roman" w:eastAsia="Times New Roman" w:hAnsi="Times New Roman" w:cs="Times New Roman"/>
          <w:b/>
          <w:bCs/>
          <w:color w:val="000000"/>
          <w:kern w:val="0"/>
          <w:sz w:val="27"/>
          <w:szCs w:val="27"/>
          <w14:ligatures w14:val="none"/>
        </w:rPr>
        <w:t>4. Linguistic Characterization</w:t>
      </w:r>
    </w:p>
    <w:p w14:paraId="7BE03F51"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 xml:space="preserve">An analysis of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as a writing system reveals an efficient and elegant solution for the specific communicative needs of its users. Its structural design diverges fundamentally from that of standard Chinese characters, representing a phonetic rather than a logographic system. This distinction is not merely a technical detail; it reflects a different approach to literacy, one adapted for informal, peer-to-peer transmission in a non-scholarly context. This section outlines the main characteristics of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at the graphic, phonological, and lexical levels, drawing on established scientific literature to provide a comprehensive linguistic profile.</w:t>
      </w:r>
    </w:p>
    <w:p w14:paraId="64E9FBB0" w14:textId="77777777" w:rsidR="003405DE" w:rsidRPr="003405DE" w:rsidRDefault="003405DE" w:rsidP="00E17873">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3405DE">
        <w:rPr>
          <w:rFonts w:ascii="Times New Roman" w:eastAsia="Times New Roman" w:hAnsi="Times New Roman" w:cs="Times New Roman"/>
          <w:b/>
          <w:bCs/>
          <w:color w:val="000000"/>
          <w:kern w:val="0"/>
          <w14:ligatures w14:val="none"/>
        </w:rPr>
        <w:t>4.1. The Script</w:t>
      </w:r>
    </w:p>
    <w:p w14:paraId="7F69731D"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 xml:space="preserve">A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text possesses a recognizable aesthetic that sets it apart from standard Chinese calligraphy. The characters exhibit a rhomboidal and elongated shape, often described as "thread-like," which contrasts with the typically square, modular, and often more block-like structure of </w:t>
      </w:r>
      <w:proofErr w:type="spellStart"/>
      <w:r w:rsidRPr="003405DE">
        <w:rPr>
          <w:rFonts w:ascii="Times New Roman" w:eastAsia="Times New Roman" w:hAnsi="Times New Roman" w:cs="Times New Roman"/>
          <w:color w:val="000000"/>
          <w:kern w:val="0"/>
          <w14:ligatures w14:val="none"/>
        </w:rPr>
        <w:t>hanzi</w:t>
      </w:r>
      <w:proofErr w:type="spellEnd"/>
      <w:r w:rsidRPr="003405DE">
        <w:rPr>
          <w:rFonts w:ascii="Times New Roman" w:eastAsia="Times New Roman" w:hAnsi="Times New Roman" w:cs="Times New Roman"/>
          <w:color w:val="000000"/>
          <w:kern w:val="0"/>
          <w14:ligatures w14:val="none"/>
        </w:rPr>
        <w:t>. The strokes are thin and frequently curvilinear, composed of a combination of four basic elements: dots (</w:t>
      </w:r>
      <w:r w:rsidRPr="003405DE">
        <w:rPr>
          <w:rFonts w:ascii="SimSun" w:eastAsia="SimSun" w:hAnsi="SimSun" w:cs="SimSun" w:hint="eastAsia"/>
          <w:color w:val="000000"/>
          <w:kern w:val="0"/>
          <w14:ligatures w14:val="none"/>
        </w:rPr>
        <w:t>点</w:t>
      </w:r>
      <w:r w:rsidRPr="003405DE">
        <w:rPr>
          <w:rFonts w:ascii="Times New Roman" w:eastAsia="Times New Roman" w:hAnsi="Times New Roman" w:cs="Times New Roman"/>
          <w:color w:val="000000"/>
          <w:kern w:val="0"/>
          <w14:ligatures w14:val="none"/>
        </w:rPr>
        <w:t>), straight lines (</w:t>
      </w:r>
      <w:r w:rsidRPr="003405DE">
        <w:rPr>
          <w:rFonts w:ascii="SimSun" w:eastAsia="SimSun" w:hAnsi="SimSun" w:cs="SimSun" w:hint="eastAsia"/>
          <w:color w:val="000000"/>
          <w:kern w:val="0"/>
          <w14:ligatures w14:val="none"/>
        </w:rPr>
        <w:t>直</w:t>
      </w:r>
      <w:r w:rsidRPr="003405DE">
        <w:rPr>
          <w:rFonts w:ascii="Times New Roman" w:eastAsia="Times New Roman" w:hAnsi="Times New Roman" w:cs="Times New Roman"/>
          <w:color w:val="000000"/>
          <w:kern w:val="0"/>
          <w14:ligatures w14:val="none"/>
        </w:rPr>
        <w:t>), arcs (</w:t>
      </w:r>
      <w:r w:rsidRPr="003405DE">
        <w:rPr>
          <w:rFonts w:ascii="SimSun" w:eastAsia="SimSun" w:hAnsi="SimSun" w:cs="SimSun" w:hint="eastAsia"/>
          <w:color w:val="000000"/>
          <w:kern w:val="0"/>
          <w14:ligatures w14:val="none"/>
        </w:rPr>
        <w:t>弧</w:t>
      </w:r>
      <w:r w:rsidRPr="003405DE">
        <w:rPr>
          <w:rFonts w:ascii="Times New Roman" w:eastAsia="Times New Roman" w:hAnsi="Times New Roman" w:cs="Times New Roman"/>
          <w:color w:val="000000"/>
          <w:kern w:val="0"/>
          <w14:ligatures w14:val="none"/>
        </w:rPr>
        <w:t>), and enclosed circles (</w:t>
      </w:r>
      <w:r w:rsidRPr="003405DE">
        <w:rPr>
          <w:rFonts w:ascii="SimSun" w:eastAsia="SimSun" w:hAnsi="SimSun" w:cs="SimSun" w:hint="eastAsia"/>
          <w:color w:val="000000"/>
          <w:kern w:val="0"/>
          <w14:ligatures w14:val="none"/>
        </w:rPr>
        <w:t>圈</w:t>
      </w:r>
      <w:r w:rsidRPr="003405DE">
        <w:rPr>
          <w:rFonts w:ascii="Times New Roman" w:eastAsia="Times New Roman" w:hAnsi="Times New Roman" w:cs="Times New Roman"/>
          <w:color w:val="000000"/>
          <w:kern w:val="0"/>
          <w14:ligatures w14:val="none"/>
        </w:rPr>
        <w:t xml:space="preserve">). This graphic style has led to descriptive local nicknames, such as "long-legged </w:t>
      </w:r>
      <w:r w:rsidRPr="003405DE">
        <w:rPr>
          <w:rFonts w:ascii="Times New Roman" w:eastAsia="Times New Roman" w:hAnsi="Times New Roman" w:cs="Times New Roman"/>
          <w:color w:val="000000"/>
          <w:kern w:val="0"/>
          <w14:ligatures w14:val="none"/>
        </w:rPr>
        <w:lastRenderedPageBreak/>
        <w:t>mosquito script" (</w:t>
      </w:r>
      <w:r w:rsidRPr="003405DE">
        <w:rPr>
          <w:rFonts w:ascii="SimSun" w:eastAsia="SimSun" w:hAnsi="SimSun" w:cs="SimSun" w:hint="eastAsia"/>
          <w:color w:val="000000"/>
          <w:kern w:val="0"/>
          <w14:ligatures w14:val="none"/>
        </w:rPr>
        <w:t>长脚蚊字</w:t>
      </w:r>
      <w:r w:rsidRPr="003405DE">
        <w:rPr>
          <w:rFonts w:ascii="Times New Roman" w:eastAsia="Times New Roman" w:hAnsi="Times New Roman" w:cs="Times New Roman"/>
          <w:color w:val="000000"/>
          <w:kern w:val="0"/>
          <w14:ligatures w14:val="none"/>
        </w:rPr>
        <w:t>, </w:t>
      </w:r>
      <w:proofErr w:type="spellStart"/>
      <w:r w:rsidRPr="003405DE">
        <w:rPr>
          <w:rFonts w:ascii="Times New Roman" w:eastAsia="Times New Roman" w:hAnsi="Times New Roman" w:cs="Times New Roman"/>
          <w:i/>
          <w:iCs/>
          <w:color w:val="000000"/>
          <w:kern w:val="0"/>
          <w14:ligatures w14:val="none"/>
        </w:rPr>
        <w:t>chángjiǎo</w:t>
      </w:r>
      <w:proofErr w:type="spellEnd"/>
      <w:r w:rsidRPr="003405DE">
        <w:rPr>
          <w:rFonts w:ascii="Times New Roman" w:eastAsia="Times New Roman" w:hAnsi="Times New Roman" w:cs="Times New Roman"/>
          <w:i/>
          <w:iCs/>
          <w:color w:val="000000"/>
          <w:kern w:val="0"/>
          <w14:ligatures w14:val="none"/>
        </w:rPr>
        <w:t xml:space="preserve"> </w:t>
      </w:r>
      <w:proofErr w:type="spellStart"/>
      <w:r w:rsidRPr="003405DE">
        <w:rPr>
          <w:rFonts w:ascii="Times New Roman" w:eastAsia="Times New Roman" w:hAnsi="Times New Roman" w:cs="Times New Roman"/>
          <w:i/>
          <w:iCs/>
          <w:color w:val="000000"/>
          <w:kern w:val="0"/>
          <w14:ligatures w14:val="none"/>
        </w:rPr>
        <w:t>wénzì</w:t>
      </w:r>
      <w:proofErr w:type="spellEnd"/>
      <w:r w:rsidRPr="003405DE">
        <w:rPr>
          <w:rFonts w:ascii="Times New Roman" w:eastAsia="Times New Roman" w:hAnsi="Times New Roman" w:cs="Times New Roman"/>
          <w:color w:val="000000"/>
          <w:kern w:val="0"/>
          <w14:ligatures w14:val="none"/>
        </w:rPr>
        <w:t xml:space="preserve">), which captures their slender and oblique morphology. The strokes often connect in a more organic and flowing manner than in the discrete strokes of standard </w:t>
      </w:r>
      <w:proofErr w:type="spellStart"/>
      <w:r w:rsidRPr="003405DE">
        <w:rPr>
          <w:rFonts w:ascii="Times New Roman" w:eastAsia="Times New Roman" w:hAnsi="Times New Roman" w:cs="Times New Roman"/>
          <w:color w:val="000000"/>
          <w:kern w:val="0"/>
          <w14:ligatures w14:val="none"/>
        </w:rPr>
        <w:t>hanzi</w:t>
      </w:r>
      <w:proofErr w:type="spellEnd"/>
      <w:r w:rsidRPr="003405DE">
        <w:rPr>
          <w:rFonts w:ascii="Times New Roman" w:eastAsia="Times New Roman" w:hAnsi="Times New Roman" w:cs="Times New Roman"/>
          <w:color w:val="000000"/>
          <w:kern w:val="0"/>
          <w14:ligatures w14:val="none"/>
        </w:rPr>
        <w:t>. This visual fluidity may reflect the physical act of writing or embroidering in a domestic setting, where women worked with fabric and thread, materials that lend themselves to continuous, flowing lines.</w:t>
      </w:r>
    </w:p>
    <w:p w14:paraId="0B721A1F"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 xml:space="preserve">The consensus among scholars, including the foundational work of Zhao Liming, is that a number of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characters derive from stylized or cursive variants of standard Chinese characters, in particular from the </w:t>
      </w:r>
      <w:proofErr w:type="spellStart"/>
      <w:r w:rsidRPr="003405DE">
        <w:rPr>
          <w:rFonts w:ascii="Times New Roman" w:eastAsia="Times New Roman" w:hAnsi="Times New Roman" w:cs="Times New Roman"/>
          <w:i/>
          <w:iCs/>
          <w:color w:val="000000"/>
          <w:kern w:val="0"/>
          <w14:ligatures w14:val="none"/>
        </w:rPr>
        <w:t>kaishu</w:t>
      </w:r>
      <w:proofErr w:type="spellEnd"/>
      <w:r w:rsidRPr="003405DE">
        <w:rPr>
          <w:rFonts w:ascii="Times New Roman" w:eastAsia="Times New Roman" w:hAnsi="Times New Roman" w:cs="Times New Roman"/>
          <w:color w:val="000000"/>
          <w:kern w:val="0"/>
          <w14:ligatures w14:val="none"/>
        </w:rPr>
        <w:t> (</w:t>
      </w:r>
      <w:r w:rsidRPr="003405DE">
        <w:rPr>
          <w:rFonts w:ascii="SimSun" w:eastAsia="SimSun" w:hAnsi="SimSun" w:cs="SimSun" w:hint="eastAsia"/>
          <w:color w:val="000000"/>
          <w:kern w:val="0"/>
          <w14:ligatures w14:val="none"/>
        </w:rPr>
        <w:t>楷书</w:t>
      </w:r>
      <w:r w:rsidRPr="003405DE">
        <w:rPr>
          <w:rFonts w:ascii="Times New Roman" w:eastAsia="Times New Roman" w:hAnsi="Times New Roman" w:cs="Times New Roman"/>
          <w:color w:val="000000"/>
          <w:kern w:val="0"/>
          <w14:ligatures w14:val="none"/>
        </w:rPr>
        <w:t xml:space="preserve">, regular script) style prevalent during the late imperial period when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likely stabilized. However, the relationship is often not direct or easily identifiable. Some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characters appear to be original creations, designed to represent specific phonetic values of the </w:t>
      </w:r>
      <w:proofErr w:type="spellStart"/>
      <w:r w:rsidRPr="003405DE">
        <w:rPr>
          <w:rFonts w:ascii="Times New Roman" w:eastAsia="Times New Roman" w:hAnsi="Times New Roman" w:cs="Times New Roman"/>
          <w:color w:val="000000"/>
          <w:kern w:val="0"/>
          <w14:ligatures w14:val="none"/>
        </w:rPr>
        <w:t>Jiangyong</w:t>
      </w:r>
      <w:proofErr w:type="spellEnd"/>
      <w:r w:rsidRPr="003405DE">
        <w:rPr>
          <w:rFonts w:ascii="Times New Roman" w:eastAsia="Times New Roman" w:hAnsi="Times New Roman" w:cs="Times New Roman"/>
          <w:color w:val="000000"/>
          <w:kern w:val="0"/>
          <w14:ligatures w14:val="none"/>
        </w:rPr>
        <w:t xml:space="preserve"> dialect that had no obvious corresponding </w:t>
      </w:r>
      <w:proofErr w:type="spellStart"/>
      <w:r w:rsidRPr="003405DE">
        <w:rPr>
          <w:rFonts w:ascii="Times New Roman" w:eastAsia="Times New Roman" w:hAnsi="Times New Roman" w:cs="Times New Roman"/>
          <w:color w:val="000000"/>
          <w:kern w:val="0"/>
          <w14:ligatures w14:val="none"/>
        </w:rPr>
        <w:t>hanzi</w:t>
      </w:r>
      <w:proofErr w:type="spellEnd"/>
      <w:r w:rsidRPr="003405DE">
        <w:rPr>
          <w:rFonts w:ascii="Times New Roman" w:eastAsia="Times New Roman" w:hAnsi="Times New Roman" w:cs="Times New Roman"/>
          <w:color w:val="000000"/>
          <w:kern w:val="0"/>
          <w14:ligatures w14:val="none"/>
        </w:rPr>
        <w:t xml:space="preserve">. Others are so heavily modified—through simplification, rotation, or the isolation of a single component—that their etymological connection to a source </w:t>
      </w:r>
      <w:proofErr w:type="spellStart"/>
      <w:r w:rsidRPr="003405DE">
        <w:rPr>
          <w:rFonts w:ascii="Times New Roman" w:eastAsia="Times New Roman" w:hAnsi="Times New Roman" w:cs="Times New Roman"/>
          <w:color w:val="000000"/>
          <w:kern w:val="0"/>
          <w14:ligatures w14:val="none"/>
        </w:rPr>
        <w:t>hanzi</w:t>
      </w:r>
      <w:proofErr w:type="spellEnd"/>
      <w:r w:rsidRPr="003405DE">
        <w:rPr>
          <w:rFonts w:ascii="Times New Roman" w:eastAsia="Times New Roman" w:hAnsi="Times New Roman" w:cs="Times New Roman"/>
          <w:color w:val="000000"/>
          <w:kern w:val="0"/>
          <w14:ligatures w14:val="none"/>
        </w:rPr>
        <w:t xml:space="preserve"> is difficult to recognize without expert analysis. There is an ongoing discussion regarding the possibility that some characters may incorporate elements of iconic or symbolic imagery, moving beyond purely phonetic representation, though this remains a minority view.</w:t>
      </w:r>
    </w:p>
    <w:p w14:paraId="3360D108"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 xml:space="preserve">The total inventory of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characters is a subject of academic debate, partly due to the considerable calligraphic variations that exist between different writers and across different villages. Current estimates suggest about 400 characters are in common use, with a total corpus of perhaps 1,000-1,500 identifiable graphemes when all variants are included. This limited number, especially when compared with the tens of thousands of </w:t>
      </w:r>
      <w:proofErr w:type="spellStart"/>
      <w:r w:rsidRPr="003405DE">
        <w:rPr>
          <w:rFonts w:ascii="Times New Roman" w:eastAsia="Times New Roman" w:hAnsi="Times New Roman" w:cs="Times New Roman"/>
          <w:color w:val="000000"/>
          <w:kern w:val="0"/>
          <w14:ligatures w14:val="none"/>
        </w:rPr>
        <w:t>hanzi</w:t>
      </w:r>
      <w:proofErr w:type="spellEnd"/>
      <w:r w:rsidRPr="003405DE">
        <w:rPr>
          <w:rFonts w:ascii="Times New Roman" w:eastAsia="Times New Roman" w:hAnsi="Times New Roman" w:cs="Times New Roman"/>
          <w:color w:val="000000"/>
          <w:kern w:val="0"/>
          <w14:ligatures w14:val="none"/>
        </w:rPr>
        <w:t xml:space="preserve"> required for full literacy in standard written Chinese, is a primary indicator of </w:t>
      </w:r>
      <w:proofErr w:type="spellStart"/>
      <w:r w:rsidRPr="003405DE">
        <w:rPr>
          <w:rFonts w:ascii="Times New Roman" w:eastAsia="Times New Roman" w:hAnsi="Times New Roman" w:cs="Times New Roman"/>
          <w:color w:val="000000"/>
          <w:kern w:val="0"/>
          <w14:ligatures w14:val="none"/>
        </w:rPr>
        <w:t>Nüshu’s</w:t>
      </w:r>
      <w:proofErr w:type="spellEnd"/>
      <w:r w:rsidRPr="003405DE">
        <w:rPr>
          <w:rFonts w:ascii="Times New Roman" w:eastAsia="Times New Roman" w:hAnsi="Times New Roman" w:cs="Times New Roman"/>
          <w:color w:val="000000"/>
          <w:kern w:val="0"/>
          <w14:ligatures w14:val="none"/>
        </w:rPr>
        <w:t xml:space="preserve"> different structural nature. Such a restricted character set suggests a system that was optimized for ease of learning and management within a context of informal, communal transmission. It represents an efficient adaptation to an environment where women learned the script from each other without formal schooling or the extensive rote memorization required for the logographic system.</w:t>
      </w:r>
    </w:p>
    <w:p w14:paraId="243FFB78"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 xml:space="preserve">The most profound structural distinction between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and </w:t>
      </w:r>
      <w:proofErr w:type="spellStart"/>
      <w:r w:rsidRPr="003405DE">
        <w:rPr>
          <w:rFonts w:ascii="Times New Roman" w:eastAsia="Times New Roman" w:hAnsi="Times New Roman" w:cs="Times New Roman"/>
          <w:color w:val="000000"/>
          <w:kern w:val="0"/>
          <w14:ligatures w14:val="none"/>
        </w:rPr>
        <w:t>hanzi</w:t>
      </w:r>
      <w:proofErr w:type="spellEnd"/>
      <w:r w:rsidRPr="003405DE">
        <w:rPr>
          <w:rFonts w:ascii="Times New Roman" w:eastAsia="Times New Roman" w:hAnsi="Times New Roman" w:cs="Times New Roman"/>
          <w:color w:val="000000"/>
          <w:kern w:val="0"/>
          <w14:ligatures w14:val="none"/>
        </w:rPr>
        <w:t xml:space="preserve">, however, lies in their fundamental operational principles. While standard Chinese is written using a logographic system, where each character primarily represents a word or a morpheme carrying an intrinsic semantic meaning,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operates as a syllabic writing system. In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each character </w:t>
      </w:r>
      <w:r w:rsidRPr="003405DE">
        <w:rPr>
          <w:rFonts w:ascii="Times New Roman" w:eastAsia="Times New Roman" w:hAnsi="Times New Roman" w:cs="Times New Roman"/>
          <w:color w:val="000000"/>
          <w:kern w:val="0"/>
          <w14:ligatures w14:val="none"/>
        </w:rPr>
        <w:lastRenderedPageBreak/>
        <w:t xml:space="preserve">represents a syllable—a unit of sound. Consequently, the same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character is employed to write all homophonous words or morphemes (i.e., those pronounced identically) within the local </w:t>
      </w:r>
      <w:proofErr w:type="spellStart"/>
      <w:r w:rsidRPr="003405DE">
        <w:rPr>
          <w:rFonts w:ascii="Times New Roman" w:eastAsia="Times New Roman" w:hAnsi="Times New Roman" w:cs="Times New Roman"/>
          <w:color w:val="000000"/>
          <w:kern w:val="0"/>
          <w14:ligatures w14:val="none"/>
        </w:rPr>
        <w:t>Jiangyong</w:t>
      </w:r>
      <w:proofErr w:type="spellEnd"/>
      <w:r w:rsidRPr="003405DE">
        <w:rPr>
          <w:rFonts w:ascii="Times New Roman" w:eastAsia="Times New Roman" w:hAnsi="Times New Roman" w:cs="Times New Roman"/>
          <w:color w:val="000000"/>
          <w:kern w:val="0"/>
          <w14:ligatures w14:val="none"/>
        </w:rPr>
        <w:t xml:space="preserve"> dialect, regardless of their differing semantic meanings.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serves as a phonetic transcription system for the </w:t>
      </w:r>
      <w:proofErr w:type="spellStart"/>
      <w:r w:rsidRPr="003405DE">
        <w:rPr>
          <w:rFonts w:ascii="Times New Roman" w:eastAsia="Times New Roman" w:hAnsi="Times New Roman" w:cs="Times New Roman"/>
          <w:i/>
          <w:iCs/>
          <w:color w:val="000000"/>
          <w:kern w:val="0"/>
          <w14:ligatures w14:val="none"/>
        </w:rPr>
        <w:t>Chengguan</w:t>
      </w:r>
      <w:proofErr w:type="spellEnd"/>
      <w:r w:rsidRPr="003405DE">
        <w:rPr>
          <w:rFonts w:ascii="Times New Roman" w:eastAsia="Times New Roman" w:hAnsi="Times New Roman" w:cs="Times New Roman"/>
          <w:i/>
          <w:iCs/>
          <w:color w:val="000000"/>
          <w:kern w:val="0"/>
          <w14:ligatures w14:val="none"/>
        </w:rPr>
        <w:t xml:space="preserve"> </w:t>
      </w:r>
      <w:proofErr w:type="spellStart"/>
      <w:r w:rsidRPr="003405DE">
        <w:rPr>
          <w:rFonts w:ascii="Times New Roman" w:eastAsia="Times New Roman" w:hAnsi="Times New Roman" w:cs="Times New Roman"/>
          <w:i/>
          <w:iCs/>
          <w:color w:val="000000"/>
          <w:kern w:val="0"/>
          <w14:ligatures w14:val="none"/>
        </w:rPr>
        <w:t>Tuhua</w:t>
      </w:r>
      <w:proofErr w:type="spellEnd"/>
      <w:r w:rsidRPr="003405DE">
        <w:rPr>
          <w:rFonts w:ascii="Times New Roman" w:eastAsia="Times New Roman" w:hAnsi="Times New Roman" w:cs="Times New Roman"/>
          <w:color w:val="000000"/>
          <w:kern w:val="0"/>
          <w14:ligatures w14:val="none"/>
        </w:rPr>
        <w:t> (</w:t>
      </w:r>
      <w:r w:rsidRPr="003405DE">
        <w:rPr>
          <w:rFonts w:ascii="SimSun" w:eastAsia="SimSun" w:hAnsi="SimSun" w:cs="SimSun" w:hint="eastAsia"/>
          <w:color w:val="000000"/>
          <w:kern w:val="0"/>
          <w14:ligatures w14:val="none"/>
        </w:rPr>
        <w:t>城关土话</w:t>
      </w:r>
      <w:r w:rsidRPr="003405DE">
        <w:rPr>
          <w:rFonts w:ascii="Times New Roman" w:eastAsia="Times New Roman" w:hAnsi="Times New Roman" w:cs="Times New Roman"/>
          <w:color w:val="000000"/>
          <w:kern w:val="0"/>
          <w14:ligatures w14:val="none"/>
        </w:rPr>
        <w:t xml:space="preserve">), the specific vernacular dialect spoken in the </w:t>
      </w:r>
      <w:proofErr w:type="spellStart"/>
      <w:r w:rsidRPr="003405DE">
        <w:rPr>
          <w:rFonts w:ascii="Times New Roman" w:eastAsia="Times New Roman" w:hAnsi="Times New Roman" w:cs="Times New Roman"/>
          <w:color w:val="000000"/>
          <w:kern w:val="0"/>
          <w14:ligatures w14:val="none"/>
        </w:rPr>
        <w:t>Jiangyong</w:t>
      </w:r>
      <w:proofErr w:type="spellEnd"/>
      <w:r w:rsidRPr="003405DE">
        <w:rPr>
          <w:rFonts w:ascii="Times New Roman" w:eastAsia="Times New Roman" w:hAnsi="Times New Roman" w:cs="Times New Roman"/>
          <w:color w:val="000000"/>
          <w:kern w:val="0"/>
          <w14:ligatures w14:val="none"/>
        </w:rPr>
        <w:t xml:space="preserve"> area where the script was used. This deep, unbreakable link to a highly specific local dialect is a primary reason for </w:t>
      </w:r>
      <w:proofErr w:type="spellStart"/>
      <w:r w:rsidRPr="003405DE">
        <w:rPr>
          <w:rFonts w:ascii="Times New Roman" w:eastAsia="Times New Roman" w:hAnsi="Times New Roman" w:cs="Times New Roman"/>
          <w:color w:val="000000"/>
          <w:kern w:val="0"/>
          <w14:ligatures w14:val="none"/>
        </w:rPr>
        <w:t>Nüshu's</w:t>
      </w:r>
      <w:proofErr w:type="spellEnd"/>
      <w:r w:rsidRPr="003405DE">
        <w:rPr>
          <w:rFonts w:ascii="Times New Roman" w:eastAsia="Times New Roman" w:hAnsi="Times New Roman" w:cs="Times New Roman"/>
          <w:color w:val="000000"/>
          <w:kern w:val="0"/>
          <w14:ligatures w14:val="none"/>
        </w:rPr>
        <w:t xml:space="preserve"> geographically restricted diffusion. To accurately read and comprehend a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text, it is not enough to recognize the characters; one must possess an intimate, native-like knowledge of the </w:t>
      </w:r>
      <w:proofErr w:type="spellStart"/>
      <w:r w:rsidRPr="003405DE">
        <w:rPr>
          <w:rFonts w:ascii="Times New Roman" w:eastAsia="Times New Roman" w:hAnsi="Times New Roman" w:cs="Times New Roman"/>
          <w:color w:val="000000"/>
          <w:kern w:val="0"/>
          <w14:ligatures w14:val="none"/>
        </w:rPr>
        <w:t>Tuhua</w:t>
      </w:r>
      <w:proofErr w:type="spellEnd"/>
      <w:r w:rsidRPr="003405DE">
        <w:rPr>
          <w:rFonts w:ascii="Times New Roman" w:eastAsia="Times New Roman" w:hAnsi="Times New Roman" w:cs="Times New Roman"/>
          <w:color w:val="000000"/>
          <w:kern w:val="0"/>
          <w14:ligatures w14:val="none"/>
        </w:rPr>
        <w:t xml:space="preserve"> phonology to correctly associate the written syllables with their intended meanings based on the prevailing linguistic and pragmatic context.</w:t>
      </w:r>
    </w:p>
    <w:p w14:paraId="459F0316"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 xml:space="preserve">This syllabic system, by its nature, generates a potentially high degree of ambiguity from the perspective of a logographic system. Since a single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character can potentially represent dozens of homophonous words, the precise meaning of a given character can be definitively inferred only from the broader context of the sentence, the surrounding text, or, most importantly, the melody of the song in which it is embedded. However, for historical practitioners, who were deeply embedded in that specific linguistic and cultural context, this inherent ambiguity rarely presented a practical problem. On the contrary, it can be seen as a remarkable instance of "cognitive efficiency": the system minimizes the number of distinct signs that need to be memorized, relying heavily instead on the user's implicit linguistic and contextual competence. This phenomenon is common in many syllabic or abjad writing systems and demonstrates how expert speakers can effectively compensate for </w:t>
      </w:r>
      <w:proofErr w:type="spellStart"/>
      <w:r w:rsidRPr="003405DE">
        <w:rPr>
          <w:rFonts w:ascii="Times New Roman" w:eastAsia="Times New Roman" w:hAnsi="Times New Roman" w:cs="Times New Roman"/>
          <w:color w:val="000000"/>
          <w:kern w:val="0"/>
          <w14:ligatures w14:val="none"/>
        </w:rPr>
        <w:t>underspecification</w:t>
      </w:r>
      <w:proofErr w:type="spellEnd"/>
      <w:r w:rsidRPr="003405DE">
        <w:rPr>
          <w:rFonts w:ascii="Times New Roman" w:eastAsia="Times New Roman" w:hAnsi="Times New Roman" w:cs="Times New Roman"/>
          <w:color w:val="000000"/>
          <w:kern w:val="0"/>
          <w14:ligatures w14:val="none"/>
        </w:rPr>
        <w:t xml:space="preserve"> in a script by leveraging their tacit knowledge of the language.</w:t>
      </w:r>
    </w:p>
    <w:p w14:paraId="00462A54" w14:textId="77777777" w:rsidR="003405DE" w:rsidRPr="003405DE" w:rsidRDefault="003405DE" w:rsidP="00E17873">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3405DE">
        <w:rPr>
          <w:rFonts w:ascii="Times New Roman" w:eastAsia="Times New Roman" w:hAnsi="Times New Roman" w:cs="Times New Roman"/>
          <w:b/>
          <w:bCs/>
          <w:color w:val="000000"/>
          <w:kern w:val="0"/>
          <w14:ligatures w14:val="none"/>
        </w:rPr>
        <w:t>4.2. Phonetics and Phonology</w:t>
      </w:r>
    </w:p>
    <w:p w14:paraId="1ED288FF"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 xml:space="preserve">A complete and detailed phonological description of the specific dialect represented by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remains an active area of research. The </w:t>
      </w:r>
      <w:proofErr w:type="spellStart"/>
      <w:r w:rsidRPr="003405DE">
        <w:rPr>
          <w:rFonts w:ascii="Times New Roman" w:eastAsia="Times New Roman" w:hAnsi="Times New Roman" w:cs="Times New Roman"/>
          <w:color w:val="000000"/>
          <w:kern w:val="0"/>
          <w14:ligatures w14:val="none"/>
        </w:rPr>
        <w:t>Jiangyong</w:t>
      </w:r>
      <w:proofErr w:type="spellEnd"/>
      <w:r w:rsidRPr="003405DE">
        <w:rPr>
          <w:rFonts w:ascii="Times New Roman" w:eastAsia="Times New Roman" w:hAnsi="Times New Roman" w:cs="Times New Roman"/>
          <w:color w:val="000000"/>
          <w:kern w:val="0"/>
          <w14:ligatures w14:val="none"/>
        </w:rPr>
        <w:t xml:space="preserve"> dialect belongs to the Xiang (</w:t>
      </w:r>
      <w:r w:rsidRPr="003405DE">
        <w:rPr>
          <w:rFonts w:ascii="SimSun" w:eastAsia="SimSun" w:hAnsi="SimSun" w:cs="SimSun" w:hint="eastAsia"/>
          <w:color w:val="000000"/>
          <w:kern w:val="0"/>
          <w14:ligatures w14:val="none"/>
        </w:rPr>
        <w:t>湘</w:t>
      </w:r>
      <w:r w:rsidRPr="003405DE">
        <w:rPr>
          <w:rFonts w:ascii="Times New Roman" w:eastAsia="Times New Roman" w:hAnsi="Times New Roman" w:cs="Times New Roman"/>
          <w:color w:val="000000"/>
          <w:kern w:val="0"/>
          <w14:ligatures w14:val="none"/>
        </w:rPr>
        <w:t>) dialect group or, according to alternative classifications, is considered a Southwestern Mandarin dialect exhibiting significant influences from both Xiang and Cantonese. As an unwritten vernacular (</w:t>
      </w:r>
      <w:proofErr w:type="spellStart"/>
      <w:r w:rsidRPr="003405DE">
        <w:rPr>
          <w:rFonts w:ascii="Times New Roman" w:eastAsia="Times New Roman" w:hAnsi="Times New Roman" w:cs="Times New Roman"/>
          <w:i/>
          <w:iCs/>
          <w:color w:val="000000"/>
          <w:kern w:val="0"/>
          <w14:ligatures w14:val="none"/>
        </w:rPr>
        <w:t>tuhua</w:t>
      </w:r>
      <w:proofErr w:type="spellEnd"/>
      <w:r w:rsidRPr="003405DE">
        <w:rPr>
          <w:rFonts w:ascii="Times New Roman" w:eastAsia="Times New Roman" w:hAnsi="Times New Roman" w:cs="Times New Roman"/>
          <w:color w:val="000000"/>
          <w:kern w:val="0"/>
          <w14:ligatures w14:val="none"/>
        </w:rPr>
        <w:t>), it lacks a standardized orthography, making its systematic study challenging. From a preliminary phonological analysis based on fieldwork recordings, several key points can be highlighted.</w:t>
      </w:r>
    </w:p>
    <w:p w14:paraId="0DDE6620"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lastRenderedPageBreak/>
        <w:t xml:space="preserve">The </w:t>
      </w:r>
      <w:proofErr w:type="spellStart"/>
      <w:r w:rsidRPr="003405DE">
        <w:rPr>
          <w:rFonts w:ascii="Times New Roman" w:eastAsia="Times New Roman" w:hAnsi="Times New Roman" w:cs="Times New Roman"/>
          <w:color w:val="000000"/>
          <w:kern w:val="0"/>
          <w14:ligatures w14:val="none"/>
        </w:rPr>
        <w:t>Jiangyong</w:t>
      </w:r>
      <w:proofErr w:type="spellEnd"/>
      <w:r w:rsidRPr="003405DE">
        <w:rPr>
          <w:rFonts w:ascii="Times New Roman" w:eastAsia="Times New Roman" w:hAnsi="Times New Roman" w:cs="Times New Roman"/>
          <w:color w:val="000000"/>
          <w:kern w:val="0"/>
          <w14:ligatures w14:val="none"/>
        </w:rPr>
        <w:t xml:space="preserve"> dialect, like most Chinese languages, is a tonal language. This implies that the tone (the characteristic melodic contour or pitch movement applied to a syllable) is phonemically distinctive; it serves to differentiate the meanings of words that are otherwise segmentally identical (i.e., have the same consonants and vowels). For example, in standard Mandarin, the syllable </w:t>
      </w:r>
      <w:r w:rsidRPr="003405DE">
        <w:rPr>
          <w:rFonts w:ascii="Times New Roman" w:eastAsia="Times New Roman" w:hAnsi="Times New Roman" w:cs="Times New Roman"/>
          <w:i/>
          <w:iCs/>
          <w:color w:val="000000"/>
          <w:kern w:val="0"/>
          <w14:ligatures w14:val="none"/>
        </w:rPr>
        <w:t>ma</w:t>
      </w:r>
      <w:r w:rsidRPr="003405DE">
        <w:rPr>
          <w:rFonts w:ascii="Times New Roman" w:eastAsia="Times New Roman" w:hAnsi="Times New Roman" w:cs="Times New Roman"/>
          <w:color w:val="000000"/>
          <w:kern w:val="0"/>
          <w14:ligatures w14:val="none"/>
        </w:rPr>
        <w:t> pronounced with a high, flat tone (</w:t>
      </w:r>
      <w:proofErr w:type="spellStart"/>
      <w:r w:rsidRPr="003405DE">
        <w:rPr>
          <w:rFonts w:ascii="Times New Roman" w:eastAsia="Times New Roman" w:hAnsi="Times New Roman" w:cs="Times New Roman"/>
          <w:i/>
          <w:iCs/>
          <w:color w:val="000000"/>
          <w:kern w:val="0"/>
          <w14:ligatures w14:val="none"/>
        </w:rPr>
        <w:t>mā</w:t>
      </w:r>
      <w:proofErr w:type="spellEnd"/>
      <w:r w:rsidRPr="003405DE">
        <w:rPr>
          <w:rFonts w:ascii="Times New Roman" w:eastAsia="Times New Roman" w:hAnsi="Times New Roman" w:cs="Times New Roman"/>
          <w:color w:val="000000"/>
          <w:kern w:val="0"/>
          <w14:ligatures w14:val="none"/>
        </w:rPr>
        <w:t>) means "mother," whereas the same syllable pronounced with a falling tone (</w:t>
      </w:r>
      <w:proofErr w:type="spellStart"/>
      <w:r w:rsidRPr="003405DE">
        <w:rPr>
          <w:rFonts w:ascii="Times New Roman" w:eastAsia="Times New Roman" w:hAnsi="Times New Roman" w:cs="Times New Roman"/>
          <w:i/>
          <w:iCs/>
          <w:color w:val="000000"/>
          <w:kern w:val="0"/>
          <w14:ligatures w14:val="none"/>
        </w:rPr>
        <w:t>mà</w:t>
      </w:r>
      <w:proofErr w:type="spellEnd"/>
      <w:r w:rsidRPr="003405DE">
        <w:rPr>
          <w:rFonts w:ascii="Times New Roman" w:eastAsia="Times New Roman" w:hAnsi="Times New Roman" w:cs="Times New Roman"/>
          <w:color w:val="000000"/>
          <w:kern w:val="0"/>
          <w14:ligatures w14:val="none"/>
        </w:rPr>
        <w:t xml:space="preserve">) means "to scold." The </w:t>
      </w:r>
      <w:proofErr w:type="spellStart"/>
      <w:r w:rsidRPr="003405DE">
        <w:rPr>
          <w:rFonts w:ascii="Times New Roman" w:eastAsia="Times New Roman" w:hAnsi="Times New Roman" w:cs="Times New Roman"/>
          <w:color w:val="000000"/>
          <w:kern w:val="0"/>
          <w14:ligatures w14:val="none"/>
        </w:rPr>
        <w:t>Jiangyong</w:t>
      </w:r>
      <w:proofErr w:type="spellEnd"/>
      <w:r w:rsidRPr="003405DE">
        <w:rPr>
          <w:rFonts w:ascii="Times New Roman" w:eastAsia="Times New Roman" w:hAnsi="Times New Roman" w:cs="Times New Roman"/>
          <w:color w:val="000000"/>
          <w:kern w:val="0"/>
          <w14:ligatures w14:val="none"/>
        </w:rPr>
        <w:t xml:space="preserve"> dialect exhibits its own unique and complex tonal inventory, which must be precisely mapped to understand the language fully.</w:t>
      </w:r>
    </w:p>
    <w:p w14:paraId="28008011"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 xml:space="preserve">Crucially,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being a syllabic system, does not employ any explicit diacritical marks or separate graphic elements to denote tones. This intrinsic lack of tonal marking on the script itself is a critical source of potential phonetic and semantic ambiguity in the written form. The correct tone, which is vital for distinguishing meaning, must be inferred by the reader/listener from the broader syntactic context and, importantly, from the accompanying melody of the sung performance. This represents a fundamental and compelling point of connection between linguistic analysis and ethnomusicology. The song's melody (</w:t>
      </w:r>
      <w:proofErr w:type="spellStart"/>
      <w:r w:rsidRPr="003405DE">
        <w:rPr>
          <w:rFonts w:ascii="Times New Roman" w:eastAsia="Times New Roman" w:hAnsi="Times New Roman" w:cs="Times New Roman"/>
          <w:i/>
          <w:iCs/>
          <w:color w:val="000000"/>
          <w:kern w:val="0"/>
          <w14:ligatures w14:val="none"/>
        </w:rPr>
        <w:t>qiangdiao</w:t>
      </w:r>
      <w:proofErr w:type="spellEnd"/>
      <w:r w:rsidRPr="003405DE">
        <w:rPr>
          <w:rFonts w:ascii="Times New Roman" w:eastAsia="Times New Roman" w:hAnsi="Times New Roman" w:cs="Times New Roman"/>
          <w:color w:val="000000"/>
          <w:kern w:val="0"/>
          <w14:ligatures w14:val="none"/>
        </w:rPr>
        <w:t xml:space="preserve">, </w:t>
      </w:r>
      <w:r w:rsidRPr="003405DE">
        <w:rPr>
          <w:rFonts w:ascii="SimSun" w:eastAsia="SimSun" w:hAnsi="SimSun" w:cs="SimSun" w:hint="eastAsia"/>
          <w:color w:val="000000"/>
          <w:kern w:val="0"/>
          <w14:ligatures w14:val="none"/>
        </w:rPr>
        <w:t>腔调</w:t>
      </w:r>
      <w:r w:rsidRPr="003405DE">
        <w:rPr>
          <w:rFonts w:ascii="Times New Roman" w:eastAsia="Times New Roman" w:hAnsi="Times New Roman" w:cs="Times New Roman"/>
          <w:color w:val="000000"/>
          <w:kern w:val="0"/>
          <w14:ligatures w14:val="none"/>
        </w:rPr>
        <w:t xml:space="preserve">)—the specific pitch contour and rhythmic delivery—is far more than a mere embellishment; it constitutes a functional and integral component of the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communication system. The melodic curve of the sung phrase can actively help to disambiguate homophonous syllables that differ only in tone, and to clearly mark prosodic and phrasal boundaries. The in-depth study of the intricate interplay between the melodic profile and the linguistic structure is one of the most promising frontiers in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research, requiring a methodology that combines linguistic transcription with detailed acoustic analysis.</w:t>
      </w:r>
    </w:p>
    <w:p w14:paraId="363DC69F" w14:textId="77777777" w:rsidR="003405DE" w:rsidRPr="003405DE" w:rsidRDefault="003405DE" w:rsidP="00E17873">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3405DE">
        <w:rPr>
          <w:rFonts w:ascii="Times New Roman" w:eastAsia="Times New Roman" w:hAnsi="Times New Roman" w:cs="Times New Roman"/>
          <w:b/>
          <w:bCs/>
          <w:color w:val="000000"/>
          <w:kern w:val="0"/>
          <w14:ligatures w14:val="none"/>
        </w:rPr>
        <w:t>4.3. Lexicon and Syntax</w:t>
      </w:r>
    </w:p>
    <w:p w14:paraId="7AF98F4F"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 xml:space="preserve">A descriptive grammar of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requires a systematic analysis of the lexicon, morphology, and syntax as they consistently emerge from the existing textual corpus. The vocabulary found in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texts is, as one might expect, heavily oriented toward the intimate and specific universe of women's experiences in traditional </w:t>
      </w:r>
      <w:proofErr w:type="spellStart"/>
      <w:r w:rsidRPr="003405DE">
        <w:rPr>
          <w:rFonts w:ascii="Times New Roman" w:eastAsia="Times New Roman" w:hAnsi="Times New Roman" w:cs="Times New Roman"/>
          <w:color w:val="000000"/>
          <w:kern w:val="0"/>
          <w14:ligatures w14:val="none"/>
        </w:rPr>
        <w:t>Jiangyong</w:t>
      </w:r>
      <w:proofErr w:type="spellEnd"/>
      <w:r w:rsidRPr="003405DE">
        <w:rPr>
          <w:rFonts w:ascii="Times New Roman" w:eastAsia="Times New Roman" w:hAnsi="Times New Roman" w:cs="Times New Roman"/>
          <w:color w:val="000000"/>
          <w:kern w:val="0"/>
          <w14:ligatures w14:val="none"/>
        </w:rPr>
        <w:t xml:space="preserve"> society. Recurrent thematic categories include deep family bonds, the sorrows and joys associated with marriage and domestic life, the routines of daily household work, the celebration of seasonal festivals and life-cycle rituals, and deeply personal, autobiographical narratives. This strong thematic focus </w:t>
      </w:r>
      <w:r w:rsidRPr="003405DE">
        <w:rPr>
          <w:rFonts w:ascii="Times New Roman" w:eastAsia="Times New Roman" w:hAnsi="Times New Roman" w:cs="Times New Roman"/>
          <w:color w:val="000000"/>
          <w:kern w:val="0"/>
          <w14:ligatures w14:val="none"/>
        </w:rPr>
        <w:lastRenderedPageBreak/>
        <w:t xml:space="preserve">leads to a notably high frequency of lexicon intimately tied to these experiences. This includes a rich vocabulary for emotions (sadness, affection, resentment) and for describing social and kinship relationships (mother, sister, sworn sister, mother-in-law).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texts also reference objects and cultural practices central to women's lives, including fans, embroidery, and wedding rituals.</w:t>
      </w:r>
    </w:p>
    <w:p w14:paraId="52FBC9D3"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 xml:space="preserve">An important research question is whether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contains an exclusive lexicon—that is, words, idiomatic expressions, or conceptual categories that were specifically coined or used primarily by women and are either absent or have a significantly different semantic scope in the dialect spoken by men. If such an exclusive lexicon can be rigorously demonstrated through comparative corpus analysis, it would represent a significant finding for sociolinguistics, gender studies, and the study of linguistic innovation within marginalized communities.</w:t>
      </w:r>
    </w:p>
    <w:p w14:paraId="207A94B9"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 xml:space="preserve">The vast majority of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texts are structured in a poetic form, typically adhering to a strict seven-syllable line (</w:t>
      </w:r>
      <w:r w:rsidRPr="003405DE">
        <w:rPr>
          <w:rFonts w:ascii="SimSun" w:eastAsia="SimSun" w:hAnsi="SimSun" w:cs="SimSun" w:hint="eastAsia"/>
          <w:color w:val="000000"/>
          <w:kern w:val="0"/>
          <w14:ligatures w14:val="none"/>
        </w:rPr>
        <w:t>七言</w:t>
      </w:r>
      <w:r w:rsidRPr="003405DE">
        <w:rPr>
          <w:rFonts w:ascii="Times New Roman" w:eastAsia="Times New Roman" w:hAnsi="Times New Roman" w:cs="Times New Roman"/>
          <w:color w:val="000000"/>
          <w:kern w:val="0"/>
          <w14:ligatures w14:val="none"/>
        </w:rPr>
        <w:t>, </w:t>
      </w:r>
      <w:proofErr w:type="spellStart"/>
      <w:r w:rsidRPr="003405DE">
        <w:rPr>
          <w:rFonts w:ascii="Times New Roman" w:eastAsia="Times New Roman" w:hAnsi="Times New Roman" w:cs="Times New Roman"/>
          <w:i/>
          <w:iCs/>
          <w:color w:val="000000"/>
          <w:kern w:val="0"/>
          <w14:ligatures w14:val="none"/>
        </w:rPr>
        <w:t>qīyán</w:t>
      </w:r>
      <w:proofErr w:type="spellEnd"/>
      <w:r w:rsidRPr="003405DE">
        <w:rPr>
          <w:rFonts w:ascii="Times New Roman" w:eastAsia="Times New Roman" w:hAnsi="Times New Roman" w:cs="Times New Roman"/>
          <w:color w:val="000000"/>
          <w:kern w:val="0"/>
          <w14:ligatures w14:val="none"/>
        </w:rPr>
        <w:t xml:space="preserve">), or less commonly, five syllables. This metrical structure, common in classical Chinese poetry, profoundly influences the syntax. Word order can be frequently inverted or altered to conform to metrical requirements or to achieve specific rhyming schemes. Additionally,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texts often make extensive use of parallelism and fixed poetic formulae, which are characteristic of oral traditions and formulaic poetry worldwide. This suggests that the syntax of sung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is likely more conservative and highly structured than that of everyday spoken </w:t>
      </w:r>
      <w:proofErr w:type="spellStart"/>
      <w:r w:rsidRPr="003405DE">
        <w:rPr>
          <w:rFonts w:ascii="Times New Roman" w:eastAsia="Times New Roman" w:hAnsi="Times New Roman" w:cs="Times New Roman"/>
          <w:color w:val="000000"/>
          <w:kern w:val="0"/>
          <w14:ligatures w14:val="none"/>
        </w:rPr>
        <w:t>Tuhua</w:t>
      </w:r>
      <w:proofErr w:type="spellEnd"/>
      <w:r w:rsidRPr="003405DE">
        <w:rPr>
          <w:rFonts w:ascii="Times New Roman" w:eastAsia="Times New Roman" w:hAnsi="Times New Roman" w:cs="Times New Roman"/>
          <w:color w:val="000000"/>
          <w:kern w:val="0"/>
          <w14:ligatures w14:val="none"/>
        </w:rPr>
        <w:t xml:space="preserve">. A systematic comparison between the syntactic structures observed in the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song corpus and those found in recorded spoken </w:t>
      </w:r>
      <w:proofErr w:type="spellStart"/>
      <w:r w:rsidRPr="003405DE">
        <w:rPr>
          <w:rFonts w:ascii="Times New Roman" w:eastAsia="Times New Roman" w:hAnsi="Times New Roman" w:cs="Times New Roman"/>
          <w:color w:val="000000"/>
          <w:kern w:val="0"/>
          <w14:ligatures w14:val="none"/>
        </w:rPr>
        <w:t>Tuhua</w:t>
      </w:r>
      <w:proofErr w:type="spellEnd"/>
      <w:r w:rsidRPr="003405DE">
        <w:rPr>
          <w:rFonts w:ascii="Times New Roman" w:eastAsia="Times New Roman" w:hAnsi="Times New Roman" w:cs="Times New Roman"/>
          <w:color w:val="000000"/>
          <w:kern w:val="0"/>
          <w14:ligatures w14:val="none"/>
        </w:rPr>
        <w:t xml:space="preserve"> will be crucial in determining whether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can indeed be considered a distinct "linguistic variety" in its own right, possessing its own unique grammatical regularities and stylistic conventions.</w:t>
      </w:r>
    </w:p>
    <w:p w14:paraId="19A8345B" w14:textId="77777777" w:rsidR="003405DE" w:rsidRPr="003405DE" w:rsidRDefault="003405DE"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3405DE">
        <w:rPr>
          <w:rFonts w:ascii="Times New Roman" w:eastAsia="Times New Roman" w:hAnsi="Times New Roman" w:cs="Times New Roman"/>
          <w:color w:val="000000"/>
          <w:kern w:val="0"/>
          <w14:ligatures w14:val="none"/>
        </w:rPr>
        <w:t xml:space="preserve">In conclusion, the linguistic structure of </w:t>
      </w:r>
      <w:proofErr w:type="spellStart"/>
      <w:r w:rsidRPr="003405DE">
        <w:rPr>
          <w:rFonts w:ascii="Times New Roman" w:eastAsia="Times New Roman" w:hAnsi="Times New Roman" w:cs="Times New Roman"/>
          <w:color w:val="000000"/>
          <w:kern w:val="0"/>
          <w14:ligatures w14:val="none"/>
        </w:rPr>
        <w:t>Nüshu</w:t>
      </w:r>
      <w:proofErr w:type="spellEnd"/>
      <w:r w:rsidRPr="003405DE">
        <w:rPr>
          <w:rFonts w:ascii="Times New Roman" w:eastAsia="Times New Roman" w:hAnsi="Times New Roman" w:cs="Times New Roman"/>
          <w:color w:val="000000"/>
          <w:kern w:val="0"/>
          <w14:ligatures w14:val="none"/>
        </w:rPr>
        <w:t xml:space="preserve"> represents an ingenious and highly effective adaptation to the specific socio-historical circumstances of its creation and use. By strategically sacrificing the character-by-character semantic precision typical of </w:t>
      </w:r>
      <w:proofErr w:type="spellStart"/>
      <w:r w:rsidRPr="003405DE">
        <w:rPr>
          <w:rFonts w:ascii="Times New Roman" w:eastAsia="Times New Roman" w:hAnsi="Times New Roman" w:cs="Times New Roman"/>
          <w:color w:val="000000"/>
          <w:kern w:val="0"/>
          <w14:ligatures w14:val="none"/>
        </w:rPr>
        <w:t>hanzi</w:t>
      </w:r>
      <w:proofErr w:type="spellEnd"/>
      <w:r w:rsidRPr="003405DE">
        <w:rPr>
          <w:rFonts w:ascii="Times New Roman" w:eastAsia="Times New Roman" w:hAnsi="Times New Roman" w:cs="Times New Roman"/>
          <w:color w:val="000000"/>
          <w:kern w:val="0"/>
          <w14:ligatures w14:val="none"/>
        </w:rPr>
        <w:t xml:space="preserve">, the women of </w:t>
      </w:r>
      <w:proofErr w:type="spellStart"/>
      <w:r w:rsidRPr="003405DE">
        <w:rPr>
          <w:rFonts w:ascii="Times New Roman" w:eastAsia="Times New Roman" w:hAnsi="Times New Roman" w:cs="Times New Roman"/>
          <w:color w:val="000000"/>
          <w:kern w:val="0"/>
          <w14:ligatures w14:val="none"/>
        </w:rPr>
        <w:t>Jiangyong</w:t>
      </w:r>
      <w:proofErr w:type="spellEnd"/>
      <w:r w:rsidRPr="003405DE">
        <w:rPr>
          <w:rFonts w:ascii="Times New Roman" w:eastAsia="Times New Roman" w:hAnsi="Times New Roman" w:cs="Times New Roman"/>
          <w:color w:val="000000"/>
          <w:kern w:val="0"/>
          <w14:ligatures w14:val="none"/>
        </w:rPr>
        <w:t xml:space="preserve"> developed a remarkably economical phonetic system. This system was demonstrably easy to learn and transmit informally, and it was perfectly integrated with both the underlying phonology of their local dialect and their deeply rooted tradition of communal singing. It stands as a testament to linguistic creativity under duress.</w:t>
      </w:r>
    </w:p>
    <w:p w14:paraId="79CCCA0F" w14:textId="5D1C690A" w:rsidR="00CD60A9" w:rsidRPr="00763662" w:rsidRDefault="00CD60A9" w:rsidP="00763662">
      <w:pPr>
        <w:pStyle w:val="NormalWeb"/>
        <w:spacing w:line="360" w:lineRule="auto"/>
        <w:rPr>
          <w:color w:val="000000"/>
        </w:rPr>
      </w:pPr>
    </w:p>
    <w:p w14:paraId="1DC70165" w14:textId="63CDE5C9" w:rsidR="000D51EC" w:rsidRPr="00763662" w:rsidRDefault="001F03B2" w:rsidP="00763662">
      <w:pPr>
        <w:spacing w:line="360" w:lineRule="auto"/>
        <w:rPr>
          <w:rFonts w:ascii="Times New Roman" w:hAnsi="Times New Roman" w:cs="Times New Roman"/>
        </w:rPr>
      </w:pPr>
      <w:r>
        <w:rPr>
          <w:rFonts w:ascii="Times New Roman" w:eastAsia="Times New Roman" w:hAnsi="Times New Roman" w:cs="Times New Roman"/>
          <w:noProof/>
          <w:color w:val="000000"/>
          <w:kern w:val="0"/>
        </w:rPr>
        <w:pict w14:anchorId="38B60F8C">
          <v:rect id="_x0000_i1029" alt="" style="width:451.3pt;height:.05pt;mso-width-percent:0;mso-height-percent:0;mso-width-percent:0;mso-height-percent:0" o:hralign="center" o:hrstd="t" o:hr="t" fillcolor="#a0a0a0" stroked="f"/>
        </w:pict>
      </w:r>
    </w:p>
    <w:p w14:paraId="031C4002" w14:textId="77777777" w:rsidR="00CD60A9" w:rsidRPr="00763662" w:rsidRDefault="00CD60A9" w:rsidP="00763662">
      <w:pPr>
        <w:pStyle w:val="NormalWeb"/>
        <w:spacing w:line="360" w:lineRule="auto"/>
        <w:rPr>
          <w:color w:val="000000"/>
        </w:rPr>
      </w:pPr>
      <w:r w:rsidRPr="00763662">
        <w:rPr>
          <w:b/>
          <w:bCs/>
          <w:color w:val="000000"/>
        </w:rPr>
        <w:t>5. The Musical and Performative Dimension</w:t>
      </w:r>
    </w:p>
    <w:p w14:paraId="6DD04D2A" w14:textId="77777777" w:rsidR="00CD60A9" w:rsidRPr="00763662" w:rsidRDefault="00CD60A9" w:rsidP="00763662">
      <w:pPr>
        <w:pStyle w:val="NormalWeb"/>
        <w:spacing w:line="360" w:lineRule="auto"/>
        <w:rPr>
          <w:color w:val="000000"/>
        </w:rPr>
      </w:pPr>
      <w:r w:rsidRPr="00763662">
        <w:rPr>
          <w:color w:val="000000"/>
        </w:rPr>
        <w:t xml:space="preserve">An analysis of </w:t>
      </w:r>
      <w:proofErr w:type="spellStart"/>
      <w:r w:rsidRPr="00763662">
        <w:rPr>
          <w:color w:val="000000"/>
        </w:rPr>
        <w:t>Nüshu</w:t>
      </w:r>
      <w:proofErr w:type="spellEnd"/>
      <w:r w:rsidRPr="00763662">
        <w:rPr>
          <w:color w:val="000000"/>
        </w:rPr>
        <w:t xml:space="preserve"> limited to its graphic and textual aspects would be incomplete, as it would neglect a central component of its practice. </w:t>
      </w:r>
      <w:proofErr w:type="spellStart"/>
      <w:r w:rsidRPr="00763662">
        <w:rPr>
          <w:color w:val="000000"/>
        </w:rPr>
        <w:t>Nüshu</w:t>
      </w:r>
      <w:proofErr w:type="spellEnd"/>
      <w:r w:rsidRPr="00763662">
        <w:rPr>
          <w:color w:val="000000"/>
        </w:rPr>
        <w:t xml:space="preserve"> was not conceived to be read in silence; it is a writing system inseparably linked to the voice, to sound, and to performance. Its texts served as scores for songs—poetic and narrative melodies that shaped significant stages of women's lives. For this reason, a full interpretation of </w:t>
      </w:r>
      <w:proofErr w:type="spellStart"/>
      <w:r w:rsidRPr="00763662">
        <w:rPr>
          <w:color w:val="000000"/>
        </w:rPr>
        <w:t>Nüshu</w:t>
      </w:r>
      <w:proofErr w:type="spellEnd"/>
      <w:r w:rsidRPr="00763662">
        <w:rPr>
          <w:color w:val="000000"/>
        </w:rPr>
        <w:t xml:space="preserve"> requires restoring and </w:t>
      </w:r>
      <w:proofErr w:type="spellStart"/>
      <w:r w:rsidRPr="00763662">
        <w:rPr>
          <w:color w:val="000000"/>
        </w:rPr>
        <w:t>analyzing</w:t>
      </w:r>
      <w:proofErr w:type="spellEnd"/>
      <w:r w:rsidRPr="00763662">
        <w:rPr>
          <w:color w:val="000000"/>
        </w:rPr>
        <w:t xml:space="preserve"> its vocal dimension.</w:t>
      </w:r>
    </w:p>
    <w:p w14:paraId="6B2D2630" w14:textId="77777777" w:rsidR="00CD60A9" w:rsidRPr="00763662" w:rsidRDefault="00CD60A9" w:rsidP="00763662">
      <w:pPr>
        <w:pStyle w:val="NormalWeb"/>
        <w:spacing w:line="360" w:lineRule="auto"/>
        <w:rPr>
          <w:color w:val="000000"/>
        </w:rPr>
      </w:pPr>
      <w:r w:rsidRPr="00763662">
        <w:rPr>
          <w:b/>
          <w:bCs/>
          <w:color w:val="000000"/>
        </w:rPr>
        <w:t>5.1. The Role of Singing in Transmission and Practice</w:t>
      </w:r>
      <w:r w:rsidRPr="00763662">
        <w:rPr>
          <w:rStyle w:val="apple-converted-space"/>
          <w:rFonts w:eastAsiaTheme="majorEastAsia"/>
          <w:color w:val="000000"/>
        </w:rPr>
        <w:t> </w:t>
      </w:r>
      <w:r w:rsidRPr="00763662">
        <w:rPr>
          <w:color w:val="000000"/>
        </w:rPr>
        <w:t xml:space="preserve">The primary mode of </w:t>
      </w:r>
      <w:proofErr w:type="spellStart"/>
      <w:r w:rsidRPr="00763662">
        <w:rPr>
          <w:color w:val="000000"/>
        </w:rPr>
        <w:t>Nüshu</w:t>
      </w:r>
      <w:proofErr w:type="spellEnd"/>
      <w:r w:rsidRPr="00763662">
        <w:rPr>
          <w:color w:val="000000"/>
        </w:rPr>
        <w:t xml:space="preserve"> transmission occurred through the act of singing. A young woman would typically learn traditional </w:t>
      </w:r>
      <w:proofErr w:type="spellStart"/>
      <w:r w:rsidRPr="00763662">
        <w:rPr>
          <w:color w:val="000000"/>
        </w:rPr>
        <w:t>Nüshu</w:t>
      </w:r>
      <w:proofErr w:type="spellEnd"/>
      <w:r w:rsidRPr="00763662">
        <w:rPr>
          <w:color w:val="000000"/>
        </w:rPr>
        <w:t xml:space="preserve"> songs by listening to her grandmothers, mother, aunts, or older sworn sisters as they performed them. Subsequently, or in parallel with this oral-aural learning, she would learn to recognize and associate the written characters with the specific sounds and melodies of those songs. Oral performance was therefore primary, serving as the fundamental medium for learning and cultural transmission. The script, in this context, functioned as a mnemonic aid, a tool for preserving song texts across generations, and a vehicle for facilitating communication and emotional expression over physical distances. This highlights a model of literacy that was "aural" before it was visual, where melody and rhythm were essential components of the learning and communication process.</w:t>
      </w:r>
    </w:p>
    <w:p w14:paraId="3E1EFFCA" w14:textId="77777777" w:rsidR="00CD60A9" w:rsidRPr="00763662" w:rsidRDefault="00CD60A9" w:rsidP="00763662">
      <w:pPr>
        <w:pStyle w:val="NormalWeb"/>
        <w:spacing w:line="360" w:lineRule="auto"/>
        <w:rPr>
          <w:color w:val="000000"/>
        </w:rPr>
      </w:pPr>
      <w:proofErr w:type="spellStart"/>
      <w:r w:rsidRPr="00763662">
        <w:rPr>
          <w:color w:val="000000"/>
        </w:rPr>
        <w:t>Nüshu</w:t>
      </w:r>
      <w:proofErr w:type="spellEnd"/>
      <w:r w:rsidRPr="00763662">
        <w:rPr>
          <w:color w:val="000000"/>
        </w:rPr>
        <w:t xml:space="preserve"> songs were performed in specific social and ritualistic contexts, almost exclusively within the female community:</w:t>
      </w:r>
    </w:p>
    <w:p w14:paraId="4647C811" w14:textId="77777777" w:rsidR="00CD60A9" w:rsidRPr="00763662" w:rsidRDefault="00CD60A9" w:rsidP="00763662">
      <w:pPr>
        <w:pStyle w:val="NormalWeb"/>
        <w:numPr>
          <w:ilvl w:val="0"/>
          <w:numId w:val="2"/>
        </w:numPr>
        <w:spacing w:line="360" w:lineRule="auto"/>
        <w:ind w:left="0"/>
        <w:rPr>
          <w:color w:val="000000"/>
        </w:rPr>
      </w:pPr>
      <w:r w:rsidRPr="00763662">
        <w:rPr>
          <w:b/>
          <w:bCs/>
          <w:color w:val="000000"/>
        </w:rPr>
        <w:t>Wedding Rituals and Laments (</w:t>
      </w:r>
      <w:proofErr w:type="spellStart"/>
      <w:r w:rsidRPr="00763662">
        <w:rPr>
          <w:b/>
          <w:bCs/>
          <w:color w:val="000000"/>
        </w:rPr>
        <w:t>Kujia</w:t>
      </w:r>
      <w:proofErr w:type="spellEnd"/>
      <w:r w:rsidRPr="00763662">
        <w:rPr>
          <w:b/>
          <w:bCs/>
          <w:color w:val="000000"/>
        </w:rPr>
        <w:t xml:space="preserve"> </w:t>
      </w:r>
      <w:proofErr w:type="spellStart"/>
      <w:r w:rsidRPr="00763662">
        <w:rPr>
          <w:b/>
          <w:bCs/>
          <w:color w:val="000000"/>
        </w:rPr>
        <w:t>ge</w:t>
      </w:r>
      <w:proofErr w:type="spellEnd"/>
      <w:r w:rsidRPr="00763662">
        <w:rPr>
          <w:b/>
          <w:bCs/>
          <w:color w:val="000000"/>
        </w:rPr>
        <w:t>):</w:t>
      </w:r>
      <w:r w:rsidRPr="00763662">
        <w:rPr>
          <w:rStyle w:val="apple-converted-space"/>
          <w:rFonts w:eastAsiaTheme="majorEastAsia"/>
          <w:color w:val="000000"/>
        </w:rPr>
        <w:t> </w:t>
      </w:r>
      <w:r w:rsidRPr="00763662">
        <w:rPr>
          <w:color w:val="000000"/>
        </w:rPr>
        <w:t xml:space="preserve">The most significant context for </w:t>
      </w:r>
      <w:proofErr w:type="spellStart"/>
      <w:r w:rsidRPr="00763662">
        <w:rPr>
          <w:color w:val="000000"/>
        </w:rPr>
        <w:t>Nüshu</w:t>
      </w:r>
      <w:proofErr w:type="spellEnd"/>
      <w:r w:rsidRPr="00763662">
        <w:rPr>
          <w:color w:val="000000"/>
        </w:rPr>
        <w:t xml:space="preserve"> performance was the cycle of rituals that preceded a wedding. For several days, the bride and her close friends would gather to sing, often all night. During these gatherings, they would perform the</w:t>
      </w:r>
      <w:r w:rsidRPr="00763662">
        <w:rPr>
          <w:rStyle w:val="apple-converted-space"/>
          <w:rFonts w:eastAsiaTheme="majorEastAsia"/>
          <w:color w:val="000000"/>
        </w:rPr>
        <w:t> </w:t>
      </w:r>
      <w:proofErr w:type="spellStart"/>
      <w:r w:rsidRPr="00763662">
        <w:rPr>
          <w:i/>
          <w:iCs/>
          <w:color w:val="000000"/>
        </w:rPr>
        <w:t>Sanzhaoshu</w:t>
      </w:r>
      <w:proofErr w:type="spellEnd"/>
      <w:r w:rsidRPr="00763662">
        <w:rPr>
          <w:rStyle w:val="apple-converted-space"/>
          <w:rFonts w:eastAsiaTheme="majorEastAsia"/>
          <w:color w:val="000000"/>
        </w:rPr>
        <w:t> </w:t>
      </w:r>
      <w:r w:rsidRPr="00763662">
        <w:rPr>
          <w:color w:val="000000"/>
        </w:rPr>
        <w:t>(Third Day Books) and other "wedding laments" (</w:t>
      </w:r>
      <w:proofErr w:type="spellStart"/>
      <w:r w:rsidRPr="00763662">
        <w:rPr>
          <w:i/>
          <w:iCs/>
          <w:color w:val="000000"/>
        </w:rPr>
        <w:t>kujia</w:t>
      </w:r>
      <w:proofErr w:type="spellEnd"/>
      <w:r w:rsidRPr="00763662">
        <w:rPr>
          <w:i/>
          <w:iCs/>
          <w:color w:val="000000"/>
        </w:rPr>
        <w:t xml:space="preserve"> </w:t>
      </w:r>
      <w:proofErr w:type="spellStart"/>
      <w:r w:rsidRPr="00763662">
        <w:rPr>
          <w:i/>
          <w:iCs/>
          <w:color w:val="000000"/>
        </w:rPr>
        <w:t>ge</w:t>
      </w:r>
      <w:proofErr w:type="spellEnd"/>
      <w:r w:rsidRPr="00763662">
        <w:rPr>
          <w:color w:val="000000"/>
        </w:rPr>
        <w:t xml:space="preserve">, </w:t>
      </w:r>
      <w:r w:rsidRPr="00763662">
        <w:rPr>
          <w:rFonts w:eastAsia="SimSun"/>
          <w:color w:val="000000"/>
        </w:rPr>
        <w:t>哭嫁歌</w:t>
      </w:r>
      <w:r w:rsidRPr="00763662">
        <w:rPr>
          <w:color w:val="000000"/>
        </w:rPr>
        <w:t>), which were expressions of grief over the impending separation from her natal family. These were not uncontrolled outbursts but structured ritualistic performances, culturally prescribed for the emotional processing of the transition. The ethnomusicological analysis of these</w:t>
      </w:r>
      <w:r w:rsidRPr="00763662">
        <w:rPr>
          <w:rStyle w:val="apple-converted-space"/>
          <w:rFonts w:eastAsiaTheme="majorEastAsia"/>
          <w:color w:val="000000"/>
        </w:rPr>
        <w:t> </w:t>
      </w:r>
      <w:proofErr w:type="spellStart"/>
      <w:r w:rsidRPr="00763662">
        <w:rPr>
          <w:i/>
          <w:iCs/>
          <w:color w:val="000000"/>
        </w:rPr>
        <w:t>kujia</w:t>
      </w:r>
      <w:proofErr w:type="spellEnd"/>
      <w:r w:rsidRPr="00763662">
        <w:rPr>
          <w:i/>
          <w:iCs/>
          <w:color w:val="000000"/>
        </w:rPr>
        <w:t xml:space="preserve"> </w:t>
      </w:r>
      <w:proofErr w:type="spellStart"/>
      <w:r w:rsidRPr="00763662">
        <w:rPr>
          <w:i/>
          <w:iCs/>
          <w:color w:val="000000"/>
        </w:rPr>
        <w:lastRenderedPageBreak/>
        <w:t>ge</w:t>
      </w:r>
      <w:proofErr w:type="spellEnd"/>
      <w:r w:rsidRPr="00763662">
        <w:rPr>
          <w:rStyle w:val="apple-converted-space"/>
          <w:rFonts w:eastAsiaTheme="majorEastAsia"/>
          <w:color w:val="000000"/>
        </w:rPr>
        <w:t> </w:t>
      </w:r>
      <w:r w:rsidRPr="00763662">
        <w:rPr>
          <w:color w:val="000000"/>
        </w:rPr>
        <w:t>reveals melodic and prosodic structures designed to facilitate emotional expression and collective participation. The songs reflected the daily life, traditions, and hopes of the women.</w:t>
      </w:r>
    </w:p>
    <w:p w14:paraId="4AD30C4B" w14:textId="77777777" w:rsidR="00CD60A9" w:rsidRPr="00763662" w:rsidRDefault="00CD60A9" w:rsidP="00763662">
      <w:pPr>
        <w:pStyle w:val="NormalWeb"/>
        <w:numPr>
          <w:ilvl w:val="0"/>
          <w:numId w:val="2"/>
        </w:numPr>
        <w:spacing w:line="360" w:lineRule="auto"/>
        <w:ind w:left="0"/>
        <w:rPr>
          <w:color w:val="000000"/>
        </w:rPr>
      </w:pPr>
      <w:r w:rsidRPr="00763662">
        <w:rPr>
          <w:b/>
          <w:bCs/>
          <w:color w:val="000000"/>
        </w:rPr>
        <w:t>Festivals and Social Gatherings:</w:t>
      </w:r>
      <w:r w:rsidRPr="00763662">
        <w:rPr>
          <w:rStyle w:val="apple-converted-space"/>
          <w:rFonts w:eastAsiaTheme="majorEastAsia"/>
          <w:color w:val="000000"/>
        </w:rPr>
        <w:t> </w:t>
      </w:r>
      <w:r w:rsidRPr="00763662">
        <w:rPr>
          <w:color w:val="000000"/>
        </w:rPr>
        <w:t xml:space="preserve">Women also sang </w:t>
      </w:r>
      <w:proofErr w:type="spellStart"/>
      <w:r w:rsidRPr="00763662">
        <w:rPr>
          <w:color w:val="000000"/>
        </w:rPr>
        <w:t>Nüshu</w:t>
      </w:r>
      <w:proofErr w:type="spellEnd"/>
      <w:r w:rsidRPr="00763662">
        <w:rPr>
          <w:color w:val="000000"/>
        </w:rPr>
        <w:t xml:space="preserve"> songs during community festivals, such as the Spring Festival, or when they gathered for shared domestic tasks like embroidery. These informal singing sessions strengthened community bonds and provided a platform for sharing personal stories, local news, and common wisdom. These songs often possessed a lighter, more narrative character, reflecting the convivial atmosphere of the gatherings.</w:t>
      </w:r>
    </w:p>
    <w:p w14:paraId="1D8B641A" w14:textId="77777777" w:rsidR="00CD60A9" w:rsidRPr="00763662" w:rsidRDefault="00CD60A9" w:rsidP="00763662">
      <w:pPr>
        <w:pStyle w:val="NormalWeb"/>
        <w:numPr>
          <w:ilvl w:val="0"/>
          <w:numId w:val="2"/>
        </w:numPr>
        <w:spacing w:line="360" w:lineRule="auto"/>
        <w:ind w:left="0"/>
        <w:rPr>
          <w:color w:val="000000"/>
        </w:rPr>
      </w:pPr>
      <w:r w:rsidRPr="00763662">
        <w:rPr>
          <w:b/>
          <w:bCs/>
          <w:color w:val="000000"/>
        </w:rPr>
        <w:t>Family Visits:</w:t>
      </w:r>
      <w:r w:rsidRPr="00763662">
        <w:rPr>
          <w:rStyle w:val="apple-converted-space"/>
          <w:rFonts w:eastAsiaTheme="majorEastAsia"/>
          <w:color w:val="000000"/>
        </w:rPr>
        <w:t> </w:t>
      </w:r>
      <w:r w:rsidRPr="00763662">
        <w:rPr>
          <w:color w:val="000000"/>
        </w:rPr>
        <w:t>When a married woman returned to visit her native village, singing was an essential component of her reunion with her mother and sworn sisters. These songs, often imbued with nostalgia, served to reaffirm enduring bonds, provide mutual comfort, and facilitate the sharing of experiences encountered during the period of separation. They were a way to bridge the physical distance created by patrilocal marriage.</w:t>
      </w:r>
    </w:p>
    <w:p w14:paraId="078BFE88" w14:textId="77777777" w:rsidR="00CD60A9" w:rsidRPr="00763662" w:rsidRDefault="00CD60A9" w:rsidP="00763662">
      <w:pPr>
        <w:pStyle w:val="NormalWeb"/>
        <w:spacing w:line="360" w:lineRule="auto"/>
        <w:rPr>
          <w:color w:val="000000"/>
        </w:rPr>
      </w:pPr>
      <w:r w:rsidRPr="00763662">
        <w:rPr>
          <w:b/>
          <w:bCs/>
          <w:color w:val="000000"/>
        </w:rPr>
        <w:t>5.2. Textual Genres and Melodic Styles</w:t>
      </w:r>
      <w:r w:rsidRPr="00763662">
        <w:rPr>
          <w:rStyle w:val="apple-converted-space"/>
          <w:rFonts w:eastAsiaTheme="majorEastAsia"/>
          <w:color w:val="000000"/>
        </w:rPr>
        <w:t> </w:t>
      </w:r>
      <w:r w:rsidRPr="00763662">
        <w:rPr>
          <w:color w:val="000000"/>
        </w:rPr>
        <w:t xml:space="preserve">The existing </w:t>
      </w:r>
      <w:proofErr w:type="spellStart"/>
      <w:r w:rsidRPr="00763662">
        <w:rPr>
          <w:color w:val="000000"/>
        </w:rPr>
        <w:t>Nüshu</w:t>
      </w:r>
      <w:proofErr w:type="spellEnd"/>
      <w:r w:rsidRPr="00763662">
        <w:rPr>
          <w:color w:val="000000"/>
        </w:rPr>
        <w:t xml:space="preserve"> corpus can be categorized into several genres, each with its own set of thematic conventions and associated melodic styles. Ongoing research aims to map these correspondences between genre and melodic style in a more systematic manner. The main genres include:</w:t>
      </w:r>
    </w:p>
    <w:p w14:paraId="20B06D04" w14:textId="77777777" w:rsidR="00CD60A9" w:rsidRPr="00763662" w:rsidRDefault="00CD60A9" w:rsidP="00763662">
      <w:pPr>
        <w:pStyle w:val="NormalWeb"/>
        <w:numPr>
          <w:ilvl w:val="0"/>
          <w:numId w:val="3"/>
        </w:numPr>
        <w:spacing w:line="360" w:lineRule="auto"/>
        <w:ind w:left="0"/>
        <w:rPr>
          <w:color w:val="000000"/>
        </w:rPr>
      </w:pPr>
      <w:proofErr w:type="spellStart"/>
      <w:r w:rsidRPr="00763662">
        <w:rPr>
          <w:b/>
          <w:bCs/>
          <w:i/>
          <w:iCs/>
          <w:color w:val="000000"/>
        </w:rPr>
        <w:t>Sanzhaoshu</w:t>
      </w:r>
      <w:proofErr w:type="spellEnd"/>
      <w:r w:rsidRPr="00763662">
        <w:rPr>
          <w:rStyle w:val="apple-converted-space"/>
          <w:rFonts w:eastAsiaTheme="majorEastAsia"/>
          <w:b/>
          <w:bCs/>
          <w:color w:val="000000"/>
        </w:rPr>
        <w:t> </w:t>
      </w:r>
      <w:r w:rsidRPr="00763662">
        <w:rPr>
          <w:b/>
          <w:bCs/>
          <w:color w:val="000000"/>
        </w:rPr>
        <w:t>(Third Day Books):</w:t>
      </w:r>
      <w:r w:rsidRPr="00763662">
        <w:rPr>
          <w:rStyle w:val="apple-converted-space"/>
          <w:rFonts w:eastAsiaTheme="majorEastAsia"/>
          <w:color w:val="000000"/>
        </w:rPr>
        <w:t> </w:t>
      </w:r>
      <w:r w:rsidRPr="00763662">
        <w:rPr>
          <w:color w:val="000000"/>
        </w:rPr>
        <w:t>These are ritualistic texts for the bride, characterized by themes of sadness, longing, and affection. Their melodies, as observed in preliminary analysis, tend to be slow, melancholic, and often feature an intonation that evokes lamentation. These melodic contours are integral to conveying the emotional weight of the farewell.</w:t>
      </w:r>
    </w:p>
    <w:p w14:paraId="2B53027A" w14:textId="77777777" w:rsidR="00CD60A9" w:rsidRPr="00763662" w:rsidRDefault="00CD60A9" w:rsidP="00763662">
      <w:pPr>
        <w:pStyle w:val="NormalWeb"/>
        <w:numPr>
          <w:ilvl w:val="0"/>
          <w:numId w:val="3"/>
        </w:numPr>
        <w:spacing w:line="360" w:lineRule="auto"/>
        <w:ind w:left="0"/>
        <w:rPr>
          <w:color w:val="000000"/>
        </w:rPr>
      </w:pPr>
      <w:r w:rsidRPr="00763662">
        <w:rPr>
          <w:b/>
          <w:bCs/>
          <w:color w:val="000000"/>
        </w:rPr>
        <w:t>Autobiographies:</w:t>
      </w:r>
      <w:r w:rsidRPr="00763662">
        <w:rPr>
          <w:rStyle w:val="apple-converted-space"/>
          <w:rFonts w:eastAsiaTheme="majorEastAsia"/>
          <w:color w:val="000000"/>
        </w:rPr>
        <w:t> </w:t>
      </w:r>
      <w:r w:rsidRPr="00763662">
        <w:rPr>
          <w:color w:val="000000"/>
        </w:rPr>
        <w:t xml:space="preserve">These are first-person narratives that recount a woman's life story, focusing on personal suffering, hardships, and triumphs. The autobiography of Yang </w:t>
      </w:r>
      <w:proofErr w:type="spellStart"/>
      <w:r w:rsidRPr="00763662">
        <w:rPr>
          <w:color w:val="000000"/>
        </w:rPr>
        <w:t>Huanyi</w:t>
      </w:r>
      <w:proofErr w:type="spellEnd"/>
      <w:r w:rsidRPr="00763662">
        <w:rPr>
          <w:color w:val="000000"/>
        </w:rPr>
        <w:t xml:space="preserve"> is one of the longest and most celebrated examples. These songs may exhibit a wider melodic variety, reflecting the diverse range of experiences narrated.</w:t>
      </w:r>
    </w:p>
    <w:p w14:paraId="2A92DBDC" w14:textId="77777777" w:rsidR="00CD60A9" w:rsidRPr="00763662" w:rsidRDefault="00CD60A9" w:rsidP="00763662">
      <w:pPr>
        <w:pStyle w:val="NormalWeb"/>
        <w:numPr>
          <w:ilvl w:val="0"/>
          <w:numId w:val="3"/>
        </w:numPr>
        <w:spacing w:line="360" w:lineRule="auto"/>
        <w:ind w:left="0"/>
        <w:rPr>
          <w:color w:val="000000"/>
        </w:rPr>
      </w:pPr>
      <w:r w:rsidRPr="00763662">
        <w:rPr>
          <w:b/>
          <w:bCs/>
          <w:color w:val="000000"/>
        </w:rPr>
        <w:t>Letters:</w:t>
      </w:r>
      <w:r w:rsidRPr="00763662">
        <w:rPr>
          <w:rStyle w:val="apple-converted-space"/>
          <w:rFonts w:eastAsiaTheme="majorEastAsia"/>
          <w:color w:val="000000"/>
        </w:rPr>
        <w:t> </w:t>
      </w:r>
      <w:r w:rsidRPr="00763662">
        <w:rPr>
          <w:color w:val="000000"/>
        </w:rPr>
        <w:t>These comprise messages exchanged between sworn sisters, containing personal news, expressions of support, and feelings of longing. The melodic styles for letters might be more colloquial or narrative.</w:t>
      </w:r>
    </w:p>
    <w:p w14:paraId="5F096315" w14:textId="77777777" w:rsidR="00CD60A9" w:rsidRPr="00763662" w:rsidRDefault="00CD60A9" w:rsidP="00763662">
      <w:pPr>
        <w:pStyle w:val="NormalWeb"/>
        <w:numPr>
          <w:ilvl w:val="0"/>
          <w:numId w:val="3"/>
        </w:numPr>
        <w:spacing w:line="360" w:lineRule="auto"/>
        <w:ind w:left="0"/>
        <w:rPr>
          <w:color w:val="000000"/>
        </w:rPr>
      </w:pPr>
      <w:r w:rsidRPr="00763662">
        <w:rPr>
          <w:b/>
          <w:bCs/>
          <w:color w:val="000000"/>
        </w:rPr>
        <w:t>Narrative Songs and Legends:</w:t>
      </w:r>
      <w:r w:rsidRPr="00763662">
        <w:rPr>
          <w:rStyle w:val="apple-converted-space"/>
          <w:rFonts w:eastAsiaTheme="majorEastAsia"/>
          <w:color w:val="000000"/>
        </w:rPr>
        <w:t> </w:t>
      </w:r>
      <w:r w:rsidRPr="00763662">
        <w:rPr>
          <w:color w:val="000000"/>
        </w:rPr>
        <w:t xml:space="preserve">These are </w:t>
      </w:r>
      <w:proofErr w:type="spellStart"/>
      <w:r w:rsidRPr="00763662">
        <w:rPr>
          <w:color w:val="000000"/>
        </w:rPr>
        <w:t>Nüshu</w:t>
      </w:r>
      <w:proofErr w:type="spellEnd"/>
      <w:r w:rsidRPr="00763662">
        <w:rPr>
          <w:color w:val="000000"/>
        </w:rPr>
        <w:t xml:space="preserve"> adaptations of Chinese folk stories, often reinterpreted through a female perspective. These songs might feature more pronounced </w:t>
      </w:r>
      <w:r w:rsidRPr="00763662">
        <w:rPr>
          <w:color w:val="000000"/>
        </w:rPr>
        <w:lastRenderedPageBreak/>
        <w:t>narrative structures in their melodies, perhaps with recurring motifs to mark characters or plot points.</w:t>
      </w:r>
    </w:p>
    <w:p w14:paraId="72D6F0A3" w14:textId="268A78CC" w:rsidR="00CD60A9" w:rsidRPr="003028D1" w:rsidRDefault="00CD60A9" w:rsidP="00763662">
      <w:pPr>
        <w:pStyle w:val="NormalWeb"/>
        <w:spacing w:line="360" w:lineRule="auto"/>
        <w:rPr>
          <w:color w:val="000000"/>
        </w:rPr>
      </w:pPr>
      <w:r w:rsidRPr="00763662">
        <w:rPr>
          <w:color w:val="000000"/>
        </w:rPr>
        <w:t>Preliminary acoustic analysis of the melodies suggests that while there is room for individual variation in performance, there are fundamental melodic patterns, or "intonational contours," that are associated with different genres and performance contexts. For example, the</w:t>
      </w:r>
      <w:r w:rsidRPr="00763662">
        <w:rPr>
          <w:rStyle w:val="apple-converted-space"/>
          <w:rFonts w:eastAsiaTheme="majorEastAsia"/>
          <w:color w:val="000000"/>
        </w:rPr>
        <w:t> </w:t>
      </w:r>
      <w:proofErr w:type="spellStart"/>
      <w:r w:rsidRPr="00763662">
        <w:rPr>
          <w:i/>
          <w:iCs/>
          <w:color w:val="000000"/>
        </w:rPr>
        <w:t>kujia</w:t>
      </w:r>
      <w:proofErr w:type="spellEnd"/>
      <w:r w:rsidRPr="00763662">
        <w:rPr>
          <w:i/>
          <w:iCs/>
          <w:color w:val="000000"/>
        </w:rPr>
        <w:t xml:space="preserve"> </w:t>
      </w:r>
      <w:proofErr w:type="spellStart"/>
      <w:r w:rsidRPr="00763662">
        <w:rPr>
          <w:i/>
          <w:iCs/>
          <w:color w:val="000000"/>
        </w:rPr>
        <w:t>ge</w:t>
      </w:r>
      <w:proofErr w:type="spellEnd"/>
      <w:r w:rsidRPr="00763662">
        <w:rPr>
          <w:rStyle w:val="apple-converted-space"/>
          <w:rFonts w:eastAsiaTheme="majorEastAsia"/>
          <w:color w:val="000000"/>
        </w:rPr>
        <w:t> </w:t>
      </w:r>
      <w:r w:rsidRPr="00763662">
        <w:rPr>
          <w:color w:val="000000"/>
        </w:rPr>
        <w:t>are characterized by a slow, descending melodic contour and a vocal style that mimics crying. Other types of songs may exhibit a more lively and rhythmic character. A detailed acoustic analysis of these melodies will enable the scientific description of these patterns, revealing how the music itself functions as a component in the construction of textual meaning and emotional resonance. This involves examining melodic contour, identifying rhythmic patterns, and studying how musical phrasing aligns with linguistic units and emotional content.</w:t>
      </w:r>
    </w:p>
    <w:p w14:paraId="5E992E4F" w14:textId="77777777" w:rsidR="00571C43" w:rsidRPr="00763662" w:rsidRDefault="001F03B2" w:rsidP="00763662">
      <w:pPr>
        <w:pStyle w:val="NormalWeb"/>
        <w:spacing w:line="360" w:lineRule="auto"/>
        <w:rPr>
          <w:color w:val="000000"/>
        </w:rPr>
      </w:pPr>
      <w:r>
        <w:rPr>
          <w:noProof/>
          <w:color w:val="000000"/>
          <w14:ligatures w14:val="standardContextual"/>
        </w:rPr>
        <w:pict w14:anchorId="085BF5B7">
          <v:rect id="_x0000_i1030" alt="" style="width:451.3pt;height:.05pt;mso-width-percent:0;mso-height-percent:0;mso-width-percent:0;mso-height-percent:0" o:hralign="center" o:hrstd="t" o:hr="t" fillcolor="#a0a0a0" stroked="f"/>
        </w:pict>
      </w:r>
    </w:p>
    <w:p w14:paraId="44C2CC41" w14:textId="77777777" w:rsidR="00E17873" w:rsidRPr="00E17873" w:rsidRDefault="00E17873" w:rsidP="00E17873">
      <w:pPr>
        <w:spacing w:before="100" w:beforeAutospacing="1" w:after="100" w:afterAutospacing="1" w:line="360" w:lineRule="auto"/>
        <w:outlineLvl w:val="2"/>
        <w:rPr>
          <w:rFonts w:ascii="Times New Roman" w:eastAsia="Times New Roman" w:hAnsi="Times New Roman" w:cs="Times New Roman"/>
          <w:b/>
          <w:bCs/>
          <w:color w:val="000000"/>
          <w:kern w:val="0"/>
          <w:sz w:val="27"/>
          <w:szCs w:val="27"/>
          <w14:ligatures w14:val="none"/>
        </w:rPr>
      </w:pPr>
      <w:r w:rsidRPr="00E17873">
        <w:rPr>
          <w:rFonts w:ascii="Times New Roman" w:eastAsia="Times New Roman" w:hAnsi="Times New Roman" w:cs="Times New Roman"/>
          <w:b/>
          <w:bCs/>
          <w:color w:val="000000"/>
          <w:kern w:val="0"/>
          <w:sz w:val="27"/>
          <w:szCs w:val="27"/>
          <w14:ligatures w14:val="none"/>
        </w:rPr>
        <w:t xml:space="preserve">6. Social and Ritual Practices: </w:t>
      </w:r>
      <w:proofErr w:type="spellStart"/>
      <w:r w:rsidRPr="00E17873">
        <w:rPr>
          <w:rFonts w:ascii="Times New Roman" w:eastAsia="Times New Roman" w:hAnsi="Times New Roman" w:cs="Times New Roman"/>
          <w:b/>
          <w:bCs/>
          <w:color w:val="000000"/>
          <w:kern w:val="0"/>
          <w:sz w:val="27"/>
          <w:szCs w:val="27"/>
          <w14:ligatures w14:val="none"/>
        </w:rPr>
        <w:t>Nüshu</w:t>
      </w:r>
      <w:proofErr w:type="spellEnd"/>
      <w:r w:rsidRPr="00E17873">
        <w:rPr>
          <w:rFonts w:ascii="Times New Roman" w:eastAsia="Times New Roman" w:hAnsi="Times New Roman" w:cs="Times New Roman"/>
          <w:b/>
          <w:bCs/>
          <w:color w:val="000000"/>
          <w:kern w:val="0"/>
          <w:sz w:val="27"/>
          <w:szCs w:val="27"/>
          <w14:ligatures w14:val="none"/>
        </w:rPr>
        <w:t xml:space="preserve"> as a Tool for Community Building</w:t>
      </w:r>
    </w:p>
    <w:p w14:paraId="0022B076" w14:textId="77777777" w:rsidR="00E17873" w:rsidRPr="00E17873" w:rsidRDefault="00E17873"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color w:val="000000"/>
          <w:kern w:val="0"/>
          <w14:ligatures w14:val="none"/>
        </w:rPr>
        <w:t xml:space="preserve">Beyond its linguistic and musical characteristics,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xml:space="preserve"> was deeply embedded in the social fabric of </w:t>
      </w:r>
      <w:proofErr w:type="spellStart"/>
      <w:r w:rsidRPr="00E17873">
        <w:rPr>
          <w:rFonts w:ascii="Times New Roman" w:eastAsia="Times New Roman" w:hAnsi="Times New Roman" w:cs="Times New Roman"/>
          <w:color w:val="000000"/>
          <w:kern w:val="0"/>
          <w14:ligatures w14:val="none"/>
        </w:rPr>
        <w:t>Jiangyong's</w:t>
      </w:r>
      <w:proofErr w:type="spellEnd"/>
      <w:r w:rsidRPr="00E17873">
        <w:rPr>
          <w:rFonts w:ascii="Times New Roman" w:eastAsia="Times New Roman" w:hAnsi="Times New Roman" w:cs="Times New Roman"/>
          <w:color w:val="000000"/>
          <w:kern w:val="0"/>
          <w14:ligatures w14:val="none"/>
        </w:rPr>
        <w:t xml:space="preserve"> female communities. It was not merely a private means of expression, but a powerful instrument for forging, maintaining, and strengthening female bonds, creating a unique "female sphere" within a highly restrictive patriarchal society. This section expands on the specific social practices and rituals that fostered </w:t>
      </w:r>
      <w:proofErr w:type="spellStart"/>
      <w:r w:rsidRPr="00E17873">
        <w:rPr>
          <w:rFonts w:ascii="Times New Roman" w:eastAsia="Times New Roman" w:hAnsi="Times New Roman" w:cs="Times New Roman"/>
          <w:color w:val="000000"/>
          <w:kern w:val="0"/>
          <w14:ligatures w14:val="none"/>
        </w:rPr>
        <w:t>Nüshu's</w:t>
      </w:r>
      <w:proofErr w:type="spellEnd"/>
      <w:r w:rsidRPr="00E17873">
        <w:rPr>
          <w:rFonts w:ascii="Times New Roman" w:eastAsia="Times New Roman" w:hAnsi="Times New Roman" w:cs="Times New Roman"/>
          <w:color w:val="000000"/>
          <w:kern w:val="0"/>
          <w14:ligatures w14:val="none"/>
        </w:rPr>
        <w:t xml:space="preserve"> existence and its profound role in building female solidarity, arguing that the script's primary function was arguably more social than communicative in the purely informational sense.</w:t>
      </w:r>
    </w:p>
    <w:p w14:paraId="4DD83FFC" w14:textId="77777777" w:rsidR="00E17873" w:rsidRPr="00E17873" w:rsidRDefault="00E17873" w:rsidP="00E17873">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E17873">
        <w:rPr>
          <w:rFonts w:ascii="Times New Roman" w:eastAsia="Times New Roman" w:hAnsi="Times New Roman" w:cs="Times New Roman"/>
          <w:b/>
          <w:bCs/>
          <w:color w:val="000000"/>
          <w:kern w:val="0"/>
          <w14:ligatures w14:val="none"/>
        </w:rPr>
        <w:t>6.1. The Inner Chambers and Shared Labor</w:t>
      </w:r>
    </w:p>
    <w:p w14:paraId="7C1B8B53" w14:textId="77777777" w:rsidR="00E17873" w:rsidRPr="00E17873" w:rsidRDefault="00E17873"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color w:val="000000"/>
          <w:kern w:val="0"/>
          <w14:ligatures w14:val="none"/>
        </w:rPr>
        <w:t>As discussed earlier, the practice of foot-binding largely confined women to the "inner chambers" (</w:t>
      </w:r>
      <w:proofErr w:type="spellStart"/>
      <w:r w:rsidRPr="00E17873">
        <w:rPr>
          <w:rFonts w:ascii="Times New Roman" w:eastAsia="Times New Roman" w:hAnsi="Times New Roman" w:cs="Times New Roman"/>
          <w:i/>
          <w:iCs/>
          <w:color w:val="000000"/>
          <w:kern w:val="0"/>
          <w14:ligatures w14:val="none"/>
        </w:rPr>
        <w:t>nüfang</w:t>
      </w:r>
      <w:proofErr w:type="spellEnd"/>
      <w:r w:rsidRPr="00E17873">
        <w:rPr>
          <w:rFonts w:ascii="Times New Roman" w:eastAsia="Times New Roman" w:hAnsi="Times New Roman" w:cs="Times New Roman"/>
          <w:color w:val="000000"/>
          <w:kern w:val="0"/>
          <w14:ligatures w14:val="none"/>
        </w:rPr>
        <w:t xml:space="preserve">). While a symbol of patriarchal control and female subjugation, this confinement paradoxically created an exclusive and intimate homosocial space where women spent the vast majority of their time together. Here, they engaged in various forms of shared </w:t>
      </w:r>
      <w:proofErr w:type="spellStart"/>
      <w:r w:rsidRPr="00E17873">
        <w:rPr>
          <w:rFonts w:ascii="Times New Roman" w:eastAsia="Times New Roman" w:hAnsi="Times New Roman" w:cs="Times New Roman"/>
          <w:color w:val="000000"/>
          <w:kern w:val="0"/>
          <w14:ligatures w14:val="none"/>
        </w:rPr>
        <w:t>labor</w:t>
      </w:r>
      <w:proofErr w:type="spellEnd"/>
      <w:r w:rsidRPr="00E17873">
        <w:rPr>
          <w:rFonts w:ascii="Times New Roman" w:eastAsia="Times New Roman" w:hAnsi="Times New Roman" w:cs="Times New Roman"/>
          <w:color w:val="000000"/>
          <w:kern w:val="0"/>
          <w14:ligatures w14:val="none"/>
        </w:rPr>
        <w:t xml:space="preserve">, primarily textile work such as spinning, weaving, and intricate embroidery. These activities were not solitary; they were communal, often accompanied by conversation, storytelling, and, crucially, the singing of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xml:space="preserve"> songs. This environment, often referred to as </w:t>
      </w:r>
      <w:r w:rsidRPr="00E17873">
        <w:rPr>
          <w:rFonts w:ascii="Times New Roman" w:eastAsia="Times New Roman" w:hAnsi="Times New Roman" w:cs="Times New Roman"/>
          <w:color w:val="000000"/>
          <w:kern w:val="0"/>
          <w14:ligatures w14:val="none"/>
        </w:rPr>
        <w:lastRenderedPageBreak/>
        <w:t xml:space="preserve">a "gynaeceum space," became the crucible for </w:t>
      </w:r>
      <w:proofErr w:type="spellStart"/>
      <w:r w:rsidRPr="00E17873">
        <w:rPr>
          <w:rFonts w:ascii="Times New Roman" w:eastAsia="Times New Roman" w:hAnsi="Times New Roman" w:cs="Times New Roman"/>
          <w:color w:val="000000"/>
          <w:kern w:val="0"/>
          <w14:ligatures w14:val="none"/>
        </w:rPr>
        <w:t>Nüshu's</w:t>
      </w:r>
      <w:proofErr w:type="spellEnd"/>
      <w:r w:rsidRPr="00E17873">
        <w:rPr>
          <w:rFonts w:ascii="Times New Roman" w:eastAsia="Times New Roman" w:hAnsi="Times New Roman" w:cs="Times New Roman"/>
          <w:color w:val="000000"/>
          <w:kern w:val="0"/>
          <w14:ligatures w14:val="none"/>
        </w:rPr>
        <w:t xml:space="preserve"> development. It was a world where oral culture thrived, and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xml:space="preserve"> emerged not to replace this orality but to complement and preserve it. The script gave a tangible, lasting form to the ephemeral spoken word and sung melody.</w:t>
      </w:r>
    </w:p>
    <w:p w14:paraId="47BCE324" w14:textId="77777777" w:rsidR="00E17873" w:rsidRPr="00E17873" w:rsidRDefault="00E17873"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color w:val="000000"/>
          <w:kern w:val="0"/>
          <w14:ligatures w14:val="none"/>
        </w:rPr>
        <w:t xml:space="preserve">In this environment,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xml:space="preserve"> became a shared activity that transcended individual skills. Women taught each other, corrected mistakes, and collaboratively composed new songs or adapted existing ones. This collaborative process of learning and creation reinforced the communal ownership of the script and its associated knowledge. The act of writing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xml:space="preserve"> on fans or embroidering it on handkerchiefs transformed everyday objects into vehicles of personal and collective meaning. These objects, imbued with the script, became tangible symbols of female connection and resilience, circulating within the female sphere as gifts that carried immense emotional weight. The physical medium was often as important as the message; a fan with a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xml:space="preserve"> poem was both a practical item and a token of an enduring bond, a handkerchief embroidered with a lament was both a piece of cloth and a repository of shared sorrow.</w:t>
      </w:r>
    </w:p>
    <w:p w14:paraId="3462BCD0" w14:textId="77777777" w:rsidR="00E17873" w:rsidRPr="00E17873" w:rsidRDefault="00E17873" w:rsidP="00E17873">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E17873">
        <w:rPr>
          <w:rFonts w:ascii="Times New Roman" w:eastAsia="Times New Roman" w:hAnsi="Times New Roman" w:cs="Times New Roman"/>
          <w:b/>
          <w:bCs/>
          <w:color w:val="000000"/>
          <w:kern w:val="0"/>
          <w14:ligatures w14:val="none"/>
        </w:rPr>
        <w:t>6.2. The Significance of the </w:t>
      </w:r>
      <w:proofErr w:type="spellStart"/>
      <w:r w:rsidRPr="00E17873">
        <w:rPr>
          <w:rFonts w:ascii="Times New Roman" w:eastAsia="Times New Roman" w:hAnsi="Times New Roman" w:cs="Times New Roman"/>
          <w:b/>
          <w:bCs/>
          <w:i/>
          <w:iCs/>
          <w:color w:val="000000"/>
          <w:kern w:val="0"/>
          <w14:ligatures w14:val="none"/>
        </w:rPr>
        <w:t>Sanzhaoshu</w:t>
      </w:r>
      <w:proofErr w:type="spellEnd"/>
      <w:r w:rsidRPr="00E17873">
        <w:rPr>
          <w:rFonts w:ascii="Times New Roman" w:eastAsia="Times New Roman" w:hAnsi="Times New Roman" w:cs="Times New Roman"/>
          <w:b/>
          <w:bCs/>
          <w:color w:val="000000"/>
          <w:kern w:val="0"/>
          <w14:ligatures w14:val="none"/>
        </w:rPr>
        <w:t> (Third Day Books)</w:t>
      </w:r>
    </w:p>
    <w:p w14:paraId="4AF23E25" w14:textId="77777777" w:rsidR="00E17873" w:rsidRPr="00E17873" w:rsidRDefault="00E17873"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color w:val="000000"/>
          <w:kern w:val="0"/>
          <w14:ligatures w14:val="none"/>
        </w:rPr>
        <w:t>The </w:t>
      </w:r>
      <w:proofErr w:type="spellStart"/>
      <w:r w:rsidRPr="00E17873">
        <w:rPr>
          <w:rFonts w:ascii="Times New Roman" w:eastAsia="Times New Roman" w:hAnsi="Times New Roman" w:cs="Times New Roman"/>
          <w:i/>
          <w:iCs/>
          <w:color w:val="000000"/>
          <w:kern w:val="0"/>
          <w14:ligatures w14:val="none"/>
        </w:rPr>
        <w:t>Sanzhaoshu</w:t>
      </w:r>
      <w:proofErr w:type="spellEnd"/>
      <w:r w:rsidRPr="00E17873">
        <w:rPr>
          <w:rFonts w:ascii="Times New Roman" w:eastAsia="Times New Roman" w:hAnsi="Times New Roman" w:cs="Times New Roman"/>
          <w:color w:val="000000"/>
          <w:kern w:val="0"/>
          <w14:ligatures w14:val="none"/>
        </w:rPr>
        <w:t> (</w:t>
      </w:r>
      <w:r w:rsidRPr="00E17873">
        <w:rPr>
          <w:rFonts w:ascii="Times New Roman" w:eastAsia="SimSun" w:hAnsi="Times New Roman" w:cs="Times New Roman"/>
          <w:color w:val="000000"/>
          <w:kern w:val="0"/>
          <w14:ligatures w14:val="none"/>
        </w:rPr>
        <w:t>三朝书</w:t>
      </w:r>
      <w:r w:rsidRPr="00E17873">
        <w:rPr>
          <w:rFonts w:ascii="Times New Roman" w:eastAsia="Times New Roman" w:hAnsi="Times New Roman" w:cs="Times New Roman"/>
          <w:color w:val="000000"/>
          <w:kern w:val="0"/>
          <w14:ligatures w14:val="none"/>
        </w:rPr>
        <w:t xml:space="preserve">, "Third Day Books") stand as the quintessential embodiment of </w:t>
      </w:r>
      <w:proofErr w:type="spellStart"/>
      <w:r w:rsidRPr="00E17873">
        <w:rPr>
          <w:rFonts w:ascii="Times New Roman" w:eastAsia="Times New Roman" w:hAnsi="Times New Roman" w:cs="Times New Roman"/>
          <w:color w:val="000000"/>
          <w:kern w:val="0"/>
          <w14:ligatures w14:val="none"/>
        </w:rPr>
        <w:t>Nüshu's</w:t>
      </w:r>
      <w:proofErr w:type="spellEnd"/>
      <w:r w:rsidRPr="00E17873">
        <w:rPr>
          <w:rFonts w:ascii="Times New Roman" w:eastAsia="Times New Roman" w:hAnsi="Times New Roman" w:cs="Times New Roman"/>
          <w:color w:val="000000"/>
          <w:kern w:val="0"/>
          <w14:ligatures w14:val="none"/>
        </w:rPr>
        <w:t xml:space="preserve"> social and emotional function. As detailed in the work of Zhao Liming, these were "the most important and representative works of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These handmade booklets, prepared by the bride's mother and especially by her sworn sisters, were a cornerstone of the wedding rituals. Their creation was a meticulous and deeply emotional process that began weeks or even months before the marriage, functioning as a key rite of passage for both the bride and the sworn sisters she was leaving behind.</w:t>
      </w:r>
    </w:p>
    <w:p w14:paraId="4A46EF54" w14:textId="77777777" w:rsidR="00E17873" w:rsidRPr="00E17873" w:rsidRDefault="00E17873" w:rsidP="00E17873">
      <w:pPr>
        <w:numPr>
          <w:ilvl w:val="0"/>
          <w:numId w:val="7"/>
        </w:num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b/>
          <w:bCs/>
          <w:color w:val="000000"/>
          <w:kern w:val="0"/>
          <w14:ligatures w14:val="none"/>
        </w:rPr>
        <w:t>Preparation as a Collective Act:</w:t>
      </w:r>
      <w:r w:rsidRPr="00E17873">
        <w:rPr>
          <w:rFonts w:ascii="Times New Roman" w:eastAsia="Times New Roman" w:hAnsi="Times New Roman" w:cs="Times New Roman"/>
          <w:color w:val="000000"/>
          <w:kern w:val="0"/>
          <w14:ligatures w14:val="none"/>
        </w:rPr>
        <w:t> The creation of a </w:t>
      </w:r>
      <w:proofErr w:type="spellStart"/>
      <w:r w:rsidRPr="00E17873">
        <w:rPr>
          <w:rFonts w:ascii="Times New Roman" w:eastAsia="Times New Roman" w:hAnsi="Times New Roman" w:cs="Times New Roman"/>
          <w:i/>
          <w:iCs/>
          <w:color w:val="000000"/>
          <w:kern w:val="0"/>
          <w14:ligatures w14:val="none"/>
        </w:rPr>
        <w:t>Sanzhaoshu</w:t>
      </w:r>
      <w:proofErr w:type="spellEnd"/>
      <w:r w:rsidRPr="00E17873">
        <w:rPr>
          <w:rFonts w:ascii="Times New Roman" w:eastAsia="Times New Roman" w:hAnsi="Times New Roman" w:cs="Times New Roman"/>
          <w:color w:val="000000"/>
          <w:kern w:val="0"/>
          <w14:ligatures w14:val="none"/>
        </w:rPr>
        <w:t xml:space="preserve"> was a collective </w:t>
      </w:r>
      <w:proofErr w:type="spellStart"/>
      <w:r w:rsidRPr="00E17873">
        <w:rPr>
          <w:rFonts w:ascii="Times New Roman" w:eastAsia="Times New Roman" w:hAnsi="Times New Roman" w:cs="Times New Roman"/>
          <w:color w:val="000000"/>
          <w:kern w:val="0"/>
          <w14:ligatures w14:val="none"/>
        </w:rPr>
        <w:t>endeavor</w:t>
      </w:r>
      <w:proofErr w:type="spellEnd"/>
      <w:r w:rsidRPr="00E17873">
        <w:rPr>
          <w:rFonts w:ascii="Times New Roman" w:eastAsia="Times New Roman" w:hAnsi="Times New Roman" w:cs="Times New Roman"/>
          <w:color w:val="000000"/>
          <w:kern w:val="0"/>
          <w14:ligatures w14:val="none"/>
        </w:rPr>
        <w:t>. Sworn sisters would gather, often in the evenings, sharing their own experiences, offering advice, and jointly composing verses. This collaborative writing process was itself a bonding ritual, a shared act of love and sorrow. The very act of preparing the book—selecting the cloth for the cover, choosing the paper, grinding the ink, and carefully writing or embroidering the characters—was a vehicle for emotional expression and social cohesion. It allowed the women to collectively process the impending separation and reaffirm their commitment to one another.</w:t>
      </w:r>
    </w:p>
    <w:p w14:paraId="1E5833D9" w14:textId="77777777" w:rsidR="00E17873" w:rsidRPr="00E17873" w:rsidRDefault="00E17873" w:rsidP="00E17873">
      <w:pPr>
        <w:numPr>
          <w:ilvl w:val="0"/>
          <w:numId w:val="7"/>
        </w:num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b/>
          <w:bCs/>
          <w:color w:val="000000"/>
          <w:kern w:val="0"/>
          <w14:ligatures w14:val="none"/>
        </w:rPr>
        <w:lastRenderedPageBreak/>
        <w:t>Content and Emotional Expression:</w:t>
      </w:r>
      <w:r w:rsidRPr="00E17873">
        <w:rPr>
          <w:rFonts w:ascii="Times New Roman" w:eastAsia="Times New Roman" w:hAnsi="Times New Roman" w:cs="Times New Roman"/>
          <w:color w:val="000000"/>
          <w:kern w:val="0"/>
          <w14:ligatures w14:val="none"/>
        </w:rPr>
        <w:t> The contents of the </w:t>
      </w:r>
      <w:proofErr w:type="spellStart"/>
      <w:r w:rsidRPr="00E17873">
        <w:rPr>
          <w:rFonts w:ascii="Times New Roman" w:eastAsia="Times New Roman" w:hAnsi="Times New Roman" w:cs="Times New Roman"/>
          <w:i/>
          <w:iCs/>
          <w:color w:val="000000"/>
          <w:kern w:val="0"/>
          <w14:ligatures w14:val="none"/>
        </w:rPr>
        <w:t>Sanzhaoshu</w:t>
      </w:r>
      <w:proofErr w:type="spellEnd"/>
      <w:r w:rsidRPr="00E17873">
        <w:rPr>
          <w:rFonts w:ascii="Times New Roman" w:eastAsia="Times New Roman" w:hAnsi="Times New Roman" w:cs="Times New Roman"/>
          <w:color w:val="000000"/>
          <w:kern w:val="0"/>
          <w14:ligatures w14:val="none"/>
        </w:rPr>
        <w:t> were varied, providing a candid glimpse into women's inner lives. They typically included laments (</w:t>
      </w:r>
      <w:proofErr w:type="spellStart"/>
      <w:r w:rsidRPr="00E17873">
        <w:rPr>
          <w:rFonts w:ascii="Times New Roman" w:eastAsia="Times New Roman" w:hAnsi="Times New Roman" w:cs="Times New Roman"/>
          <w:i/>
          <w:iCs/>
          <w:color w:val="000000"/>
          <w:kern w:val="0"/>
          <w14:ligatures w14:val="none"/>
        </w:rPr>
        <w:t>kujia</w:t>
      </w:r>
      <w:proofErr w:type="spellEnd"/>
      <w:r w:rsidRPr="00E17873">
        <w:rPr>
          <w:rFonts w:ascii="Times New Roman" w:eastAsia="Times New Roman" w:hAnsi="Times New Roman" w:cs="Times New Roman"/>
          <w:color w:val="000000"/>
          <w:kern w:val="0"/>
          <w14:ligatures w14:val="none"/>
        </w:rPr>
        <w:t>), which were songs of sorrow expressing the bride's feelings about leaving her natal family and her fear of her new home. They also expressed the sadness of her sisters over the separation, functioning as a socially sanctioned outlet for emotional distress while reflecting the difficulties of married life. The books also contained blessings for the marriage, advice on navigating the social dynamics of the husband's family, and autobiographical fragments from the lives of the mother or sisters, sharing their own marital experiences. Importantly, the </w:t>
      </w:r>
      <w:proofErr w:type="spellStart"/>
      <w:r w:rsidRPr="00E17873">
        <w:rPr>
          <w:rFonts w:ascii="Times New Roman" w:eastAsia="Times New Roman" w:hAnsi="Times New Roman" w:cs="Times New Roman"/>
          <w:i/>
          <w:iCs/>
          <w:color w:val="000000"/>
          <w:kern w:val="0"/>
          <w14:ligatures w14:val="none"/>
        </w:rPr>
        <w:t>Sanzhaoshu</w:t>
      </w:r>
      <w:proofErr w:type="spellEnd"/>
      <w:r w:rsidRPr="00E17873">
        <w:rPr>
          <w:rFonts w:ascii="Times New Roman" w:eastAsia="Times New Roman" w:hAnsi="Times New Roman" w:cs="Times New Roman"/>
          <w:color w:val="000000"/>
          <w:kern w:val="0"/>
          <w14:ligatures w14:val="none"/>
        </w:rPr>
        <w:t> contained reaffirmations of the bond of sisterhood, with vows of continued support and friendship despite separation.</w:t>
      </w:r>
    </w:p>
    <w:p w14:paraId="38C9C680" w14:textId="77777777" w:rsidR="00E17873" w:rsidRPr="00E17873" w:rsidRDefault="00E17873" w:rsidP="00E17873">
      <w:pPr>
        <w:numPr>
          <w:ilvl w:val="0"/>
          <w:numId w:val="7"/>
        </w:num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b/>
          <w:bCs/>
          <w:color w:val="000000"/>
          <w:kern w:val="0"/>
          <w14:ligatures w14:val="none"/>
        </w:rPr>
        <w:t>The Ritual of Delivery:</w:t>
      </w:r>
      <w:r w:rsidRPr="00E17873">
        <w:rPr>
          <w:rFonts w:ascii="Times New Roman" w:eastAsia="Times New Roman" w:hAnsi="Times New Roman" w:cs="Times New Roman"/>
          <w:color w:val="000000"/>
          <w:kern w:val="0"/>
          <w14:ligatures w14:val="none"/>
        </w:rPr>
        <w:t xml:space="preserve"> The book was formally presented to the bride on the third day after the wedding. This act signified the transfer of emotional support from her natal family and sworn sisters into her new life. Even if she was illiterate in </w:t>
      </w:r>
      <w:proofErr w:type="spellStart"/>
      <w:r w:rsidRPr="00E17873">
        <w:rPr>
          <w:rFonts w:ascii="Times New Roman" w:eastAsia="Times New Roman" w:hAnsi="Times New Roman" w:cs="Times New Roman"/>
          <w:color w:val="000000"/>
          <w:kern w:val="0"/>
          <w14:ligatures w14:val="none"/>
        </w:rPr>
        <w:t>hanzi</w:t>
      </w:r>
      <w:proofErr w:type="spellEnd"/>
      <w:r w:rsidRPr="00E17873">
        <w:rPr>
          <w:rFonts w:ascii="Times New Roman" w:eastAsia="Times New Roman" w:hAnsi="Times New Roman" w:cs="Times New Roman"/>
          <w:color w:val="000000"/>
          <w:kern w:val="0"/>
          <w14:ligatures w14:val="none"/>
        </w:rPr>
        <w:t>, the bride could treasure this book, having its contents sung to her by her female relatives. It was a tangible link to her past identity and a promise of ongoing connection. The </w:t>
      </w:r>
      <w:proofErr w:type="spellStart"/>
      <w:r w:rsidRPr="00E17873">
        <w:rPr>
          <w:rFonts w:ascii="Times New Roman" w:eastAsia="Times New Roman" w:hAnsi="Times New Roman" w:cs="Times New Roman"/>
          <w:i/>
          <w:iCs/>
          <w:color w:val="000000"/>
          <w:kern w:val="0"/>
          <w14:ligatures w14:val="none"/>
        </w:rPr>
        <w:t>Sanzhaoshu</w:t>
      </w:r>
      <w:proofErr w:type="spellEnd"/>
      <w:r w:rsidRPr="00E17873">
        <w:rPr>
          <w:rFonts w:ascii="Times New Roman" w:eastAsia="Times New Roman" w:hAnsi="Times New Roman" w:cs="Times New Roman"/>
          <w:color w:val="000000"/>
          <w:kern w:val="0"/>
          <w14:ligatures w14:val="none"/>
        </w:rPr>
        <w:t> were thus not merely textual artifacts; they were performative objects with ritualistic meaning, serving as an emotional lifeline and a testament to the collective ingenuity of women in transforming suffering into a shared narrative. They were a material anchor in a time of profound personal dislocation, a physical object that embodied the enduring social network she had left behind.</w:t>
      </w:r>
    </w:p>
    <w:p w14:paraId="2FD0FEF5" w14:textId="77777777" w:rsidR="00E17873" w:rsidRPr="00E17873" w:rsidRDefault="00E17873" w:rsidP="00E17873">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E17873">
        <w:rPr>
          <w:rFonts w:ascii="Times New Roman" w:eastAsia="Times New Roman" w:hAnsi="Times New Roman" w:cs="Times New Roman"/>
          <w:b/>
          <w:bCs/>
          <w:color w:val="000000"/>
          <w:kern w:val="0"/>
          <w14:ligatures w14:val="none"/>
        </w:rPr>
        <w:t>6.3. Communication and Shared Narratives</w:t>
      </w:r>
    </w:p>
    <w:p w14:paraId="7FD1CA67" w14:textId="77777777" w:rsidR="00E17873" w:rsidRPr="00E17873" w:rsidRDefault="00E17873"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color w:val="000000"/>
          <w:kern w:val="0"/>
          <w14:ligatures w14:val="none"/>
        </w:rPr>
        <w:t xml:space="preserve">Beyond formal rituals,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xml:space="preserve"> was used for daily communication. Letters exchanged between sworn sisters were a vital means of maintaining emotional and informational networks across villages. These letters, often written on fans or small pieces of cloth, provided a private space where women could express their true feelings, share news, offer comfort, and complain about their circumstances without fear of male interception or judgment. The secrecy of the script, in this sense, was not about plotting rebellion but about securing privacy. As Silber (2018) points out, this privacy allowed for a level of uncensored expression that would have been impossible in a shared literacy environment.</w:t>
      </w:r>
    </w:p>
    <w:p w14:paraId="2E4EC39C" w14:textId="77777777" w:rsidR="00E17873" w:rsidRPr="00E17873" w:rsidRDefault="00E17873"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color w:val="000000"/>
          <w:kern w:val="0"/>
          <w14:ligatures w14:val="none"/>
        </w:rPr>
        <w:t xml:space="preserve">The shared act of learning and using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xml:space="preserve"> fostered a strong sense of collective identity among its practitioners. They belonged to an exclusive "sorority of the script," a hidden </w:t>
      </w:r>
      <w:r w:rsidRPr="00E17873">
        <w:rPr>
          <w:rFonts w:ascii="Times New Roman" w:eastAsia="Times New Roman" w:hAnsi="Times New Roman" w:cs="Times New Roman"/>
          <w:color w:val="000000"/>
          <w:kern w:val="0"/>
          <w14:ligatures w14:val="none"/>
        </w:rPr>
        <w:lastRenderedPageBreak/>
        <w:t xml:space="preserve">intellectual and emotional community. This sense of belonging mitigated the profound isolation imposed by patriarchal norms and patrilocal marriage. The narratives contained in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xml:space="preserve"> texts, whether personal laments or broader stories, formed a collective female memory, preserving their experiences and perspectives for future generations of women. This created a form of "counter-archive" to the official, male-authored histories written in </w:t>
      </w:r>
      <w:proofErr w:type="spellStart"/>
      <w:r w:rsidRPr="00E17873">
        <w:rPr>
          <w:rFonts w:ascii="Times New Roman" w:eastAsia="Times New Roman" w:hAnsi="Times New Roman" w:cs="Times New Roman"/>
          <w:color w:val="000000"/>
          <w:kern w:val="0"/>
          <w14:ligatures w14:val="none"/>
        </w:rPr>
        <w:t>hanzi</w:t>
      </w:r>
      <w:proofErr w:type="spellEnd"/>
      <w:r w:rsidRPr="00E17873">
        <w:rPr>
          <w:rFonts w:ascii="Times New Roman" w:eastAsia="Times New Roman" w:hAnsi="Times New Roman" w:cs="Times New Roman"/>
          <w:color w:val="000000"/>
          <w:kern w:val="0"/>
          <w14:ligatures w14:val="none"/>
        </w:rPr>
        <w:t xml:space="preserve">. While official records documented the deeds of men,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xml:space="preserve"> documented the inner lives, sufferings, and solidarities of women.</w:t>
      </w:r>
    </w:p>
    <w:p w14:paraId="1EB30A9F" w14:textId="77777777" w:rsidR="00E17873" w:rsidRPr="00E17873" w:rsidRDefault="00E17873" w:rsidP="00E17873">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E17873">
        <w:rPr>
          <w:rFonts w:ascii="Times New Roman" w:eastAsia="Times New Roman" w:hAnsi="Times New Roman" w:cs="Times New Roman"/>
          <w:b/>
          <w:bCs/>
          <w:color w:val="000000"/>
          <w:kern w:val="0"/>
          <w14:ligatures w14:val="none"/>
        </w:rPr>
        <w:t xml:space="preserve">6.4. </w:t>
      </w:r>
      <w:proofErr w:type="spellStart"/>
      <w:r w:rsidRPr="00E17873">
        <w:rPr>
          <w:rFonts w:ascii="Times New Roman" w:eastAsia="Times New Roman" w:hAnsi="Times New Roman" w:cs="Times New Roman"/>
          <w:b/>
          <w:bCs/>
          <w:color w:val="000000"/>
          <w:kern w:val="0"/>
          <w14:ligatures w14:val="none"/>
        </w:rPr>
        <w:t>Nüshu</w:t>
      </w:r>
      <w:proofErr w:type="spellEnd"/>
      <w:r w:rsidRPr="00E17873">
        <w:rPr>
          <w:rFonts w:ascii="Times New Roman" w:eastAsia="Times New Roman" w:hAnsi="Times New Roman" w:cs="Times New Roman"/>
          <w:b/>
          <w:bCs/>
          <w:color w:val="000000"/>
          <w:kern w:val="0"/>
          <w14:ligatures w14:val="none"/>
        </w:rPr>
        <w:t xml:space="preserve"> as a Form of Female Agency</w:t>
      </w:r>
    </w:p>
    <w:p w14:paraId="55AB2C29" w14:textId="77777777" w:rsidR="00E17873" w:rsidRPr="00E17873" w:rsidRDefault="00E17873"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color w:val="000000"/>
          <w:kern w:val="0"/>
          <w14:ligatures w14:val="none"/>
        </w:rPr>
        <w:t xml:space="preserve">While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xml:space="preserve"> did not instigate an open rebellion against the patriarchal system, its existence and use represented a profound form of female agency and subtle resistance. By creating and maintaining their own literacy system, women carved out an autonomous space for intellectual, emotional, and social life that was entirely outside of male control. This can be understood through the lens of what James C. Scott (1990) calls "</w:t>
      </w:r>
      <w:proofErr w:type="spellStart"/>
      <w:r w:rsidRPr="00E17873">
        <w:rPr>
          <w:rFonts w:ascii="Times New Roman" w:eastAsia="Times New Roman" w:hAnsi="Times New Roman" w:cs="Times New Roman"/>
          <w:color w:val="000000"/>
          <w:kern w:val="0"/>
          <w14:ligatures w14:val="none"/>
        </w:rPr>
        <w:t>infrapolitics</w:t>
      </w:r>
      <w:proofErr w:type="spellEnd"/>
      <w:r w:rsidRPr="00E17873">
        <w:rPr>
          <w:rFonts w:ascii="Times New Roman" w:eastAsia="Times New Roman" w:hAnsi="Times New Roman" w:cs="Times New Roman"/>
          <w:color w:val="000000"/>
          <w:kern w:val="0"/>
          <w14:ligatures w14:val="none"/>
        </w:rPr>
        <w:t>"—the subtle, everyday forms of resistance that do not conform to overt models of political action.</w:t>
      </w:r>
    </w:p>
    <w:p w14:paraId="22C9F5CA" w14:textId="77777777" w:rsidR="00E17873" w:rsidRPr="00E17873" w:rsidRDefault="00E17873" w:rsidP="00E17873">
      <w:pPr>
        <w:numPr>
          <w:ilvl w:val="0"/>
          <w:numId w:val="8"/>
        </w:num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b/>
          <w:bCs/>
          <w:color w:val="000000"/>
          <w:kern w:val="0"/>
          <w14:ligatures w14:val="none"/>
        </w:rPr>
        <w:t>Intellectual Autonomy:</w:t>
      </w:r>
      <w:r w:rsidRPr="00E17873">
        <w:rPr>
          <w:rFonts w:ascii="Times New Roman" w:eastAsia="Times New Roman" w:hAnsi="Times New Roman" w:cs="Times New Roman"/>
          <w:color w:val="000000"/>
          <w:kern w:val="0"/>
          <w14:ligatures w14:val="none"/>
        </w:rPr>
        <w:t xml:space="preserve"> In a society where formal education was a male prerogative and women were often deemed intellectually inferior,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xml:space="preserve"> enabled women to become literate on their own terms. It was a self-produced and self-managed system of knowledge transmission, demonstrating that women were fully capable of sophisticated intellectual and communicative pursuits. The creation of a script, no matter how limited its scope, is a significant cognitive and cultural achievement.</w:t>
      </w:r>
    </w:p>
    <w:p w14:paraId="38E71881" w14:textId="77777777" w:rsidR="00E17873" w:rsidRPr="00E17873" w:rsidRDefault="00E17873" w:rsidP="00E17873">
      <w:pPr>
        <w:numPr>
          <w:ilvl w:val="0"/>
          <w:numId w:val="8"/>
        </w:num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b/>
          <w:bCs/>
          <w:color w:val="000000"/>
          <w:kern w:val="0"/>
          <w14:ligatures w14:val="none"/>
        </w:rPr>
        <w:t>Emotional Outlet:</w:t>
      </w:r>
      <w:r w:rsidRPr="00E17873">
        <w:rPr>
          <w:rFonts w:ascii="Times New Roman" w:eastAsia="Times New Roman" w:hAnsi="Times New Roman" w:cs="Times New Roman"/>
          <w:color w:val="000000"/>
          <w:kern w:val="0"/>
          <w14:ligatures w14:val="none"/>
        </w:rPr>
        <w:t> The ability to express pain, anger, and frustration through </w:t>
      </w:r>
      <w:proofErr w:type="spellStart"/>
      <w:r w:rsidRPr="00E17873">
        <w:rPr>
          <w:rFonts w:ascii="Times New Roman" w:eastAsia="Times New Roman" w:hAnsi="Times New Roman" w:cs="Times New Roman"/>
          <w:i/>
          <w:iCs/>
          <w:color w:val="000000"/>
          <w:kern w:val="0"/>
          <w14:ligatures w14:val="none"/>
        </w:rPr>
        <w:t>kujia</w:t>
      </w:r>
      <w:proofErr w:type="spellEnd"/>
      <w:r w:rsidRPr="00E17873">
        <w:rPr>
          <w:rFonts w:ascii="Times New Roman" w:eastAsia="Times New Roman" w:hAnsi="Times New Roman" w:cs="Times New Roman"/>
          <w:i/>
          <w:iCs/>
          <w:color w:val="000000"/>
          <w:kern w:val="0"/>
          <w14:ligatures w14:val="none"/>
        </w:rPr>
        <w:t xml:space="preserve"> </w:t>
      </w:r>
      <w:proofErr w:type="spellStart"/>
      <w:r w:rsidRPr="00E17873">
        <w:rPr>
          <w:rFonts w:ascii="Times New Roman" w:eastAsia="Times New Roman" w:hAnsi="Times New Roman" w:cs="Times New Roman"/>
          <w:i/>
          <w:iCs/>
          <w:color w:val="000000"/>
          <w:kern w:val="0"/>
          <w14:ligatures w14:val="none"/>
        </w:rPr>
        <w:t>ge</w:t>
      </w:r>
      <w:proofErr w:type="spellEnd"/>
      <w:r w:rsidRPr="00E17873">
        <w:rPr>
          <w:rFonts w:ascii="Times New Roman" w:eastAsia="Times New Roman" w:hAnsi="Times New Roman" w:cs="Times New Roman"/>
          <w:color w:val="000000"/>
          <w:kern w:val="0"/>
          <w14:ligatures w14:val="none"/>
        </w:rPr>
        <w:t xml:space="preserve"> and written laments provided a vital emotional outlet, preventing psychological breakdowns in often difficult circumstances. This was a form of self-care and collective therapy, culturally sanctioned and </w:t>
      </w:r>
      <w:proofErr w:type="spellStart"/>
      <w:r w:rsidRPr="00E17873">
        <w:rPr>
          <w:rFonts w:ascii="Times New Roman" w:eastAsia="Times New Roman" w:hAnsi="Times New Roman" w:cs="Times New Roman"/>
          <w:color w:val="000000"/>
          <w:kern w:val="0"/>
          <w14:ligatures w14:val="none"/>
        </w:rPr>
        <w:t>channeled</w:t>
      </w:r>
      <w:proofErr w:type="spellEnd"/>
      <w:r w:rsidRPr="00E17873">
        <w:rPr>
          <w:rFonts w:ascii="Times New Roman" w:eastAsia="Times New Roman" w:hAnsi="Times New Roman" w:cs="Times New Roman"/>
          <w:color w:val="000000"/>
          <w:kern w:val="0"/>
          <w14:ligatures w14:val="none"/>
        </w:rPr>
        <w:t xml:space="preserve"> through an artistic medium.</w:t>
      </w:r>
    </w:p>
    <w:p w14:paraId="14A3E9B4" w14:textId="77777777" w:rsidR="00E17873" w:rsidRPr="00E17873" w:rsidRDefault="00E17873" w:rsidP="00E17873">
      <w:pPr>
        <w:numPr>
          <w:ilvl w:val="0"/>
          <w:numId w:val="8"/>
        </w:num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b/>
          <w:bCs/>
          <w:color w:val="000000"/>
          <w:kern w:val="0"/>
          <w14:ligatures w14:val="none"/>
        </w:rPr>
        <w:t>Social Empowerment:</w:t>
      </w:r>
      <w:r w:rsidRPr="00E17873">
        <w:rPr>
          <w:rFonts w:ascii="Times New Roman" w:eastAsia="Times New Roman" w:hAnsi="Times New Roman" w:cs="Times New Roman"/>
          <w:color w:val="000000"/>
          <w:kern w:val="0"/>
          <w14:ligatures w14:val="none"/>
        </w:rPr>
        <w:t xml:space="preserve"> The sworn sisterhoods, cemented and maintained by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xml:space="preserve">, created powerful networks of mutual support. These networks offered practical assistance, emotional comfort, and a sense of belonging that countered the atomizing effects of patrilocal marriage. In essence,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xml:space="preserve"> allowed women to build and sustain a parallel social structure that supported them throughout their lives.</w:t>
      </w:r>
    </w:p>
    <w:p w14:paraId="6F4953E3" w14:textId="77777777" w:rsidR="00E17873" w:rsidRPr="00E17873" w:rsidRDefault="00E17873" w:rsidP="00E17873">
      <w:pPr>
        <w:numPr>
          <w:ilvl w:val="0"/>
          <w:numId w:val="8"/>
        </w:num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b/>
          <w:bCs/>
          <w:color w:val="000000"/>
          <w:kern w:val="0"/>
          <w14:ligatures w14:val="none"/>
        </w:rPr>
        <w:t>Preservation of the Female Voice:</w:t>
      </w:r>
      <w:r w:rsidRPr="00E17873">
        <w:rPr>
          <w:rFonts w:ascii="Times New Roman" w:eastAsia="Times New Roman" w:hAnsi="Times New Roman" w:cs="Times New Roman"/>
          <w:color w:val="000000"/>
          <w:kern w:val="0"/>
          <w14:ligatures w14:val="none"/>
        </w:rPr>
        <w:t>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xml:space="preserve"> texts are invaluable historical documents, preserving the voices, thoughts, and experiences of women who would otherwise be invisible in the male-dominated historical record. They challenge the monolithic </w:t>
      </w:r>
      <w:r w:rsidRPr="00E17873">
        <w:rPr>
          <w:rFonts w:ascii="Times New Roman" w:eastAsia="Times New Roman" w:hAnsi="Times New Roman" w:cs="Times New Roman"/>
          <w:color w:val="000000"/>
          <w:kern w:val="0"/>
          <w14:ligatures w14:val="none"/>
        </w:rPr>
        <w:lastRenderedPageBreak/>
        <w:t>narratives of traditional history, offering a crucial counter-narrative from the female perspective. They allow us to hear directly from a subaltern group, in their own words and through their own representational system.</w:t>
      </w:r>
    </w:p>
    <w:p w14:paraId="6B241FD4" w14:textId="77777777" w:rsidR="00E17873" w:rsidRPr="00E17873" w:rsidRDefault="00E17873" w:rsidP="00E17873">
      <w:pPr>
        <w:spacing w:before="100" w:beforeAutospacing="1" w:after="100" w:afterAutospacing="1" w:line="360" w:lineRule="auto"/>
        <w:rPr>
          <w:rFonts w:ascii="Times New Roman" w:eastAsia="Times New Roman" w:hAnsi="Times New Roman" w:cs="Times New Roman"/>
          <w:color w:val="000000"/>
          <w:kern w:val="0"/>
          <w14:ligatures w14:val="none"/>
        </w:rPr>
      </w:pPr>
      <w:r w:rsidRPr="00E17873">
        <w:rPr>
          <w:rFonts w:ascii="Times New Roman" w:eastAsia="Times New Roman" w:hAnsi="Times New Roman" w:cs="Times New Roman"/>
          <w:color w:val="000000"/>
          <w:kern w:val="0"/>
          <w14:ligatures w14:val="none"/>
        </w:rPr>
        <w:t xml:space="preserve">In summary, </w:t>
      </w:r>
      <w:proofErr w:type="spellStart"/>
      <w:r w:rsidRPr="00E17873">
        <w:rPr>
          <w:rFonts w:ascii="Times New Roman" w:eastAsia="Times New Roman" w:hAnsi="Times New Roman" w:cs="Times New Roman"/>
          <w:color w:val="000000"/>
          <w:kern w:val="0"/>
          <w14:ligatures w14:val="none"/>
        </w:rPr>
        <w:t>Nüshu</w:t>
      </w:r>
      <w:proofErr w:type="spellEnd"/>
      <w:r w:rsidRPr="00E17873">
        <w:rPr>
          <w:rFonts w:ascii="Times New Roman" w:eastAsia="Times New Roman" w:hAnsi="Times New Roman" w:cs="Times New Roman"/>
          <w:color w:val="000000"/>
          <w:kern w:val="0"/>
          <w14:ligatures w14:val="none"/>
        </w:rPr>
        <w:t xml:space="preserve"> was a silent revolution of literacy and solidarity. It allowed women to claim their own voice, create their own narratives, and build their own communities, even while living under the rigid rules of a deeply patriarchal society. This social function is just as crucial to its understanding as its linguistic structure or its musicality; indeed, it is arguably the primary reason for its existence.</w:t>
      </w:r>
    </w:p>
    <w:p w14:paraId="0E6C0CE9" w14:textId="59CC7847" w:rsidR="00CD60A9" w:rsidRPr="00763662" w:rsidRDefault="001F03B2" w:rsidP="00763662">
      <w:pPr>
        <w:spacing w:line="360" w:lineRule="auto"/>
        <w:rPr>
          <w:rFonts w:ascii="Times New Roman" w:hAnsi="Times New Roman" w:cs="Times New Roman"/>
        </w:rPr>
      </w:pPr>
      <w:r>
        <w:rPr>
          <w:rFonts w:ascii="Times New Roman" w:eastAsia="Times New Roman" w:hAnsi="Times New Roman" w:cs="Times New Roman"/>
          <w:noProof/>
          <w:color w:val="000000"/>
          <w:kern w:val="0"/>
        </w:rPr>
        <w:pict w14:anchorId="6DEDB3E3">
          <v:rect id="_x0000_i1031" alt="" style="width:451.3pt;height:.05pt;mso-width-percent:0;mso-height-percent:0;mso-width-percent:0;mso-height-percent:0" o:hralign="center" o:hrstd="t" o:hr="t" fillcolor="#a0a0a0" stroked="f"/>
        </w:pict>
      </w:r>
    </w:p>
    <w:p w14:paraId="6521AD80" w14:textId="77777777" w:rsidR="00CB6389" w:rsidRPr="00CB6389" w:rsidRDefault="00CB6389" w:rsidP="00CB6389">
      <w:pPr>
        <w:spacing w:before="100" w:beforeAutospacing="1" w:after="100" w:afterAutospacing="1" w:line="360" w:lineRule="auto"/>
        <w:outlineLvl w:val="2"/>
        <w:rPr>
          <w:rFonts w:ascii="Times New Roman" w:eastAsia="Times New Roman" w:hAnsi="Times New Roman" w:cs="Times New Roman"/>
          <w:b/>
          <w:bCs/>
          <w:color w:val="000000"/>
          <w:kern w:val="0"/>
          <w14:ligatures w14:val="none"/>
        </w:rPr>
      </w:pPr>
      <w:r w:rsidRPr="00CB6389">
        <w:rPr>
          <w:rFonts w:ascii="Times New Roman" w:eastAsia="Times New Roman" w:hAnsi="Times New Roman" w:cs="Times New Roman"/>
          <w:b/>
          <w:bCs/>
          <w:color w:val="000000"/>
          <w:kern w:val="0"/>
          <w14:ligatures w14:val="none"/>
        </w:rPr>
        <w:t xml:space="preserve">7. </w:t>
      </w:r>
      <w:proofErr w:type="spellStart"/>
      <w:r w:rsidRPr="00CB6389">
        <w:rPr>
          <w:rFonts w:ascii="Times New Roman" w:eastAsia="Times New Roman" w:hAnsi="Times New Roman" w:cs="Times New Roman"/>
          <w:b/>
          <w:bCs/>
          <w:color w:val="000000"/>
          <w:kern w:val="0"/>
          <w14:ligatures w14:val="none"/>
        </w:rPr>
        <w:t>Nüshu</w:t>
      </w:r>
      <w:proofErr w:type="spellEnd"/>
      <w:r w:rsidRPr="00CB6389">
        <w:rPr>
          <w:rFonts w:ascii="Times New Roman" w:eastAsia="Times New Roman" w:hAnsi="Times New Roman" w:cs="Times New Roman"/>
          <w:b/>
          <w:bCs/>
          <w:color w:val="000000"/>
          <w:kern w:val="0"/>
          <w14:ligatures w14:val="none"/>
        </w:rPr>
        <w:t xml:space="preserve"> Today: Heritage and Revitalization</w:t>
      </w:r>
    </w:p>
    <w:p w14:paraId="5809E635" w14:textId="77777777" w:rsidR="00CB6389" w:rsidRPr="00CB6389" w:rsidRDefault="00CB6389" w:rsidP="00CB6389">
      <w:pPr>
        <w:spacing w:before="100" w:beforeAutospacing="1" w:after="100" w:afterAutospacing="1" w:line="360" w:lineRule="auto"/>
        <w:rPr>
          <w:rFonts w:ascii="Times New Roman" w:eastAsia="Times New Roman" w:hAnsi="Times New Roman" w:cs="Times New Roman"/>
          <w:color w:val="000000"/>
          <w:kern w:val="0"/>
          <w14:ligatures w14:val="none"/>
        </w:rPr>
      </w:pPr>
      <w:r w:rsidRPr="00CB6389">
        <w:rPr>
          <w:rFonts w:ascii="Times New Roman" w:eastAsia="Times New Roman" w:hAnsi="Times New Roman" w:cs="Times New Roman"/>
          <w:color w:val="000000"/>
          <w:kern w:val="0"/>
          <w14:ligatures w14:val="none"/>
        </w:rPr>
        <w:t xml:space="preserve">The trajectory of </w:t>
      </w:r>
      <w:proofErr w:type="spellStart"/>
      <w:r w:rsidRPr="00CB6389">
        <w:rPr>
          <w:rFonts w:ascii="Times New Roman" w:eastAsia="Times New Roman" w:hAnsi="Times New Roman" w:cs="Times New Roman"/>
          <w:color w:val="000000"/>
          <w:kern w:val="0"/>
          <w14:ligatures w14:val="none"/>
        </w:rPr>
        <w:t>Nüshu</w:t>
      </w:r>
      <w:proofErr w:type="spellEnd"/>
      <w:r w:rsidRPr="00CB6389">
        <w:rPr>
          <w:rFonts w:ascii="Times New Roman" w:eastAsia="Times New Roman" w:hAnsi="Times New Roman" w:cs="Times New Roman"/>
          <w:color w:val="000000"/>
          <w:kern w:val="0"/>
          <w14:ligatures w14:val="none"/>
        </w:rPr>
        <w:t xml:space="preserve"> in the 20th and 21st centuries is a narrative of decline, near-extinction, and a complex form of rebirth. From a community-based practice, it has transformed into an "intangible cultural heritage," having garnered national and international recognition. This transition is accompanied by its own tensions and challenges.</w:t>
      </w:r>
    </w:p>
    <w:p w14:paraId="0ED16FE0" w14:textId="77777777" w:rsidR="00CB6389" w:rsidRPr="00CB6389" w:rsidRDefault="00CB6389" w:rsidP="00CB6389">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CB6389">
        <w:rPr>
          <w:rFonts w:ascii="Times New Roman" w:eastAsia="Times New Roman" w:hAnsi="Times New Roman" w:cs="Times New Roman"/>
          <w:b/>
          <w:bCs/>
          <w:color w:val="000000"/>
          <w:kern w:val="0"/>
          <w14:ligatures w14:val="none"/>
        </w:rPr>
        <w:t>7.1. Decline and Transmission</w:t>
      </w:r>
    </w:p>
    <w:p w14:paraId="13BD9814" w14:textId="77777777" w:rsidR="00CB6389" w:rsidRPr="00CB6389" w:rsidRDefault="00CB6389" w:rsidP="00CB6389">
      <w:pPr>
        <w:spacing w:before="100" w:beforeAutospacing="1" w:after="100" w:afterAutospacing="1" w:line="360" w:lineRule="auto"/>
        <w:rPr>
          <w:rFonts w:ascii="Times New Roman" w:eastAsia="Times New Roman" w:hAnsi="Times New Roman" w:cs="Times New Roman"/>
          <w:color w:val="000000"/>
          <w:kern w:val="0"/>
          <w14:ligatures w14:val="none"/>
        </w:rPr>
      </w:pPr>
      <w:r w:rsidRPr="00CB6389">
        <w:rPr>
          <w:rFonts w:ascii="Times New Roman" w:eastAsia="Times New Roman" w:hAnsi="Times New Roman" w:cs="Times New Roman"/>
          <w:color w:val="000000"/>
          <w:kern w:val="0"/>
          <w14:ligatures w14:val="none"/>
        </w:rPr>
        <w:t xml:space="preserve">Several interconnected socio-historical factors contributed to </w:t>
      </w:r>
      <w:proofErr w:type="spellStart"/>
      <w:r w:rsidRPr="00CB6389">
        <w:rPr>
          <w:rFonts w:ascii="Times New Roman" w:eastAsia="Times New Roman" w:hAnsi="Times New Roman" w:cs="Times New Roman"/>
          <w:color w:val="000000"/>
          <w:kern w:val="0"/>
          <w14:ligatures w14:val="none"/>
        </w:rPr>
        <w:t>Nüshu's</w:t>
      </w:r>
      <w:proofErr w:type="spellEnd"/>
      <w:r w:rsidRPr="00CB6389">
        <w:rPr>
          <w:rFonts w:ascii="Times New Roman" w:eastAsia="Times New Roman" w:hAnsi="Times New Roman" w:cs="Times New Roman"/>
          <w:color w:val="000000"/>
          <w:kern w:val="0"/>
          <w14:ligatures w14:val="none"/>
        </w:rPr>
        <w:t xml:space="preserve"> decline throughout the 20th century. Social transformations following the collapse of the Qing dynasty and women's gradual access to formal education in standard Mandarin reduced the script's practical necessity. The Cultural Revolution (1966-1976) was particularly damaging; </w:t>
      </w:r>
      <w:proofErr w:type="spellStart"/>
      <w:r w:rsidRPr="00CB6389">
        <w:rPr>
          <w:rFonts w:ascii="Times New Roman" w:eastAsia="Times New Roman" w:hAnsi="Times New Roman" w:cs="Times New Roman"/>
          <w:color w:val="000000"/>
          <w:kern w:val="0"/>
          <w14:ligatures w14:val="none"/>
        </w:rPr>
        <w:t>labeled</w:t>
      </w:r>
      <w:proofErr w:type="spellEnd"/>
      <w:r w:rsidRPr="00CB6389">
        <w:rPr>
          <w:rFonts w:ascii="Times New Roman" w:eastAsia="Times New Roman" w:hAnsi="Times New Roman" w:cs="Times New Roman"/>
          <w:color w:val="000000"/>
          <w:kern w:val="0"/>
          <w14:ligatures w14:val="none"/>
        </w:rPr>
        <w:t xml:space="preserve"> a "feudal" relic and a potential "secret code," </w:t>
      </w:r>
      <w:proofErr w:type="spellStart"/>
      <w:r w:rsidRPr="00CB6389">
        <w:rPr>
          <w:rFonts w:ascii="Times New Roman" w:eastAsia="Times New Roman" w:hAnsi="Times New Roman" w:cs="Times New Roman"/>
          <w:color w:val="000000"/>
          <w:kern w:val="0"/>
          <w14:ligatures w14:val="none"/>
        </w:rPr>
        <w:t>Nüshu</w:t>
      </w:r>
      <w:proofErr w:type="spellEnd"/>
      <w:r w:rsidRPr="00CB6389">
        <w:rPr>
          <w:rFonts w:ascii="Times New Roman" w:eastAsia="Times New Roman" w:hAnsi="Times New Roman" w:cs="Times New Roman"/>
          <w:color w:val="000000"/>
          <w:kern w:val="0"/>
          <w14:ligatures w14:val="none"/>
        </w:rPr>
        <w:t xml:space="preserve"> was suppressed, and many texts were destroyed, nearly severing its transmission. Subsequently, China's economic reforms from the late 1970s onward accelerated rural-to-urban migration, fragmenting the close-knit communities that had sustained the tradition.</w:t>
      </w:r>
    </w:p>
    <w:p w14:paraId="6B7FF77A" w14:textId="77777777" w:rsidR="00CB6389" w:rsidRPr="00CB6389" w:rsidRDefault="00CB6389" w:rsidP="00CB6389">
      <w:pPr>
        <w:spacing w:before="100" w:beforeAutospacing="1" w:after="100" w:afterAutospacing="1" w:line="360" w:lineRule="auto"/>
        <w:rPr>
          <w:rFonts w:ascii="Times New Roman" w:eastAsia="Times New Roman" w:hAnsi="Times New Roman" w:cs="Times New Roman"/>
          <w:color w:val="000000"/>
          <w:kern w:val="0"/>
          <w14:ligatures w14:val="none"/>
        </w:rPr>
      </w:pPr>
      <w:r w:rsidRPr="00CB6389">
        <w:rPr>
          <w:rFonts w:ascii="Times New Roman" w:eastAsia="Times New Roman" w:hAnsi="Times New Roman" w:cs="Times New Roman"/>
          <w:color w:val="000000"/>
          <w:kern w:val="0"/>
          <w14:ligatures w14:val="none"/>
        </w:rPr>
        <w:t xml:space="preserve">When academic research began in the early 1980s, scholars found only a handful of elderly women who retained a fluent knowledge of the script. The passing of figures like Yang Huanyi in 2004, considered the last "natural" practitioner, marked the end of the traditional, spontaneous transmission of </w:t>
      </w:r>
      <w:proofErr w:type="spellStart"/>
      <w:r w:rsidRPr="00CB6389">
        <w:rPr>
          <w:rFonts w:ascii="Times New Roman" w:eastAsia="Times New Roman" w:hAnsi="Times New Roman" w:cs="Times New Roman"/>
          <w:color w:val="000000"/>
          <w:kern w:val="0"/>
          <w14:ligatures w14:val="none"/>
        </w:rPr>
        <w:t>Nüshu</w:t>
      </w:r>
      <w:proofErr w:type="spellEnd"/>
      <w:r w:rsidRPr="00CB6389">
        <w:rPr>
          <w:rFonts w:ascii="Times New Roman" w:eastAsia="Times New Roman" w:hAnsi="Times New Roman" w:cs="Times New Roman"/>
          <w:color w:val="000000"/>
          <w:kern w:val="0"/>
          <w14:ligatures w14:val="none"/>
        </w:rPr>
        <w:t>. Today, this knowledge is carried forward by a new generation of "modern inheritors" (</w:t>
      </w:r>
      <w:proofErr w:type="spellStart"/>
      <w:r w:rsidRPr="00CB6389">
        <w:rPr>
          <w:rFonts w:ascii="Times New Roman" w:eastAsia="Times New Roman" w:hAnsi="Times New Roman" w:cs="Times New Roman"/>
          <w:i/>
          <w:iCs/>
          <w:color w:val="000000"/>
          <w:kern w:val="0"/>
          <w14:ligatures w14:val="none"/>
        </w:rPr>
        <w:t>chuánchéngrén</w:t>
      </w:r>
      <w:proofErr w:type="spellEnd"/>
      <w:r w:rsidRPr="00CB6389">
        <w:rPr>
          <w:rFonts w:ascii="Times New Roman" w:eastAsia="Times New Roman" w:hAnsi="Times New Roman" w:cs="Times New Roman"/>
          <w:color w:val="000000"/>
          <w:kern w:val="0"/>
          <w14:ligatures w14:val="none"/>
        </w:rPr>
        <w:t xml:space="preserve">, </w:t>
      </w:r>
      <w:r w:rsidRPr="00CB6389">
        <w:rPr>
          <w:rFonts w:ascii="Times New Roman" w:eastAsia="SimSun" w:hAnsi="Times New Roman" w:cs="Times New Roman"/>
          <w:color w:val="000000"/>
          <w:kern w:val="0"/>
          <w14:ligatures w14:val="none"/>
        </w:rPr>
        <w:t>传承人</w:t>
      </w:r>
      <w:r w:rsidRPr="00CB6389">
        <w:rPr>
          <w:rFonts w:ascii="Times New Roman" w:eastAsia="Times New Roman" w:hAnsi="Times New Roman" w:cs="Times New Roman"/>
          <w:color w:val="000000"/>
          <w:kern w:val="0"/>
          <w14:ligatures w14:val="none"/>
        </w:rPr>
        <w:t xml:space="preserve">). These individuals have acquired the script through formal study, often with the assistance of academics and cultural </w:t>
      </w:r>
      <w:r w:rsidRPr="00CB6389">
        <w:rPr>
          <w:rFonts w:ascii="Times New Roman" w:eastAsia="Times New Roman" w:hAnsi="Times New Roman" w:cs="Times New Roman"/>
          <w:color w:val="000000"/>
          <w:kern w:val="0"/>
          <w14:ligatures w14:val="none"/>
        </w:rPr>
        <w:lastRenderedPageBreak/>
        <w:t xml:space="preserve">institutions, and now play an active role in its teaching and promotion. This new model of transmission, while different from its historical predecessor, is crucial for </w:t>
      </w:r>
      <w:proofErr w:type="spellStart"/>
      <w:r w:rsidRPr="00CB6389">
        <w:rPr>
          <w:rFonts w:ascii="Times New Roman" w:eastAsia="Times New Roman" w:hAnsi="Times New Roman" w:cs="Times New Roman"/>
          <w:color w:val="000000"/>
          <w:kern w:val="0"/>
          <w14:ligatures w14:val="none"/>
        </w:rPr>
        <w:t>Nüshu's</w:t>
      </w:r>
      <w:proofErr w:type="spellEnd"/>
      <w:r w:rsidRPr="00CB6389">
        <w:rPr>
          <w:rFonts w:ascii="Times New Roman" w:eastAsia="Times New Roman" w:hAnsi="Times New Roman" w:cs="Times New Roman"/>
          <w:color w:val="000000"/>
          <w:kern w:val="0"/>
          <w14:ligatures w14:val="none"/>
        </w:rPr>
        <w:t xml:space="preserve"> continued survival.</w:t>
      </w:r>
    </w:p>
    <w:p w14:paraId="2745F6B6" w14:textId="77777777" w:rsidR="00CB6389" w:rsidRPr="00CB6389" w:rsidRDefault="00CB6389" w:rsidP="00CB6389">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CB6389">
        <w:rPr>
          <w:rFonts w:ascii="Times New Roman" w:eastAsia="Times New Roman" w:hAnsi="Times New Roman" w:cs="Times New Roman"/>
          <w:b/>
          <w:bCs/>
          <w:color w:val="000000"/>
          <w:kern w:val="0"/>
          <w14:ligatures w14:val="none"/>
        </w:rPr>
        <w:t>7.2. Heritagization and its Challenges</w:t>
      </w:r>
    </w:p>
    <w:p w14:paraId="42167377" w14:textId="77777777" w:rsidR="00CB6389" w:rsidRDefault="00CB6389" w:rsidP="00CB6389">
      <w:pPr>
        <w:spacing w:before="100" w:beforeAutospacing="1" w:after="100" w:afterAutospacing="1" w:line="360" w:lineRule="auto"/>
        <w:rPr>
          <w:rFonts w:ascii="Times New Roman" w:eastAsia="Times New Roman" w:hAnsi="Times New Roman" w:cs="Times New Roman"/>
          <w:color w:val="000000"/>
          <w:kern w:val="0"/>
          <w14:ligatures w14:val="none"/>
        </w:rPr>
      </w:pPr>
      <w:r w:rsidRPr="00CB6389">
        <w:rPr>
          <w:rFonts w:ascii="Times New Roman" w:eastAsia="Times New Roman" w:hAnsi="Times New Roman" w:cs="Times New Roman"/>
          <w:color w:val="000000"/>
          <w:kern w:val="0"/>
          <w14:ligatures w14:val="none"/>
        </w:rPr>
        <w:t xml:space="preserve">In 2006, </w:t>
      </w:r>
      <w:proofErr w:type="spellStart"/>
      <w:r w:rsidRPr="00CB6389">
        <w:rPr>
          <w:rFonts w:ascii="Times New Roman" w:eastAsia="Times New Roman" w:hAnsi="Times New Roman" w:cs="Times New Roman"/>
          <w:color w:val="000000"/>
          <w:kern w:val="0"/>
          <w14:ligatures w14:val="none"/>
        </w:rPr>
        <w:t>Nüshu</w:t>
      </w:r>
      <w:proofErr w:type="spellEnd"/>
      <w:r w:rsidRPr="00CB6389">
        <w:rPr>
          <w:rFonts w:ascii="Times New Roman" w:eastAsia="Times New Roman" w:hAnsi="Times New Roman" w:cs="Times New Roman"/>
          <w:color w:val="000000"/>
          <w:kern w:val="0"/>
          <w14:ligatures w14:val="none"/>
        </w:rPr>
        <w:t xml:space="preserve"> was inscribed on China's National Intangible Cultural Heritage List. This official recognition brought government funding for conservation, increased public awareness, and conferred a renewed sense of pride upon the local communities. A dedicated </w:t>
      </w:r>
      <w:proofErr w:type="spellStart"/>
      <w:r w:rsidRPr="00CB6389">
        <w:rPr>
          <w:rFonts w:ascii="Times New Roman" w:eastAsia="Times New Roman" w:hAnsi="Times New Roman" w:cs="Times New Roman"/>
          <w:color w:val="000000"/>
          <w:kern w:val="0"/>
          <w14:ligatures w14:val="none"/>
        </w:rPr>
        <w:t>Nüshu</w:t>
      </w:r>
      <w:proofErr w:type="spellEnd"/>
      <w:r w:rsidRPr="00CB6389">
        <w:rPr>
          <w:rFonts w:ascii="Times New Roman" w:eastAsia="Times New Roman" w:hAnsi="Times New Roman" w:cs="Times New Roman"/>
          <w:color w:val="000000"/>
          <w:kern w:val="0"/>
          <w14:ligatures w14:val="none"/>
        </w:rPr>
        <w:t xml:space="preserve"> museum (</w:t>
      </w:r>
      <w:proofErr w:type="spellStart"/>
      <w:r w:rsidRPr="00CB6389">
        <w:rPr>
          <w:rFonts w:ascii="Times New Roman" w:eastAsia="Times New Roman" w:hAnsi="Times New Roman" w:cs="Times New Roman"/>
          <w:i/>
          <w:iCs/>
          <w:color w:val="000000"/>
          <w:kern w:val="0"/>
          <w14:ligatures w14:val="none"/>
        </w:rPr>
        <w:t>Nǚshū</w:t>
      </w:r>
      <w:proofErr w:type="spellEnd"/>
      <w:r w:rsidRPr="00CB6389">
        <w:rPr>
          <w:rFonts w:ascii="Times New Roman" w:eastAsia="Times New Roman" w:hAnsi="Times New Roman" w:cs="Times New Roman"/>
          <w:i/>
          <w:iCs/>
          <w:color w:val="000000"/>
          <w:kern w:val="0"/>
          <w14:ligatures w14:val="none"/>
        </w:rPr>
        <w:t xml:space="preserve"> </w:t>
      </w:r>
      <w:proofErr w:type="spellStart"/>
      <w:r w:rsidRPr="00CB6389">
        <w:rPr>
          <w:rFonts w:ascii="Times New Roman" w:eastAsia="Times New Roman" w:hAnsi="Times New Roman" w:cs="Times New Roman"/>
          <w:i/>
          <w:iCs/>
          <w:color w:val="000000"/>
          <w:kern w:val="0"/>
          <w14:ligatures w14:val="none"/>
        </w:rPr>
        <w:t>Yuán</w:t>
      </w:r>
      <w:proofErr w:type="spellEnd"/>
      <w:r w:rsidRPr="00CB6389">
        <w:rPr>
          <w:rFonts w:ascii="Times New Roman" w:eastAsia="Times New Roman" w:hAnsi="Times New Roman" w:cs="Times New Roman"/>
          <w:color w:val="000000"/>
          <w:kern w:val="0"/>
          <w14:ligatures w14:val="none"/>
        </w:rPr>
        <w:t xml:space="preserve">, </w:t>
      </w:r>
      <w:r w:rsidRPr="00CB6389">
        <w:rPr>
          <w:rFonts w:ascii="Times New Roman" w:eastAsia="SimSun" w:hAnsi="Times New Roman" w:cs="Times New Roman"/>
          <w:color w:val="000000"/>
          <w:kern w:val="0"/>
          <w14:ligatures w14:val="none"/>
        </w:rPr>
        <w:t>女书园</w:t>
      </w:r>
      <w:r w:rsidRPr="00CB6389">
        <w:rPr>
          <w:rFonts w:ascii="Times New Roman" w:eastAsia="Times New Roman" w:hAnsi="Times New Roman" w:cs="Times New Roman"/>
          <w:color w:val="000000"/>
          <w:kern w:val="0"/>
          <w14:ligatures w14:val="none"/>
        </w:rPr>
        <w:t xml:space="preserve">) has been constructed in </w:t>
      </w:r>
      <w:proofErr w:type="spellStart"/>
      <w:r w:rsidRPr="00CB6389">
        <w:rPr>
          <w:rFonts w:ascii="Times New Roman" w:eastAsia="Times New Roman" w:hAnsi="Times New Roman" w:cs="Times New Roman"/>
          <w:color w:val="000000"/>
          <w:kern w:val="0"/>
          <w14:ligatures w14:val="none"/>
        </w:rPr>
        <w:t>Jiangyong</w:t>
      </w:r>
      <w:proofErr w:type="spellEnd"/>
      <w:r w:rsidRPr="00CB6389">
        <w:rPr>
          <w:rFonts w:ascii="Times New Roman" w:eastAsia="Times New Roman" w:hAnsi="Times New Roman" w:cs="Times New Roman"/>
          <w:color w:val="000000"/>
          <w:kern w:val="0"/>
          <w14:ligatures w14:val="none"/>
        </w:rPr>
        <w:t>, serving as a focal point for research and instruction. However, the process of heritagization presents its own challenges. There is a risk of </w:t>
      </w:r>
      <w:proofErr w:type="spellStart"/>
      <w:r w:rsidRPr="00CB6389">
        <w:rPr>
          <w:rFonts w:ascii="Times New Roman" w:eastAsia="Times New Roman" w:hAnsi="Times New Roman" w:cs="Times New Roman"/>
          <w:b/>
          <w:bCs/>
          <w:color w:val="000000"/>
          <w:kern w:val="0"/>
          <w14:ligatures w14:val="none"/>
        </w:rPr>
        <w:t>folklorization</w:t>
      </w:r>
      <w:proofErr w:type="spellEnd"/>
      <w:r w:rsidRPr="00CB6389">
        <w:rPr>
          <w:rFonts w:ascii="Times New Roman" w:eastAsia="Times New Roman" w:hAnsi="Times New Roman" w:cs="Times New Roman"/>
          <w:color w:val="000000"/>
          <w:kern w:val="0"/>
          <w14:ligatures w14:val="none"/>
        </w:rPr>
        <w:t>, where decontextualized tourist performances reduce the script to an exotic spectacle stripped of its original social and emotional meaning. Formal instruction may also lead to a </w:t>
      </w:r>
      <w:r w:rsidRPr="00CB6389">
        <w:rPr>
          <w:rFonts w:ascii="Times New Roman" w:eastAsia="Times New Roman" w:hAnsi="Times New Roman" w:cs="Times New Roman"/>
          <w:b/>
          <w:bCs/>
          <w:color w:val="000000"/>
          <w:kern w:val="0"/>
          <w14:ligatures w14:val="none"/>
        </w:rPr>
        <w:t>standardization</w:t>
      </w:r>
      <w:r w:rsidRPr="00CB6389">
        <w:rPr>
          <w:rFonts w:ascii="Times New Roman" w:eastAsia="Times New Roman" w:hAnsi="Times New Roman" w:cs="Times New Roman"/>
          <w:color w:val="000000"/>
          <w:kern w:val="0"/>
          <w14:ligatures w14:val="none"/>
        </w:rPr>
        <w:t> of the script that flattens the rich calligraphic diversity that was part of its traditional practice. Finally, the </w:t>
      </w:r>
      <w:r w:rsidRPr="00CB6389">
        <w:rPr>
          <w:rFonts w:ascii="Times New Roman" w:eastAsia="Times New Roman" w:hAnsi="Times New Roman" w:cs="Times New Roman"/>
          <w:b/>
          <w:bCs/>
          <w:color w:val="000000"/>
          <w:kern w:val="0"/>
          <w14:ligatures w14:val="none"/>
        </w:rPr>
        <w:t>commercial exploitation</w:t>
      </w:r>
      <w:r w:rsidRPr="00CB6389">
        <w:rPr>
          <w:rFonts w:ascii="Times New Roman" w:eastAsia="Times New Roman" w:hAnsi="Times New Roman" w:cs="Times New Roman"/>
          <w:color w:val="000000"/>
          <w:kern w:val="0"/>
          <w14:ligatures w14:val="none"/>
        </w:rPr>
        <w:t xml:space="preserve"> of </w:t>
      </w:r>
      <w:proofErr w:type="spellStart"/>
      <w:r w:rsidRPr="00CB6389">
        <w:rPr>
          <w:rFonts w:ascii="Times New Roman" w:eastAsia="Times New Roman" w:hAnsi="Times New Roman" w:cs="Times New Roman"/>
          <w:color w:val="000000"/>
          <w:kern w:val="0"/>
          <w14:ligatures w14:val="none"/>
        </w:rPr>
        <w:t>Nüshu</w:t>
      </w:r>
      <w:proofErr w:type="spellEnd"/>
      <w:r w:rsidRPr="00CB6389">
        <w:rPr>
          <w:rFonts w:ascii="Times New Roman" w:eastAsia="Times New Roman" w:hAnsi="Times New Roman" w:cs="Times New Roman"/>
          <w:color w:val="000000"/>
          <w:kern w:val="0"/>
          <w14:ligatures w14:val="none"/>
        </w:rPr>
        <w:t xml:space="preserve"> on souvenirs risks trivializing what was an intimate form of cultural expression, creating a difficult balance between economic benefit and cultural integrity.</w:t>
      </w:r>
    </w:p>
    <w:p w14:paraId="7288B2D1" w14:textId="261FADD2" w:rsidR="003F41C3" w:rsidRPr="00CB6389" w:rsidRDefault="003F41C3" w:rsidP="00CB6389">
      <w:pPr>
        <w:spacing w:before="100" w:beforeAutospacing="1" w:after="100" w:afterAutospacing="1" w:line="360" w:lineRule="auto"/>
        <w:rPr>
          <w:rFonts w:ascii="Times New Roman" w:eastAsia="Times New Roman" w:hAnsi="Times New Roman" w:cs="Times New Roman"/>
          <w:color w:val="000000"/>
          <w:kern w:val="0"/>
          <w14:ligatures w14:val="none"/>
        </w:rPr>
      </w:pPr>
      <w:r w:rsidRPr="003F41C3">
        <w:rPr>
          <w:rFonts w:ascii="Times New Roman" w:eastAsia="Times New Roman" w:hAnsi="Times New Roman" w:cs="Times New Roman"/>
          <w:color w:val="000000"/>
          <w:kern w:val="0"/>
          <w14:ligatures w14:val="none"/>
        </w:rPr>
        <w:t>Such commodification dynamics have been observed in other cases of “</w:t>
      </w:r>
      <w:proofErr w:type="spellStart"/>
      <w:r w:rsidRPr="003F41C3">
        <w:rPr>
          <w:rFonts w:ascii="Times New Roman" w:eastAsia="Times New Roman" w:hAnsi="Times New Roman" w:cs="Times New Roman"/>
          <w:color w:val="000000"/>
          <w:kern w:val="0"/>
          <w14:ligatures w14:val="none"/>
        </w:rPr>
        <w:t>heritagized</w:t>
      </w:r>
      <w:proofErr w:type="spellEnd"/>
      <w:r w:rsidRPr="003F41C3">
        <w:rPr>
          <w:rFonts w:ascii="Times New Roman" w:eastAsia="Times New Roman" w:hAnsi="Times New Roman" w:cs="Times New Roman"/>
          <w:color w:val="000000"/>
          <w:kern w:val="0"/>
          <w14:ligatures w14:val="none"/>
        </w:rPr>
        <w:t xml:space="preserve">” minority literacies, where state and market forces appropriate local knowledge for cultural branding (Handler, 1988; </w:t>
      </w:r>
      <w:proofErr w:type="spellStart"/>
      <w:r w:rsidRPr="003F41C3">
        <w:rPr>
          <w:rFonts w:ascii="Times New Roman" w:eastAsia="Times New Roman" w:hAnsi="Times New Roman" w:cs="Times New Roman"/>
          <w:color w:val="000000"/>
          <w:kern w:val="0"/>
          <w14:ligatures w14:val="none"/>
        </w:rPr>
        <w:t>Kirshenblatt-Gimblett</w:t>
      </w:r>
      <w:proofErr w:type="spellEnd"/>
      <w:r w:rsidRPr="003F41C3">
        <w:rPr>
          <w:rFonts w:ascii="Times New Roman" w:eastAsia="Times New Roman" w:hAnsi="Times New Roman" w:cs="Times New Roman"/>
          <w:color w:val="000000"/>
          <w:kern w:val="0"/>
          <w14:ligatures w14:val="none"/>
        </w:rPr>
        <w:t xml:space="preserve">, 1998). In </w:t>
      </w:r>
      <w:proofErr w:type="spellStart"/>
      <w:r w:rsidRPr="003F41C3">
        <w:rPr>
          <w:rFonts w:ascii="Times New Roman" w:eastAsia="Times New Roman" w:hAnsi="Times New Roman" w:cs="Times New Roman"/>
          <w:color w:val="000000"/>
          <w:kern w:val="0"/>
          <w14:ligatures w14:val="none"/>
        </w:rPr>
        <w:t>Nüshu’s</w:t>
      </w:r>
      <w:proofErr w:type="spellEnd"/>
      <w:r w:rsidRPr="003F41C3">
        <w:rPr>
          <w:rFonts w:ascii="Times New Roman" w:eastAsia="Times New Roman" w:hAnsi="Times New Roman" w:cs="Times New Roman"/>
          <w:color w:val="000000"/>
          <w:kern w:val="0"/>
          <w14:ligatures w14:val="none"/>
        </w:rPr>
        <w:t xml:space="preserve"> case, this process risks reproducing the very gendered hierarchies it once resisted, transforming a living practice of female solidarity into a curated spectacle of nostalgia. Addressing this tension requires participatory approaches that involve local inheritors as co-curators of their own heritage.</w:t>
      </w:r>
    </w:p>
    <w:p w14:paraId="725883C7" w14:textId="77777777" w:rsidR="00CB6389" w:rsidRPr="00CB6389" w:rsidRDefault="00CB6389" w:rsidP="00CB6389">
      <w:pPr>
        <w:spacing w:before="100" w:beforeAutospacing="1" w:after="100" w:afterAutospacing="1" w:line="360" w:lineRule="auto"/>
        <w:outlineLvl w:val="3"/>
        <w:rPr>
          <w:rFonts w:ascii="Times New Roman" w:eastAsia="Times New Roman" w:hAnsi="Times New Roman" w:cs="Times New Roman"/>
          <w:b/>
          <w:bCs/>
          <w:color w:val="000000"/>
          <w:kern w:val="0"/>
          <w14:ligatures w14:val="none"/>
        </w:rPr>
      </w:pPr>
      <w:r w:rsidRPr="00CB6389">
        <w:rPr>
          <w:rFonts w:ascii="Times New Roman" w:eastAsia="Times New Roman" w:hAnsi="Times New Roman" w:cs="Times New Roman"/>
          <w:b/>
          <w:bCs/>
          <w:color w:val="000000"/>
          <w:kern w:val="0"/>
          <w14:ligatures w14:val="none"/>
        </w:rPr>
        <w:t>7.3. Future Directions</w:t>
      </w:r>
    </w:p>
    <w:p w14:paraId="307F7335" w14:textId="77777777" w:rsidR="003028D1" w:rsidRPr="003028D1" w:rsidRDefault="003028D1" w:rsidP="003028D1">
      <w:pPr>
        <w:spacing w:after="0" w:line="360" w:lineRule="auto"/>
        <w:rPr>
          <w:rFonts w:ascii="Times New Roman" w:eastAsia="Times New Roman" w:hAnsi="Times New Roman" w:cs="Times New Roman"/>
          <w:color w:val="000000"/>
          <w:kern w:val="0"/>
          <w14:ligatures w14:val="none"/>
        </w:rPr>
      </w:pPr>
      <w:r w:rsidRPr="003028D1">
        <w:rPr>
          <w:rFonts w:ascii="Times New Roman" w:eastAsia="Times New Roman" w:hAnsi="Times New Roman" w:cs="Times New Roman"/>
          <w:color w:val="000000"/>
          <w:kern w:val="0"/>
          <w14:ligatures w14:val="none"/>
        </w:rPr>
        <w:t xml:space="preserve">From a comparative perspective, </w:t>
      </w:r>
      <w:proofErr w:type="spellStart"/>
      <w:r w:rsidRPr="003028D1">
        <w:rPr>
          <w:rFonts w:ascii="Times New Roman" w:eastAsia="Times New Roman" w:hAnsi="Times New Roman" w:cs="Times New Roman"/>
          <w:color w:val="000000"/>
          <w:kern w:val="0"/>
          <w14:ligatures w14:val="none"/>
        </w:rPr>
        <w:t>Nüshu</w:t>
      </w:r>
      <w:proofErr w:type="spellEnd"/>
      <w:r w:rsidRPr="003028D1">
        <w:rPr>
          <w:rFonts w:ascii="Times New Roman" w:eastAsia="Times New Roman" w:hAnsi="Times New Roman" w:cs="Times New Roman"/>
          <w:color w:val="000000"/>
          <w:kern w:val="0"/>
          <w14:ligatures w14:val="none"/>
        </w:rPr>
        <w:t xml:space="preserve"> belongs to a constellation of female-</w:t>
      </w:r>
      <w:proofErr w:type="spellStart"/>
      <w:r w:rsidRPr="003028D1">
        <w:rPr>
          <w:rFonts w:ascii="Times New Roman" w:eastAsia="Times New Roman" w:hAnsi="Times New Roman" w:cs="Times New Roman"/>
          <w:color w:val="000000"/>
          <w:kern w:val="0"/>
          <w14:ligatures w14:val="none"/>
        </w:rPr>
        <w:t>centered</w:t>
      </w:r>
      <w:proofErr w:type="spellEnd"/>
      <w:r w:rsidRPr="003028D1">
        <w:rPr>
          <w:rFonts w:ascii="Times New Roman" w:eastAsia="Times New Roman" w:hAnsi="Times New Roman" w:cs="Times New Roman"/>
          <w:color w:val="000000"/>
          <w:kern w:val="0"/>
          <w14:ligatures w14:val="none"/>
        </w:rPr>
        <w:t xml:space="preserve"> expressive systems that combine linguistic, artistic, and ritual dimensions. Its parallels with Hiragana in Japan and Sande symbolism in West Africa suggest a recurring pattern: in patriarchal or exclusionary contexts, women transform restricted literacy into symbolic autonomy. These cases reveal that the creation of women’s writing is less an act of linguistic innovation per se than a profound cultural response to exclusion.</w:t>
      </w:r>
    </w:p>
    <w:p w14:paraId="24739731" w14:textId="77777777" w:rsidR="003028D1" w:rsidRPr="003028D1" w:rsidRDefault="003028D1" w:rsidP="003028D1">
      <w:pPr>
        <w:spacing w:after="0" w:line="360" w:lineRule="auto"/>
        <w:rPr>
          <w:rFonts w:ascii="Times New Roman" w:eastAsia="Times New Roman" w:hAnsi="Times New Roman" w:cs="Times New Roman"/>
          <w:color w:val="000000"/>
          <w:kern w:val="0"/>
          <w14:ligatures w14:val="none"/>
        </w:rPr>
      </w:pPr>
      <w:r w:rsidRPr="003028D1">
        <w:rPr>
          <w:rFonts w:ascii="Times New Roman" w:eastAsia="Times New Roman" w:hAnsi="Times New Roman" w:cs="Times New Roman"/>
          <w:color w:val="000000"/>
          <w:kern w:val="0"/>
          <w14:ligatures w14:val="none"/>
        </w:rPr>
        <w:t xml:space="preserve">Future research could expand this comparative dimension through the lens of “gendered semiotics”, </w:t>
      </w:r>
      <w:proofErr w:type="spellStart"/>
      <w:r w:rsidRPr="003028D1">
        <w:rPr>
          <w:rFonts w:ascii="Times New Roman" w:eastAsia="Times New Roman" w:hAnsi="Times New Roman" w:cs="Times New Roman"/>
          <w:color w:val="000000"/>
          <w:kern w:val="0"/>
          <w14:ligatures w14:val="none"/>
        </w:rPr>
        <w:t>analyzing</w:t>
      </w:r>
      <w:proofErr w:type="spellEnd"/>
      <w:r w:rsidRPr="003028D1">
        <w:rPr>
          <w:rFonts w:ascii="Times New Roman" w:eastAsia="Times New Roman" w:hAnsi="Times New Roman" w:cs="Times New Roman"/>
          <w:color w:val="000000"/>
          <w:kern w:val="0"/>
          <w14:ligatures w14:val="none"/>
        </w:rPr>
        <w:t xml:space="preserve"> how women across societies have used writing, song, and visual codes </w:t>
      </w:r>
      <w:r w:rsidRPr="003028D1">
        <w:rPr>
          <w:rFonts w:ascii="Times New Roman" w:eastAsia="Times New Roman" w:hAnsi="Times New Roman" w:cs="Times New Roman"/>
          <w:color w:val="000000"/>
          <w:kern w:val="0"/>
          <w14:ligatures w14:val="none"/>
        </w:rPr>
        <w:lastRenderedPageBreak/>
        <w:t xml:space="preserve">to negotiate visibility and agency. For instance, the </w:t>
      </w:r>
      <w:proofErr w:type="spellStart"/>
      <w:r w:rsidRPr="003028D1">
        <w:rPr>
          <w:rFonts w:ascii="Times New Roman" w:eastAsia="Times New Roman" w:hAnsi="Times New Roman" w:cs="Times New Roman"/>
          <w:color w:val="000000"/>
          <w:kern w:val="0"/>
          <w14:ligatures w14:val="none"/>
        </w:rPr>
        <w:t>dedabruli</w:t>
      </w:r>
      <w:proofErr w:type="spellEnd"/>
      <w:r w:rsidRPr="003028D1">
        <w:rPr>
          <w:rFonts w:ascii="Times New Roman" w:eastAsia="Times New Roman" w:hAnsi="Times New Roman" w:cs="Times New Roman"/>
          <w:color w:val="000000"/>
          <w:kern w:val="0"/>
          <w14:ligatures w14:val="none"/>
        </w:rPr>
        <w:t xml:space="preserve"> script of Georgia—another female-coded semiotic practice—offers intriguing potential for comparative inquiry. Both </w:t>
      </w:r>
      <w:proofErr w:type="spellStart"/>
      <w:r w:rsidRPr="003028D1">
        <w:rPr>
          <w:rFonts w:ascii="Times New Roman" w:eastAsia="Times New Roman" w:hAnsi="Times New Roman" w:cs="Times New Roman"/>
          <w:color w:val="000000"/>
          <w:kern w:val="0"/>
          <w14:ligatures w14:val="none"/>
        </w:rPr>
        <w:t>Nüshu</w:t>
      </w:r>
      <w:proofErr w:type="spellEnd"/>
      <w:r w:rsidRPr="003028D1">
        <w:rPr>
          <w:rFonts w:ascii="Times New Roman" w:eastAsia="Times New Roman" w:hAnsi="Times New Roman" w:cs="Times New Roman"/>
          <w:color w:val="000000"/>
          <w:kern w:val="0"/>
          <w14:ligatures w14:val="none"/>
        </w:rPr>
        <w:t xml:space="preserve"> and </w:t>
      </w:r>
      <w:proofErr w:type="spellStart"/>
      <w:r w:rsidRPr="003028D1">
        <w:rPr>
          <w:rFonts w:ascii="Times New Roman" w:eastAsia="Times New Roman" w:hAnsi="Times New Roman" w:cs="Times New Roman"/>
          <w:color w:val="000000"/>
          <w:kern w:val="0"/>
          <w14:ligatures w14:val="none"/>
        </w:rPr>
        <w:t>dedabruli</w:t>
      </w:r>
      <w:proofErr w:type="spellEnd"/>
      <w:r w:rsidRPr="003028D1">
        <w:rPr>
          <w:rFonts w:ascii="Times New Roman" w:eastAsia="Times New Roman" w:hAnsi="Times New Roman" w:cs="Times New Roman"/>
          <w:color w:val="000000"/>
          <w:kern w:val="0"/>
          <w14:ligatures w14:val="none"/>
        </w:rPr>
        <w:t xml:space="preserve"> transform silence into expression, creating parallel literacies that bridge private emotion and public identity.</w:t>
      </w:r>
    </w:p>
    <w:p w14:paraId="511BAD60" w14:textId="77777777" w:rsidR="00060E86" w:rsidRPr="00060E86" w:rsidRDefault="003028D1" w:rsidP="00060E86">
      <w:pPr>
        <w:spacing w:after="0" w:line="360" w:lineRule="auto"/>
        <w:rPr>
          <w:rFonts w:ascii="Times New Roman" w:eastAsia="Times New Roman" w:hAnsi="Times New Roman" w:cs="Times New Roman"/>
          <w:color w:val="000000"/>
          <w:kern w:val="0"/>
          <w14:ligatures w14:val="none"/>
        </w:rPr>
      </w:pPr>
      <w:r w:rsidRPr="003028D1">
        <w:rPr>
          <w:rFonts w:ascii="Times New Roman" w:eastAsia="Times New Roman" w:hAnsi="Times New Roman" w:cs="Times New Roman"/>
          <w:color w:val="000000"/>
          <w:kern w:val="0"/>
          <w14:ligatures w14:val="none"/>
        </w:rPr>
        <w:t xml:space="preserve">This perspective opens new directions for interdisciplinary work integrating linguistics, anthropology, ethnomusicology, and gender studies. </w:t>
      </w:r>
      <w:proofErr w:type="spellStart"/>
      <w:r w:rsidRPr="003028D1">
        <w:rPr>
          <w:rFonts w:ascii="Times New Roman" w:eastAsia="Times New Roman" w:hAnsi="Times New Roman" w:cs="Times New Roman"/>
          <w:color w:val="000000"/>
          <w:kern w:val="0"/>
          <w14:ligatures w14:val="none"/>
        </w:rPr>
        <w:t>Nüshu</w:t>
      </w:r>
      <w:proofErr w:type="spellEnd"/>
      <w:r w:rsidRPr="003028D1">
        <w:rPr>
          <w:rFonts w:ascii="Times New Roman" w:eastAsia="Times New Roman" w:hAnsi="Times New Roman" w:cs="Times New Roman"/>
          <w:color w:val="000000"/>
          <w:kern w:val="0"/>
          <w14:ligatures w14:val="none"/>
        </w:rPr>
        <w:t>, therefore, should not only be preserved as cultural heritage but studied as a model of how marginalized voices creatively subvert structures of power through symbolic invention.</w:t>
      </w:r>
      <w:r w:rsidR="00060E86">
        <w:rPr>
          <w:rFonts w:ascii="Times New Roman" w:eastAsia="Times New Roman" w:hAnsi="Times New Roman" w:cs="Times New Roman"/>
          <w:color w:val="000000"/>
          <w:kern w:val="0"/>
          <w14:ligatures w14:val="none"/>
        </w:rPr>
        <w:t xml:space="preserve"> </w:t>
      </w:r>
      <w:r w:rsidR="00060E86" w:rsidRPr="00060E86">
        <w:rPr>
          <w:rFonts w:ascii="Times New Roman" w:eastAsia="Times New Roman" w:hAnsi="Times New Roman" w:cs="Times New Roman"/>
          <w:color w:val="000000"/>
          <w:kern w:val="0"/>
          <w14:ligatures w14:val="none"/>
        </w:rPr>
        <w:t xml:space="preserve">From a comparative perspective, the </w:t>
      </w:r>
      <w:proofErr w:type="spellStart"/>
      <w:r w:rsidR="00060E86" w:rsidRPr="00060E86">
        <w:rPr>
          <w:rFonts w:ascii="Times New Roman" w:eastAsia="Times New Roman" w:hAnsi="Times New Roman" w:cs="Times New Roman"/>
          <w:color w:val="000000"/>
          <w:kern w:val="0"/>
          <w14:ligatures w14:val="none"/>
        </w:rPr>
        <w:t>Nüshu</w:t>
      </w:r>
      <w:proofErr w:type="spellEnd"/>
      <w:r w:rsidR="00060E86" w:rsidRPr="00060E86">
        <w:rPr>
          <w:rFonts w:ascii="Times New Roman" w:eastAsia="Times New Roman" w:hAnsi="Times New Roman" w:cs="Times New Roman"/>
          <w:color w:val="000000"/>
          <w:kern w:val="0"/>
          <w14:ligatures w14:val="none"/>
        </w:rPr>
        <w:t xml:space="preserve"> phenomenon aligns with other female-authored semiotic traditions that merge writing, performance, and social ritual. Its parallels with Japanese Hiragana and African Sande symbolism reveal a recurrent anthropological pattern: when formal education excludes women, they reconfigure the material and symbolic resources available to them to produce alternative literacies. Such practices transform subordination into creativity, crafting what Cameron (1998) defines as “gendered counter-discourses.”</w:t>
      </w:r>
    </w:p>
    <w:p w14:paraId="48C46A8B" w14:textId="2DD724A0" w:rsidR="00CB6389" w:rsidRDefault="00060E86" w:rsidP="00060E86">
      <w:pPr>
        <w:spacing w:after="0" w:line="360" w:lineRule="auto"/>
        <w:rPr>
          <w:rFonts w:ascii="Times New Roman" w:eastAsia="Times New Roman" w:hAnsi="Times New Roman" w:cs="Times New Roman"/>
          <w:color w:val="000000"/>
          <w:kern w:val="0"/>
          <w14:ligatures w14:val="none"/>
        </w:rPr>
      </w:pPr>
      <w:r w:rsidRPr="00060E86">
        <w:rPr>
          <w:rFonts w:ascii="Times New Roman" w:eastAsia="Times New Roman" w:hAnsi="Times New Roman" w:cs="Times New Roman"/>
          <w:color w:val="000000"/>
          <w:kern w:val="0"/>
          <w14:ligatures w14:val="none"/>
        </w:rPr>
        <w:t xml:space="preserve">Future research could build on this comparative framework, expanding the study of </w:t>
      </w:r>
      <w:proofErr w:type="spellStart"/>
      <w:r w:rsidRPr="00060E86">
        <w:rPr>
          <w:rFonts w:ascii="Times New Roman" w:eastAsia="Times New Roman" w:hAnsi="Times New Roman" w:cs="Times New Roman"/>
          <w:color w:val="000000"/>
          <w:kern w:val="0"/>
          <w14:ligatures w14:val="none"/>
        </w:rPr>
        <w:t>Nüshu</w:t>
      </w:r>
      <w:proofErr w:type="spellEnd"/>
      <w:r w:rsidRPr="00060E86">
        <w:rPr>
          <w:rFonts w:ascii="Times New Roman" w:eastAsia="Times New Roman" w:hAnsi="Times New Roman" w:cs="Times New Roman"/>
          <w:color w:val="000000"/>
          <w:kern w:val="0"/>
          <w14:ligatures w14:val="none"/>
        </w:rPr>
        <w:t xml:space="preserve"> within the broader field of gendered semiotics (</w:t>
      </w:r>
      <w:proofErr w:type="spellStart"/>
      <w:r w:rsidRPr="00060E86">
        <w:rPr>
          <w:rFonts w:ascii="Times New Roman" w:eastAsia="Times New Roman" w:hAnsi="Times New Roman" w:cs="Times New Roman"/>
          <w:color w:val="000000"/>
          <w:kern w:val="0"/>
          <w14:ligatures w14:val="none"/>
        </w:rPr>
        <w:t>Gaenszle</w:t>
      </w:r>
      <w:proofErr w:type="spellEnd"/>
      <w:r w:rsidRPr="00060E86">
        <w:rPr>
          <w:rFonts w:ascii="Times New Roman" w:eastAsia="Times New Roman" w:hAnsi="Times New Roman" w:cs="Times New Roman"/>
          <w:color w:val="000000"/>
          <w:kern w:val="0"/>
          <w14:ligatures w14:val="none"/>
        </w:rPr>
        <w:t xml:space="preserve"> &amp; </w:t>
      </w:r>
      <w:proofErr w:type="spellStart"/>
      <w:r w:rsidRPr="00060E86">
        <w:rPr>
          <w:rFonts w:ascii="Times New Roman" w:eastAsia="Times New Roman" w:hAnsi="Times New Roman" w:cs="Times New Roman"/>
          <w:color w:val="000000"/>
          <w:kern w:val="0"/>
          <w14:ligatures w14:val="none"/>
        </w:rPr>
        <w:t>Krauskopff</w:t>
      </w:r>
      <w:proofErr w:type="spellEnd"/>
      <w:r w:rsidRPr="00060E86">
        <w:rPr>
          <w:rFonts w:ascii="Times New Roman" w:eastAsia="Times New Roman" w:hAnsi="Times New Roman" w:cs="Times New Roman"/>
          <w:color w:val="000000"/>
          <w:kern w:val="0"/>
          <w14:ligatures w14:val="none"/>
        </w:rPr>
        <w:t xml:space="preserve">, 2011). This would entail investigating how women across societies—through writing, song, or symbolic art—construct parallel forms of cultural memory. In this sense, </w:t>
      </w:r>
      <w:proofErr w:type="spellStart"/>
      <w:r w:rsidRPr="00060E86">
        <w:rPr>
          <w:rFonts w:ascii="Times New Roman" w:eastAsia="Times New Roman" w:hAnsi="Times New Roman" w:cs="Times New Roman"/>
          <w:color w:val="000000"/>
          <w:kern w:val="0"/>
          <w14:ligatures w14:val="none"/>
        </w:rPr>
        <w:t>Nüshu</w:t>
      </w:r>
      <w:proofErr w:type="spellEnd"/>
      <w:r w:rsidRPr="00060E86">
        <w:rPr>
          <w:rFonts w:ascii="Times New Roman" w:eastAsia="Times New Roman" w:hAnsi="Times New Roman" w:cs="Times New Roman"/>
          <w:color w:val="000000"/>
          <w:kern w:val="0"/>
          <w14:ligatures w14:val="none"/>
        </w:rPr>
        <w:t xml:space="preserve"> can be compared to other emergent systems such as the </w:t>
      </w:r>
      <w:proofErr w:type="spellStart"/>
      <w:r w:rsidRPr="00060E86">
        <w:rPr>
          <w:rFonts w:ascii="Times New Roman" w:eastAsia="Times New Roman" w:hAnsi="Times New Roman" w:cs="Times New Roman"/>
          <w:color w:val="000000"/>
          <w:kern w:val="0"/>
          <w14:ligatures w14:val="none"/>
        </w:rPr>
        <w:t>Dedabruli</w:t>
      </w:r>
      <w:proofErr w:type="spellEnd"/>
      <w:r w:rsidRPr="00060E86">
        <w:rPr>
          <w:rFonts w:ascii="Times New Roman" w:eastAsia="Times New Roman" w:hAnsi="Times New Roman" w:cs="Times New Roman"/>
          <w:color w:val="000000"/>
          <w:kern w:val="0"/>
          <w14:ligatures w14:val="none"/>
        </w:rPr>
        <w:t xml:space="preserve"> script of Georgia, another case of gendered graphic expression with ritual dimensions. Both systems illustrate how marginalized groups use creativity and linguistic adaptation to sustain identity and continuity under social constraint. (Cameron, 1998; Shankar &amp; Cavanaugh, 2012).</w:t>
      </w:r>
      <w:r>
        <w:rPr>
          <w:rFonts w:ascii="Times New Roman" w:eastAsia="Times New Roman" w:hAnsi="Times New Roman" w:cs="Times New Roman"/>
          <w:color w:val="000000"/>
          <w:kern w:val="0"/>
          <w14:ligatures w14:val="none"/>
        </w:rPr>
        <w:t xml:space="preserve"> </w:t>
      </w:r>
      <w:r w:rsidR="00CB6389" w:rsidRPr="00CB6389">
        <w:rPr>
          <w:rFonts w:ascii="Times New Roman" w:eastAsia="Times New Roman" w:hAnsi="Times New Roman" w:cs="Times New Roman"/>
          <w:color w:val="000000"/>
          <w:kern w:val="0"/>
          <w14:ligatures w14:val="none"/>
        </w:rPr>
        <w:t xml:space="preserve">Despite these challenges, the future of </w:t>
      </w:r>
      <w:proofErr w:type="spellStart"/>
      <w:r w:rsidR="00CB6389" w:rsidRPr="00CB6389">
        <w:rPr>
          <w:rFonts w:ascii="Times New Roman" w:eastAsia="Times New Roman" w:hAnsi="Times New Roman" w:cs="Times New Roman"/>
          <w:color w:val="000000"/>
          <w:kern w:val="0"/>
          <w14:ligatures w14:val="none"/>
        </w:rPr>
        <w:t>Nüshu</w:t>
      </w:r>
      <w:proofErr w:type="spellEnd"/>
      <w:r w:rsidR="00CB6389" w:rsidRPr="00CB6389">
        <w:rPr>
          <w:rFonts w:ascii="Times New Roman" w:eastAsia="Times New Roman" w:hAnsi="Times New Roman" w:cs="Times New Roman"/>
          <w:color w:val="000000"/>
          <w:kern w:val="0"/>
          <w14:ligatures w14:val="none"/>
        </w:rPr>
        <w:t xml:space="preserve"> is not limited to museum preservation. The fascination it continues to exert globally gives it new vitality. A meaningful future for </w:t>
      </w:r>
      <w:proofErr w:type="spellStart"/>
      <w:r w:rsidR="00CB6389" w:rsidRPr="00CB6389">
        <w:rPr>
          <w:rFonts w:ascii="Times New Roman" w:eastAsia="Times New Roman" w:hAnsi="Times New Roman" w:cs="Times New Roman"/>
          <w:color w:val="000000"/>
          <w:kern w:val="0"/>
          <w14:ligatures w14:val="none"/>
        </w:rPr>
        <w:t>Nüshu</w:t>
      </w:r>
      <w:proofErr w:type="spellEnd"/>
      <w:r w:rsidR="00CB6389" w:rsidRPr="00CB6389">
        <w:rPr>
          <w:rFonts w:ascii="Times New Roman" w:eastAsia="Times New Roman" w:hAnsi="Times New Roman" w:cs="Times New Roman"/>
          <w:color w:val="000000"/>
          <w:kern w:val="0"/>
          <w14:ligatures w14:val="none"/>
        </w:rPr>
        <w:t xml:space="preserve"> likely lies in a balanced approach that combines academic preservation with creative revitalization. Projects involving digital documentation, accessible online archives, and innovative artistic interpretations can transmit its cultural significance to new generations. </w:t>
      </w:r>
      <w:proofErr w:type="spellStart"/>
      <w:r w:rsidR="00CB6389" w:rsidRPr="00CB6389">
        <w:rPr>
          <w:rFonts w:ascii="Times New Roman" w:eastAsia="Times New Roman" w:hAnsi="Times New Roman" w:cs="Times New Roman"/>
          <w:color w:val="000000"/>
          <w:kern w:val="0"/>
          <w14:ligatures w14:val="none"/>
        </w:rPr>
        <w:t>Nüshu</w:t>
      </w:r>
      <w:proofErr w:type="spellEnd"/>
      <w:r w:rsidR="00CB6389" w:rsidRPr="00CB6389">
        <w:rPr>
          <w:rFonts w:ascii="Times New Roman" w:eastAsia="Times New Roman" w:hAnsi="Times New Roman" w:cs="Times New Roman"/>
          <w:color w:val="000000"/>
          <w:kern w:val="0"/>
          <w14:ligatures w14:val="none"/>
        </w:rPr>
        <w:t xml:space="preserve"> can thus act as a cultural bridge connecting the past and future, offering a lesson on the capacity of women to create meaning and community in difficult circumstances. The goal of current efforts is to ensure this legacy continues to inspire reflection on the value of female traditions and the power of the shared word.</w:t>
      </w:r>
    </w:p>
    <w:p w14:paraId="43CA3D21" w14:textId="250DACE1" w:rsidR="003F41C3" w:rsidRDefault="003F41C3" w:rsidP="00060E86">
      <w:pPr>
        <w:spacing w:after="0" w:line="360" w:lineRule="auto"/>
        <w:rPr>
          <w:rFonts w:ascii="Times New Roman" w:eastAsia="Times New Roman" w:hAnsi="Times New Roman" w:cs="Times New Roman"/>
          <w:color w:val="000000"/>
          <w:kern w:val="0"/>
          <w14:ligatures w14:val="none"/>
        </w:rPr>
      </w:pPr>
      <w:r w:rsidRPr="003F41C3">
        <w:rPr>
          <w:rFonts w:ascii="Times New Roman" w:eastAsia="Times New Roman" w:hAnsi="Times New Roman" w:cs="Times New Roman"/>
          <w:color w:val="000000"/>
          <w:kern w:val="0"/>
          <w14:ligatures w14:val="none"/>
        </w:rPr>
        <w:t xml:space="preserve">In the contemporary era, the revitalization of </w:t>
      </w:r>
      <w:proofErr w:type="spellStart"/>
      <w:r w:rsidRPr="003F41C3">
        <w:rPr>
          <w:rFonts w:ascii="Times New Roman" w:eastAsia="Times New Roman" w:hAnsi="Times New Roman" w:cs="Times New Roman"/>
          <w:color w:val="000000"/>
          <w:kern w:val="0"/>
          <w14:ligatures w14:val="none"/>
        </w:rPr>
        <w:t>Nüshu</w:t>
      </w:r>
      <w:proofErr w:type="spellEnd"/>
      <w:r w:rsidRPr="003F41C3">
        <w:rPr>
          <w:rFonts w:ascii="Times New Roman" w:eastAsia="Times New Roman" w:hAnsi="Times New Roman" w:cs="Times New Roman"/>
          <w:color w:val="000000"/>
          <w:kern w:val="0"/>
          <w14:ligatures w14:val="none"/>
        </w:rPr>
        <w:t xml:space="preserve"> intersects with broader global debates about digital humanities and intangible heritage. As Hennessy (2012) and Harrison (2013) argue, the process of digitizing cultural heritage can both preserve and transform traditional practices, creating new forms of authorship and participation. Digital archives of </w:t>
      </w:r>
      <w:proofErr w:type="spellStart"/>
      <w:r w:rsidRPr="003F41C3">
        <w:rPr>
          <w:rFonts w:ascii="Times New Roman" w:eastAsia="Times New Roman" w:hAnsi="Times New Roman" w:cs="Times New Roman"/>
          <w:color w:val="000000"/>
          <w:kern w:val="0"/>
          <w14:ligatures w14:val="none"/>
        </w:rPr>
        <w:t>Nüshu</w:t>
      </w:r>
      <w:proofErr w:type="spellEnd"/>
      <w:r w:rsidRPr="003F41C3">
        <w:rPr>
          <w:rFonts w:ascii="Times New Roman" w:eastAsia="Times New Roman" w:hAnsi="Times New Roman" w:cs="Times New Roman"/>
          <w:color w:val="000000"/>
          <w:kern w:val="0"/>
          <w14:ligatures w14:val="none"/>
        </w:rPr>
        <w:t xml:space="preserve"> </w:t>
      </w:r>
      <w:r w:rsidRPr="003F41C3">
        <w:rPr>
          <w:rFonts w:ascii="Times New Roman" w:eastAsia="Times New Roman" w:hAnsi="Times New Roman" w:cs="Times New Roman"/>
          <w:color w:val="000000"/>
          <w:kern w:val="0"/>
          <w14:ligatures w14:val="none"/>
        </w:rPr>
        <w:lastRenderedPageBreak/>
        <w:t xml:space="preserve">songs and manuscripts not only safeguard fragile materials but also recontextualize them in transnational feminist networks of scholarship and artistic reinterpretation. In this sense, digital revitalization can itself become a site of gendered authorship, echoing the original purpose of </w:t>
      </w:r>
      <w:proofErr w:type="spellStart"/>
      <w:r w:rsidRPr="003F41C3">
        <w:rPr>
          <w:rFonts w:ascii="Times New Roman" w:eastAsia="Times New Roman" w:hAnsi="Times New Roman" w:cs="Times New Roman"/>
          <w:color w:val="000000"/>
          <w:kern w:val="0"/>
          <w14:ligatures w14:val="none"/>
        </w:rPr>
        <w:t>Nüshu</w:t>
      </w:r>
      <w:proofErr w:type="spellEnd"/>
      <w:r w:rsidRPr="003F41C3">
        <w:rPr>
          <w:rFonts w:ascii="Times New Roman" w:eastAsia="Times New Roman" w:hAnsi="Times New Roman" w:cs="Times New Roman"/>
          <w:color w:val="000000"/>
          <w:kern w:val="0"/>
          <w14:ligatures w14:val="none"/>
        </w:rPr>
        <w:t xml:space="preserve"> as a shared and living form of creativity.</w:t>
      </w:r>
    </w:p>
    <w:p w14:paraId="5B37D05D" w14:textId="3C006921" w:rsidR="001461EF" w:rsidRDefault="001461EF" w:rsidP="00060E86">
      <w:pPr>
        <w:spacing w:after="0" w:line="360" w:lineRule="auto"/>
        <w:rPr>
          <w:rFonts w:ascii="Times New Roman" w:eastAsia="Times New Roman" w:hAnsi="Times New Roman" w:cs="Times New Roman"/>
          <w:color w:val="000000"/>
          <w:kern w:val="0"/>
          <w14:ligatures w14:val="none"/>
        </w:rPr>
      </w:pPr>
      <w:r w:rsidRPr="001461EF">
        <w:rPr>
          <w:rFonts w:ascii="Times New Roman" w:eastAsia="Times New Roman" w:hAnsi="Times New Roman" w:cs="Times New Roman"/>
          <w:color w:val="000000"/>
          <w:kern w:val="0"/>
          <w14:ligatures w14:val="none"/>
        </w:rPr>
        <w:t xml:space="preserve">From a comparative perspective, </w:t>
      </w:r>
      <w:proofErr w:type="spellStart"/>
      <w:r w:rsidRPr="001461EF">
        <w:rPr>
          <w:rFonts w:ascii="Times New Roman" w:eastAsia="Times New Roman" w:hAnsi="Times New Roman" w:cs="Times New Roman"/>
          <w:color w:val="000000"/>
          <w:kern w:val="0"/>
          <w14:ligatures w14:val="none"/>
        </w:rPr>
        <w:t>Nüshu</w:t>
      </w:r>
      <w:proofErr w:type="spellEnd"/>
      <w:r w:rsidRPr="001461EF">
        <w:rPr>
          <w:rFonts w:ascii="Times New Roman" w:eastAsia="Times New Roman" w:hAnsi="Times New Roman" w:cs="Times New Roman"/>
          <w:color w:val="000000"/>
          <w:kern w:val="0"/>
          <w14:ligatures w14:val="none"/>
        </w:rPr>
        <w:t xml:space="preserve"> can be positioned alongside other examples of gendered or community-specific literacies, such as the </w:t>
      </w:r>
      <w:proofErr w:type="spellStart"/>
      <w:r w:rsidRPr="001461EF">
        <w:rPr>
          <w:rFonts w:ascii="Times New Roman" w:eastAsia="Times New Roman" w:hAnsi="Times New Roman" w:cs="Times New Roman"/>
          <w:color w:val="000000"/>
          <w:kern w:val="0"/>
          <w14:ligatures w14:val="none"/>
        </w:rPr>
        <w:t>Dedabruli</w:t>
      </w:r>
      <w:proofErr w:type="spellEnd"/>
      <w:r w:rsidRPr="001461EF">
        <w:rPr>
          <w:rFonts w:ascii="Times New Roman" w:eastAsia="Times New Roman" w:hAnsi="Times New Roman" w:cs="Times New Roman"/>
          <w:color w:val="000000"/>
          <w:kern w:val="0"/>
          <w14:ligatures w14:val="none"/>
        </w:rPr>
        <w:t xml:space="preserve"> script historically used by women in Georgia, the Japanese Hiragana developed in the Heian period by court ladies, or even the Vai syllabary in West Africa, created by an indigenous group to encode their language outside colonial literacy systems (Dalby, 1967). These cases collectively highlight a universal sociolinguistic tendency: when access to dominant literacies is restricted, marginalized communities innovate alternative semiotic systems to reclaim expressive agency. This comparative approach situates </w:t>
      </w:r>
      <w:proofErr w:type="spellStart"/>
      <w:r w:rsidRPr="001461EF">
        <w:rPr>
          <w:rFonts w:ascii="Times New Roman" w:eastAsia="Times New Roman" w:hAnsi="Times New Roman" w:cs="Times New Roman"/>
          <w:color w:val="000000"/>
          <w:kern w:val="0"/>
          <w14:ligatures w14:val="none"/>
        </w:rPr>
        <w:t>Nüshu</w:t>
      </w:r>
      <w:proofErr w:type="spellEnd"/>
      <w:r w:rsidRPr="001461EF">
        <w:rPr>
          <w:rFonts w:ascii="Times New Roman" w:eastAsia="Times New Roman" w:hAnsi="Times New Roman" w:cs="Times New Roman"/>
          <w:color w:val="000000"/>
          <w:kern w:val="0"/>
          <w14:ligatures w14:val="none"/>
        </w:rPr>
        <w:t xml:space="preserve"> within a broader global phenomenon of “vernacular resilience,” offering valuable perspectives for future cross-cultural research.</w:t>
      </w:r>
    </w:p>
    <w:p w14:paraId="6E547511" w14:textId="77777777" w:rsidR="001461EF" w:rsidRDefault="001461EF" w:rsidP="00060E86">
      <w:pPr>
        <w:spacing w:after="0" w:line="360" w:lineRule="auto"/>
        <w:rPr>
          <w:rFonts w:ascii="Times New Roman" w:eastAsia="Times New Roman" w:hAnsi="Times New Roman" w:cs="Times New Roman"/>
          <w:color w:val="000000"/>
          <w:kern w:val="0"/>
          <w14:ligatures w14:val="none"/>
        </w:rPr>
      </w:pPr>
    </w:p>
    <w:p w14:paraId="55D3643B" w14:textId="4D88665F" w:rsidR="001461EF" w:rsidRDefault="001461EF" w:rsidP="00060E86">
      <w:pPr>
        <w:spacing w:after="0" w:line="36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color w:val="000000"/>
          <w:kern w:val="0"/>
          <w14:ligatures w14:val="none"/>
        </w:rPr>
        <w:t>Conclusion</w:t>
      </w:r>
    </w:p>
    <w:p w14:paraId="29EB5C38" w14:textId="53FA12F9" w:rsidR="001461EF" w:rsidRPr="00CB6389" w:rsidRDefault="001461EF" w:rsidP="00060E86">
      <w:pPr>
        <w:spacing w:after="0" w:line="360" w:lineRule="auto"/>
        <w:rPr>
          <w:rFonts w:ascii="Times New Roman" w:eastAsia="Times New Roman" w:hAnsi="Times New Roman" w:cs="Times New Roman"/>
          <w:color w:val="000000"/>
          <w:kern w:val="0"/>
          <w14:ligatures w14:val="none"/>
        </w:rPr>
      </w:pPr>
      <w:r w:rsidRPr="001461EF">
        <w:rPr>
          <w:rFonts w:ascii="Times New Roman" w:eastAsia="Times New Roman" w:hAnsi="Times New Roman" w:cs="Times New Roman"/>
          <w:color w:val="000000"/>
          <w:kern w:val="0"/>
          <w14:ligatures w14:val="none"/>
        </w:rPr>
        <w:t xml:space="preserve">In contemporary feminist and postcolonial thought, </w:t>
      </w:r>
      <w:proofErr w:type="spellStart"/>
      <w:r w:rsidRPr="001461EF">
        <w:rPr>
          <w:rFonts w:ascii="Times New Roman" w:eastAsia="Times New Roman" w:hAnsi="Times New Roman" w:cs="Times New Roman"/>
          <w:color w:val="000000"/>
          <w:kern w:val="0"/>
          <w14:ligatures w14:val="none"/>
        </w:rPr>
        <w:t>Nüshu</w:t>
      </w:r>
      <w:proofErr w:type="spellEnd"/>
      <w:r w:rsidRPr="001461EF">
        <w:rPr>
          <w:rFonts w:ascii="Times New Roman" w:eastAsia="Times New Roman" w:hAnsi="Times New Roman" w:cs="Times New Roman"/>
          <w:color w:val="000000"/>
          <w:kern w:val="0"/>
          <w14:ligatures w14:val="none"/>
        </w:rPr>
        <w:t xml:space="preserve"> resonates as a powerful metaphor for reclaiming voice from structural silencing. As Butler (1997) reminds us, the act of speech itself can constitute a form of resistance and self-making. The women of </w:t>
      </w:r>
      <w:proofErr w:type="spellStart"/>
      <w:r w:rsidRPr="001461EF">
        <w:rPr>
          <w:rFonts w:ascii="Times New Roman" w:eastAsia="Times New Roman" w:hAnsi="Times New Roman" w:cs="Times New Roman"/>
          <w:color w:val="000000"/>
          <w:kern w:val="0"/>
          <w14:ligatures w14:val="none"/>
        </w:rPr>
        <w:t>Jiangyong</w:t>
      </w:r>
      <w:proofErr w:type="spellEnd"/>
      <w:r w:rsidRPr="001461EF">
        <w:rPr>
          <w:rFonts w:ascii="Times New Roman" w:eastAsia="Times New Roman" w:hAnsi="Times New Roman" w:cs="Times New Roman"/>
          <w:color w:val="000000"/>
          <w:kern w:val="0"/>
          <w14:ligatures w14:val="none"/>
        </w:rPr>
        <w:t xml:space="preserve">, through their poetic and musical literacy, exemplify this principle long before it entered academic discourse. Their words, stitched into fabric or sung in hidden gatherings, constitute what hooks (1989) called “the language of resistance,” a vernacular archive of affect and survival. In this light, </w:t>
      </w:r>
      <w:proofErr w:type="spellStart"/>
      <w:r w:rsidRPr="001461EF">
        <w:rPr>
          <w:rFonts w:ascii="Times New Roman" w:eastAsia="Times New Roman" w:hAnsi="Times New Roman" w:cs="Times New Roman"/>
          <w:color w:val="000000"/>
          <w:kern w:val="0"/>
          <w14:ligatures w14:val="none"/>
        </w:rPr>
        <w:t>Nüshu</w:t>
      </w:r>
      <w:proofErr w:type="spellEnd"/>
      <w:r w:rsidRPr="001461EF">
        <w:rPr>
          <w:rFonts w:ascii="Times New Roman" w:eastAsia="Times New Roman" w:hAnsi="Times New Roman" w:cs="Times New Roman"/>
          <w:color w:val="000000"/>
          <w:kern w:val="0"/>
          <w14:ligatures w14:val="none"/>
        </w:rPr>
        <w:t xml:space="preserve"> is not only a linguistic artifact but a paradigmatic instance of embodied literacy, where writing, song, and solidarity converge to redefine what it means to “speak” under constraint.</w:t>
      </w:r>
    </w:p>
    <w:p w14:paraId="35D6C588" w14:textId="700B14C9" w:rsidR="00C609DC" w:rsidRDefault="00C609DC">
      <w:pPr>
        <w:rPr>
          <w:rFonts w:ascii="Times New Roman" w:hAnsi="Times New Roman" w:cs="Times New Roman"/>
        </w:rPr>
      </w:pPr>
    </w:p>
    <w:p w14:paraId="3941F99F" w14:textId="474FC87E" w:rsidR="0054212D" w:rsidRPr="00C609DC" w:rsidRDefault="00C609DC" w:rsidP="00763662">
      <w:pPr>
        <w:pStyle w:val="NormalWeb"/>
        <w:spacing w:line="360" w:lineRule="auto"/>
        <w:rPr>
          <w:i/>
          <w:iCs/>
          <w:color w:val="000000"/>
        </w:rPr>
      </w:pPr>
      <w:r w:rsidRPr="00C609DC">
        <w:rPr>
          <w:b/>
          <w:bCs/>
          <w:i/>
          <w:iCs/>
          <w:color w:val="000000"/>
        </w:rPr>
        <w:t>References</w:t>
      </w:r>
    </w:p>
    <w:p w14:paraId="25480ADE" w14:textId="45F2428B" w:rsidR="003028D1" w:rsidRDefault="003028D1" w:rsidP="00763662">
      <w:pPr>
        <w:pStyle w:val="NormalWeb"/>
        <w:spacing w:line="360" w:lineRule="auto"/>
        <w:rPr>
          <w:color w:val="000000"/>
        </w:rPr>
      </w:pPr>
      <w:r w:rsidRPr="003028D1">
        <w:rPr>
          <w:color w:val="000000"/>
        </w:rPr>
        <w:t xml:space="preserve">Arnold, D. (1992). </w:t>
      </w:r>
      <w:r w:rsidRPr="00060E86">
        <w:rPr>
          <w:i/>
          <w:iCs/>
          <w:color w:val="000000"/>
        </w:rPr>
        <w:t>The Metamorphosis of Heads: Textual Embodiment and Gendered Knowledge in Andean Weaving</w:t>
      </w:r>
      <w:r w:rsidR="00060E86">
        <w:rPr>
          <w:color w:val="000000"/>
        </w:rPr>
        <w:t>,</w:t>
      </w:r>
      <w:r w:rsidRPr="003028D1">
        <w:rPr>
          <w:color w:val="000000"/>
        </w:rPr>
        <w:t xml:space="preserve"> Duke University Press.</w:t>
      </w:r>
    </w:p>
    <w:p w14:paraId="147F8EAC" w14:textId="7351F47D" w:rsidR="003F41C3" w:rsidRDefault="003F41C3" w:rsidP="00763662">
      <w:pPr>
        <w:pStyle w:val="NormalWeb"/>
        <w:spacing w:line="360" w:lineRule="auto"/>
        <w:rPr>
          <w:color w:val="000000"/>
        </w:rPr>
      </w:pPr>
      <w:r w:rsidRPr="003F41C3">
        <w:rPr>
          <w:color w:val="000000"/>
        </w:rPr>
        <w:t xml:space="preserve">Barton, D., &amp; Papen, U. (2010). </w:t>
      </w:r>
      <w:r w:rsidRPr="003F41C3">
        <w:rPr>
          <w:i/>
          <w:iCs/>
          <w:color w:val="000000"/>
        </w:rPr>
        <w:t>The Anthropology of Writing</w:t>
      </w:r>
      <w:r>
        <w:rPr>
          <w:i/>
          <w:iCs/>
          <w:color w:val="000000"/>
        </w:rPr>
        <w:t>,</w:t>
      </w:r>
      <w:r w:rsidRPr="003F41C3">
        <w:rPr>
          <w:color w:val="000000"/>
        </w:rPr>
        <w:t xml:space="preserve"> Continuum.</w:t>
      </w:r>
    </w:p>
    <w:p w14:paraId="5D460DC6" w14:textId="7A19BCE9" w:rsidR="003028D1" w:rsidRDefault="003028D1" w:rsidP="00763662">
      <w:pPr>
        <w:pStyle w:val="NormalWeb"/>
        <w:spacing w:line="360" w:lineRule="auto"/>
        <w:rPr>
          <w:color w:val="000000"/>
        </w:rPr>
      </w:pPr>
      <w:r w:rsidRPr="003028D1">
        <w:rPr>
          <w:color w:val="000000"/>
        </w:rPr>
        <w:t xml:space="preserve">Boehm, D. (1984). </w:t>
      </w:r>
      <w:r w:rsidRPr="00060E86">
        <w:rPr>
          <w:i/>
          <w:iCs/>
          <w:color w:val="000000"/>
        </w:rPr>
        <w:t>The Sande Society: Women’s Initiation and Secrecy in Sierra Leone</w:t>
      </w:r>
      <w:r w:rsidR="00060E86">
        <w:rPr>
          <w:color w:val="000000"/>
        </w:rPr>
        <w:t>,</w:t>
      </w:r>
      <w:r w:rsidRPr="003028D1">
        <w:rPr>
          <w:color w:val="000000"/>
        </w:rPr>
        <w:t xml:space="preserve"> University of Pennsylvania Press.</w:t>
      </w:r>
    </w:p>
    <w:p w14:paraId="6F5FD058" w14:textId="215D56D3" w:rsidR="00060E86" w:rsidRDefault="00060E86" w:rsidP="00763662">
      <w:pPr>
        <w:pStyle w:val="NormalWeb"/>
        <w:spacing w:line="360" w:lineRule="auto"/>
        <w:rPr>
          <w:color w:val="000000"/>
        </w:rPr>
      </w:pPr>
      <w:r w:rsidRPr="00060E86">
        <w:rPr>
          <w:color w:val="000000"/>
        </w:rPr>
        <w:lastRenderedPageBreak/>
        <w:t xml:space="preserve">Bourdieu, P. (1991). </w:t>
      </w:r>
      <w:r w:rsidRPr="00060E86">
        <w:rPr>
          <w:i/>
          <w:iCs/>
          <w:color w:val="000000"/>
        </w:rPr>
        <w:t>Language and Symbolic Power</w:t>
      </w:r>
      <w:r>
        <w:rPr>
          <w:color w:val="000000"/>
        </w:rPr>
        <w:t xml:space="preserve">, </w:t>
      </w:r>
      <w:r w:rsidRPr="00060E86">
        <w:rPr>
          <w:color w:val="000000"/>
        </w:rPr>
        <w:t>Polity Press.</w:t>
      </w:r>
    </w:p>
    <w:p w14:paraId="03B5D9F0" w14:textId="6C6E3341" w:rsidR="001461EF" w:rsidRDefault="001461EF" w:rsidP="00763662">
      <w:pPr>
        <w:pStyle w:val="NormalWeb"/>
        <w:spacing w:line="360" w:lineRule="auto"/>
        <w:rPr>
          <w:color w:val="000000"/>
        </w:rPr>
      </w:pPr>
      <w:r w:rsidRPr="001461EF">
        <w:rPr>
          <w:color w:val="000000"/>
        </w:rPr>
        <w:t xml:space="preserve">Butler, J. (1997). </w:t>
      </w:r>
      <w:r w:rsidRPr="001461EF">
        <w:rPr>
          <w:i/>
          <w:iCs/>
          <w:color w:val="000000"/>
        </w:rPr>
        <w:t>Excitable Speech: A Politics of the Performative</w:t>
      </w:r>
      <w:r>
        <w:rPr>
          <w:color w:val="000000"/>
        </w:rPr>
        <w:t>,</w:t>
      </w:r>
      <w:r w:rsidRPr="001461EF">
        <w:rPr>
          <w:color w:val="000000"/>
        </w:rPr>
        <w:t xml:space="preserve"> Routledge.</w:t>
      </w:r>
    </w:p>
    <w:p w14:paraId="1E0204CD" w14:textId="56400F94" w:rsidR="00060E86" w:rsidRDefault="00060E86" w:rsidP="00763662">
      <w:pPr>
        <w:pStyle w:val="NormalWeb"/>
        <w:spacing w:line="360" w:lineRule="auto"/>
        <w:rPr>
          <w:color w:val="000000"/>
        </w:rPr>
      </w:pPr>
      <w:r w:rsidRPr="00060E86">
        <w:rPr>
          <w:color w:val="000000"/>
        </w:rPr>
        <w:t xml:space="preserve">Cameron, D. (1998). </w:t>
      </w:r>
      <w:r w:rsidRPr="00060E86">
        <w:rPr>
          <w:i/>
          <w:iCs/>
          <w:color w:val="000000"/>
        </w:rPr>
        <w:t>The Feminist Critique of Language</w:t>
      </w:r>
      <w:r>
        <w:rPr>
          <w:color w:val="000000"/>
        </w:rPr>
        <w:t>,</w:t>
      </w:r>
      <w:r w:rsidRPr="00060E86">
        <w:rPr>
          <w:color w:val="000000"/>
        </w:rPr>
        <w:t xml:space="preserve"> Routledge.</w:t>
      </w:r>
    </w:p>
    <w:p w14:paraId="4D404D6A" w14:textId="37CC5241" w:rsidR="00616A53" w:rsidRDefault="00616A53" w:rsidP="00763662">
      <w:pPr>
        <w:pStyle w:val="NormalWeb"/>
        <w:spacing w:line="360" w:lineRule="auto"/>
        <w:rPr>
          <w:color w:val="000000"/>
        </w:rPr>
      </w:pPr>
      <w:r w:rsidRPr="00616A53">
        <w:rPr>
          <w:color w:val="000000"/>
        </w:rPr>
        <w:t xml:space="preserve">Dalby, D. (1967). </w:t>
      </w:r>
      <w:r w:rsidRPr="00616A53">
        <w:rPr>
          <w:i/>
          <w:iCs/>
          <w:color w:val="000000"/>
        </w:rPr>
        <w:t>A Survey of the Indigenous Scripts of Liberia and Sierra Leone</w:t>
      </w:r>
      <w:r>
        <w:rPr>
          <w:i/>
          <w:iCs/>
          <w:color w:val="000000"/>
        </w:rPr>
        <w:t xml:space="preserve">, </w:t>
      </w:r>
      <w:r w:rsidRPr="00616A53">
        <w:rPr>
          <w:color w:val="000000"/>
        </w:rPr>
        <w:t>African Language Studies, 8, 1–51.</w:t>
      </w:r>
    </w:p>
    <w:p w14:paraId="220CCF52" w14:textId="708C39CC" w:rsidR="00616A53" w:rsidRDefault="00616A53" w:rsidP="00763662">
      <w:pPr>
        <w:pStyle w:val="NormalWeb"/>
        <w:spacing w:line="360" w:lineRule="auto"/>
        <w:rPr>
          <w:color w:val="000000"/>
        </w:rPr>
      </w:pPr>
      <w:proofErr w:type="spellStart"/>
      <w:r w:rsidRPr="00616A53">
        <w:rPr>
          <w:color w:val="000000"/>
        </w:rPr>
        <w:t>Duranti</w:t>
      </w:r>
      <w:proofErr w:type="spellEnd"/>
      <w:r w:rsidRPr="00616A53">
        <w:rPr>
          <w:color w:val="000000"/>
        </w:rPr>
        <w:t xml:space="preserve">, A. (1997). </w:t>
      </w:r>
      <w:r w:rsidRPr="00616A53">
        <w:rPr>
          <w:i/>
          <w:iCs/>
          <w:color w:val="000000"/>
        </w:rPr>
        <w:t>Linguistic Anthropology</w:t>
      </w:r>
      <w:r>
        <w:rPr>
          <w:i/>
          <w:iCs/>
          <w:color w:val="000000"/>
        </w:rPr>
        <w:t>,</w:t>
      </w:r>
      <w:r w:rsidRPr="00616A53">
        <w:rPr>
          <w:color w:val="000000"/>
        </w:rPr>
        <w:t xml:space="preserve"> Cambridge University Press.</w:t>
      </w:r>
    </w:p>
    <w:p w14:paraId="33121364" w14:textId="7CDF8040" w:rsidR="0054212D" w:rsidRPr="00763662" w:rsidRDefault="0054212D" w:rsidP="00763662">
      <w:pPr>
        <w:pStyle w:val="NormalWeb"/>
        <w:spacing w:line="360" w:lineRule="auto"/>
        <w:rPr>
          <w:color w:val="000000"/>
        </w:rPr>
      </w:pPr>
      <w:r w:rsidRPr="00763662">
        <w:rPr>
          <w:color w:val="000000"/>
        </w:rPr>
        <w:t>Endo, O. (2015).</w:t>
      </w:r>
      <w:r w:rsidRPr="00763662">
        <w:rPr>
          <w:rStyle w:val="apple-converted-space"/>
          <w:rFonts w:eastAsiaTheme="majorEastAsia"/>
          <w:color w:val="000000"/>
        </w:rPr>
        <w:t> </w:t>
      </w:r>
      <w:r w:rsidRPr="00763662">
        <w:rPr>
          <w:i/>
          <w:iCs/>
          <w:color w:val="000000"/>
        </w:rPr>
        <w:t xml:space="preserve">A Sociolinguistic Study of </w:t>
      </w:r>
      <w:proofErr w:type="spellStart"/>
      <w:r w:rsidRPr="00763662">
        <w:rPr>
          <w:i/>
          <w:iCs/>
          <w:color w:val="000000"/>
        </w:rPr>
        <w:t>Nüshu</w:t>
      </w:r>
      <w:proofErr w:type="spellEnd"/>
      <w:r w:rsidRPr="00763662">
        <w:rPr>
          <w:i/>
          <w:iCs/>
          <w:color w:val="000000"/>
        </w:rPr>
        <w:t xml:space="preserve">: The Women's Script of </w:t>
      </w:r>
      <w:proofErr w:type="spellStart"/>
      <w:r w:rsidRPr="00763662">
        <w:rPr>
          <w:i/>
          <w:iCs/>
          <w:color w:val="000000"/>
        </w:rPr>
        <w:t>Jiangyong</w:t>
      </w:r>
      <w:proofErr w:type="spellEnd"/>
      <w:r w:rsidRPr="00763662">
        <w:rPr>
          <w:i/>
          <w:iCs/>
          <w:color w:val="000000"/>
        </w:rPr>
        <w:t>, China</w:t>
      </w:r>
      <w:r w:rsidRPr="00763662">
        <w:rPr>
          <w:color w:val="000000"/>
        </w:rPr>
        <w:t xml:space="preserve">. </w:t>
      </w:r>
      <w:proofErr w:type="spellStart"/>
      <w:r w:rsidRPr="00763662">
        <w:rPr>
          <w:color w:val="000000"/>
        </w:rPr>
        <w:t>Bensei</w:t>
      </w:r>
      <w:proofErr w:type="spellEnd"/>
      <w:r w:rsidRPr="00763662">
        <w:rPr>
          <w:color w:val="000000"/>
        </w:rPr>
        <w:t xml:space="preserve"> Publishing.</w:t>
      </w:r>
    </w:p>
    <w:p w14:paraId="577EB9DF" w14:textId="77777777" w:rsidR="0054212D" w:rsidRPr="00763662" w:rsidRDefault="0054212D" w:rsidP="00763662">
      <w:pPr>
        <w:pStyle w:val="NormalWeb"/>
        <w:spacing w:line="360" w:lineRule="auto"/>
        <w:rPr>
          <w:color w:val="000000"/>
        </w:rPr>
      </w:pPr>
      <w:proofErr w:type="spellStart"/>
      <w:r w:rsidRPr="00763662">
        <w:rPr>
          <w:color w:val="000000"/>
        </w:rPr>
        <w:t>Falcini</w:t>
      </w:r>
      <w:proofErr w:type="spellEnd"/>
      <w:r w:rsidRPr="00763662">
        <w:rPr>
          <w:color w:val="000000"/>
        </w:rPr>
        <w:t>, G. (2020).</w:t>
      </w:r>
      <w:r w:rsidRPr="00763662">
        <w:rPr>
          <w:rStyle w:val="apple-converted-space"/>
          <w:rFonts w:eastAsiaTheme="majorEastAsia"/>
          <w:color w:val="000000"/>
        </w:rPr>
        <w:t> </w:t>
      </w:r>
      <w:r w:rsidRPr="00763662">
        <w:rPr>
          <w:i/>
          <w:iCs/>
          <w:color w:val="000000"/>
        </w:rPr>
        <w:t xml:space="preserve">Il </w:t>
      </w:r>
      <w:proofErr w:type="spellStart"/>
      <w:r w:rsidRPr="00763662">
        <w:rPr>
          <w:i/>
          <w:iCs/>
          <w:color w:val="000000"/>
        </w:rPr>
        <w:t>Nüshu</w:t>
      </w:r>
      <w:proofErr w:type="spellEnd"/>
      <w:r w:rsidRPr="00763662">
        <w:rPr>
          <w:i/>
          <w:iCs/>
          <w:color w:val="000000"/>
        </w:rPr>
        <w:t xml:space="preserve">, la </w:t>
      </w:r>
      <w:proofErr w:type="spellStart"/>
      <w:r w:rsidRPr="00763662">
        <w:rPr>
          <w:i/>
          <w:iCs/>
          <w:color w:val="000000"/>
        </w:rPr>
        <w:t>scrittura</w:t>
      </w:r>
      <w:proofErr w:type="spellEnd"/>
      <w:r w:rsidRPr="00763662">
        <w:rPr>
          <w:i/>
          <w:iCs/>
          <w:color w:val="000000"/>
        </w:rPr>
        <w:t xml:space="preserve"> </w:t>
      </w:r>
      <w:proofErr w:type="spellStart"/>
      <w:r w:rsidRPr="00763662">
        <w:rPr>
          <w:i/>
          <w:iCs/>
          <w:color w:val="000000"/>
        </w:rPr>
        <w:t>che</w:t>
      </w:r>
      <w:proofErr w:type="spellEnd"/>
      <w:r w:rsidRPr="00763662">
        <w:rPr>
          <w:i/>
          <w:iCs/>
          <w:color w:val="000000"/>
        </w:rPr>
        <w:t xml:space="preserve"> </w:t>
      </w:r>
      <w:proofErr w:type="spellStart"/>
      <w:r w:rsidRPr="00763662">
        <w:rPr>
          <w:i/>
          <w:iCs/>
          <w:color w:val="000000"/>
        </w:rPr>
        <w:t>diede</w:t>
      </w:r>
      <w:proofErr w:type="spellEnd"/>
      <w:r w:rsidRPr="00763662">
        <w:rPr>
          <w:i/>
          <w:iCs/>
          <w:color w:val="000000"/>
        </w:rPr>
        <w:t xml:space="preserve"> voce </w:t>
      </w:r>
      <w:proofErr w:type="spellStart"/>
      <w:r w:rsidRPr="00763662">
        <w:rPr>
          <w:i/>
          <w:iCs/>
          <w:color w:val="000000"/>
        </w:rPr>
        <w:t>alle</w:t>
      </w:r>
      <w:proofErr w:type="spellEnd"/>
      <w:r w:rsidRPr="00763662">
        <w:rPr>
          <w:i/>
          <w:iCs/>
          <w:color w:val="000000"/>
        </w:rPr>
        <w:t xml:space="preserve"> </w:t>
      </w:r>
      <w:proofErr w:type="spellStart"/>
      <w:r w:rsidRPr="00763662">
        <w:rPr>
          <w:i/>
          <w:iCs/>
          <w:color w:val="000000"/>
        </w:rPr>
        <w:t>donne</w:t>
      </w:r>
      <w:proofErr w:type="spellEnd"/>
      <w:r w:rsidRPr="00763662">
        <w:rPr>
          <w:color w:val="000000"/>
        </w:rPr>
        <w:t xml:space="preserve">. CSA </w:t>
      </w:r>
      <w:proofErr w:type="spellStart"/>
      <w:r w:rsidRPr="00763662">
        <w:rPr>
          <w:color w:val="000000"/>
        </w:rPr>
        <w:t>Editrice</w:t>
      </w:r>
      <w:proofErr w:type="spellEnd"/>
      <w:r w:rsidRPr="00763662">
        <w:rPr>
          <w:color w:val="000000"/>
        </w:rPr>
        <w:t>.</w:t>
      </w:r>
    </w:p>
    <w:p w14:paraId="5E603CD1" w14:textId="490BA64A" w:rsidR="00060E86" w:rsidRDefault="0054212D" w:rsidP="00763662">
      <w:pPr>
        <w:pStyle w:val="NormalWeb"/>
        <w:spacing w:line="360" w:lineRule="auto"/>
        <w:rPr>
          <w:color w:val="000000"/>
        </w:rPr>
      </w:pPr>
      <w:proofErr w:type="spellStart"/>
      <w:r w:rsidRPr="00763662">
        <w:rPr>
          <w:color w:val="000000"/>
        </w:rPr>
        <w:t>Falcini</w:t>
      </w:r>
      <w:proofErr w:type="spellEnd"/>
      <w:r w:rsidRPr="00763662">
        <w:rPr>
          <w:color w:val="000000"/>
        </w:rPr>
        <w:t>, G. (in preparation).</w:t>
      </w:r>
      <w:r w:rsidRPr="00763662">
        <w:rPr>
          <w:rStyle w:val="apple-converted-space"/>
          <w:rFonts w:eastAsiaTheme="majorEastAsia"/>
          <w:color w:val="000000"/>
        </w:rPr>
        <w:t> </w:t>
      </w:r>
      <w:r w:rsidRPr="00763662">
        <w:rPr>
          <w:i/>
          <w:iCs/>
          <w:color w:val="000000"/>
        </w:rPr>
        <w:t xml:space="preserve">Il </w:t>
      </w:r>
      <w:proofErr w:type="spellStart"/>
      <w:r w:rsidRPr="00763662">
        <w:rPr>
          <w:i/>
          <w:iCs/>
          <w:color w:val="000000"/>
        </w:rPr>
        <w:t>Nüshu</w:t>
      </w:r>
      <w:proofErr w:type="spellEnd"/>
      <w:r w:rsidRPr="00763662">
        <w:rPr>
          <w:i/>
          <w:iCs/>
          <w:color w:val="000000"/>
        </w:rPr>
        <w:t xml:space="preserve">, la </w:t>
      </w:r>
      <w:proofErr w:type="spellStart"/>
      <w:r w:rsidRPr="00763662">
        <w:rPr>
          <w:i/>
          <w:iCs/>
          <w:color w:val="000000"/>
        </w:rPr>
        <w:t>scrittura</w:t>
      </w:r>
      <w:proofErr w:type="spellEnd"/>
      <w:r w:rsidRPr="00763662">
        <w:rPr>
          <w:i/>
          <w:iCs/>
          <w:color w:val="000000"/>
        </w:rPr>
        <w:t xml:space="preserve"> </w:t>
      </w:r>
      <w:proofErr w:type="spellStart"/>
      <w:r w:rsidRPr="00763662">
        <w:rPr>
          <w:i/>
          <w:iCs/>
          <w:color w:val="000000"/>
        </w:rPr>
        <w:t>che</w:t>
      </w:r>
      <w:proofErr w:type="spellEnd"/>
      <w:r w:rsidRPr="00763662">
        <w:rPr>
          <w:i/>
          <w:iCs/>
          <w:color w:val="000000"/>
        </w:rPr>
        <w:t xml:space="preserve"> </w:t>
      </w:r>
      <w:proofErr w:type="spellStart"/>
      <w:r w:rsidRPr="00763662">
        <w:rPr>
          <w:i/>
          <w:iCs/>
          <w:color w:val="000000"/>
        </w:rPr>
        <w:t>diede</w:t>
      </w:r>
      <w:proofErr w:type="spellEnd"/>
      <w:r w:rsidRPr="00763662">
        <w:rPr>
          <w:i/>
          <w:iCs/>
          <w:color w:val="000000"/>
        </w:rPr>
        <w:t xml:space="preserve"> voce </w:t>
      </w:r>
      <w:proofErr w:type="spellStart"/>
      <w:r w:rsidRPr="00763662">
        <w:rPr>
          <w:i/>
          <w:iCs/>
          <w:color w:val="000000"/>
        </w:rPr>
        <w:t>alle</w:t>
      </w:r>
      <w:proofErr w:type="spellEnd"/>
      <w:r w:rsidRPr="00763662">
        <w:rPr>
          <w:i/>
          <w:iCs/>
          <w:color w:val="000000"/>
        </w:rPr>
        <w:t xml:space="preserve"> </w:t>
      </w:r>
      <w:proofErr w:type="spellStart"/>
      <w:r w:rsidRPr="00763662">
        <w:rPr>
          <w:i/>
          <w:iCs/>
          <w:color w:val="000000"/>
        </w:rPr>
        <w:t>donne</w:t>
      </w:r>
      <w:proofErr w:type="spellEnd"/>
      <w:r w:rsidRPr="00763662">
        <w:rPr>
          <w:color w:val="000000"/>
        </w:rPr>
        <w:t>.</w:t>
      </w:r>
    </w:p>
    <w:p w14:paraId="5F01CBF1" w14:textId="21528671" w:rsidR="003028D1" w:rsidRDefault="003028D1" w:rsidP="00763662">
      <w:pPr>
        <w:pStyle w:val="NormalWeb"/>
        <w:spacing w:line="360" w:lineRule="auto"/>
        <w:rPr>
          <w:color w:val="000000"/>
        </w:rPr>
      </w:pPr>
      <w:proofErr w:type="spellStart"/>
      <w:r w:rsidRPr="003028D1">
        <w:rPr>
          <w:color w:val="000000"/>
        </w:rPr>
        <w:t>Gaenszle</w:t>
      </w:r>
      <w:proofErr w:type="spellEnd"/>
      <w:r w:rsidRPr="003028D1">
        <w:rPr>
          <w:color w:val="000000"/>
        </w:rPr>
        <w:t xml:space="preserve">, M. &amp; </w:t>
      </w:r>
      <w:proofErr w:type="spellStart"/>
      <w:r w:rsidRPr="003028D1">
        <w:rPr>
          <w:color w:val="000000"/>
        </w:rPr>
        <w:t>Krauskopff</w:t>
      </w:r>
      <w:proofErr w:type="spellEnd"/>
      <w:r w:rsidRPr="003028D1">
        <w:rPr>
          <w:color w:val="000000"/>
        </w:rPr>
        <w:t>, G. (2011). The Practice of Oral and Written Traditions in South and East Asia. Oxford University Press.</w:t>
      </w:r>
    </w:p>
    <w:p w14:paraId="4FE8BCF6" w14:textId="029321DF" w:rsidR="00060E86" w:rsidRPr="00763662" w:rsidRDefault="00060E86" w:rsidP="00763662">
      <w:pPr>
        <w:pStyle w:val="NormalWeb"/>
        <w:spacing w:line="360" w:lineRule="auto"/>
        <w:rPr>
          <w:color w:val="000000"/>
        </w:rPr>
      </w:pPr>
      <w:r w:rsidRPr="00060E86">
        <w:rPr>
          <w:color w:val="000000"/>
        </w:rPr>
        <w:t xml:space="preserve">Gal, S. (2016). </w:t>
      </w:r>
      <w:r w:rsidRPr="00060E86">
        <w:rPr>
          <w:i/>
          <w:iCs/>
          <w:color w:val="000000"/>
        </w:rPr>
        <w:t>Sociolinguistic Change and the Semiotic Mediation of Inequality</w:t>
      </w:r>
      <w:r w:rsidRPr="00060E86">
        <w:rPr>
          <w:color w:val="000000"/>
        </w:rPr>
        <w:t>. Annual Review of Anthropology, 45, 167–183.</w:t>
      </w:r>
    </w:p>
    <w:p w14:paraId="1FFA9F73" w14:textId="77777777" w:rsidR="0054212D" w:rsidRDefault="0054212D" w:rsidP="00763662">
      <w:pPr>
        <w:pStyle w:val="NormalWeb"/>
        <w:spacing w:line="360" w:lineRule="auto"/>
        <w:rPr>
          <w:color w:val="000000"/>
        </w:rPr>
      </w:pPr>
      <w:r w:rsidRPr="00763662">
        <w:rPr>
          <w:color w:val="000000"/>
        </w:rPr>
        <w:t>Gong, Z. (1991).</w:t>
      </w:r>
      <w:r w:rsidRPr="00763662">
        <w:rPr>
          <w:rStyle w:val="apple-converted-space"/>
          <w:rFonts w:eastAsiaTheme="majorEastAsia"/>
          <w:color w:val="000000"/>
        </w:rPr>
        <w:t> </w:t>
      </w:r>
      <w:proofErr w:type="spellStart"/>
      <w:r w:rsidRPr="00763662">
        <w:rPr>
          <w:i/>
          <w:iCs/>
          <w:color w:val="000000"/>
        </w:rPr>
        <w:t>Nüshu</w:t>
      </w:r>
      <w:proofErr w:type="spellEnd"/>
      <w:r w:rsidRPr="00763662">
        <w:rPr>
          <w:i/>
          <w:iCs/>
          <w:color w:val="000000"/>
        </w:rPr>
        <w:t xml:space="preserve">: </w:t>
      </w:r>
      <w:proofErr w:type="spellStart"/>
      <w:r w:rsidRPr="00763662">
        <w:rPr>
          <w:i/>
          <w:iCs/>
          <w:color w:val="000000"/>
        </w:rPr>
        <w:t>Shijie</w:t>
      </w:r>
      <w:proofErr w:type="spellEnd"/>
      <w:r w:rsidRPr="00763662">
        <w:rPr>
          <w:i/>
          <w:iCs/>
          <w:color w:val="000000"/>
        </w:rPr>
        <w:t xml:space="preserve"> </w:t>
      </w:r>
      <w:proofErr w:type="spellStart"/>
      <w:r w:rsidRPr="00763662">
        <w:rPr>
          <w:i/>
          <w:iCs/>
          <w:color w:val="000000"/>
        </w:rPr>
        <w:t>weiyi</w:t>
      </w:r>
      <w:proofErr w:type="spellEnd"/>
      <w:r w:rsidRPr="00763662">
        <w:rPr>
          <w:i/>
          <w:iCs/>
          <w:color w:val="000000"/>
        </w:rPr>
        <w:t xml:space="preserve"> de </w:t>
      </w:r>
      <w:proofErr w:type="spellStart"/>
      <w:r w:rsidRPr="00763662">
        <w:rPr>
          <w:i/>
          <w:iCs/>
          <w:color w:val="000000"/>
        </w:rPr>
        <w:t>nüxing</w:t>
      </w:r>
      <w:proofErr w:type="spellEnd"/>
      <w:r w:rsidRPr="00763662">
        <w:rPr>
          <w:i/>
          <w:iCs/>
          <w:color w:val="000000"/>
        </w:rPr>
        <w:t xml:space="preserve"> </w:t>
      </w:r>
      <w:proofErr w:type="spellStart"/>
      <w:r w:rsidRPr="00763662">
        <w:rPr>
          <w:i/>
          <w:iCs/>
          <w:color w:val="000000"/>
        </w:rPr>
        <w:t>wenzi</w:t>
      </w:r>
      <w:proofErr w:type="spellEnd"/>
      <w:r w:rsidRPr="00763662">
        <w:rPr>
          <w:rStyle w:val="apple-converted-space"/>
          <w:rFonts w:eastAsiaTheme="majorEastAsia"/>
          <w:color w:val="000000"/>
        </w:rPr>
        <w:t> </w:t>
      </w:r>
      <w:r w:rsidRPr="00763662">
        <w:rPr>
          <w:color w:val="000000"/>
        </w:rPr>
        <w:t>[</w:t>
      </w:r>
      <w:proofErr w:type="spellStart"/>
      <w:r w:rsidRPr="00763662">
        <w:rPr>
          <w:color w:val="000000"/>
        </w:rPr>
        <w:t>Nüshu</w:t>
      </w:r>
      <w:proofErr w:type="spellEnd"/>
      <w:r w:rsidRPr="00763662">
        <w:rPr>
          <w:color w:val="000000"/>
        </w:rPr>
        <w:t xml:space="preserve">: The World's Only Women's Script]. </w:t>
      </w:r>
      <w:proofErr w:type="spellStart"/>
      <w:r w:rsidRPr="00763662">
        <w:rPr>
          <w:color w:val="000000"/>
        </w:rPr>
        <w:t>Dongfang</w:t>
      </w:r>
      <w:proofErr w:type="spellEnd"/>
      <w:r w:rsidRPr="00763662">
        <w:rPr>
          <w:color w:val="000000"/>
        </w:rPr>
        <w:t xml:space="preserve"> </w:t>
      </w:r>
      <w:proofErr w:type="spellStart"/>
      <w:r w:rsidRPr="00763662">
        <w:rPr>
          <w:color w:val="000000"/>
        </w:rPr>
        <w:t>Chubanshe</w:t>
      </w:r>
      <w:proofErr w:type="spellEnd"/>
      <w:r w:rsidRPr="00763662">
        <w:rPr>
          <w:color w:val="000000"/>
        </w:rPr>
        <w:t>.</w:t>
      </w:r>
    </w:p>
    <w:p w14:paraId="6DA57F92" w14:textId="79B03D95" w:rsidR="003F41C3" w:rsidRDefault="003F41C3" w:rsidP="00763662">
      <w:pPr>
        <w:pStyle w:val="NormalWeb"/>
        <w:spacing w:line="360" w:lineRule="auto"/>
        <w:rPr>
          <w:color w:val="000000"/>
        </w:rPr>
      </w:pPr>
      <w:r w:rsidRPr="003F41C3">
        <w:rPr>
          <w:color w:val="000000"/>
        </w:rPr>
        <w:t xml:space="preserve">Handler, R. (1988). </w:t>
      </w:r>
      <w:r w:rsidRPr="003F41C3">
        <w:rPr>
          <w:i/>
          <w:iCs/>
          <w:color w:val="000000"/>
        </w:rPr>
        <w:t>Nationalism and the Politics of Culture in Quebec</w:t>
      </w:r>
      <w:r>
        <w:rPr>
          <w:color w:val="000000"/>
        </w:rPr>
        <w:t>,</w:t>
      </w:r>
      <w:r w:rsidRPr="003F41C3">
        <w:rPr>
          <w:color w:val="000000"/>
        </w:rPr>
        <w:t xml:space="preserve"> University of Wisconsin Press.</w:t>
      </w:r>
    </w:p>
    <w:p w14:paraId="5A081812" w14:textId="78B4D0A2" w:rsidR="003F41C3" w:rsidRDefault="003F41C3" w:rsidP="00763662">
      <w:pPr>
        <w:pStyle w:val="NormalWeb"/>
        <w:spacing w:line="360" w:lineRule="auto"/>
        <w:rPr>
          <w:color w:val="000000"/>
        </w:rPr>
      </w:pPr>
      <w:r w:rsidRPr="003F41C3">
        <w:rPr>
          <w:color w:val="000000"/>
        </w:rPr>
        <w:t xml:space="preserve">Harrison, R. (2013). </w:t>
      </w:r>
      <w:r w:rsidRPr="003F41C3">
        <w:rPr>
          <w:i/>
          <w:iCs/>
          <w:color w:val="000000"/>
        </w:rPr>
        <w:t>Heritage: Critical Approaches</w:t>
      </w:r>
      <w:r>
        <w:rPr>
          <w:i/>
          <w:iCs/>
          <w:color w:val="000000"/>
        </w:rPr>
        <w:t>,</w:t>
      </w:r>
      <w:r w:rsidRPr="003F41C3">
        <w:rPr>
          <w:color w:val="000000"/>
        </w:rPr>
        <w:t xml:space="preserve"> Routledge.</w:t>
      </w:r>
    </w:p>
    <w:p w14:paraId="67C77E62" w14:textId="1796E416" w:rsidR="003F41C3" w:rsidRDefault="003F41C3" w:rsidP="00763662">
      <w:pPr>
        <w:pStyle w:val="NormalWeb"/>
        <w:spacing w:line="360" w:lineRule="auto"/>
        <w:rPr>
          <w:color w:val="000000"/>
        </w:rPr>
      </w:pPr>
      <w:r w:rsidRPr="003F41C3">
        <w:rPr>
          <w:color w:val="000000"/>
        </w:rPr>
        <w:t xml:space="preserve">Hennessy, K. (2012). </w:t>
      </w:r>
      <w:r w:rsidRPr="003F41C3">
        <w:rPr>
          <w:i/>
          <w:iCs/>
          <w:color w:val="000000"/>
        </w:rPr>
        <w:t>Cultural Heritage on the Web: Building Community and Sharing Knowledge</w:t>
      </w:r>
      <w:r>
        <w:rPr>
          <w:color w:val="000000"/>
        </w:rPr>
        <w:t>,</w:t>
      </w:r>
      <w:r w:rsidRPr="003F41C3">
        <w:rPr>
          <w:color w:val="000000"/>
        </w:rPr>
        <w:t xml:space="preserve"> Museum Anthropology Review, 6(2), 1–19.</w:t>
      </w:r>
    </w:p>
    <w:p w14:paraId="29698085" w14:textId="2B6198B0" w:rsidR="00616A53" w:rsidRDefault="00616A53" w:rsidP="00763662">
      <w:pPr>
        <w:pStyle w:val="NormalWeb"/>
        <w:spacing w:line="360" w:lineRule="auto"/>
        <w:rPr>
          <w:color w:val="000000"/>
        </w:rPr>
      </w:pPr>
      <w:r>
        <w:rPr>
          <w:color w:val="000000"/>
        </w:rPr>
        <w:t>H</w:t>
      </w:r>
      <w:r w:rsidRPr="00616A53">
        <w:rPr>
          <w:color w:val="000000"/>
        </w:rPr>
        <w:t xml:space="preserve">ooks, b. (1989). </w:t>
      </w:r>
      <w:r w:rsidRPr="00616A53">
        <w:rPr>
          <w:i/>
          <w:iCs/>
          <w:color w:val="000000"/>
        </w:rPr>
        <w:t>Talking Back: Thinking Feminist, Thinking Black</w:t>
      </w:r>
      <w:r>
        <w:rPr>
          <w:color w:val="000000"/>
        </w:rPr>
        <w:t>,</w:t>
      </w:r>
      <w:r w:rsidRPr="00616A53">
        <w:rPr>
          <w:color w:val="000000"/>
        </w:rPr>
        <w:t xml:space="preserve"> South End Press</w:t>
      </w:r>
    </w:p>
    <w:p w14:paraId="60151FF5" w14:textId="37986E6A" w:rsidR="003F41C3" w:rsidRDefault="003F41C3" w:rsidP="00763662">
      <w:pPr>
        <w:pStyle w:val="NormalWeb"/>
        <w:spacing w:line="360" w:lineRule="auto"/>
        <w:rPr>
          <w:color w:val="000000"/>
        </w:rPr>
      </w:pPr>
      <w:r w:rsidRPr="003F41C3">
        <w:rPr>
          <w:color w:val="000000"/>
        </w:rPr>
        <w:lastRenderedPageBreak/>
        <w:t xml:space="preserve">Kirshenblatt-Gimblett, B. (1998). </w:t>
      </w:r>
      <w:r w:rsidRPr="003F41C3">
        <w:rPr>
          <w:i/>
          <w:iCs/>
          <w:color w:val="000000"/>
        </w:rPr>
        <w:t>Destination Culture: Tourism, Museums, and Heritage</w:t>
      </w:r>
      <w:r>
        <w:rPr>
          <w:color w:val="000000"/>
        </w:rPr>
        <w:t>,</w:t>
      </w:r>
      <w:r w:rsidRPr="003F41C3">
        <w:rPr>
          <w:color w:val="000000"/>
        </w:rPr>
        <w:t xml:space="preserve"> University of California Press.</w:t>
      </w:r>
    </w:p>
    <w:p w14:paraId="72FDED6C" w14:textId="2B669E6F" w:rsidR="00060E86" w:rsidRDefault="00060E86" w:rsidP="00763662">
      <w:pPr>
        <w:pStyle w:val="NormalWeb"/>
        <w:spacing w:line="360" w:lineRule="auto"/>
        <w:rPr>
          <w:color w:val="000000"/>
        </w:rPr>
      </w:pPr>
      <w:r w:rsidRPr="00060E86">
        <w:rPr>
          <w:color w:val="000000"/>
        </w:rPr>
        <w:t>Ochs, E., &amp; Schieffelin, B. (1984). Language Acquisition and Socialization: Three Developmental Stories. Cambridge University Press.</w:t>
      </w:r>
    </w:p>
    <w:p w14:paraId="6DC96445" w14:textId="7C9B5E65" w:rsidR="003028D1" w:rsidRDefault="003028D1" w:rsidP="00763662">
      <w:pPr>
        <w:pStyle w:val="NormalWeb"/>
        <w:spacing w:line="360" w:lineRule="auto"/>
        <w:rPr>
          <w:color w:val="000000"/>
        </w:rPr>
      </w:pPr>
      <w:r w:rsidRPr="003028D1">
        <w:rPr>
          <w:color w:val="000000"/>
        </w:rPr>
        <w:t>Mair, V. H. (Ed.) (1994). The Columbia History of Chinese Literature. Columbia University Press.</w:t>
      </w:r>
    </w:p>
    <w:p w14:paraId="5B4E0AAD" w14:textId="51DE47E5" w:rsidR="00616A53" w:rsidRPr="00763662" w:rsidRDefault="00616A53" w:rsidP="00763662">
      <w:pPr>
        <w:pStyle w:val="NormalWeb"/>
        <w:spacing w:line="360" w:lineRule="auto"/>
        <w:rPr>
          <w:color w:val="000000"/>
        </w:rPr>
      </w:pPr>
      <w:r w:rsidRPr="00616A53">
        <w:rPr>
          <w:color w:val="000000"/>
        </w:rPr>
        <w:t xml:space="preserve">Pink, S. (2011). </w:t>
      </w:r>
      <w:r w:rsidRPr="00616A53">
        <w:rPr>
          <w:i/>
          <w:iCs/>
          <w:color w:val="000000"/>
        </w:rPr>
        <w:t xml:space="preserve">Multimodality, </w:t>
      </w:r>
      <w:proofErr w:type="spellStart"/>
      <w:r w:rsidRPr="00616A53">
        <w:rPr>
          <w:i/>
          <w:iCs/>
          <w:color w:val="000000"/>
        </w:rPr>
        <w:t>Multisensoriality</w:t>
      </w:r>
      <w:proofErr w:type="spellEnd"/>
      <w:r w:rsidRPr="00616A53">
        <w:rPr>
          <w:i/>
          <w:iCs/>
          <w:color w:val="000000"/>
        </w:rPr>
        <w:t xml:space="preserve"> and Ethnographic Knowing</w:t>
      </w:r>
      <w:r>
        <w:rPr>
          <w:color w:val="000000"/>
        </w:rPr>
        <w:t xml:space="preserve">, </w:t>
      </w:r>
      <w:r w:rsidRPr="00616A53">
        <w:rPr>
          <w:color w:val="000000"/>
        </w:rPr>
        <w:t>Qualitative Research, 11(3), 261–276.</w:t>
      </w:r>
    </w:p>
    <w:p w14:paraId="6CC3BC84" w14:textId="77777777" w:rsidR="0054212D" w:rsidRDefault="0054212D" w:rsidP="00763662">
      <w:pPr>
        <w:pStyle w:val="NormalWeb"/>
        <w:spacing w:line="360" w:lineRule="auto"/>
        <w:rPr>
          <w:color w:val="000000"/>
        </w:rPr>
      </w:pPr>
      <w:r w:rsidRPr="00763662">
        <w:rPr>
          <w:color w:val="000000"/>
        </w:rPr>
        <w:t>See, L. (2005).</w:t>
      </w:r>
      <w:r w:rsidRPr="00763662">
        <w:rPr>
          <w:rStyle w:val="apple-converted-space"/>
          <w:rFonts w:eastAsiaTheme="majorEastAsia"/>
          <w:color w:val="000000"/>
        </w:rPr>
        <w:t> </w:t>
      </w:r>
      <w:r w:rsidRPr="00763662">
        <w:rPr>
          <w:i/>
          <w:iCs/>
          <w:color w:val="000000"/>
        </w:rPr>
        <w:t>Snow Flower and the Secret Fan</w:t>
      </w:r>
      <w:r w:rsidRPr="00763662">
        <w:rPr>
          <w:color w:val="000000"/>
        </w:rPr>
        <w:t>. Random House.</w:t>
      </w:r>
    </w:p>
    <w:p w14:paraId="4E7A237E" w14:textId="1C6B5295" w:rsidR="003028D1" w:rsidRPr="00763662" w:rsidRDefault="003028D1" w:rsidP="00763662">
      <w:pPr>
        <w:pStyle w:val="NormalWeb"/>
        <w:spacing w:line="360" w:lineRule="auto"/>
        <w:rPr>
          <w:color w:val="000000"/>
        </w:rPr>
      </w:pPr>
      <w:r w:rsidRPr="003028D1">
        <w:rPr>
          <w:color w:val="000000"/>
        </w:rPr>
        <w:t>Shankar, S. &amp; Cavanaugh, J. (2012). Language and Materiality: Ethnographies of Creativity and Agency. Cambridge University Press.</w:t>
      </w:r>
    </w:p>
    <w:p w14:paraId="2C240792" w14:textId="77777777" w:rsidR="0054212D" w:rsidRPr="00763662" w:rsidRDefault="0054212D" w:rsidP="00763662">
      <w:pPr>
        <w:pStyle w:val="NormalWeb"/>
        <w:spacing w:line="360" w:lineRule="auto"/>
        <w:rPr>
          <w:color w:val="000000"/>
        </w:rPr>
      </w:pPr>
      <w:r w:rsidRPr="00763662">
        <w:rPr>
          <w:color w:val="000000"/>
        </w:rPr>
        <w:t xml:space="preserve">Silber, C. (1994). From Daughter to Daughter-in-Law in the Women's Script of Southern Hunan. In C. K. Gilmartin, G. </w:t>
      </w:r>
      <w:proofErr w:type="spellStart"/>
      <w:r w:rsidRPr="00763662">
        <w:rPr>
          <w:color w:val="000000"/>
        </w:rPr>
        <w:t>Hershatter</w:t>
      </w:r>
      <w:proofErr w:type="spellEnd"/>
      <w:r w:rsidRPr="00763662">
        <w:rPr>
          <w:color w:val="000000"/>
        </w:rPr>
        <w:t>, L. Rofel, &amp; T. White (Eds.),</w:t>
      </w:r>
      <w:r w:rsidRPr="00763662">
        <w:rPr>
          <w:rStyle w:val="apple-converted-space"/>
          <w:rFonts w:eastAsiaTheme="majorEastAsia"/>
          <w:color w:val="000000"/>
        </w:rPr>
        <w:t> </w:t>
      </w:r>
      <w:r w:rsidRPr="00763662">
        <w:rPr>
          <w:i/>
          <w:iCs/>
          <w:color w:val="000000"/>
        </w:rPr>
        <w:t>Engendering China: Women, Culture, and the State</w:t>
      </w:r>
      <w:r w:rsidRPr="00763662">
        <w:rPr>
          <w:rStyle w:val="apple-converted-space"/>
          <w:rFonts w:eastAsiaTheme="majorEastAsia"/>
          <w:color w:val="000000"/>
        </w:rPr>
        <w:t> </w:t>
      </w:r>
      <w:r w:rsidRPr="00763662">
        <w:rPr>
          <w:color w:val="000000"/>
        </w:rPr>
        <w:t>(pp. 47-68). Harvard University Press.</w:t>
      </w:r>
    </w:p>
    <w:p w14:paraId="7D432A00" w14:textId="77777777" w:rsidR="0054212D" w:rsidRDefault="0054212D" w:rsidP="00763662">
      <w:pPr>
        <w:pStyle w:val="NormalWeb"/>
        <w:spacing w:line="360" w:lineRule="auto"/>
        <w:rPr>
          <w:color w:val="000000"/>
        </w:rPr>
      </w:pPr>
      <w:r w:rsidRPr="00763662">
        <w:rPr>
          <w:color w:val="000000"/>
        </w:rPr>
        <w:t>Silber, C. (2018).</w:t>
      </w:r>
      <w:r w:rsidRPr="00763662">
        <w:rPr>
          <w:rStyle w:val="apple-converted-space"/>
          <w:rFonts w:eastAsiaTheme="majorEastAsia"/>
          <w:color w:val="000000"/>
        </w:rPr>
        <w:t> </w:t>
      </w:r>
      <w:r w:rsidRPr="00763662">
        <w:rPr>
          <w:i/>
          <w:iCs/>
          <w:color w:val="000000"/>
        </w:rPr>
        <w:t xml:space="preserve">The Language of Passion: The World of </w:t>
      </w:r>
      <w:proofErr w:type="spellStart"/>
      <w:r w:rsidRPr="00763662">
        <w:rPr>
          <w:i/>
          <w:iCs/>
          <w:color w:val="000000"/>
        </w:rPr>
        <w:t>Nüshu</w:t>
      </w:r>
      <w:proofErr w:type="spellEnd"/>
      <w:r w:rsidRPr="00763662">
        <w:rPr>
          <w:i/>
          <w:iCs/>
          <w:color w:val="000000"/>
        </w:rPr>
        <w:t>, the Women’s Script of South China</w:t>
      </w:r>
      <w:r w:rsidRPr="00763662">
        <w:rPr>
          <w:color w:val="000000"/>
        </w:rPr>
        <w:t>. Cornell University Press.</w:t>
      </w:r>
    </w:p>
    <w:p w14:paraId="17A1DA44" w14:textId="53BB6981" w:rsidR="003F41C3" w:rsidRDefault="003F41C3" w:rsidP="00763662">
      <w:pPr>
        <w:pStyle w:val="NormalWeb"/>
        <w:spacing w:line="360" w:lineRule="auto"/>
        <w:rPr>
          <w:color w:val="000000"/>
        </w:rPr>
      </w:pPr>
      <w:r w:rsidRPr="003F41C3">
        <w:rPr>
          <w:color w:val="000000"/>
        </w:rPr>
        <w:t xml:space="preserve">Spivak, G. C. (1988). </w:t>
      </w:r>
      <w:r w:rsidRPr="003F41C3">
        <w:rPr>
          <w:i/>
          <w:iCs/>
          <w:color w:val="000000"/>
        </w:rPr>
        <w:t>Can the Subaltern Speak?</w:t>
      </w:r>
      <w:r w:rsidRPr="003F41C3">
        <w:rPr>
          <w:color w:val="000000"/>
        </w:rPr>
        <w:t xml:space="preserve"> Macmillan.</w:t>
      </w:r>
    </w:p>
    <w:p w14:paraId="154CE20F" w14:textId="316CF78F" w:rsidR="003F41C3" w:rsidRPr="00763662" w:rsidRDefault="003F41C3" w:rsidP="00763662">
      <w:pPr>
        <w:pStyle w:val="NormalWeb"/>
        <w:spacing w:line="360" w:lineRule="auto"/>
        <w:rPr>
          <w:color w:val="000000"/>
        </w:rPr>
      </w:pPr>
      <w:r w:rsidRPr="003F41C3">
        <w:rPr>
          <w:color w:val="000000"/>
        </w:rPr>
        <w:t xml:space="preserve">Street, B. (1984). </w:t>
      </w:r>
      <w:r w:rsidRPr="003F41C3">
        <w:rPr>
          <w:i/>
          <w:iCs/>
          <w:color w:val="000000"/>
        </w:rPr>
        <w:t>Literacy in Theory and Practice</w:t>
      </w:r>
      <w:r>
        <w:rPr>
          <w:color w:val="000000"/>
        </w:rPr>
        <w:t>,</w:t>
      </w:r>
      <w:r w:rsidRPr="003F41C3">
        <w:rPr>
          <w:color w:val="000000"/>
        </w:rPr>
        <w:t xml:space="preserve"> Cambridge University Press.</w:t>
      </w:r>
    </w:p>
    <w:p w14:paraId="14AF4A86" w14:textId="77777777" w:rsidR="0054212D" w:rsidRPr="00763662" w:rsidRDefault="0054212D" w:rsidP="00763662">
      <w:pPr>
        <w:pStyle w:val="NormalWeb"/>
        <w:spacing w:line="360" w:lineRule="auto"/>
        <w:rPr>
          <w:color w:val="000000"/>
        </w:rPr>
      </w:pPr>
      <w:r w:rsidRPr="00763662">
        <w:rPr>
          <w:color w:val="000000"/>
        </w:rPr>
        <w:t>Zhao, L. (1992).</w:t>
      </w:r>
      <w:r w:rsidRPr="00763662">
        <w:rPr>
          <w:rStyle w:val="apple-converted-space"/>
          <w:rFonts w:eastAsiaTheme="majorEastAsia"/>
          <w:color w:val="000000"/>
        </w:rPr>
        <w:t> </w:t>
      </w:r>
      <w:proofErr w:type="spellStart"/>
      <w:r w:rsidRPr="00763662">
        <w:rPr>
          <w:i/>
          <w:iCs/>
          <w:color w:val="000000"/>
        </w:rPr>
        <w:t>Zhongguo</w:t>
      </w:r>
      <w:proofErr w:type="spellEnd"/>
      <w:r w:rsidRPr="00763662">
        <w:rPr>
          <w:i/>
          <w:iCs/>
          <w:color w:val="000000"/>
        </w:rPr>
        <w:t xml:space="preserve"> </w:t>
      </w:r>
      <w:proofErr w:type="spellStart"/>
      <w:r w:rsidRPr="00763662">
        <w:rPr>
          <w:i/>
          <w:iCs/>
          <w:color w:val="000000"/>
        </w:rPr>
        <w:t>Nüshu</w:t>
      </w:r>
      <w:proofErr w:type="spellEnd"/>
      <w:r w:rsidRPr="00763662">
        <w:rPr>
          <w:i/>
          <w:iCs/>
          <w:color w:val="000000"/>
        </w:rPr>
        <w:t xml:space="preserve"> </w:t>
      </w:r>
      <w:proofErr w:type="spellStart"/>
      <w:r w:rsidRPr="00763662">
        <w:rPr>
          <w:i/>
          <w:iCs/>
          <w:color w:val="000000"/>
        </w:rPr>
        <w:t>Jicheng</w:t>
      </w:r>
      <w:proofErr w:type="spellEnd"/>
      <w:r w:rsidRPr="00763662">
        <w:rPr>
          <w:rStyle w:val="apple-converted-space"/>
          <w:rFonts w:eastAsiaTheme="majorEastAsia"/>
          <w:color w:val="000000"/>
        </w:rPr>
        <w:t> </w:t>
      </w:r>
      <w:r w:rsidRPr="00763662">
        <w:rPr>
          <w:color w:val="000000"/>
        </w:rPr>
        <w:t xml:space="preserve">[Compendium of Chinese </w:t>
      </w:r>
      <w:proofErr w:type="spellStart"/>
      <w:r w:rsidRPr="00763662">
        <w:rPr>
          <w:color w:val="000000"/>
        </w:rPr>
        <w:t>Nüshu</w:t>
      </w:r>
      <w:proofErr w:type="spellEnd"/>
      <w:r w:rsidRPr="00763662">
        <w:rPr>
          <w:color w:val="000000"/>
        </w:rPr>
        <w:t>]. Qinghua University Press.</w:t>
      </w:r>
    </w:p>
    <w:p w14:paraId="23CAA836" w14:textId="77777777" w:rsidR="0054212D" w:rsidRPr="00763662" w:rsidRDefault="0054212D" w:rsidP="00763662">
      <w:pPr>
        <w:pStyle w:val="NormalWeb"/>
        <w:spacing w:line="360" w:lineRule="auto"/>
        <w:rPr>
          <w:color w:val="000000"/>
        </w:rPr>
      </w:pPr>
      <w:r w:rsidRPr="00763662">
        <w:rPr>
          <w:color w:val="000000"/>
        </w:rPr>
        <w:t xml:space="preserve">Zhao, L. (2006). </w:t>
      </w:r>
      <w:proofErr w:type="spellStart"/>
      <w:r w:rsidRPr="00763662">
        <w:rPr>
          <w:color w:val="000000"/>
        </w:rPr>
        <w:t>Nüshu</w:t>
      </w:r>
      <w:proofErr w:type="spellEnd"/>
      <w:r w:rsidRPr="00763662">
        <w:rPr>
          <w:color w:val="000000"/>
        </w:rPr>
        <w:t>: A Women's Script and Song. In</w:t>
      </w:r>
      <w:r w:rsidRPr="00763662">
        <w:rPr>
          <w:rStyle w:val="apple-converted-space"/>
          <w:rFonts w:eastAsiaTheme="majorEastAsia"/>
          <w:color w:val="000000"/>
        </w:rPr>
        <w:t> </w:t>
      </w:r>
      <w:r w:rsidRPr="00763662">
        <w:rPr>
          <w:i/>
          <w:iCs/>
          <w:color w:val="000000"/>
        </w:rPr>
        <w:t>IIAS Newsletter</w:t>
      </w:r>
      <w:r w:rsidRPr="00763662">
        <w:rPr>
          <w:color w:val="000000"/>
        </w:rPr>
        <w:t>, 42, p. 19.</w:t>
      </w:r>
    </w:p>
    <w:p w14:paraId="30A3D591" w14:textId="77777777" w:rsidR="0054212D" w:rsidRPr="00763662" w:rsidRDefault="0054212D" w:rsidP="00763662">
      <w:pPr>
        <w:pStyle w:val="NormalWeb"/>
        <w:spacing w:line="360" w:lineRule="auto"/>
        <w:rPr>
          <w:color w:val="000000"/>
        </w:rPr>
      </w:pPr>
      <w:r w:rsidRPr="00763662">
        <w:rPr>
          <w:color w:val="000000"/>
        </w:rPr>
        <w:t>Zhao, L. (2021).</w:t>
      </w:r>
      <w:r w:rsidRPr="00763662">
        <w:rPr>
          <w:rStyle w:val="apple-converted-space"/>
          <w:rFonts w:eastAsiaTheme="majorEastAsia"/>
          <w:color w:val="000000"/>
        </w:rPr>
        <w:t> </w:t>
      </w:r>
      <w:r w:rsidRPr="00763662">
        <w:rPr>
          <w:i/>
          <w:iCs/>
          <w:color w:val="000000"/>
        </w:rPr>
        <w:t xml:space="preserve">The Legendary </w:t>
      </w:r>
      <w:proofErr w:type="spellStart"/>
      <w:r w:rsidRPr="00763662">
        <w:rPr>
          <w:i/>
          <w:iCs/>
          <w:color w:val="000000"/>
        </w:rPr>
        <w:t>Nüshu</w:t>
      </w:r>
      <w:proofErr w:type="spellEnd"/>
      <w:r w:rsidRPr="00763662">
        <w:rPr>
          <w:i/>
          <w:iCs/>
          <w:color w:val="000000"/>
        </w:rPr>
        <w:t>: The Script Created by Women for Women</w:t>
      </w:r>
      <w:r w:rsidRPr="00763662">
        <w:rPr>
          <w:color w:val="000000"/>
        </w:rPr>
        <w:t xml:space="preserve">. Translated by G. </w:t>
      </w:r>
      <w:proofErr w:type="spellStart"/>
      <w:r w:rsidRPr="00763662">
        <w:rPr>
          <w:color w:val="000000"/>
        </w:rPr>
        <w:t>Falcini</w:t>
      </w:r>
      <w:proofErr w:type="spellEnd"/>
      <w:r w:rsidRPr="00763662">
        <w:rPr>
          <w:color w:val="000000"/>
        </w:rPr>
        <w:t xml:space="preserve">. </w:t>
      </w:r>
      <w:proofErr w:type="spellStart"/>
      <w:r w:rsidRPr="00763662">
        <w:rPr>
          <w:color w:val="000000"/>
        </w:rPr>
        <w:t>SAEditrice</w:t>
      </w:r>
      <w:proofErr w:type="spellEnd"/>
      <w:r w:rsidRPr="00763662">
        <w:rPr>
          <w:color w:val="000000"/>
        </w:rPr>
        <w:t>.</w:t>
      </w:r>
    </w:p>
    <w:p w14:paraId="1844ED20" w14:textId="77777777" w:rsidR="0054212D" w:rsidRPr="00763662" w:rsidRDefault="0054212D" w:rsidP="00763662">
      <w:pPr>
        <w:pStyle w:val="NormalWeb"/>
        <w:spacing w:line="360" w:lineRule="auto"/>
        <w:rPr>
          <w:color w:val="000000"/>
        </w:rPr>
      </w:pPr>
      <w:r w:rsidRPr="00763662">
        <w:rPr>
          <w:color w:val="000000"/>
        </w:rPr>
        <w:t xml:space="preserve">Zhao, L., &amp; Fan, Q. (2009). The Women's Script of </w:t>
      </w:r>
      <w:proofErr w:type="spellStart"/>
      <w:r w:rsidRPr="00763662">
        <w:rPr>
          <w:color w:val="000000"/>
        </w:rPr>
        <w:t>Jiangyong</w:t>
      </w:r>
      <w:proofErr w:type="spellEnd"/>
      <w:r w:rsidRPr="00763662">
        <w:rPr>
          <w:color w:val="000000"/>
        </w:rPr>
        <w:t>. In V. H. Mair (Ed.),</w:t>
      </w:r>
      <w:r w:rsidRPr="00763662">
        <w:rPr>
          <w:rStyle w:val="apple-converted-space"/>
          <w:rFonts w:eastAsiaTheme="majorEastAsia"/>
          <w:color w:val="000000"/>
        </w:rPr>
        <w:t> </w:t>
      </w:r>
      <w:r w:rsidRPr="00763662">
        <w:rPr>
          <w:i/>
          <w:iCs/>
          <w:color w:val="000000"/>
        </w:rPr>
        <w:t>The History of the Book in China</w:t>
      </w:r>
      <w:r w:rsidRPr="00763662">
        <w:rPr>
          <w:color w:val="000000"/>
        </w:rPr>
        <w:t>. University of Pennsylvania Press.</w:t>
      </w:r>
    </w:p>
    <w:p w14:paraId="2749A91C" w14:textId="77777777" w:rsidR="0054212D" w:rsidRPr="00763662" w:rsidRDefault="0054212D" w:rsidP="00763662">
      <w:pPr>
        <w:pStyle w:val="NormalWeb"/>
        <w:spacing w:line="360" w:lineRule="auto"/>
        <w:rPr>
          <w:color w:val="000000"/>
        </w:rPr>
      </w:pPr>
      <w:r w:rsidRPr="00763662">
        <w:rPr>
          <w:color w:val="000000"/>
        </w:rPr>
        <w:lastRenderedPageBreak/>
        <w:t>Zhou, S. (2004).</w:t>
      </w:r>
      <w:r w:rsidRPr="00763662">
        <w:rPr>
          <w:rStyle w:val="apple-converted-space"/>
          <w:rFonts w:eastAsiaTheme="majorEastAsia"/>
          <w:color w:val="000000"/>
        </w:rPr>
        <w:t> </w:t>
      </w:r>
      <w:proofErr w:type="spellStart"/>
      <w:r w:rsidRPr="00763662">
        <w:rPr>
          <w:i/>
          <w:iCs/>
          <w:color w:val="000000"/>
        </w:rPr>
        <w:t>Nüshu</w:t>
      </w:r>
      <w:proofErr w:type="spellEnd"/>
      <w:r w:rsidRPr="00763662">
        <w:rPr>
          <w:i/>
          <w:iCs/>
          <w:color w:val="000000"/>
        </w:rPr>
        <w:t xml:space="preserve">: </w:t>
      </w:r>
      <w:proofErr w:type="spellStart"/>
      <w:r w:rsidRPr="00763662">
        <w:rPr>
          <w:i/>
          <w:iCs/>
          <w:color w:val="000000"/>
        </w:rPr>
        <w:t>Jiangyong</w:t>
      </w:r>
      <w:proofErr w:type="spellEnd"/>
      <w:r w:rsidRPr="00763662">
        <w:rPr>
          <w:i/>
          <w:iCs/>
          <w:color w:val="000000"/>
        </w:rPr>
        <w:t xml:space="preserve"> </w:t>
      </w:r>
      <w:proofErr w:type="spellStart"/>
      <w:r w:rsidRPr="00763662">
        <w:rPr>
          <w:i/>
          <w:iCs/>
          <w:color w:val="000000"/>
        </w:rPr>
        <w:t>Nüshu</w:t>
      </w:r>
      <w:proofErr w:type="spellEnd"/>
      <w:r w:rsidRPr="00763662">
        <w:rPr>
          <w:i/>
          <w:iCs/>
          <w:color w:val="000000"/>
        </w:rPr>
        <w:t xml:space="preserve"> </w:t>
      </w:r>
      <w:proofErr w:type="spellStart"/>
      <w:r w:rsidRPr="00763662">
        <w:rPr>
          <w:i/>
          <w:iCs/>
          <w:color w:val="000000"/>
        </w:rPr>
        <w:t>zhi</w:t>
      </w:r>
      <w:proofErr w:type="spellEnd"/>
      <w:r w:rsidRPr="00763662">
        <w:rPr>
          <w:i/>
          <w:iCs/>
          <w:color w:val="000000"/>
        </w:rPr>
        <w:t xml:space="preserve"> mi</w:t>
      </w:r>
      <w:r w:rsidRPr="00763662">
        <w:rPr>
          <w:rStyle w:val="apple-converted-space"/>
          <w:rFonts w:eastAsiaTheme="majorEastAsia"/>
          <w:color w:val="000000"/>
        </w:rPr>
        <w:t> </w:t>
      </w:r>
      <w:r w:rsidRPr="00763662">
        <w:rPr>
          <w:color w:val="000000"/>
        </w:rPr>
        <w:t>[</w:t>
      </w:r>
      <w:proofErr w:type="spellStart"/>
      <w:r w:rsidRPr="00763662">
        <w:rPr>
          <w:color w:val="000000"/>
        </w:rPr>
        <w:t>Nüshu</w:t>
      </w:r>
      <w:proofErr w:type="spellEnd"/>
      <w:r w:rsidRPr="00763662">
        <w:rPr>
          <w:color w:val="000000"/>
        </w:rPr>
        <w:t xml:space="preserve">: The Mystery of the </w:t>
      </w:r>
      <w:proofErr w:type="spellStart"/>
      <w:r w:rsidRPr="00763662">
        <w:rPr>
          <w:color w:val="000000"/>
        </w:rPr>
        <w:t>Jiangyong</w:t>
      </w:r>
      <w:proofErr w:type="spellEnd"/>
      <w:r w:rsidRPr="00763662">
        <w:rPr>
          <w:color w:val="000000"/>
        </w:rPr>
        <w:t xml:space="preserve"> Women's Script]. Hunan People's Publishing House.</w:t>
      </w:r>
    </w:p>
    <w:p w14:paraId="22A89AA9" w14:textId="77777777" w:rsidR="0054212D" w:rsidRDefault="0054212D"/>
    <w:sectPr w:rsidR="0054212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67142" w14:textId="77777777" w:rsidR="001F03B2" w:rsidRDefault="001F03B2" w:rsidP="00EF0C97">
      <w:pPr>
        <w:spacing w:after="0" w:line="240" w:lineRule="auto"/>
      </w:pPr>
      <w:r>
        <w:separator/>
      </w:r>
    </w:p>
  </w:endnote>
  <w:endnote w:type="continuationSeparator" w:id="0">
    <w:p w14:paraId="5C55509B" w14:textId="77777777" w:rsidR="001F03B2" w:rsidRDefault="001F03B2" w:rsidP="00EF0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9B7E2" w14:textId="77777777" w:rsidR="00EF0C97" w:rsidRDefault="00EF0C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E7BBD" w14:textId="77777777" w:rsidR="00EF0C97" w:rsidRDefault="00EF0C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E5131" w14:textId="77777777" w:rsidR="00EF0C97" w:rsidRDefault="00EF0C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CCD3B" w14:textId="77777777" w:rsidR="001F03B2" w:rsidRDefault="001F03B2" w:rsidP="00EF0C97">
      <w:pPr>
        <w:spacing w:after="0" w:line="240" w:lineRule="auto"/>
      </w:pPr>
      <w:r>
        <w:separator/>
      </w:r>
    </w:p>
  </w:footnote>
  <w:footnote w:type="continuationSeparator" w:id="0">
    <w:p w14:paraId="37AD7108" w14:textId="77777777" w:rsidR="001F03B2" w:rsidRDefault="001F03B2" w:rsidP="00EF0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F2DFD" w14:textId="786D1EF2" w:rsidR="00EF0C97" w:rsidRDefault="00EF0C97">
    <w:pPr>
      <w:pStyle w:val="Header"/>
    </w:pPr>
    <w:r>
      <w:rPr>
        <w:noProof/>
      </w:rPr>
      <w:pict w14:anchorId="6C078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37938"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BCFD6" w14:textId="667CDA53" w:rsidR="00EF0C97" w:rsidRDefault="00EF0C97">
    <w:pPr>
      <w:pStyle w:val="Header"/>
    </w:pPr>
    <w:r>
      <w:rPr>
        <w:noProof/>
      </w:rPr>
      <w:pict w14:anchorId="061EC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37939"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AB048" w14:textId="47A1E1D9" w:rsidR="00EF0C97" w:rsidRDefault="00EF0C97">
    <w:pPr>
      <w:pStyle w:val="Header"/>
    </w:pPr>
    <w:r>
      <w:rPr>
        <w:noProof/>
      </w:rPr>
      <w:pict w14:anchorId="2AE253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6537937"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D67D7"/>
    <w:multiLevelType w:val="multilevel"/>
    <w:tmpl w:val="D116C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694D15"/>
    <w:multiLevelType w:val="multilevel"/>
    <w:tmpl w:val="C71AB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16A55"/>
    <w:multiLevelType w:val="multilevel"/>
    <w:tmpl w:val="0BE6F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663199"/>
    <w:multiLevelType w:val="multilevel"/>
    <w:tmpl w:val="D204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593577"/>
    <w:multiLevelType w:val="multilevel"/>
    <w:tmpl w:val="A7FE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D80520B"/>
    <w:multiLevelType w:val="multilevel"/>
    <w:tmpl w:val="7238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B02827"/>
    <w:multiLevelType w:val="multilevel"/>
    <w:tmpl w:val="56C8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B45F69"/>
    <w:multiLevelType w:val="multilevel"/>
    <w:tmpl w:val="315A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6"/>
  </w:num>
  <w:num w:numId="4">
    <w:abstractNumId w:val="0"/>
  </w:num>
  <w:num w:numId="5">
    <w:abstractNumId w:val="7"/>
  </w:num>
  <w:num w:numId="6">
    <w:abstractNumId w:val="4"/>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8C9"/>
    <w:rsid w:val="000253FC"/>
    <w:rsid w:val="00060E86"/>
    <w:rsid w:val="00081DCF"/>
    <w:rsid w:val="000D51EC"/>
    <w:rsid w:val="001461EF"/>
    <w:rsid w:val="00197CF7"/>
    <w:rsid w:val="001F03B2"/>
    <w:rsid w:val="00291F8E"/>
    <w:rsid w:val="003028D1"/>
    <w:rsid w:val="003405DE"/>
    <w:rsid w:val="00355E2A"/>
    <w:rsid w:val="003A5E68"/>
    <w:rsid w:val="003F41C3"/>
    <w:rsid w:val="00427143"/>
    <w:rsid w:val="004D7615"/>
    <w:rsid w:val="00522320"/>
    <w:rsid w:val="0054212D"/>
    <w:rsid w:val="00554B62"/>
    <w:rsid w:val="00561F5B"/>
    <w:rsid w:val="00571C43"/>
    <w:rsid w:val="005D18C9"/>
    <w:rsid w:val="00616A53"/>
    <w:rsid w:val="00763662"/>
    <w:rsid w:val="008B2CC9"/>
    <w:rsid w:val="00A2480E"/>
    <w:rsid w:val="00AC203E"/>
    <w:rsid w:val="00AF0713"/>
    <w:rsid w:val="00B55F44"/>
    <w:rsid w:val="00C00EC7"/>
    <w:rsid w:val="00C516A1"/>
    <w:rsid w:val="00C609DC"/>
    <w:rsid w:val="00C674DE"/>
    <w:rsid w:val="00CB6389"/>
    <w:rsid w:val="00CD60A9"/>
    <w:rsid w:val="00D15D66"/>
    <w:rsid w:val="00D75E5D"/>
    <w:rsid w:val="00D860AC"/>
    <w:rsid w:val="00DF4571"/>
    <w:rsid w:val="00E17873"/>
    <w:rsid w:val="00E3104A"/>
    <w:rsid w:val="00EA67CF"/>
    <w:rsid w:val="00EF0C97"/>
    <w:rsid w:val="00F434E5"/>
    <w:rsid w:val="00FB52B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0DD5A3"/>
  <w15:chartTrackingRefBased/>
  <w15:docId w15:val="{D0C29F50-30CC-E84C-BD2A-C86CF08CF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18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8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18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D18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18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18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8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8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8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8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8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18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D18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18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18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8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8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8C9"/>
    <w:rPr>
      <w:rFonts w:eastAsiaTheme="majorEastAsia" w:cstheme="majorBidi"/>
      <w:color w:val="272727" w:themeColor="text1" w:themeTint="D8"/>
    </w:rPr>
  </w:style>
  <w:style w:type="paragraph" w:styleId="Title">
    <w:name w:val="Title"/>
    <w:basedOn w:val="Normal"/>
    <w:next w:val="Normal"/>
    <w:link w:val="TitleChar"/>
    <w:uiPriority w:val="10"/>
    <w:qFormat/>
    <w:rsid w:val="005D18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8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8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8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8C9"/>
    <w:pPr>
      <w:spacing w:before="160"/>
      <w:jc w:val="center"/>
    </w:pPr>
    <w:rPr>
      <w:i/>
      <w:iCs/>
      <w:color w:val="404040" w:themeColor="text1" w:themeTint="BF"/>
    </w:rPr>
  </w:style>
  <w:style w:type="character" w:customStyle="1" w:styleId="QuoteChar">
    <w:name w:val="Quote Char"/>
    <w:basedOn w:val="DefaultParagraphFont"/>
    <w:link w:val="Quote"/>
    <w:uiPriority w:val="29"/>
    <w:rsid w:val="005D18C9"/>
    <w:rPr>
      <w:i/>
      <w:iCs/>
      <w:color w:val="404040" w:themeColor="text1" w:themeTint="BF"/>
    </w:rPr>
  </w:style>
  <w:style w:type="paragraph" w:styleId="ListParagraph">
    <w:name w:val="List Paragraph"/>
    <w:basedOn w:val="Normal"/>
    <w:uiPriority w:val="34"/>
    <w:qFormat/>
    <w:rsid w:val="005D18C9"/>
    <w:pPr>
      <w:ind w:left="720"/>
      <w:contextualSpacing/>
    </w:pPr>
  </w:style>
  <w:style w:type="character" w:styleId="IntenseEmphasis">
    <w:name w:val="Intense Emphasis"/>
    <w:basedOn w:val="DefaultParagraphFont"/>
    <w:uiPriority w:val="21"/>
    <w:qFormat/>
    <w:rsid w:val="005D18C9"/>
    <w:rPr>
      <w:i/>
      <w:iCs/>
      <w:color w:val="0F4761" w:themeColor="accent1" w:themeShade="BF"/>
    </w:rPr>
  </w:style>
  <w:style w:type="paragraph" w:styleId="IntenseQuote">
    <w:name w:val="Intense Quote"/>
    <w:basedOn w:val="Normal"/>
    <w:next w:val="Normal"/>
    <w:link w:val="IntenseQuoteChar"/>
    <w:uiPriority w:val="30"/>
    <w:qFormat/>
    <w:rsid w:val="005D18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8C9"/>
    <w:rPr>
      <w:i/>
      <w:iCs/>
      <w:color w:val="0F4761" w:themeColor="accent1" w:themeShade="BF"/>
    </w:rPr>
  </w:style>
  <w:style w:type="character" w:styleId="IntenseReference">
    <w:name w:val="Intense Reference"/>
    <w:basedOn w:val="DefaultParagraphFont"/>
    <w:uiPriority w:val="32"/>
    <w:qFormat/>
    <w:rsid w:val="005D18C9"/>
    <w:rPr>
      <w:b/>
      <w:bCs/>
      <w:smallCaps/>
      <w:color w:val="0F4761" w:themeColor="accent1" w:themeShade="BF"/>
      <w:spacing w:val="5"/>
    </w:rPr>
  </w:style>
  <w:style w:type="paragraph" w:styleId="NormalWeb">
    <w:name w:val="Normal (Web)"/>
    <w:basedOn w:val="Normal"/>
    <w:uiPriority w:val="99"/>
    <w:semiHidden/>
    <w:unhideWhenUsed/>
    <w:rsid w:val="005D18C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5D18C9"/>
  </w:style>
  <w:style w:type="character" w:styleId="Hyperlink">
    <w:name w:val="Hyperlink"/>
    <w:basedOn w:val="DefaultParagraphFont"/>
    <w:uiPriority w:val="99"/>
    <w:unhideWhenUsed/>
    <w:rsid w:val="003A5E68"/>
    <w:rPr>
      <w:color w:val="467886" w:themeColor="hyperlink"/>
      <w:u w:val="single"/>
    </w:rPr>
  </w:style>
  <w:style w:type="paragraph" w:styleId="Header">
    <w:name w:val="header"/>
    <w:basedOn w:val="Normal"/>
    <w:link w:val="HeaderChar"/>
    <w:uiPriority w:val="99"/>
    <w:unhideWhenUsed/>
    <w:rsid w:val="00EF0C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C97"/>
  </w:style>
  <w:style w:type="paragraph" w:styleId="Footer">
    <w:name w:val="footer"/>
    <w:basedOn w:val="Normal"/>
    <w:link w:val="FooterChar"/>
    <w:uiPriority w:val="99"/>
    <w:unhideWhenUsed/>
    <w:rsid w:val="00EF0C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72</TotalTime>
  <Pages>30</Pages>
  <Words>10630</Words>
  <Characters>60596</Characters>
  <Application>Microsoft Office Word</Application>
  <DocSecurity>0</DocSecurity>
  <Lines>504</Lines>
  <Paragraphs>142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giulia.falcini@unimc.it</dc:creator>
  <cp:keywords/>
  <dc:description/>
  <cp:lastModifiedBy>SDI 1180</cp:lastModifiedBy>
  <cp:revision>28</cp:revision>
  <dcterms:created xsi:type="dcterms:W3CDTF">2025-08-26T04:36:00Z</dcterms:created>
  <dcterms:modified xsi:type="dcterms:W3CDTF">2025-10-28T09:48:00Z</dcterms:modified>
</cp:coreProperties>
</file>