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21DC3" w14:textId="23064210" w:rsid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r w:rsidRPr="008C3F4B">
        <w:rPr>
          <w:rFonts w:ascii="Times New Roman" w:hAnsi="Times New Roman" w:cs="Times New Roman"/>
          <w:b/>
          <w:bCs/>
          <w:sz w:val="24"/>
          <w:szCs w:val="24"/>
        </w:rPr>
        <w:t>Seasonal Variation in Hydrocarbon Contamination of Sediments and Biota in Bonny Estuary, Rivers State, Nigeria</w:t>
      </w:r>
    </w:p>
    <w:p w14:paraId="42211490" w14:textId="77777777" w:rsidR="008C3F4B" w:rsidRP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p>
    <w:p w14:paraId="15294B37" w14:textId="77777777" w:rsidR="008C3F4B" w:rsidRPr="008C3F4B" w:rsidRDefault="008C3F4B" w:rsidP="008C3F4B">
      <w:pPr>
        <w:pStyle w:val="Heading3"/>
        <w:jc w:val="both"/>
        <w:rPr>
          <w:sz w:val="24"/>
          <w:szCs w:val="24"/>
        </w:rPr>
      </w:pPr>
      <w:r w:rsidRPr="008C3F4B">
        <w:rPr>
          <w:sz w:val="24"/>
          <w:szCs w:val="24"/>
        </w:rPr>
        <w:t>Abstract</w:t>
      </w:r>
    </w:p>
    <w:p w14:paraId="6C37383F" w14:textId="71169084" w:rsidR="008C3F4B" w:rsidRPr="008C3F4B" w:rsidRDefault="008C3F4B" w:rsidP="008C3F4B">
      <w:pPr>
        <w:pStyle w:val="NormalWeb"/>
        <w:jc w:val="both"/>
      </w:pPr>
      <w:r w:rsidRPr="008C3F4B">
        <w:t xml:space="preserve">This study investigated the seasonal variation in hydrocarbon contamination of sediments and biota within the Bonny Estuary, Rivers State, Nigeria. Sediment, surface water, and fish samples were collected during the dry and wet seasons and analysed for total petroleum hydrocarbons (TPH) and polycyclic aromatic hydrocarbons (PAHs) using standard analytical procedures and gas chromatography. </w:t>
      </w:r>
      <w:proofErr w:type="spellStart"/>
      <w:r w:rsidRPr="008C3F4B">
        <w:t>Physico</w:t>
      </w:r>
      <w:proofErr w:type="spellEnd"/>
      <w:r w:rsidRPr="008C3F4B">
        <w:t>-chemical parameters were also determined to assess environmental conditions influencing hydrocarbon distribution. The results revealed that pH, dissolved oxygen, and total organic carbon varied significantly between seasons, with higher organic content recorded during the wet season. TPH concen</w:t>
      </w:r>
      <w:bookmarkStart w:id="0" w:name="_GoBack"/>
      <w:bookmarkEnd w:id="0"/>
      <w:r w:rsidRPr="008C3F4B">
        <w:t>trations ranged from 15.72 ± 1.3 mg/kg in the dry season to 24.35 ± 2.1 mg/kg in the wet season, while total PAHs ranged from 4.86 ± 0.5 mg/kg to 7.42 ± 0.7 mg/kg, both exceeding the National Environmental Standards and Regulations Enforcement Agency (NESREA) permissible limits. Hydrocarbon levels in fish tissues also showed seasonal variation, with naphthalene, phenanthrene, and benzo[a]pyrene concentrations surpassing the FAO/WHO limits during the wet season. Correlation analysis indicated a strong positive relationship (r = 0.88) between sediment and biota hydrocarbon concentrations, suggesting effective transfer through sediment–water–biota interactions. Source diagnostic ratios revealed a shift from predominantly petrogenic inputs in the dry season to pyrogenic sources in the wet season, indicating the combined influence of oil discharges, gas flaring, and combustion emissions. The study concludes that hydrocarbon pollution in Bonny Estuary is persistent and seasonally dynamic, with potential ecological and public health implications for communities relying on the estuary for fishing and domestic water supply.</w:t>
      </w:r>
    </w:p>
    <w:p w14:paraId="51254760" w14:textId="30C7A67D" w:rsidR="008C3F4B" w:rsidRPr="008C3F4B" w:rsidRDefault="008C3F4B" w:rsidP="008C3F4B">
      <w:pPr>
        <w:spacing w:before="100" w:beforeAutospacing="1" w:after="100" w:afterAutospacing="1" w:line="240" w:lineRule="auto"/>
        <w:jc w:val="both"/>
        <w:outlineLvl w:val="2"/>
        <w:rPr>
          <w:rFonts w:ascii="Times New Roman" w:hAnsi="Times New Roman" w:cs="Times New Roman"/>
          <w:sz w:val="24"/>
          <w:szCs w:val="24"/>
        </w:rPr>
      </w:pPr>
      <w:r w:rsidRPr="008C3F4B">
        <w:rPr>
          <w:rFonts w:ascii="Times New Roman" w:hAnsi="Times New Roman" w:cs="Times New Roman"/>
          <w:b/>
          <w:bCs/>
          <w:i/>
          <w:iCs/>
          <w:sz w:val="24"/>
          <w:szCs w:val="24"/>
        </w:rPr>
        <w:t>Keywords:</w:t>
      </w:r>
      <w:r w:rsidRPr="008C3F4B">
        <w:rPr>
          <w:rFonts w:ascii="Times New Roman" w:hAnsi="Times New Roman" w:cs="Times New Roman"/>
          <w:sz w:val="24"/>
          <w:szCs w:val="24"/>
        </w:rPr>
        <w:t xml:space="preserve"> Seasonal Variation, Hydrocarbon Contamination, Sediments and Biota, Bonny Estuary, Rivers State, Nigeria</w:t>
      </w:r>
    </w:p>
    <w:p w14:paraId="09B30AE6" w14:textId="1E2FFC41" w:rsidR="008C3F4B" w:rsidRPr="008C3F4B" w:rsidRDefault="008C3F4B" w:rsidP="008C3F4B">
      <w:pPr>
        <w:pStyle w:val="NormalWeb"/>
        <w:jc w:val="both"/>
      </w:pPr>
    </w:p>
    <w:p w14:paraId="4E6F4A31" w14:textId="77777777" w:rsidR="008C3F4B" w:rsidRPr="008C3F4B" w:rsidRDefault="008C3F4B" w:rsidP="008C3F4B">
      <w:pPr>
        <w:pStyle w:val="Heading3"/>
        <w:jc w:val="both"/>
        <w:rPr>
          <w:sz w:val="24"/>
          <w:szCs w:val="24"/>
        </w:rPr>
      </w:pPr>
      <w:r w:rsidRPr="008C3F4B">
        <w:rPr>
          <w:sz w:val="24"/>
          <w:szCs w:val="24"/>
        </w:rPr>
        <w:t>1.0 Introduction</w:t>
      </w:r>
    </w:p>
    <w:p w14:paraId="1E7E1F1B" w14:textId="77777777" w:rsidR="008C3F4B" w:rsidRPr="008C3F4B" w:rsidRDefault="008C3F4B" w:rsidP="008C3F4B">
      <w:pPr>
        <w:pStyle w:val="NormalWeb"/>
        <w:jc w:val="both"/>
      </w:pPr>
      <w:r w:rsidRPr="008C3F4B">
        <w:t>Hydrocarbon contamination in aquatic environments remains a critical environmental challenge in the Niger Delta, Nigeria, due to the intensive oil exploration, production, transportation, and refining activities that dominate the region (Ite et al., 2018; Adeniran et al., 2023). The Bonny Estuary, located within the eastern Niger Delta, is one of the most industrially active and environmentally stressed water bodies in Nigeria. It serves as a major maritime corridor for crude oil export and harbours several oil terminals, pipelines, and petrochemical facilities, all of which contribute significantly to the hydrocarbon burden in the aquatic ecosystem (</w:t>
      </w:r>
      <w:proofErr w:type="spellStart"/>
      <w:r w:rsidRPr="008C3F4B">
        <w:t>Okpoji</w:t>
      </w:r>
      <w:proofErr w:type="spellEnd"/>
      <w:r w:rsidRPr="008C3F4B">
        <w:t xml:space="preserve"> et al., 2025a; HYPREP, 2023). The estuary supports a wide range of socio-economic activities, including artisanal fishing, navigation, and domestic water use, thereby making hydrocarbon pollution a serious ecological and public health concern (</w:t>
      </w:r>
      <w:proofErr w:type="spellStart"/>
      <w:r w:rsidRPr="008C3F4B">
        <w:t>Ajeh</w:t>
      </w:r>
      <w:proofErr w:type="spellEnd"/>
      <w:r w:rsidRPr="008C3F4B">
        <w:t xml:space="preserve"> et al., 2022; </w:t>
      </w:r>
      <w:proofErr w:type="spellStart"/>
      <w:r w:rsidRPr="008C3F4B">
        <w:t>Anarado</w:t>
      </w:r>
      <w:proofErr w:type="spellEnd"/>
      <w:r w:rsidRPr="008C3F4B">
        <w:t xml:space="preserve"> et al., 2023).</w:t>
      </w:r>
    </w:p>
    <w:p w14:paraId="677C1876" w14:textId="77777777" w:rsidR="008C3F4B" w:rsidRPr="008C3F4B" w:rsidRDefault="008C3F4B" w:rsidP="008C3F4B">
      <w:pPr>
        <w:pStyle w:val="NormalWeb"/>
        <w:jc w:val="both"/>
      </w:pPr>
      <w:r w:rsidRPr="008C3F4B">
        <w:t xml:space="preserve">Hydrocarbons, particularly polycyclic aromatic hydrocarbons (PAHs) and total petroleum hydrocarbons (TPH), are among the most toxic and persistent organic contaminants found in </w:t>
      </w:r>
      <w:r w:rsidRPr="008C3F4B">
        <w:lastRenderedPageBreak/>
        <w:t>aquatic environments. These compounds originate from petrogenic sources such as crude oil spills and refined petroleum discharges, as well as pyrogenic sources associated with combustion processes and gas flaring (</w:t>
      </w:r>
      <w:proofErr w:type="spellStart"/>
      <w:r w:rsidRPr="008C3F4B">
        <w:t>Aigberua</w:t>
      </w:r>
      <w:proofErr w:type="spellEnd"/>
      <w:r w:rsidRPr="008C3F4B">
        <w:t xml:space="preserve">, 2020; Akpan et al., 2022). Once introduced into aquatic systems, hydrocarbons undergo complex physical, chemical, and biological transformations that determine their fate and distribution in water, sediments, and biota (Gill et al., 2020; Thornton et al., 2024). Sediments act as both sinks and secondary sources of hydrocarbons, serving as critical indicators of long-term contamination and bioavailability (Smith et al., 2021; British Geological Survey, 2024). The accumulation of hydrocarbons in aquatic biota, particularly fish, poses serious health risks to humans through the food chain due to their mutagenic, carcinogenic, and endocrine-disrupting properties (John et al., 2025; </w:t>
      </w:r>
      <w:proofErr w:type="spellStart"/>
      <w:r w:rsidRPr="008C3F4B">
        <w:t>Ekwere</w:t>
      </w:r>
      <w:proofErr w:type="spellEnd"/>
      <w:r w:rsidRPr="008C3F4B">
        <w:t xml:space="preserve"> et al., 2025a).</w:t>
      </w:r>
    </w:p>
    <w:p w14:paraId="1EC355EA" w14:textId="77777777" w:rsidR="008C3F4B" w:rsidRPr="008C3F4B" w:rsidRDefault="008C3F4B" w:rsidP="008C3F4B">
      <w:pPr>
        <w:pStyle w:val="NormalWeb"/>
        <w:jc w:val="both"/>
      </w:pPr>
      <w:r w:rsidRPr="008C3F4B">
        <w:t>Seasonal variation plays a major role in hydrocarbon distribution in aquatic systems. In tropical regions such as the Niger Delta, the wet season is characterised by intense rainfall, surface runoff, and river discharge, which enhance the transport of hydrocarbons from land-based sources into estuarine waters. Conversely, during the dry season, reduced hydrological activity leads to higher concentrations of hydrocarbons in sediments and water due to lower dilution and degradation rates (</w:t>
      </w:r>
      <w:proofErr w:type="spellStart"/>
      <w:r w:rsidRPr="008C3F4B">
        <w:t>Okpoji</w:t>
      </w:r>
      <w:proofErr w:type="spellEnd"/>
      <w:r w:rsidRPr="008C3F4B">
        <w:t xml:space="preserve"> et al., 2025b; </w:t>
      </w:r>
      <w:proofErr w:type="spellStart"/>
      <w:r w:rsidRPr="008C3F4B">
        <w:t>Nwaozuzu</w:t>
      </w:r>
      <w:proofErr w:type="spellEnd"/>
      <w:r w:rsidRPr="008C3F4B">
        <w:t xml:space="preserve"> et al., 2024). Understanding this seasonal variability is essential for developing sustainable pollution management and remediation strategies.</w:t>
      </w:r>
    </w:p>
    <w:p w14:paraId="46C3ACD4" w14:textId="77777777" w:rsidR="008C3F4B" w:rsidRPr="008C3F4B" w:rsidRDefault="008C3F4B" w:rsidP="008C3F4B">
      <w:pPr>
        <w:pStyle w:val="NormalWeb"/>
        <w:jc w:val="both"/>
      </w:pPr>
      <w:r w:rsidRPr="008C3F4B">
        <w:t xml:space="preserve">Previous studies have investigated hydrocarbon pollution in various parts of the Niger Delta, including the </w:t>
      </w:r>
      <w:proofErr w:type="spellStart"/>
      <w:r w:rsidRPr="008C3F4B">
        <w:t>Imiringi</w:t>
      </w:r>
      <w:proofErr w:type="spellEnd"/>
      <w:r w:rsidRPr="008C3F4B">
        <w:t xml:space="preserve"> River (</w:t>
      </w:r>
      <w:proofErr w:type="spellStart"/>
      <w:r w:rsidRPr="008C3F4B">
        <w:t>Aigberua</w:t>
      </w:r>
      <w:proofErr w:type="spellEnd"/>
      <w:r w:rsidRPr="008C3F4B">
        <w:t xml:space="preserve">, 2020), </w:t>
      </w:r>
      <w:proofErr w:type="spellStart"/>
      <w:r w:rsidRPr="008C3F4B">
        <w:t>Eket</w:t>
      </w:r>
      <w:proofErr w:type="spellEnd"/>
      <w:r w:rsidRPr="008C3F4B">
        <w:t xml:space="preserve"> Metropolis (Akpan et al., 2022), and </w:t>
      </w:r>
      <w:proofErr w:type="spellStart"/>
      <w:r w:rsidRPr="008C3F4B">
        <w:t>Andoni</w:t>
      </w:r>
      <w:proofErr w:type="spellEnd"/>
      <w:r w:rsidRPr="008C3F4B">
        <w:t xml:space="preserve"> River (</w:t>
      </w:r>
      <w:proofErr w:type="spellStart"/>
      <w:r w:rsidRPr="008C3F4B">
        <w:t>Okpoji</w:t>
      </w:r>
      <w:proofErr w:type="spellEnd"/>
      <w:r w:rsidRPr="008C3F4B">
        <w:t xml:space="preserve"> et al., 2025b), revealing widespread contamination from both petrogenic and pyrogenic sources. However, there is limited documentation on the temporal and spatial distribution of hydrocarbons in the Bonny Estuary, particularly with respect to their seasonal behaviour in both sediment and aquatic biota. Given the estuary’s ecological and economic importance, such research is critical to understanding contaminant dynamics and guiding environmental management policies (DEFRA, 2023; Environment Agency, 2023; Sweeney, 2024).</w:t>
      </w:r>
    </w:p>
    <w:p w14:paraId="5BCA0B0B" w14:textId="77777777" w:rsidR="008C3F4B" w:rsidRPr="008C3F4B" w:rsidRDefault="008C3F4B" w:rsidP="008C3F4B">
      <w:pPr>
        <w:pStyle w:val="NormalWeb"/>
        <w:jc w:val="both"/>
      </w:pPr>
      <w:r w:rsidRPr="008C3F4B">
        <w:t>This study therefore aimed to assess the seasonal variation in hydrocarbon contamination of sediments and biota in the Bonny Estuary, Rivers State, Nigeria.</w:t>
      </w:r>
    </w:p>
    <w:p w14:paraId="4B7A5865" w14:textId="77777777" w:rsidR="008C3F4B" w:rsidRPr="008C3F4B" w:rsidRDefault="008C3F4B" w:rsidP="008C3F4B">
      <w:pPr>
        <w:pStyle w:val="NormalWeb"/>
        <w:jc w:val="both"/>
      </w:pPr>
    </w:p>
    <w:p w14:paraId="2672B66F" w14:textId="77777777" w:rsidR="008C3F4B" w:rsidRPr="008C3F4B" w:rsidRDefault="008C3F4B" w:rsidP="008C3F4B">
      <w:pPr>
        <w:pStyle w:val="Heading3"/>
        <w:jc w:val="both"/>
        <w:rPr>
          <w:sz w:val="24"/>
          <w:szCs w:val="24"/>
        </w:rPr>
      </w:pPr>
      <w:r w:rsidRPr="008C3F4B">
        <w:rPr>
          <w:sz w:val="24"/>
          <w:szCs w:val="24"/>
        </w:rPr>
        <w:t>2.0 Materials and Methods</w:t>
      </w:r>
    </w:p>
    <w:p w14:paraId="19CD7899"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2.1 Study Area</w:t>
      </w:r>
    </w:p>
    <w:p w14:paraId="7A9848DD" w14:textId="77777777" w:rsidR="008C3F4B" w:rsidRPr="008C3F4B" w:rsidRDefault="008C3F4B" w:rsidP="008C3F4B">
      <w:pPr>
        <w:pStyle w:val="NormalWeb"/>
        <w:jc w:val="both"/>
      </w:pPr>
      <w:r w:rsidRPr="008C3F4B">
        <w:t xml:space="preserve">The Bonny Estuary is located in Rivers State, Nigeria, and lies between latitude 4°25′ to 4°35′ N and longitude 7°08′ to 7°15′ E. The area is part of the Niger Delta coastal plain, characterised by extensive mangrove vegetation, tidal creeks, and a network of distributaries that discharge into the Atlantic Ocean. The estuary supports numerous industrial activities including crude oil exploration, gas flaring, shipping operations, and artisanal refining, which contribute significantly to the pollution burden of the environment. The climate of the area is typically humid tropical, with two major seasons: the wet season (April–October) and the dry season (November–March). Rainfall averages 2500–3500 mm per annum, and mean temperatures range from 26–32°C. The sampling stations were selected to represent locations influenced by </w:t>
      </w:r>
      <w:r w:rsidRPr="008C3F4B">
        <w:lastRenderedPageBreak/>
        <w:t>industrial effluents, gas flaring zones, and relatively less disturbed reference points along the estuary.</w:t>
      </w:r>
    </w:p>
    <w:p w14:paraId="3F304AD5"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2.2 Sample Collection</w:t>
      </w:r>
    </w:p>
    <w:p w14:paraId="3AB3B3A8" w14:textId="77777777" w:rsidR="008C3F4B" w:rsidRPr="008C3F4B" w:rsidRDefault="008C3F4B" w:rsidP="008C3F4B">
      <w:pPr>
        <w:pStyle w:val="NormalWeb"/>
        <w:jc w:val="both"/>
      </w:pPr>
      <w:r w:rsidRPr="008C3F4B">
        <w:t xml:space="preserve">Sampling was conducted during both dry and wet seasons to capture the influence of seasonal variations on hydrocarbon contamination. At each station, surface water, bottom sediment, and fish samples (predominantly </w:t>
      </w:r>
      <w:r w:rsidRPr="008C3F4B">
        <w:rPr>
          <w:rStyle w:val="Emphasis"/>
        </w:rPr>
        <w:t xml:space="preserve">Tilapia </w:t>
      </w:r>
      <w:proofErr w:type="spellStart"/>
      <w:r w:rsidRPr="008C3F4B">
        <w:rPr>
          <w:rStyle w:val="Emphasis"/>
        </w:rPr>
        <w:t>guineensis</w:t>
      </w:r>
      <w:proofErr w:type="spellEnd"/>
      <w:r w:rsidRPr="008C3F4B">
        <w:t xml:space="preserve"> and </w:t>
      </w:r>
      <w:proofErr w:type="spellStart"/>
      <w:r w:rsidRPr="008C3F4B">
        <w:rPr>
          <w:rStyle w:val="Emphasis"/>
        </w:rPr>
        <w:t>Chrysichthys</w:t>
      </w:r>
      <w:proofErr w:type="spellEnd"/>
      <w:r w:rsidRPr="008C3F4B">
        <w:rPr>
          <w:rStyle w:val="Emphasis"/>
        </w:rPr>
        <w:t xml:space="preserve"> </w:t>
      </w:r>
      <w:proofErr w:type="spellStart"/>
      <w:r w:rsidRPr="008C3F4B">
        <w:rPr>
          <w:rStyle w:val="Emphasis"/>
        </w:rPr>
        <w:t>nigrodigitatus</w:t>
      </w:r>
      <w:proofErr w:type="spellEnd"/>
      <w:r w:rsidRPr="008C3F4B">
        <w:t>) were collected. Water samples were obtained using pre-cleaned amber glass bottles fitted with Teflon-lined caps to prevent volatilisation losses. Sediment samples were collected using a Van Veen grab sampler at a depth of 0–5 cm, transferred into solvent-rinsed glass jars, and preserved at 4°C until analysis. Fish samples were collected with the assistance of local fishermen using gill nets, wrapped in aluminium foil, and transported on ice to the laboratory for analysis.</w:t>
      </w:r>
    </w:p>
    <w:p w14:paraId="1B000B8D"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2.3 Sample Preparation</w:t>
      </w:r>
    </w:p>
    <w:p w14:paraId="6BC7D9B1" w14:textId="77777777" w:rsidR="008C3F4B" w:rsidRPr="008C3F4B" w:rsidRDefault="008C3F4B" w:rsidP="008C3F4B">
      <w:pPr>
        <w:pStyle w:val="NormalWeb"/>
        <w:jc w:val="both"/>
      </w:pPr>
      <w:r w:rsidRPr="008C3F4B">
        <w:t>In the laboratory, sediment samples were air-dried at room temperature, gently disaggregated, and sieved through a 2 mm stainless steel mesh. About 10 g of homogenised sediment was extracted for hydrocarbon analysis. Fish tissues (muscle) were dissected, rinsed with distilled water, oven-dried at 45°C, ground into fine powder, and stored in airtight containers. Water samples were filtered through 0.45 µm glass fibre filters to remove particulates before extraction.</w:t>
      </w:r>
    </w:p>
    <w:p w14:paraId="6CF7415A"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 xml:space="preserve">2.4 Determination of </w:t>
      </w:r>
      <w:proofErr w:type="spellStart"/>
      <w:r w:rsidRPr="008C3F4B">
        <w:rPr>
          <w:rFonts w:ascii="Times New Roman" w:hAnsi="Times New Roman" w:cs="Times New Roman"/>
          <w:b/>
          <w:bCs/>
          <w:i w:val="0"/>
          <w:iCs w:val="0"/>
          <w:color w:val="auto"/>
          <w:sz w:val="24"/>
          <w:szCs w:val="24"/>
        </w:rPr>
        <w:t>Physico</w:t>
      </w:r>
      <w:proofErr w:type="spellEnd"/>
      <w:r w:rsidRPr="008C3F4B">
        <w:rPr>
          <w:rFonts w:ascii="Times New Roman" w:hAnsi="Times New Roman" w:cs="Times New Roman"/>
          <w:b/>
          <w:bCs/>
          <w:i w:val="0"/>
          <w:iCs w:val="0"/>
          <w:color w:val="auto"/>
          <w:sz w:val="24"/>
          <w:szCs w:val="24"/>
        </w:rPr>
        <w:t>-Chemical Parameters</w:t>
      </w:r>
    </w:p>
    <w:p w14:paraId="649302D1" w14:textId="77777777" w:rsidR="008C3F4B" w:rsidRPr="008C3F4B" w:rsidRDefault="008C3F4B" w:rsidP="008C3F4B">
      <w:pPr>
        <w:pStyle w:val="NormalWeb"/>
        <w:jc w:val="both"/>
      </w:pPr>
      <w:r w:rsidRPr="008C3F4B">
        <w:t xml:space="preserve">The </w:t>
      </w:r>
      <w:proofErr w:type="spellStart"/>
      <w:r w:rsidRPr="008C3F4B">
        <w:t>physico</w:t>
      </w:r>
      <w:proofErr w:type="spellEnd"/>
      <w:r w:rsidRPr="008C3F4B">
        <w:t>-chemical parameters of water and sediment were determined following standard analytical procedures (APHA, 2017). pH and temperature were measured in situ using a portable multi-parameter meter (Hanna HI9829). Electrical conductivity was determined using a conductivity meter (</w:t>
      </w:r>
      <w:proofErr w:type="spellStart"/>
      <w:r w:rsidRPr="008C3F4B">
        <w:t>Jenway</w:t>
      </w:r>
      <w:proofErr w:type="spellEnd"/>
      <w:r w:rsidRPr="008C3F4B">
        <w:t xml:space="preserve"> 4520). Dissolved oxygen (DO) was analysed using the Winkler titrimetric method, while total organic carbon (TOC) was determined using the Walkley–Black wet oxidation method.</w:t>
      </w:r>
    </w:p>
    <w:p w14:paraId="76E00621"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2.5 Extraction and Quantification of Hydrocarbons</w:t>
      </w:r>
    </w:p>
    <w:p w14:paraId="0B582A02" w14:textId="77777777" w:rsidR="008C3F4B" w:rsidRPr="008C3F4B" w:rsidRDefault="008C3F4B" w:rsidP="008C3F4B">
      <w:pPr>
        <w:pStyle w:val="NormalWeb"/>
        <w:jc w:val="both"/>
      </w:pPr>
      <w:r w:rsidRPr="008C3F4B">
        <w:t>Extraction of total petroleum hydrocarbons (TPH) and polycyclic aromatic hydrocarbons (PAHs) from sediment and fish tissue samples was carried out using n-hexane and dichloromethane (1:1 v/v) solvent mixture in a Soxhlet apparatus for 8 hours. The extracts were concentrated using a rotary evaporator and purified by passing through a silica gel/alumina column to remove polar impurities.</w:t>
      </w:r>
    </w:p>
    <w:p w14:paraId="505058AE" w14:textId="77777777" w:rsidR="008C3F4B" w:rsidRPr="008C3F4B" w:rsidRDefault="008C3F4B" w:rsidP="008C3F4B">
      <w:pPr>
        <w:pStyle w:val="NormalWeb"/>
        <w:jc w:val="both"/>
      </w:pPr>
      <w:r w:rsidRPr="008C3F4B">
        <w:t>For water samples, liquid–liquid extraction was performed using 50 mL of n-hexane, followed by separation of the organic layer. The extracts were concentrated and cleaned similarly.</w:t>
      </w:r>
    </w:p>
    <w:p w14:paraId="3566EFC4" w14:textId="77777777" w:rsidR="008C3F4B" w:rsidRPr="008C3F4B" w:rsidRDefault="008C3F4B" w:rsidP="008C3F4B">
      <w:pPr>
        <w:pStyle w:val="NormalWeb"/>
        <w:jc w:val="both"/>
      </w:pPr>
      <w:r w:rsidRPr="008C3F4B">
        <w:t>Quantitative determination of TPH and PAHs was performed using Gas Chromatography–Flame Ionisation Detection (GC–FID) and Gas Chromatography–Mass Spectrometry (GC–MS) (Agilent 7890B and 5977A models). Calibration was carried out with certified hydrocarbon standards (</w:t>
      </w:r>
      <w:proofErr w:type="spellStart"/>
      <w:r w:rsidRPr="008C3F4B">
        <w:t>Supelco</w:t>
      </w:r>
      <w:proofErr w:type="spellEnd"/>
      <w:r w:rsidRPr="008C3F4B">
        <w:t>, USA) covering 16 priority PAHs as specified by the United States Environmental Protection Agency (USEPA, 2008). Peak identification was based on retention times and mass spectra comparison with reference standards.</w:t>
      </w:r>
    </w:p>
    <w:p w14:paraId="490902E7"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lastRenderedPageBreak/>
        <w:t>2.6 Quality Assurance and Quality Control</w:t>
      </w:r>
    </w:p>
    <w:p w14:paraId="79C12371" w14:textId="77777777" w:rsidR="008C3F4B" w:rsidRPr="008C3F4B" w:rsidRDefault="008C3F4B" w:rsidP="008C3F4B">
      <w:pPr>
        <w:pStyle w:val="NormalWeb"/>
        <w:jc w:val="both"/>
      </w:pPr>
      <w:r w:rsidRPr="008C3F4B">
        <w:t>Quality control measures were implemented to ensure analytical accuracy. All glassware was rinsed with acetone and n-hexane before use. Procedural blanks and duplicate samples were analysed with each batch to detect contamination and assess reproducibility. Recovery experiments were conducted by spiking pre-analysed samples with known concentrations of standards, yielding recoveries between 87–103%. Limit of detection (LOD) ranged from 0.001 to 0.005 mg/kg for individual PAHs. Data were corrected for recovery rates.</w:t>
      </w:r>
    </w:p>
    <w:p w14:paraId="0179A9DB"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2.7 Data Treatment and Statistical Analysis</w:t>
      </w:r>
    </w:p>
    <w:p w14:paraId="3375D727" w14:textId="77777777" w:rsidR="008C3F4B" w:rsidRPr="008C3F4B" w:rsidRDefault="008C3F4B" w:rsidP="008C3F4B">
      <w:pPr>
        <w:pStyle w:val="NormalWeb"/>
        <w:jc w:val="both"/>
      </w:pPr>
      <w:r w:rsidRPr="008C3F4B">
        <w:t>Descriptive statistics (mean, standard deviation) were computed using Microsoft Excel 2021. Comparative analysis of seasonal variations was performed using one-way analysis of variance (ANOVA) at a significance level of p &lt; 0.05. Correlation analysis between sediment and biota concentrations was carried out using Pearson’s correlation coefficient (r). Diagnostic ratios such as Ant</w:t>
      </w:r>
      <w:proofErr w:type="gramStart"/>
      <w:r w:rsidRPr="008C3F4B">
        <w:t>/(</w:t>
      </w:r>
      <w:proofErr w:type="gramEnd"/>
      <w:r w:rsidRPr="008C3F4B">
        <w:t xml:space="preserve">Ant + </w:t>
      </w:r>
      <w:proofErr w:type="spellStart"/>
      <w:r w:rsidRPr="008C3F4B">
        <w:t>Phe</w:t>
      </w:r>
      <w:proofErr w:type="spellEnd"/>
      <w:r w:rsidRPr="008C3F4B">
        <w:t xml:space="preserve">), Flu/(Flu + </w:t>
      </w:r>
      <w:proofErr w:type="spellStart"/>
      <w:r w:rsidRPr="008C3F4B">
        <w:t>Pyr</w:t>
      </w:r>
      <w:proofErr w:type="spellEnd"/>
      <w:r w:rsidRPr="008C3F4B">
        <w:t xml:space="preserve">), and </w:t>
      </w:r>
      <w:proofErr w:type="spellStart"/>
      <w:r w:rsidRPr="008C3F4B">
        <w:t>BaA</w:t>
      </w:r>
      <w:proofErr w:type="spellEnd"/>
      <w:r w:rsidRPr="008C3F4B">
        <w:t>/(</w:t>
      </w:r>
      <w:proofErr w:type="spellStart"/>
      <w:r w:rsidRPr="008C3F4B">
        <w:t>BaA</w:t>
      </w:r>
      <w:proofErr w:type="spellEnd"/>
      <w:r w:rsidRPr="008C3F4B">
        <w:t xml:space="preserve"> + </w:t>
      </w:r>
      <w:proofErr w:type="spellStart"/>
      <w:r w:rsidRPr="008C3F4B">
        <w:t>Chr</w:t>
      </w:r>
      <w:proofErr w:type="spellEnd"/>
      <w:r w:rsidRPr="008C3F4B">
        <w:t>) were computed to differentiate between petrogenic and pyrogenic sources of PAHs as outlined by Yunker et al. (2002). Results were interpreted in relation to international guidelines (NESREA, 2011; FAO/WHO, 2020).</w:t>
      </w:r>
    </w:p>
    <w:p w14:paraId="67D528DD" w14:textId="77777777" w:rsidR="008C3F4B" w:rsidRP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p>
    <w:p w14:paraId="6AD46D5E" w14:textId="26D3BC78" w:rsidR="008C3F4B" w:rsidRPr="008C3F4B" w:rsidRDefault="008C3F4B" w:rsidP="008C3F4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3.0 Results and Discussion</w:t>
      </w:r>
    </w:p>
    <w:p w14:paraId="72749F2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 xml:space="preserve">Table 1. </w:t>
      </w:r>
      <w:proofErr w:type="spellStart"/>
      <w:r w:rsidRPr="008C3F4B">
        <w:rPr>
          <w:rFonts w:ascii="Times New Roman" w:eastAsia="Times New Roman" w:hAnsi="Times New Roman" w:cs="Times New Roman"/>
          <w:b/>
          <w:bCs/>
          <w:sz w:val="24"/>
          <w:szCs w:val="24"/>
          <w:lang w:eastAsia="en-GB"/>
        </w:rPr>
        <w:t>Physico</w:t>
      </w:r>
      <w:proofErr w:type="spellEnd"/>
      <w:r w:rsidRPr="008C3F4B">
        <w:rPr>
          <w:rFonts w:ascii="Times New Roman" w:eastAsia="Times New Roman" w:hAnsi="Times New Roman" w:cs="Times New Roman"/>
          <w:b/>
          <w:bCs/>
          <w:sz w:val="24"/>
          <w:szCs w:val="24"/>
          <w:lang w:eastAsia="en-GB"/>
        </w:rPr>
        <w:t>-Chemical Parameters of Sediment and Surface Water Samples across Seasons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1673"/>
        <w:gridCol w:w="1686"/>
        <w:gridCol w:w="1522"/>
        <w:gridCol w:w="1909"/>
      </w:tblGrid>
      <w:tr w:rsidR="008C3F4B" w:rsidRPr="008C3F4B" w14:paraId="72449126" w14:textId="77777777" w:rsidTr="008C3F4B">
        <w:trPr>
          <w:tblHeader/>
          <w:tblCellSpacing w:w="15" w:type="dxa"/>
        </w:trPr>
        <w:tc>
          <w:tcPr>
            <w:tcW w:w="0" w:type="auto"/>
            <w:vAlign w:val="center"/>
            <w:hideMark/>
          </w:tcPr>
          <w:p w14:paraId="7F0AFD5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63A73419"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 (Mean ± SD)</w:t>
            </w:r>
          </w:p>
        </w:tc>
        <w:tc>
          <w:tcPr>
            <w:tcW w:w="0" w:type="auto"/>
            <w:vAlign w:val="center"/>
            <w:hideMark/>
          </w:tcPr>
          <w:p w14:paraId="2086966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 (Mean ± SD)</w:t>
            </w:r>
          </w:p>
        </w:tc>
        <w:tc>
          <w:tcPr>
            <w:tcW w:w="0" w:type="auto"/>
            <w:vAlign w:val="center"/>
            <w:hideMark/>
          </w:tcPr>
          <w:p w14:paraId="66448F6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WHO Limit (Water)</w:t>
            </w:r>
          </w:p>
        </w:tc>
        <w:tc>
          <w:tcPr>
            <w:tcW w:w="0" w:type="auto"/>
            <w:vAlign w:val="center"/>
            <w:hideMark/>
          </w:tcPr>
          <w:p w14:paraId="6F3F80FE"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Remarks</w:t>
            </w:r>
          </w:p>
        </w:tc>
      </w:tr>
      <w:tr w:rsidR="008C3F4B" w:rsidRPr="008C3F4B" w14:paraId="2BA5DCEC" w14:textId="77777777" w:rsidTr="008C3F4B">
        <w:trPr>
          <w:tblCellSpacing w:w="15" w:type="dxa"/>
        </w:trPr>
        <w:tc>
          <w:tcPr>
            <w:tcW w:w="0" w:type="auto"/>
            <w:vAlign w:val="center"/>
            <w:hideMark/>
          </w:tcPr>
          <w:p w14:paraId="4B8148D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pH</w:t>
            </w:r>
          </w:p>
        </w:tc>
        <w:tc>
          <w:tcPr>
            <w:tcW w:w="0" w:type="auto"/>
            <w:vAlign w:val="center"/>
            <w:hideMark/>
          </w:tcPr>
          <w:p w14:paraId="39D3C7C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7.25 ± 0.18</w:t>
            </w:r>
          </w:p>
        </w:tc>
        <w:tc>
          <w:tcPr>
            <w:tcW w:w="0" w:type="auto"/>
            <w:vAlign w:val="center"/>
            <w:hideMark/>
          </w:tcPr>
          <w:p w14:paraId="0CA30FA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6.72 ± 0.23</w:t>
            </w:r>
          </w:p>
        </w:tc>
        <w:tc>
          <w:tcPr>
            <w:tcW w:w="0" w:type="auto"/>
            <w:vAlign w:val="center"/>
            <w:hideMark/>
          </w:tcPr>
          <w:p w14:paraId="669D548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6.5–8.5</w:t>
            </w:r>
          </w:p>
        </w:tc>
        <w:tc>
          <w:tcPr>
            <w:tcW w:w="0" w:type="auto"/>
            <w:vAlign w:val="center"/>
            <w:hideMark/>
          </w:tcPr>
          <w:p w14:paraId="3CBFF85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Slightly acidic in wet season</w:t>
            </w:r>
          </w:p>
        </w:tc>
      </w:tr>
      <w:tr w:rsidR="008C3F4B" w:rsidRPr="008C3F4B" w14:paraId="0FB4C79C" w14:textId="77777777" w:rsidTr="008C3F4B">
        <w:trPr>
          <w:tblCellSpacing w:w="15" w:type="dxa"/>
        </w:trPr>
        <w:tc>
          <w:tcPr>
            <w:tcW w:w="0" w:type="auto"/>
            <w:vAlign w:val="center"/>
            <w:hideMark/>
          </w:tcPr>
          <w:p w14:paraId="151904A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Temperature (°C)</w:t>
            </w:r>
          </w:p>
        </w:tc>
        <w:tc>
          <w:tcPr>
            <w:tcW w:w="0" w:type="auto"/>
            <w:vAlign w:val="center"/>
            <w:hideMark/>
          </w:tcPr>
          <w:p w14:paraId="7BD3657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29.3 ± 0.4</w:t>
            </w:r>
          </w:p>
        </w:tc>
        <w:tc>
          <w:tcPr>
            <w:tcW w:w="0" w:type="auto"/>
            <w:vAlign w:val="center"/>
            <w:hideMark/>
          </w:tcPr>
          <w:p w14:paraId="77E92D7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27.8 ± 0.5</w:t>
            </w:r>
          </w:p>
        </w:tc>
        <w:tc>
          <w:tcPr>
            <w:tcW w:w="0" w:type="auto"/>
            <w:vAlign w:val="center"/>
            <w:hideMark/>
          </w:tcPr>
          <w:p w14:paraId="478161B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498F0B6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seasonal variation</w:t>
            </w:r>
          </w:p>
        </w:tc>
      </w:tr>
      <w:tr w:rsidR="008C3F4B" w:rsidRPr="008C3F4B" w14:paraId="1F59ED7E" w14:textId="77777777" w:rsidTr="008C3F4B">
        <w:trPr>
          <w:tblCellSpacing w:w="15" w:type="dxa"/>
        </w:trPr>
        <w:tc>
          <w:tcPr>
            <w:tcW w:w="0" w:type="auto"/>
            <w:vAlign w:val="center"/>
            <w:hideMark/>
          </w:tcPr>
          <w:p w14:paraId="255A5BB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Electrical Conductivity (µS/cm)</w:t>
            </w:r>
          </w:p>
        </w:tc>
        <w:tc>
          <w:tcPr>
            <w:tcW w:w="0" w:type="auto"/>
            <w:vAlign w:val="center"/>
            <w:hideMark/>
          </w:tcPr>
          <w:p w14:paraId="167CCC6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324 ± 22</w:t>
            </w:r>
          </w:p>
        </w:tc>
        <w:tc>
          <w:tcPr>
            <w:tcW w:w="0" w:type="auto"/>
            <w:vAlign w:val="center"/>
            <w:hideMark/>
          </w:tcPr>
          <w:p w14:paraId="4CBB48B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278 ± 18</w:t>
            </w:r>
          </w:p>
        </w:tc>
        <w:tc>
          <w:tcPr>
            <w:tcW w:w="0" w:type="auto"/>
            <w:vAlign w:val="center"/>
            <w:hideMark/>
          </w:tcPr>
          <w:p w14:paraId="47E25E0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1000</w:t>
            </w:r>
          </w:p>
        </w:tc>
        <w:tc>
          <w:tcPr>
            <w:tcW w:w="0" w:type="auto"/>
            <w:vAlign w:val="center"/>
            <w:hideMark/>
          </w:tcPr>
          <w:p w14:paraId="523D93B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Within limit</w:t>
            </w:r>
          </w:p>
        </w:tc>
      </w:tr>
      <w:tr w:rsidR="008C3F4B" w:rsidRPr="008C3F4B" w14:paraId="7F8D3302" w14:textId="77777777" w:rsidTr="008C3F4B">
        <w:trPr>
          <w:tblCellSpacing w:w="15" w:type="dxa"/>
        </w:trPr>
        <w:tc>
          <w:tcPr>
            <w:tcW w:w="0" w:type="auto"/>
            <w:vAlign w:val="center"/>
            <w:hideMark/>
          </w:tcPr>
          <w:p w14:paraId="57F8ABDA"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Dissolved Oxygen (mg/L)</w:t>
            </w:r>
          </w:p>
        </w:tc>
        <w:tc>
          <w:tcPr>
            <w:tcW w:w="0" w:type="auto"/>
            <w:vAlign w:val="center"/>
            <w:hideMark/>
          </w:tcPr>
          <w:p w14:paraId="79E5A30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4.8 ± 0.3</w:t>
            </w:r>
          </w:p>
        </w:tc>
        <w:tc>
          <w:tcPr>
            <w:tcW w:w="0" w:type="auto"/>
            <w:vAlign w:val="center"/>
            <w:hideMark/>
          </w:tcPr>
          <w:p w14:paraId="79AD60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3.2 ± 0.2</w:t>
            </w:r>
          </w:p>
        </w:tc>
        <w:tc>
          <w:tcPr>
            <w:tcW w:w="0" w:type="auto"/>
            <w:vAlign w:val="center"/>
            <w:hideMark/>
          </w:tcPr>
          <w:p w14:paraId="0B609C7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5.0</w:t>
            </w:r>
          </w:p>
        </w:tc>
        <w:tc>
          <w:tcPr>
            <w:tcW w:w="0" w:type="auto"/>
            <w:vAlign w:val="center"/>
            <w:hideMark/>
          </w:tcPr>
          <w:p w14:paraId="145E4517"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Lower in wet season</w:t>
            </w:r>
          </w:p>
        </w:tc>
      </w:tr>
      <w:tr w:rsidR="008C3F4B" w:rsidRPr="008C3F4B" w14:paraId="1752028A" w14:textId="77777777" w:rsidTr="008C3F4B">
        <w:trPr>
          <w:tblCellSpacing w:w="15" w:type="dxa"/>
        </w:trPr>
        <w:tc>
          <w:tcPr>
            <w:tcW w:w="0" w:type="auto"/>
            <w:vAlign w:val="center"/>
            <w:hideMark/>
          </w:tcPr>
          <w:p w14:paraId="66EAC1A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Total Organic Carbon (mg/kg)</w:t>
            </w:r>
          </w:p>
        </w:tc>
        <w:tc>
          <w:tcPr>
            <w:tcW w:w="0" w:type="auto"/>
            <w:vAlign w:val="center"/>
            <w:hideMark/>
          </w:tcPr>
          <w:p w14:paraId="5713C2C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12.8 ± 1.1</w:t>
            </w:r>
          </w:p>
        </w:tc>
        <w:tc>
          <w:tcPr>
            <w:tcW w:w="0" w:type="auto"/>
            <w:vAlign w:val="center"/>
            <w:hideMark/>
          </w:tcPr>
          <w:p w14:paraId="2C239B4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15.4 ± 1.3</w:t>
            </w:r>
          </w:p>
        </w:tc>
        <w:tc>
          <w:tcPr>
            <w:tcW w:w="0" w:type="auto"/>
            <w:vAlign w:val="center"/>
            <w:hideMark/>
          </w:tcPr>
          <w:p w14:paraId="6D0947A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180F202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Elevated in wet season</w:t>
            </w:r>
          </w:p>
        </w:tc>
      </w:tr>
    </w:tbl>
    <w:p w14:paraId="403837B5"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w:t>
      </w:r>
      <w:proofErr w:type="spellStart"/>
      <w:r w:rsidRPr="008C3F4B">
        <w:rPr>
          <w:rFonts w:ascii="Times New Roman" w:eastAsia="Times New Roman" w:hAnsi="Times New Roman" w:cs="Times New Roman"/>
          <w:sz w:val="24"/>
          <w:szCs w:val="24"/>
          <w:lang w:eastAsia="en-GB"/>
        </w:rPr>
        <w:t>physico</w:t>
      </w:r>
      <w:proofErr w:type="spellEnd"/>
      <w:r w:rsidRPr="008C3F4B">
        <w:rPr>
          <w:rFonts w:ascii="Times New Roman" w:eastAsia="Times New Roman" w:hAnsi="Times New Roman" w:cs="Times New Roman"/>
          <w:sz w:val="24"/>
          <w:szCs w:val="24"/>
          <w:lang w:eastAsia="en-GB"/>
        </w:rPr>
        <w:t xml:space="preserve">-chemical characteristics of surface water and sediment revealed significant seasonal variations that reflect the interplay between hydrological processes and contaminant inputs. The pH values during the wet season were slightly acidic, indicating possible acidification due to the inflow of organic acids, hydrocarbons, and leachates from oil-polluted soils surrounding the estuary. This observation is consistent with the findings of </w:t>
      </w:r>
      <w:proofErr w:type="spellStart"/>
      <w:r w:rsidRPr="008C3F4B">
        <w:rPr>
          <w:rFonts w:ascii="Times New Roman" w:eastAsia="Times New Roman" w:hAnsi="Times New Roman" w:cs="Times New Roman"/>
          <w:sz w:val="24"/>
          <w:szCs w:val="24"/>
          <w:lang w:eastAsia="en-GB"/>
        </w:rPr>
        <w:t>Aigberua</w:t>
      </w:r>
      <w:proofErr w:type="spellEnd"/>
      <w:r w:rsidRPr="008C3F4B">
        <w:rPr>
          <w:rFonts w:ascii="Times New Roman" w:eastAsia="Times New Roman" w:hAnsi="Times New Roman" w:cs="Times New Roman"/>
          <w:sz w:val="24"/>
          <w:szCs w:val="24"/>
          <w:lang w:eastAsia="en-GB"/>
        </w:rPr>
        <w:t xml:space="preserve"> (2020) and Adeniran et al. (2023), who reported similar pH shifts in petroleum-impacted surface waters of the Niger Delta.</w:t>
      </w:r>
    </w:p>
    <w:p w14:paraId="47BDF0D9"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lastRenderedPageBreak/>
        <w:t>Temperature fluctuations were minimal but slightly lower during the wet season, probably due to dilution effects and reduced solar intensity. The electrical conductivity (EC) values remained within acceptable limits, suggesting moderate ionic strength but still indicative of saltwater intrusion from tidal mixing.</w:t>
      </w:r>
    </w:p>
    <w:p w14:paraId="5CCD835B"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Dissolved oxygen (DO) levels decreased substantially in the wet season (3.2 mg/L), falling below the WHO recommended threshold for aquatic life. This depletion is attributed to microbial degradation of hydrocarbons and organic matter introduced via surface runoff. The elevated total organic carbon (TOC) in the wet season corroborates this inference, as organic-rich sediments promote oxygen consumption during aerobic decomposition. Such observations have also been reported in hydrocarbon-polluted estuarine environments of </w:t>
      </w:r>
      <w:proofErr w:type="spellStart"/>
      <w:r w:rsidRPr="008C3F4B">
        <w:rPr>
          <w:rFonts w:ascii="Times New Roman" w:eastAsia="Times New Roman" w:hAnsi="Times New Roman" w:cs="Times New Roman"/>
          <w:sz w:val="24"/>
          <w:szCs w:val="24"/>
          <w:lang w:eastAsia="en-GB"/>
        </w:rPr>
        <w:t>Eket</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by Akpan et al. (2022) and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w:t>
      </w:r>
    </w:p>
    <w:p w14:paraId="533521AF"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observed increase in TOC reflects higher organic pollutant load, which enhances the sorption capacity of sediments for hydrophobic organic contaminants such as PAHs and TPHs (Gill et al., 2020; Thornton et al., 2024). Hence, the wet season’s elevated TOC values may facilitate the retention and subsequent remobilisation of hydrocarbons, influencing their availability for bioaccumulation in aquatic organisms.</w:t>
      </w:r>
    </w:p>
    <w:p w14:paraId="385A186E" w14:textId="7B1D4FFE"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73681657"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2. Total Petroleum Hydrocarbons (TPH) and Polycyclic Aromatic Hydrocarbons (PAHs) in Sediment Samples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6"/>
        <w:gridCol w:w="1118"/>
        <w:gridCol w:w="1138"/>
        <w:gridCol w:w="1517"/>
        <w:gridCol w:w="2687"/>
      </w:tblGrid>
      <w:tr w:rsidR="008C3F4B" w:rsidRPr="008C3F4B" w14:paraId="563DD313" w14:textId="77777777" w:rsidTr="008C3F4B">
        <w:trPr>
          <w:tblHeader/>
          <w:tblCellSpacing w:w="15" w:type="dxa"/>
        </w:trPr>
        <w:tc>
          <w:tcPr>
            <w:tcW w:w="0" w:type="auto"/>
            <w:vAlign w:val="center"/>
            <w:hideMark/>
          </w:tcPr>
          <w:p w14:paraId="7B2DF46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2D05E35E"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55F05FCB"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0197D600"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NESREA Limit</w:t>
            </w:r>
          </w:p>
        </w:tc>
        <w:tc>
          <w:tcPr>
            <w:tcW w:w="0" w:type="auto"/>
            <w:vAlign w:val="center"/>
            <w:hideMark/>
          </w:tcPr>
          <w:p w14:paraId="38F97D0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Observation</w:t>
            </w:r>
          </w:p>
        </w:tc>
      </w:tr>
      <w:tr w:rsidR="008C3F4B" w:rsidRPr="008C3F4B" w14:paraId="33F72542" w14:textId="77777777" w:rsidTr="008C3F4B">
        <w:trPr>
          <w:tblCellSpacing w:w="15" w:type="dxa"/>
        </w:trPr>
        <w:tc>
          <w:tcPr>
            <w:tcW w:w="0" w:type="auto"/>
            <w:vAlign w:val="center"/>
            <w:hideMark/>
          </w:tcPr>
          <w:p w14:paraId="1CD7764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TPH</w:t>
            </w:r>
          </w:p>
        </w:tc>
        <w:tc>
          <w:tcPr>
            <w:tcW w:w="0" w:type="auto"/>
            <w:vAlign w:val="center"/>
            <w:hideMark/>
          </w:tcPr>
          <w:p w14:paraId="10E1CE6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15.72 ± 1.3</w:t>
            </w:r>
          </w:p>
        </w:tc>
        <w:tc>
          <w:tcPr>
            <w:tcW w:w="0" w:type="auto"/>
            <w:vAlign w:val="center"/>
            <w:hideMark/>
          </w:tcPr>
          <w:p w14:paraId="41B8E16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24.35 ± 2.1</w:t>
            </w:r>
          </w:p>
        </w:tc>
        <w:tc>
          <w:tcPr>
            <w:tcW w:w="0" w:type="auto"/>
            <w:vAlign w:val="center"/>
            <w:hideMark/>
          </w:tcPr>
          <w:p w14:paraId="6CABC99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w:t>
            </w:r>
          </w:p>
        </w:tc>
        <w:tc>
          <w:tcPr>
            <w:tcW w:w="0" w:type="auto"/>
            <w:vAlign w:val="center"/>
            <w:hideMark/>
          </w:tcPr>
          <w:p w14:paraId="15608C6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Exceeded permissible level</w:t>
            </w:r>
          </w:p>
        </w:tc>
      </w:tr>
      <w:tr w:rsidR="008C3F4B" w:rsidRPr="008C3F4B" w14:paraId="00854BD8" w14:textId="77777777" w:rsidTr="008C3F4B">
        <w:trPr>
          <w:tblCellSpacing w:w="15" w:type="dxa"/>
        </w:trPr>
        <w:tc>
          <w:tcPr>
            <w:tcW w:w="0" w:type="auto"/>
            <w:vAlign w:val="center"/>
            <w:hideMark/>
          </w:tcPr>
          <w:p w14:paraId="2B5D26A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∑PAHs</w:t>
            </w:r>
          </w:p>
        </w:tc>
        <w:tc>
          <w:tcPr>
            <w:tcW w:w="0" w:type="auto"/>
            <w:vAlign w:val="center"/>
            <w:hideMark/>
          </w:tcPr>
          <w:p w14:paraId="2FA087B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4.86 ± 0.5</w:t>
            </w:r>
          </w:p>
        </w:tc>
        <w:tc>
          <w:tcPr>
            <w:tcW w:w="0" w:type="auto"/>
            <w:vAlign w:val="center"/>
            <w:hideMark/>
          </w:tcPr>
          <w:p w14:paraId="3C8285E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7.42 ± 0.7</w:t>
            </w:r>
          </w:p>
        </w:tc>
        <w:tc>
          <w:tcPr>
            <w:tcW w:w="0" w:type="auto"/>
            <w:vAlign w:val="center"/>
            <w:hideMark/>
          </w:tcPr>
          <w:p w14:paraId="7657479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w:t>
            </w:r>
          </w:p>
        </w:tc>
        <w:tc>
          <w:tcPr>
            <w:tcW w:w="0" w:type="auto"/>
            <w:vAlign w:val="center"/>
            <w:hideMark/>
          </w:tcPr>
          <w:p w14:paraId="0D61EB1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Elevated in both seasons</w:t>
            </w:r>
          </w:p>
        </w:tc>
      </w:tr>
      <w:tr w:rsidR="008C3F4B" w:rsidRPr="008C3F4B" w14:paraId="0C08F75C" w14:textId="77777777" w:rsidTr="008C3F4B">
        <w:trPr>
          <w:tblCellSpacing w:w="15" w:type="dxa"/>
        </w:trPr>
        <w:tc>
          <w:tcPr>
            <w:tcW w:w="0" w:type="auto"/>
            <w:vAlign w:val="center"/>
            <w:hideMark/>
          </w:tcPr>
          <w:p w14:paraId="14BB599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Low Molecular Weight PAHs</w:t>
            </w:r>
          </w:p>
        </w:tc>
        <w:tc>
          <w:tcPr>
            <w:tcW w:w="0" w:type="auto"/>
            <w:vAlign w:val="center"/>
            <w:hideMark/>
          </w:tcPr>
          <w:p w14:paraId="7267B6B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2.11 ± 0.3</w:t>
            </w:r>
          </w:p>
        </w:tc>
        <w:tc>
          <w:tcPr>
            <w:tcW w:w="0" w:type="auto"/>
            <w:vAlign w:val="center"/>
            <w:hideMark/>
          </w:tcPr>
          <w:p w14:paraId="0FD961D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3.84 ± 0.4</w:t>
            </w:r>
          </w:p>
        </w:tc>
        <w:tc>
          <w:tcPr>
            <w:tcW w:w="0" w:type="auto"/>
            <w:vAlign w:val="center"/>
            <w:hideMark/>
          </w:tcPr>
          <w:p w14:paraId="218A23D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4B8D6FD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Dominant in dry season</w:t>
            </w:r>
          </w:p>
        </w:tc>
      </w:tr>
      <w:tr w:rsidR="008C3F4B" w:rsidRPr="008C3F4B" w14:paraId="68C631AF" w14:textId="77777777" w:rsidTr="008C3F4B">
        <w:trPr>
          <w:tblCellSpacing w:w="15" w:type="dxa"/>
        </w:trPr>
        <w:tc>
          <w:tcPr>
            <w:tcW w:w="0" w:type="auto"/>
            <w:vAlign w:val="center"/>
            <w:hideMark/>
          </w:tcPr>
          <w:p w14:paraId="4F062CE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High Molecular Weight PAHs</w:t>
            </w:r>
          </w:p>
        </w:tc>
        <w:tc>
          <w:tcPr>
            <w:tcW w:w="0" w:type="auto"/>
            <w:vAlign w:val="center"/>
            <w:hideMark/>
          </w:tcPr>
          <w:p w14:paraId="3AF4B73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2.75 ± 0.2</w:t>
            </w:r>
          </w:p>
        </w:tc>
        <w:tc>
          <w:tcPr>
            <w:tcW w:w="0" w:type="auto"/>
            <w:vAlign w:val="center"/>
            <w:hideMark/>
          </w:tcPr>
          <w:p w14:paraId="592670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3.58 ± 0.3</w:t>
            </w:r>
          </w:p>
        </w:tc>
        <w:tc>
          <w:tcPr>
            <w:tcW w:w="0" w:type="auto"/>
            <w:vAlign w:val="center"/>
            <w:hideMark/>
          </w:tcPr>
          <w:p w14:paraId="32B7F54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5649D03A"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Increased during rainfall period</w:t>
            </w:r>
          </w:p>
        </w:tc>
      </w:tr>
    </w:tbl>
    <w:p w14:paraId="166D0701"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concentration of total petroleum hydrocarbons (TPH) and total PAHs in sediment samples exceeded the NESREA limits in both seasons, signifying chronic petroleum contamination in the Bonny Estuary. The wet season recorded significantly higher concentrations of TPH (24.35 mg/kg) and PAHs (7.42 mg/kg), suggesting that hydrological processes during rainfall events play a major role in transporting hydrocarbons from surrounding oil facilities and settlements into the estuary.</w:t>
      </w:r>
    </w:p>
    <w:p w14:paraId="6FB27193"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During the wet season, stormwater runoff, tidal action, and river inflows tend to resuspend and redistribute hydrocarbons from terrestrial and nearshore sources. According to Ite et al. (2018) and Fei-Baffoe et al. (2024), such increases are typical of oil-producing regions where poor waste handling and illegal refining activities contribute to sustained hydrocarbon inputs.</w:t>
      </w:r>
    </w:p>
    <w:p w14:paraId="2BBC07CB"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ratio between low and high molecular weight PAHs provides insight into the predominant pollution sources. The low molecular weight PAHs (LMW-PAHs), such as naphthalene and phenanthrene, were slightly dominant in the dry season, indicating petrogenic influence from </w:t>
      </w:r>
      <w:r w:rsidRPr="008C3F4B">
        <w:rPr>
          <w:rFonts w:ascii="Times New Roman" w:eastAsia="Times New Roman" w:hAnsi="Times New Roman" w:cs="Times New Roman"/>
          <w:sz w:val="24"/>
          <w:szCs w:val="24"/>
          <w:lang w:eastAsia="en-GB"/>
        </w:rPr>
        <w:lastRenderedPageBreak/>
        <w:t>crude oil and fuel spills. Conversely, the higher presence of high molecular weight PAHs (HMW-PAHs) during the wet season suggests pyrogenic sources, resulting from the incomplete combustion of fossil fuels and biomass burning (</w:t>
      </w:r>
      <w:proofErr w:type="spellStart"/>
      <w:r w:rsidRPr="008C3F4B">
        <w:rPr>
          <w:rFonts w:ascii="Times New Roman" w:eastAsia="Times New Roman" w:hAnsi="Times New Roman" w:cs="Times New Roman"/>
          <w:sz w:val="24"/>
          <w:szCs w:val="24"/>
          <w:lang w:eastAsia="en-GB"/>
        </w:rPr>
        <w:t>Abugu</w:t>
      </w:r>
      <w:proofErr w:type="spellEnd"/>
      <w:r w:rsidRPr="008C3F4B">
        <w:rPr>
          <w:rFonts w:ascii="Times New Roman" w:eastAsia="Times New Roman" w:hAnsi="Times New Roman" w:cs="Times New Roman"/>
          <w:sz w:val="24"/>
          <w:szCs w:val="24"/>
          <w:lang w:eastAsia="en-GB"/>
        </w:rPr>
        <w:t xml:space="preserve"> et al., 2023; </w:t>
      </w:r>
      <w:proofErr w:type="spellStart"/>
      <w:r w:rsidRPr="008C3F4B">
        <w:rPr>
          <w:rFonts w:ascii="Times New Roman" w:eastAsia="Times New Roman" w:hAnsi="Times New Roman" w:cs="Times New Roman"/>
          <w:sz w:val="24"/>
          <w:szCs w:val="24"/>
          <w:lang w:eastAsia="en-GB"/>
        </w:rPr>
        <w:t>Ajeh</w:t>
      </w:r>
      <w:proofErr w:type="spellEnd"/>
      <w:r w:rsidRPr="008C3F4B">
        <w:rPr>
          <w:rFonts w:ascii="Times New Roman" w:eastAsia="Times New Roman" w:hAnsi="Times New Roman" w:cs="Times New Roman"/>
          <w:sz w:val="24"/>
          <w:szCs w:val="24"/>
          <w:lang w:eastAsia="en-GB"/>
        </w:rPr>
        <w:t xml:space="preserve"> et al., 2022).</w:t>
      </w:r>
    </w:p>
    <w:p w14:paraId="6783C618"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accumulation of HMW-PAHs is of particular concern due to their high persistence and carcinogenic potential. Their elevated presence in the wet season points to increased atmospheric deposition from gas flaring and combustion processes, as observed in related studies across the Niger Delta (HYPREP, 2023;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w:t>
      </w:r>
    </w:p>
    <w:p w14:paraId="45536E45" w14:textId="6B960E51"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2CBA27F5"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3. Concentration of Selected Hydrocarbons in Fish Tissues (µg/g dry weight)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8"/>
        <w:gridCol w:w="1197"/>
        <w:gridCol w:w="1223"/>
        <w:gridCol w:w="1839"/>
        <w:gridCol w:w="3159"/>
      </w:tblGrid>
      <w:tr w:rsidR="008C3F4B" w:rsidRPr="008C3F4B" w14:paraId="0CDA9150" w14:textId="77777777" w:rsidTr="008C3F4B">
        <w:trPr>
          <w:tblHeader/>
          <w:tblCellSpacing w:w="15" w:type="dxa"/>
        </w:trPr>
        <w:tc>
          <w:tcPr>
            <w:tcW w:w="0" w:type="auto"/>
            <w:vAlign w:val="center"/>
            <w:hideMark/>
          </w:tcPr>
          <w:p w14:paraId="7C9BA22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Hydrocarbon</w:t>
            </w:r>
          </w:p>
        </w:tc>
        <w:tc>
          <w:tcPr>
            <w:tcW w:w="0" w:type="auto"/>
            <w:vAlign w:val="center"/>
            <w:hideMark/>
          </w:tcPr>
          <w:p w14:paraId="79A82B7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4399A10C"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77C4113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FAO/WHO Limit</w:t>
            </w:r>
          </w:p>
        </w:tc>
        <w:tc>
          <w:tcPr>
            <w:tcW w:w="0" w:type="auto"/>
            <w:vAlign w:val="center"/>
            <w:hideMark/>
          </w:tcPr>
          <w:p w14:paraId="37D54C3D"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Implication</w:t>
            </w:r>
          </w:p>
        </w:tc>
      </w:tr>
      <w:tr w:rsidR="008C3F4B" w:rsidRPr="008C3F4B" w14:paraId="46E50054" w14:textId="77777777" w:rsidTr="008C3F4B">
        <w:trPr>
          <w:tblCellSpacing w:w="15" w:type="dxa"/>
        </w:trPr>
        <w:tc>
          <w:tcPr>
            <w:tcW w:w="0" w:type="auto"/>
            <w:vAlign w:val="center"/>
            <w:hideMark/>
          </w:tcPr>
          <w:p w14:paraId="380552A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Naphthalene</w:t>
            </w:r>
          </w:p>
        </w:tc>
        <w:tc>
          <w:tcPr>
            <w:tcW w:w="0" w:type="auto"/>
            <w:vAlign w:val="center"/>
            <w:hideMark/>
          </w:tcPr>
          <w:p w14:paraId="3F417B8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0.72 ± 0.05</w:t>
            </w:r>
          </w:p>
        </w:tc>
        <w:tc>
          <w:tcPr>
            <w:tcW w:w="0" w:type="auto"/>
            <w:vAlign w:val="center"/>
            <w:hideMark/>
          </w:tcPr>
          <w:p w14:paraId="4E2DE61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1.43 ± 0.08</w:t>
            </w:r>
          </w:p>
        </w:tc>
        <w:tc>
          <w:tcPr>
            <w:tcW w:w="0" w:type="auto"/>
            <w:vAlign w:val="center"/>
            <w:hideMark/>
          </w:tcPr>
          <w:p w14:paraId="51E071E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2A7E35D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Above limit in wet season</w:t>
            </w:r>
          </w:p>
        </w:tc>
      </w:tr>
      <w:tr w:rsidR="008C3F4B" w:rsidRPr="008C3F4B" w14:paraId="715B7B12" w14:textId="77777777" w:rsidTr="008C3F4B">
        <w:trPr>
          <w:tblCellSpacing w:w="15" w:type="dxa"/>
        </w:trPr>
        <w:tc>
          <w:tcPr>
            <w:tcW w:w="0" w:type="auto"/>
            <w:vAlign w:val="center"/>
            <w:hideMark/>
          </w:tcPr>
          <w:p w14:paraId="5A4A745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Phenanthrene</w:t>
            </w:r>
          </w:p>
        </w:tc>
        <w:tc>
          <w:tcPr>
            <w:tcW w:w="0" w:type="auto"/>
            <w:vAlign w:val="center"/>
            <w:hideMark/>
          </w:tcPr>
          <w:p w14:paraId="755D7DE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0.68 ± 0.06</w:t>
            </w:r>
          </w:p>
        </w:tc>
        <w:tc>
          <w:tcPr>
            <w:tcW w:w="0" w:type="auto"/>
            <w:vAlign w:val="center"/>
            <w:hideMark/>
          </w:tcPr>
          <w:p w14:paraId="1EB2DF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1.21 ± 0.09</w:t>
            </w:r>
          </w:p>
        </w:tc>
        <w:tc>
          <w:tcPr>
            <w:tcW w:w="0" w:type="auto"/>
            <w:vAlign w:val="center"/>
            <w:hideMark/>
          </w:tcPr>
          <w:p w14:paraId="4F36204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6A80FC4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Elevated bioaccumulation</w:t>
            </w:r>
          </w:p>
        </w:tc>
      </w:tr>
      <w:tr w:rsidR="008C3F4B" w:rsidRPr="008C3F4B" w14:paraId="376D02EA" w14:textId="77777777" w:rsidTr="008C3F4B">
        <w:trPr>
          <w:tblCellSpacing w:w="15" w:type="dxa"/>
        </w:trPr>
        <w:tc>
          <w:tcPr>
            <w:tcW w:w="0" w:type="auto"/>
            <w:vAlign w:val="center"/>
            <w:hideMark/>
          </w:tcPr>
          <w:p w14:paraId="5D8D59B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Pyrene</w:t>
            </w:r>
          </w:p>
        </w:tc>
        <w:tc>
          <w:tcPr>
            <w:tcW w:w="0" w:type="auto"/>
            <w:vAlign w:val="center"/>
            <w:hideMark/>
          </w:tcPr>
          <w:p w14:paraId="12B7F58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0.53 ± 0.04</w:t>
            </w:r>
          </w:p>
        </w:tc>
        <w:tc>
          <w:tcPr>
            <w:tcW w:w="0" w:type="auto"/>
            <w:vAlign w:val="center"/>
            <w:hideMark/>
          </w:tcPr>
          <w:p w14:paraId="36534EC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0.94 ± 0.06</w:t>
            </w:r>
          </w:p>
        </w:tc>
        <w:tc>
          <w:tcPr>
            <w:tcW w:w="0" w:type="auto"/>
            <w:vAlign w:val="center"/>
            <w:hideMark/>
          </w:tcPr>
          <w:p w14:paraId="35010E9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049A885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exceedance</w:t>
            </w:r>
          </w:p>
        </w:tc>
      </w:tr>
      <w:tr w:rsidR="008C3F4B" w:rsidRPr="008C3F4B" w14:paraId="09DBC112" w14:textId="77777777" w:rsidTr="008C3F4B">
        <w:trPr>
          <w:tblCellSpacing w:w="15" w:type="dxa"/>
        </w:trPr>
        <w:tc>
          <w:tcPr>
            <w:tcW w:w="0" w:type="auto"/>
            <w:vAlign w:val="center"/>
            <w:hideMark/>
          </w:tcPr>
          <w:p w14:paraId="6C15A34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Benzo[a]pyrene</w:t>
            </w:r>
          </w:p>
        </w:tc>
        <w:tc>
          <w:tcPr>
            <w:tcW w:w="0" w:type="auto"/>
            <w:vAlign w:val="center"/>
            <w:hideMark/>
          </w:tcPr>
          <w:p w14:paraId="15258D3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0.12 ± 0.02</w:t>
            </w:r>
          </w:p>
        </w:tc>
        <w:tc>
          <w:tcPr>
            <w:tcW w:w="0" w:type="auto"/>
            <w:vAlign w:val="center"/>
            <w:hideMark/>
          </w:tcPr>
          <w:p w14:paraId="5CA780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0.33 ± 0.03</w:t>
            </w:r>
          </w:p>
        </w:tc>
        <w:tc>
          <w:tcPr>
            <w:tcW w:w="0" w:type="auto"/>
            <w:vAlign w:val="center"/>
            <w:hideMark/>
          </w:tcPr>
          <w:p w14:paraId="20FE477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0.1</w:t>
            </w:r>
          </w:p>
        </w:tc>
        <w:tc>
          <w:tcPr>
            <w:tcW w:w="0" w:type="auto"/>
            <w:vAlign w:val="center"/>
            <w:hideMark/>
          </w:tcPr>
          <w:p w14:paraId="5607F20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Carcinogenic threshold exceeded</w:t>
            </w:r>
          </w:p>
        </w:tc>
      </w:tr>
    </w:tbl>
    <w:p w14:paraId="4E8A8590"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analysis of fish tissue samples revealed that hydrocarbon concentrations increased markedly during the wet season, mirroring the trend observed in sediments. The elevated levels of naphthalene, phenanthrene, and pyrene indicate bioaccumulation of PAHs from the surrounding water and sediment. These compounds are lipophilic and tend to accumulate in fatty tissues, particularly in benthic and demersal fish species that have close contact with contaminated sediments (John et al., 2025; </w:t>
      </w:r>
      <w:proofErr w:type="spellStart"/>
      <w:r w:rsidRPr="008C3F4B">
        <w:rPr>
          <w:rFonts w:ascii="Times New Roman" w:eastAsia="Times New Roman" w:hAnsi="Times New Roman" w:cs="Times New Roman"/>
          <w:sz w:val="24"/>
          <w:szCs w:val="24"/>
          <w:lang w:eastAsia="en-GB"/>
        </w:rPr>
        <w:t>Ekwere</w:t>
      </w:r>
      <w:proofErr w:type="spellEnd"/>
      <w:r w:rsidRPr="008C3F4B">
        <w:rPr>
          <w:rFonts w:ascii="Times New Roman" w:eastAsia="Times New Roman" w:hAnsi="Times New Roman" w:cs="Times New Roman"/>
          <w:sz w:val="24"/>
          <w:szCs w:val="24"/>
          <w:lang w:eastAsia="en-GB"/>
        </w:rPr>
        <w:t xml:space="preserve"> et al., 2025a).</w:t>
      </w:r>
    </w:p>
    <w:p w14:paraId="3332BDBB"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Benzo[a]pyrene concentrations exceeded the FAO/WHO recommended limit in both seasons, posing a significant carcinogenic and mutagenic risk to consumers of contaminated fish. Similar exceedances have been documented in fish from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Imiringi</w:t>
      </w:r>
      <w:proofErr w:type="spellEnd"/>
      <w:r w:rsidRPr="008C3F4B">
        <w:rPr>
          <w:rFonts w:ascii="Times New Roman" w:eastAsia="Times New Roman" w:hAnsi="Times New Roman" w:cs="Times New Roman"/>
          <w:sz w:val="24"/>
          <w:szCs w:val="24"/>
          <w:lang w:eastAsia="en-GB"/>
        </w:rPr>
        <w:t xml:space="preserve"> Rivers, where chronic exposure to petroleum pollutants resulted in measurable bioaccumulation and associated health risks (</w:t>
      </w:r>
      <w:proofErr w:type="spellStart"/>
      <w:r w:rsidRPr="008C3F4B">
        <w:rPr>
          <w:rFonts w:ascii="Times New Roman" w:eastAsia="Times New Roman" w:hAnsi="Times New Roman" w:cs="Times New Roman"/>
          <w:sz w:val="24"/>
          <w:szCs w:val="24"/>
          <w:lang w:eastAsia="en-GB"/>
        </w:rPr>
        <w:t>Anarado</w:t>
      </w:r>
      <w:proofErr w:type="spellEnd"/>
      <w:r w:rsidRPr="008C3F4B">
        <w:rPr>
          <w:rFonts w:ascii="Times New Roman" w:eastAsia="Times New Roman" w:hAnsi="Times New Roman" w:cs="Times New Roman"/>
          <w:sz w:val="24"/>
          <w:szCs w:val="24"/>
          <w:lang w:eastAsia="en-GB"/>
        </w:rPr>
        <w:t xml:space="preserve"> et al., 2023; </w:t>
      </w:r>
      <w:proofErr w:type="spellStart"/>
      <w:r w:rsidRPr="008C3F4B">
        <w:rPr>
          <w:rFonts w:ascii="Times New Roman" w:eastAsia="Times New Roman" w:hAnsi="Times New Roman" w:cs="Times New Roman"/>
          <w:sz w:val="24"/>
          <w:szCs w:val="24"/>
          <w:lang w:eastAsia="en-GB"/>
        </w:rPr>
        <w:t>Aigberua</w:t>
      </w:r>
      <w:proofErr w:type="spellEnd"/>
      <w:r w:rsidRPr="008C3F4B">
        <w:rPr>
          <w:rFonts w:ascii="Times New Roman" w:eastAsia="Times New Roman" w:hAnsi="Times New Roman" w:cs="Times New Roman"/>
          <w:sz w:val="24"/>
          <w:szCs w:val="24"/>
          <w:lang w:eastAsia="en-GB"/>
        </w:rPr>
        <w:t>, 2020).</w:t>
      </w:r>
    </w:p>
    <w:p w14:paraId="3CA56F4C"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higher hydrocarbon levels in the wet season suggest enhanced exposure due to increased contaminant mobility and bioavailability. Rainfall-driven runoff carries hydrocarbons and suspended sediments into aquatic systems, increasing particulate-bound pollutant load (</w:t>
      </w:r>
      <w:proofErr w:type="spellStart"/>
      <w:r w:rsidRPr="008C3F4B">
        <w:rPr>
          <w:rFonts w:ascii="Times New Roman" w:eastAsia="Times New Roman" w:hAnsi="Times New Roman" w:cs="Times New Roman"/>
          <w:sz w:val="24"/>
          <w:szCs w:val="24"/>
          <w:lang w:eastAsia="en-GB"/>
        </w:rPr>
        <w:t>Ekwere</w:t>
      </w:r>
      <w:proofErr w:type="spellEnd"/>
      <w:r w:rsidRPr="008C3F4B">
        <w:rPr>
          <w:rFonts w:ascii="Times New Roman" w:eastAsia="Times New Roman" w:hAnsi="Times New Roman" w:cs="Times New Roman"/>
          <w:sz w:val="24"/>
          <w:szCs w:val="24"/>
          <w:lang w:eastAsia="en-GB"/>
        </w:rPr>
        <w:t xml:space="preserve"> et al., 2025b). Additionally, fluctuations in salinity and organic matter content influence the partitioning behaviour of hydrocarbons, with higher dissolved organic carbon facilitating absorption into biological tissues (Adeniran et al., 2023).</w:t>
      </w:r>
    </w:p>
    <w:p w14:paraId="31AB9193"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cumulative effect is a rise in the risk quotient for hydrocarbon exposure in local communities that depend on Bonny Estuary fish as a major protein source. The consistent exceedance of regulatory thresholds underscores the need for improved remediation and monitoring of hydrocarbon pollution in the area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2025c; DEFRA, 2023).</w:t>
      </w:r>
    </w:p>
    <w:p w14:paraId="1DFC7B83" w14:textId="28CBD830"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7A1B1286"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lastRenderedPageBreak/>
        <w:t>Table 4. Correlation between Sediment and Biota Hydrocarbon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3"/>
        <w:gridCol w:w="794"/>
        <w:gridCol w:w="3075"/>
      </w:tblGrid>
      <w:tr w:rsidR="008C3F4B" w:rsidRPr="008C3F4B" w14:paraId="3F311F8E" w14:textId="77777777" w:rsidTr="008C3F4B">
        <w:trPr>
          <w:tblHeader/>
          <w:tblCellSpacing w:w="15" w:type="dxa"/>
        </w:trPr>
        <w:tc>
          <w:tcPr>
            <w:tcW w:w="0" w:type="auto"/>
            <w:vAlign w:val="center"/>
            <w:hideMark/>
          </w:tcPr>
          <w:p w14:paraId="7BA298E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27D0203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proofErr w:type="spellStart"/>
            <w:r w:rsidRPr="008C3F4B">
              <w:rPr>
                <w:rFonts w:ascii="Times New Roman" w:eastAsia="Times New Roman" w:hAnsi="Times New Roman" w:cs="Times New Roman"/>
                <w:b/>
                <w:bCs/>
                <w:sz w:val="24"/>
                <w:szCs w:val="24"/>
                <w:lang w:eastAsia="en-GB"/>
              </w:rPr>
              <w:t>r-value</w:t>
            </w:r>
            <w:proofErr w:type="spellEnd"/>
          </w:p>
        </w:tc>
        <w:tc>
          <w:tcPr>
            <w:tcW w:w="0" w:type="auto"/>
            <w:vAlign w:val="center"/>
            <w:hideMark/>
          </w:tcPr>
          <w:p w14:paraId="766FEF0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Relationship</w:t>
            </w:r>
          </w:p>
        </w:tc>
      </w:tr>
      <w:tr w:rsidR="008C3F4B" w:rsidRPr="008C3F4B" w14:paraId="257C8D91" w14:textId="77777777" w:rsidTr="008C3F4B">
        <w:trPr>
          <w:tblCellSpacing w:w="15" w:type="dxa"/>
        </w:trPr>
        <w:tc>
          <w:tcPr>
            <w:tcW w:w="0" w:type="auto"/>
            <w:vAlign w:val="center"/>
            <w:hideMark/>
          </w:tcPr>
          <w:p w14:paraId="5A945FE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∑PAHs (Sediment vs. Fish)</w:t>
            </w:r>
          </w:p>
        </w:tc>
        <w:tc>
          <w:tcPr>
            <w:tcW w:w="0" w:type="auto"/>
            <w:vAlign w:val="center"/>
            <w:hideMark/>
          </w:tcPr>
          <w:p w14:paraId="0931030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0.88</w:t>
            </w:r>
          </w:p>
        </w:tc>
        <w:tc>
          <w:tcPr>
            <w:tcW w:w="0" w:type="auto"/>
            <w:vAlign w:val="center"/>
            <w:hideMark/>
          </w:tcPr>
          <w:p w14:paraId="384E0E0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Strong positive correlation</w:t>
            </w:r>
          </w:p>
        </w:tc>
      </w:tr>
      <w:tr w:rsidR="008C3F4B" w:rsidRPr="008C3F4B" w14:paraId="26ED85F7" w14:textId="77777777" w:rsidTr="008C3F4B">
        <w:trPr>
          <w:tblCellSpacing w:w="15" w:type="dxa"/>
        </w:trPr>
        <w:tc>
          <w:tcPr>
            <w:tcW w:w="0" w:type="auto"/>
            <w:vAlign w:val="center"/>
            <w:hideMark/>
          </w:tcPr>
          <w:p w14:paraId="364FAC8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TPH (Sediment vs. Fish)</w:t>
            </w:r>
          </w:p>
        </w:tc>
        <w:tc>
          <w:tcPr>
            <w:tcW w:w="0" w:type="auto"/>
            <w:vAlign w:val="center"/>
            <w:hideMark/>
          </w:tcPr>
          <w:p w14:paraId="299B4B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0.75</w:t>
            </w:r>
          </w:p>
        </w:tc>
        <w:tc>
          <w:tcPr>
            <w:tcW w:w="0" w:type="auto"/>
            <w:vAlign w:val="center"/>
            <w:hideMark/>
          </w:tcPr>
          <w:p w14:paraId="45AD5D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positive correlation</w:t>
            </w:r>
          </w:p>
        </w:tc>
      </w:tr>
      <w:tr w:rsidR="008C3F4B" w:rsidRPr="008C3F4B" w14:paraId="51F69A91" w14:textId="77777777" w:rsidTr="008C3F4B">
        <w:trPr>
          <w:tblCellSpacing w:w="15" w:type="dxa"/>
        </w:trPr>
        <w:tc>
          <w:tcPr>
            <w:tcW w:w="0" w:type="auto"/>
            <w:vAlign w:val="center"/>
            <w:hideMark/>
          </w:tcPr>
          <w:p w14:paraId="0139091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TOC vs. ∑PAHs</w:t>
            </w:r>
          </w:p>
        </w:tc>
        <w:tc>
          <w:tcPr>
            <w:tcW w:w="0" w:type="auto"/>
            <w:vAlign w:val="center"/>
            <w:hideMark/>
          </w:tcPr>
          <w:p w14:paraId="041F296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0.82</w:t>
            </w:r>
          </w:p>
        </w:tc>
        <w:tc>
          <w:tcPr>
            <w:tcW w:w="0" w:type="auto"/>
            <w:vAlign w:val="center"/>
            <w:hideMark/>
          </w:tcPr>
          <w:p w14:paraId="3A83162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Significant positive association</w:t>
            </w:r>
          </w:p>
        </w:tc>
      </w:tr>
    </w:tbl>
    <w:p w14:paraId="7C947B92"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A strong positive correlation was observed between sediment and biota hydrocarbon concentrations, indicating that sediment contamination directly influences bioaccumulation levels in aquatic organisms. The correlation coefficient (r = 0.88) between ∑PAHs in sediment and fish suggests a close linkage in pollutant transfer through sediment–water–biota interactions.</w:t>
      </w:r>
    </w:p>
    <w:p w14:paraId="67559A81"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This implies that sediments serve as both a sink and secondary source for hydrocarbons, gradually releasing contaminants into the water column, especially under changing redox or hydrodynamic conditions. Similar associations have been reported by Thornton et al. (2024) and Smith et al. (2021), who highlighted the role of organic-rich sediments in controlling the long-term fate of hydrocarbons in aquatic environments.</w:t>
      </w:r>
    </w:p>
    <w:p w14:paraId="5A153A7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correlation between total organic carbon and PAHs (r = 0.82) confirms that organic matter facilitates the retention of hydrophobic compounds. Elevated TOC levels increase the adsorption capacity of sediments for PAHs, reducing their immediate desorption into the water but creating long-term contamination reservoirs (Gill et al., 2020; Sweeney, 2024). These findings reinforce the need for sediment quality assessments when evaluating overall ecosystem health in oil-polluted estuaries.</w:t>
      </w:r>
    </w:p>
    <w:p w14:paraId="427A6897"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5. Source Diagnostic Ratios of PAHs in Sediments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1227"/>
        <w:gridCol w:w="1254"/>
        <w:gridCol w:w="3415"/>
      </w:tblGrid>
      <w:tr w:rsidR="008C3F4B" w:rsidRPr="008C3F4B" w14:paraId="54749D3D" w14:textId="77777777" w:rsidTr="008C3F4B">
        <w:trPr>
          <w:tblHeader/>
          <w:tblCellSpacing w:w="15" w:type="dxa"/>
        </w:trPr>
        <w:tc>
          <w:tcPr>
            <w:tcW w:w="0" w:type="auto"/>
            <w:vAlign w:val="center"/>
            <w:hideMark/>
          </w:tcPr>
          <w:p w14:paraId="6D0B44F1"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Diagnostic Ratio</w:t>
            </w:r>
          </w:p>
        </w:tc>
        <w:tc>
          <w:tcPr>
            <w:tcW w:w="0" w:type="auto"/>
            <w:vAlign w:val="center"/>
            <w:hideMark/>
          </w:tcPr>
          <w:p w14:paraId="6460B47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6CF7BD59"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7727FF28"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Inference</w:t>
            </w:r>
          </w:p>
        </w:tc>
      </w:tr>
      <w:tr w:rsidR="008C3F4B" w:rsidRPr="008C3F4B" w14:paraId="6C8CE908" w14:textId="77777777" w:rsidTr="008C3F4B">
        <w:trPr>
          <w:tblCellSpacing w:w="15" w:type="dxa"/>
        </w:trPr>
        <w:tc>
          <w:tcPr>
            <w:tcW w:w="0" w:type="auto"/>
            <w:vAlign w:val="center"/>
            <w:hideMark/>
          </w:tcPr>
          <w:p w14:paraId="18C102C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Ant</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Ant + </w:t>
            </w:r>
            <w:proofErr w:type="spellStart"/>
            <w:r w:rsidRPr="008C3F4B">
              <w:rPr>
                <w:rFonts w:ascii="Times New Roman" w:eastAsia="Times New Roman" w:hAnsi="Times New Roman" w:cs="Times New Roman"/>
                <w:sz w:val="24"/>
                <w:szCs w:val="24"/>
                <w:lang w:eastAsia="en-GB"/>
              </w:rPr>
              <w:t>Phe</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3F9563EA"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0.28</w:t>
            </w:r>
          </w:p>
        </w:tc>
        <w:tc>
          <w:tcPr>
            <w:tcW w:w="0" w:type="auto"/>
            <w:vAlign w:val="center"/>
            <w:hideMark/>
          </w:tcPr>
          <w:p w14:paraId="6126E1F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0.46</w:t>
            </w:r>
          </w:p>
        </w:tc>
        <w:tc>
          <w:tcPr>
            <w:tcW w:w="0" w:type="auto"/>
            <w:vAlign w:val="center"/>
            <w:hideMark/>
          </w:tcPr>
          <w:p w14:paraId="2BB8D33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Petrogenic to pyrogenic shift</w:t>
            </w:r>
          </w:p>
        </w:tc>
      </w:tr>
      <w:tr w:rsidR="008C3F4B" w:rsidRPr="008C3F4B" w14:paraId="0A510F5A" w14:textId="77777777" w:rsidTr="008C3F4B">
        <w:trPr>
          <w:tblCellSpacing w:w="15" w:type="dxa"/>
        </w:trPr>
        <w:tc>
          <w:tcPr>
            <w:tcW w:w="0" w:type="auto"/>
            <w:vAlign w:val="center"/>
            <w:hideMark/>
          </w:tcPr>
          <w:p w14:paraId="74D4CD3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Flu</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Flu + </w:t>
            </w:r>
            <w:proofErr w:type="spellStart"/>
            <w:r w:rsidRPr="008C3F4B">
              <w:rPr>
                <w:rFonts w:ascii="Times New Roman" w:eastAsia="Times New Roman" w:hAnsi="Times New Roman" w:cs="Times New Roman"/>
                <w:sz w:val="24"/>
                <w:szCs w:val="24"/>
                <w:lang w:eastAsia="en-GB"/>
              </w:rPr>
              <w:t>Pyr</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22D2AEB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0.39</w:t>
            </w:r>
          </w:p>
        </w:tc>
        <w:tc>
          <w:tcPr>
            <w:tcW w:w="0" w:type="auto"/>
            <w:vAlign w:val="center"/>
            <w:hideMark/>
          </w:tcPr>
          <w:p w14:paraId="0786AC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0.55</w:t>
            </w:r>
          </w:p>
        </w:tc>
        <w:tc>
          <w:tcPr>
            <w:tcW w:w="0" w:type="auto"/>
            <w:vAlign w:val="center"/>
            <w:hideMark/>
          </w:tcPr>
          <w:p w14:paraId="54959A6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Combustion-derived hydrocarbons</w:t>
            </w:r>
          </w:p>
        </w:tc>
      </w:tr>
      <w:tr w:rsidR="008C3F4B" w:rsidRPr="008C3F4B" w14:paraId="60E0E1AC" w14:textId="77777777" w:rsidTr="008C3F4B">
        <w:trPr>
          <w:tblCellSpacing w:w="15" w:type="dxa"/>
        </w:trPr>
        <w:tc>
          <w:tcPr>
            <w:tcW w:w="0" w:type="auto"/>
            <w:vAlign w:val="center"/>
            <w:hideMark/>
          </w:tcPr>
          <w:p w14:paraId="62C6B06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roofErr w:type="spellStart"/>
            <w:r w:rsidRPr="008C3F4B">
              <w:rPr>
                <w:rFonts w:ascii="Times New Roman" w:eastAsia="Times New Roman" w:hAnsi="Times New Roman" w:cs="Times New Roman"/>
                <w:sz w:val="24"/>
                <w:szCs w:val="24"/>
                <w:lang w:eastAsia="en-GB"/>
              </w:rPr>
              <w:t>BaA</w:t>
            </w:r>
            <w:proofErr w:type="spellEnd"/>
            <w:proofErr w:type="gramStart"/>
            <w:r w:rsidRPr="008C3F4B">
              <w:rPr>
                <w:rFonts w:ascii="Times New Roman" w:eastAsia="Times New Roman" w:hAnsi="Times New Roman" w:cs="Times New Roman"/>
                <w:sz w:val="24"/>
                <w:szCs w:val="24"/>
                <w:lang w:eastAsia="en-GB"/>
              </w:rPr>
              <w:t>/(</w:t>
            </w:r>
            <w:proofErr w:type="spellStart"/>
            <w:proofErr w:type="gramEnd"/>
            <w:r w:rsidRPr="008C3F4B">
              <w:rPr>
                <w:rFonts w:ascii="Times New Roman" w:eastAsia="Times New Roman" w:hAnsi="Times New Roman" w:cs="Times New Roman"/>
                <w:sz w:val="24"/>
                <w:szCs w:val="24"/>
                <w:lang w:eastAsia="en-GB"/>
              </w:rPr>
              <w:t>BaA</w:t>
            </w:r>
            <w:proofErr w:type="spellEnd"/>
            <w:r w:rsidRPr="008C3F4B">
              <w:rPr>
                <w:rFonts w:ascii="Times New Roman" w:eastAsia="Times New Roman" w:hAnsi="Times New Roman" w:cs="Times New Roman"/>
                <w:sz w:val="24"/>
                <w:szCs w:val="24"/>
                <w:lang w:eastAsia="en-GB"/>
              </w:rPr>
              <w:t xml:space="preserve"> + </w:t>
            </w:r>
            <w:proofErr w:type="spellStart"/>
            <w:r w:rsidRPr="008C3F4B">
              <w:rPr>
                <w:rFonts w:ascii="Times New Roman" w:eastAsia="Times New Roman" w:hAnsi="Times New Roman" w:cs="Times New Roman"/>
                <w:sz w:val="24"/>
                <w:szCs w:val="24"/>
                <w:lang w:eastAsia="en-GB"/>
              </w:rPr>
              <w:t>Chr</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7B6B69C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0.34</w:t>
            </w:r>
          </w:p>
        </w:tc>
        <w:tc>
          <w:tcPr>
            <w:tcW w:w="0" w:type="auto"/>
            <w:vAlign w:val="center"/>
            <w:hideMark/>
          </w:tcPr>
          <w:p w14:paraId="62C55D1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0.49</w:t>
            </w:r>
          </w:p>
        </w:tc>
        <w:tc>
          <w:tcPr>
            <w:tcW w:w="0" w:type="auto"/>
            <w:vAlign w:val="center"/>
            <w:hideMark/>
          </w:tcPr>
          <w:p w14:paraId="48903F8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Pyrogenic dominance</w:t>
            </w:r>
          </w:p>
        </w:tc>
      </w:tr>
    </w:tbl>
    <w:p w14:paraId="2E3E6AF6"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diagnostic ratios of PAHs offer valuable insight into the origin of hydrocarbon contamination. The Ant</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Ant + </w:t>
      </w:r>
      <w:proofErr w:type="spellStart"/>
      <w:r w:rsidRPr="008C3F4B">
        <w:rPr>
          <w:rFonts w:ascii="Times New Roman" w:eastAsia="Times New Roman" w:hAnsi="Times New Roman" w:cs="Times New Roman"/>
          <w:sz w:val="24"/>
          <w:szCs w:val="24"/>
          <w:lang w:eastAsia="en-GB"/>
        </w:rPr>
        <w:t>Phe</w:t>
      </w:r>
      <w:proofErr w:type="spellEnd"/>
      <w:r w:rsidRPr="008C3F4B">
        <w:rPr>
          <w:rFonts w:ascii="Times New Roman" w:eastAsia="Times New Roman" w:hAnsi="Times New Roman" w:cs="Times New Roman"/>
          <w:sz w:val="24"/>
          <w:szCs w:val="24"/>
          <w:lang w:eastAsia="en-GB"/>
        </w:rPr>
        <w:t xml:space="preserve">) and Flu/(Flu + </w:t>
      </w:r>
      <w:proofErr w:type="spellStart"/>
      <w:r w:rsidRPr="008C3F4B">
        <w:rPr>
          <w:rFonts w:ascii="Times New Roman" w:eastAsia="Times New Roman" w:hAnsi="Times New Roman" w:cs="Times New Roman"/>
          <w:sz w:val="24"/>
          <w:szCs w:val="24"/>
          <w:lang w:eastAsia="en-GB"/>
        </w:rPr>
        <w:t>Pyr</w:t>
      </w:r>
      <w:proofErr w:type="spellEnd"/>
      <w:r w:rsidRPr="008C3F4B">
        <w:rPr>
          <w:rFonts w:ascii="Times New Roman" w:eastAsia="Times New Roman" w:hAnsi="Times New Roman" w:cs="Times New Roman"/>
          <w:sz w:val="24"/>
          <w:szCs w:val="24"/>
          <w:lang w:eastAsia="en-GB"/>
        </w:rPr>
        <w:t>) ratios were below 0.4 during the dry season, indicating predominantly petrogenic sources associated with crude oil and refined petroleum input. However, during the wet season, these ratios exceeded 0.4, signifying a shift towards pyrogenic origins linked to gas flaring and incomplete fuel combustion (HYPREP, 2023; DEFRA, 2023).</w:t>
      </w:r>
    </w:p>
    <w:p w14:paraId="2B9A334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w:t>
      </w:r>
      <w:proofErr w:type="spellStart"/>
      <w:r w:rsidRPr="008C3F4B">
        <w:rPr>
          <w:rFonts w:ascii="Times New Roman" w:eastAsia="Times New Roman" w:hAnsi="Times New Roman" w:cs="Times New Roman"/>
          <w:sz w:val="24"/>
          <w:szCs w:val="24"/>
          <w:lang w:eastAsia="en-GB"/>
        </w:rPr>
        <w:t>BaA</w:t>
      </w:r>
      <w:proofErr w:type="spellEnd"/>
      <w:proofErr w:type="gramStart"/>
      <w:r w:rsidRPr="008C3F4B">
        <w:rPr>
          <w:rFonts w:ascii="Times New Roman" w:eastAsia="Times New Roman" w:hAnsi="Times New Roman" w:cs="Times New Roman"/>
          <w:sz w:val="24"/>
          <w:szCs w:val="24"/>
          <w:lang w:eastAsia="en-GB"/>
        </w:rPr>
        <w:t>/(</w:t>
      </w:r>
      <w:proofErr w:type="spellStart"/>
      <w:proofErr w:type="gramEnd"/>
      <w:r w:rsidRPr="008C3F4B">
        <w:rPr>
          <w:rFonts w:ascii="Times New Roman" w:eastAsia="Times New Roman" w:hAnsi="Times New Roman" w:cs="Times New Roman"/>
          <w:sz w:val="24"/>
          <w:szCs w:val="24"/>
          <w:lang w:eastAsia="en-GB"/>
        </w:rPr>
        <w:t>BaA</w:t>
      </w:r>
      <w:proofErr w:type="spellEnd"/>
      <w:r w:rsidRPr="008C3F4B">
        <w:rPr>
          <w:rFonts w:ascii="Times New Roman" w:eastAsia="Times New Roman" w:hAnsi="Times New Roman" w:cs="Times New Roman"/>
          <w:sz w:val="24"/>
          <w:szCs w:val="24"/>
          <w:lang w:eastAsia="en-GB"/>
        </w:rPr>
        <w:t xml:space="preserve"> + </w:t>
      </w:r>
      <w:proofErr w:type="spellStart"/>
      <w:r w:rsidRPr="008C3F4B">
        <w:rPr>
          <w:rFonts w:ascii="Times New Roman" w:eastAsia="Times New Roman" w:hAnsi="Times New Roman" w:cs="Times New Roman"/>
          <w:sz w:val="24"/>
          <w:szCs w:val="24"/>
          <w:lang w:eastAsia="en-GB"/>
        </w:rPr>
        <w:t>Chr</w:t>
      </w:r>
      <w:proofErr w:type="spellEnd"/>
      <w:r w:rsidRPr="008C3F4B">
        <w:rPr>
          <w:rFonts w:ascii="Times New Roman" w:eastAsia="Times New Roman" w:hAnsi="Times New Roman" w:cs="Times New Roman"/>
          <w:sz w:val="24"/>
          <w:szCs w:val="24"/>
          <w:lang w:eastAsia="en-GB"/>
        </w:rPr>
        <w:t>) ratio further confirms pyrogenic dominance during the wet season, consistent with increased atmospheric deposition of combustion products and soot particles into the estuary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 This pattern aligns with previous studies in </w:t>
      </w:r>
      <w:proofErr w:type="spellStart"/>
      <w:r w:rsidRPr="008C3F4B">
        <w:rPr>
          <w:rFonts w:ascii="Times New Roman" w:eastAsia="Times New Roman" w:hAnsi="Times New Roman" w:cs="Times New Roman"/>
          <w:sz w:val="24"/>
          <w:szCs w:val="24"/>
          <w:lang w:eastAsia="en-GB"/>
        </w:rPr>
        <w:t>Eket</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regions, which identified mixed-source pollution arising from industrial operations and domestic energy use (Akpan et al., 2022; </w:t>
      </w:r>
      <w:proofErr w:type="spellStart"/>
      <w:r w:rsidRPr="008C3F4B">
        <w:rPr>
          <w:rFonts w:ascii="Times New Roman" w:eastAsia="Times New Roman" w:hAnsi="Times New Roman" w:cs="Times New Roman"/>
          <w:sz w:val="24"/>
          <w:szCs w:val="24"/>
          <w:lang w:eastAsia="en-GB"/>
        </w:rPr>
        <w:t>Ajeh</w:t>
      </w:r>
      <w:proofErr w:type="spellEnd"/>
      <w:r w:rsidRPr="008C3F4B">
        <w:rPr>
          <w:rFonts w:ascii="Times New Roman" w:eastAsia="Times New Roman" w:hAnsi="Times New Roman" w:cs="Times New Roman"/>
          <w:sz w:val="24"/>
          <w:szCs w:val="24"/>
          <w:lang w:eastAsia="en-GB"/>
        </w:rPr>
        <w:t xml:space="preserve"> et al., 2022).</w:t>
      </w:r>
    </w:p>
    <w:p w14:paraId="55AE6224"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dual-source contamination observed in Bonny Estuary underscores the complex interplay of industrial, domestic, and hydrological factors in hydrocarbon dispersion. The persistence of </w:t>
      </w:r>
      <w:r w:rsidRPr="008C3F4B">
        <w:rPr>
          <w:rFonts w:ascii="Times New Roman" w:eastAsia="Times New Roman" w:hAnsi="Times New Roman" w:cs="Times New Roman"/>
          <w:sz w:val="24"/>
          <w:szCs w:val="24"/>
          <w:lang w:eastAsia="en-GB"/>
        </w:rPr>
        <w:lastRenderedPageBreak/>
        <w:t>high-molecular-weight compounds indicates poor degradation potential, signifying that natural attenuation alone may not suffice for remediation. Integrating both in-situ bioremediation and sediment dredging may be necessary to mitigate long-term ecological and health impacts (Sweeney, 2024; Environment Agency, 2023).</w:t>
      </w:r>
    </w:p>
    <w:p w14:paraId="20CB72D5" w14:textId="77777777" w:rsidR="008C3F4B" w:rsidRPr="008C3F4B" w:rsidRDefault="008C3F4B" w:rsidP="008C3F4B">
      <w:pPr>
        <w:pStyle w:val="Heading3"/>
        <w:jc w:val="both"/>
        <w:rPr>
          <w:sz w:val="24"/>
          <w:szCs w:val="24"/>
        </w:rPr>
      </w:pPr>
      <w:r w:rsidRPr="008C3F4B">
        <w:rPr>
          <w:sz w:val="24"/>
          <w:szCs w:val="24"/>
        </w:rPr>
        <w:t>Conclusion</w:t>
      </w:r>
    </w:p>
    <w:p w14:paraId="38010E53" w14:textId="77777777" w:rsidR="008C3F4B" w:rsidRPr="008C3F4B" w:rsidRDefault="008C3F4B" w:rsidP="008C3F4B">
      <w:pPr>
        <w:pStyle w:val="NormalWeb"/>
        <w:jc w:val="both"/>
      </w:pPr>
      <w:r w:rsidRPr="008C3F4B">
        <w:t>The findings of this study demonstrate that hydrocarbon contamination in the Bonny Estuary exhibits significant seasonal variability influenced by hydrological and anthropogenic factors. The elevated levels of TPH and PAHs in sediments and biota during the wet season indicate increased mobilisation of contaminants from both terrestrial and marine-based activities, particularly oil spills, gas flaring emissions, and industrial discharge. The detection of carcinogenic compounds such as benzo[a]pyrene above international guideline limits underscores the potential health risk to aquatic organisms and humans through trophic transfer and fish consumption.</w:t>
      </w:r>
    </w:p>
    <w:p w14:paraId="1B8F61CB" w14:textId="77777777" w:rsidR="008C3F4B" w:rsidRPr="008C3F4B" w:rsidRDefault="008C3F4B" w:rsidP="008C3F4B">
      <w:pPr>
        <w:pStyle w:val="NormalWeb"/>
        <w:jc w:val="both"/>
      </w:pPr>
      <w:r w:rsidRPr="008C3F4B">
        <w:t>The strong correlation between sediment and fish hydrocarbon concentrations suggests that sediments act as both a sink and secondary source of hydrocarbons, regulating their bioavailability and persistence in the aquatic environment. The diagnostic ratio analysis confirmed mixed petrogenic and pyrogenic origins, reflecting the multiple pathways of hydrocarbon entry into the estuary.</w:t>
      </w:r>
    </w:p>
    <w:p w14:paraId="66A761D7" w14:textId="77777777" w:rsidR="008C3F4B" w:rsidRDefault="008C3F4B" w:rsidP="008C3F4B">
      <w:pPr>
        <w:pStyle w:val="NormalWeb"/>
        <w:jc w:val="both"/>
      </w:pPr>
      <w:r w:rsidRPr="008C3F4B">
        <w:t>It is therefore recommended that continuous environmental monitoring and strict enforcement of pollution control measures be implemented within the Bonny industrial corridor. Remediation of hydrocarbon-contaminated sediments and regulation of artisanal refining activities are also necessary to mitigate ecological degradation.</w:t>
      </w:r>
    </w:p>
    <w:p w14:paraId="5AB69A3A" w14:textId="77777777" w:rsidR="008C3F4B" w:rsidRPr="008C3F4B" w:rsidRDefault="008C3F4B" w:rsidP="008C3F4B">
      <w:pPr>
        <w:pStyle w:val="Heading3"/>
        <w:jc w:val="both"/>
        <w:rPr>
          <w:b w:val="0"/>
          <w:bCs w:val="0"/>
          <w:sz w:val="24"/>
          <w:szCs w:val="24"/>
        </w:rPr>
      </w:pPr>
      <w:r w:rsidRPr="008C3F4B">
        <w:rPr>
          <w:rStyle w:val="Strong"/>
          <w:b/>
          <w:bCs/>
          <w:sz w:val="24"/>
          <w:szCs w:val="24"/>
        </w:rPr>
        <w:t>References</w:t>
      </w:r>
    </w:p>
    <w:p w14:paraId="2A47793D" w14:textId="77777777" w:rsidR="008C3F4B" w:rsidRPr="008C3F4B" w:rsidRDefault="008C3F4B" w:rsidP="008C3F4B">
      <w:pPr>
        <w:pStyle w:val="NormalWeb"/>
        <w:ind w:left="720" w:hanging="720"/>
        <w:jc w:val="both"/>
      </w:pPr>
      <w:proofErr w:type="spellStart"/>
      <w:r w:rsidRPr="008C3F4B">
        <w:t>Abugu</w:t>
      </w:r>
      <w:proofErr w:type="spellEnd"/>
      <w:r w:rsidRPr="008C3F4B">
        <w:t xml:space="preserve">, H. O., Ezugwu, A. L., &amp; </w:t>
      </w:r>
      <w:proofErr w:type="spellStart"/>
      <w:r w:rsidRPr="008C3F4B">
        <w:t>Ihedioha</w:t>
      </w:r>
      <w:proofErr w:type="spellEnd"/>
      <w:r w:rsidRPr="008C3F4B">
        <w:t xml:space="preserve">, J. N. (2023). Assessment of polycyclic aromatic hydrocarbon contamination of fruits, leaves, and soil within automobile repair workshops in Nsukka Metropolis. </w:t>
      </w:r>
      <w:r w:rsidRPr="008C3F4B">
        <w:rPr>
          <w:rStyle w:val="Emphasis"/>
        </w:rPr>
        <w:t>Polycyclic Aromatic Compounds, 43</w:t>
      </w:r>
      <w:r w:rsidRPr="008C3F4B">
        <w:t xml:space="preserve">(9), 8333–8355. </w:t>
      </w:r>
      <w:hyperlink r:id="rId6" w:tgtFrame="_new" w:history="1">
        <w:r w:rsidRPr="008C3F4B">
          <w:rPr>
            <w:rStyle w:val="Hyperlink"/>
          </w:rPr>
          <w:t>https://doi.org/10.1080/10406638.2022.2112222</w:t>
        </w:r>
      </w:hyperlink>
    </w:p>
    <w:p w14:paraId="1302EEA8" w14:textId="77777777" w:rsidR="008C3F4B" w:rsidRPr="008C3F4B" w:rsidRDefault="008C3F4B" w:rsidP="008C3F4B">
      <w:pPr>
        <w:pStyle w:val="NormalWeb"/>
        <w:ind w:left="720" w:hanging="720"/>
        <w:jc w:val="both"/>
      </w:pPr>
      <w:r w:rsidRPr="008C3F4B">
        <w:t xml:space="preserve">Adeniran, A. A., Ololade, I. A., &amp; Ikechukwu, N. (2023). Hydrocarbon contamination and groundwater quality assessment in the Niger Delta, Nigeria. </w:t>
      </w:r>
      <w:r w:rsidRPr="008C3F4B">
        <w:rPr>
          <w:rStyle w:val="Emphasis"/>
        </w:rPr>
        <w:t>Environmental Monitoring and Assessment, 195</w:t>
      </w:r>
      <w:r w:rsidRPr="008C3F4B">
        <w:t>(2), 286.</w:t>
      </w:r>
    </w:p>
    <w:p w14:paraId="728A602C" w14:textId="77777777" w:rsidR="008C3F4B" w:rsidRPr="008C3F4B" w:rsidRDefault="008C3F4B" w:rsidP="008C3F4B">
      <w:pPr>
        <w:pStyle w:val="NormalWeb"/>
        <w:ind w:left="720" w:hanging="720"/>
        <w:jc w:val="both"/>
      </w:pPr>
      <w:proofErr w:type="spellStart"/>
      <w:r w:rsidRPr="008C3F4B">
        <w:t>Aigberua</w:t>
      </w:r>
      <w:proofErr w:type="spellEnd"/>
      <w:r w:rsidRPr="008C3F4B">
        <w:t xml:space="preserve">, A. O. (2020). Polycyclic aromatic hydrocarbons in surface waters of </w:t>
      </w:r>
      <w:proofErr w:type="spellStart"/>
      <w:r w:rsidRPr="008C3F4B">
        <w:t>Imiringi</w:t>
      </w:r>
      <w:proofErr w:type="spellEnd"/>
      <w:r w:rsidRPr="008C3F4B">
        <w:t xml:space="preserve"> River, Bayelsa State, Nigeria: Distribution, sources, and risk assessment. </w:t>
      </w:r>
      <w:r w:rsidRPr="008C3F4B">
        <w:rPr>
          <w:rStyle w:val="Emphasis"/>
        </w:rPr>
        <w:t>Journal of Environmental Science and Pollution Research, 26</w:t>
      </w:r>
      <w:r w:rsidRPr="008C3F4B">
        <w:t>(4), 357–372.</w:t>
      </w:r>
    </w:p>
    <w:p w14:paraId="41985A37" w14:textId="77777777" w:rsidR="008C3F4B" w:rsidRPr="008C3F4B" w:rsidRDefault="008C3F4B" w:rsidP="008C3F4B">
      <w:pPr>
        <w:pStyle w:val="NormalWeb"/>
        <w:ind w:left="720" w:hanging="720"/>
        <w:jc w:val="both"/>
      </w:pPr>
      <w:proofErr w:type="spellStart"/>
      <w:r w:rsidRPr="008C3F4B">
        <w:t>Ajeh</w:t>
      </w:r>
      <w:proofErr w:type="spellEnd"/>
      <w:r w:rsidRPr="008C3F4B">
        <w:t xml:space="preserve">, E. A., </w:t>
      </w:r>
      <w:proofErr w:type="spellStart"/>
      <w:r w:rsidRPr="008C3F4B">
        <w:t>Odeniyi</w:t>
      </w:r>
      <w:proofErr w:type="spellEnd"/>
      <w:r w:rsidRPr="008C3F4B">
        <w:t xml:space="preserve">, O. K., Isibor, P. O., Ezemonye, L. I. N., &amp; </w:t>
      </w:r>
      <w:proofErr w:type="spellStart"/>
      <w:r w:rsidRPr="008C3F4B">
        <w:t>Osibanjo</w:t>
      </w:r>
      <w:proofErr w:type="spellEnd"/>
      <w:r w:rsidRPr="008C3F4B">
        <w:t xml:space="preserve">, O. (2022). Comparative analysis of groundwater quality statuses and associated health risk indices of metals and total hydrocarbons at locations of tank farm in Delta State, Nigeria. </w:t>
      </w:r>
      <w:r w:rsidRPr="008C3F4B">
        <w:rPr>
          <w:rStyle w:val="Emphasis"/>
        </w:rPr>
        <w:t>Toxicology Reports, 9</w:t>
      </w:r>
      <w:r w:rsidRPr="008C3F4B">
        <w:t xml:space="preserve">, 404–421. </w:t>
      </w:r>
      <w:hyperlink r:id="rId7" w:tgtFrame="_new" w:history="1">
        <w:r w:rsidRPr="008C3F4B">
          <w:rPr>
            <w:rStyle w:val="Hyperlink"/>
          </w:rPr>
          <w:t>https://doi.org/10.1016/j.toxrep.2022.03.001</w:t>
        </w:r>
      </w:hyperlink>
    </w:p>
    <w:p w14:paraId="0CC9CEEB" w14:textId="77777777" w:rsidR="008C3F4B" w:rsidRPr="008C3F4B" w:rsidRDefault="008C3F4B" w:rsidP="008C3F4B">
      <w:pPr>
        <w:pStyle w:val="NormalWeb"/>
        <w:ind w:left="720" w:hanging="720"/>
        <w:jc w:val="both"/>
      </w:pPr>
      <w:r w:rsidRPr="008C3F4B">
        <w:t xml:space="preserve">Akpan, U. S., Ekanem, A.E., &amp; Akpan, B. S. (2022). Polycyclic aromatic hydrocarbons in groundwater around petroleum facilities in </w:t>
      </w:r>
      <w:proofErr w:type="spellStart"/>
      <w:r w:rsidRPr="008C3F4B">
        <w:t>Eket</w:t>
      </w:r>
      <w:proofErr w:type="spellEnd"/>
      <w:r w:rsidRPr="008C3F4B">
        <w:t xml:space="preserve"> Metropolis, </w:t>
      </w:r>
      <w:proofErr w:type="spellStart"/>
      <w:r w:rsidRPr="008C3F4B">
        <w:t>Akwa</w:t>
      </w:r>
      <w:proofErr w:type="spellEnd"/>
      <w:r w:rsidRPr="008C3F4B">
        <w:t xml:space="preserve"> Ibom State, Nigeria. </w:t>
      </w:r>
      <w:r w:rsidRPr="008C3F4B">
        <w:rPr>
          <w:rStyle w:val="Emphasis"/>
        </w:rPr>
        <w:lastRenderedPageBreak/>
        <w:t>Environmental Forensics, 23</w:t>
      </w:r>
      <w:r w:rsidRPr="008C3F4B">
        <w:t xml:space="preserve">(3), 307–320. </w:t>
      </w:r>
      <w:hyperlink r:id="rId8" w:tgtFrame="_new" w:history="1">
        <w:r w:rsidRPr="008C3F4B">
          <w:rPr>
            <w:rStyle w:val="Hyperlink"/>
          </w:rPr>
          <w:t>https://doi.org/10.1080/15275922.2022.2042585</w:t>
        </w:r>
      </w:hyperlink>
    </w:p>
    <w:p w14:paraId="3513C62B" w14:textId="77777777" w:rsidR="008C3F4B" w:rsidRPr="008C3F4B" w:rsidRDefault="008C3F4B" w:rsidP="008C3F4B">
      <w:pPr>
        <w:pStyle w:val="NormalWeb"/>
        <w:ind w:left="720" w:hanging="720"/>
        <w:jc w:val="both"/>
      </w:pPr>
      <w:proofErr w:type="spellStart"/>
      <w:r w:rsidRPr="008C3F4B">
        <w:t>Anarado</w:t>
      </w:r>
      <w:proofErr w:type="spellEnd"/>
      <w:r w:rsidRPr="008C3F4B">
        <w:t xml:space="preserve">, C. J. O., </w:t>
      </w:r>
      <w:proofErr w:type="spellStart"/>
      <w:r w:rsidRPr="008C3F4B">
        <w:t>Okpoji</w:t>
      </w:r>
      <w:proofErr w:type="spellEnd"/>
      <w:r w:rsidRPr="008C3F4B">
        <w:t xml:space="preserve">, A. U., &amp; </w:t>
      </w:r>
      <w:proofErr w:type="spellStart"/>
      <w:r w:rsidRPr="008C3F4B">
        <w:t>Anarado</w:t>
      </w:r>
      <w:proofErr w:type="spellEnd"/>
      <w:r w:rsidRPr="008C3F4B">
        <w:t xml:space="preserve">, C. E. (2023). Bioaccumulation and health risk assessment of lead, cadmium, arsenic, and mercury in blue crabs found in creeks in Bayelsa State of the Niger Delta region of Nigeria. </w:t>
      </w:r>
      <w:r w:rsidRPr="008C3F4B">
        <w:rPr>
          <w:rStyle w:val="Emphasis"/>
        </w:rPr>
        <w:t>Asian Journal of Environmental &amp; Ecology, 21</w:t>
      </w:r>
      <w:r w:rsidRPr="008C3F4B">
        <w:t>(4), 46–59.</w:t>
      </w:r>
    </w:p>
    <w:p w14:paraId="52A62D52" w14:textId="77777777" w:rsidR="008C3F4B" w:rsidRPr="008C3F4B" w:rsidRDefault="008C3F4B" w:rsidP="008C3F4B">
      <w:pPr>
        <w:pStyle w:val="NormalWeb"/>
        <w:ind w:left="720" w:hanging="720"/>
        <w:jc w:val="both"/>
      </w:pPr>
      <w:r w:rsidRPr="008C3F4B">
        <w:t xml:space="preserve">British Geological Survey (BGS). (2024). </w:t>
      </w:r>
      <w:r w:rsidRPr="008C3F4B">
        <w:rPr>
          <w:rStyle w:val="Emphasis"/>
        </w:rPr>
        <w:t>National baseline methane and hydrocarbon survey of groundwater in the United Kingdom</w:t>
      </w:r>
      <w:r w:rsidRPr="008C3F4B">
        <w:t>. Keyworth, Nottingham: BGS Publications.</w:t>
      </w:r>
    </w:p>
    <w:p w14:paraId="4C258A7D" w14:textId="77777777" w:rsidR="008C3F4B" w:rsidRPr="008C3F4B" w:rsidRDefault="008C3F4B" w:rsidP="008C3F4B">
      <w:pPr>
        <w:pStyle w:val="NormalWeb"/>
        <w:ind w:left="720" w:hanging="720"/>
        <w:jc w:val="both"/>
      </w:pPr>
      <w:r w:rsidRPr="008C3F4B">
        <w:t xml:space="preserve">Department for Environment, Food and Rural Affairs (DEFRA). (2023). </w:t>
      </w:r>
      <w:r w:rsidRPr="008C3F4B">
        <w:rPr>
          <w:rStyle w:val="Emphasis"/>
        </w:rPr>
        <w:t>Environmental improvement plan for England 2023</w:t>
      </w:r>
      <w:r w:rsidRPr="008C3F4B">
        <w:t>. London: DEFRA.</w:t>
      </w:r>
    </w:p>
    <w:p w14:paraId="573EC63C" w14:textId="77777777" w:rsidR="008C3F4B" w:rsidRPr="008C3F4B" w:rsidRDefault="008C3F4B" w:rsidP="008C3F4B">
      <w:pPr>
        <w:pStyle w:val="NormalWeb"/>
        <w:ind w:left="720" w:hanging="720"/>
        <w:jc w:val="both"/>
      </w:pPr>
      <w:proofErr w:type="spellStart"/>
      <w:r w:rsidRPr="008C3F4B">
        <w:t>Ekwere</w:t>
      </w:r>
      <w:proofErr w:type="spellEnd"/>
      <w:r w:rsidRPr="008C3F4B">
        <w:t xml:space="preserve">, I. O., </w:t>
      </w:r>
      <w:proofErr w:type="spellStart"/>
      <w:r w:rsidRPr="008C3F4B">
        <w:t>Okpoji</w:t>
      </w:r>
      <w:proofErr w:type="spellEnd"/>
      <w:r w:rsidRPr="008C3F4B">
        <w:t xml:space="preserve">, A. U., </w:t>
      </w:r>
      <w:proofErr w:type="spellStart"/>
      <w:r w:rsidRPr="008C3F4B">
        <w:t>Igwegbe</w:t>
      </w:r>
      <w:proofErr w:type="spellEnd"/>
      <w:r w:rsidRPr="008C3F4B">
        <w:t xml:space="preserve">, K. C., Okonkwo, C. O., </w:t>
      </w:r>
      <w:proofErr w:type="spellStart"/>
      <w:r w:rsidRPr="008C3F4B">
        <w:t>Yekeen</w:t>
      </w:r>
      <w:proofErr w:type="spellEnd"/>
      <w:r w:rsidRPr="008C3F4B">
        <w:t xml:space="preserve">, A. A., </w:t>
      </w:r>
      <w:proofErr w:type="spellStart"/>
      <w:r w:rsidRPr="008C3F4B">
        <w:t>Obunezi</w:t>
      </w:r>
      <w:proofErr w:type="spellEnd"/>
      <w:r w:rsidRPr="008C3F4B">
        <w:t xml:space="preserve">, O. C., </w:t>
      </w:r>
      <w:proofErr w:type="spellStart"/>
      <w:r w:rsidRPr="008C3F4B">
        <w:t>Okpanachi</w:t>
      </w:r>
      <w:proofErr w:type="spellEnd"/>
      <w:r w:rsidRPr="008C3F4B">
        <w:t xml:space="preserve">, C. B., Garuba, M. H., </w:t>
      </w:r>
      <w:proofErr w:type="spellStart"/>
      <w:r w:rsidRPr="008C3F4B">
        <w:t>Ogini</w:t>
      </w:r>
      <w:proofErr w:type="spellEnd"/>
      <w:r w:rsidRPr="008C3F4B">
        <w:t xml:space="preserve">, O. R., &amp; </w:t>
      </w:r>
      <w:proofErr w:type="spellStart"/>
      <w:r w:rsidRPr="008C3F4B">
        <w:t>Odibo</w:t>
      </w:r>
      <w:proofErr w:type="spellEnd"/>
      <w:r w:rsidRPr="008C3F4B">
        <w:t xml:space="preserve">, U. E. (2025). Nutritional–toxicological trade-off: Comparative study of polycyclic aromatic hydrocarbons in smoked and oven-dried </w:t>
      </w:r>
      <w:r w:rsidRPr="008C3F4B">
        <w:rPr>
          <w:rStyle w:val="Emphasis"/>
        </w:rPr>
        <w:t>Nile tilapia (Oreochromis niloticus).</w:t>
      </w:r>
      <w:r w:rsidRPr="008C3F4B">
        <w:t xml:space="preserve"> </w:t>
      </w:r>
      <w:r w:rsidRPr="008C3F4B">
        <w:rPr>
          <w:rStyle w:val="Emphasis"/>
        </w:rPr>
        <w:t>Journal of Environment, Climate, and Ecology, 2</w:t>
      </w:r>
      <w:r w:rsidRPr="008C3F4B">
        <w:t xml:space="preserve">(2), 90–97. </w:t>
      </w:r>
      <w:hyperlink r:id="rId9" w:tgtFrame="_new" w:history="1">
        <w:r w:rsidRPr="008C3F4B">
          <w:rPr>
            <w:rStyle w:val="Hyperlink"/>
          </w:rPr>
          <w:t>https://doi.org/10.69739/jece.v2i2.952</w:t>
        </w:r>
      </w:hyperlink>
    </w:p>
    <w:p w14:paraId="1E47CA0F" w14:textId="77777777" w:rsidR="008C3F4B" w:rsidRPr="008C3F4B" w:rsidRDefault="008C3F4B" w:rsidP="008C3F4B">
      <w:pPr>
        <w:pStyle w:val="NormalWeb"/>
        <w:ind w:left="720" w:hanging="720"/>
        <w:jc w:val="both"/>
      </w:pPr>
      <w:proofErr w:type="spellStart"/>
      <w:r w:rsidRPr="008C3F4B">
        <w:t>Ekwere</w:t>
      </w:r>
      <w:proofErr w:type="spellEnd"/>
      <w:r w:rsidRPr="008C3F4B">
        <w:t xml:space="preserve">, I. O., </w:t>
      </w:r>
      <w:proofErr w:type="spellStart"/>
      <w:r w:rsidRPr="008C3F4B">
        <w:t>Okpoji</w:t>
      </w:r>
      <w:proofErr w:type="spellEnd"/>
      <w:r w:rsidRPr="008C3F4B">
        <w:t xml:space="preserve">, A. U., Ufuoma, V. O., Akinola, A. E., Raymond, C. A., Clement, R. O., </w:t>
      </w:r>
      <w:proofErr w:type="spellStart"/>
      <w:r w:rsidRPr="008C3F4B">
        <w:t>Alaekwe</w:t>
      </w:r>
      <w:proofErr w:type="spellEnd"/>
      <w:r w:rsidRPr="008C3F4B">
        <w:t xml:space="preserve">, I. O., </w:t>
      </w:r>
      <w:proofErr w:type="spellStart"/>
      <w:r w:rsidRPr="008C3F4B">
        <w:t>Etesin</w:t>
      </w:r>
      <w:proofErr w:type="spellEnd"/>
      <w:r w:rsidRPr="008C3F4B">
        <w:t xml:space="preserve">, M. O., &amp; </w:t>
      </w:r>
      <w:proofErr w:type="spellStart"/>
      <w:r w:rsidRPr="008C3F4B">
        <w:t>Edodi</w:t>
      </w:r>
      <w:proofErr w:type="spellEnd"/>
      <w:r w:rsidRPr="008C3F4B">
        <w:t xml:space="preserve">, I. O. (2025). Nutritional evaluation of </w:t>
      </w:r>
      <w:r w:rsidRPr="008C3F4B">
        <w:rPr>
          <w:rStyle w:val="Emphasis"/>
        </w:rPr>
        <w:t>Nile tilapia (Oreochromis niloticus)</w:t>
      </w:r>
      <w:r w:rsidRPr="008C3F4B">
        <w:t xml:space="preserve"> processed by different drying methods in Akwa Ibom State, Nigeria. </w:t>
      </w:r>
      <w:r w:rsidRPr="008C3F4B">
        <w:rPr>
          <w:rStyle w:val="Emphasis"/>
        </w:rPr>
        <w:t>Journal of Sustainable Research and Development, 1</w:t>
      </w:r>
      <w:r w:rsidRPr="008C3F4B">
        <w:t xml:space="preserve">(2), 11–17. </w:t>
      </w:r>
      <w:hyperlink r:id="rId10" w:tgtFrame="_new" w:history="1">
        <w:r w:rsidRPr="008C3F4B">
          <w:rPr>
            <w:rStyle w:val="Hyperlink"/>
          </w:rPr>
          <w:t>https://doi.org/10.69739/jsrd.v1i2.1033</w:t>
        </w:r>
      </w:hyperlink>
    </w:p>
    <w:p w14:paraId="431F6842" w14:textId="77777777" w:rsidR="008C3F4B" w:rsidRPr="008C3F4B" w:rsidRDefault="008C3F4B" w:rsidP="008C3F4B">
      <w:pPr>
        <w:pStyle w:val="NormalWeb"/>
        <w:ind w:left="720" w:hanging="720"/>
        <w:jc w:val="both"/>
      </w:pPr>
      <w:r w:rsidRPr="008C3F4B">
        <w:t xml:space="preserve">Ekpe, J. E., </w:t>
      </w:r>
      <w:proofErr w:type="spellStart"/>
      <w:r w:rsidRPr="008C3F4B">
        <w:t>Okpoji</w:t>
      </w:r>
      <w:proofErr w:type="spellEnd"/>
      <w:r w:rsidRPr="008C3F4B">
        <w:t xml:space="preserve">, A. U., </w:t>
      </w:r>
      <w:proofErr w:type="spellStart"/>
      <w:r w:rsidRPr="008C3F4B">
        <w:t>Ekwere</w:t>
      </w:r>
      <w:proofErr w:type="spellEnd"/>
      <w:r w:rsidRPr="008C3F4B">
        <w:t xml:space="preserve">, I. O., </w:t>
      </w:r>
      <w:proofErr w:type="spellStart"/>
      <w:r w:rsidRPr="008C3F4B">
        <w:t>Anarado</w:t>
      </w:r>
      <w:proofErr w:type="spellEnd"/>
      <w:r w:rsidRPr="008C3F4B">
        <w:t xml:space="preserve">, C. J., </w:t>
      </w:r>
      <w:proofErr w:type="spellStart"/>
      <w:r w:rsidRPr="008C3F4B">
        <w:t>Ewuola</w:t>
      </w:r>
      <w:proofErr w:type="spellEnd"/>
      <w:r w:rsidRPr="008C3F4B">
        <w:t xml:space="preserve">, A. A., Ufuoma, V. O., </w:t>
      </w:r>
      <w:proofErr w:type="spellStart"/>
      <w:r w:rsidRPr="008C3F4B">
        <w:t>Okpanachi</w:t>
      </w:r>
      <w:proofErr w:type="spellEnd"/>
      <w:r w:rsidRPr="008C3F4B">
        <w:t xml:space="preserve">, C. B., Okonkwo, C. O., &amp; </w:t>
      </w:r>
      <w:proofErr w:type="spellStart"/>
      <w:r w:rsidRPr="008C3F4B">
        <w:t>Obunezi</w:t>
      </w:r>
      <w:proofErr w:type="spellEnd"/>
      <w:r w:rsidRPr="008C3F4B">
        <w:t xml:space="preserve">, O. A. (2025). </w:t>
      </w:r>
      <w:proofErr w:type="spellStart"/>
      <w:r w:rsidRPr="008C3F4B">
        <w:t>Physico</w:t>
      </w:r>
      <w:proofErr w:type="spellEnd"/>
      <w:r w:rsidRPr="008C3F4B">
        <w:t xml:space="preserve">-chemical transport of pesticides and nutrients in irrigation water and their fate in </w:t>
      </w:r>
      <w:proofErr w:type="spellStart"/>
      <w:r w:rsidRPr="008C3F4B">
        <w:t>agro</w:t>
      </w:r>
      <w:proofErr w:type="spellEnd"/>
      <w:r w:rsidRPr="008C3F4B">
        <w:t xml:space="preserve">-ecosystems of Rivers State, Nigeria. </w:t>
      </w:r>
      <w:proofErr w:type="spellStart"/>
      <w:r w:rsidRPr="008C3F4B">
        <w:rPr>
          <w:rStyle w:val="Emphasis"/>
        </w:rPr>
        <w:t>Palgo</w:t>
      </w:r>
      <w:proofErr w:type="spellEnd"/>
      <w:r w:rsidRPr="008C3F4B">
        <w:rPr>
          <w:rStyle w:val="Emphasis"/>
        </w:rPr>
        <w:t xml:space="preserve"> Journal of Agriculture, 9</w:t>
      </w:r>
      <w:r w:rsidRPr="008C3F4B">
        <w:t xml:space="preserve">(2), 30–37. </w:t>
      </w:r>
      <w:hyperlink r:id="rId11" w:tgtFrame="_new" w:history="1">
        <w:r w:rsidRPr="008C3F4B">
          <w:rPr>
            <w:rStyle w:val="Hyperlink"/>
          </w:rPr>
          <w:t>https://doi.org/10.5281/zenodo.17148360</w:t>
        </w:r>
      </w:hyperlink>
    </w:p>
    <w:p w14:paraId="26EF7868" w14:textId="77777777" w:rsidR="008C3F4B" w:rsidRPr="008C3F4B" w:rsidRDefault="008C3F4B" w:rsidP="008C3F4B">
      <w:pPr>
        <w:pStyle w:val="NormalWeb"/>
        <w:ind w:left="720" w:hanging="720"/>
        <w:jc w:val="both"/>
      </w:pPr>
      <w:r w:rsidRPr="008C3F4B">
        <w:t xml:space="preserve">Environment Agency. (2023). </w:t>
      </w:r>
      <w:r w:rsidRPr="008C3F4B">
        <w:rPr>
          <w:rStyle w:val="Emphasis"/>
        </w:rPr>
        <w:t>Groundwater protection: Principles and practice</w:t>
      </w:r>
      <w:r w:rsidRPr="008C3F4B">
        <w:t>. Bristol: EA.</w:t>
      </w:r>
    </w:p>
    <w:p w14:paraId="4BEAEBBF" w14:textId="77777777" w:rsidR="008C3F4B" w:rsidRPr="008C3F4B" w:rsidRDefault="008C3F4B" w:rsidP="008C3F4B">
      <w:pPr>
        <w:pStyle w:val="NormalWeb"/>
        <w:ind w:left="720" w:hanging="720"/>
        <w:jc w:val="both"/>
      </w:pPr>
      <w:r w:rsidRPr="008C3F4B">
        <w:t xml:space="preserve">Fei-Baffoe, B., Badu, E., </w:t>
      </w:r>
      <w:proofErr w:type="spellStart"/>
      <w:r w:rsidRPr="008C3F4B">
        <w:t>Miezah</w:t>
      </w:r>
      <w:proofErr w:type="spellEnd"/>
      <w:r w:rsidRPr="008C3F4B">
        <w:t xml:space="preserve">, K., Sackey, L. N. A., Sulemana, A., &amp; </w:t>
      </w:r>
      <w:proofErr w:type="spellStart"/>
      <w:r w:rsidRPr="008C3F4B">
        <w:t>Amuah</w:t>
      </w:r>
      <w:proofErr w:type="spellEnd"/>
      <w:r w:rsidRPr="008C3F4B">
        <w:t xml:space="preserve">, E. E. Y. (2024). Contamination of groundwater by petroleum hydrocarbons: Impact of fuel stations in residential areas. </w:t>
      </w:r>
      <w:proofErr w:type="spellStart"/>
      <w:r w:rsidRPr="008C3F4B">
        <w:rPr>
          <w:rStyle w:val="Emphasis"/>
        </w:rPr>
        <w:t>Heliyon</w:t>
      </w:r>
      <w:proofErr w:type="spellEnd"/>
      <w:r w:rsidRPr="008C3F4B">
        <w:rPr>
          <w:rStyle w:val="Emphasis"/>
        </w:rPr>
        <w:t>, 10</w:t>
      </w:r>
      <w:r w:rsidRPr="008C3F4B">
        <w:t xml:space="preserve">(4), e25924. </w:t>
      </w:r>
      <w:hyperlink r:id="rId12" w:tgtFrame="_new" w:history="1">
        <w:r w:rsidRPr="008C3F4B">
          <w:rPr>
            <w:rStyle w:val="Hyperlink"/>
          </w:rPr>
          <w:t>https://doi.org/10.1016/j.heliyon.2024.e25924</w:t>
        </w:r>
      </w:hyperlink>
    </w:p>
    <w:p w14:paraId="0E62E08C" w14:textId="77777777" w:rsidR="008C3F4B" w:rsidRPr="008C3F4B" w:rsidRDefault="008C3F4B" w:rsidP="008C3F4B">
      <w:pPr>
        <w:pStyle w:val="NormalWeb"/>
        <w:ind w:left="720" w:hanging="720"/>
        <w:jc w:val="both"/>
      </w:pPr>
      <w:r w:rsidRPr="008C3F4B">
        <w:t xml:space="preserve">Gill, R. T., Thornton, S. F., Harbottle, M. J., &amp; Smith, J. W. N. (2020). Electrokinetic-enhanced removal of toluene from physically heterogeneous granular porous media. </w:t>
      </w:r>
      <w:r w:rsidRPr="008C3F4B">
        <w:rPr>
          <w:rStyle w:val="Emphasis"/>
        </w:rPr>
        <w:t>Quarterly Journal of Engineering Geology and Hydrogeology, 54.</w:t>
      </w:r>
      <w:r w:rsidRPr="008C3F4B">
        <w:t xml:space="preserve"> </w:t>
      </w:r>
      <w:hyperlink r:id="rId13" w:tgtFrame="_new" w:history="1">
        <w:r w:rsidRPr="008C3F4B">
          <w:rPr>
            <w:rStyle w:val="Hyperlink"/>
          </w:rPr>
          <w:t>https://doi.org/10.1144/qjegh2020-073</w:t>
        </w:r>
      </w:hyperlink>
    </w:p>
    <w:p w14:paraId="024D0C64" w14:textId="77777777" w:rsidR="008C3F4B" w:rsidRPr="008C3F4B" w:rsidRDefault="008C3F4B" w:rsidP="008C3F4B">
      <w:pPr>
        <w:pStyle w:val="NormalWeb"/>
        <w:ind w:left="720" w:hanging="720"/>
        <w:jc w:val="both"/>
      </w:pPr>
      <w:r w:rsidRPr="008C3F4B">
        <w:t xml:space="preserve">Gloria, O. N., Ifenna, O. V., Adetola, A., Daniel, E. E., Abdulmumuni, S., &amp; </w:t>
      </w:r>
      <w:proofErr w:type="spellStart"/>
      <w:r w:rsidRPr="008C3F4B">
        <w:t>Okpoji</w:t>
      </w:r>
      <w:proofErr w:type="spellEnd"/>
      <w:r w:rsidRPr="008C3F4B">
        <w:t>, A. U. (2025). Synthesis, characterisation, and antimicrobial studies of N-[(E)-</w:t>
      </w:r>
      <w:proofErr w:type="spellStart"/>
      <w:r w:rsidRPr="008C3F4B">
        <w:t>benzylideneamino</w:t>
      </w:r>
      <w:proofErr w:type="spellEnd"/>
      <w:r w:rsidRPr="008C3F4B">
        <w:t xml:space="preserve">]-2,4-dinitroaniline and its copper (II), nickel (II) and zinc (II) complexes. </w:t>
      </w:r>
      <w:r w:rsidRPr="008C3F4B">
        <w:rPr>
          <w:rStyle w:val="Emphasis"/>
        </w:rPr>
        <w:t>Chemistry Research Journal, 10</w:t>
      </w:r>
      <w:r w:rsidRPr="008C3F4B">
        <w:t>(2), 55–56.</w:t>
      </w:r>
    </w:p>
    <w:p w14:paraId="60E10E46" w14:textId="77777777" w:rsidR="008C3F4B" w:rsidRPr="008C3F4B" w:rsidRDefault="008C3F4B" w:rsidP="008C3F4B">
      <w:pPr>
        <w:pStyle w:val="NormalWeb"/>
        <w:ind w:left="720" w:hanging="720"/>
        <w:jc w:val="both"/>
      </w:pPr>
      <w:r w:rsidRPr="008C3F4B">
        <w:lastRenderedPageBreak/>
        <w:t xml:space="preserve">Hydrocarbon Pollution Remediation Project (HYPREP). (2023). </w:t>
      </w:r>
      <w:r w:rsidRPr="008C3F4B">
        <w:rPr>
          <w:rStyle w:val="Emphasis"/>
        </w:rPr>
        <w:t xml:space="preserve">Annual progress report on </w:t>
      </w:r>
      <w:proofErr w:type="spellStart"/>
      <w:r w:rsidRPr="008C3F4B">
        <w:rPr>
          <w:rStyle w:val="Emphasis"/>
        </w:rPr>
        <w:t>Ogoniland</w:t>
      </w:r>
      <w:proofErr w:type="spellEnd"/>
      <w:r w:rsidRPr="008C3F4B">
        <w:rPr>
          <w:rStyle w:val="Emphasis"/>
        </w:rPr>
        <w:t xml:space="preserve"> remediation</w:t>
      </w:r>
      <w:r w:rsidRPr="008C3F4B">
        <w:t>. Port Harcourt: Federal Ministry of Environment.</w:t>
      </w:r>
    </w:p>
    <w:p w14:paraId="34ED8B3E" w14:textId="77777777" w:rsidR="008C3F4B" w:rsidRPr="008C3F4B" w:rsidRDefault="008C3F4B" w:rsidP="008C3F4B">
      <w:pPr>
        <w:pStyle w:val="NormalWeb"/>
        <w:ind w:left="720" w:hanging="720"/>
        <w:jc w:val="both"/>
      </w:pPr>
      <w:r w:rsidRPr="008C3F4B">
        <w:t xml:space="preserve">Ite, A. E., Udofia, E. E., Ite, M. U., &amp; Ekanem, A. P. (2018). Petroleum hydrocarbon contamination of surface and groundwater in the Niger Delta: A review of sources, impacts, and remediation. </w:t>
      </w:r>
      <w:r w:rsidRPr="008C3F4B">
        <w:rPr>
          <w:rStyle w:val="Emphasis"/>
        </w:rPr>
        <w:t>Journal of Environmental Pollution and Human Health, 6</w:t>
      </w:r>
      <w:r w:rsidRPr="008C3F4B">
        <w:t>(1), 19–30.</w:t>
      </w:r>
    </w:p>
    <w:p w14:paraId="1803A503" w14:textId="77777777" w:rsidR="008C3F4B" w:rsidRPr="008C3F4B" w:rsidRDefault="008C3F4B" w:rsidP="008C3F4B">
      <w:pPr>
        <w:pStyle w:val="NormalWeb"/>
        <w:ind w:left="720" w:hanging="720"/>
        <w:jc w:val="both"/>
      </w:pPr>
      <w:r w:rsidRPr="008C3F4B">
        <w:t xml:space="preserve">John, E. E., Emah, O. A., Ifiok, O. E., </w:t>
      </w:r>
      <w:proofErr w:type="spellStart"/>
      <w:r w:rsidRPr="008C3F4B">
        <w:t>Okpoji</w:t>
      </w:r>
      <w:proofErr w:type="spellEnd"/>
      <w:r w:rsidRPr="008C3F4B">
        <w:t xml:space="preserve">, A. U., Iyam, O. E., Henderson, O. O., Akinola, A. E., Gloria, N. A., &amp; Charles, N. O. (2025). Health risk implications of polycyclic aromatic hydrocarbons in smoked and dried fish consumed in Nigeria. </w:t>
      </w:r>
      <w:r w:rsidRPr="008C3F4B">
        <w:rPr>
          <w:rStyle w:val="Emphasis"/>
        </w:rPr>
        <w:t>Journal of Medical Science, Biology, and Chemistry, 2</w:t>
      </w:r>
      <w:r w:rsidRPr="008C3F4B">
        <w:t xml:space="preserve">(2), 192–199. </w:t>
      </w:r>
      <w:hyperlink r:id="rId14" w:tgtFrame="_new" w:history="1">
        <w:r w:rsidRPr="008C3F4B">
          <w:rPr>
            <w:rStyle w:val="Hyperlink"/>
          </w:rPr>
          <w:t>https://doi.org/10.69739/jmsbc.v2i2.1045</w:t>
        </w:r>
      </w:hyperlink>
    </w:p>
    <w:p w14:paraId="5EDE359C" w14:textId="77777777" w:rsidR="008C3F4B" w:rsidRPr="008C3F4B" w:rsidRDefault="008C3F4B" w:rsidP="008C3F4B">
      <w:pPr>
        <w:pStyle w:val="NormalWeb"/>
        <w:ind w:left="720" w:hanging="720"/>
        <w:jc w:val="both"/>
      </w:pPr>
      <w:proofErr w:type="spellStart"/>
      <w:r w:rsidRPr="008C3F4B">
        <w:t>Nwaozuzu</w:t>
      </w:r>
      <w:proofErr w:type="spellEnd"/>
      <w:r w:rsidRPr="008C3F4B">
        <w:t xml:space="preserve">, C. C., Abah, S. O., &amp; Patrick-Iwuanyanwu, K. C. (2024). Polycyclic aromatic hydrocarbons in community drinking water, </w:t>
      </w:r>
      <w:proofErr w:type="spellStart"/>
      <w:r w:rsidRPr="008C3F4B">
        <w:t>Nsisioken</w:t>
      </w:r>
      <w:proofErr w:type="spellEnd"/>
      <w:r w:rsidRPr="008C3F4B">
        <w:t xml:space="preserve">, Nigeria: Source and health risk assessment. </w:t>
      </w:r>
      <w:r w:rsidRPr="008C3F4B">
        <w:rPr>
          <w:rStyle w:val="Emphasis"/>
        </w:rPr>
        <w:t>Environmental Analysis Health and Toxicology, 39</w:t>
      </w:r>
      <w:r w:rsidRPr="008C3F4B">
        <w:t xml:space="preserve">(2), e2024015. </w:t>
      </w:r>
      <w:hyperlink r:id="rId15" w:tgtFrame="_new" w:history="1">
        <w:r w:rsidRPr="008C3F4B">
          <w:rPr>
            <w:rStyle w:val="Hyperlink"/>
          </w:rPr>
          <w:t>https://doi.org/10.5620/eaht.2024015</w:t>
        </w:r>
      </w:hyperlink>
    </w:p>
    <w:p w14:paraId="0DBB937E"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Anarado</w:t>
      </w:r>
      <w:proofErr w:type="spellEnd"/>
      <w:r w:rsidRPr="008C3F4B">
        <w:t xml:space="preserve">, C. O., </w:t>
      </w:r>
      <w:proofErr w:type="spellStart"/>
      <w:r w:rsidRPr="008C3F4B">
        <w:t>Mmuta</w:t>
      </w:r>
      <w:proofErr w:type="spellEnd"/>
      <w:r w:rsidRPr="008C3F4B">
        <w:t xml:space="preserve">, E. C., </w:t>
      </w:r>
      <w:proofErr w:type="spellStart"/>
      <w:r w:rsidRPr="008C3F4B">
        <w:t>Ekwere</w:t>
      </w:r>
      <w:proofErr w:type="spellEnd"/>
      <w:r w:rsidRPr="008C3F4B">
        <w:t xml:space="preserve">, I.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Igwegbe</w:t>
      </w:r>
      <w:proofErr w:type="spellEnd"/>
      <w:r w:rsidRPr="008C3F4B">
        <w:t xml:space="preserve">, K. C., Eboh-Ajoku, I. O., &amp; </w:t>
      </w:r>
      <w:proofErr w:type="spellStart"/>
      <w:r w:rsidRPr="008C3F4B">
        <w:t>Obunezi</w:t>
      </w:r>
      <w:proofErr w:type="spellEnd"/>
      <w:r w:rsidRPr="008C3F4B">
        <w:t xml:space="preserve">, O. C. (2025). Toxicological evaluation of Pb, Cd, As, and Hg in blue crab from oil-polluted creeks in the Niger Delta. </w:t>
      </w:r>
      <w:r w:rsidRPr="008C3F4B">
        <w:rPr>
          <w:rStyle w:val="Emphasis"/>
        </w:rPr>
        <w:t>Journal of Life Science and Public Health, 1</w:t>
      </w:r>
      <w:r w:rsidRPr="008C3F4B">
        <w:t xml:space="preserve">(1), 24–31. </w:t>
      </w:r>
      <w:hyperlink r:id="rId16" w:tgtFrame="_new" w:history="1">
        <w:r w:rsidRPr="008C3F4B">
          <w:rPr>
            <w:rStyle w:val="Hyperlink"/>
          </w:rPr>
          <w:t>https://doi.org/10.69739/jlsph.v1i1.879</w:t>
        </w:r>
      </w:hyperlink>
    </w:p>
    <w:p w14:paraId="7015F8E0"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Chinyere, U. E., </w:t>
      </w:r>
      <w:proofErr w:type="spellStart"/>
      <w:r w:rsidRPr="008C3F4B">
        <w:t>Nwokoye</w:t>
      </w:r>
      <w:proofErr w:type="spellEnd"/>
      <w:r w:rsidRPr="008C3F4B">
        <w:t xml:space="preserve">, J. N., </w:t>
      </w:r>
      <w:proofErr w:type="spellStart"/>
      <w:r w:rsidRPr="008C3F4B">
        <w:t>Ezekwuemen</w:t>
      </w:r>
      <w:proofErr w:type="spellEnd"/>
      <w:r w:rsidRPr="008C3F4B">
        <w:t xml:space="preserve">, O. I., </w:t>
      </w:r>
      <w:proofErr w:type="spellStart"/>
      <w:r w:rsidRPr="008C3F4B">
        <w:t>Alaekwe</w:t>
      </w:r>
      <w:proofErr w:type="spellEnd"/>
      <w:r w:rsidRPr="008C3F4B">
        <w:t xml:space="preserve">, I. O., </w:t>
      </w:r>
      <w:proofErr w:type="spellStart"/>
      <w:r w:rsidRPr="008C3F4B">
        <w:t>Odidika</w:t>
      </w:r>
      <w:proofErr w:type="spellEnd"/>
      <w:r w:rsidRPr="008C3F4B">
        <w:t xml:space="preserve">, C. C., </w:t>
      </w:r>
      <w:proofErr w:type="spellStart"/>
      <w:r w:rsidRPr="008C3F4B">
        <w:t>Owughara</w:t>
      </w:r>
      <w:proofErr w:type="spellEnd"/>
      <w:r w:rsidRPr="008C3F4B">
        <w:t xml:space="preserve">, C. N., Enyi, C. M., &amp; Kolawole, O. O. (2025). Environmental assessment of heavy metals and hydrocarbon pollution in surface waters of oil-bearing communities in Andoni, Rivers State, Nigeria. </w:t>
      </w:r>
      <w:r w:rsidRPr="008C3F4B">
        <w:rPr>
          <w:rStyle w:val="Emphasis"/>
        </w:rPr>
        <w:t>International Journal of Modern Science and Research Technology, 3</w:t>
      </w:r>
      <w:r w:rsidRPr="008C3F4B">
        <w:t xml:space="preserve">(8), 22–30. </w:t>
      </w:r>
      <w:hyperlink r:id="rId17" w:tgtFrame="_new" w:history="1">
        <w:r w:rsidRPr="008C3F4B">
          <w:rPr>
            <w:rStyle w:val="Hyperlink"/>
          </w:rPr>
          <w:t>http://www.ijmsrt.com</w:t>
        </w:r>
      </w:hyperlink>
    </w:p>
    <w:p w14:paraId="15F99ABF"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Eboh-Ajoku, I. O., </w:t>
      </w:r>
      <w:proofErr w:type="spellStart"/>
      <w:r w:rsidRPr="008C3F4B">
        <w:t>Mmuta</w:t>
      </w:r>
      <w:proofErr w:type="spellEnd"/>
      <w:r w:rsidRPr="008C3F4B">
        <w:t xml:space="preserve">, E. C., Ndubuisi, J.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Nwoka</w:t>
      </w:r>
      <w:proofErr w:type="spellEnd"/>
      <w:r w:rsidRPr="008C3F4B">
        <w:t xml:space="preserve">, N. G., Okafor, C. A., &amp; </w:t>
      </w:r>
      <w:proofErr w:type="spellStart"/>
      <w:r w:rsidRPr="008C3F4B">
        <w:t>Obunezi</w:t>
      </w:r>
      <w:proofErr w:type="spellEnd"/>
      <w:r w:rsidRPr="008C3F4B">
        <w:t xml:space="preserve">, O. C. (2025). Integrated environmental risk assessment of BTEX and PAHs in water and sediment samples from the Bonny River, Nigeria. </w:t>
      </w:r>
      <w:r w:rsidRPr="008C3F4B">
        <w:rPr>
          <w:rStyle w:val="Emphasis"/>
        </w:rPr>
        <w:t>ISA Journal of Multidisciplinary (ISAJM), 2</w:t>
      </w:r>
      <w:r w:rsidRPr="008C3F4B">
        <w:t>(4), 14–21.</w:t>
      </w:r>
    </w:p>
    <w:p w14:paraId="23B23E1F"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Ekwere</w:t>
      </w:r>
      <w:proofErr w:type="spellEnd"/>
      <w:r w:rsidRPr="008C3F4B">
        <w:t xml:space="preserve">, I. O., </w:t>
      </w:r>
      <w:proofErr w:type="spellStart"/>
      <w:r w:rsidRPr="008C3F4B">
        <w:t>Igwegbe</w:t>
      </w:r>
      <w:proofErr w:type="spellEnd"/>
      <w:r w:rsidRPr="008C3F4B">
        <w:t xml:space="preserve">, K. C., </w:t>
      </w:r>
      <w:proofErr w:type="spellStart"/>
      <w:r w:rsidRPr="008C3F4B">
        <w:t>Etesin</w:t>
      </w:r>
      <w:proofErr w:type="spellEnd"/>
      <w:r w:rsidRPr="008C3F4B">
        <w:t xml:space="preserve">, U. M., Ugwuanyi, G. C., </w:t>
      </w:r>
      <w:proofErr w:type="spellStart"/>
      <w:r w:rsidRPr="008C3F4B">
        <w:t>Okpanachi</w:t>
      </w:r>
      <w:proofErr w:type="spellEnd"/>
      <w:r w:rsidRPr="008C3F4B">
        <w:t xml:space="preserve">, C. B., </w:t>
      </w:r>
      <w:proofErr w:type="spellStart"/>
      <w:r w:rsidRPr="008C3F4B">
        <w:t>Ewuola</w:t>
      </w:r>
      <w:proofErr w:type="spellEnd"/>
      <w:r w:rsidRPr="008C3F4B">
        <w:t xml:space="preserve">, A. A., Mojisola, K. M., &amp; </w:t>
      </w:r>
      <w:proofErr w:type="spellStart"/>
      <w:r w:rsidRPr="008C3F4B">
        <w:t>Ezekwueme</w:t>
      </w:r>
      <w:proofErr w:type="spellEnd"/>
      <w:r w:rsidRPr="008C3F4B">
        <w:t xml:space="preserve">, O. I. (2025). Solar-enhanced photocatalytic degradation of pharmaceutical residues in wastewater using Fe-, Cu-, and Zn-doped </w:t>
      </w:r>
      <w:proofErr w:type="spellStart"/>
      <w:r w:rsidRPr="008C3F4B">
        <w:t>TiO</w:t>
      </w:r>
      <w:proofErr w:type="spellEnd"/>
      <w:r w:rsidRPr="008C3F4B">
        <w:t xml:space="preserve">₂ nanomaterials. </w:t>
      </w:r>
      <w:r w:rsidRPr="008C3F4B">
        <w:rPr>
          <w:rStyle w:val="Emphasis"/>
        </w:rPr>
        <w:t>Journal of Environment, Climate, and Ecology, 2</w:t>
      </w:r>
      <w:r w:rsidRPr="008C3F4B">
        <w:t xml:space="preserve">(2), 56–62. </w:t>
      </w:r>
      <w:hyperlink r:id="rId18" w:tgtFrame="_new" w:history="1">
        <w:r w:rsidRPr="008C3F4B">
          <w:rPr>
            <w:rStyle w:val="Hyperlink"/>
          </w:rPr>
          <w:t>https://doi.org/10.69739/jece.v2i2.961</w:t>
        </w:r>
      </w:hyperlink>
    </w:p>
    <w:p w14:paraId="0805EF9A"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Emem, J. A., </w:t>
      </w:r>
      <w:proofErr w:type="spellStart"/>
      <w:r w:rsidRPr="008C3F4B">
        <w:t>Ekwere</w:t>
      </w:r>
      <w:proofErr w:type="spellEnd"/>
      <w:r w:rsidRPr="008C3F4B">
        <w:t xml:space="preserve">, I. O., </w:t>
      </w:r>
      <w:proofErr w:type="spellStart"/>
      <w:r w:rsidRPr="008C3F4B">
        <w:t>Odibo</w:t>
      </w:r>
      <w:proofErr w:type="spellEnd"/>
      <w:r w:rsidRPr="008C3F4B">
        <w:t xml:space="preserve">, U. E., </w:t>
      </w:r>
      <w:proofErr w:type="spellStart"/>
      <w:r w:rsidRPr="008C3F4B">
        <w:t>Alaekwe</w:t>
      </w:r>
      <w:proofErr w:type="spellEnd"/>
      <w:r w:rsidRPr="008C3F4B">
        <w:t xml:space="preserve">, I. O., Warder, A. B., &amp; Eboh-Ajoku, O. I. (2025). Bioaccumulation of nickel, lead, and cadmium in tissues of </w:t>
      </w:r>
      <w:r w:rsidRPr="008C3F4B">
        <w:rPr>
          <w:rStyle w:val="Emphasis"/>
        </w:rPr>
        <w:t>Callinectes sapidus</w:t>
      </w:r>
      <w:r w:rsidRPr="008C3F4B">
        <w:t xml:space="preserve"> from the Iko River, Nigeria: Implications for human health risk and environmental safety. </w:t>
      </w:r>
      <w:r w:rsidRPr="008C3F4B">
        <w:rPr>
          <w:rStyle w:val="Emphasis"/>
        </w:rPr>
        <w:t>Journal of Environment, Climate, and Ecology, 2</w:t>
      </w:r>
      <w:r w:rsidRPr="008C3F4B">
        <w:t xml:space="preserve">(2), 29–37. </w:t>
      </w:r>
      <w:hyperlink r:id="rId19" w:tgtFrame="_new" w:history="1">
        <w:r w:rsidRPr="008C3F4B">
          <w:rPr>
            <w:rStyle w:val="Hyperlink"/>
          </w:rPr>
          <w:t>https://doi.org/10.69739/jece.v2i2.844</w:t>
        </w:r>
      </w:hyperlink>
    </w:p>
    <w:p w14:paraId="66C58D3B"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Ndubuisi, J. O., Eboh-Ajoku, I. O., Emem, J. A., </w:t>
      </w:r>
      <w:proofErr w:type="spellStart"/>
      <w:r w:rsidRPr="008C3F4B">
        <w:t>Ekwere</w:t>
      </w:r>
      <w:proofErr w:type="spellEnd"/>
      <w:r w:rsidRPr="008C3F4B">
        <w:t xml:space="preserve">, I.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Igwegbe</w:t>
      </w:r>
      <w:proofErr w:type="spellEnd"/>
      <w:r w:rsidRPr="008C3F4B">
        <w:t xml:space="preserve">, K. C., Onoja, C. R., Warder, A. B., &amp; </w:t>
      </w:r>
      <w:proofErr w:type="spellStart"/>
      <w:r w:rsidRPr="008C3F4B">
        <w:t>InyangAbia</w:t>
      </w:r>
      <w:proofErr w:type="spellEnd"/>
      <w:r w:rsidRPr="008C3F4B">
        <w:t xml:space="preserve">, A. J. (2025). Trematode infections and histopathological effects in </w:t>
      </w:r>
      <w:proofErr w:type="spellStart"/>
      <w:r w:rsidRPr="008C3F4B">
        <w:rPr>
          <w:rStyle w:val="Emphasis"/>
        </w:rPr>
        <w:t>Chrysichthys</w:t>
      </w:r>
      <w:proofErr w:type="spellEnd"/>
      <w:r w:rsidRPr="008C3F4B">
        <w:rPr>
          <w:rStyle w:val="Emphasis"/>
        </w:rPr>
        <w:t xml:space="preserve"> </w:t>
      </w:r>
      <w:proofErr w:type="spellStart"/>
      <w:r w:rsidRPr="008C3F4B">
        <w:rPr>
          <w:rStyle w:val="Emphasis"/>
        </w:rPr>
        <w:t>nigrodigitatus</w:t>
      </w:r>
      <w:proofErr w:type="spellEnd"/>
      <w:r w:rsidRPr="008C3F4B">
        <w:t xml:space="preserve"> from </w:t>
      </w:r>
      <w:r w:rsidRPr="008C3F4B">
        <w:lastRenderedPageBreak/>
        <w:t xml:space="preserve">the polluted Andoni River, Niger Delta, Nigeria. </w:t>
      </w:r>
      <w:r w:rsidRPr="008C3F4B">
        <w:rPr>
          <w:rStyle w:val="Emphasis"/>
        </w:rPr>
        <w:t>Journal of Agriculture, Aquaculture, and Animal Science, 2</w:t>
      </w:r>
      <w:r w:rsidRPr="008C3F4B">
        <w:t xml:space="preserve">(2), 66–72. </w:t>
      </w:r>
      <w:hyperlink r:id="rId20" w:tgtFrame="_new" w:history="1">
        <w:r w:rsidRPr="008C3F4B">
          <w:rPr>
            <w:rStyle w:val="Hyperlink"/>
          </w:rPr>
          <w:t>https://doi.org/10.69739/jaaas.v2i2.882</w:t>
        </w:r>
      </w:hyperlink>
    </w:p>
    <w:p w14:paraId="43C809AB"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Nwoka</w:t>
      </w:r>
      <w:proofErr w:type="spellEnd"/>
      <w:r w:rsidRPr="008C3F4B">
        <w:t xml:space="preserve">, N. G., </w:t>
      </w:r>
      <w:proofErr w:type="spellStart"/>
      <w:r w:rsidRPr="008C3F4B">
        <w:t>Odibo</w:t>
      </w:r>
      <w:proofErr w:type="spellEnd"/>
      <w:r w:rsidRPr="008C3F4B">
        <w:t xml:space="preserve">, U. E., </w:t>
      </w:r>
      <w:proofErr w:type="spellStart"/>
      <w:r w:rsidRPr="008C3F4B">
        <w:t>Alaekwe</w:t>
      </w:r>
      <w:proofErr w:type="spellEnd"/>
      <w:r w:rsidRPr="008C3F4B">
        <w:t xml:space="preserve">, I. O., Okafor, C. A., </w:t>
      </w:r>
      <w:proofErr w:type="spellStart"/>
      <w:r w:rsidRPr="008C3F4B">
        <w:t>Ogwu</w:t>
      </w:r>
      <w:proofErr w:type="spellEnd"/>
      <w:r w:rsidRPr="008C3F4B">
        <w:t xml:space="preserve">, N. G., &amp; </w:t>
      </w:r>
      <w:proofErr w:type="spellStart"/>
      <w:r w:rsidRPr="008C3F4B">
        <w:t>Akatakpo</w:t>
      </w:r>
      <w:proofErr w:type="spellEnd"/>
      <w:r w:rsidRPr="008C3F4B">
        <w:t xml:space="preserve">, C. U. (2025). Seasonal variation in </w:t>
      </w:r>
      <w:proofErr w:type="spellStart"/>
      <w:r w:rsidRPr="008C3F4B">
        <w:t>hydrochemical</w:t>
      </w:r>
      <w:proofErr w:type="spellEnd"/>
      <w:r w:rsidRPr="008C3F4B">
        <w:t xml:space="preserve"> characteristics and heavy metal risk assessment of groundwater in </w:t>
      </w:r>
      <w:proofErr w:type="spellStart"/>
      <w:r w:rsidRPr="008C3F4B">
        <w:t>Andoni-Isiokwan</w:t>
      </w:r>
      <w:proofErr w:type="spellEnd"/>
      <w:r w:rsidRPr="008C3F4B">
        <w:t xml:space="preserve"> District, Niger Delta, Nigeria. </w:t>
      </w:r>
      <w:r w:rsidRPr="008C3F4B">
        <w:rPr>
          <w:rStyle w:val="Emphasis"/>
        </w:rPr>
        <w:t>International Journal of Modern Science and Research Technology, 3</w:t>
      </w:r>
      <w:r w:rsidRPr="008C3F4B">
        <w:t xml:space="preserve">(8), 44–51. </w:t>
      </w:r>
      <w:hyperlink r:id="rId21" w:tgtFrame="_new" w:history="1">
        <w:r w:rsidRPr="008C3F4B">
          <w:rPr>
            <w:rStyle w:val="Hyperlink"/>
          </w:rPr>
          <w:t>http://www.ijmsrt.com</w:t>
        </w:r>
      </w:hyperlink>
    </w:p>
    <w:p w14:paraId="6C27BAE9" w14:textId="77777777" w:rsidR="008C3F4B" w:rsidRPr="008C3F4B" w:rsidRDefault="008C3F4B" w:rsidP="008C3F4B">
      <w:pPr>
        <w:pStyle w:val="NormalWeb"/>
        <w:ind w:left="720" w:hanging="720"/>
        <w:jc w:val="both"/>
      </w:pPr>
      <w:r w:rsidRPr="008C3F4B">
        <w:t xml:space="preserve">Onoja, C. R., Ogbaji, H. O., Edodi, I. O., </w:t>
      </w:r>
      <w:proofErr w:type="spellStart"/>
      <w:r w:rsidRPr="008C3F4B">
        <w:t>Mmuta</w:t>
      </w:r>
      <w:proofErr w:type="spellEnd"/>
      <w:r w:rsidRPr="008C3F4B">
        <w:t xml:space="preserve">, E. C., </w:t>
      </w:r>
      <w:proofErr w:type="spellStart"/>
      <w:r w:rsidRPr="008C3F4B">
        <w:t>Igwegbe</w:t>
      </w:r>
      <w:proofErr w:type="spellEnd"/>
      <w:r w:rsidRPr="008C3F4B">
        <w:t xml:space="preserve">, K. C., Ogini, O. R., </w:t>
      </w:r>
      <w:proofErr w:type="spellStart"/>
      <w:r w:rsidRPr="008C3F4B">
        <w:t>Odibo</w:t>
      </w:r>
      <w:proofErr w:type="spellEnd"/>
      <w:r w:rsidRPr="008C3F4B">
        <w:t xml:space="preserve">, U. E., </w:t>
      </w:r>
      <w:proofErr w:type="spellStart"/>
      <w:r w:rsidRPr="008C3F4B">
        <w:t>Ewuola</w:t>
      </w:r>
      <w:proofErr w:type="spellEnd"/>
      <w:r w:rsidRPr="008C3F4B">
        <w:t xml:space="preserve">, A. A., Mahmoud, A. B., &amp; </w:t>
      </w:r>
      <w:proofErr w:type="spellStart"/>
      <w:r w:rsidRPr="008C3F4B">
        <w:t>Okpoji</w:t>
      </w:r>
      <w:proofErr w:type="spellEnd"/>
      <w:r w:rsidRPr="008C3F4B">
        <w:t>, A. U. (2025). Heavy metal contamination and health risk assessment of smoked-dried fish sold in Eke-</w:t>
      </w:r>
      <w:proofErr w:type="spellStart"/>
      <w:r w:rsidRPr="008C3F4B">
        <w:t>Awka</w:t>
      </w:r>
      <w:proofErr w:type="spellEnd"/>
      <w:r w:rsidRPr="008C3F4B">
        <w:t xml:space="preserve"> Market, Anambra State, Nigeria. </w:t>
      </w:r>
      <w:r w:rsidRPr="008C3F4B">
        <w:rPr>
          <w:rStyle w:val="Emphasis"/>
        </w:rPr>
        <w:t>Journal of Sustainable Research and Development, 1</w:t>
      </w:r>
      <w:r w:rsidRPr="008C3F4B">
        <w:t xml:space="preserve">(2), 18–25. </w:t>
      </w:r>
      <w:hyperlink r:id="rId22" w:tgtFrame="_new" w:history="1">
        <w:r w:rsidRPr="008C3F4B">
          <w:rPr>
            <w:rStyle w:val="Hyperlink"/>
          </w:rPr>
          <w:t>https://doi.org/10.69739/jsrd.v1i2.1044</w:t>
        </w:r>
      </w:hyperlink>
    </w:p>
    <w:p w14:paraId="4B3A7C06" w14:textId="77777777" w:rsidR="008C3F4B" w:rsidRPr="008C3F4B" w:rsidRDefault="008C3F4B" w:rsidP="008C3F4B">
      <w:pPr>
        <w:pStyle w:val="NormalWeb"/>
        <w:ind w:left="720" w:hanging="720"/>
        <w:jc w:val="both"/>
      </w:pPr>
      <w:r w:rsidRPr="008C3F4B">
        <w:t xml:space="preserve">Smith, J. J., </w:t>
      </w:r>
      <w:proofErr w:type="spellStart"/>
      <w:r w:rsidRPr="008C3F4B">
        <w:t>Benede</w:t>
      </w:r>
      <w:proofErr w:type="spellEnd"/>
      <w:r w:rsidRPr="008C3F4B">
        <w:t xml:space="preserve">, E., </w:t>
      </w:r>
      <w:proofErr w:type="spellStart"/>
      <w:r w:rsidRPr="008C3F4B">
        <w:t>Beuthe</w:t>
      </w:r>
      <w:proofErr w:type="spellEnd"/>
      <w:r w:rsidRPr="008C3F4B">
        <w:t xml:space="preserve">, B., Marti, M., Sayas Lopez, A., Koons, B. W., Kirkman, A. J., </w:t>
      </w:r>
      <w:proofErr w:type="spellStart"/>
      <w:r w:rsidRPr="008C3F4B">
        <w:t>Barreales</w:t>
      </w:r>
      <w:proofErr w:type="spellEnd"/>
      <w:r w:rsidRPr="008C3F4B">
        <w:t xml:space="preserve">, L. A., Grosjean, T., &amp; Hjort, M. (2021). A comparison of three methods to assess natural source </w:t>
      </w:r>
      <w:proofErr w:type="spellStart"/>
      <w:r w:rsidRPr="008C3F4B">
        <w:t>zone</w:t>
      </w:r>
      <w:proofErr w:type="spellEnd"/>
      <w:r w:rsidRPr="008C3F4B">
        <w:t xml:space="preserve"> depletion at paved fuel retail sites. </w:t>
      </w:r>
      <w:r w:rsidRPr="008C3F4B">
        <w:rPr>
          <w:rStyle w:val="Emphasis"/>
        </w:rPr>
        <w:t>Quarterly Journal of Engineering Geology and Hydrogeology, 54.</w:t>
      </w:r>
      <w:r w:rsidRPr="008C3F4B">
        <w:t xml:space="preserve"> </w:t>
      </w:r>
      <w:hyperlink r:id="rId23" w:tgtFrame="_new" w:history="1">
        <w:r w:rsidRPr="008C3F4B">
          <w:rPr>
            <w:rStyle w:val="Hyperlink"/>
          </w:rPr>
          <w:t>https://doi.org/10.1144/qjegh2021-005</w:t>
        </w:r>
      </w:hyperlink>
    </w:p>
    <w:p w14:paraId="1DB4C3EE" w14:textId="77777777" w:rsidR="008C3F4B" w:rsidRPr="008C3F4B" w:rsidRDefault="008C3F4B" w:rsidP="008C3F4B">
      <w:pPr>
        <w:pStyle w:val="NormalWeb"/>
        <w:ind w:left="720" w:hanging="720"/>
        <w:jc w:val="both"/>
      </w:pPr>
      <w:r w:rsidRPr="008C3F4B">
        <w:t xml:space="preserve">Sweeney, R. (2024). Analysis of sustainable remediation techniques and case studies across the United Kingdom and Europe. </w:t>
      </w:r>
      <w:r w:rsidRPr="008C3F4B">
        <w:rPr>
          <w:rStyle w:val="Emphasis"/>
        </w:rPr>
        <w:t>Remediation Journal, 34</w:t>
      </w:r>
      <w:r w:rsidRPr="008C3F4B">
        <w:t xml:space="preserve">(2), 55–73. </w:t>
      </w:r>
      <w:hyperlink r:id="rId24" w:tgtFrame="_new" w:history="1">
        <w:r w:rsidRPr="008C3F4B">
          <w:rPr>
            <w:rStyle w:val="Hyperlink"/>
          </w:rPr>
          <w:t>https://doi.org/10.1002/rem.21728</w:t>
        </w:r>
      </w:hyperlink>
    </w:p>
    <w:p w14:paraId="3ACD3B75" w14:textId="77777777" w:rsidR="008C3F4B" w:rsidRPr="008C3F4B" w:rsidRDefault="008C3F4B" w:rsidP="008C3F4B">
      <w:pPr>
        <w:pStyle w:val="NormalWeb"/>
        <w:ind w:left="720" w:hanging="720"/>
        <w:jc w:val="both"/>
      </w:pPr>
      <w:r w:rsidRPr="008C3F4B">
        <w:t xml:space="preserve">Thornton, S. F., Spence, M. J., Bottrell, S. H., &amp; Spence, K. H. (2024). Natural attenuation of dissolved petroleum fuel constituents in a fractured Chalk aquifer: Contaminant mass balance with probabilistic analysis. </w:t>
      </w:r>
      <w:r w:rsidRPr="008C3F4B">
        <w:rPr>
          <w:rStyle w:val="Emphasis"/>
        </w:rPr>
        <w:t>Quarterly Journal of Engineering Geology and Hydrogeology, 57</w:t>
      </w:r>
      <w:r w:rsidRPr="008C3F4B">
        <w:t xml:space="preserve">, 678. </w:t>
      </w:r>
      <w:hyperlink r:id="rId25" w:tgtFrame="_new" w:history="1">
        <w:r w:rsidRPr="008C3F4B">
          <w:rPr>
            <w:rStyle w:val="Hyperlink"/>
          </w:rPr>
          <w:t>https://doi.org/10.1144/qjegh2023-116</w:t>
        </w:r>
      </w:hyperlink>
    </w:p>
    <w:p w14:paraId="1DF7EB21" w14:textId="77777777" w:rsidR="00965D60" w:rsidRPr="008C3F4B" w:rsidRDefault="00965D60" w:rsidP="008C3F4B">
      <w:pPr>
        <w:jc w:val="both"/>
        <w:rPr>
          <w:rFonts w:ascii="Times New Roman" w:hAnsi="Times New Roman" w:cs="Times New Roman"/>
          <w:sz w:val="24"/>
          <w:szCs w:val="24"/>
        </w:rPr>
      </w:pPr>
    </w:p>
    <w:sectPr w:rsidR="00965D60" w:rsidRPr="008C3F4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40BB3" w14:textId="77777777" w:rsidR="00876C49" w:rsidRDefault="00876C49" w:rsidP="002C2186">
      <w:pPr>
        <w:spacing w:after="0" w:line="240" w:lineRule="auto"/>
      </w:pPr>
      <w:r>
        <w:separator/>
      </w:r>
    </w:p>
  </w:endnote>
  <w:endnote w:type="continuationSeparator" w:id="0">
    <w:p w14:paraId="0CB994AD" w14:textId="77777777" w:rsidR="00876C49" w:rsidRDefault="00876C49" w:rsidP="002C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D34C" w14:textId="77777777" w:rsidR="002C2186" w:rsidRDefault="002C2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8957" w14:textId="77777777" w:rsidR="002C2186" w:rsidRDefault="002C2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F62D" w14:textId="77777777" w:rsidR="002C2186" w:rsidRDefault="002C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7731" w14:textId="77777777" w:rsidR="00876C49" w:rsidRDefault="00876C49" w:rsidP="002C2186">
      <w:pPr>
        <w:spacing w:after="0" w:line="240" w:lineRule="auto"/>
      </w:pPr>
      <w:r>
        <w:separator/>
      </w:r>
    </w:p>
  </w:footnote>
  <w:footnote w:type="continuationSeparator" w:id="0">
    <w:p w14:paraId="6643DFA0" w14:textId="77777777" w:rsidR="00876C49" w:rsidRDefault="00876C49" w:rsidP="002C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562D" w14:textId="7EE884EB" w:rsidR="002C2186" w:rsidRDefault="002C2186">
    <w:pPr>
      <w:pStyle w:val="Header"/>
    </w:pPr>
    <w:r>
      <w:rPr>
        <w:noProof/>
      </w:rPr>
      <w:pict w14:anchorId="1F905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E897" w14:textId="3F5A3777" w:rsidR="002C2186" w:rsidRDefault="002C2186">
    <w:pPr>
      <w:pStyle w:val="Header"/>
    </w:pPr>
    <w:r>
      <w:rPr>
        <w:noProof/>
      </w:rPr>
      <w:pict w14:anchorId="6C6D7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6D7B" w14:textId="4C661C45" w:rsidR="002C2186" w:rsidRDefault="002C2186">
    <w:pPr>
      <w:pStyle w:val="Header"/>
    </w:pPr>
    <w:r>
      <w:rPr>
        <w:noProof/>
      </w:rPr>
      <w:pict w14:anchorId="599BE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4B"/>
    <w:rsid w:val="00107009"/>
    <w:rsid w:val="00285836"/>
    <w:rsid w:val="002C2186"/>
    <w:rsid w:val="00435586"/>
    <w:rsid w:val="00557F63"/>
    <w:rsid w:val="007C0C5D"/>
    <w:rsid w:val="007E5839"/>
    <w:rsid w:val="007F2C3E"/>
    <w:rsid w:val="00876C49"/>
    <w:rsid w:val="008C3F4B"/>
    <w:rsid w:val="00965D60"/>
    <w:rsid w:val="00AD39CB"/>
    <w:rsid w:val="00DE1C36"/>
    <w:rsid w:val="00DE230A"/>
    <w:rsid w:val="00E2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B17F8B"/>
  <w15:chartTrackingRefBased/>
  <w15:docId w15:val="{B73AD13C-E85A-46E2-B4E2-E0862DC0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C3F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3F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3F4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8C3F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3F4B"/>
    <w:rPr>
      <w:b/>
      <w:bCs/>
    </w:rPr>
  </w:style>
  <w:style w:type="character" w:customStyle="1" w:styleId="Heading4Char">
    <w:name w:val="Heading 4 Char"/>
    <w:basedOn w:val="DefaultParagraphFont"/>
    <w:link w:val="Heading4"/>
    <w:uiPriority w:val="9"/>
    <w:semiHidden/>
    <w:rsid w:val="008C3F4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8C3F4B"/>
    <w:rPr>
      <w:i/>
      <w:iCs/>
    </w:rPr>
  </w:style>
  <w:style w:type="character" w:styleId="Hyperlink">
    <w:name w:val="Hyperlink"/>
    <w:basedOn w:val="DefaultParagraphFont"/>
    <w:uiPriority w:val="99"/>
    <w:unhideWhenUsed/>
    <w:rsid w:val="008C3F4B"/>
    <w:rPr>
      <w:color w:val="0000FF"/>
      <w:u w:val="single"/>
    </w:rPr>
  </w:style>
  <w:style w:type="character" w:customStyle="1" w:styleId="15">
    <w:name w:val="15"/>
    <w:basedOn w:val="DefaultParagraphFont"/>
    <w:rsid w:val="008C3F4B"/>
    <w:rPr>
      <w:rFonts w:ascii="Calibri" w:hAnsi="Calibri" w:cs="Calibri" w:hint="default"/>
      <w:i/>
      <w:iCs/>
    </w:rPr>
  </w:style>
  <w:style w:type="character" w:customStyle="1" w:styleId="16">
    <w:name w:val="16"/>
    <w:basedOn w:val="DefaultParagraphFont"/>
    <w:rsid w:val="008C3F4B"/>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AD39CB"/>
    <w:rPr>
      <w:color w:val="605E5C"/>
      <w:shd w:val="clear" w:color="auto" w:fill="E1DFDD"/>
    </w:rPr>
  </w:style>
  <w:style w:type="paragraph" w:styleId="Header">
    <w:name w:val="header"/>
    <w:basedOn w:val="Normal"/>
    <w:link w:val="HeaderChar"/>
    <w:uiPriority w:val="99"/>
    <w:unhideWhenUsed/>
    <w:rsid w:val="002C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86"/>
  </w:style>
  <w:style w:type="paragraph" w:styleId="Footer">
    <w:name w:val="footer"/>
    <w:basedOn w:val="Normal"/>
    <w:link w:val="FooterChar"/>
    <w:uiPriority w:val="99"/>
    <w:unhideWhenUsed/>
    <w:rsid w:val="002C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16277">
      <w:bodyDiv w:val="1"/>
      <w:marLeft w:val="0"/>
      <w:marRight w:val="0"/>
      <w:marTop w:val="0"/>
      <w:marBottom w:val="0"/>
      <w:divBdr>
        <w:top w:val="none" w:sz="0" w:space="0" w:color="auto"/>
        <w:left w:val="none" w:sz="0" w:space="0" w:color="auto"/>
        <w:bottom w:val="none" w:sz="0" w:space="0" w:color="auto"/>
        <w:right w:val="none" w:sz="0" w:space="0" w:color="auto"/>
      </w:divBdr>
    </w:div>
    <w:div w:id="733353339">
      <w:bodyDiv w:val="1"/>
      <w:marLeft w:val="0"/>
      <w:marRight w:val="0"/>
      <w:marTop w:val="0"/>
      <w:marBottom w:val="0"/>
      <w:divBdr>
        <w:top w:val="none" w:sz="0" w:space="0" w:color="auto"/>
        <w:left w:val="none" w:sz="0" w:space="0" w:color="auto"/>
        <w:bottom w:val="none" w:sz="0" w:space="0" w:color="auto"/>
        <w:right w:val="none" w:sz="0" w:space="0" w:color="auto"/>
      </w:divBdr>
    </w:div>
    <w:div w:id="1148012082">
      <w:bodyDiv w:val="1"/>
      <w:marLeft w:val="0"/>
      <w:marRight w:val="0"/>
      <w:marTop w:val="0"/>
      <w:marBottom w:val="0"/>
      <w:divBdr>
        <w:top w:val="none" w:sz="0" w:space="0" w:color="auto"/>
        <w:left w:val="none" w:sz="0" w:space="0" w:color="auto"/>
        <w:bottom w:val="none" w:sz="0" w:space="0" w:color="auto"/>
        <w:right w:val="none" w:sz="0" w:space="0" w:color="auto"/>
      </w:divBdr>
    </w:div>
    <w:div w:id="1237587992">
      <w:bodyDiv w:val="1"/>
      <w:marLeft w:val="0"/>
      <w:marRight w:val="0"/>
      <w:marTop w:val="0"/>
      <w:marBottom w:val="0"/>
      <w:divBdr>
        <w:top w:val="none" w:sz="0" w:space="0" w:color="auto"/>
        <w:left w:val="none" w:sz="0" w:space="0" w:color="auto"/>
        <w:bottom w:val="none" w:sz="0" w:space="0" w:color="auto"/>
        <w:right w:val="none" w:sz="0" w:space="0" w:color="auto"/>
      </w:divBdr>
    </w:div>
    <w:div w:id="2144154440">
      <w:bodyDiv w:val="1"/>
      <w:marLeft w:val="0"/>
      <w:marRight w:val="0"/>
      <w:marTop w:val="0"/>
      <w:marBottom w:val="0"/>
      <w:divBdr>
        <w:top w:val="none" w:sz="0" w:space="0" w:color="auto"/>
        <w:left w:val="none" w:sz="0" w:space="0" w:color="auto"/>
        <w:bottom w:val="none" w:sz="0" w:space="0" w:color="auto"/>
        <w:right w:val="none" w:sz="0" w:space="0" w:color="auto"/>
      </w:divBdr>
      <w:divsChild>
        <w:div w:id="212081820">
          <w:marLeft w:val="0"/>
          <w:marRight w:val="0"/>
          <w:marTop w:val="0"/>
          <w:marBottom w:val="0"/>
          <w:divBdr>
            <w:top w:val="none" w:sz="0" w:space="0" w:color="auto"/>
            <w:left w:val="none" w:sz="0" w:space="0" w:color="auto"/>
            <w:bottom w:val="none" w:sz="0" w:space="0" w:color="auto"/>
            <w:right w:val="none" w:sz="0" w:space="0" w:color="auto"/>
          </w:divBdr>
          <w:divsChild>
            <w:div w:id="1275475495">
              <w:marLeft w:val="0"/>
              <w:marRight w:val="0"/>
              <w:marTop w:val="0"/>
              <w:marBottom w:val="0"/>
              <w:divBdr>
                <w:top w:val="none" w:sz="0" w:space="0" w:color="auto"/>
                <w:left w:val="none" w:sz="0" w:space="0" w:color="auto"/>
                <w:bottom w:val="none" w:sz="0" w:space="0" w:color="auto"/>
                <w:right w:val="none" w:sz="0" w:space="0" w:color="auto"/>
              </w:divBdr>
            </w:div>
          </w:divsChild>
        </w:div>
        <w:div w:id="1939169324">
          <w:marLeft w:val="0"/>
          <w:marRight w:val="0"/>
          <w:marTop w:val="0"/>
          <w:marBottom w:val="0"/>
          <w:divBdr>
            <w:top w:val="none" w:sz="0" w:space="0" w:color="auto"/>
            <w:left w:val="none" w:sz="0" w:space="0" w:color="auto"/>
            <w:bottom w:val="none" w:sz="0" w:space="0" w:color="auto"/>
            <w:right w:val="none" w:sz="0" w:space="0" w:color="auto"/>
          </w:divBdr>
          <w:divsChild>
            <w:div w:id="742409017">
              <w:marLeft w:val="0"/>
              <w:marRight w:val="0"/>
              <w:marTop w:val="0"/>
              <w:marBottom w:val="0"/>
              <w:divBdr>
                <w:top w:val="none" w:sz="0" w:space="0" w:color="auto"/>
                <w:left w:val="none" w:sz="0" w:space="0" w:color="auto"/>
                <w:bottom w:val="none" w:sz="0" w:space="0" w:color="auto"/>
                <w:right w:val="none" w:sz="0" w:space="0" w:color="auto"/>
              </w:divBdr>
            </w:div>
          </w:divsChild>
        </w:div>
        <w:div w:id="1504977824">
          <w:marLeft w:val="0"/>
          <w:marRight w:val="0"/>
          <w:marTop w:val="0"/>
          <w:marBottom w:val="0"/>
          <w:divBdr>
            <w:top w:val="none" w:sz="0" w:space="0" w:color="auto"/>
            <w:left w:val="none" w:sz="0" w:space="0" w:color="auto"/>
            <w:bottom w:val="none" w:sz="0" w:space="0" w:color="auto"/>
            <w:right w:val="none" w:sz="0" w:space="0" w:color="auto"/>
          </w:divBdr>
          <w:divsChild>
            <w:div w:id="36589155">
              <w:marLeft w:val="0"/>
              <w:marRight w:val="0"/>
              <w:marTop w:val="0"/>
              <w:marBottom w:val="0"/>
              <w:divBdr>
                <w:top w:val="none" w:sz="0" w:space="0" w:color="auto"/>
                <w:left w:val="none" w:sz="0" w:space="0" w:color="auto"/>
                <w:bottom w:val="none" w:sz="0" w:space="0" w:color="auto"/>
                <w:right w:val="none" w:sz="0" w:space="0" w:color="auto"/>
              </w:divBdr>
            </w:div>
          </w:divsChild>
        </w:div>
        <w:div w:id="133181366">
          <w:marLeft w:val="0"/>
          <w:marRight w:val="0"/>
          <w:marTop w:val="0"/>
          <w:marBottom w:val="0"/>
          <w:divBdr>
            <w:top w:val="none" w:sz="0" w:space="0" w:color="auto"/>
            <w:left w:val="none" w:sz="0" w:space="0" w:color="auto"/>
            <w:bottom w:val="none" w:sz="0" w:space="0" w:color="auto"/>
            <w:right w:val="none" w:sz="0" w:space="0" w:color="auto"/>
          </w:divBdr>
          <w:divsChild>
            <w:div w:id="1820421311">
              <w:marLeft w:val="0"/>
              <w:marRight w:val="0"/>
              <w:marTop w:val="0"/>
              <w:marBottom w:val="0"/>
              <w:divBdr>
                <w:top w:val="none" w:sz="0" w:space="0" w:color="auto"/>
                <w:left w:val="none" w:sz="0" w:space="0" w:color="auto"/>
                <w:bottom w:val="none" w:sz="0" w:space="0" w:color="auto"/>
                <w:right w:val="none" w:sz="0" w:space="0" w:color="auto"/>
              </w:divBdr>
            </w:div>
          </w:divsChild>
        </w:div>
        <w:div w:id="1808620680">
          <w:marLeft w:val="0"/>
          <w:marRight w:val="0"/>
          <w:marTop w:val="0"/>
          <w:marBottom w:val="0"/>
          <w:divBdr>
            <w:top w:val="none" w:sz="0" w:space="0" w:color="auto"/>
            <w:left w:val="none" w:sz="0" w:space="0" w:color="auto"/>
            <w:bottom w:val="none" w:sz="0" w:space="0" w:color="auto"/>
            <w:right w:val="none" w:sz="0" w:space="0" w:color="auto"/>
          </w:divBdr>
          <w:divsChild>
            <w:div w:id="14901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4/qjegh2020-073" TargetMode="External"/><Relationship Id="rId18" Type="http://schemas.openxmlformats.org/officeDocument/2006/relationships/hyperlink" Target="https://doi.org/10.69739/jece.v2i2.96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ijmsrt.com" TargetMode="External"/><Relationship Id="rId7" Type="http://schemas.openxmlformats.org/officeDocument/2006/relationships/hyperlink" Target="https://doi.org/10.1016/j.toxrep.2022.03.001" TargetMode="External"/><Relationship Id="rId12" Type="http://schemas.openxmlformats.org/officeDocument/2006/relationships/hyperlink" Target="https://doi.org/10.1016/j.heliyon.2024.e25924" TargetMode="External"/><Relationship Id="rId17" Type="http://schemas.openxmlformats.org/officeDocument/2006/relationships/hyperlink" Target="http://www.ijmsrt.com" TargetMode="External"/><Relationship Id="rId25" Type="http://schemas.openxmlformats.org/officeDocument/2006/relationships/hyperlink" Target="https://doi.org/10.1144/qjegh2023-11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69739/jlsph.v1i1.879" TargetMode="External"/><Relationship Id="rId20" Type="http://schemas.openxmlformats.org/officeDocument/2006/relationships/hyperlink" Target="https://doi.org/10.69739/jaaas.v2i2.882"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80/10406638.2022.2112222" TargetMode="External"/><Relationship Id="rId11" Type="http://schemas.openxmlformats.org/officeDocument/2006/relationships/hyperlink" Target="https://doi.org/10.5281/zenodo.17148360" TargetMode="External"/><Relationship Id="rId24" Type="http://schemas.openxmlformats.org/officeDocument/2006/relationships/hyperlink" Target="https://doi.org/10.1002/rem.21728"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620/eaht.2024015" TargetMode="External"/><Relationship Id="rId23" Type="http://schemas.openxmlformats.org/officeDocument/2006/relationships/hyperlink" Target="https://doi.org/10.1144/qjegh2021-005" TargetMode="External"/><Relationship Id="rId28" Type="http://schemas.openxmlformats.org/officeDocument/2006/relationships/footer" Target="footer1.xml"/><Relationship Id="rId10" Type="http://schemas.openxmlformats.org/officeDocument/2006/relationships/hyperlink" Target="https://doi.org/10.69739/jsrd.v1i2.1033" TargetMode="External"/><Relationship Id="rId19" Type="http://schemas.openxmlformats.org/officeDocument/2006/relationships/hyperlink" Target="https://doi.org/10.69739/jece.v2i2.844"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69739/jece.v2i2.952"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srd.v1i2.104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80/15275922.2022.2042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4851</Words>
  <Characters>27654</Characters>
  <Application>Microsoft Office Word</Application>
  <DocSecurity>0</DocSecurity>
  <Lines>230</Lines>
  <Paragraphs>64</Paragraphs>
  <ScaleCrop>false</ScaleCrop>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31</cp:revision>
  <dcterms:created xsi:type="dcterms:W3CDTF">2025-10-29T12:39:00Z</dcterms:created>
  <dcterms:modified xsi:type="dcterms:W3CDTF">2025-10-30T07:42:00Z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b0c6feda-7b5a-46ad-a0ee-15f2059048f6</vt:lpwstr>
  </property>
</Properties>
</file>