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5A4A" w14:textId="77777777" w:rsidR="007879E7" w:rsidRPr="007879E7" w:rsidRDefault="007879E7" w:rsidP="007879E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/>
          <w:lang w:bidi="as-IN"/>
        </w:rPr>
      </w:pPr>
      <w:r w:rsidRPr="007879E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/>
          <w:lang w:bidi="as-IN"/>
        </w:rPr>
        <w:t>Review Article</w:t>
      </w:r>
    </w:p>
    <w:p w14:paraId="76F336EE" w14:textId="77777777" w:rsidR="00A87D6B" w:rsidRPr="00A87D6B" w:rsidRDefault="00F42B63" w:rsidP="00A87D6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</w:pPr>
      <w:bookmarkStart w:id="0" w:name="_Hlk211946610"/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  <w:t>M</w:t>
      </w:r>
      <w:r w:rsidR="00A87D6B" w:rsidRPr="00A87D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  <w:t>an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  <w:t xml:space="preserve"> and </w:t>
      </w:r>
      <w:r w:rsidR="00A87D6B" w:rsidRPr="00A87D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  <w:t>Riverine Interactions: A Comprehensive Review with Special Reference to the Jamuna Watershed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  <w:t xml:space="preserve"> of</w:t>
      </w:r>
      <w:r w:rsidR="00A87D6B" w:rsidRPr="00A87D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  <w:t xml:space="preserve"> Assam, India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  <w:t>.</w:t>
      </w:r>
    </w:p>
    <w:bookmarkEnd w:id="0"/>
    <w:p w14:paraId="65DAECD9" w14:textId="77777777" w:rsidR="00A87D6B" w:rsidRDefault="00A87D6B" w:rsidP="008D487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708A48" w14:textId="77777777" w:rsidR="000752EA" w:rsidRDefault="000752EA" w:rsidP="008D487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A0E925" w14:textId="77777777" w:rsidR="000752EA" w:rsidRDefault="000752EA" w:rsidP="008D487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997AED" w14:textId="77777777" w:rsidR="000752EA" w:rsidRDefault="000752EA" w:rsidP="008D487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0C3163" w14:textId="77777777" w:rsidR="000752EA" w:rsidRPr="00A87D6B" w:rsidRDefault="000752EA" w:rsidP="008D48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</w:p>
    <w:p w14:paraId="1ABD2816" w14:textId="77777777" w:rsidR="00A87D6B" w:rsidRPr="00A87D6B" w:rsidRDefault="00A87D6B" w:rsidP="00A87D6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Abstract</w:t>
      </w:r>
    </w:p>
    <w:p w14:paraId="65B79301" w14:textId="77777777" w:rsidR="00A87D6B" w:rsidRPr="00A87D6B" w:rsidRDefault="00A87D6B" w:rsidP="00A87D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Rivers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are the base of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human civilization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s, its growth and prosperity;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rivers </w:t>
      </w:r>
      <w:r w:rsidR="00015E6F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shap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patterns of settlement, agriculture, cultur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al identity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spirituality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over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time. The interaction between man and rivers represents a complex socio-hydrological relationship characterized by continuous adaptation,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change,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management and transformation. Globally, this interrelation has been conceptualized through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well known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frameworks like socio-hydrology, which emphasize the coupled evolution of human and water systems (Sivapalan et al., 2012; Di Baldassarre et al., 2019; Montanari et al., 2013). In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regions like Assam or the whole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India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n subcontinent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rivers have historically acted as physical and cultural backbones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it helps in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sustaining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a huge density of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populations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the river bank towns and cities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(Singh, 2018; Garg et al., 2020).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In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Assam, the Jamuna Watershed presents a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small part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these processes, where indigenous and agrarian communities continuously adapt to hydrological fluctuations and environmental change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This paper reviews global, national and regional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works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to synthesize </w:t>
      </w:r>
      <w:r w:rsidR="00E53BA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theoretical understandings of man</w:t>
      </w:r>
      <w:r w:rsidR="00E53BA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riverine interactions, with special attention to the socio-hydrological perspectives.</w:t>
      </w:r>
    </w:p>
    <w:p w14:paraId="4E8F8459" w14:textId="77777777" w:rsidR="00A87D6B" w:rsidRPr="00A87D6B" w:rsidRDefault="00A87D6B" w:rsidP="00A87D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Keywords: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Socio-hydrology, </w:t>
      </w:r>
      <w:r w:rsidR="00E53BA5">
        <w:rPr>
          <w:rFonts w:ascii="Times New Roman" w:eastAsia="Times New Roman" w:hAnsi="Times New Roman" w:cs="Times New Roman"/>
          <w:sz w:val="24"/>
          <w:szCs w:val="24"/>
          <w:lang w:bidi="as-IN"/>
        </w:rPr>
        <w:t>M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an</w:t>
      </w:r>
      <w:r w:rsidR="00E53BA5">
        <w:rPr>
          <w:rFonts w:ascii="Times New Roman" w:eastAsia="Times New Roman" w:hAnsi="Times New Roman" w:cs="Times New Roman"/>
          <w:sz w:val="24"/>
          <w:szCs w:val="24"/>
          <w:lang w:bidi="as-IN"/>
        </w:rPr>
        <w:t>-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rive</w:t>
      </w:r>
      <w:r w:rsidR="00E53BA5">
        <w:rPr>
          <w:rFonts w:ascii="Times New Roman" w:eastAsia="Times New Roman" w:hAnsi="Times New Roman" w:cs="Times New Roman"/>
          <w:sz w:val="24"/>
          <w:szCs w:val="24"/>
          <w:lang w:bidi="as-IN"/>
        </w:rPr>
        <w:t>r interaction, Jamuna Watershed.</w:t>
      </w:r>
    </w:p>
    <w:p w14:paraId="72D53540" w14:textId="77777777" w:rsidR="00A87D6B" w:rsidRPr="00A87D6B" w:rsidRDefault="00A87D6B" w:rsidP="00A87D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</w:p>
    <w:p w14:paraId="7868E02B" w14:textId="77777777" w:rsidR="00A87D6B" w:rsidRPr="00A87D6B" w:rsidRDefault="00A87D6B" w:rsidP="00A87D6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1. Introduction</w:t>
      </w:r>
    </w:p>
    <w:p w14:paraId="6A6CBEA4" w14:textId="77777777" w:rsidR="00A87D6B" w:rsidRPr="00A87D6B" w:rsidRDefault="00A87D6B" w:rsidP="00325CB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relation between human and riverine environment is one of the most </w:t>
      </w:r>
      <w:r w:rsidR="00DD5581">
        <w:rPr>
          <w:rFonts w:ascii="Times New Roman" w:eastAsia="Times New Roman" w:hAnsi="Times New Roman" w:cs="Times New Roman"/>
          <w:sz w:val="24"/>
          <w:szCs w:val="24"/>
          <w:lang w:bidi="as-IN"/>
        </w:rPr>
        <w:t>dynamic and ever changing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interaction</w:t>
      </w:r>
      <w:r w:rsidR="00DD558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process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Rivers 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>primarily</w:t>
      </w:r>
      <w:r w:rsidR="00F04C56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have sustained agricultural livelihoods, provided transport corridors, shaped urban growth and nurtured cultural traditions for 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>ages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(Linton, 2014;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Rockström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&amp;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Falkenmark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2015; Singh, 2018). In the Anthropocene, this relationship has become increasingly complex due to escalating demands for water, </w:t>
      </w:r>
      <w:r w:rsidR="00F04C56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change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</w:t>
      </w:r>
      <w:r w:rsidR="00F04C56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land-use, 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increasing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climate variability and socio-political pressures (Sivapalan et al., 2012; Budds &amp; Linton, 2019; Di Baldassarre et al., 2021). 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>To u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nderstand 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>the</w:t>
      </w: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 xml:space="preserve"> </w:t>
      </w:r>
      <w:r w:rsidRPr="00E53BA5">
        <w:rPr>
          <w:rFonts w:ascii="Times New Roman" w:eastAsia="Times New Roman" w:hAnsi="Times New Roman" w:cs="Times New Roman"/>
          <w:sz w:val="24"/>
          <w:szCs w:val="24"/>
          <w:lang w:bidi="as-IN"/>
        </w:rPr>
        <w:t>feedbacks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between humans and rivers requires an interdisciplinary 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>support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that connects hydrology, ecology,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>geography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>,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anthropology 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etc domains together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(Montanari et al., 2013; Lane, 2014; Sivapalan &amp;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Blöschl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2015).</w:t>
      </w:r>
    </w:p>
    <w:p w14:paraId="68DA7E81" w14:textId="77777777" w:rsidR="00A87D6B" w:rsidRPr="00A87D6B" w:rsidRDefault="00A87D6B" w:rsidP="00D54B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 India, riverine environments </w:t>
      </w:r>
      <w:r w:rsidR="00D54BCD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are very prominent and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have recognized as the basis of ecological stability and socio-cultural identity</w:t>
      </w:r>
      <w:r w:rsidR="00D54BCD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a particular place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The Ganga, Brahmaputra and 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other rivers with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their tributaries support millions of 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peoples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livelihood,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agriculture </w:t>
      </w:r>
      <w:proofErr w:type="spellStart"/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>etc</w:t>
      </w:r>
      <w:proofErr w:type="spellEnd"/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(Singh, 2018; Garg et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al., 2020; Reddy, 2021). Although h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uman interventions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such as 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unplanned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embankment construction, 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excess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deforestation and </w:t>
      </w:r>
      <w:r w:rsidR="00FB6C78">
        <w:rPr>
          <w:rFonts w:ascii="Times New Roman" w:eastAsia="Times New Roman" w:hAnsi="Times New Roman" w:cs="Times New Roman"/>
          <w:sz w:val="24"/>
          <w:szCs w:val="24"/>
          <w:lang w:bidi="as-IN"/>
        </w:rPr>
        <w:t>wet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land </w:t>
      </w:r>
      <w:r w:rsidR="00FB6C7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degradation etc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have reconfigured the natural hydro</w:t>
      </w:r>
      <w:r w:rsidR="00FB6C7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logical system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(Bora, 2017; Deka, 2020;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2023). These transformations </w:t>
      </w:r>
      <w:r w:rsidR="00FB6C78">
        <w:rPr>
          <w:rFonts w:ascii="Times New Roman" w:eastAsia="Times New Roman" w:hAnsi="Times New Roman" w:cs="Times New Roman"/>
          <w:sz w:val="24"/>
          <w:szCs w:val="24"/>
          <w:lang w:bidi="as-IN"/>
        </w:rPr>
        <w:t>have various ecological impacts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>R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ivers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are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also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part of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cultural landscapes 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>among various communities in the country; cultural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belief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traditions with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adaptation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>s are a part of the lives of river basin dwellers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(Goswami, 2008;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Bhagabati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Nasrin &amp; Barman, 2025).</w:t>
      </w:r>
    </w:p>
    <w:p w14:paraId="21340E68" w14:textId="77777777" w:rsidR="00A87D6B" w:rsidRPr="00A87D6B" w:rsidRDefault="00B07C26" w:rsidP="00B07C26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I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n this context, the Jamuna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river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Assam provides a critical case for studying human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river interdependence. </w:t>
      </w:r>
      <w:r w:rsidR="00E77E82">
        <w:rPr>
          <w:rFonts w:ascii="Times New Roman" w:eastAsia="Times New Roman" w:hAnsi="Times New Roman" w:cs="Times New Roman"/>
          <w:sz w:val="24"/>
          <w:szCs w:val="24"/>
          <w:lang w:bidi="as-IN"/>
        </w:rPr>
        <w:t>This river is a tributary of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 Kopili </w:t>
      </w:r>
      <w:r w:rsidR="00E77E82">
        <w:rPr>
          <w:rFonts w:ascii="Times New Roman" w:eastAsia="Times New Roman" w:hAnsi="Times New Roman" w:cs="Times New Roman"/>
          <w:sz w:val="24"/>
          <w:szCs w:val="24"/>
          <w:lang w:bidi="as-IN"/>
        </w:rPr>
        <w:t>river;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gramStart"/>
      <w:r w:rsidR="00E77E82">
        <w:rPr>
          <w:rFonts w:ascii="Times New Roman" w:eastAsia="Times New Roman" w:hAnsi="Times New Roman" w:cs="Times New Roman"/>
          <w:sz w:val="24"/>
          <w:szCs w:val="24"/>
          <w:lang w:bidi="as-IN"/>
        </w:rPr>
        <w:t>Jamuna river</w:t>
      </w:r>
      <w:proofErr w:type="gramEnd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integrates tribal </w:t>
      </w:r>
      <w:r w:rsidR="00E77E82">
        <w:rPr>
          <w:rFonts w:ascii="Times New Roman" w:eastAsia="Times New Roman" w:hAnsi="Times New Roman" w:cs="Times New Roman"/>
          <w:sz w:val="24"/>
          <w:szCs w:val="24"/>
          <w:lang w:bidi="as-IN"/>
        </w:rPr>
        <w:t>population of the upstream</w:t>
      </w:r>
      <w:r w:rsidR="00DF1CF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with Jhum cultivation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midstream agrarian zones and downstream floodplains</w:t>
      </w:r>
      <w:r w:rsidR="00DF1CF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each reflecting different interaction and adaptation. The study aims to review an</w:t>
      </w:r>
      <w:r w:rsidR="00DF1CF2">
        <w:rPr>
          <w:rFonts w:ascii="Times New Roman" w:eastAsia="Times New Roman" w:hAnsi="Times New Roman" w:cs="Times New Roman"/>
          <w:sz w:val="24"/>
          <w:szCs w:val="24"/>
          <w:lang w:bidi="as-IN"/>
        </w:rPr>
        <w:t>d integrate existing literature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 to (1) trace the evolution of human</w:t>
      </w:r>
      <w:r w:rsidR="00DF1CF2">
        <w:rPr>
          <w:rFonts w:ascii="Times New Roman" w:eastAsia="Times New Roman" w:hAnsi="Times New Roman" w:cs="Times New Roman"/>
          <w:sz w:val="24"/>
          <w:szCs w:val="24"/>
          <w:lang w:bidi="as-IN"/>
        </w:rPr>
        <w:t>-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river interaction theories, (2) contextualize them within India and Northeast India and (3) interpret the Jamuna Watershed as a living laboratory of socio-hydrological processes.</w:t>
      </w:r>
    </w:p>
    <w:p w14:paraId="651962B4" w14:textId="77777777" w:rsidR="00A87D6B" w:rsidRPr="00A87D6B" w:rsidRDefault="00A87D6B" w:rsidP="00A87D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</w:p>
    <w:p w14:paraId="19EC72B4" w14:textId="77777777" w:rsidR="00A87D6B" w:rsidRPr="00A87D6B" w:rsidRDefault="00A87D6B" w:rsidP="00A87D6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2. Conceptual and Theoretical Framework</w:t>
      </w:r>
    </w:p>
    <w:p w14:paraId="1EF918AB" w14:textId="77777777" w:rsidR="00A87D6B" w:rsidRPr="00A87D6B" w:rsidRDefault="00A87D6B" w:rsidP="00202482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theoretical lens of this review is grounded in socio-hydrology, a field that emerged in the early 2010s to address the co-evolution of human and water systems. Introduced by M. Sivapalan and </w:t>
      </w:r>
      <w:r w:rsidR="0020248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his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colleagues</w:t>
      </w:r>
      <w:r w:rsidR="00202482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socio-hydrology examines the dynamic feedbacks between human actions and hydrological responses, emphasizing how societal values, institutions and behaviors modify river systems and vice versa (Sivapalan et al., 2012; Troy et al., 2015; Di Baldassarre et al., 2019). This framework departs from classical hydrology by recognizing humans as endogenous components of the water cycle rather than external stressors (Sivapalan &amp;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Blöschl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2015; Montanari et al., 2013; Lane, 2014).</w:t>
      </w:r>
    </w:p>
    <w:p w14:paraId="55341137" w14:textId="77777777" w:rsidR="00A87D6B" w:rsidRPr="00A87D6B" w:rsidRDefault="00A87D6B" w:rsidP="00956046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The socio-hydrological framework employs conceptual models to interpret feedback loops</w:t>
      </w:r>
      <w:r w:rsidR="00C57ACF">
        <w:rPr>
          <w:rFonts w:ascii="Times New Roman" w:eastAsia="Times New Roman" w:hAnsi="Times New Roman" w:cs="Times New Roman"/>
          <w:sz w:val="24"/>
          <w:szCs w:val="24"/>
          <w:lang w:bidi="as-IN"/>
        </w:rPr>
        <w:t>, like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flood protection </w:t>
      </w:r>
      <w:r w:rsidR="00C57ACF">
        <w:rPr>
          <w:rFonts w:ascii="Times New Roman" w:eastAsia="Times New Roman" w:hAnsi="Times New Roman" w:cs="Times New Roman"/>
          <w:sz w:val="24"/>
          <w:szCs w:val="24"/>
          <w:lang w:bidi="as-IN"/>
        </w:rPr>
        <w:t>structures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irrigation expansion or water scarcity responses</w:t>
      </w:r>
      <w:r w:rsidR="00C57AC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that evolve over time (Di Baldassarre et al., 2018; Srinivasan et al., 2017). For </w:t>
      </w:r>
      <w:r w:rsidR="00C57ACF">
        <w:rPr>
          <w:rFonts w:ascii="Times New Roman" w:eastAsia="Times New Roman" w:hAnsi="Times New Roman" w:cs="Times New Roman"/>
          <w:sz w:val="24"/>
          <w:szCs w:val="24"/>
          <w:lang w:bidi="as-IN"/>
        </w:rPr>
        <w:t>example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</w:t>
      </w:r>
      <w:r w:rsidR="00C57ACF">
        <w:rPr>
          <w:rFonts w:ascii="Times New Roman" w:eastAsia="Times New Roman" w:hAnsi="Times New Roman" w:cs="Times New Roman"/>
          <w:sz w:val="24"/>
          <w:szCs w:val="24"/>
          <w:lang w:bidi="as-IN"/>
        </w:rPr>
        <w:t>‘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the levee effect</w:t>
      </w:r>
      <w:r w:rsidR="00C57ACF">
        <w:rPr>
          <w:rFonts w:ascii="Times New Roman" w:eastAsia="Times New Roman" w:hAnsi="Times New Roman" w:cs="Times New Roman"/>
          <w:sz w:val="24"/>
          <w:szCs w:val="24"/>
          <w:lang w:bidi="as-IN"/>
        </w:rPr>
        <w:t>’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describes how human-engineered flood control can paradoxically increase vulnerability by encouraging settlements in flood-prone areas (Di Baldassarre et al., 2013; Viglione et al., 2014). Such </w:t>
      </w:r>
      <w:r w:rsidR="00C57ACF">
        <w:rPr>
          <w:rFonts w:ascii="Times New Roman" w:eastAsia="Times New Roman" w:hAnsi="Times New Roman" w:cs="Times New Roman"/>
          <w:sz w:val="24"/>
          <w:szCs w:val="24"/>
          <w:lang w:bidi="as-IN"/>
        </w:rPr>
        <w:t>examples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resonate deeply in Assam, where embankments along the </w:t>
      </w:r>
      <w:r w:rsidR="00C57ACF">
        <w:rPr>
          <w:rFonts w:ascii="Times New Roman" w:eastAsia="Times New Roman" w:hAnsi="Times New Roman" w:cs="Times New Roman"/>
          <w:sz w:val="24"/>
          <w:szCs w:val="24"/>
          <w:lang w:bidi="as-IN"/>
        </w:rPr>
        <w:t>river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 have altered flood regimes and local risk perception (Goswami, 2008;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2023; Deka, 2020).</w:t>
      </w:r>
      <w:r w:rsidR="000A780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>Parallel to this, political ecology and cultural geography perspectives offer complementary interpretations. They emphasize that rivers are not merely physical systems but also socio-political constructs shaped by power, policy and cultural meaning (Budds &amp; Linton, 2019; Lane, 2014; Singh, 2018). In many regions, including Northeast India, river management reflects negotiation between state control and indigenous ecological wisdom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Bhagabati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Bora, 2017; Deka, 2020). Thus, the socio-hydrological paradigm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when integrated with cultural and ecological insights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enables a holistic understanding of human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river interactions.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his approach aligns with the sustainability framework, where coupled human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>-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water systems are seen as 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>socio-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ecological systems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Rockström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&amp;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Falkenmark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2015; Sivapalan et al., 2022; Montanari et al., 2021). The Jamuna Watershed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Assam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with its blend of tribal and agrarian societies, illustrates this adaptive co-evolution. Communities modify their livelihood systems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through traditional irrigation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practices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floodplain agriculture or riverbank stabilization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methods etc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while simultaneously being shaped by hydrological dynamics and seasonal flows (Deka, 2020;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2023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="00956046" w:rsidRP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956046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Nasrin &amp; Barman, 2025;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14:paraId="4985548E" w14:textId="77777777" w:rsidR="00A87D6B" w:rsidRPr="00A87D6B" w:rsidRDefault="00956046" w:rsidP="00956046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T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his review adopts the socio-hydrological approach as its conceptual backbone, complemented by regional ecological and anthropological perspectives. Together, these provide a robust interpretive frame for understanding the intertwined histories and futures of humans and rivers in Assam and beyond.</w:t>
      </w:r>
    </w:p>
    <w:p w14:paraId="1B09A2CE" w14:textId="77777777" w:rsidR="00A87D6B" w:rsidRPr="00A87D6B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3. Global Perspectives on Human–Riverine Interactions</w:t>
      </w:r>
    </w:p>
    <w:p w14:paraId="5BB77CCB" w14:textId="77777777" w:rsidR="00A87D6B" w:rsidRPr="00A87D6B" w:rsidRDefault="00A87D6B" w:rsidP="00956046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Rivers worldwide have served as vital ecological and socio-economic systems, shaping civilizations, economies and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various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cultural identities. From the Nile to the Amazon, human societies have both benefited from and altered riverine environments (Butzer, 1997; Junk et al., 2007; O’Connell, 1999). Globally, riverine interactions are understood through historical and contemporary </w:t>
      </w:r>
      <w:r w:rsidR="00893EFA">
        <w:rPr>
          <w:rFonts w:ascii="Times New Roman" w:eastAsia="Times New Roman" w:hAnsi="Times New Roman" w:cs="Times New Roman"/>
          <w:sz w:val="24"/>
          <w:szCs w:val="24"/>
          <w:lang w:bidi="as-IN"/>
        </w:rPr>
        <w:t>perspective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s, demonstrating adaptive strategies</w:t>
      </w:r>
      <w:r w:rsidR="00893EF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technological interventions. </w:t>
      </w:r>
      <w:r w:rsidR="00893EFA">
        <w:rPr>
          <w:rFonts w:ascii="Times New Roman" w:eastAsia="Times New Roman" w:hAnsi="Times New Roman" w:cs="Times New Roman"/>
          <w:sz w:val="24"/>
          <w:szCs w:val="24"/>
          <w:lang w:bidi="as-IN"/>
        </w:rPr>
        <w:t>I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n the Murray-Darling Basin, Australia, socio-hydrological frameworks have been applied to manage water allocation between agriculture and ecosystem sustainability. The Murray-Darling Basin Plan (2012) integrated environmental water allocations to restore river flows while balancing agricultural needs (Grafton et al., 2014; Crase &amp; O’Keefe, 2011; Di Baldassarre et al., 2018). Similarly in the Rhine River Basin, trans-boundary governance mechanisms improved water quality and ecological health after severe industrial pollution in the 1980s, reflecting the hydro-social interplay of political, industrial, and ecological factors (Bernauer &amp; Moser, 1997;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Schelwald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-van der Kley &amp;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Reijerkerk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2009; Swyngedouw, 2009).</w:t>
      </w:r>
    </w:p>
    <w:p w14:paraId="293B6E49" w14:textId="77777777" w:rsidR="00A87D6B" w:rsidRPr="00A87D6B" w:rsidRDefault="00A87D6B" w:rsidP="00893EF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Cultural and adaptive interactions are evident in regions like South</w:t>
      </w:r>
      <w:r w:rsidR="00893EFA">
        <w:rPr>
          <w:rFonts w:ascii="Times New Roman" w:eastAsia="Times New Roman" w:hAnsi="Times New Roman" w:cs="Times New Roman"/>
          <w:sz w:val="24"/>
          <w:szCs w:val="24"/>
          <w:lang w:bidi="as-IN"/>
        </w:rPr>
        <w:t>-E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ast Asia</w:t>
      </w:r>
      <w:r w:rsidR="00893EFA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Communities along the Mekong River engage in flood-recession agriculture, relying on seasonal inundation patterns for soil fertility and crop success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Kummu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&amp;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Sarkkula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2008;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McLeman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&amp;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Gemenne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2018). In the Amazon Basin, floating dwellings and adaptive fisheries demonstrate local knowledge systems that accommodate seasonal hydrological fluctuations, supporting both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>livelihoods and river ecology (Junk et al., 2007; Berkes, 2009; Palmer &amp; Ruhl, 2008). Such examples highlight the importance of context-specific adaptations, showing that socio-hydrological feedbacks manifest differently depending on local ecological and cultural settings (Sivapalan et al., 2012; Di Baldassarre et al., 2019; Troy et al., 2015).</w:t>
      </w:r>
    </w:p>
    <w:p w14:paraId="6802A7A1" w14:textId="77777777" w:rsidR="00A87D6B" w:rsidRPr="00A87D6B" w:rsidRDefault="00A87D6B" w:rsidP="00A87D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</w:p>
    <w:p w14:paraId="48E5C5C5" w14:textId="77777777" w:rsidR="00A87D6B" w:rsidRPr="00A87D6B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4. Socio-Hydrological and Ecological Dimensions</w:t>
      </w:r>
    </w:p>
    <w:p w14:paraId="31E10131" w14:textId="77777777" w:rsidR="00A87D6B" w:rsidRPr="00A87D6B" w:rsidRDefault="00A87D6B" w:rsidP="00A87D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Socio-hydrology provides the primary analytical lens to understand coupled human-water systems, emphasizing that humans are both agents and responders in hydrological processes (Sivapalan et al., 2012; Viglione et al., 2014; Montanari et al., 2013). This approach examines dynamic feedback loops between society and riverine environments: human interventions like dam construction, </w:t>
      </w:r>
      <w:r w:rsidR="00893EFA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building </w:t>
      </w:r>
      <w:r w:rsidR="00893EF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of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levee</w:t>
      </w:r>
      <w:r w:rsidR="00893EFA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land-use change alter flow regimes and ecological s</w:t>
      </w:r>
      <w:r w:rsidR="00893EFA">
        <w:rPr>
          <w:rFonts w:ascii="Times New Roman" w:eastAsia="Times New Roman" w:hAnsi="Times New Roman" w:cs="Times New Roman"/>
          <w:sz w:val="24"/>
          <w:szCs w:val="24"/>
          <w:lang w:bidi="as-IN"/>
        </w:rPr>
        <w:t>cenario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while societal behaviors adapt in response to perceived risks, opportunities and resource availability (Di Baldassarre et al., 2013; Sivapalan &amp;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Blöschl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2015; Troy et al., 2015).</w:t>
      </w:r>
    </w:p>
    <w:p w14:paraId="1FF77A7D" w14:textId="77777777" w:rsidR="00A87D6B" w:rsidRPr="00A87D6B" w:rsidRDefault="00A87D6B" w:rsidP="00893EF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concept of hydro-social systems extends socio-hydrology by integrating social, political and cultural dimensions of water management (Linton &amp; Budds, 2014; Swyngedouw, 2009; Budds &amp; Linton, 2019). For example, water governance in developing regions often reflects inequitable power dynamics: upstream interventions may create downstream vulnerabilities, and marginalized communities may have limited access to water resources (Molle, 2008;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Fishhendler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2015; Lane, 2014). In India, socio-hydrological perspectives help explain how riverine management and human adaptation are shaped by social hierarchies, policy frameworks, and historical practices (Singh, 2018; Garg et al., 2020; Bora, 2017).</w:t>
      </w:r>
    </w:p>
    <w:p w14:paraId="7422BE09" w14:textId="77777777" w:rsidR="00A87D6B" w:rsidRPr="00A87D6B" w:rsidRDefault="00A87D6B" w:rsidP="00893EF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Ecological perspectives complement these approaches by examining the physical and biological responses of rivers to human-induced changes. Alterations such as damming, channelization and deforestation significantly affect riparian ecosystems, biodiversity and ecosystem services (Nilsson &amp; Berggren, 2000; Palmer &amp; Ruhl, 2008; Zeng et al., 2022). The loss of wetlands and floodplain forests in Assam, for instance, has reduced habitat availability for aquatic species and intensified flood risks (Goswami, 2008;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2023; Deka, 2020). Understanding these ecological consequences is essential for integrated water resources management (IWRM) and adaptive strategies that balance human use with river health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Ibisch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2016; Badham et al., 2019; Meran et al., 2021).</w:t>
      </w:r>
    </w:p>
    <w:p w14:paraId="73E15B0C" w14:textId="77777777" w:rsidR="00A87D6B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5. Human Adaptation and Livelihood Strategies</w:t>
      </w:r>
    </w:p>
    <w:p w14:paraId="276EDE43" w14:textId="77777777" w:rsidR="00CF3DF3" w:rsidRPr="00CF3DF3" w:rsidRDefault="00CF3DF3" w:rsidP="008849A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Human adaptation to </w:t>
      </w:r>
      <w:r w:rsidR="00A5480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various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environm</w:t>
      </w:r>
      <w:r w:rsidR="00A5480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ental conditions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</w:t>
      </w:r>
      <w:r w:rsidR="00A5480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socio-economic change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</w:t>
      </w:r>
      <w:r w:rsidR="00A5480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livelihoods depend on their ability to adjust to climatic variability, environmental degradation </w:t>
      </w:r>
      <w:proofErr w:type="spellStart"/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etc</w:t>
      </w:r>
      <w:proofErr w:type="spellEnd"/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(Adger et al., 2020; FAO, 2013;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Schlingmann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2021). Across continents, people modify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lastRenderedPageBreak/>
        <w:t>liveliho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od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s, 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for survival, sustainability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and well-being (Scoones, 2015;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Kapruwan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2024). 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Various s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cholars conceptualize adaptation not only as a climate response but as a socio-ecological process shaped by institutions and knowledge systems (Preston et al., 2011; Thornton et al., 2019; Asante et al., 2021).</w:t>
      </w:r>
    </w:p>
    <w:p w14:paraId="63517067" w14:textId="77777777" w:rsidR="00CF3DF3" w:rsidRPr="00CF3DF3" w:rsidRDefault="008849AA" w:rsidP="008849A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8849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5.1 </w:t>
      </w:r>
      <w:r w:rsidR="00CF3DF3" w:rsidRPr="008849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Conceptual Framework of Livelihood Adaptation</w:t>
      </w:r>
      <w:r w:rsidRPr="008849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: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="00CF3DF3"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Livelihood adaptation entails adjustments in resource use, production systems or employment strategies that allow households to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become stable</w:t>
      </w:r>
      <w:r w:rsidR="00CF3DF3"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(FAO, 2013; Ellis, 2000). The Sustainable Livelihood Framework (SLF) identifies five capitals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viz.- </w:t>
      </w:r>
      <w:r w:rsidR="00CF3DF3"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human, natural, financial, social and physical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</w:t>
      </w:r>
      <w:r w:rsidR="00CF3DF3"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that interact to shape adaptive capacity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of people </w:t>
      </w:r>
      <w:r w:rsidR="00CF3DF3"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(Chambers &amp; Conway, 1992; Scoones, 2015; Sallu et al., 2010). Recent studies integrate SLF with resilience and ecosystem-service frameworks, highlighting how adaptive capacity emerges from both material assets and relational networks (Preston et al., 2011; Adger et al., 2020; </w:t>
      </w:r>
      <w:proofErr w:type="spellStart"/>
      <w:r w:rsidR="00CF3DF3"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Schlingmann</w:t>
      </w:r>
      <w:proofErr w:type="spellEnd"/>
      <w:r w:rsidR="00CF3DF3"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2021). A global synthesis found that livelihood adjustments often occur incrementally, constrained by poverty, governance gaps and resource inequities (Thornton et al., 2019; Reid et al., 2019; FAO, 2022).</w:t>
      </w:r>
    </w:p>
    <w:p w14:paraId="465204DF" w14:textId="77777777" w:rsidR="00CF3DF3" w:rsidRPr="008849AA" w:rsidRDefault="008849AA" w:rsidP="00CF3DF3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5.2 </w:t>
      </w:r>
      <w:r w:rsidR="00CF3DF3" w:rsidRPr="008849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Global Patterns of Adaptation</w:t>
      </w:r>
    </w:p>
    <w:p w14:paraId="5391B69A" w14:textId="77777777" w:rsidR="00CF3DF3" w:rsidRPr="00CF3DF3" w:rsidRDefault="00CF3DF3" w:rsidP="008849A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Empirical reviews of more than 100 studies show over 1,800 documented adaptation responses among 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i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ndigenous 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p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eoples and local communities worldwide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Schlingmann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2021). The most prevalent strategies include modification of natural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resource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based activities, livelihood diversification and migration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Simane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2016; Asante et al., 2021;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Kapruwan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2024). Across Africa and South Asia, households commonly diversify crops or livestock, engage in small-scale trading and pursue off-farm wage labour as responses to climate risk (Imdad et al., 2025; Naz et al., 2023; Huynh &amp; Yamamoto, 2022). </w:t>
      </w:r>
      <w:proofErr w:type="gramStart"/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These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adaptive behaviour</w:t>
      </w:r>
      <w:proofErr w:type="gram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reflects “resilience,” households manage multiple income streams to 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manage the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risk (Ellis, 2000; Scoones, 2015;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Adger et al., 2020). T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hese strategies remain limited by access to markets, and infrastructure, especially in developing regions (Reid et al., 2019; FAO, 2022;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Ongachi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&amp;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Belinder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 2025).</w:t>
      </w:r>
    </w:p>
    <w:p w14:paraId="181718C0" w14:textId="77777777" w:rsidR="00CF3DF3" w:rsidRPr="00CF3DF3" w:rsidRDefault="007B1CEA" w:rsidP="00CF3DF3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5.3 </w:t>
      </w:r>
      <w:r w:rsidR="00CF3DF3" w:rsidRPr="007B1C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Determinants and Constraints</w:t>
      </w:r>
    </w:p>
    <w:p w14:paraId="491D3951" w14:textId="77777777" w:rsidR="00CF3DF3" w:rsidRPr="00CF3DF3" w:rsidRDefault="00CF3DF3" w:rsidP="007B1CE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Adaptive success depends on the interplay of capitals, exposure and institutions (Chambers &amp; Conway, 1992; Scoones, 2015). Human and financial capitals strongly determine diversification levels, while social networks and local knowledge influence innovation (Asante et al., 2021;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Kapruwan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2024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;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Imdad et al., 2025; FAO, 2022;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Ongachi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&amp;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Belinder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2025). In China, government-led relocation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programmes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improved resource access but often reduced autonomy and social cohesion (Huynh &amp; Yamamoto, 2022; Adger et al., 2020). 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F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armers with greater environmental awareness are more likely to adopt proactive strategies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Simane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2016; Naz et al., 2023; Reid et al., 2019). Conversely, limited credit or insecure tenure traps the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lastRenderedPageBreak/>
        <w:t>poor in low-return livelihoods, perpetuating vulnerability (Ellis, 2000; Scoones, 2015; FAO, 2013).</w:t>
      </w:r>
    </w:p>
    <w:p w14:paraId="012CC1C7" w14:textId="77777777" w:rsidR="00CF3DF3" w:rsidRPr="007B1CEA" w:rsidRDefault="007B1CEA" w:rsidP="00CF3DF3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5.4 </w:t>
      </w:r>
      <w:r w:rsidR="00CF3DF3" w:rsidRPr="007B1C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Regional Illustrations</w:t>
      </w:r>
    </w:p>
    <w:p w14:paraId="2D12B19B" w14:textId="77777777" w:rsidR="00CF3DF3" w:rsidRPr="00CF3DF3" w:rsidRDefault="00CF3DF3" w:rsidP="007B1CE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In the Ganges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and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Brahmaputra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’s </w:t>
      </w:r>
      <w:proofErr w:type="spellStart"/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Sundarban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delta, households adopt adaptive farming, micro-enterprise and migration to counter flooding and salinity intrusion (Imdad et al., 2025; Sallu et al., 2010). In the Himalayas, smallholders show higher resilience than pastoralists due to diversified income and social inclusion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Kapruwan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2024; Thornton et al., 2019; Adger et al., 2020). Across Sub-Saharan Africa, livelihood diversification is increasingly linked to gendered labour dynamics—women often lead non-farm enterprises, enhancing household stability (Asante et al., 2021; Reid et al., 2019). In Latin America, communities integrate agro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-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forestry and ecotourism to reduce dependence on extractive industries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Schlingmann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2021; FAO, 2022). These regional variations underline that adaptation pathways are deeply context-specific (Scoones, 2015; Ellis, 2000).</w:t>
      </w:r>
    </w:p>
    <w:p w14:paraId="413457A2" w14:textId="77777777" w:rsidR="00CF3DF3" w:rsidRPr="007B1CEA" w:rsidRDefault="007B1CEA" w:rsidP="00CF3DF3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7B1C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5.5 </w:t>
      </w:r>
      <w:r w:rsidR="00CF3DF3" w:rsidRPr="007B1C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Emerging Trends and Research Gaps</w:t>
      </w:r>
    </w:p>
    <w:p w14:paraId="1012BC68" w14:textId="77777777" w:rsidR="00CF3DF3" w:rsidRPr="00CF3DF3" w:rsidRDefault="00CF3DF3" w:rsidP="007B1CE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New research highlights that livelihood transitions are increasingly multi-scalar, influenced by global commodity chains,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digitalisation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and climate finance (Thornton et al., 2019; FAO, 2022;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Ongachi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&amp;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Belinder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2025). Comparative and longitudinal studies are still limited, especially in the Global South (Preston et al., 2011; </w:t>
      </w:r>
      <w:r w:rsidR="007B1CEA"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Reid et a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l., 2019;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Adger et al., 2020; 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Asante et al., 2021;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Schlingmann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2021). 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T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he intersection of gender, class and ethnicity in adaptation outcomes remains underexplored (Naz et al., 2023; Imdad et al., 2025; FAO, 2022).</w:t>
      </w:r>
    </w:p>
    <w:p w14:paraId="39D295C8" w14:textId="77777777" w:rsidR="00CF3DF3" w:rsidRPr="00CF3DF3" w:rsidRDefault="00CF3DF3" w:rsidP="007B1CE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Human adaptation and livelihood strategies globally demonstrate the profound capacity of societies to adjust and </w:t>
      </w:r>
      <w:proofErr w:type="gram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innovate </w:t>
      </w:r>
      <w:r w:rsidR="00CE66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;</w:t>
      </w:r>
      <w:proofErr w:type="gramEnd"/>
      <w:r w:rsidR="00CE66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y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et, the benefits of adaptation are unevenly distributed</w:t>
      </w:r>
      <w:r w:rsidR="00CE66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;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households with assets adapt effectively, while the poor remain trapped in vulnerability (Scoones, 2015; Ellis, 2000; FAO, 2013; Adger et al., 2020). Strengthening adaptive capacity</w:t>
      </w:r>
      <w:r w:rsidR="00CE66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through diversification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and inclusive governance is therefore </w:t>
      </w:r>
      <w:r w:rsidR="00CE66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important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to sustainable futures (Preston et al., 2011; Thornton et al., 2019; Reid et al., 2019).</w:t>
      </w:r>
    </w:p>
    <w:p w14:paraId="5EC8F5BE" w14:textId="77777777" w:rsidR="00A87D6B" w:rsidRPr="00A87D6B" w:rsidRDefault="00A87D6B" w:rsidP="006A7C4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Human adaptation to riverine dynamics involves technological and traditional strategies. Technological adaptations include irrigation s</w:t>
      </w:r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>ystems, embankments, reservoirs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other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river engineering, which often provide short-term benefits but may generate unintended consequences such as increased flood risk or ecological degradation (Di Baldassarre et al., 2013; Crase &amp; O’Keefe, 2011; Palmer et al., 2014). Traditional and indigenous knowledge systems emphasize living with rivers, integrating ecological understanding, seasonal patterns and cultural practices (Berkes, 2009;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McLeman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&amp;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Gemenne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2018).</w:t>
      </w:r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tribal and indigenous communities in river catchments exemplify this balance. In the upstream zones of the Jamuna Watershed, Karbi, Kuki, Dimasa,</w:t>
      </w:r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Bodo,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Tiwa</w:t>
      </w:r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>etc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communities practice </w:t>
      </w:r>
      <w:r w:rsidRPr="006A7C43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jhum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(slash and burn method)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cultivation,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>agroforestry and sustainable fishing, demonstrating nuanced knowledge of hydrological cycles</w:t>
      </w:r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>, water levels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seasonal shifts (</w:t>
      </w:r>
      <w:r w:rsidR="006A7C43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Bora, 2017</w:t>
      </w:r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Bhagabati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Nasrin &amp; Barman, 2025). Midstream and downstream communities focus more on intensive agriculture, floodplain cultivation and fisheries, reflecting divergent adaptation strategies shaped by social, economic and ecological contexts (Goswami, 2008; Deka, 2020;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2023). These examples illustrate the multi-scalar socio-hydrological interactions where human practices influence and are influenced by</w:t>
      </w:r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river dynamics.</w:t>
      </w:r>
    </w:p>
    <w:p w14:paraId="5E885CED" w14:textId="77777777" w:rsidR="00A87D6B" w:rsidRPr="00A87D6B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6. Conflicts, Governance and Policy Implications</w:t>
      </w:r>
    </w:p>
    <w:p w14:paraId="3061E74F" w14:textId="77777777" w:rsidR="00A87D6B" w:rsidRPr="00A87D6B" w:rsidRDefault="00A87D6B" w:rsidP="00A50166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Conflicts over riverine resources are common, especially in regions with competing demands for water. Conflicts arise among agricultural, urban, industrial and ecological s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>har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eholders (Hanak et al., 2011;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Fishhendler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2015;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Zlati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2024). For 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>example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the Sacramento-San Joaquin River Delta in California demonstrates how agricultural, urban and ecological needs can conflict, necessitating governance strategies that balance resource use and environmental protection (Hanak et al., 2011; Glennon &amp; Culp, 2002).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imilar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>ly in Assam,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particularly in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floodplains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>,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where upstream deforestation, embankment construction and land-use changes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gram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affect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proofErr w:type="gram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downstream hydrology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it also leads to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community livelihood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change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 (Goswami, 2008; Deka, 2020;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2023). 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>Therefore g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overnance strategies must 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focus to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integrate inclusi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>on, adaptivity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scientific monitoring to achieve sustainable outcomes (Pahl-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Wostl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2013; Williams, 2011; Cosens &amp; Williams, 2012). Frameworks like IWRM 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>helps in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competing demands 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>and also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ensuring ecological sustainability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Ibisch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2016;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Carugati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2018; Weiskopf et al., 2020).</w:t>
      </w:r>
    </w:p>
    <w:p w14:paraId="36F39B2A" w14:textId="77777777" w:rsidR="00A87D6B" w:rsidRPr="00A87D6B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7. Key Lessons from Global and Indian Case Studies</w:t>
      </w:r>
    </w:p>
    <w:p w14:paraId="3A946F74" w14:textId="77777777" w:rsidR="00A87D6B" w:rsidRPr="00A87D6B" w:rsidRDefault="00A87D6B" w:rsidP="00A87D6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Adaptive Management is Essential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: Socio-hydrological studies emphasize that human adaptation strategies must be flexible and responsive to environmental feedbacks (Di Baldassarre et al., 2018; Sivapalan et al., 2012; Montanari et al., 2021).</w:t>
      </w:r>
    </w:p>
    <w:p w14:paraId="6B847CC5" w14:textId="77777777" w:rsidR="00A87D6B" w:rsidRPr="00A87D6B" w:rsidRDefault="00A87D6B" w:rsidP="00A87D6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Integration of Traditional and Scientific Knowledge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: Indigenous practices, </w:t>
      </w:r>
      <w:r w:rsidR="00A50166">
        <w:rPr>
          <w:rFonts w:ascii="Times New Roman" w:eastAsia="Times New Roman" w:hAnsi="Times New Roman" w:cs="Times New Roman"/>
          <w:sz w:val="24"/>
          <w:szCs w:val="24"/>
          <w:lang w:bidi="as-IN"/>
        </w:rPr>
        <w:t>by the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tribal communities </w:t>
      </w:r>
      <w:r w:rsidR="00705C89">
        <w:rPr>
          <w:rFonts w:ascii="Times New Roman" w:eastAsia="Times New Roman" w:hAnsi="Times New Roman" w:cs="Times New Roman"/>
          <w:sz w:val="24"/>
          <w:szCs w:val="24"/>
          <w:lang w:bidi="as-IN"/>
        </w:rPr>
        <w:t>in the micro regions</w:t>
      </w:r>
      <w:r w:rsidR="00705C89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in Northeast India, can complement modern hydrological management for sustainable outcomes</w:t>
      </w:r>
      <w:r w:rsidR="00705C8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(Berkes, 2009; Nasrin &amp; Barman, 2025;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Bhagabati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2012).</w:t>
      </w:r>
    </w:p>
    <w:p w14:paraId="54B38448" w14:textId="77777777" w:rsidR="00A87D6B" w:rsidRPr="00A87D6B" w:rsidRDefault="00A87D6B" w:rsidP="00A87D6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Governance and Participation Matter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: Inclusive governance and multi-level policy interventions mitigate conflicts and enhance the resilience of riverine systems</w:t>
      </w:r>
      <w:r w:rsidR="00705C8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effectively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(Swyngedouw, 2009; Kaika, 2003;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Zlati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2024).</w:t>
      </w:r>
    </w:p>
    <w:p w14:paraId="05E69B98" w14:textId="77777777" w:rsidR="00A87D6B" w:rsidRPr="00CE66D0" w:rsidRDefault="00A87D6B" w:rsidP="00CE66D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Socio-Hydrological Modeling Guides Decision-Making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: Coupled human</w:t>
      </w:r>
      <w:r w:rsidR="00705C89">
        <w:rPr>
          <w:rFonts w:ascii="Times New Roman" w:eastAsia="Times New Roman" w:hAnsi="Times New Roman" w:cs="Times New Roman"/>
          <w:sz w:val="24"/>
          <w:szCs w:val="24"/>
          <w:lang w:bidi="as-IN"/>
        </w:rPr>
        <w:t>-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water system</w:t>
      </w:r>
      <w:r w:rsidR="00705C8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</w:t>
      </w:r>
      <w:r w:rsidR="00705C89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Sivapalan et al., 2012</w:t>
      </w:r>
      <w:r w:rsidR="00705C89">
        <w:rPr>
          <w:rFonts w:ascii="Times New Roman" w:eastAsia="Times New Roman" w:hAnsi="Times New Roman" w:cs="Times New Roman"/>
          <w:sz w:val="24"/>
          <w:szCs w:val="24"/>
          <w:lang w:bidi="as-IN"/>
        </w:rPr>
        <w:t>)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models provide predictive capacity to balance socio-economic development with ecological integrity (Sivapalan et al., 2012; Di Baldassarre et al., 2019; Troy et al., 2015).</w:t>
      </w:r>
    </w:p>
    <w:p w14:paraId="7AEBDD19" w14:textId="77777777" w:rsidR="00A87D6B" w:rsidRPr="00A87D6B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lastRenderedPageBreak/>
        <w:t>8. Special Reference to the Jamuna Watershed, Assam, India</w:t>
      </w:r>
    </w:p>
    <w:p w14:paraId="458E01D7" w14:textId="77777777" w:rsidR="00A87D6B" w:rsidRPr="00A87D6B" w:rsidRDefault="00A87D6B" w:rsidP="00A87D6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8.1 Physical Characteristics of the Jamuna Watershed</w:t>
      </w:r>
    </w:p>
    <w:p w14:paraId="73E97563" w14:textId="77777777" w:rsidR="00A87D6B" w:rsidRDefault="00A87D6B" w:rsidP="00214F3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The Jamuna River, a tributary of the Kopili River, drains a</w:t>
      </w:r>
      <w:r w:rsidR="00705C8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huge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area </w:t>
      </w:r>
      <w:r w:rsidR="00705C89">
        <w:rPr>
          <w:rFonts w:ascii="Times New Roman" w:eastAsia="Times New Roman" w:hAnsi="Times New Roman" w:cs="Times New Roman"/>
          <w:sz w:val="24"/>
          <w:szCs w:val="24"/>
          <w:lang w:bidi="as-IN"/>
        </w:rPr>
        <w:t>in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East Karbi Anglong and </w:t>
      </w:r>
      <w:r w:rsidR="00705C8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 part of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Hojai districts of Assam, India. Geographical</w:t>
      </w:r>
      <w:r w:rsidR="00705C8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extension of the basin is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from 25°41′ N to 26°27′ N latitude and 92°44′ E to 93°40′ E longitude (Singh et al., 2021; Borah &amp; Deka, 2019). Its elevation ranges from 50 m to 1360 m ab</w:t>
      </w:r>
      <w:r w:rsidR="00705C8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ove mean sea level, covering a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total area of 3,977.24 sq. km</w:t>
      </w:r>
      <w:r w:rsidR="00E03D10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(Figure 1)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. (Suma, 2019; Borah &amp; Deka, 2020</w:t>
      </w:r>
      <w:r w:rsidR="00AF61EE">
        <w:rPr>
          <w:rFonts w:ascii="Times New Roman" w:eastAsia="Times New Roman" w:hAnsi="Times New Roman" w:cs="Times New Roman"/>
          <w:sz w:val="24"/>
          <w:szCs w:val="24"/>
          <w:lang w:bidi="as-IN"/>
        </w:rPr>
        <w:t>; Nasrin &amp; Barman, 2025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 The watershed consists of 15 main tributaries, 163 sub-tributaries and multiple micro-channels forming a dendritic drainage pattern, which supports diverse agriculture, fisheries</w:t>
      </w:r>
      <w:r w:rsidR="00AF61E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or wetlands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AF61E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various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socio-economic activities (Bora, 2017; Deka, 2020).</w:t>
      </w:r>
      <w:r w:rsidR="00214F3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The upstream zone predominantly hosts tribal communities includ</w:t>
      </w:r>
      <w:r w:rsidR="00214F3A">
        <w:rPr>
          <w:rFonts w:ascii="Times New Roman" w:eastAsia="Times New Roman" w:hAnsi="Times New Roman" w:cs="Times New Roman"/>
          <w:sz w:val="24"/>
          <w:szCs w:val="24"/>
          <w:lang w:bidi="as-IN"/>
        </w:rPr>
        <w:t>ing Karbi, Kuki, Dimasa, Bodo,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Tiwa</w:t>
      </w:r>
      <w:r w:rsidR="00214F3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etc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groups. These communities maintain strong </w:t>
      </w:r>
      <w:r w:rsidR="00214F3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traditional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ecological knowledge and sustainable practices, reflecting minimal disruptive modifications to the natural landscape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Bhagabati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Nasrin &amp; Barman, 2025;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2023). The midstream zone comprises mainly non-tribal Assamese populations, with some Bodo, Hajong and Bengali and Muslim communities. In contrast, the downstream zone is characterized by non-tribal Assamese, Bengali, </w:t>
      </w:r>
      <w:proofErr w:type="spellStart"/>
      <w:r w:rsidRPr="00214F3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Sylhetian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proofErr w:type="spellStart"/>
      <w:r w:rsidRPr="00214F3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Cacharia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Muslim communities, historically migrated during the British colonial era for jute cultivation (Goswami, 2008; Deka, 2020). These social and cultural heterogeneities influence land-use patterns, river interaction and resource utilization across the watershed (Borah &amp; Deka, 2020;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Bhagabati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2012).</w:t>
      </w:r>
    </w:p>
    <w:p w14:paraId="5E494076" w14:textId="77777777" w:rsidR="00E03D10" w:rsidRPr="00A87D6B" w:rsidRDefault="00000000" w:rsidP="00214F3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bidi="as-IN"/>
        </w:rPr>
        <w:lastRenderedPageBreak/>
        <w:pict w14:anchorId="69432FB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312.5pt;margin-top:246pt;width:18pt;height:89.55pt;flip:x;z-index:251661312" o:connectortype="straight" strokeweight="2.25p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bidi="as-IN"/>
        </w:rPr>
        <w:pict w14:anchorId="518BB1B0">
          <v:shape id="_x0000_s2050" type="#_x0000_t32" style="position:absolute;left:0;text-align:left;margin-left:210.5pt;margin-top:68pt;width:54.5pt;height:0;z-index:251658240" o:connectortype="straight" strokeweight="2.25p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bidi="as-IN"/>
        </w:rPr>
        <w:pict w14:anchorId="772C9E14">
          <v:shape id="_x0000_s2051" type="#_x0000_t32" style="position:absolute;left:0;text-align:left;margin-left:214.5pt;margin-top:94.5pt;width:86pt;height:69pt;flip:x;z-index:251659264" o:connectortype="straight" strokeweight="2.25p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bidi="as-IN"/>
        </w:rPr>
        <w:pict w14:anchorId="05B949C0">
          <v:shape id="_x0000_s2052" type="#_x0000_t32" style="position:absolute;left:0;text-align:left;margin-left:214.5pt;margin-top:207.55pt;width:69pt;height:0;z-index:251660288" o:connectortype="straight" strokeweight="2.25pt">
            <v:stroke endarrow="block"/>
          </v:shape>
        </w:pict>
      </w:r>
      <w:r w:rsidR="00E03D10">
        <w:rPr>
          <w:rFonts w:ascii="Times New Roman" w:eastAsia="Times New Roman" w:hAnsi="Times New Roman" w:cs="Times New Roman"/>
          <w:noProof/>
          <w:sz w:val="24"/>
          <w:szCs w:val="24"/>
          <w:lang w:bidi="as-IN"/>
        </w:rPr>
        <w:drawing>
          <wp:inline distT="0" distB="0" distL="0" distR="0" wp14:anchorId="304EEE31" wp14:editId="5F14A46B">
            <wp:extent cx="5048250" cy="6292850"/>
            <wp:effectExtent l="19050" t="0" r="0" b="0"/>
            <wp:docPr id="1" name="Picture 0" descr="Study_area_layout_jamuna with line jam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y_area_layout_jamuna with line jamun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0376" cy="62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E57B" w14:textId="77777777" w:rsidR="00E03D10" w:rsidRDefault="00E03D10" w:rsidP="00E03D10">
      <w:pPr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lang w:bidi="as-IN"/>
        </w:rPr>
      </w:pPr>
      <w:r w:rsidRPr="00DD4CDB">
        <w:rPr>
          <w:rFonts w:ascii="Times New Roman" w:eastAsia="Times New Roman" w:hAnsi="Times New Roman" w:cs="Times New Roman"/>
          <w:b/>
          <w:bCs/>
          <w:lang w:bidi="as-IN"/>
        </w:rPr>
        <w:t>Figure 1</w:t>
      </w:r>
      <w:r w:rsidRPr="00DD4CDB">
        <w:rPr>
          <w:rFonts w:ascii="Times New Roman" w:eastAsia="Times New Roman" w:hAnsi="Times New Roman" w:cs="Times New Roman"/>
          <w:lang w:bidi="as-IN"/>
        </w:rPr>
        <w:t>:</w:t>
      </w:r>
      <w:r w:rsidR="00DD4CDB" w:rsidRPr="00DD4CDB">
        <w:rPr>
          <w:rFonts w:ascii="Times New Roman" w:eastAsia="Times New Roman" w:hAnsi="Times New Roman" w:cs="Times New Roman"/>
          <w:lang w:bidi="as-IN"/>
        </w:rPr>
        <w:t xml:space="preserve"> Map of the study area (Jamuna watershed of Assam)</w:t>
      </w:r>
    </w:p>
    <w:p w14:paraId="5D8267C3" w14:textId="77777777" w:rsidR="00DD4CDB" w:rsidRPr="00DD4CDB" w:rsidRDefault="00DD4CDB" w:rsidP="00E03D10">
      <w:pPr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lang w:bidi="as-IN"/>
        </w:rPr>
      </w:pPr>
    </w:p>
    <w:p w14:paraId="6ED39A00" w14:textId="77777777" w:rsidR="00DD4CDB" w:rsidRDefault="00DD4CDB" w:rsidP="00A87D6B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</w:p>
    <w:p w14:paraId="46C7DCFF" w14:textId="77777777" w:rsidR="00DD4CDB" w:rsidRDefault="00DD4CDB" w:rsidP="00A87D6B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</w:p>
    <w:p w14:paraId="7C760B29" w14:textId="77777777" w:rsidR="00DD4CDB" w:rsidRDefault="00DD4CDB" w:rsidP="00A87D6B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</w:p>
    <w:p w14:paraId="57970CA5" w14:textId="77777777" w:rsidR="00A87D6B" w:rsidRPr="00A87D6B" w:rsidRDefault="00A87D6B" w:rsidP="00A87D6B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lastRenderedPageBreak/>
        <w:t>8.2 Agricultural Practices and Livelihoods</w:t>
      </w:r>
    </w:p>
    <w:p w14:paraId="58CCED62" w14:textId="77777777" w:rsidR="00A87D6B" w:rsidRPr="00A87D6B" w:rsidRDefault="00A87D6B" w:rsidP="00A87D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Jamuna watershed </w:t>
      </w:r>
      <w:r w:rsidRPr="00531EAE">
        <w:rPr>
          <w:rFonts w:ascii="Times New Roman" w:eastAsia="Times New Roman" w:hAnsi="Times New Roman" w:cs="Times New Roman"/>
          <w:sz w:val="24"/>
          <w:szCs w:val="24"/>
          <w:lang w:bidi="as-IN"/>
        </w:rPr>
        <w:t>exhibits a spatial differentiation of livelihood strategies:</w:t>
      </w:r>
    </w:p>
    <w:p w14:paraId="48BBA177" w14:textId="77777777" w:rsidR="00A87D6B" w:rsidRPr="00A87D6B" w:rsidRDefault="00A87D6B" w:rsidP="00A87D6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Upstream tribal communities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practice jhum cultivation, agroforestry and horticulture, growing crops such as rubber, ginger, citrus fruits and seasonal vegetables</w:t>
      </w:r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the hill slopes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. These practices emphasize minimal soil disruption and ecological preservation, reflecting deep</w:t>
      </w:r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rooted knowledge of hydrological cycles and soil conservation (Bora, 2017;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2023</w:t>
      </w:r>
      <w:r w:rsidR="00320063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="00320063" w:rsidRP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320063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Nasrin &amp; Barman, 2025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14:paraId="612E3C67" w14:textId="77777777" w:rsidR="00A87D6B" w:rsidRPr="00A87D6B" w:rsidRDefault="00A87D6B" w:rsidP="00A87D6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 xml:space="preserve">Midstream </w:t>
      </w:r>
      <w:r w:rsidR="00320063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 xml:space="preserve">zone </w:t>
      </w: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communities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focus on floodplain agriculture, cultivating rice, mustard, jute and vegetables on fertile alluvial soils. Livelihoods here are more intensively agricultural, influenced by population pressure and commercial considerations (Goswami, 2008; Deka, 2020).</w:t>
      </w:r>
    </w:p>
    <w:p w14:paraId="45D02405" w14:textId="77777777" w:rsidR="00A87D6B" w:rsidRPr="00A87D6B" w:rsidRDefault="00A87D6B" w:rsidP="00A87D6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Downstream populations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rely on fisheries, wetland</w:t>
      </w:r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>s, rice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cultivation and river-based livelihoods, capitalizing on three major river confluences</w:t>
      </w:r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Jamuna, </w:t>
      </w:r>
      <w:proofErr w:type="spellStart"/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>Kopili</w:t>
      </w:r>
      <w:proofErr w:type="spellEnd"/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proofErr w:type="spellStart"/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>Nikhari</w:t>
      </w:r>
      <w:proofErr w:type="spellEnd"/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river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associated wetlands. </w:t>
      </w:r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They modify the river bank and marshy areas of the floodplain for agricultural and economic benefits.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This zone emphasizes economic benefits rather than ecological balance (Borah &amp; Deka, 2020; Nasrin &amp; Barman, 2025).</w:t>
      </w:r>
    </w:p>
    <w:p w14:paraId="5D029D2B" w14:textId="77777777" w:rsidR="00A87D6B" w:rsidRPr="00A87D6B" w:rsidRDefault="00A87D6B" w:rsidP="00FA7735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These patterns illustrate socio-hydrological feedback loops</w:t>
      </w:r>
      <w:r w:rsidR="00FA7735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upstream</w:t>
      </w:r>
      <w:r w:rsidR="00FA773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zone people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practices preserv</w:t>
      </w:r>
      <w:r w:rsidR="00FA7735">
        <w:rPr>
          <w:rFonts w:ascii="Times New Roman" w:eastAsia="Times New Roman" w:hAnsi="Times New Roman" w:cs="Times New Roman"/>
          <w:sz w:val="24"/>
          <w:szCs w:val="24"/>
          <w:lang w:bidi="as-IN"/>
        </w:rPr>
        <w:t>ation of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ecological integrity, midstream communities </w:t>
      </w:r>
      <w:r w:rsidR="00FA7735">
        <w:rPr>
          <w:rFonts w:ascii="Times New Roman" w:eastAsia="Times New Roman" w:hAnsi="Times New Roman" w:cs="Times New Roman"/>
          <w:sz w:val="24"/>
          <w:szCs w:val="24"/>
          <w:lang w:bidi="as-IN"/>
        </w:rPr>
        <w:t>uses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landscapes for productivity, and downstream populations maximize riverine economic opportunities. Such heterogeneity </w:t>
      </w:r>
      <w:r w:rsidR="00FA7735">
        <w:rPr>
          <w:rFonts w:ascii="Times New Roman" w:eastAsia="Times New Roman" w:hAnsi="Times New Roman" w:cs="Times New Roman"/>
          <w:sz w:val="24"/>
          <w:szCs w:val="24"/>
          <w:lang w:bidi="as-IN"/>
        </w:rPr>
        <w:t>show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 the importance of contextual management approaches for sustainable development (Sivapalan et al., 2012; Di Baldassarre et al., 2013; Troy et al., 2015).</w:t>
      </w:r>
    </w:p>
    <w:p w14:paraId="48547428" w14:textId="77777777" w:rsidR="00A87D6B" w:rsidRPr="00A87D6B" w:rsidRDefault="00A87D6B" w:rsidP="00A87D6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8.3 Human–River Dynamics and Adaptation Strategies</w:t>
      </w:r>
    </w:p>
    <w:p w14:paraId="6AF8EDD5" w14:textId="77777777" w:rsidR="00A87D6B" w:rsidRPr="00A87D6B" w:rsidRDefault="00A87D6B" w:rsidP="00A87D6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8.3.1 Upstream Adaptations</w:t>
      </w:r>
    </w:p>
    <w:p w14:paraId="6AC8F345" w14:textId="77777777" w:rsidR="00A87D6B" w:rsidRPr="00A87D6B" w:rsidRDefault="00A87D6B" w:rsidP="00B661E2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Tribal communities in the upstream watershed exhibit practices that integrate traditional ecological knowledge (TEK) with seasonal hydrology. Jhum cultivation cycles are synchronized with monsoon patterns, while </w:t>
      </w:r>
      <w:r w:rsidR="00E601CC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agro forestry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rubber plantations stabilize soils, reduce erosion and maintain forest cover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Bhagabati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Bora, 2017; Nasrin &amp; Barman, 2025). Villagers also maintain community-managed water systems and small-scale irrigati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>on channels that align with the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>streams</w:t>
      </w:r>
      <w:r w:rsidR="00E601C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the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E601CC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watershed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(Goswami, 2008;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2023).</w:t>
      </w:r>
    </w:p>
    <w:p w14:paraId="3A2997AD" w14:textId="77777777" w:rsidR="00A87D6B" w:rsidRPr="00A87D6B" w:rsidRDefault="00A87D6B" w:rsidP="00A87D6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8.3.2 Midstream Practices</w:t>
      </w:r>
    </w:p>
    <w:p w14:paraId="68AC9A31" w14:textId="77777777" w:rsidR="00A87D6B" w:rsidRPr="00A87D6B" w:rsidRDefault="00A87D6B" w:rsidP="00861A5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Midstream agricultural systems rely heavily on floodplain irrigation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increase crop yield; the Jamuna irrigation plan canal system covers the whole area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(Borah &amp; Deka, 2020; Deka, 2020). Communities employ adaptive measures during flood seasons, such as temporary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>relocation, raised platforms for livestock and crop rotation to mitigate flood damage (Sivapalan et al., 2012; Di Baldassarre et al., 2013; Troy et al., 2015).</w:t>
      </w:r>
    </w:p>
    <w:p w14:paraId="40A43B8B" w14:textId="77777777" w:rsidR="00A87D6B" w:rsidRPr="00A87D6B" w:rsidRDefault="00A87D6B" w:rsidP="00A87D6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8.3.3 Downstream Dependencies</w:t>
      </w:r>
    </w:p>
    <w:p w14:paraId="778D12FE" w14:textId="77777777" w:rsidR="00A87D6B" w:rsidRPr="00A87D6B" w:rsidRDefault="00A87D6B" w:rsidP="00861A5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Downstream communities rely on fisheries and wetland resources, integrating seasonal migration,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different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fish traps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>,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wetland management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</w:t>
      </w:r>
      <w:proofErr w:type="spellStart"/>
      <w:r w:rsidR="00861A53" w:rsidRPr="00861A53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beel</w:t>
      </w:r>
      <w:proofErr w:type="spellEnd"/>
      <w:r w:rsidR="00861A53" w:rsidRPr="00861A53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 xml:space="preserve"> </w:t>
      </w:r>
      <w:proofErr w:type="spellStart"/>
      <w:r w:rsidR="00861A53" w:rsidRPr="00861A53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daak</w:t>
      </w:r>
      <w:proofErr w:type="spellEnd"/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system for fishing</w:t>
      </w:r>
      <w:r w:rsidR="00861A53" w:rsidRP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61A53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and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also practice commercial fish farming</w:t>
      </w:r>
      <w:r w:rsidR="009B74F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9B74F9" w:rsidRPr="009B74F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(Deka &amp; Goswami, 2019; Islam et al., 2022; Bora &amp; </w:t>
      </w:r>
      <w:proofErr w:type="spellStart"/>
      <w:r w:rsidR="009B74F9" w:rsidRPr="009B74F9">
        <w:rPr>
          <w:rFonts w:ascii="Times New Roman" w:eastAsia="Times New Roman" w:hAnsi="Times New Roman" w:cs="Times New Roman"/>
          <w:sz w:val="24"/>
          <w:szCs w:val="24"/>
          <w:lang w:bidi="as-IN"/>
        </w:rPr>
        <w:t>Bhagawati</w:t>
      </w:r>
      <w:proofErr w:type="spellEnd"/>
      <w:r w:rsidR="009B74F9" w:rsidRPr="009B74F9">
        <w:rPr>
          <w:rFonts w:ascii="Times New Roman" w:eastAsia="Times New Roman" w:hAnsi="Times New Roman" w:cs="Times New Roman"/>
          <w:sz w:val="24"/>
          <w:szCs w:val="24"/>
          <w:lang w:bidi="as-IN"/>
        </w:rPr>
        <w:t>, 2023)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lower reach of the river is also affected from unplanned sand mining by the locals and contractors.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These practices reflect economic dependence on riverine resources rather than ecological conservation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2023</w:t>
      </w:r>
      <w:r w:rsidR="00861A53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="00861A53" w:rsidRP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61A53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Nasrin &amp; Barman, 2025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 Seasonal flooding influences housing design, settlement patterns and transportation networks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the Doboka and Jamunamukh and nearby regions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demonstrating a dynamic human-river interaction tha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 emphasizes on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modification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61A53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adaptation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(</w:t>
      </w:r>
      <w:r w:rsidR="009B74F9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Goswami, 2008;</w:t>
      </w:r>
      <w:r w:rsidR="009B74F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Bora, 2017</w:t>
      </w:r>
      <w:r w:rsidR="009B74F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Sarma &amp; </w:t>
      </w:r>
      <w:proofErr w:type="spellStart"/>
      <w:r w:rsidR="009B74F9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="009B74F9">
        <w:rPr>
          <w:rFonts w:ascii="Times New Roman" w:eastAsia="Times New Roman" w:hAnsi="Times New Roman" w:cs="Times New Roman"/>
          <w:sz w:val="24"/>
          <w:szCs w:val="24"/>
          <w:lang w:bidi="as-IN"/>
        </w:rPr>
        <w:t>, 2021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14:paraId="7A1E8FC2" w14:textId="77777777" w:rsidR="00A87D6B" w:rsidRPr="00A87D6B" w:rsidRDefault="00A87D6B" w:rsidP="00A87D6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8.4 Challenges and Sustainability Issues</w:t>
      </w:r>
    </w:p>
    <w:p w14:paraId="017DFE7D" w14:textId="77777777" w:rsidR="00A87D6B" w:rsidRPr="00A87D6B" w:rsidRDefault="00A87D6B" w:rsidP="00861A53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Human interaction with the Jamuna River presents multiple challenges:</w:t>
      </w:r>
    </w:p>
    <w:p w14:paraId="5998C25F" w14:textId="77777777" w:rsidR="00A87D6B" w:rsidRPr="00A87D6B" w:rsidRDefault="00A87D6B" w:rsidP="00A87D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Flooding and Erosion: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Seasonal floods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mostly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>the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mid and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downstream zones threaten settlements, agricultural lands and infrastructure (Goswami, 2008; Deka, 2020;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2023).</w:t>
      </w:r>
    </w:p>
    <w:p w14:paraId="5465A2DC" w14:textId="77777777" w:rsidR="00A87D6B" w:rsidRPr="00A87D6B" w:rsidRDefault="00A87D6B" w:rsidP="00A87D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Deforestation and Land Degradation: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Upstream forest clearance and </w:t>
      </w:r>
      <w:r w:rsidRPr="00861A53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jhum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land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expansion increas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>ing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soil erosion and sediment load in rivers,</w:t>
      </w:r>
      <w:r w:rsid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which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impact</w:t>
      </w:r>
      <w:r w:rsid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downstream water quality (Borah &amp; Deka, 2020;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Bhagabati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2012).</w:t>
      </w:r>
    </w:p>
    <w:p w14:paraId="5A25A9E3" w14:textId="77777777" w:rsidR="00A87D6B" w:rsidRPr="00A87D6B" w:rsidRDefault="00A87D6B" w:rsidP="00A87D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Wetland Encroachment: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Expansion of agriculture and settlements in floodplains reduces wetland area, affecting biodiversity and fisheries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2023</w:t>
      </w:r>
      <w:r w:rsidR="00A27A41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="00A27A41" w:rsidRP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27A41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Nasrin &amp; Barman, 2025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14:paraId="71F34CBE" w14:textId="77777777" w:rsidR="00A87D6B" w:rsidRPr="00A87D6B" w:rsidRDefault="00A87D6B" w:rsidP="00A87D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Anthropogenic Pressures: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Road construction, sand mining and embankment projects modify channel morphology and disrupt natural hydrological </w:t>
      </w:r>
      <w:r w:rsid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>flows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(Bora, 2017; Deka, 2020; Singh et al., 2021).</w:t>
      </w:r>
    </w:p>
    <w:p w14:paraId="1DD408B7" w14:textId="77777777" w:rsidR="00A87D6B" w:rsidRPr="00A87D6B" w:rsidRDefault="00A87D6B" w:rsidP="00A27A41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Sustainable management requires multi-scalar interventions, integrating upstream conservation, midstream agricultural efficiency and downstream ecological protection. Community participation and engagement are crucial for effective governance </w:t>
      </w:r>
      <w:r w:rsid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 such micro regions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(Pahl-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Wostl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2013; Cosens &amp; Williams, 2012;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Ibisch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2016).</w:t>
      </w:r>
    </w:p>
    <w:p w14:paraId="6A5F1956" w14:textId="77777777" w:rsidR="00A87D6B" w:rsidRPr="00A87D6B" w:rsidRDefault="00A87D6B" w:rsidP="00A87D6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8.5 Lessons Learned and Implications for Other Riverine Systems</w:t>
      </w:r>
    </w:p>
    <w:p w14:paraId="5D5BF5AC" w14:textId="77777777" w:rsidR="00A87D6B" w:rsidRPr="00A87D6B" w:rsidRDefault="00A87D6B" w:rsidP="00A87D6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lastRenderedPageBreak/>
        <w:t>Community Engagement: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Local ecological knowledge, particularly from upstream tribal communities</w:t>
      </w:r>
      <w:r w:rsid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are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critical for adaptive and resilient management (Berkes, 2009; </w:t>
      </w:r>
      <w:proofErr w:type="spellStart"/>
      <w:r w:rsidR="00A27A41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Bhagabati</w:t>
      </w:r>
      <w:proofErr w:type="spellEnd"/>
      <w:r w:rsidR="00A27A41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</w:t>
      </w:r>
      <w:r w:rsid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Nasrin &amp; Barman, 2025).</w:t>
      </w:r>
    </w:p>
    <w:p w14:paraId="2BECA3DF" w14:textId="77777777" w:rsidR="00A87D6B" w:rsidRPr="00A87D6B" w:rsidRDefault="00A87D6B" w:rsidP="00A87D6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Integrated Management: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Successful riverine governance requires coordination across upstream, midstream and downstream </w:t>
      </w:r>
      <w:r w:rsid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>communitie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s, aligning socio-economic development with ecological preservation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Ibisch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2016;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Carugati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2018; Weiskopf et al., 2020).</w:t>
      </w:r>
    </w:p>
    <w:p w14:paraId="30577A6E" w14:textId="77777777" w:rsidR="00A87D6B" w:rsidRPr="00A27A41" w:rsidRDefault="00A87D6B" w:rsidP="00A27A4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Socio-Hydrological Modelling: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Applying </w:t>
      </w:r>
      <w:r w:rsidRP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>M. Sivapalan’s socio-hydrology frameworks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helps predict responses of human-water systems</w:t>
      </w:r>
      <w:r w:rsid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27A41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(Sivapalan et al., 2012; Di Baldassarre et al., 2019; Troy et al., 2015</w:t>
      </w:r>
      <w:r w:rsid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>)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guiding interventions that balance livelihoods, agriculture and river health</w:t>
      </w:r>
      <w:r w:rsidR="00C5308D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</w:t>
      </w:r>
      <w:r w:rsidR="00C5308D" w:rsidRP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>Kaika, 2003; Swyngedouw, 2009</w:t>
      </w:r>
      <w:r w:rsidR="00C5308D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proofErr w:type="spellStart"/>
      <w:r w:rsidRP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>Zlati</w:t>
      </w:r>
      <w:proofErr w:type="spellEnd"/>
      <w:r w:rsidRP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2024).</w:t>
      </w:r>
    </w:p>
    <w:p w14:paraId="27008E54" w14:textId="77777777" w:rsidR="00A87D6B" w:rsidRPr="00A87D6B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9. Summary and Conclusions</w:t>
      </w:r>
    </w:p>
    <w:p w14:paraId="5B60E11D" w14:textId="77777777" w:rsidR="008166A2" w:rsidRDefault="00A87D6B" w:rsidP="008166A2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This review 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>study show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 the complex interactions between humans and 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their local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riverine environment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>,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with a special focus on the Jamuna Watershed, Assam. The paper integrates global and Indian case studies, 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it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emphas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>es on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socio-hydrological, hydro-social and po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>litical hydrology perspectives.</w:t>
      </w:r>
    </w:p>
    <w:p w14:paraId="2EA90302" w14:textId="77777777" w:rsidR="008166A2" w:rsidRDefault="00A87D6B" w:rsidP="008166A2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Rivers 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>of all over the world has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shaped 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human societies; and </w:t>
      </w:r>
      <w:r w:rsidR="00524B91">
        <w:rPr>
          <w:rFonts w:ascii="Times New Roman" w:eastAsia="Times New Roman" w:hAnsi="Times New Roman" w:cs="Times New Roman"/>
          <w:sz w:val="24"/>
          <w:szCs w:val="24"/>
          <w:lang w:bidi="as-IN"/>
        </w:rPr>
        <w:t>these societies depend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on them show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ing dual perspectives to understand interactions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from both side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Socio-hydrology provides a robust framework to study coupled human-water systems and to guide sustainable management.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Also with that the t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raditional ecological knowledge, especially 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>practiced by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tribal communities offers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valuable insights for adaptive riverine management.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</w:p>
    <w:p w14:paraId="24E525AA" w14:textId="77777777" w:rsidR="00A87D6B" w:rsidRPr="00A87D6B" w:rsidRDefault="00A87D6B" w:rsidP="008166A2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Integrated management frameworks, 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>like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IWRM are essential for balancing socio-economic development with ecological sustainability.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Policies must be participatory and adaptive to climatic, social and ecological feedbacks across the watershed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>s or basins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="008166A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The Jamuna watershed serves as a microcosm of broader socio-hydrological dynamics, reflecting lessons applicable to other riverine systems in India and globally.</w:t>
      </w:r>
    </w:p>
    <w:p w14:paraId="05E2BE9B" w14:textId="77777777" w:rsidR="00A87D6B" w:rsidRPr="00A87D6B" w:rsidRDefault="00A87D6B" w:rsidP="00A87D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</w:p>
    <w:p w14:paraId="66B6FD99" w14:textId="77777777" w:rsidR="00A87D6B" w:rsidRPr="00A87D6B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References</w:t>
      </w:r>
    </w:p>
    <w:p w14:paraId="152BC6C1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Adger, W. N., et al. (2020). </w:t>
      </w:r>
      <w:r w:rsidRPr="00DD6929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Social–ecological resilience and adaptation.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Pr="00DD692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Cambridge University Press.</w:t>
      </w:r>
    </w:p>
    <w:p w14:paraId="4B748A5E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Asante, F., </w:t>
      </w:r>
      <w:proofErr w:type="spellStart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Guodaar</w:t>
      </w:r>
      <w:proofErr w:type="spellEnd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L., &amp; </w:t>
      </w:r>
      <w:proofErr w:type="spellStart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Arimiyaw</w:t>
      </w:r>
      <w:proofErr w:type="spellEnd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S. (2021). Climate change awareness and livelihood adaptive strategies among smallholder farmers in semi-arid Ghana.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Environmental Development, 40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 100647.</w:t>
      </w:r>
    </w:p>
    <w:p w14:paraId="50ED1116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 xml:space="preserve">Badham, J., Arthington, A., Kennard, M., &amp; Pusey, B. (2019). Linking river ecology and human-water systems: Lessons from floodplain management.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River Research and Applications, 35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(5), 470–485. https://doi.org/10.1002/rra.3445</w:t>
      </w:r>
    </w:p>
    <w:p w14:paraId="31B56A23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Berkes, F. (2009).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Evolution of co-management: Role of knowledge generation, bridging organizations and social learning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Journal of Environmental Management, 90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(5), 1692–1702. https://doi.org/10.1016/j.jenvman.2008.12.001</w:t>
      </w:r>
    </w:p>
    <w:p w14:paraId="17B57ED5" w14:textId="77777777" w:rsidR="00CE09FE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proofErr w:type="spellStart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Bhagabati</w:t>
      </w:r>
      <w:proofErr w:type="spellEnd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A. K., Bora, A., &amp; Deka, N. (2012). Traditional ecological knowledge and livelihood systems in the Jamuna watershed.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Assam Journal of Environmental Studies, 8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(2), 33–48.</w:t>
      </w:r>
      <w:r w:rsidR="00CE09FE" w:rsidRPr="00CE09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F7B1C" w14:textId="77777777" w:rsidR="00A87D6B" w:rsidRPr="00CE09FE" w:rsidRDefault="00CE09FE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hAnsi="Times New Roman" w:cs="Times New Roman"/>
          <w:sz w:val="24"/>
          <w:szCs w:val="24"/>
        </w:rPr>
        <w:t xml:space="preserve">Bora, A. K., &amp; </w:t>
      </w:r>
      <w:proofErr w:type="spellStart"/>
      <w:r w:rsidRPr="00CE09FE">
        <w:rPr>
          <w:rFonts w:ascii="Times New Roman" w:hAnsi="Times New Roman" w:cs="Times New Roman"/>
          <w:sz w:val="24"/>
          <w:szCs w:val="24"/>
        </w:rPr>
        <w:t>Bhagawati</w:t>
      </w:r>
      <w:proofErr w:type="spellEnd"/>
      <w:r w:rsidRPr="00CE09FE">
        <w:rPr>
          <w:rFonts w:ascii="Times New Roman" w:hAnsi="Times New Roman" w:cs="Times New Roman"/>
          <w:sz w:val="24"/>
          <w:szCs w:val="24"/>
        </w:rPr>
        <w:t xml:space="preserve">, A. K. (2023). </w:t>
      </w:r>
      <w:r w:rsidRPr="00CE09FE">
        <w:rPr>
          <w:rStyle w:val="Emphasis"/>
          <w:rFonts w:ascii="Times New Roman" w:hAnsi="Times New Roman" w:cs="Times New Roman"/>
          <w:sz w:val="24"/>
          <w:szCs w:val="24"/>
        </w:rPr>
        <w:t>Human dependence on riverine wetlands and fisheries in the Brahmaputra valley of Assam</w:t>
      </w:r>
      <w:r w:rsidRPr="00CE0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9FE">
        <w:rPr>
          <w:rFonts w:ascii="Times New Roman" w:hAnsi="Times New Roman" w:cs="Times New Roman"/>
          <w:sz w:val="24"/>
          <w:szCs w:val="24"/>
        </w:rPr>
        <w:t>Gauhati</w:t>
      </w:r>
      <w:proofErr w:type="spellEnd"/>
      <w:r w:rsidRPr="00CE09FE">
        <w:rPr>
          <w:rFonts w:ascii="Times New Roman" w:hAnsi="Times New Roman" w:cs="Times New Roman"/>
          <w:sz w:val="24"/>
          <w:szCs w:val="24"/>
        </w:rPr>
        <w:t xml:space="preserve"> University Press.</w:t>
      </w:r>
    </w:p>
    <w:p w14:paraId="3AB2B0D2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Borah, A., &amp; Deka, N. (2019). Hydrology and land-use interactions in the Jamuna-Kopili river basin.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Indian Journal of Geography, 51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(3), 125–140.</w:t>
      </w:r>
    </w:p>
    <w:p w14:paraId="74364559" w14:textId="77777777" w:rsidR="009B74F9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Borah, A., &amp; Deka, N. (2020). Floodplain dynamics and human adaptation in Assam.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Asian Journal of Geographical Research, 12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(2), 101–119.</w:t>
      </w:r>
    </w:p>
    <w:p w14:paraId="610F5819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proofErr w:type="spellStart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Carugati</w:t>
      </w:r>
      <w:proofErr w:type="spellEnd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F., </w:t>
      </w:r>
      <w:proofErr w:type="spellStart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Spanghero</w:t>
      </w:r>
      <w:proofErr w:type="spellEnd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M., &amp; Sivapalan, M. (2018). Socio-hydrology and integrated water management.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Hydrology and Earth System Sciences, 22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(10), 5471–5488. </w:t>
      </w:r>
      <w:hyperlink r:id="rId8" w:history="1">
        <w:r w:rsidR="00637BD0" w:rsidRPr="00CE09F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s-IN"/>
          </w:rPr>
          <w:t>https://doi.org/10.5194/hess-22-5471-2018</w:t>
        </w:r>
      </w:hyperlink>
      <w:r w:rsidR="00637BD0"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</w:p>
    <w:p w14:paraId="24B39F29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Chambers, R., &amp; Conway, G. (1992).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Sustainable rural livelihoods: Practical concepts for the 21st century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. IDS Discussion Paper 296.</w:t>
      </w:r>
    </w:p>
    <w:p w14:paraId="19EDA6D6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Cosens, B., &amp; Williams, M. (2012). Adaptive governance of river basins: Multi-level learning.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Ecology and Society, 17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(4), 3. https://doi.org/10.5751/ES-05102-170403</w:t>
      </w:r>
    </w:p>
    <w:p w14:paraId="4D262965" w14:textId="77777777" w:rsidR="00CE09FE" w:rsidRPr="00CE09FE" w:rsidRDefault="00CE09FE" w:rsidP="00CE09FE">
      <w:pPr>
        <w:pStyle w:val="NormalWeb"/>
        <w:numPr>
          <w:ilvl w:val="0"/>
          <w:numId w:val="6"/>
        </w:numPr>
        <w:jc w:val="both"/>
      </w:pPr>
      <w:r w:rsidRPr="00CE09FE">
        <w:t xml:space="preserve">Deka, N., &amp; Goswami, D. C. (2019). Traditional fishing systems and wetland management practices in the Brahmaputra floodplains of Assam. </w:t>
      </w:r>
      <w:r w:rsidRPr="00CE09FE">
        <w:rPr>
          <w:rStyle w:val="Emphasis"/>
        </w:rPr>
        <w:t>Journal of Environmental Geography, 14</w:t>
      </w:r>
      <w:r w:rsidRPr="00CE09FE">
        <w:t>(2), 45–56.</w:t>
      </w:r>
    </w:p>
    <w:p w14:paraId="4C0EF6BC" w14:textId="77777777" w:rsidR="00CE09FE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Deka, N. (2020). Livelihoods, fisheries, and wetland ecology in the Jamuna River basin.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Assam Environmental Journal, 15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(1), 55–72.</w:t>
      </w:r>
    </w:p>
    <w:p w14:paraId="751C6B7A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Di Baldassarre, G., Viglione, A., Carr, G., Kuil, L., Salinas, J. L., </w:t>
      </w:r>
      <w:proofErr w:type="spellStart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Blöschl</w:t>
      </w:r>
      <w:proofErr w:type="spellEnd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G., &amp; Sivapalan, M. (2013). Socio-hydrology: Conceptualizing human-flood interactions.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Hydrology and Earth System Sciences, 17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(8), 3295–3306. https://doi.org/10.5194/hess-17-3295-2013</w:t>
      </w:r>
    </w:p>
    <w:p w14:paraId="5E5417B6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Di Baldassarre, G., Montanari, A., Lins, H., </w:t>
      </w:r>
      <w:proofErr w:type="spellStart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Koutsoyiannis</w:t>
      </w:r>
      <w:proofErr w:type="spellEnd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D., Brandimarte, L., &amp; </w:t>
      </w:r>
      <w:proofErr w:type="spellStart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Blöschl</w:t>
      </w:r>
      <w:proofErr w:type="spellEnd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G. (2019). Socio-hydrology: Understanding human-flood interactions.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Nature Reviews Earth &amp; Environment, 1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1–15. </w:t>
      </w:r>
      <w:hyperlink r:id="rId9" w:history="1">
        <w:r w:rsidR="00637BD0" w:rsidRPr="00CE09FE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as-IN"/>
          </w:rPr>
          <w:t>https://doi.org/10.1038/s43017-019-0006-8</w:t>
        </w:r>
      </w:hyperlink>
      <w:r w:rsidR="00637BD0"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</w:p>
    <w:p w14:paraId="5B1E8CA3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Ellis, F. (2000).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Rural livelihoods and diversity in developing countries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. Oxford University Press.</w:t>
      </w:r>
    </w:p>
    <w:p w14:paraId="3E063C28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FAO. (2013).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Resilient livelihoods: Disaster risk reduction for food and nutrition security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. Food and Agriculture Organization.</w:t>
      </w:r>
    </w:p>
    <w:p w14:paraId="103E9670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FAO. (2022).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The state of the world’s land and water resources for food and agriculture – Systems at breaking point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. Rome.</w:t>
      </w:r>
    </w:p>
    <w:p w14:paraId="4C1DFA3D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 xml:space="preserve">Goswami, D. C. (2008). Flood hazard assessment and river dynamics in Assam.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North-East India Geographical Review, 10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(1), 45–62.</w:t>
      </w:r>
    </w:p>
    <w:p w14:paraId="3515CECD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Huynh, P. T., &amp; Yamamoto, H. (2022). Government relocation and rural livelihoods in China.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Frontiers in Sustainable Food Systems, 6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 1067649.</w:t>
      </w:r>
    </w:p>
    <w:p w14:paraId="20AB63BE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Imdad, K., Sahana, M., &amp; Gautam, O. (2025). Anthropogenic and hydroclimatic drivers of livelihood vulnerability in wetland communities: A geospatial assessment.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Water Resources Management, 39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 2503–2525.</w:t>
      </w:r>
    </w:p>
    <w:p w14:paraId="6A1E3E9F" w14:textId="77777777" w:rsidR="00CE09FE" w:rsidRPr="00CE09FE" w:rsidRDefault="00CE09FE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hAnsi="Times New Roman" w:cs="Times New Roman"/>
          <w:sz w:val="24"/>
          <w:szCs w:val="24"/>
        </w:rPr>
        <w:t xml:space="preserve">Islam, M. M., Sarker, M. N. I., &amp; Das, S. (2022). Community-based fisheries management and livelihood sustainability in South Asian floodplains. </w:t>
      </w:r>
      <w:r w:rsidRPr="00CE09FE">
        <w:rPr>
          <w:rStyle w:val="Emphasis"/>
          <w:rFonts w:ascii="Times New Roman" w:hAnsi="Times New Roman" w:cs="Times New Roman"/>
          <w:sz w:val="24"/>
          <w:szCs w:val="24"/>
        </w:rPr>
        <w:t>Fisheries Research, 247</w:t>
      </w:r>
      <w:r w:rsidRPr="00CE09FE">
        <w:rPr>
          <w:rFonts w:ascii="Times New Roman" w:hAnsi="Times New Roman" w:cs="Times New Roman"/>
          <w:sz w:val="24"/>
          <w:szCs w:val="24"/>
        </w:rPr>
        <w:t>, 106163.</w:t>
      </w:r>
    </w:p>
    <w:p w14:paraId="2555485C" w14:textId="77777777" w:rsidR="00637BD0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Kaika, M. (2003). Constructing scarcity and the hydro-social cycle: Lessons from Mediterranean rivers.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Antipode, 35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(5), 980–1004. https://doi.org/10.1111/j.1467-8330.2003.00372.x</w:t>
      </w:r>
      <w:r w:rsidR="00637BD0"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</w:p>
    <w:p w14:paraId="53C5A8CB" w14:textId="77777777" w:rsidR="00A87D6B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proofErr w:type="spellStart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Kapruwan</w:t>
      </w:r>
      <w:proofErr w:type="spellEnd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R., Saksham, A. K., &amp; </w:t>
      </w:r>
      <w:proofErr w:type="spellStart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Bhadoriya</w:t>
      </w:r>
      <w:proofErr w:type="spellEnd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V. S. (2024). Household livelihood resilience of pastoralists and smallholders in the Western Himalaya, India. </w:t>
      </w:r>
      <w:proofErr w:type="spellStart"/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Heliyon</w:t>
      </w:r>
      <w:proofErr w:type="spellEnd"/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, 10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(2), e24133.</w:t>
      </w:r>
    </w:p>
    <w:p w14:paraId="60E95680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Meran, G., Pahl-Wostl, C., &amp; McLaughlin, D. (2021). Managing river basins in the Anthropocene.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Water Resources Management, 35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, 1–18. https://doi.org/10.1007/s11269-020-02757-8</w:t>
      </w:r>
      <w:r w:rsidR="00637BD0"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</w:p>
    <w:p w14:paraId="72A855C5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Nasrin, M., &amp; Barman, B. (2025). NDVI and LULC change in Jamuna watershed of Assam: An assessment based on Landsat imagery.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Ecology, Environment and Conservation, 31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(Suppl.), S174–S182.</w:t>
      </w:r>
    </w:p>
    <w:p w14:paraId="3EEF6EA3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Naz, F., et al. (2023). Household diversification under climate risk in Pakistan.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Sustainability, 15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(8), 6489.</w:t>
      </w:r>
    </w:p>
    <w:p w14:paraId="027437AA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proofErr w:type="spellStart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Ongachi</w:t>
      </w:r>
      <w:proofErr w:type="spellEnd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W., &amp; </w:t>
      </w:r>
      <w:proofErr w:type="spellStart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Belinder</w:t>
      </w:r>
      <w:proofErr w:type="spellEnd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I. (2025). Agricultural extension as a pathway to livelihood diversification: A systematic review.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BMC Agriculture, 1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(1), 6.</w:t>
      </w:r>
    </w:p>
    <w:p w14:paraId="3F881D12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Preston, B. L., et al. (2011).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Climate change vulnerability and adaptive capacity: A framework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. CSIRO.</w:t>
      </w:r>
    </w:p>
    <w:p w14:paraId="63D00ABD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Reid, P., </w:t>
      </w:r>
      <w:proofErr w:type="spellStart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Kalame</w:t>
      </w:r>
      <w:proofErr w:type="spellEnd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F., &amp; Ziervogel, G. (2019).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Building adaptive capacity in smallholder systems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. Routledge.</w:t>
      </w:r>
    </w:p>
    <w:p w14:paraId="3F38E547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proofErr w:type="spellStart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Saharia</w:t>
      </w:r>
      <w:proofErr w:type="spellEnd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D. (2023). Hydrological and socio-economic assessment of Jamuna riverine communities.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Assam Journal of Water Studies, 14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(2), 88–103.</w:t>
      </w:r>
    </w:p>
    <w:p w14:paraId="04C0AEDC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Sallu, S., Twyman, C., &amp; Stringer, L. C. (2010). Resilient or vulnerable livelihoods?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Global Environmental Change, 20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(1), 33–44. </w:t>
      </w:r>
    </w:p>
    <w:p w14:paraId="6F00EE22" w14:textId="77777777" w:rsidR="00CE09FE" w:rsidRPr="00CE09FE" w:rsidRDefault="00CE09FE" w:rsidP="00CE09FE">
      <w:pPr>
        <w:pStyle w:val="NormalWeb"/>
        <w:numPr>
          <w:ilvl w:val="0"/>
          <w:numId w:val="6"/>
        </w:numPr>
        <w:jc w:val="both"/>
      </w:pPr>
      <w:r w:rsidRPr="00CE09FE">
        <w:t xml:space="preserve">Sarma, J. N., &amp; </w:t>
      </w:r>
      <w:proofErr w:type="spellStart"/>
      <w:r w:rsidRPr="00CE09FE">
        <w:t>Saharia</w:t>
      </w:r>
      <w:proofErr w:type="spellEnd"/>
      <w:r w:rsidRPr="00CE09FE">
        <w:t xml:space="preserve">, D. (2021). Impact of unplanned sand mining on river morphology and ecology in the Brahmaputra basin. </w:t>
      </w:r>
      <w:r w:rsidRPr="00CE09FE">
        <w:rPr>
          <w:rStyle w:val="Emphasis"/>
        </w:rPr>
        <w:t>Environmental Earth Sciences, 80</w:t>
      </w:r>
      <w:r w:rsidRPr="00CE09FE">
        <w:t>(22), 782.</w:t>
      </w:r>
    </w:p>
    <w:p w14:paraId="11BC81BF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Schlingmann, A., et al. (2021). Global patterns of adaptation to climate change by Indigenous Peoples.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Current Opinion in Environmental Sustainability, 51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 55–64.</w:t>
      </w:r>
    </w:p>
    <w:p w14:paraId="07CA2560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Scoones, I. (2015).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Sustainable livelihoods and rural development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. Practical Action Publishing.</w:t>
      </w:r>
    </w:p>
    <w:p w14:paraId="7108950F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proofErr w:type="spellStart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lastRenderedPageBreak/>
        <w:t>Simane</w:t>
      </w:r>
      <w:proofErr w:type="spellEnd"/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B., Zaitchik, B. F., &amp; Foltz, J. D. (2016). Livelihood vulnerability analysis in tropical highlands.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Mitigation and Adaptation Strategies for Global Change, 21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(1), 39–65.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</w:p>
    <w:p w14:paraId="714B61B3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Singh, V. P., Garg, V., &amp; Raj, V. (2021).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Development of water resources in India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. Springer.</w:t>
      </w:r>
    </w:p>
    <w:p w14:paraId="73EFF69A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Sivapalan, M., Savenije, H., &amp; </w:t>
      </w:r>
      <w:proofErr w:type="spellStart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Blöschl</w:t>
      </w:r>
      <w:proofErr w:type="spellEnd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G. (2012). Socio-hydrology: A new science of people and water.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Hydrological Processes, 26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(8), 1270–1276. https://doi.org/10.1002/hyp.8426</w:t>
      </w:r>
    </w:p>
    <w:p w14:paraId="57D46569" w14:textId="77777777" w:rsidR="00637BD0" w:rsidRPr="00CE09FE" w:rsidRDefault="00637BD0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Thornton, P. K., et al. (2019). </w:t>
      </w:r>
      <w:r w:rsidRPr="00CE09F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s-IN"/>
        </w:rPr>
        <w:t>Climate change and smallholder farming systems</w:t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. CABI.</w:t>
      </w:r>
    </w:p>
    <w:p w14:paraId="0A43438A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Troy, T., Palmer, R., &amp; Sivapalan, M. (2015). Modeling coupled human–water systems.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Water Resources Research, 51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, 3662–3684. https://doi.org/10.1002/2014WR016720</w:t>
      </w:r>
    </w:p>
    <w:p w14:paraId="5182C92B" w14:textId="77777777" w:rsidR="00A87D6B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Viglione, A., Di Baldassarre, G., &amp; </w:t>
      </w:r>
      <w:proofErr w:type="spellStart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Blöschl</w:t>
      </w:r>
      <w:proofErr w:type="spellEnd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G. (2014). Socio-hydrological modeling of flood risk.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Water Resources Research, 50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(3), 2081–2103. https://doi.org/10.1002/2013WR014412</w:t>
      </w:r>
    </w:p>
    <w:p w14:paraId="216C4DC4" w14:textId="77777777" w:rsidR="00637BD0" w:rsidRPr="00CE09FE" w:rsidRDefault="00A87D6B" w:rsidP="00CE09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proofErr w:type="spellStart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Zlati</w:t>
      </w:r>
      <w:proofErr w:type="spellEnd"/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M., Smith, K., &amp; Adams, J. (2024). Integrated floodplain management: Lessons from Asia. </w:t>
      </w:r>
      <w:r w:rsidRPr="00CE09FE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Journal of Environmental Policy, 36</w:t>
      </w:r>
      <w:r w:rsidRPr="00CE09FE">
        <w:rPr>
          <w:rFonts w:ascii="Times New Roman" w:eastAsia="Times New Roman" w:hAnsi="Times New Roman" w:cs="Times New Roman"/>
          <w:sz w:val="24"/>
          <w:szCs w:val="24"/>
          <w:lang w:bidi="as-IN"/>
        </w:rPr>
        <w:t>(2), 211–229.</w:t>
      </w:r>
    </w:p>
    <w:p w14:paraId="52F01532" w14:textId="77777777" w:rsidR="00637BD0" w:rsidRPr="00CE09FE" w:rsidRDefault="00637BD0" w:rsidP="00CE09FE">
      <w:pPr>
        <w:spacing w:before="100" w:beforeAutospacing="1" w:after="100" w:afterAutospacing="1"/>
        <w:ind w:left="36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br/>
      </w:r>
      <w:r w:rsidRPr="00CE09FE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br/>
      </w:r>
    </w:p>
    <w:p w14:paraId="5F69F375" w14:textId="77777777" w:rsidR="00637BD0" w:rsidRPr="00CE09FE" w:rsidRDefault="00637BD0" w:rsidP="00CE09FE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</w:p>
    <w:p w14:paraId="7EADB69A" w14:textId="77777777" w:rsidR="006B0BF0" w:rsidRPr="00CE09FE" w:rsidRDefault="006B0BF0" w:rsidP="00CE09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0BF0" w:rsidRPr="00CE09FE" w:rsidSect="00F970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5007" w14:textId="77777777" w:rsidR="00B86A3A" w:rsidRDefault="00B86A3A" w:rsidP="000752EA">
      <w:pPr>
        <w:spacing w:after="0" w:line="240" w:lineRule="auto"/>
      </w:pPr>
      <w:r>
        <w:separator/>
      </w:r>
    </w:p>
  </w:endnote>
  <w:endnote w:type="continuationSeparator" w:id="0">
    <w:p w14:paraId="5D439FFE" w14:textId="77777777" w:rsidR="00B86A3A" w:rsidRDefault="00B86A3A" w:rsidP="0007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1C40" w14:textId="77777777" w:rsidR="000752EA" w:rsidRDefault="00075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F900" w14:textId="77777777" w:rsidR="000752EA" w:rsidRDefault="00075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6B1C" w14:textId="77777777" w:rsidR="000752EA" w:rsidRDefault="00075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644C" w14:textId="77777777" w:rsidR="00B86A3A" w:rsidRDefault="00B86A3A" w:rsidP="000752EA">
      <w:pPr>
        <w:spacing w:after="0" w:line="240" w:lineRule="auto"/>
      </w:pPr>
      <w:r>
        <w:separator/>
      </w:r>
    </w:p>
  </w:footnote>
  <w:footnote w:type="continuationSeparator" w:id="0">
    <w:p w14:paraId="10F10A2C" w14:textId="77777777" w:rsidR="00B86A3A" w:rsidRDefault="00B86A3A" w:rsidP="00075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73E8" w14:textId="34BB9BEC" w:rsidR="000752EA" w:rsidRDefault="000752EA">
    <w:pPr>
      <w:pStyle w:val="Header"/>
    </w:pPr>
    <w:r>
      <w:rPr>
        <w:noProof/>
      </w:rPr>
      <w:pict w14:anchorId="1BD77B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55797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09EE" w14:textId="19AFE2D0" w:rsidR="000752EA" w:rsidRDefault="000752EA">
    <w:pPr>
      <w:pStyle w:val="Header"/>
    </w:pPr>
    <w:r>
      <w:rPr>
        <w:noProof/>
      </w:rPr>
      <w:pict w14:anchorId="228314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55798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C01B" w14:textId="47671579" w:rsidR="000752EA" w:rsidRDefault="000752EA">
    <w:pPr>
      <w:pStyle w:val="Header"/>
    </w:pPr>
    <w:r>
      <w:rPr>
        <w:noProof/>
      </w:rPr>
      <w:pict w14:anchorId="7F2B9E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55796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4DE2"/>
    <w:multiLevelType w:val="hybridMultilevel"/>
    <w:tmpl w:val="4F8C2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7EA1"/>
    <w:multiLevelType w:val="multilevel"/>
    <w:tmpl w:val="803CE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E561D"/>
    <w:multiLevelType w:val="multilevel"/>
    <w:tmpl w:val="CBDE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D42F7C"/>
    <w:multiLevelType w:val="multilevel"/>
    <w:tmpl w:val="D096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F17A1"/>
    <w:multiLevelType w:val="multilevel"/>
    <w:tmpl w:val="84FA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16CE5"/>
    <w:multiLevelType w:val="multilevel"/>
    <w:tmpl w:val="C1A0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615D3"/>
    <w:multiLevelType w:val="multilevel"/>
    <w:tmpl w:val="D04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544863">
    <w:abstractNumId w:val="1"/>
  </w:num>
  <w:num w:numId="2" w16cid:durableId="408306804">
    <w:abstractNumId w:val="6"/>
  </w:num>
  <w:num w:numId="3" w16cid:durableId="1809204030">
    <w:abstractNumId w:val="4"/>
  </w:num>
  <w:num w:numId="4" w16cid:durableId="162285735">
    <w:abstractNumId w:val="3"/>
  </w:num>
  <w:num w:numId="5" w16cid:durableId="219482600">
    <w:abstractNumId w:val="5"/>
  </w:num>
  <w:num w:numId="6" w16cid:durableId="1572038027">
    <w:abstractNumId w:val="0"/>
  </w:num>
  <w:num w:numId="7" w16cid:durableId="172464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D6B"/>
    <w:rsid w:val="00015E6F"/>
    <w:rsid w:val="000752EA"/>
    <w:rsid w:val="00086F3F"/>
    <w:rsid w:val="00090319"/>
    <w:rsid w:val="000A7809"/>
    <w:rsid w:val="000D0B6A"/>
    <w:rsid w:val="00202482"/>
    <w:rsid w:val="00214F3A"/>
    <w:rsid w:val="00320063"/>
    <w:rsid w:val="00325CB3"/>
    <w:rsid w:val="00524B91"/>
    <w:rsid w:val="00531EAE"/>
    <w:rsid w:val="005C3520"/>
    <w:rsid w:val="005D590C"/>
    <w:rsid w:val="00637BD0"/>
    <w:rsid w:val="006A7C43"/>
    <w:rsid w:val="006B0BF0"/>
    <w:rsid w:val="006F7AAD"/>
    <w:rsid w:val="00705C89"/>
    <w:rsid w:val="007879E7"/>
    <w:rsid w:val="007B1CEA"/>
    <w:rsid w:val="008166A2"/>
    <w:rsid w:val="008228AC"/>
    <w:rsid w:val="00833DE5"/>
    <w:rsid w:val="00855041"/>
    <w:rsid w:val="00861A53"/>
    <w:rsid w:val="008849AA"/>
    <w:rsid w:val="00893EFA"/>
    <w:rsid w:val="008B3DAA"/>
    <w:rsid w:val="008D487A"/>
    <w:rsid w:val="0091202C"/>
    <w:rsid w:val="00956046"/>
    <w:rsid w:val="009B74F9"/>
    <w:rsid w:val="00A27A41"/>
    <w:rsid w:val="00A50166"/>
    <w:rsid w:val="00A54807"/>
    <w:rsid w:val="00A87D6B"/>
    <w:rsid w:val="00AF61EE"/>
    <w:rsid w:val="00B07C26"/>
    <w:rsid w:val="00B661E2"/>
    <w:rsid w:val="00B86A3A"/>
    <w:rsid w:val="00BE5D14"/>
    <w:rsid w:val="00C5308D"/>
    <w:rsid w:val="00C57ACF"/>
    <w:rsid w:val="00CE09FE"/>
    <w:rsid w:val="00CE66D0"/>
    <w:rsid w:val="00CF3DF3"/>
    <w:rsid w:val="00CF5DCB"/>
    <w:rsid w:val="00D54BCD"/>
    <w:rsid w:val="00DD4CDB"/>
    <w:rsid w:val="00DD5581"/>
    <w:rsid w:val="00DD6929"/>
    <w:rsid w:val="00DF1CF2"/>
    <w:rsid w:val="00DF4860"/>
    <w:rsid w:val="00E03D10"/>
    <w:rsid w:val="00E53BA5"/>
    <w:rsid w:val="00E601CC"/>
    <w:rsid w:val="00E77E82"/>
    <w:rsid w:val="00EC69E4"/>
    <w:rsid w:val="00F04C56"/>
    <w:rsid w:val="00F42B63"/>
    <w:rsid w:val="00F97058"/>
    <w:rsid w:val="00FA7735"/>
    <w:rsid w:val="00FB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_x0000_s2052"/>
        <o:r id="V:Rule2" type="connector" idref="#_x0000_s2051"/>
        <o:r id="V:Rule3" type="connector" idref="#_x0000_s2050"/>
        <o:r id="V:Rule4" type="connector" idref="#_x0000_s2053"/>
      </o:rules>
    </o:shapelayout>
  </w:shapeDefaults>
  <w:decimalSymbol w:val="."/>
  <w:listSeparator w:val=","/>
  <w14:docId w14:val="191FFACD"/>
  <w15:docId w15:val="{F901A85B-1E3B-42BC-98D0-64B8D3BB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058"/>
  </w:style>
  <w:style w:type="paragraph" w:styleId="Heading1">
    <w:name w:val="heading 1"/>
    <w:basedOn w:val="Normal"/>
    <w:link w:val="Heading1Char"/>
    <w:uiPriority w:val="9"/>
    <w:qFormat/>
    <w:rsid w:val="00A87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s-IN"/>
    </w:rPr>
  </w:style>
  <w:style w:type="paragraph" w:styleId="Heading2">
    <w:name w:val="heading 2"/>
    <w:basedOn w:val="Normal"/>
    <w:link w:val="Heading2Char"/>
    <w:uiPriority w:val="9"/>
    <w:qFormat/>
    <w:rsid w:val="00A87D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s-IN"/>
    </w:rPr>
  </w:style>
  <w:style w:type="paragraph" w:styleId="Heading3">
    <w:name w:val="heading 3"/>
    <w:basedOn w:val="Normal"/>
    <w:link w:val="Heading3Char"/>
    <w:uiPriority w:val="9"/>
    <w:qFormat/>
    <w:rsid w:val="00A87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s-IN"/>
    </w:rPr>
  </w:style>
  <w:style w:type="paragraph" w:styleId="Heading5">
    <w:name w:val="heading 5"/>
    <w:basedOn w:val="Normal"/>
    <w:link w:val="Heading5Char"/>
    <w:uiPriority w:val="9"/>
    <w:qFormat/>
    <w:rsid w:val="00A87D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as-IN"/>
    </w:rPr>
  </w:style>
  <w:style w:type="paragraph" w:styleId="Heading6">
    <w:name w:val="heading 6"/>
    <w:basedOn w:val="Normal"/>
    <w:link w:val="Heading6Char"/>
    <w:uiPriority w:val="9"/>
    <w:qFormat/>
    <w:rsid w:val="00A87D6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D6B"/>
    <w:rPr>
      <w:rFonts w:ascii="Times New Roman" w:eastAsia="Times New Roman" w:hAnsi="Times New Roman" w:cs="Times New Roman"/>
      <w:b/>
      <w:bCs/>
      <w:kern w:val="36"/>
      <w:sz w:val="48"/>
      <w:szCs w:val="48"/>
      <w:lang w:bidi="as-IN"/>
    </w:rPr>
  </w:style>
  <w:style w:type="character" w:customStyle="1" w:styleId="Heading2Char">
    <w:name w:val="Heading 2 Char"/>
    <w:basedOn w:val="DefaultParagraphFont"/>
    <w:link w:val="Heading2"/>
    <w:uiPriority w:val="9"/>
    <w:rsid w:val="00A87D6B"/>
    <w:rPr>
      <w:rFonts w:ascii="Times New Roman" w:eastAsia="Times New Roman" w:hAnsi="Times New Roman" w:cs="Times New Roman"/>
      <w:b/>
      <w:bCs/>
      <w:sz w:val="36"/>
      <w:szCs w:val="36"/>
      <w:lang w:bidi="as-IN"/>
    </w:rPr>
  </w:style>
  <w:style w:type="character" w:customStyle="1" w:styleId="Heading3Char">
    <w:name w:val="Heading 3 Char"/>
    <w:basedOn w:val="DefaultParagraphFont"/>
    <w:link w:val="Heading3"/>
    <w:uiPriority w:val="9"/>
    <w:rsid w:val="00A87D6B"/>
    <w:rPr>
      <w:rFonts w:ascii="Times New Roman" w:eastAsia="Times New Roman" w:hAnsi="Times New Roman" w:cs="Times New Roman"/>
      <w:b/>
      <w:bCs/>
      <w:sz w:val="27"/>
      <w:szCs w:val="27"/>
      <w:lang w:bidi="as-IN"/>
    </w:rPr>
  </w:style>
  <w:style w:type="character" w:customStyle="1" w:styleId="Heading5Char">
    <w:name w:val="Heading 5 Char"/>
    <w:basedOn w:val="DefaultParagraphFont"/>
    <w:link w:val="Heading5"/>
    <w:uiPriority w:val="9"/>
    <w:rsid w:val="00A87D6B"/>
    <w:rPr>
      <w:rFonts w:ascii="Times New Roman" w:eastAsia="Times New Roman" w:hAnsi="Times New Roman" w:cs="Times New Roman"/>
      <w:b/>
      <w:bCs/>
      <w:sz w:val="20"/>
      <w:szCs w:val="20"/>
      <w:lang w:bidi="as-IN"/>
    </w:rPr>
  </w:style>
  <w:style w:type="character" w:customStyle="1" w:styleId="Heading6Char">
    <w:name w:val="Heading 6 Char"/>
    <w:basedOn w:val="DefaultParagraphFont"/>
    <w:link w:val="Heading6"/>
    <w:uiPriority w:val="9"/>
    <w:rsid w:val="00A87D6B"/>
    <w:rPr>
      <w:rFonts w:ascii="Times New Roman" w:eastAsia="Times New Roman" w:hAnsi="Times New Roman" w:cs="Times New Roman"/>
      <w:b/>
      <w:bCs/>
      <w:sz w:val="15"/>
      <w:szCs w:val="15"/>
      <w:lang w:bidi="as-IN"/>
    </w:rPr>
  </w:style>
  <w:style w:type="character" w:styleId="Strong">
    <w:name w:val="Strong"/>
    <w:basedOn w:val="DefaultParagraphFont"/>
    <w:uiPriority w:val="22"/>
    <w:qFormat/>
    <w:rsid w:val="00A87D6B"/>
    <w:rPr>
      <w:b/>
      <w:bCs/>
    </w:rPr>
  </w:style>
  <w:style w:type="paragraph" w:styleId="NormalWeb">
    <w:name w:val="Normal (Web)"/>
    <w:basedOn w:val="Normal"/>
    <w:uiPriority w:val="99"/>
    <w:unhideWhenUsed/>
    <w:rsid w:val="00A8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s-IN"/>
    </w:rPr>
  </w:style>
  <w:style w:type="character" w:styleId="Emphasis">
    <w:name w:val="Emphasis"/>
    <w:basedOn w:val="DefaultParagraphFont"/>
    <w:uiPriority w:val="20"/>
    <w:qFormat/>
    <w:rsid w:val="00A87D6B"/>
    <w:rPr>
      <w:i/>
      <w:iCs/>
    </w:rPr>
  </w:style>
  <w:style w:type="paragraph" w:styleId="ListParagraph">
    <w:name w:val="List Paragraph"/>
    <w:basedOn w:val="Normal"/>
    <w:uiPriority w:val="34"/>
    <w:qFormat/>
    <w:rsid w:val="00E03D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D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7BD0"/>
    <w:rPr>
      <w:color w:val="0000FF" w:themeColor="hyperlink"/>
      <w:u w:val="single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8D487A"/>
    <w:rPr>
      <w:sz w:val="19"/>
      <w:szCs w:val="19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8D487A"/>
    <w:pPr>
      <w:widowControl w:val="0"/>
      <w:shd w:val="clear" w:color="auto" w:fill="FFFFFF"/>
      <w:spacing w:before="540" w:after="300" w:line="0" w:lineRule="atLeast"/>
      <w:jc w:val="center"/>
    </w:pPr>
    <w:rPr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075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2EA"/>
  </w:style>
  <w:style w:type="paragraph" w:styleId="Footer">
    <w:name w:val="footer"/>
    <w:basedOn w:val="Normal"/>
    <w:link w:val="FooterChar"/>
    <w:uiPriority w:val="99"/>
    <w:unhideWhenUsed/>
    <w:rsid w:val="00075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312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3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9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194/hess-22-5471-20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3017-019-0006-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15</Pages>
  <Words>5264</Words>
  <Characters>30008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SDI 1137</cp:lastModifiedBy>
  <cp:revision>30</cp:revision>
  <dcterms:created xsi:type="dcterms:W3CDTF">2025-10-16T07:09:00Z</dcterms:created>
  <dcterms:modified xsi:type="dcterms:W3CDTF">2025-10-21T08:13:00Z</dcterms:modified>
</cp:coreProperties>
</file>