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F2131" w14:textId="588E4FBB" w:rsidR="00754C9A" w:rsidRDefault="00D558A2" w:rsidP="00564872">
      <w:pPr>
        <w:pStyle w:val="Title"/>
        <w:spacing w:after="0" w:line="480" w:lineRule="auto"/>
        <w:jc w:val="both"/>
        <w:rPr>
          <w:rFonts w:ascii="Arial" w:hAnsi="Arial" w:cs="Arial"/>
        </w:rPr>
      </w:pPr>
      <w:r w:rsidRPr="00D558A2">
        <w:rPr>
          <w:rFonts w:ascii="Arial" w:hAnsi="Arial" w:cs="Arial"/>
          <w:bCs/>
          <w:i/>
          <w:iCs/>
          <w:u w:val="single"/>
        </w:rPr>
        <w:t>Original Research Article</w:t>
      </w:r>
    </w:p>
    <w:p w14:paraId="4AC92BDE" w14:textId="77777777" w:rsidR="00163BC4" w:rsidRPr="00D558A2" w:rsidRDefault="00EA5766" w:rsidP="00564872">
      <w:pPr>
        <w:pStyle w:val="Author"/>
        <w:spacing w:line="480" w:lineRule="auto"/>
        <w:rPr>
          <w:rFonts w:ascii="Arial" w:hAnsi="Arial" w:cs="Arial"/>
          <w:bCs/>
          <w:iCs/>
          <w:kern w:val="28"/>
          <w:szCs w:val="14"/>
        </w:rPr>
      </w:pPr>
      <w:r w:rsidRPr="00D558A2">
        <w:rPr>
          <w:rFonts w:ascii="Arial" w:hAnsi="Arial" w:cs="Arial"/>
          <w:bCs/>
          <w:iCs/>
          <w:kern w:val="28"/>
          <w:szCs w:val="14"/>
        </w:rPr>
        <w:t>From Traditional Use to Functional Beverages: A Comparative Analysis of Mango, Guava, and Lemon Leaf Teas</w:t>
      </w:r>
      <w:r w:rsidR="00231920" w:rsidRPr="00D558A2">
        <w:rPr>
          <w:rFonts w:ascii="Arial" w:hAnsi="Arial" w:cs="Arial"/>
          <w:bCs/>
          <w:iCs/>
          <w:kern w:val="28"/>
          <w:szCs w:val="14"/>
        </w:rPr>
        <w:t xml:space="preserve"> </w:t>
      </w:r>
    </w:p>
    <w:p w14:paraId="22A4C00A" w14:textId="77777777" w:rsidR="00A258C3" w:rsidRPr="00790ADA" w:rsidRDefault="00A258C3" w:rsidP="00564872">
      <w:pPr>
        <w:pStyle w:val="Author"/>
        <w:spacing w:line="480" w:lineRule="auto"/>
        <w:jc w:val="both"/>
        <w:rPr>
          <w:rFonts w:ascii="Arial" w:hAnsi="Arial" w:cs="Arial"/>
          <w:sz w:val="36"/>
        </w:rPr>
      </w:pPr>
    </w:p>
    <w:p w14:paraId="4382430C" w14:textId="77777777" w:rsidR="00B01FCD" w:rsidRPr="00FB3A86" w:rsidRDefault="00DA437A" w:rsidP="00564872">
      <w:pPr>
        <w:pStyle w:val="Copyright"/>
        <w:spacing w:after="0" w:line="480" w:lineRule="auto"/>
        <w:jc w:val="both"/>
        <w:rPr>
          <w:rFonts w:ascii="Arial" w:hAnsi="Arial" w:cs="Arial"/>
        </w:rPr>
        <w:sectPr w:rsidR="00B01FCD" w:rsidRPr="00FB3A86" w:rsidSect="00E0430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8961C4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752ED29" w14:textId="77777777" w:rsidR="00B01FCD" w:rsidRDefault="00B01FCD" w:rsidP="00564872">
      <w:pPr>
        <w:pStyle w:val="AbstHead"/>
        <w:spacing w:after="0" w:line="480" w:lineRule="auto"/>
        <w:jc w:val="both"/>
        <w:rPr>
          <w:rFonts w:ascii="Arial" w:hAnsi="Arial" w:cs="Arial"/>
        </w:rPr>
      </w:pPr>
      <w:r w:rsidRPr="00FB3A86">
        <w:rPr>
          <w:rFonts w:ascii="Arial" w:hAnsi="Arial" w:cs="Arial"/>
        </w:rPr>
        <w:t>ABSTRACT</w:t>
      </w:r>
      <w:r w:rsidR="00E053ED">
        <w:rPr>
          <w:rFonts w:ascii="Arial" w:hAnsi="Arial" w:cs="Arial"/>
        </w:rPr>
        <w:t xml:space="preserve"> </w:t>
      </w:r>
    </w:p>
    <w:p w14:paraId="43613AE0" w14:textId="77777777" w:rsidR="00790ADA" w:rsidRPr="00FB3A86" w:rsidRDefault="00790ADA" w:rsidP="00564872">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6DAF52" w14:textId="77777777" w:rsidTr="001E44FE">
        <w:tc>
          <w:tcPr>
            <w:tcW w:w="9576" w:type="dxa"/>
            <w:shd w:val="clear" w:color="auto" w:fill="F2F2F2"/>
          </w:tcPr>
          <w:p w14:paraId="041C7C52" w14:textId="77777777" w:rsidR="00D35F1E" w:rsidRPr="00D35F1E" w:rsidRDefault="00D35F1E" w:rsidP="00564872">
            <w:pPr>
              <w:pStyle w:val="Body"/>
              <w:spacing w:after="0" w:line="480" w:lineRule="auto"/>
              <w:rPr>
                <w:rFonts w:ascii="Arial" w:eastAsia="Calibri" w:hAnsi="Arial" w:cs="Arial"/>
                <w:b/>
                <w:szCs w:val="22"/>
              </w:rPr>
            </w:pPr>
            <w:r w:rsidRPr="00D35F1E">
              <w:rPr>
                <w:rFonts w:ascii="Arial" w:eastAsia="Calibri" w:hAnsi="Arial" w:cs="Arial"/>
                <w:b/>
                <w:szCs w:val="22"/>
              </w:rPr>
              <w:t xml:space="preserve">Aims: </w:t>
            </w:r>
            <w:r w:rsidRPr="004823B5">
              <w:rPr>
                <w:rFonts w:ascii="Arial" w:eastAsia="Calibri" w:hAnsi="Arial" w:cs="Arial"/>
                <w:szCs w:val="22"/>
              </w:rPr>
              <w:t>To comprehensively compare the phytochemical profiles, antioxidant capacity, anti-inflammatory properties, and sensory attributes of teas derived from the leaves of mango, guava, and lemon to evaluate their potential as functional beverages</w:t>
            </w:r>
            <w:r w:rsidRPr="00D35F1E">
              <w:rPr>
                <w:rFonts w:ascii="Arial" w:eastAsia="Calibri" w:hAnsi="Arial" w:cs="Arial"/>
                <w:szCs w:val="22"/>
              </w:rPr>
              <w:t>.</w:t>
            </w:r>
          </w:p>
          <w:p w14:paraId="53D9FA34" w14:textId="77777777" w:rsidR="00D35F1E" w:rsidRPr="00D35F1E" w:rsidRDefault="00D35F1E" w:rsidP="00564872">
            <w:pPr>
              <w:pStyle w:val="Body"/>
              <w:spacing w:after="0" w:line="480" w:lineRule="auto"/>
              <w:rPr>
                <w:rFonts w:ascii="Arial" w:eastAsia="Calibri" w:hAnsi="Arial" w:cs="Arial"/>
                <w:b/>
                <w:szCs w:val="22"/>
              </w:rPr>
            </w:pPr>
            <w:r w:rsidRPr="00D35F1E">
              <w:rPr>
                <w:rFonts w:ascii="Arial" w:eastAsia="Calibri" w:hAnsi="Arial" w:cs="Arial"/>
                <w:b/>
                <w:szCs w:val="22"/>
              </w:rPr>
              <w:t xml:space="preserve">Study Design: </w:t>
            </w:r>
            <w:r w:rsidRPr="004823B5">
              <w:rPr>
                <w:rFonts w:ascii="Arial" w:eastAsia="Calibri" w:hAnsi="Arial" w:cs="Arial"/>
                <w:szCs w:val="22"/>
              </w:rPr>
              <w:t>A comparative laboratory study utilizing qualitative and quantitative phytochemical analysis, in vitro antioxidant and anti-inflammatory assays, and a sensory evaluation</w:t>
            </w:r>
            <w:r w:rsidRPr="00D35F1E">
              <w:rPr>
                <w:rFonts w:ascii="Arial" w:eastAsia="Calibri" w:hAnsi="Arial" w:cs="Arial"/>
                <w:szCs w:val="22"/>
              </w:rPr>
              <w:t>.</w:t>
            </w:r>
          </w:p>
          <w:p w14:paraId="6C60815E" w14:textId="77777777" w:rsidR="00D35F1E" w:rsidRPr="00D35F1E" w:rsidRDefault="00D35F1E" w:rsidP="00564872">
            <w:pPr>
              <w:pStyle w:val="Body"/>
              <w:spacing w:after="0" w:line="480" w:lineRule="auto"/>
              <w:rPr>
                <w:rFonts w:ascii="Arial" w:eastAsia="Calibri" w:hAnsi="Arial" w:cs="Arial"/>
                <w:b/>
                <w:szCs w:val="22"/>
              </w:rPr>
            </w:pPr>
            <w:r w:rsidRPr="00D35F1E">
              <w:rPr>
                <w:rFonts w:ascii="Arial" w:eastAsia="Calibri" w:hAnsi="Arial" w:cs="Arial"/>
                <w:b/>
                <w:szCs w:val="22"/>
              </w:rPr>
              <w:t xml:space="preserve">Place and Duration of Study: </w:t>
            </w:r>
            <w:r w:rsidR="00F27E7B" w:rsidRPr="00EF3C38">
              <w:rPr>
                <w:rFonts w:ascii="Arial" w:hAnsi="Arial" w:cs="Arial"/>
              </w:rPr>
              <w:t>Institute of Innovative Learning and Research Academy, Indore, Madhya Pradesh, India</w:t>
            </w:r>
            <w:r w:rsidR="00731B17">
              <w:rPr>
                <w:rFonts w:ascii="Arial" w:hAnsi="Arial" w:cs="Arial"/>
              </w:rPr>
              <w:t>; Duration</w:t>
            </w:r>
            <w:r w:rsidR="00F27E7B">
              <w:rPr>
                <w:rFonts w:ascii="Arial" w:hAnsi="Arial" w:cs="Arial"/>
              </w:rPr>
              <w:t xml:space="preserve">: </w:t>
            </w:r>
            <w:r w:rsidR="00731B17">
              <w:rPr>
                <w:rFonts w:ascii="Arial" w:hAnsi="Arial" w:cs="Arial"/>
              </w:rPr>
              <w:t xml:space="preserve">Between </w:t>
            </w:r>
            <w:r w:rsidR="00FE574F">
              <w:rPr>
                <w:rFonts w:ascii="Arial" w:hAnsi="Arial" w:cs="Arial"/>
              </w:rPr>
              <w:t>July</w:t>
            </w:r>
            <w:r w:rsidR="00F27E7B">
              <w:rPr>
                <w:rFonts w:ascii="Arial" w:hAnsi="Arial" w:cs="Arial"/>
              </w:rPr>
              <w:t xml:space="preserve"> 2025 </w:t>
            </w:r>
            <w:r w:rsidR="00731B17">
              <w:rPr>
                <w:rFonts w:ascii="Arial" w:hAnsi="Arial" w:cs="Arial"/>
              </w:rPr>
              <w:t xml:space="preserve">and </w:t>
            </w:r>
            <w:r w:rsidR="00D461D1">
              <w:rPr>
                <w:rFonts w:ascii="Arial" w:hAnsi="Arial" w:cs="Arial"/>
              </w:rPr>
              <w:t>September</w:t>
            </w:r>
            <w:r w:rsidR="00F27E7B">
              <w:rPr>
                <w:rFonts w:ascii="Arial" w:hAnsi="Arial" w:cs="Arial"/>
              </w:rPr>
              <w:t xml:space="preserve"> 2025.</w:t>
            </w:r>
          </w:p>
          <w:p w14:paraId="4D4FE33E" w14:textId="77777777" w:rsidR="00D35F1E" w:rsidRPr="00D35F1E" w:rsidRDefault="00D35F1E" w:rsidP="00564872">
            <w:pPr>
              <w:pStyle w:val="Body"/>
              <w:spacing w:after="0" w:line="480" w:lineRule="auto"/>
              <w:rPr>
                <w:rFonts w:ascii="Arial" w:eastAsia="Calibri" w:hAnsi="Arial" w:cs="Arial"/>
                <w:b/>
                <w:szCs w:val="22"/>
              </w:rPr>
            </w:pPr>
            <w:r w:rsidRPr="00D35F1E">
              <w:rPr>
                <w:rFonts w:ascii="Arial" w:eastAsia="Calibri" w:hAnsi="Arial" w:cs="Arial"/>
                <w:b/>
                <w:szCs w:val="22"/>
              </w:rPr>
              <w:t xml:space="preserve">Methodology: </w:t>
            </w:r>
            <w:r w:rsidRPr="00F27E7B">
              <w:rPr>
                <w:rFonts w:ascii="Arial" w:eastAsia="Calibri" w:hAnsi="Arial" w:cs="Arial"/>
                <w:szCs w:val="22"/>
              </w:rPr>
              <w:t>Aqueous extracts were prepared by boiling 3.5 grams of fresh leaves in 100 ml of distilled water for 15 minutes</w:t>
            </w:r>
            <w:r w:rsidRPr="00D35F1E">
              <w:rPr>
                <w:rFonts w:ascii="Arial" w:eastAsia="Calibri" w:hAnsi="Arial" w:cs="Arial"/>
                <w:szCs w:val="22"/>
              </w:rPr>
              <w:t xml:space="preserve">. </w:t>
            </w:r>
            <w:r w:rsidRPr="00F27E7B">
              <w:rPr>
                <w:rFonts w:ascii="Arial" w:eastAsia="Calibri" w:hAnsi="Arial" w:cs="Arial"/>
                <w:szCs w:val="22"/>
              </w:rPr>
              <w:t>Quantitative analysis focused on Total Polyphenol Content (using Gallic Acid Equivalent, GAE) and Total Flavonoid Content (using Quercetin Equivalent, QE)</w:t>
            </w:r>
            <w:r w:rsidRPr="00D35F1E">
              <w:rPr>
                <w:rFonts w:ascii="Arial" w:eastAsia="Calibri" w:hAnsi="Arial" w:cs="Arial"/>
                <w:szCs w:val="22"/>
              </w:rPr>
              <w:t xml:space="preserve">. </w:t>
            </w:r>
            <w:r w:rsidRPr="00F27E7B">
              <w:rPr>
                <w:rFonts w:ascii="Arial" w:eastAsia="Calibri" w:hAnsi="Arial" w:cs="Arial"/>
                <w:szCs w:val="22"/>
              </w:rPr>
              <w:t>Antioxidant capacity was assessed using the Ferric Reducing Power Assay (FRPA) and Total Antioxidant Capacity (TAC) Phosphomolybdate Assay</w:t>
            </w:r>
            <w:r w:rsidRPr="00D35F1E">
              <w:rPr>
                <w:rFonts w:ascii="Arial" w:eastAsia="Calibri" w:hAnsi="Arial" w:cs="Arial"/>
                <w:szCs w:val="22"/>
              </w:rPr>
              <w:t xml:space="preserve">. </w:t>
            </w:r>
            <w:r w:rsidRPr="00F27E7B">
              <w:rPr>
                <w:rFonts w:ascii="Arial" w:eastAsia="Calibri" w:hAnsi="Arial" w:cs="Arial"/>
                <w:szCs w:val="22"/>
              </w:rPr>
              <w:t>Anti-inflammatory potential was evaluated by measuring the inhibition of heat-induced hemolysis of human red blood cells</w:t>
            </w:r>
            <w:r w:rsidRPr="00D35F1E">
              <w:rPr>
                <w:rFonts w:ascii="Arial" w:eastAsia="Calibri" w:hAnsi="Arial" w:cs="Arial"/>
                <w:szCs w:val="22"/>
              </w:rPr>
              <w:t xml:space="preserve">. </w:t>
            </w:r>
            <w:r w:rsidRPr="00F27E7B">
              <w:rPr>
                <w:rFonts w:ascii="Arial" w:eastAsia="Calibri" w:hAnsi="Arial" w:cs="Arial"/>
                <w:szCs w:val="22"/>
              </w:rPr>
              <w:t>Sensory attributes were evaluated using a multi-criteria scoring system</w:t>
            </w:r>
            <w:r w:rsidRPr="00D35F1E">
              <w:rPr>
                <w:rFonts w:ascii="Arial" w:eastAsia="Calibri" w:hAnsi="Arial" w:cs="Arial"/>
                <w:szCs w:val="22"/>
              </w:rPr>
              <w:t>.</w:t>
            </w:r>
          </w:p>
          <w:p w14:paraId="0CCD912D" w14:textId="77777777" w:rsidR="00D35F1E" w:rsidRPr="00D35F1E" w:rsidRDefault="00D35F1E" w:rsidP="00564872">
            <w:pPr>
              <w:pStyle w:val="Body"/>
              <w:spacing w:after="0" w:line="480" w:lineRule="auto"/>
              <w:rPr>
                <w:rFonts w:ascii="Arial" w:eastAsia="Calibri" w:hAnsi="Arial" w:cs="Arial"/>
                <w:b/>
                <w:szCs w:val="22"/>
              </w:rPr>
            </w:pPr>
            <w:r w:rsidRPr="00D35F1E">
              <w:rPr>
                <w:rFonts w:ascii="Arial" w:eastAsia="Calibri" w:hAnsi="Arial" w:cs="Arial"/>
                <w:b/>
                <w:szCs w:val="22"/>
              </w:rPr>
              <w:t xml:space="preserve">Results: </w:t>
            </w:r>
            <w:r w:rsidRPr="00F27E7B">
              <w:rPr>
                <w:rFonts w:ascii="Arial" w:eastAsia="Calibri" w:hAnsi="Arial" w:cs="Arial"/>
                <w:szCs w:val="22"/>
              </w:rPr>
              <w:t>Guava leaf extract consistently demonstrated the highest concentrations and efficacy</w:t>
            </w:r>
            <w:r w:rsidRPr="00D35F1E">
              <w:rPr>
                <w:rFonts w:ascii="Arial" w:eastAsia="Calibri" w:hAnsi="Arial" w:cs="Arial"/>
                <w:szCs w:val="22"/>
              </w:rPr>
              <w:t>.</w:t>
            </w:r>
          </w:p>
          <w:p w14:paraId="4547220C" w14:textId="77777777" w:rsidR="00D35F1E" w:rsidRPr="00D35F1E" w:rsidRDefault="00D35F1E" w:rsidP="00564872">
            <w:pPr>
              <w:pStyle w:val="Body"/>
              <w:numPr>
                <w:ilvl w:val="0"/>
                <w:numId w:val="32"/>
              </w:numPr>
              <w:spacing w:after="0" w:line="480" w:lineRule="auto"/>
              <w:rPr>
                <w:rFonts w:ascii="Arial" w:eastAsia="Calibri" w:hAnsi="Arial" w:cs="Arial"/>
                <w:szCs w:val="22"/>
              </w:rPr>
            </w:pPr>
            <w:r w:rsidRPr="00F27E7B">
              <w:rPr>
                <w:rFonts w:ascii="Arial" w:eastAsia="Calibri" w:hAnsi="Arial" w:cs="Arial"/>
                <w:szCs w:val="22"/>
              </w:rPr>
              <w:t>Total Polyphenol Content:</w:t>
            </w:r>
            <w:r w:rsidR="00456C99">
              <w:rPr>
                <w:rFonts w:ascii="Arial" w:eastAsia="Calibri" w:hAnsi="Arial" w:cs="Arial"/>
                <w:szCs w:val="22"/>
              </w:rPr>
              <w:t xml:space="preserve"> Guava (</w:t>
            </w:r>
            <w:r w:rsidRPr="00F27E7B">
              <w:rPr>
                <w:rFonts w:ascii="Arial" w:eastAsia="Calibri" w:hAnsi="Arial" w:cs="Arial"/>
                <w:szCs w:val="22"/>
              </w:rPr>
              <w:t>3.9 mg GAE/gram) &gt; Mango (3.03 mg GAE/gram) &gt; Lemon (1.7 mg GAE/gram)</w:t>
            </w:r>
            <w:r w:rsidRPr="00D35F1E">
              <w:rPr>
                <w:rFonts w:ascii="Arial" w:eastAsia="Calibri" w:hAnsi="Arial" w:cs="Arial"/>
                <w:szCs w:val="22"/>
              </w:rPr>
              <w:t>.</w:t>
            </w:r>
          </w:p>
          <w:p w14:paraId="54F1F0C3" w14:textId="77777777" w:rsidR="00D35F1E" w:rsidRPr="00D35F1E" w:rsidRDefault="00D35F1E" w:rsidP="00564872">
            <w:pPr>
              <w:pStyle w:val="Body"/>
              <w:numPr>
                <w:ilvl w:val="0"/>
                <w:numId w:val="32"/>
              </w:numPr>
              <w:spacing w:after="0" w:line="480" w:lineRule="auto"/>
              <w:rPr>
                <w:rFonts w:ascii="Arial" w:eastAsia="Calibri" w:hAnsi="Arial" w:cs="Arial"/>
                <w:szCs w:val="22"/>
              </w:rPr>
            </w:pPr>
            <w:r w:rsidRPr="00F27E7B">
              <w:rPr>
                <w:rFonts w:ascii="Arial" w:eastAsia="Calibri" w:hAnsi="Arial" w:cs="Arial"/>
                <w:szCs w:val="22"/>
              </w:rPr>
              <w:lastRenderedPageBreak/>
              <w:t>Total Flavonoid Content:</w:t>
            </w:r>
            <w:r w:rsidR="00456C99">
              <w:rPr>
                <w:rFonts w:ascii="Arial" w:eastAsia="Calibri" w:hAnsi="Arial" w:cs="Arial"/>
                <w:szCs w:val="22"/>
              </w:rPr>
              <w:t xml:space="preserve"> Guava (</w:t>
            </w:r>
            <w:r w:rsidRPr="00F27E7B">
              <w:rPr>
                <w:rFonts w:ascii="Arial" w:eastAsia="Calibri" w:hAnsi="Arial" w:cs="Arial"/>
                <w:szCs w:val="22"/>
              </w:rPr>
              <w:t>523.33 µg QE/gram) &gt; Mango (448.33 µg QE/gram) &gt; Lemon (290 µg QE/gram)</w:t>
            </w:r>
            <w:r w:rsidRPr="00D35F1E">
              <w:rPr>
                <w:rFonts w:ascii="Arial" w:eastAsia="Calibri" w:hAnsi="Arial" w:cs="Arial"/>
                <w:szCs w:val="22"/>
              </w:rPr>
              <w:t>.</w:t>
            </w:r>
          </w:p>
          <w:p w14:paraId="60AE50D7" w14:textId="77777777" w:rsidR="00D35F1E" w:rsidRPr="00D35F1E" w:rsidRDefault="00D35F1E" w:rsidP="00564872">
            <w:pPr>
              <w:pStyle w:val="Body"/>
              <w:numPr>
                <w:ilvl w:val="0"/>
                <w:numId w:val="32"/>
              </w:numPr>
              <w:spacing w:after="0" w:line="480" w:lineRule="auto"/>
              <w:rPr>
                <w:rFonts w:ascii="Arial" w:eastAsia="Calibri" w:hAnsi="Arial" w:cs="Arial"/>
                <w:szCs w:val="22"/>
              </w:rPr>
            </w:pPr>
            <w:r w:rsidRPr="00F27E7B">
              <w:rPr>
                <w:rFonts w:ascii="Arial" w:eastAsia="Calibri" w:hAnsi="Arial" w:cs="Arial"/>
                <w:szCs w:val="22"/>
              </w:rPr>
              <w:t>Anti-Inflammatory Activity (% Inhibition of Hemolysis):</w:t>
            </w:r>
            <w:r w:rsidR="00456C99">
              <w:rPr>
                <w:rFonts w:ascii="Arial" w:eastAsia="Calibri" w:hAnsi="Arial" w:cs="Arial"/>
                <w:szCs w:val="22"/>
              </w:rPr>
              <w:t xml:space="preserve"> Guava (</w:t>
            </w:r>
            <w:r w:rsidRPr="00F27E7B">
              <w:rPr>
                <w:rFonts w:ascii="Arial" w:eastAsia="Calibri" w:hAnsi="Arial" w:cs="Arial"/>
                <w:szCs w:val="22"/>
              </w:rPr>
              <w:t>56.57%) &gt; Mango (48.68%) &gt; Lemon (26.31%)</w:t>
            </w:r>
            <w:r w:rsidRPr="00D35F1E">
              <w:rPr>
                <w:rFonts w:ascii="Arial" w:eastAsia="Calibri" w:hAnsi="Arial" w:cs="Arial"/>
                <w:szCs w:val="22"/>
              </w:rPr>
              <w:t>.</w:t>
            </w:r>
          </w:p>
          <w:p w14:paraId="1A602671" w14:textId="77777777" w:rsidR="00D35F1E" w:rsidRPr="00D35F1E" w:rsidRDefault="00D35F1E" w:rsidP="00564872">
            <w:pPr>
              <w:pStyle w:val="Body"/>
              <w:numPr>
                <w:ilvl w:val="0"/>
                <w:numId w:val="32"/>
              </w:numPr>
              <w:spacing w:after="0" w:line="480" w:lineRule="auto"/>
              <w:rPr>
                <w:rFonts w:ascii="Arial" w:eastAsia="Calibri" w:hAnsi="Arial" w:cs="Arial"/>
                <w:szCs w:val="22"/>
              </w:rPr>
            </w:pPr>
            <w:r w:rsidRPr="00F27E7B">
              <w:rPr>
                <w:rFonts w:ascii="Arial" w:eastAsia="Calibri" w:hAnsi="Arial" w:cs="Arial"/>
                <w:szCs w:val="22"/>
              </w:rPr>
              <w:t>Sensory Evaluation: Guava leaf tea showed the highest overall consumer acceptability (8/10)</w:t>
            </w:r>
            <w:r w:rsidRPr="00D35F1E">
              <w:rPr>
                <w:rFonts w:ascii="Arial" w:eastAsia="Calibri" w:hAnsi="Arial" w:cs="Arial"/>
                <w:szCs w:val="22"/>
              </w:rPr>
              <w:t>.</w:t>
            </w:r>
          </w:p>
          <w:p w14:paraId="75AF8AD3" w14:textId="77777777" w:rsidR="00505F06" w:rsidRPr="00D35F1E" w:rsidRDefault="00D35F1E" w:rsidP="00564872">
            <w:pPr>
              <w:pStyle w:val="Body"/>
              <w:spacing w:after="0" w:line="480" w:lineRule="auto"/>
              <w:rPr>
                <w:rFonts w:ascii="Arial" w:eastAsia="Calibri" w:hAnsi="Arial" w:cs="Arial"/>
                <w:b/>
                <w:szCs w:val="22"/>
              </w:rPr>
            </w:pPr>
            <w:r w:rsidRPr="00D35F1E">
              <w:rPr>
                <w:rFonts w:ascii="Arial" w:eastAsia="Calibri" w:hAnsi="Arial" w:cs="Arial"/>
                <w:b/>
                <w:szCs w:val="22"/>
              </w:rPr>
              <w:t xml:space="preserve">Conclusion: </w:t>
            </w:r>
            <w:r w:rsidRPr="00D35F1E">
              <w:rPr>
                <w:rFonts w:ascii="Arial" w:eastAsia="Calibri" w:hAnsi="Arial" w:cs="Arial"/>
                <w:szCs w:val="22"/>
              </w:rPr>
              <w:t xml:space="preserve">Guava leaves possess superior polyphenol and flavonoid content, leading to the most potent antioxidant capacity and anti-inflammatory activity. Coupled with the highest consumer acceptability due to </w:t>
            </w:r>
            <w:r w:rsidR="00F27E7B">
              <w:rPr>
                <w:rFonts w:ascii="Arial" w:eastAsia="Calibri" w:hAnsi="Arial" w:cs="Arial"/>
                <w:szCs w:val="22"/>
              </w:rPr>
              <w:t>its smooth and pleasant profile</w:t>
            </w:r>
            <w:r w:rsidRPr="00D35F1E">
              <w:rPr>
                <w:rFonts w:ascii="Arial" w:eastAsia="Calibri" w:hAnsi="Arial" w:cs="Arial"/>
                <w:szCs w:val="22"/>
              </w:rPr>
              <w:t>, these findings strongly support the use of guava leaves as a promising natural source for developing functional beverages.</w:t>
            </w:r>
          </w:p>
        </w:tc>
      </w:tr>
    </w:tbl>
    <w:p w14:paraId="0CEBC192" w14:textId="77777777" w:rsidR="00636EB2" w:rsidRDefault="00636EB2" w:rsidP="00564872">
      <w:pPr>
        <w:pStyle w:val="Body"/>
        <w:spacing w:after="0" w:line="480" w:lineRule="auto"/>
        <w:rPr>
          <w:rFonts w:ascii="Arial" w:hAnsi="Arial" w:cs="Arial"/>
          <w:i/>
        </w:rPr>
      </w:pPr>
    </w:p>
    <w:p w14:paraId="4B6DBD47" w14:textId="77777777" w:rsidR="0024282C" w:rsidRPr="00B62F55" w:rsidRDefault="002720B0" w:rsidP="00564872">
      <w:pPr>
        <w:spacing w:after="54" w:line="480" w:lineRule="auto"/>
        <w:jc w:val="both"/>
        <w:rPr>
          <w:sz w:val="17"/>
        </w:rPr>
      </w:pPr>
      <w:r>
        <w:rPr>
          <w:rFonts w:ascii="Arial" w:hAnsi="Arial" w:cs="Arial"/>
          <w:i/>
        </w:rPr>
        <w:t xml:space="preserve">Keywords: </w:t>
      </w:r>
      <w:r w:rsidRPr="002720B0">
        <w:rPr>
          <w:rFonts w:ascii="Arial" w:hAnsi="Arial" w:cs="Arial"/>
          <w:i/>
        </w:rPr>
        <w:t>Guava leaves, Functional beverages, Phytochemicals, Antioxidant activity, Anti-inflammatory, Sensory analysis</w:t>
      </w:r>
      <w:r w:rsidR="005C2B98">
        <w:rPr>
          <w:rFonts w:ascii="Arial" w:hAnsi="Arial" w:cs="Arial"/>
          <w:i/>
        </w:rPr>
        <w:t>.</w:t>
      </w:r>
    </w:p>
    <w:p w14:paraId="4C033252" w14:textId="77777777" w:rsidR="00505F06" w:rsidRPr="00A24E7E" w:rsidRDefault="00505F06" w:rsidP="00564872">
      <w:pPr>
        <w:pStyle w:val="Body"/>
        <w:spacing w:after="0" w:line="480" w:lineRule="auto"/>
        <w:rPr>
          <w:rFonts w:ascii="Arial" w:hAnsi="Arial" w:cs="Arial"/>
          <w:i/>
        </w:rPr>
      </w:pPr>
    </w:p>
    <w:p w14:paraId="31AE525A" w14:textId="4C7F7589" w:rsidR="007F7B32" w:rsidRDefault="00902823" w:rsidP="00564872">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9A0304" w14:textId="77777777" w:rsidR="00790ADA" w:rsidRPr="00FB3A86" w:rsidRDefault="00790ADA" w:rsidP="00564872">
      <w:pPr>
        <w:pStyle w:val="AbstHead"/>
        <w:spacing w:after="0" w:line="480" w:lineRule="auto"/>
        <w:jc w:val="both"/>
        <w:rPr>
          <w:rFonts w:ascii="Arial" w:hAnsi="Arial" w:cs="Arial"/>
        </w:rPr>
      </w:pPr>
    </w:p>
    <w:p w14:paraId="3A726C65" w14:textId="77777777" w:rsidR="001C22BD" w:rsidRPr="001C22BD" w:rsidRDefault="001C22BD" w:rsidP="00564872">
      <w:pPr>
        <w:pStyle w:val="Body"/>
        <w:spacing w:after="0" w:line="480" w:lineRule="auto"/>
        <w:rPr>
          <w:rFonts w:ascii="Arial" w:hAnsi="Arial" w:cs="Arial"/>
        </w:rPr>
      </w:pPr>
      <w:r w:rsidRPr="001C22BD">
        <w:rPr>
          <w:rFonts w:ascii="Arial" w:hAnsi="Arial" w:cs="Arial"/>
        </w:rPr>
        <w:t xml:space="preserve">Traditional medicine has long </w:t>
      </w:r>
      <w:proofErr w:type="spellStart"/>
      <w:r w:rsidRPr="001C22BD">
        <w:rPr>
          <w:rFonts w:ascii="Arial" w:hAnsi="Arial" w:cs="Arial"/>
        </w:rPr>
        <w:t>recognised</w:t>
      </w:r>
      <w:proofErr w:type="spellEnd"/>
      <w:r w:rsidRPr="001C22BD">
        <w:rPr>
          <w:rFonts w:ascii="Arial" w:hAnsi="Arial" w:cs="Arial"/>
        </w:rPr>
        <w:t xml:space="preserve"> the therapeutic potential of botanicals, with herbal teas gaining significant global interest for their purported health benefits (World Health Organization, 2023). These natural elixirs often derive their efficacy from phytochemicals, bioactive compounds within the plants (Liu, 2003). Interestingly, the leaves of common fruit trees, frequently overlooked or discarded, may harbor substantial medicinal value that warrants scientific exploration.</w:t>
      </w:r>
      <w:r>
        <w:rPr>
          <w:rFonts w:ascii="Arial" w:hAnsi="Arial" w:cs="Arial"/>
        </w:rPr>
        <w:t xml:space="preserve"> </w:t>
      </w:r>
      <w:r w:rsidRPr="001C22BD">
        <w:rPr>
          <w:rFonts w:ascii="Arial" w:hAnsi="Arial" w:cs="Arial"/>
        </w:rPr>
        <w:t>The leaves of mango (</w:t>
      </w:r>
      <w:r w:rsidRPr="00303DD1">
        <w:rPr>
          <w:rFonts w:ascii="Arial" w:hAnsi="Arial" w:cs="Arial"/>
          <w:i/>
        </w:rPr>
        <w:t>Mangifera indica</w:t>
      </w:r>
      <w:r w:rsidRPr="001C22BD">
        <w:rPr>
          <w:rFonts w:ascii="Arial" w:hAnsi="Arial" w:cs="Arial"/>
        </w:rPr>
        <w:t>), guava (</w:t>
      </w:r>
      <w:r w:rsidRPr="00303DD1">
        <w:rPr>
          <w:rFonts w:ascii="Arial" w:hAnsi="Arial" w:cs="Arial"/>
          <w:i/>
        </w:rPr>
        <w:t>Psidium guajava</w:t>
      </w:r>
      <w:r w:rsidRPr="001C22BD">
        <w:rPr>
          <w:rFonts w:ascii="Arial" w:hAnsi="Arial" w:cs="Arial"/>
        </w:rPr>
        <w:t>), and lemon (</w:t>
      </w:r>
      <w:r w:rsidRPr="00303DD1">
        <w:rPr>
          <w:rFonts w:ascii="Arial" w:hAnsi="Arial" w:cs="Arial"/>
          <w:i/>
        </w:rPr>
        <w:t>Citrus limon</w:t>
      </w:r>
      <w:r w:rsidRPr="001C22BD">
        <w:rPr>
          <w:rFonts w:ascii="Arial" w:hAnsi="Arial" w:cs="Arial"/>
        </w:rPr>
        <w:t>) have a history of traditional use in various folk medicine systems across different cultures. Mango leaves are traditionally employed for inflammation (</w:t>
      </w:r>
      <w:proofErr w:type="spellStart"/>
      <w:r w:rsidRPr="001C22BD">
        <w:rPr>
          <w:rFonts w:ascii="Arial" w:hAnsi="Arial" w:cs="Arial"/>
        </w:rPr>
        <w:t>Anggraeni</w:t>
      </w:r>
      <w:proofErr w:type="spellEnd"/>
      <w:r w:rsidRPr="001C22BD">
        <w:rPr>
          <w:rFonts w:ascii="Arial" w:hAnsi="Arial" w:cs="Arial"/>
        </w:rPr>
        <w:t xml:space="preserve"> et al., 2022). Guava leaves are widely </w:t>
      </w:r>
      <w:proofErr w:type="spellStart"/>
      <w:r w:rsidRPr="001C22BD">
        <w:rPr>
          <w:rFonts w:ascii="Arial" w:hAnsi="Arial" w:cs="Arial"/>
        </w:rPr>
        <w:t>recognised</w:t>
      </w:r>
      <w:proofErr w:type="spellEnd"/>
      <w:r w:rsidRPr="001C22BD">
        <w:rPr>
          <w:rFonts w:ascii="Arial" w:hAnsi="Arial" w:cs="Arial"/>
        </w:rPr>
        <w:t xml:space="preserve"> for their use in treating gastrointestinal issues and as an anti-inflammatory agent, with numerous studies reporting their antimicrobial and antioxidant activities (Angulo-López et al., 2021). While not as commonly used for tea as the fruit, lemon leaves are known to contain beneficial compounds such as flavonoids, coumarins, and essential oils, which contribute to their potential therapeutic properties (Mohanapriya et al., 2013).</w:t>
      </w:r>
      <w:r>
        <w:rPr>
          <w:rFonts w:ascii="Arial" w:hAnsi="Arial" w:cs="Arial"/>
        </w:rPr>
        <w:t xml:space="preserve"> </w:t>
      </w:r>
      <w:r w:rsidRPr="001C22BD">
        <w:rPr>
          <w:rFonts w:ascii="Arial" w:hAnsi="Arial" w:cs="Arial"/>
        </w:rPr>
        <w:t xml:space="preserve">Existing literature provides evidence for the individual health benefits associated with these plant leaves. Studies have identified various polyphenols and flavonoids in mango, guava, and lemon leaves, linking these compounds to significant antioxidant and anti-inflammatory activities (Pan et al., 2018; Huynh et al., 2025; </w:t>
      </w:r>
      <w:proofErr w:type="spellStart"/>
      <w:r w:rsidRPr="001C22BD">
        <w:rPr>
          <w:rFonts w:ascii="Arial" w:hAnsi="Arial" w:cs="Arial"/>
        </w:rPr>
        <w:t>Khettal</w:t>
      </w:r>
      <w:proofErr w:type="spellEnd"/>
      <w:r w:rsidRPr="001C22BD">
        <w:rPr>
          <w:rFonts w:ascii="Arial" w:hAnsi="Arial" w:cs="Arial"/>
        </w:rPr>
        <w:t xml:space="preserve"> et al., 2017). For instance, research on guava leaf extracts has demonstrated their ability to scavenge free radicals and inhibit pro-inflammatory enzymes (e.g., cyclooxygenase), supporting their traditional anti-inflammatory use (Kawakami et al., 2009). </w:t>
      </w:r>
      <w:r w:rsidRPr="001C22BD">
        <w:rPr>
          <w:rFonts w:ascii="Arial" w:hAnsi="Arial" w:cs="Arial"/>
        </w:rPr>
        <w:lastRenderedPageBreak/>
        <w:t>Similarly, mango leaf extracts have shown promising antioxidant capacities in various in vitro models (Kaur et al., 2025). However, despite individual studies on these leaves, there is a notable paucity of comparative research that simultaneously evaluates and contrasts the phytochemical profiles and the antioxidant and anti-inflammatory potentials of teas derived from mango, guava, and lemon leaves using a consistent methodology. Furthermore, a comprehensive assessment of the sensory attributes of such leaf teas, which is crucial for consumer acceptance and marketability, is often overlooked in scientific investigations.</w:t>
      </w:r>
    </w:p>
    <w:p w14:paraId="52B54485" w14:textId="77777777" w:rsidR="001C22BD" w:rsidRDefault="001C22BD" w:rsidP="00564872">
      <w:pPr>
        <w:pStyle w:val="Body"/>
        <w:spacing w:after="0" w:line="480" w:lineRule="auto"/>
        <w:rPr>
          <w:rFonts w:ascii="Arial" w:hAnsi="Arial" w:cs="Arial"/>
        </w:rPr>
      </w:pPr>
      <w:r w:rsidRPr="001C22BD">
        <w:rPr>
          <w:rFonts w:ascii="Arial" w:hAnsi="Arial" w:cs="Arial"/>
        </w:rPr>
        <w:t>This study is therefore necessary to bridge this knowledge gap by providing a direct comparative analysis of these three common leaf teas. By systematically evaluating their phytochemical composition, antioxidant capacity, and anti-inflammatory properties side-by-side, we aim to offer a more holistic understanding of their relative health benefits. Additionally, incorporating sensory evaluation will provide valuable insights into their potential as acceptable and desirable functional beverages.</w:t>
      </w:r>
      <w:r w:rsidR="0094231F">
        <w:rPr>
          <w:rFonts w:ascii="Arial" w:hAnsi="Arial" w:cs="Arial"/>
        </w:rPr>
        <w:t xml:space="preserve"> </w:t>
      </w:r>
      <w:r w:rsidRPr="001C22BD">
        <w:rPr>
          <w:rFonts w:ascii="Arial" w:hAnsi="Arial" w:cs="Arial"/>
        </w:rPr>
        <w:t>The aim of this study is to conduct a comprehensive comparative phytochemical and antioxidant evaluation of mango, guava, and lemon leaf teas. We hypothesize that the leaf extracts of these plants contain diverse phytochemicals that contribute to significant anti-inflammatory and anti-oxidative properties, with variations in potency among the three.</w:t>
      </w:r>
    </w:p>
    <w:p w14:paraId="0F127664" w14:textId="77777777" w:rsidR="00790ADA" w:rsidRPr="00FB3A86" w:rsidRDefault="00790ADA" w:rsidP="00564872">
      <w:pPr>
        <w:pStyle w:val="Body"/>
        <w:spacing w:after="0" w:line="480" w:lineRule="auto"/>
        <w:rPr>
          <w:rFonts w:ascii="Arial" w:hAnsi="Arial" w:cs="Arial"/>
        </w:rPr>
      </w:pPr>
    </w:p>
    <w:p w14:paraId="52548629" w14:textId="77777777" w:rsidR="003A358F" w:rsidRPr="00FB3A86" w:rsidRDefault="00902823" w:rsidP="00564872">
      <w:pPr>
        <w:pStyle w:val="AbstHead"/>
        <w:spacing w:after="0" w:line="480" w:lineRule="auto"/>
        <w:jc w:val="both"/>
        <w:rPr>
          <w:rFonts w:ascii="Arial" w:hAnsi="Arial" w:cs="Arial"/>
        </w:rPr>
      </w:pPr>
      <w:r>
        <w:rPr>
          <w:rFonts w:ascii="Arial" w:hAnsi="Arial" w:cs="Arial"/>
        </w:rPr>
        <w:t xml:space="preserve">2. </w:t>
      </w:r>
      <w:r w:rsidR="00000F8F">
        <w:rPr>
          <w:rFonts w:ascii="Arial" w:hAnsi="Arial" w:cs="Arial"/>
        </w:rPr>
        <w:t>experimental details</w:t>
      </w:r>
      <w:r w:rsidR="006B57D0">
        <w:rPr>
          <w:rFonts w:ascii="Arial" w:hAnsi="Arial" w:cs="Arial"/>
        </w:rPr>
        <w:t xml:space="preserve"> </w:t>
      </w:r>
    </w:p>
    <w:p w14:paraId="0FABB6B4" w14:textId="77777777" w:rsidR="003A358F" w:rsidRPr="00FD3E56" w:rsidRDefault="003A358F" w:rsidP="00564872">
      <w:pPr>
        <w:pStyle w:val="ListParagraph"/>
        <w:numPr>
          <w:ilvl w:val="0"/>
          <w:numId w:val="33"/>
        </w:numPr>
        <w:tabs>
          <w:tab w:val="left" w:pos="450"/>
        </w:tabs>
        <w:spacing w:after="160" w:line="480" w:lineRule="auto"/>
        <w:ind w:left="-90" w:firstLine="90"/>
        <w:rPr>
          <w:rFonts w:ascii="Arial" w:eastAsiaTheme="minorHAnsi" w:hAnsi="Arial" w:cs="Arial"/>
          <w:b/>
          <w:caps/>
          <w:color w:val="auto"/>
          <w:sz w:val="22"/>
        </w:rPr>
      </w:pPr>
      <w:r w:rsidRPr="00FD3E56">
        <w:rPr>
          <w:rFonts w:ascii="Arial" w:eastAsiaTheme="minorHAnsi" w:hAnsi="Arial" w:cs="Arial"/>
          <w:b/>
          <w:caps/>
          <w:color w:val="auto"/>
          <w:sz w:val="22"/>
        </w:rPr>
        <w:t>Plant Material Collection and Leaf Extract Preparation</w:t>
      </w:r>
    </w:p>
    <w:p w14:paraId="498CC8C5" w14:textId="77777777" w:rsidR="003A358F" w:rsidRPr="008A6D98" w:rsidRDefault="003A358F" w:rsidP="00564872">
      <w:pPr>
        <w:spacing w:after="54" w:line="480" w:lineRule="auto"/>
        <w:rPr>
          <w:b/>
        </w:rPr>
      </w:pPr>
    </w:p>
    <w:p w14:paraId="38FEFBF1" w14:textId="77777777" w:rsidR="003A358F" w:rsidRPr="00D270E3" w:rsidRDefault="003A358F" w:rsidP="00564872">
      <w:pPr>
        <w:spacing w:line="480" w:lineRule="auto"/>
        <w:jc w:val="both"/>
        <w:rPr>
          <w:rFonts w:ascii="Arial" w:hAnsi="Arial" w:cs="Arial"/>
          <w:color w:val="000000"/>
          <w:shd w:val="clear" w:color="auto" w:fill="FFFFFF"/>
        </w:rPr>
      </w:pPr>
      <w:r w:rsidRPr="00D270E3">
        <w:rPr>
          <w:rFonts w:ascii="Arial" w:hAnsi="Arial" w:cs="Arial"/>
          <w:color w:val="000000"/>
          <w:shd w:val="clear" w:color="auto" w:fill="FFFFFF"/>
        </w:rPr>
        <w:t>Leaves from lemon, mango, and guava plants were collected from a local garden. For each plant species, 3.5 grams of leaves were combined with 100 ml of distilled water and subjected to boiling for 15 minutes. Following this, the mixture was allowed to cool to ambient temperature before undergoing filtration. The final volume of the resulting aqueous extract was then measured (Patel et al., 2023).</w:t>
      </w:r>
    </w:p>
    <w:p w14:paraId="2914263E" w14:textId="77777777" w:rsidR="003A358F" w:rsidRDefault="003A358F" w:rsidP="00564872">
      <w:pPr>
        <w:spacing w:after="55" w:line="480" w:lineRule="auto"/>
      </w:pPr>
      <w:r>
        <w:t xml:space="preserve"> </w:t>
      </w:r>
      <w:r>
        <w:tab/>
        <w:t xml:space="preserve"> </w:t>
      </w:r>
    </w:p>
    <w:p w14:paraId="050BDC43" w14:textId="77777777" w:rsidR="003A358F" w:rsidRDefault="003A358F" w:rsidP="00564872">
      <w:pPr>
        <w:pStyle w:val="ListParagraph"/>
        <w:numPr>
          <w:ilvl w:val="0"/>
          <w:numId w:val="33"/>
        </w:numPr>
        <w:tabs>
          <w:tab w:val="left" w:pos="450"/>
        </w:tabs>
        <w:spacing w:after="160" w:line="480" w:lineRule="auto"/>
        <w:ind w:left="-90" w:firstLine="90"/>
        <w:rPr>
          <w:b/>
        </w:rPr>
      </w:pPr>
      <w:r w:rsidRPr="007A32A9">
        <w:rPr>
          <w:rFonts w:ascii="Arial" w:eastAsiaTheme="minorHAnsi" w:hAnsi="Arial" w:cs="Arial"/>
          <w:b/>
          <w:caps/>
          <w:color w:val="auto"/>
          <w:sz w:val="22"/>
        </w:rPr>
        <w:t>Phytochemical Identification</w:t>
      </w:r>
      <w:r w:rsidRPr="00D4442F">
        <w:rPr>
          <w:b/>
        </w:rPr>
        <w:tab/>
      </w:r>
    </w:p>
    <w:p w14:paraId="330DB19C" w14:textId="77777777" w:rsidR="003A358F" w:rsidRPr="00D4442F" w:rsidRDefault="003A358F" w:rsidP="00564872">
      <w:pPr>
        <w:pStyle w:val="ListParagraph"/>
        <w:spacing w:after="54" w:line="480" w:lineRule="auto"/>
        <w:ind w:left="360" w:firstLine="0"/>
        <w:jc w:val="left"/>
        <w:rPr>
          <w:b/>
        </w:rPr>
      </w:pPr>
    </w:p>
    <w:p w14:paraId="2F637B26" w14:textId="77777777" w:rsidR="003A358F" w:rsidRPr="0051203A" w:rsidRDefault="003A358F" w:rsidP="00564872">
      <w:pPr>
        <w:spacing w:line="480" w:lineRule="auto"/>
        <w:jc w:val="both"/>
        <w:rPr>
          <w:rFonts w:ascii="Arial" w:hAnsi="Arial" w:cs="Arial"/>
          <w:color w:val="000000"/>
          <w:shd w:val="clear" w:color="auto" w:fill="FFFFFF"/>
        </w:rPr>
      </w:pPr>
      <w:r w:rsidRPr="0051203A">
        <w:rPr>
          <w:rFonts w:ascii="Arial" w:hAnsi="Arial" w:cs="Arial"/>
          <w:color w:val="000000"/>
          <w:shd w:val="clear" w:color="auto" w:fill="FFFFFF"/>
        </w:rPr>
        <w:t>Phytochemicals in the prepared leaf extracts were identified using two primary methods: Thin Layer Chromatography (TLC) and a series of qualitative chemical tests.</w:t>
      </w:r>
    </w:p>
    <w:p w14:paraId="1678339A" w14:textId="77777777" w:rsidR="003A358F" w:rsidRDefault="003A358F" w:rsidP="00564872">
      <w:pPr>
        <w:spacing w:after="55" w:line="480" w:lineRule="auto"/>
      </w:pPr>
    </w:p>
    <w:p w14:paraId="1C6069C6" w14:textId="77777777" w:rsidR="003A358F" w:rsidRPr="00B6618B" w:rsidRDefault="003A358F" w:rsidP="00564872">
      <w:pPr>
        <w:pStyle w:val="ListParagraph"/>
        <w:numPr>
          <w:ilvl w:val="0"/>
          <w:numId w:val="34"/>
        </w:numPr>
        <w:spacing w:after="55" w:line="480" w:lineRule="auto"/>
        <w:ind w:left="450" w:hanging="450"/>
        <w:jc w:val="left"/>
        <w:rPr>
          <w:rFonts w:ascii="Arial" w:hAnsi="Arial" w:cs="Arial"/>
          <w:b/>
          <w:sz w:val="20"/>
          <w:szCs w:val="20"/>
        </w:rPr>
      </w:pPr>
      <w:r w:rsidRPr="00B6618B">
        <w:rPr>
          <w:rFonts w:ascii="Arial" w:hAnsi="Arial" w:cs="Arial"/>
          <w:b/>
          <w:sz w:val="20"/>
          <w:szCs w:val="20"/>
        </w:rPr>
        <w:t xml:space="preserve"> Thin Layer Chromatography (TLC)</w:t>
      </w:r>
    </w:p>
    <w:p w14:paraId="39C687B4" w14:textId="77777777" w:rsidR="003A358F" w:rsidRPr="0051203A" w:rsidRDefault="003A358F" w:rsidP="00564872">
      <w:pPr>
        <w:spacing w:line="480" w:lineRule="auto"/>
        <w:jc w:val="both"/>
        <w:rPr>
          <w:rFonts w:ascii="Arial" w:hAnsi="Arial" w:cs="Arial"/>
          <w:color w:val="000000"/>
          <w:shd w:val="clear" w:color="auto" w:fill="FFFFFF"/>
        </w:rPr>
      </w:pPr>
      <w:r w:rsidRPr="0051203A">
        <w:rPr>
          <w:rFonts w:ascii="Arial" w:hAnsi="Arial" w:cs="Arial"/>
          <w:color w:val="000000"/>
          <w:shd w:val="clear" w:color="auto" w:fill="FFFFFF"/>
        </w:rPr>
        <w:lastRenderedPageBreak/>
        <w:t>Thin Layer Chromatography was employed to separate and identify various phytochemicals within the extracts (Patel et al., 2023). Five drops of each extract were applied to silica gel G TLC plates. The mobile phase, consisting of chloroform and methanol in a 15:1 ratio, was used to resolve the compounds. After separation, the Rf values of the resolved components were calculated and compared with known Rf values for phytochemicals to facilitate their identification.</w:t>
      </w:r>
    </w:p>
    <w:p w14:paraId="1050D5C4" w14:textId="77777777" w:rsidR="003A358F" w:rsidRDefault="003A358F" w:rsidP="00564872">
      <w:pPr>
        <w:spacing w:after="55" w:line="480" w:lineRule="auto"/>
      </w:pPr>
    </w:p>
    <w:p w14:paraId="08257DB9" w14:textId="77777777" w:rsidR="003A358F" w:rsidRPr="0005756A" w:rsidRDefault="003A358F" w:rsidP="00564872">
      <w:pPr>
        <w:pStyle w:val="ListParagraph"/>
        <w:numPr>
          <w:ilvl w:val="0"/>
          <w:numId w:val="34"/>
        </w:numPr>
        <w:spacing w:after="55" w:line="480" w:lineRule="auto"/>
        <w:ind w:left="450" w:hanging="450"/>
        <w:jc w:val="left"/>
        <w:rPr>
          <w:rFonts w:ascii="Arial" w:hAnsi="Arial" w:cs="Arial"/>
          <w:b/>
          <w:sz w:val="20"/>
          <w:szCs w:val="20"/>
        </w:rPr>
      </w:pPr>
      <w:r w:rsidRPr="0005756A">
        <w:rPr>
          <w:rFonts w:ascii="Arial" w:hAnsi="Arial" w:cs="Arial"/>
          <w:b/>
          <w:sz w:val="20"/>
          <w:szCs w:val="20"/>
        </w:rPr>
        <w:t xml:space="preserve"> Qualitative Phytochemical Tests</w:t>
      </w:r>
    </w:p>
    <w:p w14:paraId="2154DA8E" w14:textId="77777777" w:rsidR="003A358F" w:rsidRPr="0051203A" w:rsidRDefault="003A358F" w:rsidP="00564872">
      <w:pPr>
        <w:spacing w:line="480" w:lineRule="auto"/>
        <w:jc w:val="both"/>
        <w:rPr>
          <w:rFonts w:ascii="Arial" w:hAnsi="Arial" w:cs="Arial"/>
          <w:color w:val="000000"/>
          <w:shd w:val="clear" w:color="auto" w:fill="FFFFFF"/>
        </w:rPr>
      </w:pPr>
      <w:r w:rsidRPr="0051203A">
        <w:rPr>
          <w:rFonts w:ascii="Arial" w:hAnsi="Arial" w:cs="Arial"/>
          <w:color w:val="000000"/>
          <w:shd w:val="clear" w:color="auto" w:fill="FFFFFF"/>
        </w:rPr>
        <w:t xml:space="preserve">Qualitative tests were performed to confirm specific phytochemicals </w:t>
      </w:r>
      <w:r w:rsidR="00A741B8">
        <w:rPr>
          <w:rFonts w:ascii="Arial" w:hAnsi="Arial" w:cs="Arial"/>
          <w:color w:val="000000"/>
          <w:shd w:val="clear" w:color="auto" w:fill="FFFFFF"/>
        </w:rPr>
        <w:t>(Patel et al., 2023)</w:t>
      </w:r>
      <w:r w:rsidRPr="0051203A">
        <w:rPr>
          <w:rFonts w:ascii="Arial" w:hAnsi="Arial" w:cs="Arial"/>
          <w:color w:val="000000"/>
          <w:shd w:val="clear" w:color="auto" w:fill="FFFFFF"/>
        </w:rPr>
        <w:t>:</w:t>
      </w:r>
    </w:p>
    <w:p w14:paraId="4F5143D7" w14:textId="77777777" w:rsidR="003A358F" w:rsidRPr="00B90E06" w:rsidRDefault="0051203A" w:rsidP="00564872">
      <w:pPr>
        <w:pStyle w:val="ListParagraph"/>
        <w:numPr>
          <w:ilvl w:val="0"/>
          <w:numId w:val="37"/>
        </w:numPr>
        <w:spacing w:line="480" w:lineRule="auto"/>
        <w:rPr>
          <w:rFonts w:ascii="Arial" w:hAnsi="Arial" w:cs="Arial"/>
          <w:shd w:val="clear" w:color="auto" w:fill="FFFFFF"/>
        </w:rPr>
      </w:pPr>
      <w:r w:rsidRPr="00B90E06">
        <w:rPr>
          <w:rFonts w:ascii="Arial" w:hAnsi="Arial" w:cs="Arial"/>
          <w:shd w:val="clear" w:color="auto" w:fill="FFFFFF"/>
        </w:rPr>
        <w:t>Flavonoids: A yellow colo</w:t>
      </w:r>
      <w:r w:rsidR="003A358F" w:rsidRPr="00B90E06">
        <w:rPr>
          <w:rFonts w:ascii="Arial" w:hAnsi="Arial" w:cs="Arial"/>
          <w:shd w:val="clear" w:color="auto" w:fill="FFFFFF"/>
        </w:rPr>
        <w:t>r after adding 10% NaOH to the extract indicated flavonoids.</w:t>
      </w:r>
    </w:p>
    <w:p w14:paraId="7BA4692A" w14:textId="77777777" w:rsidR="003A358F" w:rsidRPr="00B90E06" w:rsidRDefault="003A358F" w:rsidP="00564872">
      <w:pPr>
        <w:pStyle w:val="ListParagraph"/>
        <w:numPr>
          <w:ilvl w:val="0"/>
          <w:numId w:val="37"/>
        </w:numPr>
        <w:spacing w:line="480" w:lineRule="auto"/>
        <w:rPr>
          <w:rFonts w:ascii="Arial" w:hAnsi="Arial" w:cs="Arial"/>
          <w:shd w:val="clear" w:color="auto" w:fill="FFFFFF"/>
        </w:rPr>
      </w:pPr>
      <w:r w:rsidRPr="00B90E06">
        <w:rPr>
          <w:rFonts w:ascii="Arial" w:hAnsi="Arial" w:cs="Arial"/>
          <w:shd w:val="clear" w:color="auto" w:fill="FFFFFF"/>
        </w:rPr>
        <w:t>Polyphenols: A deep blue complex formed upon heating extracts with 5% FeCl</w:t>
      </w:r>
      <w:r w:rsidRPr="00B90E06">
        <w:rPr>
          <w:rFonts w:ascii="Arial" w:hAnsi="Arial" w:cs="Arial"/>
          <w:shd w:val="clear" w:color="auto" w:fill="FFFFFF"/>
          <w:vertAlign w:val="subscript"/>
        </w:rPr>
        <w:t>3</w:t>
      </w:r>
      <w:r w:rsidRPr="00B90E06">
        <w:rPr>
          <w:rFonts w:ascii="Arial" w:hAnsi="Arial" w:cs="Arial"/>
          <w:shd w:val="clear" w:color="auto" w:fill="FFFFFF"/>
        </w:rPr>
        <w:t xml:space="preserve"> solution signified polyphenols, due to ferric ion reduction.</w:t>
      </w:r>
    </w:p>
    <w:p w14:paraId="6D637D32" w14:textId="77777777" w:rsidR="003A358F" w:rsidRPr="00B90E06" w:rsidRDefault="003A358F" w:rsidP="00564872">
      <w:pPr>
        <w:pStyle w:val="ListParagraph"/>
        <w:numPr>
          <w:ilvl w:val="0"/>
          <w:numId w:val="37"/>
        </w:numPr>
        <w:spacing w:line="480" w:lineRule="auto"/>
        <w:rPr>
          <w:rFonts w:ascii="Arial" w:hAnsi="Arial" w:cs="Arial"/>
          <w:shd w:val="clear" w:color="auto" w:fill="FFFFFF"/>
        </w:rPr>
      </w:pPr>
      <w:r w:rsidRPr="00B90E06">
        <w:rPr>
          <w:rFonts w:ascii="Arial" w:hAnsi="Arial" w:cs="Arial"/>
          <w:shd w:val="clear" w:color="auto" w:fill="FFFFFF"/>
        </w:rPr>
        <w:t>Terpenoids/Steroids (Salkowski Test): A reddish-brown interface formed when 0.5 ml extract, 1 ml chloroform, and concentrated H</w:t>
      </w:r>
      <w:r w:rsidRPr="00B90E06">
        <w:rPr>
          <w:rFonts w:ascii="Arial" w:hAnsi="Arial" w:cs="Arial"/>
          <w:shd w:val="clear" w:color="auto" w:fill="FFFFFF"/>
          <w:vertAlign w:val="subscript"/>
        </w:rPr>
        <w:t>2</w:t>
      </w:r>
      <w:r w:rsidRPr="00B90E06">
        <w:rPr>
          <w:rFonts w:ascii="Arial" w:hAnsi="Arial" w:cs="Arial"/>
          <w:shd w:val="clear" w:color="auto" w:fill="FFFFFF"/>
        </w:rPr>
        <w:t>SO</w:t>
      </w:r>
      <w:r w:rsidRPr="00B90E06">
        <w:rPr>
          <w:rFonts w:ascii="Arial" w:hAnsi="Arial" w:cs="Arial"/>
          <w:shd w:val="clear" w:color="auto" w:fill="FFFFFF"/>
          <w:vertAlign w:val="subscript"/>
        </w:rPr>
        <w:t>4</w:t>
      </w:r>
      <w:r w:rsidRPr="00B90E06">
        <w:rPr>
          <w:rFonts w:ascii="Arial" w:hAnsi="Arial" w:cs="Arial"/>
          <w:shd w:val="clear" w:color="auto" w:fill="FFFFFF"/>
        </w:rPr>
        <w:t xml:space="preserve"> were combined indicated terpenoids, resulting from acid dehydration.</w:t>
      </w:r>
    </w:p>
    <w:p w14:paraId="1CC6DAA2" w14:textId="77777777" w:rsidR="003A358F" w:rsidRPr="00B90E06" w:rsidRDefault="003A358F" w:rsidP="00564872">
      <w:pPr>
        <w:pStyle w:val="ListParagraph"/>
        <w:numPr>
          <w:ilvl w:val="0"/>
          <w:numId w:val="37"/>
        </w:numPr>
        <w:spacing w:line="480" w:lineRule="auto"/>
        <w:rPr>
          <w:rFonts w:ascii="Arial" w:hAnsi="Arial" w:cs="Arial"/>
          <w:shd w:val="clear" w:color="auto" w:fill="FFFFFF"/>
        </w:rPr>
      </w:pPr>
      <w:r w:rsidRPr="00B90E06">
        <w:rPr>
          <w:rFonts w:ascii="Arial" w:hAnsi="Arial" w:cs="Arial"/>
          <w:shd w:val="clear" w:color="auto" w:fill="FFFFFF"/>
        </w:rPr>
        <w:t xml:space="preserve">Glycosides: A reddish-brown ring at the interface after heating the extract with glacial acetic acid, 5% </w:t>
      </w:r>
      <w:r w:rsidR="00DC0B64" w:rsidRPr="00B90E06">
        <w:rPr>
          <w:rFonts w:ascii="Arial" w:hAnsi="Arial" w:cs="Arial"/>
          <w:shd w:val="clear" w:color="auto" w:fill="FFFFFF"/>
        </w:rPr>
        <w:t>FeCl</w:t>
      </w:r>
      <w:r w:rsidR="00DC0B64" w:rsidRPr="00B90E06">
        <w:rPr>
          <w:rFonts w:ascii="Arial" w:hAnsi="Arial" w:cs="Arial"/>
          <w:shd w:val="clear" w:color="auto" w:fill="FFFFFF"/>
          <w:vertAlign w:val="subscript"/>
        </w:rPr>
        <w:t>3</w:t>
      </w:r>
      <w:r w:rsidRPr="00B90E06">
        <w:rPr>
          <w:rFonts w:ascii="Arial" w:hAnsi="Arial" w:cs="Arial"/>
          <w:shd w:val="clear" w:color="auto" w:fill="FFFFFF"/>
        </w:rPr>
        <w:t xml:space="preserve">, cooling, and adding concentrated </w:t>
      </w:r>
      <w:r w:rsidR="00DC0B64" w:rsidRPr="00B90E06">
        <w:rPr>
          <w:rFonts w:ascii="Arial" w:hAnsi="Arial" w:cs="Arial"/>
          <w:shd w:val="clear" w:color="auto" w:fill="FFFFFF"/>
        </w:rPr>
        <w:t>H</w:t>
      </w:r>
      <w:r w:rsidR="00DC0B64" w:rsidRPr="00B90E06">
        <w:rPr>
          <w:rFonts w:ascii="Arial" w:hAnsi="Arial" w:cs="Arial"/>
          <w:shd w:val="clear" w:color="auto" w:fill="FFFFFF"/>
          <w:vertAlign w:val="subscript"/>
        </w:rPr>
        <w:t>2</w:t>
      </w:r>
      <w:r w:rsidR="00DC0B64" w:rsidRPr="00B90E06">
        <w:rPr>
          <w:rFonts w:ascii="Arial" w:hAnsi="Arial" w:cs="Arial"/>
          <w:shd w:val="clear" w:color="auto" w:fill="FFFFFF"/>
        </w:rPr>
        <w:t>SO</w:t>
      </w:r>
      <w:r w:rsidR="00DC0B64" w:rsidRPr="00B90E06">
        <w:rPr>
          <w:rFonts w:ascii="Arial" w:hAnsi="Arial" w:cs="Arial"/>
          <w:shd w:val="clear" w:color="auto" w:fill="FFFFFF"/>
          <w:vertAlign w:val="subscript"/>
        </w:rPr>
        <w:t>4</w:t>
      </w:r>
      <w:r w:rsidRPr="00B90E06">
        <w:rPr>
          <w:rFonts w:ascii="Arial" w:hAnsi="Arial" w:cs="Arial"/>
          <w:shd w:val="clear" w:color="auto" w:fill="FFFFFF"/>
        </w:rPr>
        <w:t xml:space="preserve"> confirmed glycosides.</w:t>
      </w:r>
    </w:p>
    <w:p w14:paraId="13BE28E2" w14:textId="77777777" w:rsidR="003A358F" w:rsidRPr="00B90E06" w:rsidRDefault="003A358F" w:rsidP="00564872">
      <w:pPr>
        <w:pStyle w:val="ListParagraph"/>
        <w:numPr>
          <w:ilvl w:val="0"/>
          <w:numId w:val="37"/>
        </w:numPr>
        <w:spacing w:line="480" w:lineRule="auto"/>
        <w:rPr>
          <w:rFonts w:ascii="Arial" w:hAnsi="Arial" w:cs="Arial"/>
          <w:shd w:val="clear" w:color="auto" w:fill="FFFFFF"/>
        </w:rPr>
      </w:pPr>
      <w:r w:rsidRPr="00B90E06">
        <w:rPr>
          <w:rFonts w:ascii="Arial" w:hAnsi="Arial" w:cs="Arial"/>
          <w:shd w:val="clear" w:color="auto" w:fill="FFFFFF"/>
        </w:rPr>
        <w:t>Alkaloids (Wagner's Test): A brown precipitate formed when the extract was treated with Wagner's reagent indicated alkaloids.</w:t>
      </w:r>
    </w:p>
    <w:p w14:paraId="01332A24" w14:textId="77777777" w:rsidR="003A358F" w:rsidRPr="00B90E06" w:rsidRDefault="003A358F" w:rsidP="00564872">
      <w:pPr>
        <w:pStyle w:val="ListParagraph"/>
        <w:numPr>
          <w:ilvl w:val="0"/>
          <w:numId w:val="37"/>
        </w:numPr>
        <w:spacing w:line="480" w:lineRule="auto"/>
        <w:rPr>
          <w:rFonts w:ascii="Arial" w:hAnsi="Arial" w:cs="Arial"/>
          <w:shd w:val="clear" w:color="auto" w:fill="FFFFFF"/>
        </w:rPr>
      </w:pPr>
      <w:r w:rsidRPr="00B90E06">
        <w:rPr>
          <w:rFonts w:ascii="Arial" w:hAnsi="Arial" w:cs="Arial"/>
          <w:shd w:val="clear" w:color="auto" w:fill="FFFFFF"/>
        </w:rPr>
        <w:t xml:space="preserve">Saponins: Foam persisting for 30 seconds after vigorously shaking a few milliliters of extract with distilled water confirmed saponins. </w:t>
      </w:r>
    </w:p>
    <w:p w14:paraId="22E457DC" w14:textId="77777777" w:rsidR="003A358F" w:rsidRDefault="003A358F" w:rsidP="00564872">
      <w:pPr>
        <w:spacing w:after="55" w:line="480" w:lineRule="auto"/>
      </w:pPr>
    </w:p>
    <w:p w14:paraId="2D0B4FEB" w14:textId="77777777" w:rsidR="003A358F" w:rsidRPr="00886849" w:rsidRDefault="003A358F" w:rsidP="00564872">
      <w:pPr>
        <w:pStyle w:val="ListParagraph"/>
        <w:numPr>
          <w:ilvl w:val="0"/>
          <w:numId w:val="33"/>
        </w:numPr>
        <w:tabs>
          <w:tab w:val="left" w:pos="450"/>
        </w:tabs>
        <w:spacing w:after="160" w:line="480" w:lineRule="auto"/>
        <w:ind w:left="-90" w:firstLine="90"/>
        <w:rPr>
          <w:rFonts w:ascii="Arial" w:eastAsiaTheme="minorHAnsi" w:hAnsi="Arial" w:cs="Arial"/>
          <w:b/>
          <w:caps/>
          <w:color w:val="auto"/>
          <w:sz w:val="22"/>
        </w:rPr>
      </w:pPr>
      <w:r w:rsidRPr="00886849">
        <w:rPr>
          <w:rFonts w:ascii="Arial" w:eastAsiaTheme="minorHAnsi" w:hAnsi="Arial" w:cs="Arial"/>
          <w:b/>
          <w:caps/>
          <w:color w:val="auto"/>
          <w:sz w:val="22"/>
        </w:rPr>
        <w:t>Quantitative Phytochemical Estimations</w:t>
      </w:r>
    </w:p>
    <w:p w14:paraId="2605A3CE" w14:textId="77777777" w:rsidR="003A358F" w:rsidRPr="00CC3F82" w:rsidRDefault="003A358F" w:rsidP="00564872">
      <w:pPr>
        <w:pStyle w:val="ListParagraph"/>
        <w:spacing w:after="54" w:line="480" w:lineRule="auto"/>
        <w:ind w:left="360" w:firstLine="0"/>
        <w:jc w:val="left"/>
        <w:rPr>
          <w:b/>
        </w:rPr>
      </w:pPr>
    </w:p>
    <w:p w14:paraId="4169E539"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Given the positive results for polyphenols and flavonoids in the qualitative tests, and considering that previous research attributes the pharmacological activities of these leaves to their polyphenolic content (including flavonoids), quantitative estimations were performed for both compound classes.</w:t>
      </w:r>
    </w:p>
    <w:p w14:paraId="168B9390" w14:textId="77777777" w:rsidR="003A358F" w:rsidRPr="002B66E5" w:rsidRDefault="003A358F" w:rsidP="00564872">
      <w:pPr>
        <w:spacing w:after="55" w:line="480" w:lineRule="auto"/>
      </w:pPr>
    </w:p>
    <w:p w14:paraId="03A8C100" w14:textId="77777777" w:rsidR="003A358F" w:rsidRPr="003A4B6D" w:rsidRDefault="003A358F" w:rsidP="00564872">
      <w:pPr>
        <w:pStyle w:val="ListParagraph"/>
        <w:numPr>
          <w:ilvl w:val="0"/>
          <w:numId w:val="35"/>
        </w:numPr>
        <w:spacing w:after="160" w:line="480" w:lineRule="auto"/>
        <w:ind w:left="450" w:hanging="450"/>
        <w:rPr>
          <w:rFonts w:ascii="Arial" w:hAnsi="Arial" w:cs="Arial"/>
          <w:b/>
          <w:sz w:val="20"/>
          <w:szCs w:val="20"/>
        </w:rPr>
      </w:pPr>
      <w:r w:rsidRPr="003A4B6D">
        <w:rPr>
          <w:rFonts w:ascii="Arial" w:hAnsi="Arial" w:cs="Arial"/>
          <w:b/>
          <w:sz w:val="20"/>
          <w:szCs w:val="20"/>
        </w:rPr>
        <w:t xml:space="preserve"> Estimation of Total Polyphenol Content</w:t>
      </w:r>
    </w:p>
    <w:p w14:paraId="7C00CDA0"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 xml:space="preserve">Polyphenol content was quantified using a Gallic acid calibration curve (25-200 µg). This quantification method involved combining the extract with distilled water, Folin-Ciocalteu reagent, and sodium carbonate (Patel et al., 2024). The </w:t>
      </w:r>
      <w:r w:rsidRPr="00781D03">
        <w:rPr>
          <w:rFonts w:ascii="Arial" w:hAnsi="Arial" w:cs="Arial"/>
          <w:color w:val="000000"/>
          <w:shd w:val="clear" w:color="auto" w:fill="FFFFFF"/>
        </w:rPr>
        <w:lastRenderedPageBreak/>
        <w:t>resulting blue solution's absorbance was measured at 750 nm. Standards were treated identically; all tests were duplicated for the calibration curve.</w:t>
      </w:r>
    </w:p>
    <w:p w14:paraId="45DD6EE8" w14:textId="77777777" w:rsidR="003A358F" w:rsidRPr="002B66E5" w:rsidRDefault="003A358F" w:rsidP="00564872">
      <w:pPr>
        <w:spacing w:after="55" w:line="480" w:lineRule="auto"/>
      </w:pPr>
    </w:p>
    <w:p w14:paraId="5AF496D1" w14:textId="77777777" w:rsidR="003A358F" w:rsidRPr="005A1B3B" w:rsidRDefault="003A358F" w:rsidP="00564872">
      <w:pPr>
        <w:pStyle w:val="ListParagraph"/>
        <w:numPr>
          <w:ilvl w:val="0"/>
          <w:numId w:val="35"/>
        </w:numPr>
        <w:spacing w:after="160" w:line="480" w:lineRule="auto"/>
        <w:ind w:left="450" w:hanging="450"/>
        <w:rPr>
          <w:rFonts w:ascii="Arial" w:hAnsi="Arial" w:cs="Arial"/>
          <w:b/>
          <w:sz w:val="20"/>
          <w:szCs w:val="20"/>
        </w:rPr>
      </w:pPr>
      <w:r w:rsidRPr="005A1B3B">
        <w:rPr>
          <w:rFonts w:ascii="Arial" w:hAnsi="Arial" w:cs="Arial"/>
          <w:b/>
          <w:sz w:val="20"/>
          <w:szCs w:val="20"/>
        </w:rPr>
        <w:t xml:space="preserve"> Estimation of Total Flavonoid Content</w:t>
      </w:r>
    </w:p>
    <w:p w14:paraId="744AB646"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Flavonoid content was determined via a Quercetin calibration curve (100-500 µg). The assay combined the extract with potassium acetate, 10% AlCl3 solution, and distilled water (Patel et al., 2024). Samples were incubated at 37°C for 30 minutes, and absorbance was read at 415 nm.</w:t>
      </w:r>
    </w:p>
    <w:p w14:paraId="713FA046" w14:textId="77777777" w:rsidR="003A358F" w:rsidRDefault="003A358F" w:rsidP="00564872">
      <w:pPr>
        <w:spacing w:after="57" w:line="480" w:lineRule="auto"/>
      </w:pPr>
      <w:r>
        <w:t xml:space="preserve"> </w:t>
      </w:r>
    </w:p>
    <w:p w14:paraId="30F49F95" w14:textId="77777777" w:rsidR="003A358F" w:rsidRPr="00886849" w:rsidRDefault="003A358F" w:rsidP="00564872">
      <w:pPr>
        <w:pStyle w:val="ListParagraph"/>
        <w:numPr>
          <w:ilvl w:val="0"/>
          <w:numId w:val="33"/>
        </w:numPr>
        <w:tabs>
          <w:tab w:val="left" w:pos="450"/>
        </w:tabs>
        <w:spacing w:after="160" w:line="480" w:lineRule="auto"/>
        <w:ind w:left="-90" w:firstLine="90"/>
        <w:rPr>
          <w:rFonts w:ascii="Arial" w:eastAsiaTheme="minorHAnsi" w:hAnsi="Arial" w:cs="Arial"/>
          <w:b/>
          <w:caps/>
          <w:color w:val="auto"/>
          <w:sz w:val="22"/>
        </w:rPr>
      </w:pPr>
      <w:r w:rsidRPr="00886849">
        <w:rPr>
          <w:rFonts w:ascii="Arial" w:eastAsiaTheme="minorHAnsi" w:hAnsi="Arial" w:cs="Arial"/>
          <w:b/>
          <w:caps/>
          <w:color w:val="auto"/>
          <w:sz w:val="22"/>
        </w:rPr>
        <w:t>Estimation of Antioxidant Property</w:t>
      </w:r>
    </w:p>
    <w:p w14:paraId="339ADE3D" w14:textId="77777777" w:rsidR="003A358F" w:rsidRDefault="003A358F" w:rsidP="00564872">
      <w:pPr>
        <w:spacing w:after="55" w:line="480" w:lineRule="auto"/>
      </w:pPr>
    </w:p>
    <w:p w14:paraId="574C8C19"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The antioxidant capacity of the extracts was assessed using two distinct assays: the Ferric Reducing Power Assay (FRPA) and the Phosphomolybdate Assay for Total Antioxidant Capacity (TAC).</w:t>
      </w:r>
    </w:p>
    <w:p w14:paraId="2EA76EEE" w14:textId="77777777" w:rsidR="003A358F" w:rsidRPr="00781D03" w:rsidRDefault="003A358F" w:rsidP="00564872">
      <w:pPr>
        <w:spacing w:line="480" w:lineRule="auto"/>
        <w:jc w:val="both"/>
        <w:rPr>
          <w:rFonts w:ascii="Arial" w:hAnsi="Arial" w:cs="Arial"/>
          <w:color w:val="000000"/>
          <w:shd w:val="clear" w:color="auto" w:fill="FFFFFF"/>
        </w:rPr>
      </w:pPr>
    </w:p>
    <w:p w14:paraId="68575DC0" w14:textId="77777777" w:rsidR="003A358F" w:rsidRPr="009C0C4D" w:rsidRDefault="003A358F" w:rsidP="00564872">
      <w:pPr>
        <w:numPr>
          <w:ilvl w:val="0"/>
          <w:numId w:val="36"/>
        </w:numPr>
        <w:spacing w:after="160" w:line="480" w:lineRule="auto"/>
        <w:ind w:left="450" w:hanging="450"/>
        <w:jc w:val="both"/>
        <w:rPr>
          <w:rFonts w:ascii="Arial" w:hAnsi="Arial" w:cs="Arial"/>
          <w:b/>
          <w:szCs w:val="19"/>
        </w:rPr>
      </w:pPr>
      <w:r w:rsidRPr="009C0C4D">
        <w:rPr>
          <w:rFonts w:ascii="Arial" w:hAnsi="Arial" w:cs="Arial"/>
          <w:b/>
          <w:szCs w:val="19"/>
        </w:rPr>
        <w:t xml:space="preserve"> Ferric Reducing Power Assay (FRPA)</w:t>
      </w:r>
    </w:p>
    <w:p w14:paraId="7AB47EEA"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The FRPA quantifies an extract's reducing power by measuring its ability to reduce ferric ions (Fe</w:t>
      </w:r>
      <w:r w:rsidRPr="005956F5">
        <w:rPr>
          <w:rFonts w:ascii="Arial" w:hAnsi="Arial" w:cs="Arial"/>
          <w:color w:val="000000"/>
          <w:shd w:val="clear" w:color="auto" w:fill="FFFFFF"/>
          <w:vertAlign w:val="superscript"/>
        </w:rPr>
        <w:t>3+</w:t>
      </w:r>
      <w:r w:rsidRPr="00781D03">
        <w:rPr>
          <w:rFonts w:ascii="Arial" w:hAnsi="Arial" w:cs="Arial"/>
          <w:color w:val="000000"/>
          <w:shd w:val="clear" w:color="auto" w:fill="FFFFFF"/>
        </w:rPr>
        <w:t>) to ferrous ions (Fe</w:t>
      </w:r>
      <w:r w:rsidRPr="005956F5">
        <w:rPr>
          <w:rFonts w:ascii="Arial" w:hAnsi="Arial" w:cs="Arial"/>
          <w:color w:val="000000"/>
          <w:shd w:val="clear" w:color="auto" w:fill="FFFFFF"/>
          <w:vertAlign w:val="superscript"/>
        </w:rPr>
        <w:t>2+</w:t>
      </w:r>
      <w:r w:rsidR="009C0C4D">
        <w:rPr>
          <w:rFonts w:ascii="Arial" w:hAnsi="Arial" w:cs="Arial"/>
          <w:color w:val="000000"/>
          <w:shd w:val="clear" w:color="auto" w:fill="FFFFFF"/>
        </w:rPr>
        <w:t>), which produces a colo</w:t>
      </w:r>
      <w:r w:rsidRPr="00781D03">
        <w:rPr>
          <w:rFonts w:ascii="Arial" w:hAnsi="Arial" w:cs="Arial"/>
          <w:color w:val="000000"/>
          <w:shd w:val="clear" w:color="auto" w:fill="FFFFFF"/>
        </w:rPr>
        <w:t xml:space="preserve">r change detectable </w:t>
      </w:r>
      <w:proofErr w:type="spellStart"/>
      <w:r w:rsidRPr="00781D03">
        <w:rPr>
          <w:rFonts w:ascii="Arial" w:hAnsi="Arial" w:cs="Arial"/>
          <w:color w:val="000000"/>
          <w:shd w:val="clear" w:color="auto" w:fill="FFFFFF"/>
        </w:rPr>
        <w:t>colorimetrically</w:t>
      </w:r>
      <w:proofErr w:type="spellEnd"/>
      <w:r w:rsidRPr="00781D03">
        <w:rPr>
          <w:rFonts w:ascii="Arial" w:hAnsi="Arial" w:cs="Arial"/>
          <w:color w:val="000000"/>
          <w:shd w:val="clear" w:color="auto" w:fill="FFFFFF"/>
        </w:rPr>
        <w:t>. A higher percentage reduction of the ion correlates with greater reducing power. For this assay, 100 µg of ascorbic acid served as the standard. All reactions were buffered to pH 6.6 using a phosphate buffer. Test tubes were prepared by combining the extract (or the standard) with potassium ferricyanide. After incubating for 15 minutes at 37°C, the reaction was stopped by adding TCA. The resulting mixture was then centrifuged at 3000 rpm for 5 minutes. Finally, 5% ferric chloride was added to the supernatant, and its absorbance was read at 700 nm (Patel et al., 2024). Higher absorbance indicates greater reducing power.</w:t>
      </w:r>
    </w:p>
    <w:p w14:paraId="7975D3FC" w14:textId="77777777" w:rsidR="003A358F" w:rsidRPr="0077042E" w:rsidRDefault="003A358F" w:rsidP="00564872">
      <w:pPr>
        <w:spacing w:after="55" w:line="480" w:lineRule="auto"/>
      </w:pPr>
    </w:p>
    <w:p w14:paraId="385269DA" w14:textId="77777777" w:rsidR="003A358F" w:rsidRPr="00253761" w:rsidRDefault="003A358F" w:rsidP="00564872">
      <w:pPr>
        <w:numPr>
          <w:ilvl w:val="0"/>
          <w:numId w:val="36"/>
        </w:numPr>
        <w:spacing w:after="160" w:line="480" w:lineRule="auto"/>
        <w:ind w:left="450" w:hanging="450"/>
        <w:jc w:val="both"/>
        <w:rPr>
          <w:rFonts w:ascii="Arial" w:hAnsi="Arial" w:cs="Arial"/>
          <w:b/>
          <w:szCs w:val="19"/>
        </w:rPr>
      </w:pPr>
      <w:r w:rsidRPr="00253761">
        <w:rPr>
          <w:rFonts w:ascii="Arial" w:hAnsi="Arial" w:cs="Arial"/>
          <w:b/>
          <w:szCs w:val="19"/>
        </w:rPr>
        <w:t xml:space="preserve"> Total Antioxidant Capacity (TAC) by Phosphomolybdate Assay</w:t>
      </w:r>
    </w:p>
    <w:p w14:paraId="4CB39B0C"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The phosphomolybdate assay determines total antioxidant capacity based on the reduction of molybdenum (VI) ions to bluish-green molybdenum (V) ions by reducing moieties in acidic conditions. Ascorbic acid was used to generate a standard curve (25-125 µg) for TAC determination, with results expressed as Ascorbic Acid Equivalent/mg of extract. For the assay, the sample was mixed with distilled water and the phosphomolybdate reagent. The mixture was then incubated at 95°C for 15 minutes, and the absorbance was measured at 765 nm (Patel et al., 2024).</w:t>
      </w:r>
    </w:p>
    <w:p w14:paraId="215006CF" w14:textId="77777777" w:rsidR="00F473C6" w:rsidRPr="00306BC9" w:rsidRDefault="00F473C6" w:rsidP="00564872">
      <w:pPr>
        <w:spacing w:after="55" w:line="480" w:lineRule="auto"/>
      </w:pPr>
    </w:p>
    <w:p w14:paraId="1621F8CF" w14:textId="77777777" w:rsidR="003A358F" w:rsidRPr="00886849" w:rsidRDefault="003A358F" w:rsidP="00564872">
      <w:pPr>
        <w:pStyle w:val="ListParagraph"/>
        <w:numPr>
          <w:ilvl w:val="0"/>
          <w:numId w:val="33"/>
        </w:numPr>
        <w:tabs>
          <w:tab w:val="left" w:pos="450"/>
        </w:tabs>
        <w:spacing w:after="160" w:line="480" w:lineRule="auto"/>
        <w:ind w:left="-90" w:firstLine="90"/>
        <w:rPr>
          <w:rFonts w:ascii="Arial" w:eastAsiaTheme="minorHAnsi" w:hAnsi="Arial" w:cs="Arial"/>
          <w:b/>
          <w:caps/>
          <w:color w:val="auto"/>
          <w:sz w:val="22"/>
        </w:rPr>
      </w:pPr>
      <w:r w:rsidRPr="00886849">
        <w:rPr>
          <w:rFonts w:ascii="Arial" w:eastAsiaTheme="minorHAnsi" w:hAnsi="Arial" w:cs="Arial"/>
          <w:b/>
          <w:caps/>
          <w:color w:val="auto"/>
          <w:sz w:val="22"/>
        </w:rPr>
        <w:t>Investigation of Anti-Inflammatory Property: Inhibition of Heat-Induced Hemolysis</w:t>
      </w:r>
    </w:p>
    <w:p w14:paraId="3052ED39" w14:textId="77777777" w:rsidR="003A358F" w:rsidRPr="00E44CDA" w:rsidRDefault="003A358F" w:rsidP="00564872">
      <w:pPr>
        <w:pStyle w:val="ListParagraph"/>
        <w:spacing w:after="54" w:line="480" w:lineRule="auto"/>
        <w:ind w:left="360" w:firstLine="0"/>
        <w:jc w:val="left"/>
        <w:rPr>
          <w:b/>
        </w:rPr>
      </w:pPr>
    </w:p>
    <w:p w14:paraId="78637D3E" w14:textId="77777777" w:rsidR="003A358F" w:rsidRPr="00781D03"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 xml:space="preserve">The anti-inflammatory potential of the extracts was investigated by evaluating their ability to inhibit heat-induced hemolysis of red blood cell (RBC) membranes. This assay is based on the principle that heating an erythrocyte suspension at 54°C causes membrane destabilization and subsequent cell rupture. Anti-inflammatory compounds should help stabilize the cell membrane and stop hemolysis. </w:t>
      </w:r>
    </w:p>
    <w:p w14:paraId="1BC8B60D" w14:textId="77777777" w:rsidR="003A358F" w:rsidRPr="006F6376"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We used fresh human red blood cells from healthy donors for this purpose. Whole blood was centrifuged at 1500 rpm for 10 minutes and washed thrice with pH 7.4 phosphate buffer to produce RBC suspension, which was then diluted with saline to create a 10% RBC suspension. The standard anti-inflammatory drug used was aspirin (150 mg/10 ml). For the assay, the extract or drug was combined with RBC suspension, followed by the addition of phosphate-buffer saline (PBS). Samples were incubated at 37°C for 10 minutes, then subjected to 54°C for 20 minutes to induce hemolysis. Following heating, the samples were spun down in a centrifuge at 2500 rpm for three minutes. Then, the light absorption of the liquid on top was measured at 540 nm. A control tube, containing only RBC suspension and buffer, exhibited 100% hemolysis upon heating. Results were expressed as the absorbance of the extract- or drug-treated samples relative to this 100% hemolysis control (Patel et al., 2024).</w:t>
      </w:r>
    </w:p>
    <w:p w14:paraId="7DFCD461" w14:textId="77777777" w:rsidR="003A358F" w:rsidRPr="004442CA" w:rsidRDefault="003A358F" w:rsidP="00564872">
      <w:pPr>
        <w:spacing w:line="480" w:lineRule="auto"/>
        <w:jc w:val="both"/>
      </w:pPr>
      <m:oMathPara>
        <m:oMath>
          <m:r>
            <m:rPr>
              <m:sty m:val="p"/>
            </m:rPr>
            <w:rPr>
              <w:rFonts w:ascii="Cambria Math" w:hAnsi="Cambria Math" w:cs="Arial"/>
              <w:color w:val="000000"/>
              <w:shd w:val="clear" w:color="auto" w:fill="FFFFFF"/>
            </w:rPr>
            <m:t>Percentage</m:t>
          </m:r>
          <m:r>
            <m:rPr>
              <m:sty m:val="p"/>
            </m:rPr>
            <w:rPr>
              <w:rFonts w:ascii="Cambria Math" w:hAnsi="Cambria Math"/>
            </w:rPr>
            <m:t xml:space="preserve"> inhibition=</m:t>
          </m:r>
          <m:f>
            <m:fPr>
              <m:ctrlPr>
                <w:rPr>
                  <w:rFonts w:ascii="Cambria Math" w:hAnsi="Cambria Math"/>
                </w:rPr>
              </m:ctrlPr>
            </m:fPr>
            <m:num>
              <m:r>
                <m:rPr>
                  <m:sty m:val="p"/>
                </m:rPr>
                <w:rPr>
                  <w:rFonts w:ascii="Cambria Math" w:hAnsi="Cambria Math"/>
                </w:rPr>
                <m:t>Absorbance of Control - Absorbance of Sample</m:t>
              </m:r>
            </m:num>
            <m:den>
              <m:r>
                <m:rPr>
                  <m:sty m:val="p"/>
                </m:rPr>
                <w:rPr>
                  <w:rFonts w:ascii="Cambria Math" w:hAnsi="Cambria Math"/>
                </w:rPr>
                <m:t>Absorbance of Control</m:t>
              </m:r>
            </m:den>
          </m:f>
          <m:r>
            <m:rPr>
              <m:sty m:val="p"/>
            </m:rPr>
            <w:rPr>
              <w:rFonts w:ascii="Cambria Math" w:hAnsi="Cambria Math"/>
            </w:rPr>
            <m:t xml:space="preserve">  x 100</m:t>
          </m:r>
        </m:oMath>
      </m:oMathPara>
    </w:p>
    <w:p w14:paraId="676C8E43" w14:textId="77777777" w:rsidR="003A358F" w:rsidRPr="0012481B" w:rsidRDefault="003A358F" w:rsidP="00564872">
      <w:pPr>
        <w:spacing w:line="480" w:lineRule="auto"/>
      </w:pPr>
    </w:p>
    <w:p w14:paraId="4A9A9873" w14:textId="77777777" w:rsidR="003A358F" w:rsidRPr="00886849" w:rsidRDefault="003A358F" w:rsidP="00564872">
      <w:pPr>
        <w:pStyle w:val="ListParagraph"/>
        <w:numPr>
          <w:ilvl w:val="0"/>
          <w:numId w:val="33"/>
        </w:numPr>
        <w:tabs>
          <w:tab w:val="left" w:pos="450"/>
        </w:tabs>
        <w:spacing w:after="160" w:line="480" w:lineRule="auto"/>
        <w:ind w:left="-90" w:firstLine="90"/>
        <w:rPr>
          <w:rFonts w:ascii="Arial" w:eastAsiaTheme="minorHAnsi" w:hAnsi="Arial" w:cs="Arial"/>
          <w:b/>
          <w:caps/>
          <w:color w:val="auto"/>
          <w:sz w:val="22"/>
        </w:rPr>
      </w:pPr>
      <w:r w:rsidRPr="00886849">
        <w:rPr>
          <w:rFonts w:ascii="Arial" w:eastAsiaTheme="minorHAnsi" w:hAnsi="Arial" w:cs="Arial"/>
          <w:b/>
          <w:caps/>
          <w:color w:val="auto"/>
          <w:sz w:val="22"/>
        </w:rPr>
        <w:t>Sensory Analysis of Leaf Teas</w:t>
      </w:r>
    </w:p>
    <w:p w14:paraId="27D75423" w14:textId="77777777" w:rsidR="003A358F" w:rsidRPr="002D6686" w:rsidRDefault="003A358F" w:rsidP="00564872">
      <w:pPr>
        <w:pStyle w:val="ListParagraph"/>
        <w:spacing w:after="54" w:line="480" w:lineRule="auto"/>
        <w:ind w:left="360" w:firstLine="0"/>
        <w:jc w:val="left"/>
        <w:rPr>
          <w:b/>
        </w:rPr>
      </w:pPr>
    </w:p>
    <w:p w14:paraId="0AC38CD3" w14:textId="77777777" w:rsidR="00790ADA" w:rsidRDefault="003A358F" w:rsidP="00564872">
      <w:pPr>
        <w:spacing w:line="480" w:lineRule="auto"/>
        <w:jc w:val="both"/>
        <w:rPr>
          <w:rFonts w:ascii="Arial" w:hAnsi="Arial" w:cs="Arial"/>
          <w:color w:val="000000"/>
          <w:shd w:val="clear" w:color="auto" w:fill="FFFFFF"/>
        </w:rPr>
      </w:pPr>
      <w:r w:rsidRPr="00781D03">
        <w:rPr>
          <w:rFonts w:ascii="Arial" w:hAnsi="Arial" w:cs="Arial"/>
          <w:color w:val="000000"/>
          <w:shd w:val="clear" w:color="auto" w:fill="FFFFFF"/>
        </w:rPr>
        <w:t>Leaf teas were prepared by boiling fresh leaves of lemon, mango, or guava in water, followed by straining. The quality of these prepared leaf teas was evaluated based on their sensory attributes, including appearance, odor, flavor, taste, and texture. These characteristics are crucial for assessing tea quality and guiding selection (Kabilan et al., 2019).</w:t>
      </w:r>
    </w:p>
    <w:p w14:paraId="0AFE206B" w14:textId="77777777" w:rsidR="00426714" w:rsidRPr="00426714" w:rsidRDefault="00426714" w:rsidP="00564872">
      <w:pPr>
        <w:spacing w:line="480" w:lineRule="auto"/>
        <w:jc w:val="both"/>
        <w:rPr>
          <w:rFonts w:ascii="Arial" w:hAnsi="Arial" w:cs="Arial"/>
          <w:color w:val="000000"/>
          <w:shd w:val="clear" w:color="auto" w:fill="FFFFFF"/>
        </w:rPr>
      </w:pPr>
    </w:p>
    <w:p w14:paraId="522E7153" w14:textId="77777777" w:rsidR="00902823" w:rsidRDefault="00000F8F" w:rsidP="00564872">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BE6FCB" w14:textId="77777777" w:rsidR="00790ADA" w:rsidRPr="00FB3A86" w:rsidRDefault="00790ADA" w:rsidP="00564872">
      <w:pPr>
        <w:pStyle w:val="Head1"/>
        <w:spacing w:after="0" w:line="480" w:lineRule="auto"/>
        <w:jc w:val="both"/>
        <w:rPr>
          <w:rFonts w:ascii="Arial" w:hAnsi="Arial" w:cs="Arial"/>
        </w:rPr>
      </w:pPr>
    </w:p>
    <w:p w14:paraId="56D39523" w14:textId="77777777" w:rsidR="009E2FDE" w:rsidRPr="00DC7540" w:rsidRDefault="009E2FDE" w:rsidP="00564872">
      <w:pPr>
        <w:spacing w:line="480" w:lineRule="auto"/>
        <w:jc w:val="both"/>
        <w:rPr>
          <w:rFonts w:ascii="Arial" w:hAnsi="Arial" w:cs="Arial"/>
          <w:color w:val="000000"/>
          <w:shd w:val="clear" w:color="auto" w:fill="FFFFFF"/>
        </w:rPr>
      </w:pPr>
      <w:r w:rsidRPr="00DC7540">
        <w:rPr>
          <w:rFonts w:ascii="Arial" w:hAnsi="Arial" w:cs="Arial"/>
          <w:color w:val="000000"/>
          <w:shd w:val="clear" w:color="auto" w:fill="FFFFFF"/>
        </w:rPr>
        <w:t xml:space="preserve">The growing global interest in natural ingredients as sources of health-promoting compounds, particularly from traditionally overlooked plant parts like fruit tree leaves, represents a significant area of research. Previous studies have </w:t>
      </w:r>
      <w:r w:rsidRPr="00DC7540">
        <w:rPr>
          <w:rFonts w:ascii="Arial" w:hAnsi="Arial" w:cs="Arial"/>
          <w:color w:val="000000"/>
          <w:shd w:val="clear" w:color="auto" w:fill="FFFFFF"/>
        </w:rPr>
        <w:lastRenderedPageBreak/>
        <w:t>individually highlighted the therapeutic potential of mango, guava, and lemon leaves, attributing their efficacy to diverse phytochemicals (</w:t>
      </w:r>
      <w:proofErr w:type="spellStart"/>
      <w:r w:rsidRPr="00DC7540">
        <w:rPr>
          <w:rFonts w:ascii="Arial" w:hAnsi="Arial" w:cs="Arial"/>
          <w:color w:val="000000"/>
          <w:shd w:val="clear" w:color="auto" w:fill="FFFFFF"/>
        </w:rPr>
        <w:t>Anggraeni</w:t>
      </w:r>
      <w:proofErr w:type="spellEnd"/>
      <w:r w:rsidRPr="00DC7540">
        <w:rPr>
          <w:rFonts w:ascii="Arial" w:hAnsi="Arial" w:cs="Arial"/>
          <w:color w:val="000000"/>
          <w:shd w:val="clear" w:color="auto" w:fill="FFFFFF"/>
        </w:rPr>
        <w:t xml:space="preserve"> et al., 2022; Angulo-López et al., 2021; Mohanapriya et al., 2013). However, a notable gap existed in the literature regarding a direct, systematic comparative analysis of their phytochemical profiles, antioxidant, and anti-inflammatory potentials using a consistent methodology, coupled with a comprehensive assessment of their sensory attributes as teas. Our study was specifically designed to bridge this gap, offering a holistic understanding of their relative health benefits and consumer acceptance.</w:t>
      </w:r>
    </w:p>
    <w:p w14:paraId="0E0D4A1E" w14:textId="77777777" w:rsidR="009E2FDE" w:rsidRDefault="009E2FDE" w:rsidP="00564872">
      <w:pPr>
        <w:spacing w:after="57" w:line="480" w:lineRule="auto"/>
      </w:pPr>
      <w:r>
        <w:t xml:space="preserve"> </w:t>
      </w:r>
    </w:p>
    <w:p w14:paraId="2EE111AE" w14:textId="77777777" w:rsidR="009E2FDE" w:rsidRPr="000441BD" w:rsidRDefault="009E2FDE" w:rsidP="00564872">
      <w:pPr>
        <w:pStyle w:val="ListParagraph"/>
        <w:numPr>
          <w:ilvl w:val="0"/>
          <w:numId w:val="38"/>
        </w:numPr>
        <w:spacing w:after="160" w:line="480" w:lineRule="auto"/>
        <w:ind w:left="360"/>
        <w:rPr>
          <w:rFonts w:ascii="Arial" w:hAnsi="Arial" w:cs="Arial"/>
          <w:b/>
          <w:sz w:val="22"/>
        </w:rPr>
      </w:pPr>
      <w:r w:rsidRPr="000441BD">
        <w:rPr>
          <w:rFonts w:ascii="Arial" w:hAnsi="Arial" w:cs="Arial"/>
          <w:b/>
          <w:sz w:val="22"/>
        </w:rPr>
        <w:t>Leaf extract analysis</w:t>
      </w:r>
    </w:p>
    <w:p w14:paraId="0B6FFD35" w14:textId="77777777" w:rsidR="009E2FDE" w:rsidRPr="000303A4" w:rsidRDefault="009E2FDE" w:rsidP="00564872">
      <w:pPr>
        <w:spacing w:line="480" w:lineRule="auto"/>
        <w:jc w:val="both"/>
        <w:rPr>
          <w:rFonts w:ascii="Arial" w:hAnsi="Arial" w:cs="Arial"/>
          <w:color w:val="000000"/>
          <w:shd w:val="clear" w:color="auto" w:fill="FFFFFF"/>
        </w:rPr>
      </w:pPr>
      <w:r w:rsidRPr="009C2F7E">
        <w:rPr>
          <w:rFonts w:ascii="Arial" w:hAnsi="Arial" w:cs="Arial"/>
          <w:color w:val="000000"/>
          <w:shd w:val="clear" w:color="auto" w:fill="FFFFFF"/>
        </w:rPr>
        <w:t>The study focused on extracting compounds from lemon, mango, and guava leaves, characterizing the resulting a</w:t>
      </w:r>
      <w:r w:rsidR="009C2F7E">
        <w:rPr>
          <w:rFonts w:ascii="Arial" w:hAnsi="Arial" w:cs="Arial"/>
          <w:color w:val="000000"/>
          <w:shd w:val="clear" w:color="auto" w:fill="FFFFFF"/>
        </w:rPr>
        <w:t>queous extracts by volume, colo</w:t>
      </w:r>
      <w:r w:rsidRPr="009C2F7E">
        <w:rPr>
          <w:rFonts w:ascii="Arial" w:hAnsi="Arial" w:cs="Arial"/>
          <w:color w:val="000000"/>
          <w:shd w:val="clear" w:color="auto" w:fill="FFFFFF"/>
        </w:rPr>
        <w:t xml:space="preserve">r, fragrance, and percentage yield. </w:t>
      </w:r>
      <w:r w:rsidRPr="009C2F7E">
        <w:rPr>
          <w:rFonts w:ascii="Arial" w:hAnsi="Arial" w:cs="Arial"/>
          <w:color w:val="000000"/>
          <w:shd w:val="clear" w:color="auto" w:fill="FFFFFF"/>
        </w:rPr>
        <w:fldChar w:fldCharType="begin"/>
      </w:r>
      <w:r w:rsidRPr="009C2F7E">
        <w:rPr>
          <w:rFonts w:ascii="Arial" w:hAnsi="Arial" w:cs="Arial"/>
          <w:color w:val="000000"/>
          <w:shd w:val="clear" w:color="auto" w:fill="FFFFFF"/>
        </w:rPr>
        <w:instrText xml:space="preserve"> REF _Ref205298039 \h  \* MERGEFORMAT </w:instrText>
      </w:r>
      <w:r w:rsidRPr="009C2F7E">
        <w:rPr>
          <w:rFonts w:ascii="Arial" w:hAnsi="Arial" w:cs="Arial"/>
          <w:color w:val="000000"/>
          <w:shd w:val="clear" w:color="auto" w:fill="FFFFFF"/>
        </w:rPr>
      </w:r>
      <w:r w:rsidRPr="009C2F7E">
        <w:rPr>
          <w:rFonts w:ascii="Arial" w:hAnsi="Arial" w:cs="Arial"/>
          <w:color w:val="000000"/>
          <w:shd w:val="clear" w:color="auto" w:fill="FFFFFF"/>
        </w:rPr>
        <w:fldChar w:fldCharType="separate"/>
      </w:r>
      <w:r w:rsidRPr="009C2F7E">
        <w:rPr>
          <w:rFonts w:ascii="Arial" w:hAnsi="Arial" w:cs="Arial"/>
          <w:color w:val="000000"/>
          <w:shd w:val="clear" w:color="auto" w:fill="FFFFFF"/>
        </w:rPr>
        <w:t>Table 1</w:t>
      </w:r>
      <w:r w:rsidRPr="009C2F7E">
        <w:rPr>
          <w:rFonts w:ascii="Arial" w:hAnsi="Arial" w:cs="Arial"/>
          <w:color w:val="000000"/>
          <w:shd w:val="clear" w:color="auto" w:fill="FFFFFF"/>
        </w:rPr>
        <w:fldChar w:fldCharType="end"/>
      </w:r>
      <w:r w:rsidRPr="009C2F7E">
        <w:rPr>
          <w:rFonts w:ascii="Arial" w:hAnsi="Arial" w:cs="Arial"/>
          <w:color w:val="000000"/>
          <w:shd w:val="clear" w:color="auto" w:fill="FFFFFF"/>
        </w:rPr>
        <w:t xml:space="preserve"> summarizes the physical characteristics and yield of the prepared leaf extracts from lemon, mango, and guava. Lemon and mango extracts consistently yielded 60 ml (60% efficiency), presenting as light, clear yellow and turbid yellow, respectively, with distinct citrus/refreshing and tangy fragrances. In contrast, the guava extract had a lower yield of 50 ml (50% efficiency), appeared turbid brown, and possessed a smooth and pleasant fragrance.</w:t>
      </w:r>
    </w:p>
    <w:p w14:paraId="6251882F" w14:textId="77777777" w:rsidR="009E2FDE" w:rsidRDefault="009E2FDE" w:rsidP="00564872">
      <w:pPr>
        <w:spacing w:line="480" w:lineRule="auto"/>
        <w:ind w:left="360"/>
        <w:jc w:val="center"/>
        <w:rPr>
          <w:rFonts w:ascii="Arial" w:hAnsi="Arial" w:cs="Arial"/>
          <w:b/>
        </w:rPr>
      </w:pPr>
      <w:bookmarkStart w:id="0" w:name="_Ref205298039"/>
      <w:r w:rsidRPr="00D817BF">
        <w:rPr>
          <w:rFonts w:ascii="Arial" w:hAnsi="Arial" w:cs="Arial"/>
          <w:b/>
        </w:rPr>
        <w:t xml:space="preserve">Table </w:t>
      </w:r>
      <w:r w:rsidRPr="00D817BF">
        <w:rPr>
          <w:rFonts w:ascii="Arial" w:hAnsi="Arial" w:cs="Arial"/>
          <w:b/>
        </w:rPr>
        <w:fldChar w:fldCharType="begin"/>
      </w:r>
      <w:r w:rsidRPr="00D817BF">
        <w:rPr>
          <w:rFonts w:ascii="Arial" w:hAnsi="Arial" w:cs="Arial"/>
          <w:b/>
        </w:rPr>
        <w:instrText xml:space="preserve"> SEQ Table \* ARABIC </w:instrText>
      </w:r>
      <w:r w:rsidRPr="00D817BF">
        <w:rPr>
          <w:rFonts w:ascii="Arial" w:hAnsi="Arial" w:cs="Arial"/>
          <w:b/>
        </w:rPr>
        <w:fldChar w:fldCharType="separate"/>
      </w:r>
      <w:r w:rsidRPr="00D817BF">
        <w:rPr>
          <w:rFonts w:ascii="Arial" w:hAnsi="Arial" w:cs="Arial"/>
          <w:b/>
        </w:rPr>
        <w:t>1</w:t>
      </w:r>
      <w:r w:rsidRPr="00D817BF">
        <w:rPr>
          <w:rFonts w:ascii="Arial" w:hAnsi="Arial" w:cs="Arial"/>
          <w:b/>
        </w:rPr>
        <w:fldChar w:fldCharType="end"/>
      </w:r>
      <w:bookmarkEnd w:id="0"/>
      <w:r w:rsidRPr="00D817BF">
        <w:rPr>
          <w:rFonts w:ascii="Arial" w:hAnsi="Arial" w:cs="Arial"/>
          <w:b/>
        </w:rPr>
        <w:t>. Physical Characteristics and Percentage Yield of Lemon, Mango, and Guava Leaf Extracts.</w:t>
      </w:r>
    </w:p>
    <w:p w14:paraId="6CE25A2C" w14:textId="77777777" w:rsidR="00BC17E1" w:rsidRPr="00D817BF" w:rsidRDefault="00BC17E1" w:rsidP="00564872">
      <w:pPr>
        <w:spacing w:line="480" w:lineRule="auto"/>
        <w:ind w:left="360"/>
        <w:jc w:val="center"/>
        <w:rPr>
          <w:rFonts w:ascii="Arial" w:hAnsi="Arial" w:cs="Arial"/>
          <w:b/>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20"/>
        <w:gridCol w:w="1701"/>
        <w:gridCol w:w="1247"/>
        <w:gridCol w:w="2943"/>
        <w:gridCol w:w="2906"/>
        <w:gridCol w:w="1199"/>
      </w:tblGrid>
      <w:tr w:rsidR="009E2FDE" w:rsidRPr="00CE4AFB" w14:paraId="3B7984E6" w14:textId="77777777" w:rsidTr="00CE4AFB">
        <w:trPr>
          <w:trHeight w:val="287"/>
          <w:jc w:val="center"/>
        </w:trPr>
        <w:tc>
          <w:tcPr>
            <w:tcW w:w="463" w:type="pct"/>
            <w:hideMark/>
          </w:tcPr>
          <w:p w14:paraId="42AA47CA" w14:textId="77777777" w:rsidR="009E2FDE" w:rsidRPr="006E3DE9" w:rsidRDefault="009E2FDE" w:rsidP="00564872">
            <w:pPr>
              <w:spacing w:line="480" w:lineRule="auto"/>
              <w:jc w:val="center"/>
              <w:rPr>
                <w:rFonts w:ascii="Arial" w:hAnsi="Arial" w:cs="Arial"/>
              </w:rPr>
            </w:pPr>
            <w:r w:rsidRPr="006E3DE9">
              <w:rPr>
                <w:rFonts w:ascii="Arial" w:hAnsi="Arial" w:cs="Arial"/>
              </w:rPr>
              <w:t>S. No.</w:t>
            </w:r>
          </w:p>
        </w:tc>
        <w:tc>
          <w:tcPr>
            <w:tcW w:w="772" w:type="pct"/>
            <w:hideMark/>
          </w:tcPr>
          <w:p w14:paraId="1990E953" w14:textId="77777777" w:rsidR="009E2FDE" w:rsidRPr="006E3DE9" w:rsidRDefault="009E2FDE" w:rsidP="00564872">
            <w:pPr>
              <w:spacing w:line="480" w:lineRule="auto"/>
              <w:jc w:val="center"/>
              <w:rPr>
                <w:rFonts w:ascii="Arial" w:hAnsi="Arial" w:cs="Arial"/>
              </w:rPr>
            </w:pPr>
            <w:r w:rsidRPr="006E3DE9">
              <w:rPr>
                <w:rFonts w:ascii="Arial" w:hAnsi="Arial" w:cs="Arial"/>
              </w:rPr>
              <w:t>Leaf Extract</w:t>
            </w:r>
          </w:p>
        </w:tc>
        <w:tc>
          <w:tcPr>
            <w:tcW w:w="566" w:type="pct"/>
            <w:hideMark/>
          </w:tcPr>
          <w:p w14:paraId="6753DFEE" w14:textId="77777777" w:rsidR="009E2FDE" w:rsidRPr="006E3DE9" w:rsidRDefault="009E2FDE" w:rsidP="00564872">
            <w:pPr>
              <w:spacing w:line="480" w:lineRule="auto"/>
              <w:jc w:val="center"/>
              <w:rPr>
                <w:rFonts w:ascii="Arial" w:hAnsi="Arial" w:cs="Arial"/>
              </w:rPr>
            </w:pPr>
            <w:r w:rsidRPr="006E3DE9">
              <w:rPr>
                <w:rFonts w:ascii="Arial" w:hAnsi="Arial" w:cs="Arial"/>
              </w:rPr>
              <w:t>Volume</w:t>
            </w:r>
          </w:p>
        </w:tc>
        <w:tc>
          <w:tcPr>
            <w:tcW w:w="1336" w:type="pct"/>
            <w:hideMark/>
          </w:tcPr>
          <w:p w14:paraId="17C291F1" w14:textId="77777777" w:rsidR="009E2FDE" w:rsidRPr="006E3DE9" w:rsidRDefault="009E2FDE" w:rsidP="00564872">
            <w:pPr>
              <w:spacing w:line="480" w:lineRule="auto"/>
              <w:jc w:val="center"/>
              <w:rPr>
                <w:rFonts w:ascii="Arial" w:hAnsi="Arial" w:cs="Arial"/>
              </w:rPr>
            </w:pPr>
            <w:r w:rsidRPr="006E3DE9">
              <w:rPr>
                <w:rFonts w:ascii="Arial" w:hAnsi="Arial" w:cs="Arial"/>
              </w:rPr>
              <w:t>Color</w:t>
            </w:r>
          </w:p>
        </w:tc>
        <w:tc>
          <w:tcPr>
            <w:tcW w:w="1319" w:type="pct"/>
            <w:hideMark/>
          </w:tcPr>
          <w:p w14:paraId="1E659448" w14:textId="77777777" w:rsidR="009E2FDE" w:rsidRPr="006E3DE9" w:rsidRDefault="009E2FDE" w:rsidP="00564872">
            <w:pPr>
              <w:spacing w:line="480" w:lineRule="auto"/>
              <w:jc w:val="center"/>
              <w:rPr>
                <w:rFonts w:ascii="Arial" w:hAnsi="Arial" w:cs="Arial"/>
              </w:rPr>
            </w:pPr>
            <w:r w:rsidRPr="006E3DE9">
              <w:rPr>
                <w:rFonts w:ascii="Arial" w:hAnsi="Arial" w:cs="Arial"/>
              </w:rPr>
              <w:t>Fragrance</w:t>
            </w:r>
          </w:p>
        </w:tc>
        <w:tc>
          <w:tcPr>
            <w:tcW w:w="546" w:type="pct"/>
            <w:hideMark/>
          </w:tcPr>
          <w:p w14:paraId="39F65DCE" w14:textId="77777777" w:rsidR="009E2FDE" w:rsidRPr="006E3DE9" w:rsidRDefault="009E2FDE" w:rsidP="00564872">
            <w:pPr>
              <w:spacing w:line="480" w:lineRule="auto"/>
              <w:jc w:val="center"/>
              <w:rPr>
                <w:rFonts w:ascii="Arial" w:hAnsi="Arial" w:cs="Arial"/>
              </w:rPr>
            </w:pPr>
            <w:r w:rsidRPr="006E3DE9">
              <w:rPr>
                <w:rFonts w:ascii="Arial" w:hAnsi="Arial" w:cs="Arial"/>
              </w:rPr>
              <w:t>% Yield</w:t>
            </w:r>
          </w:p>
        </w:tc>
      </w:tr>
      <w:tr w:rsidR="009E2FDE" w:rsidRPr="00CE4AFB" w14:paraId="3D9DF2F1" w14:textId="77777777" w:rsidTr="00CE4AFB">
        <w:trPr>
          <w:jc w:val="center"/>
        </w:trPr>
        <w:tc>
          <w:tcPr>
            <w:tcW w:w="463" w:type="pct"/>
            <w:hideMark/>
          </w:tcPr>
          <w:p w14:paraId="3FEC35F5" w14:textId="77777777" w:rsidR="009E2FDE" w:rsidRPr="00CE4AFB" w:rsidRDefault="009E2FDE" w:rsidP="00564872">
            <w:pPr>
              <w:spacing w:line="480" w:lineRule="auto"/>
              <w:jc w:val="center"/>
              <w:rPr>
                <w:rFonts w:ascii="Arial" w:hAnsi="Arial" w:cs="Arial"/>
              </w:rPr>
            </w:pPr>
            <w:r w:rsidRPr="00CE4AFB">
              <w:rPr>
                <w:rFonts w:ascii="Arial" w:hAnsi="Arial" w:cs="Arial"/>
              </w:rPr>
              <w:t>1.</w:t>
            </w:r>
          </w:p>
        </w:tc>
        <w:tc>
          <w:tcPr>
            <w:tcW w:w="772" w:type="pct"/>
            <w:hideMark/>
          </w:tcPr>
          <w:p w14:paraId="63DEE001" w14:textId="77777777" w:rsidR="009E2FDE" w:rsidRPr="00CE4AFB" w:rsidRDefault="009E2FDE" w:rsidP="00564872">
            <w:pPr>
              <w:spacing w:line="480" w:lineRule="auto"/>
              <w:jc w:val="center"/>
              <w:rPr>
                <w:rFonts w:ascii="Arial" w:hAnsi="Arial" w:cs="Arial"/>
              </w:rPr>
            </w:pPr>
            <w:r w:rsidRPr="00CE4AFB">
              <w:rPr>
                <w:rFonts w:ascii="Arial" w:hAnsi="Arial" w:cs="Arial"/>
              </w:rPr>
              <w:t>Lemon</w:t>
            </w:r>
          </w:p>
        </w:tc>
        <w:tc>
          <w:tcPr>
            <w:tcW w:w="566" w:type="pct"/>
            <w:hideMark/>
          </w:tcPr>
          <w:p w14:paraId="784464B2" w14:textId="77777777" w:rsidR="009E2FDE" w:rsidRPr="00CE4AFB" w:rsidRDefault="009E2FDE" w:rsidP="00564872">
            <w:pPr>
              <w:spacing w:line="480" w:lineRule="auto"/>
              <w:jc w:val="center"/>
              <w:rPr>
                <w:rFonts w:ascii="Arial" w:hAnsi="Arial" w:cs="Arial"/>
              </w:rPr>
            </w:pPr>
            <w:r w:rsidRPr="00CE4AFB">
              <w:rPr>
                <w:rFonts w:ascii="Arial" w:hAnsi="Arial" w:cs="Arial"/>
              </w:rPr>
              <w:t>60 ml</w:t>
            </w:r>
          </w:p>
        </w:tc>
        <w:tc>
          <w:tcPr>
            <w:tcW w:w="1336" w:type="pct"/>
            <w:hideMark/>
          </w:tcPr>
          <w:p w14:paraId="72D7F4CD" w14:textId="77777777" w:rsidR="009E2FDE" w:rsidRPr="00CE4AFB" w:rsidRDefault="009E2FDE" w:rsidP="00564872">
            <w:pPr>
              <w:spacing w:line="480" w:lineRule="auto"/>
              <w:jc w:val="center"/>
              <w:rPr>
                <w:rFonts w:ascii="Arial" w:hAnsi="Arial" w:cs="Arial"/>
              </w:rPr>
            </w:pPr>
            <w:r w:rsidRPr="00CE4AFB">
              <w:rPr>
                <w:rFonts w:ascii="Arial" w:hAnsi="Arial" w:cs="Arial"/>
              </w:rPr>
              <w:t>Light and clear yellow</w:t>
            </w:r>
          </w:p>
        </w:tc>
        <w:tc>
          <w:tcPr>
            <w:tcW w:w="1319" w:type="pct"/>
            <w:hideMark/>
          </w:tcPr>
          <w:p w14:paraId="61D74B4A" w14:textId="77777777" w:rsidR="009E2FDE" w:rsidRPr="00CE4AFB" w:rsidRDefault="009E2FDE" w:rsidP="00564872">
            <w:pPr>
              <w:spacing w:line="480" w:lineRule="auto"/>
              <w:jc w:val="center"/>
              <w:rPr>
                <w:rFonts w:ascii="Arial" w:hAnsi="Arial" w:cs="Arial"/>
              </w:rPr>
            </w:pPr>
            <w:r w:rsidRPr="00CE4AFB">
              <w:rPr>
                <w:rFonts w:ascii="Arial" w:hAnsi="Arial" w:cs="Arial"/>
              </w:rPr>
              <w:t>Citrus and Refreshing</w:t>
            </w:r>
          </w:p>
        </w:tc>
        <w:tc>
          <w:tcPr>
            <w:tcW w:w="546" w:type="pct"/>
            <w:hideMark/>
          </w:tcPr>
          <w:p w14:paraId="1B70489A" w14:textId="77777777" w:rsidR="009E2FDE" w:rsidRPr="00CE4AFB" w:rsidRDefault="009E2FDE" w:rsidP="00564872">
            <w:pPr>
              <w:spacing w:line="480" w:lineRule="auto"/>
              <w:jc w:val="center"/>
              <w:rPr>
                <w:rFonts w:ascii="Arial" w:hAnsi="Arial" w:cs="Arial"/>
              </w:rPr>
            </w:pPr>
            <w:r w:rsidRPr="00CE4AFB">
              <w:rPr>
                <w:rFonts w:ascii="Arial" w:hAnsi="Arial" w:cs="Arial"/>
              </w:rPr>
              <w:t>60%</w:t>
            </w:r>
          </w:p>
        </w:tc>
      </w:tr>
      <w:tr w:rsidR="009E2FDE" w:rsidRPr="00CE4AFB" w14:paraId="4B37984D" w14:textId="77777777" w:rsidTr="00CE4AFB">
        <w:trPr>
          <w:jc w:val="center"/>
        </w:trPr>
        <w:tc>
          <w:tcPr>
            <w:tcW w:w="463" w:type="pct"/>
            <w:hideMark/>
          </w:tcPr>
          <w:p w14:paraId="6F7DEDD3" w14:textId="77777777" w:rsidR="009E2FDE" w:rsidRPr="00CE4AFB" w:rsidRDefault="009E2FDE" w:rsidP="00564872">
            <w:pPr>
              <w:spacing w:line="480" w:lineRule="auto"/>
              <w:jc w:val="center"/>
              <w:rPr>
                <w:rFonts w:ascii="Arial" w:hAnsi="Arial" w:cs="Arial"/>
              </w:rPr>
            </w:pPr>
            <w:r w:rsidRPr="00CE4AFB">
              <w:rPr>
                <w:rFonts w:ascii="Arial" w:hAnsi="Arial" w:cs="Arial"/>
              </w:rPr>
              <w:t>2.</w:t>
            </w:r>
          </w:p>
        </w:tc>
        <w:tc>
          <w:tcPr>
            <w:tcW w:w="772" w:type="pct"/>
            <w:hideMark/>
          </w:tcPr>
          <w:p w14:paraId="4D19B588" w14:textId="77777777" w:rsidR="009E2FDE" w:rsidRPr="00CE4AFB" w:rsidRDefault="009E2FDE" w:rsidP="00564872">
            <w:pPr>
              <w:spacing w:line="480" w:lineRule="auto"/>
              <w:jc w:val="center"/>
              <w:rPr>
                <w:rFonts w:ascii="Arial" w:hAnsi="Arial" w:cs="Arial"/>
              </w:rPr>
            </w:pPr>
            <w:r w:rsidRPr="00CE4AFB">
              <w:rPr>
                <w:rFonts w:ascii="Arial" w:hAnsi="Arial" w:cs="Arial"/>
              </w:rPr>
              <w:t>Mango</w:t>
            </w:r>
          </w:p>
        </w:tc>
        <w:tc>
          <w:tcPr>
            <w:tcW w:w="566" w:type="pct"/>
            <w:hideMark/>
          </w:tcPr>
          <w:p w14:paraId="6E56023D" w14:textId="77777777" w:rsidR="009E2FDE" w:rsidRPr="00CE4AFB" w:rsidRDefault="009E2FDE" w:rsidP="00564872">
            <w:pPr>
              <w:spacing w:line="480" w:lineRule="auto"/>
              <w:jc w:val="center"/>
              <w:rPr>
                <w:rFonts w:ascii="Arial" w:hAnsi="Arial" w:cs="Arial"/>
              </w:rPr>
            </w:pPr>
            <w:r w:rsidRPr="00CE4AFB">
              <w:rPr>
                <w:rFonts w:ascii="Arial" w:hAnsi="Arial" w:cs="Arial"/>
              </w:rPr>
              <w:t>60 ml</w:t>
            </w:r>
          </w:p>
        </w:tc>
        <w:tc>
          <w:tcPr>
            <w:tcW w:w="1336" w:type="pct"/>
            <w:hideMark/>
          </w:tcPr>
          <w:p w14:paraId="74A0C436" w14:textId="77777777" w:rsidR="009E2FDE" w:rsidRPr="00CE4AFB" w:rsidRDefault="009E2FDE" w:rsidP="00564872">
            <w:pPr>
              <w:spacing w:line="480" w:lineRule="auto"/>
              <w:jc w:val="center"/>
              <w:rPr>
                <w:rFonts w:ascii="Arial" w:hAnsi="Arial" w:cs="Arial"/>
              </w:rPr>
            </w:pPr>
            <w:r w:rsidRPr="00CE4AFB">
              <w:rPr>
                <w:rFonts w:ascii="Arial" w:hAnsi="Arial" w:cs="Arial"/>
              </w:rPr>
              <w:t>Turbid yellow</w:t>
            </w:r>
          </w:p>
        </w:tc>
        <w:tc>
          <w:tcPr>
            <w:tcW w:w="1319" w:type="pct"/>
            <w:hideMark/>
          </w:tcPr>
          <w:p w14:paraId="569434BE" w14:textId="77777777" w:rsidR="009E2FDE" w:rsidRPr="00CE4AFB" w:rsidRDefault="009E2FDE" w:rsidP="00564872">
            <w:pPr>
              <w:spacing w:line="480" w:lineRule="auto"/>
              <w:jc w:val="center"/>
              <w:rPr>
                <w:rFonts w:ascii="Arial" w:hAnsi="Arial" w:cs="Arial"/>
              </w:rPr>
            </w:pPr>
            <w:r w:rsidRPr="00CE4AFB">
              <w:rPr>
                <w:rFonts w:ascii="Arial" w:hAnsi="Arial" w:cs="Arial"/>
              </w:rPr>
              <w:t>Tangy</w:t>
            </w:r>
          </w:p>
        </w:tc>
        <w:tc>
          <w:tcPr>
            <w:tcW w:w="546" w:type="pct"/>
            <w:hideMark/>
          </w:tcPr>
          <w:p w14:paraId="0EB830DF" w14:textId="77777777" w:rsidR="009E2FDE" w:rsidRPr="00CE4AFB" w:rsidRDefault="009E2FDE" w:rsidP="00564872">
            <w:pPr>
              <w:spacing w:line="480" w:lineRule="auto"/>
              <w:jc w:val="center"/>
              <w:rPr>
                <w:rFonts w:ascii="Arial" w:hAnsi="Arial" w:cs="Arial"/>
              </w:rPr>
            </w:pPr>
            <w:r w:rsidRPr="00CE4AFB">
              <w:rPr>
                <w:rFonts w:ascii="Arial" w:hAnsi="Arial" w:cs="Arial"/>
              </w:rPr>
              <w:t>60%</w:t>
            </w:r>
          </w:p>
        </w:tc>
      </w:tr>
      <w:tr w:rsidR="009E2FDE" w:rsidRPr="00CE4AFB" w14:paraId="56FCED96" w14:textId="77777777" w:rsidTr="00CE4AFB">
        <w:trPr>
          <w:jc w:val="center"/>
        </w:trPr>
        <w:tc>
          <w:tcPr>
            <w:tcW w:w="463" w:type="pct"/>
            <w:hideMark/>
          </w:tcPr>
          <w:p w14:paraId="2EDAB224" w14:textId="77777777" w:rsidR="009E2FDE" w:rsidRPr="00CE4AFB" w:rsidRDefault="009E2FDE" w:rsidP="00564872">
            <w:pPr>
              <w:spacing w:line="480" w:lineRule="auto"/>
              <w:jc w:val="center"/>
              <w:rPr>
                <w:rFonts w:ascii="Arial" w:hAnsi="Arial" w:cs="Arial"/>
              </w:rPr>
            </w:pPr>
            <w:r w:rsidRPr="00CE4AFB">
              <w:rPr>
                <w:rFonts w:ascii="Arial" w:hAnsi="Arial" w:cs="Arial"/>
              </w:rPr>
              <w:t>3.</w:t>
            </w:r>
          </w:p>
        </w:tc>
        <w:tc>
          <w:tcPr>
            <w:tcW w:w="772" w:type="pct"/>
            <w:hideMark/>
          </w:tcPr>
          <w:p w14:paraId="16F0E5B3" w14:textId="77777777" w:rsidR="009E2FDE" w:rsidRPr="00CE4AFB" w:rsidRDefault="009E2FDE" w:rsidP="00564872">
            <w:pPr>
              <w:spacing w:line="480" w:lineRule="auto"/>
              <w:jc w:val="center"/>
              <w:rPr>
                <w:rFonts w:ascii="Arial" w:hAnsi="Arial" w:cs="Arial"/>
              </w:rPr>
            </w:pPr>
            <w:r w:rsidRPr="00CE4AFB">
              <w:rPr>
                <w:rFonts w:ascii="Arial" w:hAnsi="Arial" w:cs="Arial"/>
              </w:rPr>
              <w:t>Guava</w:t>
            </w:r>
          </w:p>
        </w:tc>
        <w:tc>
          <w:tcPr>
            <w:tcW w:w="566" w:type="pct"/>
            <w:hideMark/>
          </w:tcPr>
          <w:p w14:paraId="32A8B69B" w14:textId="77777777" w:rsidR="009E2FDE" w:rsidRPr="00CE4AFB" w:rsidRDefault="009E2FDE" w:rsidP="00564872">
            <w:pPr>
              <w:spacing w:line="480" w:lineRule="auto"/>
              <w:jc w:val="center"/>
              <w:rPr>
                <w:rFonts w:ascii="Arial" w:hAnsi="Arial" w:cs="Arial"/>
              </w:rPr>
            </w:pPr>
            <w:r w:rsidRPr="00CE4AFB">
              <w:rPr>
                <w:rFonts w:ascii="Arial" w:hAnsi="Arial" w:cs="Arial"/>
              </w:rPr>
              <w:t>50 ml</w:t>
            </w:r>
          </w:p>
        </w:tc>
        <w:tc>
          <w:tcPr>
            <w:tcW w:w="1336" w:type="pct"/>
            <w:hideMark/>
          </w:tcPr>
          <w:p w14:paraId="0D722317" w14:textId="77777777" w:rsidR="009E2FDE" w:rsidRPr="00CE4AFB" w:rsidRDefault="009E2FDE" w:rsidP="00564872">
            <w:pPr>
              <w:spacing w:line="480" w:lineRule="auto"/>
              <w:jc w:val="center"/>
              <w:rPr>
                <w:rFonts w:ascii="Arial" w:hAnsi="Arial" w:cs="Arial"/>
              </w:rPr>
            </w:pPr>
            <w:r w:rsidRPr="00CE4AFB">
              <w:rPr>
                <w:rFonts w:ascii="Arial" w:hAnsi="Arial" w:cs="Arial"/>
              </w:rPr>
              <w:t>Turbid brown</w:t>
            </w:r>
          </w:p>
        </w:tc>
        <w:tc>
          <w:tcPr>
            <w:tcW w:w="1319" w:type="pct"/>
            <w:hideMark/>
          </w:tcPr>
          <w:p w14:paraId="6EB8E778" w14:textId="77777777" w:rsidR="009E2FDE" w:rsidRPr="00CE4AFB" w:rsidRDefault="009E2FDE" w:rsidP="00564872">
            <w:pPr>
              <w:spacing w:line="480" w:lineRule="auto"/>
              <w:jc w:val="center"/>
              <w:rPr>
                <w:rFonts w:ascii="Arial" w:hAnsi="Arial" w:cs="Arial"/>
              </w:rPr>
            </w:pPr>
            <w:r w:rsidRPr="00CE4AFB">
              <w:rPr>
                <w:rFonts w:ascii="Arial" w:hAnsi="Arial" w:cs="Arial"/>
              </w:rPr>
              <w:t>Smooth and pleasant</w:t>
            </w:r>
          </w:p>
        </w:tc>
        <w:tc>
          <w:tcPr>
            <w:tcW w:w="546" w:type="pct"/>
            <w:hideMark/>
          </w:tcPr>
          <w:p w14:paraId="4694D6B0" w14:textId="77777777" w:rsidR="009E2FDE" w:rsidRPr="00CE4AFB" w:rsidRDefault="009E2FDE" w:rsidP="00564872">
            <w:pPr>
              <w:spacing w:line="480" w:lineRule="auto"/>
              <w:jc w:val="center"/>
              <w:rPr>
                <w:rFonts w:ascii="Arial" w:hAnsi="Arial" w:cs="Arial"/>
              </w:rPr>
            </w:pPr>
            <w:r w:rsidRPr="00CE4AFB">
              <w:rPr>
                <w:rFonts w:ascii="Arial" w:hAnsi="Arial" w:cs="Arial"/>
              </w:rPr>
              <w:t>50%</w:t>
            </w:r>
          </w:p>
        </w:tc>
      </w:tr>
    </w:tbl>
    <w:p w14:paraId="4033708E" w14:textId="77777777" w:rsidR="009E2FDE" w:rsidRDefault="009E2FDE" w:rsidP="00564872">
      <w:pPr>
        <w:spacing w:line="480" w:lineRule="auto"/>
      </w:pPr>
    </w:p>
    <w:p w14:paraId="1071C1FE" w14:textId="77777777" w:rsidR="009E2FDE" w:rsidRPr="008A1DC0" w:rsidRDefault="009E2FDE" w:rsidP="00564872">
      <w:pPr>
        <w:pStyle w:val="ListParagraph"/>
        <w:numPr>
          <w:ilvl w:val="0"/>
          <w:numId w:val="38"/>
        </w:numPr>
        <w:spacing w:after="160" w:line="480" w:lineRule="auto"/>
        <w:ind w:left="360"/>
        <w:rPr>
          <w:rFonts w:ascii="Arial" w:hAnsi="Arial" w:cs="Arial"/>
          <w:b/>
          <w:sz w:val="22"/>
        </w:rPr>
      </w:pPr>
      <w:r w:rsidRPr="008A1DC0">
        <w:rPr>
          <w:rFonts w:ascii="Arial" w:hAnsi="Arial" w:cs="Arial"/>
          <w:b/>
          <w:sz w:val="22"/>
        </w:rPr>
        <w:t>Thin Layer Chromatography (TLC) analysis of leaf extracts</w:t>
      </w:r>
    </w:p>
    <w:p w14:paraId="772BEEE8" w14:textId="77777777" w:rsidR="009E2FDE" w:rsidRPr="00187C24" w:rsidRDefault="009E2FDE" w:rsidP="00564872">
      <w:pPr>
        <w:spacing w:line="480" w:lineRule="auto"/>
        <w:jc w:val="both"/>
        <w:rPr>
          <w:rFonts w:ascii="Arial" w:hAnsi="Arial" w:cs="Arial"/>
          <w:color w:val="000000"/>
          <w:shd w:val="clear" w:color="auto" w:fill="FFFFFF"/>
        </w:rPr>
      </w:pPr>
      <w:r w:rsidRPr="00187C24">
        <w:rPr>
          <w:rFonts w:ascii="Arial" w:hAnsi="Arial" w:cs="Arial"/>
          <w:color w:val="000000"/>
          <w:shd w:val="clear" w:color="auto" w:fill="FFFFFF"/>
        </w:rPr>
        <w:t xml:space="preserve">As detailed in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_Ref204438655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Pr="00187C24">
        <w:rPr>
          <w:rFonts w:ascii="Arial" w:hAnsi="Arial" w:cs="Arial"/>
          <w:color w:val="000000"/>
          <w:shd w:val="clear" w:color="auto" w:fill="FFFFFF"/>
        </w:rPr>
        <w:t>Table 2</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 TLC analysis revealed distinct phytochemical profiles across the lemon, mango, and guava leaf extracts. Lemon extract exhibited the greatest diversity, showing four visible spots (green, yellow, orange)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_Ref205300316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1</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a) and three UV-active spots (blue, orange)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_Ref205300361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2</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a), indicating a broad range of compound polarities. Mango and guava extracts each displayed three visible spots (mango: yellow, green; guava: yellow, green, orange-green)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_Ref205300316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1</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 xml:space="preserve">b,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_Ref205300316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sidRPr="004E49A7">
        <w:rPr>
          <w:rFonts w:ascii="Arial" w:hAnsi="Arial" w:cs="Arial"/>
          <w:color w:val="000000"/>
          <w:shd w:val="clear" w:color="auto" w:fill="FFFFFF"/>
        </w:rPr>
        <w:t xml:space="preserve"> </w:t>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1</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c). Both also had two UV-active spots (mango: yellow, orange; guava: dark orange, light orange)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_Ref205300361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2</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 xml:space="preserve">b, </w:t>
      </w:r>
      <w:r w:rsidRPr="00187C24">
        <w:rPr>
          <w:rFonts w:ascii="Arial" w:hAnsi="Arial" w:cs="Arial"/>
          <w:color w:val="000000"/>
          <w:shd w:val="clear" w:color="auto" w:fill="FFFFFF"/>
        </w:rPr>
        <w:fldChar w:fldCharType="begin"/>
      </w:r>
      <w:r w:rsidRPr="00187C24">
        <w:rPr>
          <w:rFonts w:ascii="Arial" w:hAnsi="Arial" w:cs="Arial"/>
          <w:color w:val="000000"/>
          <w:shd w:val="clear" w:color="auto" w:fill="FFFFFF"/>
        </w:rPr>
        <w:instrText xml:space="preserve"> REF _Ref205300361 \h  \* MERGEFORMAT </w:instrText>
      </w:r>
      <w:r w:rsidRPr="00187C24">
        <w:rPr>
          <w:rFonts w:ascii="Arial" w:hAnsi="Arial" w:cs="Arial"/>
          <w:color w:val="000000"/>
          <w:shd w:val="clear" w:color="auto" w:fill="FFFFFF"/>
        </w:rPr>
      </w:r>
      <w:r w:rsidRPr="00187C24">
        <w:rPr>
          <w:rFonts w:ascii="Arial" w:hAnsi="Arial" w:cs="Arial"/>
          <w:color w:val="000000"/>
          <w:shd w:val="clear" w:color="auto" w:fill="FFFFFF"/>
        </w:rPr>
        <w:fldChar w:fldCharType="separate"/>
      </w:r>
      <w:r w:rsidR="004E49A7" w:rsidRPr="004E49A7">
        <w:rPr>
          <w:rFonts w:ascii="Arial" w:hAnsi="Arial" w:cs="Arial"/>
          <w:color w:val="000000"/>
          <w:shd w:val="clear" w:color="auto" w:fill="FFFFFF"/>
        </w:rPr>
        <w:t xml:space="preserve"> </w:t>
      </w:r>
      <w:r w:rsidR="004E49A7">
        <w:rPr>
          <w:rFonts w:ascii="Arial" w:hAnsi="Arial" w:cs="Arial"/>
          <w:color w:val="000000"/>
          <w:shd w:val="clear" w:color="auto" w:fill="FFFFFF"/>
        </w:rPr>
        <w:t>Fig</w:t>
      </w:r>
      <w:r w:rsidR="008E787A">
        <w:rPr>
          <w:rFonts w:ascii="Arial" w:hAnsi="Arial" w:cs="Arial"/>
          <w:color w:val="000000"/>
          <w:shd w:val="clear" w:color="auto" w:fill="FFFFFF"/>
        </w:rPr>
        <w:t>.</w:t>
      </w:r>
      <w:r w:rsidRPr="00187C24">
        <w:rPr>
          <w:rFonts w:ascii="Arial" w:hAnsi="Arial" w:cs="Arial"/>
          <w:color w:val="000000"/>
          <w:shd w:val="clear" w:color="auto" w:fill="FFFFFF"/>
        </w:rPr>
        <w:t xml:space="preserve"> 2</w:t>
      </w:r>
      <w:r w:rsidRPr="00187C24">
        <w:rPr>
          <w:rFonts w:ascii="Arial" w:hAnsi="Arial" w:cs="Arial"/>
          <w:color w:val="000000"/>
          <w:shd w:val="clear" w:color="auto" w:fill="FFFFFF"/>
        </w:rPr>
        <w:fldChar w:fldCharType="end"/>
      </w:r>
      <w:r w:rsidRPr="00187C24">
        <w:rPr>
          <w:rFonts w:ascii="Arial" w:hAnsi="Arial" w:cs="Arial"/>
          <w:color w:val="000000"/>
          <w:shd w:val="clear" w:color="auto" w:fill="FFFFFF"/>
        </w:rPr>
        <w:t>c), suggesting fewer UV-active compounds and a more moderate polarity range compared to lemon.</w:t>
      </w:r>
    </w:p>
    <w:p w14:paraId="6B793EFA" w14:textId="77777777" w:rsidR="009E2FDE" w:rsidRPr="006A04B3" w:rsidRDefault="009E2FDE" w:rsidP="00564872">
      <w:pPr>
        <w:spacing w:line="480" w:lineRule="auto"/>
      </w:pPr>
    </w:p>
    <w:p w14:paraId="2571F109" w14:textId="77777777" w:rsidR="009E2FDE" w:rsidRDefault="009E2FDE" w:rsidP="00564872">
      <w:pPr>
        <w:spacing w:after="55" w:line="480" w:lineRule="auto"/>
        <w:jc w:val="center"/>
        <w:rPr>
          <w:rFonts w:ascii="Arial" w:hAnsi="Arial" w:cs="Arial"/>
          <w:b/>
        </w:rPr>
      </w:pPr>
      <w:bookmarkStart w:id="1" w:name="_Ref204438655"/>
      <w:r w:rsidRPr="00AE18A2">
        <w:rPr>
          <w:rFonts w:ascii="Arial" w:hAnsi="Arial" w:cs="Arial"/>
          <w:b/>
        </w:rPr>
        <w:lastRenderedPageBreak/>
        <w:t xml:space="preserve">Table </w:t>
      </w:r>
      <w:r w:rsidRPr="00AE18A2">
        <w:rPr>
          <w:rFonts w:ascii="Arial" w:hAnsi="Arial" w:cs="Arial"/>
          <w:b/>
        </w:rPr>
        <w:fldChar w:fldCharType="begin"/>
      </w:r>
      <w:r w:rsidRPr="00AE18A2">
        <w:rPr>
          <w:rFonts w:ascii="Arial" w:hAnsi="Arial" w:cs="Arial"/>
          <w:b/>
        </w:rPr>
        <w:instrText xml:space="preserve"> SEQ Table \* ARABIC </w:instrText>
      </w:r>
      <w:r w:rsidRPr="00AE18A2">
        <w:rPr>
          <w:rFonts w:ascii="Arial" w:hAnsi="Arial" w:cs="Arial"/>
          <w:b/>
        </w:rPr>
        <w:fldChar w:fldCharType="separate"/>
      </w:r>
      <w:r w:rsidRPr="00AE18A2">
        <w:rPr>
          <w:rFonts w:ascii="Arial" w:hAnsi="Arial" w:cs="Arial"/>
          <w:b/>
        </w:rPr>
        <w:t>2</w:t>
      </w:r>
      <w:r w:rsidRPr="00AE18A2">
        <w:rPr>
          <w:rFonts w:ascii="Arial" w:hAnsi="Arial" w:cs="Arial"/>
          <w:b/>
        </w:rPr>
        <w:fldChar w:fldCharType="end"/>
      </w:r>
      <w:bookmarkEnd w:id="1"/>
      <w:r w:rsidRPr="00AE18A2">
        <w:rPr>
          <w:rFonts w:ascii="Arial" w:hAnsi="Arial" w:cs="Arial"/>
          <w:b/>
        </w:rPr>
        <w:t>. Thin Layer Chromatography (TLC) Results for Lemon, Mango, and Guava Leaf Extracts.</w:t>
      </w:r>
    </w:p>
    <w:p w14:paraId="1F38B59F" w14:textId="77777777" w:rsidR="00BC17E1" w:rsidRPr="00AE18A2" w:rsidRDefault="00BC17E1" w:rsidP="00564872">
      <w:pPr>
        <w:spacing w:after="55" w:line="480" w:lineRule="auto"/>
        <w:jc w:val="center"/>
        <w:rPr>
          <w:rFonts w:ascii="Arial" w:hAnsi="Arial" w:cs="Arial"/>
          <w:b/>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77"/>
        <w:gridCol w:w="1279"/>
        <w:gridCol w:w="1526"/>
        <w:gridCol w:w="2442"/>
        <w:gridCol w:w="1409"/>
        <w:gridCol w:w="1409"/>
        <w:gridCol w:w="1774"/>
      </w:tblGrid>
      <w:tr w:rsidR="009E2FDE" w:rsidRPr="00C27A3F" w14:paraId="4DC18A56" w14:textId="77777777" w:rsidTr="00C27A3F">
        <w:trPr>
          <w:trHeight w:val="170"/>
        </w:trPr>
        <w:tc>
          <w:tcPr>
            <w:tcW w:w="0" w:type="auto"/>
            <w:hideMark/>
          </w:tcPr>
          <w:p w14:paraId="5D9C55F3"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Leaf Extract</w:t>
            </w:r>
          </w:p>
        </w:tc>
        <w:tc>
          <w:tcPr>
            <w:tcW w:w="0" w:type="auto"/>
            <w:hideMark/>
          </w:tcPr>
          <w:p w14:paraId="519A262A"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Illumination</w:t>
            </w:r>
          </w:p>
        </w:tc>
        <w:tc>
          <w:tcPr>
            <w:tcW w:w="0" w:type="auto"/>
            <w:hideMark/>
          </w:tcPr>
          <w:p w14:paraId="21B6FFC3"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Number of Spots</w:t>
            </w:r>
          </w:p>
        </w:tc>
        <w:tc>
          <w:tcPr>
            <w:tcW w:w="0" w:type="auto"/>
            <w:hideMark/>
          </w:tcPr>
          <w:p w14:paraId="047EA1E7"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Spot Colors</w:t>
            </w:r>
          </w:p>
        </w:tc>
        <w:tc>
          <w:tcPr>
            <w:tcW w:w="0" w:type="auto"/>
            <w:hideMark/>
          </w:tcPr>
          <w:p w14:paraId="0915C807"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X (cm)</w:t>
            </w:r>
          </w:p>
        </w:tc>
        <w:tc>
          <w:tcPr>
            <w:tcW w:w="0" w:type="auto"/>
            <w:hideMark/>
          </w:tcPr>
          <w:p w14:paraId="23A7755C"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Y (cm)</w:t>
            </w:r>
          </w:p>
        </w:tc>
        <w:tc>
          <w:tcPr>
            <w:tcW w:w="0" w:type="auto"/>
            <w:hideMark/>
          </w:tcPr>
          <w:p w14:paraId="6A4E0277"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Rf Value</w:t>
            </w:r>
          </w:p>
        </w:tc>
      </w:tr>
      <w:tr w:rsidR="009E2FDE" w:rsidRPr="00C27A3F" w14:paraId="7A6D3FB9" w14:textId="77777777" w:rsidTr="00C27A3F">
        <w:trPr>
          <w:trHeight w:val="1223"/>
        </w:trPr>
        <w:tc>
          <w:tcPr>
            <w:tcW w:w="0" w:type="auto"/>
            <w:hideMark/>
          </w:tcPr>
          <w:p w14:paraId="14E4EFCB" w14:textId="77777777" w:rsidR="009E2FDE" w:rsidRPr="00C27A3F" w:rsidRDefault="009E2FDE" w:rsidP="00564872">
            <w:pPr>
              <w:spacing w:line="480" w:lineRule="auto"/>
              <w:jc w:val="center"/>
              <w:rPr>
                <w:rFonts w:ascii="Arial" w:hAnsi="Arial" w:cs="Arial"/>
                <w:sz w:val="20"/>
                <w:szCs w:val="20"/>
              </w:rPr>
            </w:pPr>
          </w:p>
          <w:p w14:paraId="2DCFFD76" w14:textId="77777777" w:rsidR="009E2FDE" w:rsidRPr="00C27A3F" w:rsidRDefault="009E2FDE" w:rsidP="00564872">
            <w:pPr>
              <w:spacing w:line="480" w:lineRule="auto"/>
              <w:jc w:val="center"/>
              <w:rPr>
                <w:rFonts w:ascii="Arial" w:hAnsi="Arial" w:cs="Arial"/>
                <w:sz w:val="20"/>
                <w:szCs w:val="20"/>
              </w:rPr>
            </w:pPr>
          </w:p>
          <w:p w14:paraId="1F3B72FB"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Lemon</w:t>
            </w:r>
          </w:p>
        </w:tc>
        <w:tc>
          <w:tcPr>
            <w:tcW w:w="0" w:type="auto"/>
          </w:tcPr>
          <w:p w14:paraId="46B6DC3A"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Visible Light</w:t>
            </w:r>
          </w:p>
          <w:p w14:paraId="702B7D20" w14:textId="77777777" w:rsidR="009E2FDE" w:rsidRPr="00C27A3F" w:rsidRDefault="009E2FDE" w:rsidP="00564872">
            <w:pPr>
              <w:spacing w:line="480" w:lineRule="auto"/>
              <w:jc w:val="center"/>
              <w:rPr>
                <w:rFonts w:ascii="Arial" w:hAnsi="Arial" w:cs="Arial"/>
                <w:sz w:val="20"/>
                <w:szCs w:val="20"/>
              </w:rPr>
            </w:pPr>
          </w:p>
          <w:p w14:paraId="4F6C2F95" w14:textId="77777777" w:rsidR="009E2FDE" w:rsidRPr="00C27A3F" w:rsidRDefault="009E2FDE" w:rsidP="00564872">
            <w:pPr>
              <w:spacing w:line="480" w:lineRule="auto"/>
              <w:jc w:val="center"/>
              <w:rPr>
                <w:rFonts w:ascii="Arial" w:hAnsi="Arial" w:cs="Arial"/>
                <w:sz w:val="20"/>
                <w:szCs w:val="20"/>
              </w:rPr>
            </w:pPr>
          </w:p>
          <w:p w14:paraId="046A43D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UV Light</w:t>
            </w:r>
          </w:p>
        </w:tc>
        <w:tc>
          <w:tcPr>
            <w:tcW w:w="0" w:type="auto"/>
          </w:tcPr>
          <w:p w14:paraId="7BB876D9"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4</w:t>
            </w:r>
          </w:p>
          <w:p w14:paraId="6EB45F6F" w14:textId="77777777" w:rsidR="009E2FDE" w:rsidRPr="00C27A3F" w:rsidRDefault="009E2FDE" w:rsidP="00564872">
            <w:pPr>
              <w:spacing w:line="480" w:lineRule="auto"/>
              <w:jc w:val="center"/>
              <w:rPr>
                <w:rFonts w:ascii="Arial" w:hAnsi="Arial" w:cs="Arial"/>
                <w:sz w:val="20"/>
                <w:szCs w:val="20"/>
              </w:rPr>
            </w:pPr>
          </w:p>
          <w:p w14:paraId="18BE283A" w14:textId="77777777" w:rsidR="009E2FDE" w:rsidRPr="00C27A3F" w:rsidRDefault="009E2FDE" w:rsidP="00564872">
            <w:pPr>
              <w:spacing w:line="480" w:lineRule="auto"/>
              <w:jc w:val="center"/>
              <w:rPr>
                <w:rFonts w:ascii="Arial" w:hAnsi="Arial" w:cs="Arial"/>
                <w:sz w:val="20"/>
                <w:szCs w:val="20"/>
              </w:rPr>
            </w:pPr>
          </w:p>
          <w:p w14:paraId="5219F92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3</w:t>
            </w:r>
          </w:p>
        </w:tc>
        <w:tc>
          <w:tcPr>
            <w:tcW w:w="0" w:type="auto"/>
            <w:hideMark/>
          </w:tcPr>
          <w:p w14:paraId="497772CE"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Green, Yellow, Green, Orange</w:t>
            </w:r>
          </w:p>
          <w:p w14:paraId="067C206E" w14:textId="77777777" w:rsidR="009E2FDE" w:rsidRPr="00C27A3F" w:rsidRDefault="009E2FDE" w:rsidP="00564872">
            <w:pPr>
              <w:spacing w:line="480" w:lineRule="auto"/>
              <w:jc w:val="center"/>
              <w:rPr>
                <w:rFonts w:ascii="Arial" w:hAnsi="Arial" w:cs="Arial"/>
                <w:sz w:val="20"/>
                <w:szCs w:val="20"/>
              </w:rPr>
            </w:pPr>
          </w:p>
          <w:p w14:paraId="62F4DC66"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Blue, Orange, Orange</w:t>
            </w:r>
          </w:p>
        </w:tc>
        <w:tc>
          <w:tcPr>
            <w:tcW w:w="0" w:type="auto"/>
            <w:hideMark/>
          </w:tcPr>
          <w:p w14:paraId="66B816FC"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0.3, 0.7, 1.0, 4.5</w:t>
            </w:r>
          </w:p>
          <w:p w14:paraId="3F56AAE5" w14:textId="77777777" w:rsidR="009E2FDE" w:rsidRPr="00C27A3F" w:rsidRDefault="009E2FDE" w:rsidP="00564872">
            <w:pPr>
              <w:spacing w:line="480" w:lineRule="auto"/>
              <w:jc w:val="center"/>
              <w:rPr>
                <w:rFonts w:ascii="Arial" w:hAnsi="Arial" w:cs="Arial"/>
                <w:sz w:val="20"/>
                <w:szCs w:val="20"/>
              </w:rPr>
            </w:pPr>
          </w:p>
          <w:p w14:paraId="7AE6FBDD"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2.9, 3.5, 4.0</w:t>
            </w:r>
          </w:p>
        </w:tc>
        <w:tc>
          <w:tcPr>
            <w:tcW w:w="0" w:type="auto"/>
            <w:hideMark/>
          </w:tcPr>
          <w:p w14:paraId="0A5943FA"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4.5, 4.5, 4.5, 4.5</w:t>
            </w:r>
          </w:p>
          <w:p w14:paraId="1D917682" w14:textId="77777777" w:rsidR="009E2FDE" w:rsidRPr="00C27A3F" w:rsidRDefault="009E2FDE" w:rsidP="00564872">
            <w:pPr>
              <w:spacing w:line="480" w:lineRule="auto"/>
              <w:jc w:val="center"/>
              <w:rPr>
                <w:rFonts w:ascii="Arial" w:hAnsi="Arial" w:cs="Arial"/>
                <w:sz w:val="20"/>
                <w:szCs w:val="20"/>
              </w:rPr>
            </w:pPr>
          </w:p>
          <w:p w14:paraId="707C24E7"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4.5, 4.5, 4.5</w:t>
            </w:r>
          </w:p>
        </w:tc>
        <w:tc>
          <w:tcPr>
            <w:tcW w:w="0" w:type="auto"/>
            <w:hideMark/>
          </w:tcPr>
          <w:p w14:paraId="65A09D4A"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0.06, 0.15, 0.22, 1.00</w:t>
            </w:r>
          </w:p>
          <w:p w14:paraId="5DBF04F6" w14:textId="77777777" w:rsidR="009E2FDE" w:rsidRPr="00C27A3F" w:rsidRDefault="009E2FDE" w:rsidP="00564872">
            <w:pPr>
              <w:spacing w:line="480" w:lineRule="auto"/>
              <w:jc w:val="center"/>
              <w:rPr>
                <w:rFonts w:ascii="Arial" w:hAnsi="Arial" w:cs="Arial"/>
                <w:sz w:val="20"/>
                <w:szCs w:val="20"/>
              </w:rPr>
            </w:pPr>
          </w:p>
          <w:p w14:paraId="042E2C7C"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0.64, 0.77, 0.88</w:t>
            </w:r>
          </w:p>
        </w:tc>
      </w:tr>
      <w:tr w:rsidR="009E2FDE" w:rsidRPr="00C27A3F" w14:paraId="7A2203F7" w14:textId="77777777" w:rsidTr="00C27A3F">
        <w:trPr>
          <w:trHeight w:val="1124"/>
        </w:trPr>
        <w:tc>
          <w:tcPr>
            <w:tcW w:w="0" w:type="auto"/>
            <w:hideMark/>
          </w:tcPr>
          <w:p w14:paraId="4C32A2A1" w14:textId="77777777" w:rsidR="009E2FDE" w:rsidRPr="00C27A3F" w:rsidRDefault="009E2FDE" w:rsidP="00564872">
            <w:pPr>
              <w:spacing w:line="480" w:lineRule="auto"/>
              <w:jc w:val="center"/>
              <w:rPr>
                <w:rFonts w:ascii="Arial" w:hAnsi="Arial" w:cs="Arial"/>
                <w:sz w:val="20"/>
                <w:szCs w:val="20"/>
              </w:rPr>
            </w:pPr>
          </w:p>
          <w:p w14:paraId="4D95CF3B" w14:textId="77777777" w:rsidR="009E2FDE" w:rsidRPr="00C27A3F" w:rsidRDefault="009E2FDE" w:rsidP="00564872">
            <w:pPr>
              <w:spacing w:line="480" w:lineRule="auto"/>
              <w:jc w:val="center"/>
              <w:rPr>
                <w:rFonts w:ascii="Arial" w:hAnsi="Arial" w:cs="Arial"/>
                <w:sz w:val="20"/>
                <w:szCs w:val="20"/>
              </w:rPr>
            </w:pPr>
          </w:p>
          <w:p w14:paraId="073BF4FC"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Mango</w:t>
            </w:r>
          </w:p>
        </w:tc>
        <w:tc>
          <w:tcPr>
            <w:tcW w:w="0" w:type="auto"/>
          </w:tcPr>
          <w:p w14:paraId="22322644"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Visible Light</w:t>
            </w:r>
          </w:p>
          <w:p w14:paraId="78F2B373" w14:textId="77777777" w:rsidR="009E2FDE" w:rsidRPr="00C27A3F" w:rsidRDefault="009E2FDE" w:rsidP="00564872">
            <w:pPr>
              <w:spacing w:line="480" w:lineRule="auto"/>
              <w:jc w:val="center"/>
              <w:rPr>
                <w:rFonts w:ascii="Arial" w:hAnsi="Arial" w:cs="Arial"/>
                <w:sz w:val="20"/>
                <w:szCs w:val="20"/>
              </w:rPr>
            </w:pPr>
          </w:p>
          <w:p w14:paraId="11DB3E30" w14:textId="77777777" w:rsidR="009E2FDE" w:rsidRPr="00C27A3F" w:rsidRDefault="009E2FDE" w:rsidP="00564872">
            <w:pPr>
              <w:spacing w:line="480" w:lineRule="auto"/>
              <w:jc w:val="center"/>
              <w:rPr>
                <w:rFonts w:ascii="Arial" w:hAnsi="Arial" w:cs="Arial"/>
                <w:sz w:val="20"/>
                <w:szCs w:val="20"/>
              </w:rPr>
            </w:pPr>
          </w:p>
          <w:p w14:paraId="22ED7136"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UV Light</w:t>
            </w:r>
          </w:p>
        </w:tc>
        <w:tc>
          <w:tcPr>
            <w:tcW w:w="0" w:type="auto"/>
          </w:tcPr>
          <w:p w14:paraId="0A1CD9D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3</w:t>
            </w:r>
          </w:p>
          <w:p w14:paraId="0FDCFF6B" w14:textId="77777777" w:rsidR="009E2FDE" w:rsidRPr="00C27A3F" w:rsidRDefault="009E2FDE" w:rsidP="00564872">
            <w:pPr>
              <w:spacing w:line="480" w:lineRule="auto"/>
              <w:jc w:val="center"/>
              <w:rPr>
                <w:rFonts w:ascii="Arial" w:hAnsi="Arial" w:cs="Arial"/>
                <w:sz w:val="20"/>
                <w:szCs w:val="20"/>
              </w:rPr>
            </w:pPr>
          </w:p>
          <w:p w14:paraId="2C3F7334" w14:textId="77777777" w:rsidR="009E2FDE" w:rsidRPr="00C27A3F" w:rsidRDefault="009E2FDE" w:rsidP="00564872">
            <w:pPr>
              <w:spacing w:line="480" w:lineRule="auto"/>
              <w:jc w:val="center"/>
              <w:rPr>
                <w:rFonts w:ascii="Arial" w:hAnsi="Arial" w:cs="Arial"/>
                <w:sz w:val="20"/>
                <w:szCs w:val="20"/>
              </w:rPr>
            </w:pPr>
          </w:p>
          <w:p w14:paraId="193368BC"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2</w:t>
            </w:r>
          </w:p>
        </w:tc>
        <w:tc>
          <w:tcPr>
            <w:tcW w:w="0" w:type="auto"/>
            <w:hideMark/>
          </w:tcPr>
          <w:p w14:paraId="6445BBC7"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Yellow, Green, Yellow</w:t>
            </w:r>
          </w:p>
          <w:p w14:paraId="6241A612" w14:textId="77777777" w:rsidR="009E2FDE" w:rsidRPr="00C27A3F" w:rsidRDefault="009E2FDE" w:rsidP="00564872">
            <w:pPr>
              <w:spacing w:before="240" w:line="480" w:lineRule="auto"/>
              <w:jc w:val="center"/>
              <w:rPr>
                <w:rFonts w:ascii="Arial" w:hAnsi="Arial" w:cs="Arial"/>
                <w:sz w:val="20"/>
                <w:szCs w:val="20"/>
              </w:rPr>
            </w:pPr>
            <w:r w:rsidRPr="00C27A3F">
              <w:rPr>
                <w:rFonts w:ascii="Arial" w:hAnsi="Arial" w:cs="Arial"/>
                <w:sz w:val="20"/>
                <w:szCs w:val="20"/>
              </w:rPr>
              <w:t>Yellow, Orange</w:t>
            </w:r>
          </w:p>
        </w:tc>
        <w:tc>
          <w:tcPr>
            <w:tcW w:w="0" w:type="auto"/>
            <w:hideMark/>
          </w:tcPr>
          <w:p w14:paraId="0B8CE625"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1.2, 2.2, 5.0</w:t>
            </w:r>
          </w:p>
          <w:p w14:paraId="3765D89B" w14:textId="77777777" w:rsidR="009E2FDE" w:rsidRPr="00C27A3F" w:rsidRDefault="009E2FDE" w:rsidP="00564872">
            <w:pPr>
              <w:spacing w:before="240" w:line="480" w:lineRule="auto"/>
              <w:jc w:val="center"/>
              <w:rPr>
                <w:rFonts w:ascii="Arial" w:hAnsi="Arial" w:cs="Arial"/>
                <w:sz w:val="20"/>
                <w:szCs w:val="20"/>
              </w:rPr>
            </w:pPr>
            <w:r w:rsidRPr="00C27A3F">
              <w:rPr>
                <w:rFonts w:ascii="Arial" w:hAnsi="Arial" w:cs="Arial"/>
                <w:sz w:val="20"/>
                <w:szCs w:val="20"/>
              </w:rPr>
              <w:t>0.9, 4.0</w:t>
            </w:r>
          </w:p>
        </w:tc>
        <w:tc>
          <w:tcPr>
            <w:tcW w:w="0" w:type="auto"/>
            <w:hideMark/>
          </w:tcPr>
          <w:p w14:paraId="593390DE"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5.0, 5.0, 5.0</w:t>
            </w:r>
          </w:p>
          <w:p w14:paraId="2A497755" w14:textId="77777777" w:rsidR="009E2FDE" w:rsidRPr="00C27A3F" w:rsidRDefault="009E2FDE" w:rsidP="00564872">
            <w:pPr>
              <w:spacing w:before="240" w:line="480" w:lineRule="auto"/>
              <w:jc w:val="center"/>
              <w:rPr>
                <w:rFonts w:ascii="Arial" w:hAnsi="Arial" w:cs="Arial"/>
                <w:sz w:val="20"/>
                <w:szCs w:val="20"/>
              </w:rPr>
            </w:pPr>
            <w:r w:rsidRPr="00C27A3F">
              <w:rPr>
                <w:rFonts w:ascii="Arial" w:hAnsi="Arial" w:cs="Arial"/>
                <w:sz w:val="20"/>
                <w:szCs w:val="20"/>
              </w:rPr>
              <w:t>5.0, 5.0</w:t>
            </w:r>
          </w:p>
        </w:tc>
        <w:tc>
          <w:tcPr>
            <w:tcW w:w="0" w:type="auto"/>
            <w:hideMark/>
          </w:tcPr>
          <w:p w14:paraId="5F73B3D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0.22, 0.44, 1.00</w:t>
            </w:r>
          </w:p>
          <w:p w14:paraId="74C6651D" w14:textId="77777777" w:rsidR="009E2FDE" w:rsidRPr="00C27A3F" w:rsidRDefault="009E2FDE" w:rsidP="00564872">
            <w:pPr>
              <w:spacing w:before="240" w:line="480" w:lineRule="auto"/>
              <w:jc w:val="center"/>
              <w:rPr>
                <w:rFonts w:ascii="Arial" w:hAnsi="Arial" w:cs="Arial"/>
                <w:sz w:val="20"/>
                <w:szCs w:val="20"/>
              </w:rPr>
            </w:pPr>
            <w:r w:rsidRPr="00C27A3F">
              <w:rPr>
                <w:rFonts w:ascii="Arial" w:hAnsi="Arial" w:cs="Arial"/>
                <w:sz w:val="20"/>
                <w:szCs w:val="20"/>
              </w:rPr>
              <w:t>0.18, 0.80</w:t>
            </w:r>
          </w:p>
        </w:tc>
      </w:tr>
      <w:tr w:rsidR="009E2FDE" w:rsidRPr="00C27A3F" w14:paraId="60223FAE" w14:textId="77777777" w:rsidTr="00C27A3F">
        <w:trPr>
          <w:trHeight w:val="1277"/>
        </w:trPr>
        <w:tc>
          <w:tcPr>
            <w:tcW w:w="0" w:type="auto"/>
            <w:hideMark/>
          </w:tcPr>
          <w:p w14:paraId="05FF1372" w14:textId="77777777" w:rsidR="009E2FDE" w:rsidRPr="00C27A3F" w:rsidRDefault="009E2FDE" w:rsidP="00564872">
            <w:pPr>
              <w:spacing w:line="480" w:lineRule="auto"/>
              <w:jc w:val="center"/>
              <w:rPr>
                <w:rFonts w:ascii="Arial" w:hAnsi="Arial" w:cs="Arial"/>
                <w:sz w:val="20"/>
                <w:szCs w:val="20"/>
              </w:rPr>
            </w:pPr>
          </w:p>
          <w:p w14:paraId="2599A181" w14:textId="77777777" w:rsidR="009E2FDE" w:rsidRPr="00C27A3F" w:rsidRDefault="009E2FDE" w:rsidP="00564872">
            <w:pPr>
              <w:spacing w:line="480" w:lineRule="auto"/>
              <w:jc w:val="center"/>
              <w:rPr>
                <w:rFonts w:ascii="Arial" w:hAnsi="Arial" w:cs="Arial"/>
                <w:sz w:val="20"/>
                <w:szCs w:val="20"/>
              </w:rPr>
            </w:pPr>
          </w:p>
          <w:p w14:paraId="11D5A855"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Guava</w:t>
            </w:r>
          </w:p>
        </w:tc>
        <w:tc>
          <w:tcPr>
            <w:tcW w:w="0" w:type="auto"/>
          </w:tcPr>
          <w:p w14:paraId="4CA78FE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Visible Light</w:t>
            </w:r>
          </w:p>
          <w:p w14:paraId="5347A41F" w14:textId="77777777" w:rsidR="009E2FDE" w:rsidRPr="00C27A3F" w:rsidRDefault="009E2FDE" w:rsidP="00564872">
            <w:pPr>
              <w:spacing w:line="480" w:lineRule="auto"/>
              <w:jc w:val="center"/>
              <w:rPr>
                <w:rFonts w:ascii="Arial" w:hAnsi="Arial" w:cs="Arial"/>
                <w:sz w:val="20"/>
                <w:szCs w:val="20"/>
              </w:rPr>
            </w:pPr>
          </w:p>
          <w:p w14:paraId="7E701CFD" w14:textId="77777777" w:rsidR="009E2FDE" w:rsidRPr="00C27A3F" w:rsidRDefault="009E2FDE" w:rsidP="00564872">
            <w:pPr>
              <w:spacing w:line="480" w:lineRule="auto"/>
              <w:jc w:val="center"/>
              <w:rPr>
                <w:rFonts w:ascii="Arial" w:hAnsi="Arial" w:cs="Arial"/>
                <w:sz w:val="20"/>
                <w:szCs w:val="20"/>
              </w:rPr>
            </w:pPr>
          </w:p>
          <w:p w14:paraId="2E150D0C"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UV Light</w:t>
            </w:r>
          </w:p>
        </w:tc>
        <w:tc>
          <w:tcPr>
            <w:tcW w:w="0" w:type="auto"/>
          </w:tcPr>
          <w:p w14:paraId="78A25801"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3</w:t>
            </w:r>
          </w:p>
          <w:p w14:paraId="0717059E" w14:textId="77777777" w:rsidR="009E2FDE" w:rsidRPr="00C27A3F" w:rsidRDefault="009E2FDE" w:rsidP="00564872">
            <w:pPr>
              <w:spacing w:line="480" w:lineRule="auto"/>
              <w:jc w:val="center"/>
              <w:rPr>
                <w:rFonts w:ascii="Arial" w:hAnsi="Arial" w:cs="Arial"/>
                <w:sz w:val="20"/>
                <w:szCs w:val="20"/>
              </w:rPr>
            </w:pPr>
          </w:p>
          <w:p w14:paraId="193F3D91" w14:textId="77777777" w:rsidR="009E2FDE" w:rsidRPr="00C27A3F" w:rsidRDefault="009E2FDE" w:rsidP="00564872">
            <w:pPr>
              <w:spacing w:line="480" w:lineRule="auto"/>
              <w:jc w:val="center"/>
              <w:rPr>
                <w:rFonts w:ascii="Arial" w:hAnsi="Arial" w:cs="Arial"/>
                <w:sz w:val="20"/>
                <w:szCs w:val="20"/>
              </w:rPr>
            </w:pPr>
          </w:p>
          <w:p w14:paraId="2A299BE0"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2</w:t>
            </w:r>
          </w:p>
        </w:tc>
        <w:tc>
          <w:tcPr>
            <w:tcW w:w="0" w:type="auto"/>
            <w:hideMark/>
          </w:tcPr>
          <w:p w14:paraId="194D9CB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Yellow, Green, Orange-green</w:t>
            </w:r>
          </w:p>
          <w:p w14:paraId="5181149B" w14:textId="77777777" w:rsidR="009E2FDE" w:rsidRPr="00C27A3F" w:rsidRDefault="009E2FDE" w:rsidP="00564872">
            <w:pPr>
              <w:spacing w:line="480" w:lineRule="auto"/>
              <w:jc w:val="center"/>
              <w:rPr>
                <w:rFonts w:ascii="Arial" w:hAnsi="Arial" w:cs="Arial"/>
                <w:sz w:val="20"/>
                <w:szCs w:val="20"/>
              </w:rPr>
            </w:pPr>
          </w:p>
          <w:p w14:paraId="6000642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Dark Orange, Light Orange</w:t>
            </w:r>
          </w:p>
        </w:tc>
        <w:tc>
          <w:tcPr>
            <w:tcW w:w="0" w:type="auto"/>
            <w:hideMark/>
          </w:tcPr>
          <w:p w14:paraId="0A0E66CA"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0.7, 1.5, 5.0</w:t>
            </w:r>
          </w:p>
          <w:p w14:paraId="6589FF37" w14:textId="77777777" w:rsidR="009E2FDE" w:rsidRPr="00C27A3F" w:rsidRDefault="009E2FDE" w:rsidP="00564872">
            <w:pPr>
              <w:spacing w:line="480" w:lineRule="auto"/>
              <w:jc w:val="center"/>
              <w:rPr>
                <w:rFonts w:ascii="Arial" w:hAnsi="Arial" w:cs="Arial"/>
                <w:sz w:val="20"/>
                <w:szCs w:val="20"/>
              </w:rPr>
            </w:pPr>
          </w:p>
          <w:p w14:paraId="7A10C4C8"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1.8, 3.5</w:t>
            </w:r>
          </w:p>
        </w:tc>
        <w:tc>
          <w:tcPr>
            <w:tcW w:w="0" w:type="auto"/>
            <w:hideMark/>
          </w:tcPr>
          <w:p w14:paraId="705A2AC2"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5.0, 5.0, 5.0</w:t>
            </w:r>
          </w:p>
          <w:p w14:paraId="4E27494A" w14:textId="77777777" w:rsidR="009E2FDE" w:rsidRPr="00C27A3F" w:rsidRDefault="009E2FDE" w:rsidP="00564872">
            <w:pPr>
              <w:spacing w:line="480" w:lineRule="auto"/>
              <w:jc w:val="center"/>
              <w:rPr>
                <w:rFonts w:ascii="Arial" w:hAnsi="Arial" w:cs="Arial"/>
                <w:sz w:val="20"/>
                <w:szCs w:val="20"/>
              </w:rPr>
            </w:pPr>
          </w:p>
          <w:p w14:paraId="54337C9D"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5.0, 5.0</w:t>
            </w:r>
          </w:p>
        </w:tc>
        <w:tc>
          <w:tcPr>
            <w:tcW w:w="0" w:type="auto"/>
            <w:hideMark/>
          </w:tcPr>
          <w:p w14:paraId="56407FFB"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0.14, 0.30, 1.00</w:t>
            </w:r>
          </w:p>
          <w:p w14:paraId="037A9E13" w14:textId="77777777" w:rsidR="009E2FDE" w:rsidRPr="00C27A3F" w:rsidRDefault="009E2FDE" w:rsidP="00564872">
            <w:pPr>
              <w:spacing w:line="480" w:lineRule="auto"/>
              <w:jc w:val="center"/>
              <w:rPr>
                <w:rFonts w:ascii="Arial" w:hAnsi="Arial" w:cs="Arial"/>
                <w:sz w:val="20"/>
                <w:szCs w:val="20"/>
              </w:rPr>
            </w:pPr>
          </w:p>
          <w:p w14:paraId="120EE2DF" w14:textId="77777777" w:rsidR="009E2FDE" w:rsidRPr="00C27A3F" w:rsidRDefault="009E2FDE" w:rsidP="00564872">
            <w:pPr>
              <w:spacing w:line="480" w:lineRule="auto"/>
              <w:jc w:val="center"/>
              <w:rPr>
                <w:rFonts w:ascii="Arial" w:hAnsi="Arial" w:cs="Arial"/>
                <w:sz w:val="20"/>
                <w:szCs w:val="20"/>
              </w:rPr>
            </w:pPr>
            <w:r w:rsidRPr="00C27A3F">
              <w:rPr>
                <w:rFonts w:ascii="Arial" w:hAnsi="Arial" w:cs="Arial"/>
                <w:sz w:val="20"/>
                <w:szCs w:val="20"/>
              </w:rPr>
              <w:t>0.36, 0.70</w:t>
            </w:r>
          </w:p>
        </w:tc>
      </w:tr>
    </w:tbl>
    <w:p w14:paraId="1CF1D8AB" w14:textId="77777777" w:rsidR="009E2FDE" w:rsidRDefault="009E2FDE" w:rsidP="00564872">
      <w:pPr>
        <w:spacing w:line="480" w:lineRule="auto"/>
      </w:pPr>
    </w:p>
    <w:p w14:paraId="0511E587" w14:textId="77777777" w:rsidR="009E2FDE" w:rsidRDefault="009E2FDE" w:rsidP="00564872">
      <w:pPr>
        <w:keepNext/>
        <w:spacing w:line="480" w:lineRule="auto"/>
        <w:jc w:val="center"/>
      </w:pPr>
      <w:r>
        <w:rPr>
          <w:noProof/>
        </w:rPr>
        <w:drawing>
          <wp:inline distT="0" distB="0" distL="0" distR="0" wp14:anchorId="61C7C6C7" wp14:editId="4821AB37">
            <wp:extent cx="3171974" cy="2365779"/>
            <wp:effectExtent l="19050" t="19050" r="952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71974" cy="2365779"/>
                    </a:xfrm>
                    <a:prstGeom prst="rect">
                      <a:avLst/>
                    </a:prstGeom>
                    <a:ln w="19050">
                      <a:solidFill>
                        <a:schemeClr val="tx1"/>
                      </a:solidFill>
                    </a:ln>
                  </pic:spPr>
                </pic:pic>
              </a:graphicData>
            </a:graphic>
          </wp:inline>
        </w:drawing>
      </w:r>
    </w:p>
    <w:p w14:paraId="1A9F1182" w14:textId="77777777" w:rsidR="009E2FDE" w:rsidRPr="00EC10D8" w:rsidRDefault="00EC10D8" w:rsidP="00564872">
      <w:pPr>
        <w:spacing w:after="55" w:line="480" w:lineRule="auto"/>
        <w:jc w:val="center"/>
        <w:rPr>
          <w:b/>
        </w:rPr>
      </w:pPr>
      <w:bookmarkStart w:id="2" w:name="_Ref205300316"/>
      <w:r w:rsidRPr="00EC10D8">
        <w:rPr>
          <w:rFonts w:ascii="Arial" w:hAnsi="Arial" w:cs="Arial"/>
          <w:b/>
          <w:color w:val="000000"/>
          <w:shd w:val="clear" w:color="auto" w:fill="FFFFFF"/>
        </w:rPr>
        <w:t>Fig.</w:t>
      </w:r>
      <w:r w:rsidR="009E2FDE" w:rsidRPr="00EC10D8">
        <w:rPr>
          <w:b/>
        </w:rPr>
        <w:t xml:space="preserve"> </w:t>
      </w:r>
      <w:r w:rsidR="009E2FDE" w:rsidRPr="00EC10D8">
        <w:rPr>
          <w:b/>
        </w:rPr>
        <w:fldChar w:fldCharType="begin"/>
      </w:r>
      <w:r w:rsidR="009E2FDE" w:rsidRPr="00EC10D8">
        <w:rPr>
          <w:b/>
        </w:rPr>
        <w:instrText xml:space="preserve"> SEQ Figure \* ARABIC </w:instrText>
      </w:r>
      <w:r w:rsidR="009E2FDE" w:rsidRPr="00EC10D8">
        <w:rPr>
          <w:b/>
        </w:rPr>
        <w:fldChar w:fldCharType="separate"/>
      </w:r>
      <w:r w:rsidR="009E2FDE" w:rsidRPr="00EC10D8">
        <w:rPr>
          <w:b/>
        </w:rPr>
        <w:t>1</w:t>
      </w:r>
      <w:r w:rsidR="009E2FDE" w:rsidRPr="00EC10D8">
        <w:rPr>
          <w:b/>
        </w:rPr>
        <w:fldChar w:fldCharType="end"/>
      </w:r>
      <w:bookmarkEnd w:id="2"/>
      <w:r w:rsidR="009E2FDE" w:rsidRPr="00EC10D8">
        <w:rPr>
          <w:b/>
        </w:rPr>
        <w:t>. Thin Layer Chromatography of a. Lemon, b. Mango, and c. Guava Leaf Extracts under Visible Light.</w:t>
      </w:r>
    </w:p>
    <w:p w14:paraId="636F7B2C" w14:textId="77777777" w:rsidR="009E2FDE" w:rsidRPr="00FE0CA5" w:rsidRDefault="009E2FDE" w:rsidP="00564872">
      <w:pPr>
        <w:spacing w:after="55" w:line="480" w:lineRule="auto"/>
      </w:pPr>
    </w:p>
    <w:p w14:paraId="46D523BF" w14:textId="77777777" w:rsidR="009E2FDE" w:rsidRDefault="009E2FDE" w:rsidP="00564872">
      <w:pPr>
        <w:keepNext/>
        <w:spacing w:line="480" w:lineRule="auto"/>
        <w:jc w:val="center"/>
      </w:pPr>
      <w:r>
        <w:rPr>
          <w:b/>
          <w:noProof/>
        </w:rPr>
        <w:drawing>
          <wp:inline distT="0" distB="0" distL="0" distR="0" wp14:anchorId="4EB23E89" wp14:editId="2715FAA4">
            <wp:extent cx="3239342" cy="2389504"/>
            <wp:effectExtent l="19050" t="19050" r="18415"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9342" cy="2389504"/>
                    </a:xfrm>
                    <a:prstGeom prst="rect">
                      <a:avLst/>
                    </a:prstGeom>
                    <a:ln w="19050">
                      <a:solidFill>
                        <a:schemeClr val="tx1"/>
                      </a:solidFill>
                    </a:ln>
                  </pic:spPr>
                </pic:pic>
              </a:graphicData>
            </a:graphic>
          </wp:inline>
        </w:drawing>
      </w:r>
    </w:p>
    <w:p w14:paraId="79C92B47" w14:textId="77777777" w:rsidR="009E2FDE" w:rsidRPr="00CD29F0" w:rsidRDefault="007C1D85" w:rsidP="00564872">
      <w:pPr>
        <w:spacing w:after="55" w:line="480" w:lineRule="auto"/>
        <w:jc w:val="center"/>
        <w:rPr>
          <w:rFonts w:ascii="Arial" w:hAnsi="Arial" w:cs="Arial"/>
          <w:b/>
          <w:color w:val="000000"/>
          <w:shd w:val="clear" w:color="auto" w:fill="FFFFFF"/>
        </w:rPr>
      </w:pPr>
      <w:bookmarkStart w:id="3" w:name="_Ref205300361"/>
      <w:r w:rsidRPr="007C1D85">
        <w:rPr>
          <w:rFonts w:ascii="Arial" w:hAnsi="Arial" w:cs="Arial"/>
          <w:b/>
          <w:color w:val="000000"/>
          <w:shd w:val="clear" w:color="auto" w:fill="FFFFFF"/>
        </w:rPr>
        <w:t>Fig.</w:t>
      </w:r>
      <w:r w:rsidR="009E2FDE" w:rsidRPr="00CD29F0">
        <w:rPr>
          <w:rFonts w:ascii="Arial" w:hAnsi="Arial" w:cs="Arial"/>
          <w:b/>
          <w:color w:val="000000"/>
          <w:shd w:val="clear" w:color="auto" w:fill="FFFFFF"/>
        </w:rPr>
        <w:t xml:space="preserve"> </w:t>
      </w:r>
      <w:r w:rsidR="009E2FDE" w:rsidRPr="00CD29F0">
        <w:rPr>
          <w:rFonts w:ascii="Arial" w:hAnsi="Arial" w:cs="Arial"/>
          <w:b/>
          <w:color w:val="000000"/>
          <w:shd w:val="clear" w:color="auto" w:fill="FFFFFF"/>
        </w:rPr>
        <w:fldChar w:fldCharType="begin"/>
      </w:r>
      <w:r w:rsidR="009E2FDE" w:rsidRPr="00CD29F0">
        <w:rPr>
          <w:rFonts w:ascii="Arial" w:hAnsi="Arial" w:cs="Arial"/>
          <w:b/>
          <w:color w:val="000000"/>
          <w:shd w:val="clear" w:color="auto" w:fill="FFFFFF"/>
        </w:rPr>
        <w:instrText xml:space="preserve"> SEQ Figure \* ARABIC </w:instrText>
      </w:r>
      <w:r w:rsidR="009E2FDE" w:rsidRPr="00CD29F0">
        <w:rPr>
          <w:rFonts w:ascii="Arial" w:hAnsi="Arial" w:cs="Arial"/>
          <w:b/>
          <w:color w:val="000000"/>
          <w:shd w:val="clear" w:color="auto" w:fill="FFFFFF"/>
        </w:rPr>
        <w:fldChar w:fldCharType="separate"/>
      </w:r>
      <w:r w:rsidR="009E2FDE" w:rsidRPr="00CD29F0">
        <w:rPr>
          <w:rFonts w:ascii="Arial" w:hAnsi="Arial" w:cs="Arial"/>
          <w:b/>
          <w:color w:val="000000"/>
          <w:shd w:val="clear" w:color="auto" w:fill="FFFFFF"/>
        </w:rPr>
        <w:t>2</w:t>
      </w:r>
      <w:r w:rsidR="009E2FDE" w:rsidRPr="00CD29F0">
        <w:rPr>
          <w:rFonts w:ascii="Arial" w:hAnsi="Arial" w:cs="Arial"/>
          <w:b/>
          <w:color w:val="000000"/>
          <w:shd w:val="clear" w:color="auto" w:fill="FFFFFF"/>
        </w:rPr>
        <w:fldChar w:fldCharType="end"/>
      </w:r>
      <w:bookmarkEnd w:id="3"/>
      <w:r w:rsidR="009E2FDE" w:rsidRPr="00CD29F0">
        <w:rPr>
          <w:rFonts w:ascii="Arial" w:hAnsi="Arial" w:cs="Arial"/>
          <w:b/>
          <w:color w:val="000000"/>
          <w:shd w:val="clear" w:color="auto" w:fill="FFFFFF"/>
        </w:rPr>
        <w:t>. Thin Layer Chromatography of a. Lemon, b. Mango, and c. Guava Leaf Extracts under UV Light.</w:t>
      </w:r>
    </w:p>
    <w:p w14:paraId="358E3B47" w14:textId="77777777" w:rsidR="009E2FDE" w:rsidRDefault="009E2FDE" w:rsidP="00564872">
      <w:pPr>
        <w:spacing w:after="55" w:line="480" w:lineRule="auto"/>
      </w:pPr>
    </w:p>
    <w:p w14:paraId="2C84EFA1" w14:textId="77777777" w:rsidR="009E2FDE" w:rsidRPr="00CC0F86" w:rsidRDefault="009E2FDE" w:rsidP="00564872">
      <w:pPr>
        <w:pStyle w:val="ListParagraph"/>
        <w:numPr>
          <w:ilvl w:val="0"/>
          <w:numId w:val="38"/>
        </w:numPr>
        <w:spacing w:after="160" w:line="480" w:lineRule="auto"/>
        <w:ind w:left="360"/>
        <w:rPr>
          <w:rFonts w:ascii="Arial" w:hAnsi="Arial" w:cs="Arial"/>
          <w:b/>
          <w:sz w:val="22"/>
        </w:rPr>
      </w:pPr>
      <w:r w:rsidRPr="00CC0F86">
        <w:rPr>
          <w:rFonts w:ascii="Arial" w:hAnsi="Arial" w:cs="Arial"/>
          <w:b/>
          <w:sz w:val="22"/>
        </w:rPr>
        <w:t>Qualitative Phytochemical Screening</w:t>
      </w:r>
    </w:p>
    <w:p w14:paraId="02E9CF5B" w14:textId="77777777" w:rsidR="009E2FDE" w:rsidRPr="00CC0F86" w:rsidRDefault="009E2FDE" w:rsidP="00564872">
      <w:pPr>
        <w:spacing w:line="480" w:lineRule="auto"/>
        <w:jc w:val="both"/>
        <w:rPr>
          <w:rFonts w:ascii="Arial" w:hAnsi="Arial" w:cs="Arial"/>
          <w:color w:val="000000"/>
          <w:shd w:val="clear" w:color="auto" w:fill="FFFFFF"/>
        </w:rPr>
      </w:pPr>
      <w:r w:rsidRPr="00CC0F86">
        <w:rPr>
          <w:rFonts w:ascii="Arial" w:hAnsi="Arial" w:cs="Arial"/>
          <w:color w:val="000000"/>
          <w:shd w:val="clear" w:color="auto" w:fill="FFFFFF"/>
        </w:rPr>
        <w:t xml:space="preserve">This analysis reveals that lemon, mango, and guava leaf extracts are rich in diverse secondary metabolites. All extracts contain flavonoids, polyphenols, tannins, terpenoids, glycosides, alkaloids, saponins, and steroids, though in varying semi-quantitative levels, as summarized in </w:t>
      </w:r>
      <w:r w:rsidRPr="00CC0F86">
        <w:rPr>
          <w:rFonts w:ascii="Arial" w:hAnsi="Arial" w:cs="Arial"/>
          <w:color w:val="000000"/>
          <w:shd w:val="clear" w:color="auto" w:fill="FFFFFF"/>
        </w:rPr>
        <w:fldChar w:fldCharType="begin"/>
      </w:r>
      <w:r w:rsidRPr="00CC0F86">
        <w:rPr>
          <w:rFonts w:ascii="Arial" w:hAnsi="Arial" w:cs="Arial"/>
          <w:color w:val="000000"/>
          <w:shd w:val="clear" w:color="auto" w:fill="FFFFFF"/>
        </w:rPr>
        <w:instrText xml:space="preserve"> REF _Ref204443715 \h  \* MERGEFORMAT </w:instrText>
      </w:r>
      <w:r w:rsidRPr="00CC0F86">
        <w:rPr>
          <w:rFonts w:ascii="Arial" w:hAnsi="Arial" w:cs="Arial"/>
          <w:color w:val="000000"/>
          <w:shd w:val="clear" w:color="auto" w:fill="FFFFFF"/>
        </w:rPr>
      </w:r>
      <w:r w:rsidRPr="00CC0F86">
        <w:rPr>
          <w:rFonts w:ascii="Arial" w:hAnsi="Arial" w:cs="Arial"/>
          <w:color w:val="000000"/>
          <w:shd w:val="clear" w:color="auto" w:fill="FFFFFF"/>
        </w:rPr>
        <w:fldChar w:fldCharType="separate"/>
      </w:r>
      <w:r w:rsidRPr="00CC0F86">
        <w:rPr>
          <w:rFonts w:ascii="Arial" w:hAnsi="Arial" w:cs="Arial"/>
          <w:color w:val="000000"/>
          <w:shd w:val="clear" w:color="auto" w:fill="FFFFFF"/>
        </w:rPr>
        <w:t>Table 3</w:t>
      </w:r>
      <w:r w:rsidRPr="00CC0F86">
        <w:rPr>
          <w:rFonts w:ascii="Arial" w:hAnsi="Arial" w:cs="Arial"/>
          <w:color w:val="000000"/>
          <w:shd w:val="clear" w:color="auto" w:fill="FFFFFF"/>
        </w:rPr>
        <w:fldChar w:fldCharType="end"/>
      </w:r>
      <w:r w:rsidRPr="00CC0F86">
        <w:rPr>
          <w:rFonts w:ascii="Arial" w:hAnsi="Arial" w:cs="Arial"/>
          <w:color w:val="000000"/>
          <w:shd w:val="clear" w:color="auto" w:fill="FFFFFF"/>
        </w:rPr>
        <w:t xml:space="preserve">. This aligns with existing reports on the individual leaves, such as the identification of bioactive phenolics in mango leaves (Pan et al., 2018), comprehensive characterization of guava leaf compounds (Huynh et al., 2025), and the presence of beneficial compounds in lemon leaves (Mohanapriya et al., 2013; </w:t>
      </w:r>
      <w:proofErr w:type="spellStart"/>
      <w:r w:rsidRPr="00CC0F86">
        <w:rPr>
          <w:rFonts w:ascii="Arial" w:hAnsi="Arial" w:cs="Arial"/>
          <w:color w:val="000000"/>
          <w:shd w:val="clear" w:color="auto" w:fill="FFFFFF"/>
        </w:rPr>
        <w:t>Khettal</w:t>
      </w:r>
      <w:proofErr w:type="spellEnd"/>
      <w:r w:rsidRPr="00CC0F86">
        <w:rPr>
          <w:rFonts w:ascii="Arial" w:hAnsi="Arial" w:cs="Arial"/>
          <w:color w:val="000000"/>
          <w:shd w:val="clear" w:color="auto" w:fill="FFFFFF"/>
        </w:rPr>
        <w:t xml:space="preserve"> et al., 2017). The present study's unique contribution lies in providing a side-by-side comparative assessment, revealing differential distributions, such as guava's higher levels of terpenoids, alkaloids, and steroids, and mango's richness in polyphenols, tannins, and saponins. This differential phytochemical composition likely underlies the distinct biological activities and potential health benefits associated with each plant.</w:t>
      </w:r>
    </w:p>
    <w:p w14:paraId="5EC47DB2" w14:textId="77777777" w:rsidR="009E2FDE" w:rsidRPr="00B64841" w:rsidRDefault="009E2FDE" w:rsidP="00564872">
      <w:pPr>
        <w:spacing w:after="55" w:line="480" w:lineRule="auto"/>
      </w:pPr>
    </w:p>
    <w:p w14:paraId="3316F2E1" w14:textId="77777777" w:rsidR="009E2FDE" w:rsidRPr="00784543" w:rsidRDefault="009E2FDE" w:rsidP="00564872">
      <w:pPr>
        <w:spacing w:after="55" w:line="480" w:lineRule="auto"/>
        <w:jc w:val="center"/>
        <w:rPr>
          <w:rFonts w:ascii="Arial" w:hAnsi="Arial" w:cs="Arial"/>
          <w:b/>
        </w:rPr>
      </w:pPr>
      <w:bookmarkStart w:id="4" w:name="_Ref204443715"/>
      <w:r w:rsidRPr="00784543">
        <w:rPr>
          <w:rFonts w:ascii="Arial" w:hAnsi="Arial" w:cs="Arial"/>
          <w:b/>
        </w:rPr>
        <w:t xml:space="preserve">Table </w:t>
      </w:r>
      <w:r w:rsidRPr="00784543">
        <w:rPr>
          <w:rFonts w:ascii="Arial" w:hAnsi="Arial" w:cs="Arial"/>
          <w:b/>
        </w:rPr>
        <w:fldChar w:fldCharType="begin"/>
      </w:r>
      <w:r w:rsidRPr="00784543">
        <w:rPr>
          <w:rFonts w:ascii="Arial" w:hAnsi="Arial" w:cs="Arial"/>
          <w:b/>
        </w:rPr>
        <w:instrText xml:space="preserve"> SEQ Table \* ARABIC </w:instrText>
      </w:r>
      <w:r w:rsidRPr="00784543">
        <w:rPr>
          <w:rFonts w:ascii="Arial" w:hAnsi="Arial" w:cs="Arial"/>
          <w:b/>
        </w:rPr>
        <w:fldChar w:fldCharType="separate"/>
      </w:r>
      <w:r w:rsidRPr="00784543">
        <w:rPr>
          <w:rFonts w:ascii="Arial" w:hAnsi="Arial" w:cs="Arial"/>
          <w:b/>
        </w:rPr>
        <w:t>3</w:t>
      </w:r>
      <w:r w:rsidRPr="00784543">
        <w:rPr>
          <w:rFonts w:ascii="Arial" w:hAnsi="Arial" w:cs="Arial"/>
          <w:b/>
        </w:rPr>
        <w:fldChar w:fldCharType="end"/>
      </w:r>
      <w:bookmarkEnd w:id="4"/>
      <w:r w:rsidRPr="00784543">
        <w:rPr>
          <w:rFonts w:ascii="Arial" w:hAnsi="Arial" w:cs="Arial"/>
          <w:b/>
        </w:rPr>
        <w:t>. Qualitative phytochemical screening revealing the diverse secondary metabolite profiles across lemon, mango, and guava leaf extracts.</w:t>
      </w:r>
    </w:p>
    <w:p w14:paraId="12706AB9" w14:textId="77777777" w:rsidR="009E2FDE" w:rsidRPr="001B14F9" w:rsidRDefault="009E2FDE" w:rsidP="00564872">
      <w:pPr>
        <w:spacing w:after="55" w:line="480" w:lineRule="auto"/>
        <w:rPr>
          <w:b/>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34"/>
        <w:gridCol w:w="2161"/>
        <w:gridCol w:w="2653"/>
        <w:gridCol w:w="2692"/>
        <w:gridCol w:w="2576"/>
      </w:tblGrid>
      <w:tr w:rsidR="009E2FDE" w:rsidRPr="009E038A" w14:paraId="53E436B0" w14:textId="77777777" w:rsidTr="009E038A">
        <w:trPr>
          <w:cantSplit/>
          <w:trHeight w:val="311"/>
          <w:jc w:val="center"/>
        </w:trPr>
        <w:tc>
          <w:tcPr>
            <w:tcW w:w="424" w:type="pct"/>
            <w:hideMark/>
          </w:tcPr>
          <w:p w14:paraId="7DBAEB88" w14:textId="77777777" w:rsidR="009E2FDE" w:rsidRPr="006E3DE9" w:rsidRDefault="009E2FDE" w:rsidP="00564872">
            <w:pPr>
              <w:spacing w:line="480" w:lineRule="auto"/>
              <w:jc w:val="center"/>
              <w:rPr>
                <w:rFonts w:ascii="Arial" w:hAnsi="Arial" w:cs="Arial"/>
              </w:rPr>
            </w:pPr>
            <w:r w:rsidRPr="006E3DE9">
              <w:rPr>
                <w:rFonts w:ascii="Arial" w:hAnsi="Arial" w:cs="Arial"/>
              </w:rPr>
              <w:t>S.no.</w:t>
            </w:r>
          </w:p>
        </w:tc>
        <w:tc>
          <w:tcPr>
            <w:tcW w:w="981" w:type="pct"/>
            <w:hideMark/>
          </w:tcPr>
          <w:p w14:paraId="06EAC6AE" w14:textId="77777777" w:rsidR="009E2FDE" w:rsidRPr="006E3DE9" w:rsidRDefault="009E2FDE" w:rsidP="00564872">
            <w:pPr>
              <w:spacing w:line="480" w:lineRule="auto"/>
              <w:jc w:val="center"/>
              <w:rPr>
                <w:rFonts w:ascii="Arial" w:hAnsi="Arial" w:cs="Arial"/>
              </w:rPr>
            </w:pPr>
            <w:r w:rsidRPr="006E3DE9">
              <w:rPr>
                <w:rFonts w:ascii="Arial" w:hAnsi="Arial" w:cs="Arial"/>
              </w:rPr>
              <w:t>Phytochemical</w:t>
            </w:r>
          </w:p>
        </w:tc>
        <w:tc>
          <w:tcPr>
            <w:tcW w:w="1204" w:type="pct"/>
            <w:hideMark/>
          </w:tcPr>
          <w:p w14:paraId="77D4C7DE" w14:textId="77777777" w:rsidR="009E2FDE" w:rsidRPr="006E3DE9" w:rsidRDefault="009E2FDE" w:rsidP="00564872">
            <w:pPr>
              <w:spacing w:line="480" w:lineRule="auto"/>
              <w:jc w:val="center"/>
              <w:rPr>
                <w:rFonts w:ascii="Arial" w:hAnsi="Arial" w:cs="Arial"/>
              </w:rPr>
            </w:pPr>
            <w:r w:rsidRPr="006E3DE9">
              <w:rPr>
                <w:rFonts w:ascii="Arial" w:hAnsi="Arial" w:cs="Arial"/>
              </w:rPr>
              <w:t>Lemon leaf extract</w:t>
            </w:r>
          </w:p>
        </w:tc>
        <w:tc>
          <w:tcPr>
            <w:tcW w:w="1222" w:type="pct"/>
            <w:hideMark/>
          </w:tcPr>
          <w:p w14:paraId="39047481" w14:textId="77777777" w:rsidR="009E2FDE" w:rsidRPr="006E3DE9" w:rsidRDefault="009E2FDE" w:rsidP="00564872">
            <w:pPr>
              <w:spacing w:line="480" w:lineRule="auto"/>
              <w:jc w:val="center"/>
              <w:rPr>
                <w:rFonts w:ascii="Arial" w:hAnsi="Arial" w:cs="Arial"/>
              </w:rPr>
            </w:pPr>
            <w:r w:rsidRPr="006E3DE9">
              <w:rPr>
                <w:rFonts w:ascii="Arial" w:hAnsi="Arial" w:cs="Arial"/>
              </w:rPr>
              <w:t>Mango leaf extract</w:t>
            </w:r>
          </w:p>
        </w:tc>
        <w:tc>
          <w:tcPr>
            <w:tcW w:w="1170" w:type="pct"/>
            <w:hideMark/>
          </w:tcPr>
          <w:p w14:paraId="7AF63F38" w14:textId="77777777" w:rsidR="009E2FDE" w:rsidRPr="006E3DE9" w:rsidRDefault="009E2FDE" w:rsidP="00564872">
            <w:pPr>
              <w:spacing w:line="480" w:lineRule="auto"/>
              <w:jc w:val="center"/>
              <w:rPr>
                <w:rFonts w:ascii="Arial" w:hAnsi="Arial" w:cs="Arial"/>
              </w:rPr>
            </w:pPr>
            <w:r w:rsidRPr="006E3DE9">
              <w:rPr>
                <w:rFonts w:ascii="Arial" w:hAnsi="Arial" w:cs="Arial"/>
              </w:rPr>
              <w:t>Guava leaf extract</w:t>
            </w:r>
          </w:p>
        </w:tc>
      </w:tr>
      <w:tr w:rsidR="009E2FDE" w:rsidRPr="009E038A" w14:paraId="6B6A7246" w14:textId="77777777" w:rsidTr="009E038A">
        <w:trPr>
          <w:trHeight w:val="311"/>
          <w:jc w:val="center"/>
        </w:trPr>
        <w:tc>
          <w:tcPr>
            <w:tcW w:w="424" w:type="pct"/>
            <w:hideMark/>
          </w:tcPr>
          <w:p w14:paraId="7512D4C7" w14:textId="77777777" w:rsidR="009E2FDE" w:rsidRPr="009E038A" w:rsidRDefault="009E2FDE" w:rsidP="00564872">
            <w:pPr>
              <w:spacing w:line="480" w:lineRule="auto"/>
              <w:jc w:val="center"/>
              <w:rPr>
                <w:rFonts w:ascii="Arial" w:hAnsi="Arial" w:cs="Arial"/>
              </w:rPr>
            </w:pPr>
            <w:r w:rsidRPr="009E038A">
              <w:rPr>
                <w:rFonts w:ascii="Arial" w:hAnsi="Arial" w:cs="Arial"/>
              </w:rPr>
              <w:t>1.</w:t>
            </w:r>
          </w:p>
        </w:tc>
        <w:tc>
          <w:tcPr>
            <w:tcW w:w="981" w:type="pct"/>
            <w:hideMark/>
          </w:tcPr>
          <w:p w14:paraId="6E79C423" w14:textId="77777777" w:rsidR="009E2FDE" w:rsidRPr="009E038A" w:rsidRDefault="009E2FDE" w:rsidP="00564872">
            <w:pPr>
              <w:spacing w:line="480" w:lineRule="auto"/>
              <w:jc w:val="center"/>
              <w:rPr>
                <w:rFonts w:ascii="Arial" w:hAnsi="Arial" w:cs="Arial"/>
              </w:rPr>
            </w:pPr>
            <w:r w:rsidRPr="009E038A">
              <w:rPr>
                <w:rFonts w:ascii="Arial" w:hAnsi="Arial" w:cs="Arial"/>
              </w:rPr>
              <w:t>Flavonoids</w:t>
            </w:r>
          </w:p>
        </w:tc>
        <w:tc>
          <w:tcPr>
            <w:tcW w:w="1204" w:type="pct"/>
            <w:hideMark/>
          </w:tcPr>
          <w:p w14:paraId="506657A5"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013D2232"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2155960F"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437CFC32" w14:textId="77777777" w:rsidTr="009E038A">
        <w:trPr>
          <w:trHeight w:val="311"/>
          <w:jc w:val="center"/>
        </w:trPr>
        <w:tc>
          <w:tcPr>
            <w:tcW w:w="424" w:type="pct"/>
            <w:hideMark/>
          </w:tcPr>
          <w:p w14:paraId="6DAECEF1" w14:textId="77777777" w:rsidR="009E2FDE" w:rsidRPr="009E038A" w:rsidRDefault="009E2FDE" w:rsidP="00564872">
            <w:pPr>
              <w:spacing w:line="480" w:lineRule="auto"/>
              <w:jc w:val="center"/>
              <w:rPr>
                <w:rFonts w:ascii="Arial" w:hAnsi="Arial" w:cs="Arial"/>
              </w:rPr>
            </w:pPr>
            <w:r w:rsidRPr="009E038A">
              <w:rPr>
                <w:rFonts w:ascii="Arial" w:hAnsi="Arial" w:cs="Arial"/>
              </w:rPr>
              <w:t>2.</w:t>
            </w:r>
          </w:p>
        </w:tc>
        <w:tc>
          <w:tcPr>
            <w:tcW w:w="981" w:type="pct"/>
            <w:hideMark/>
          </w:tcPr>
          <w:p w14:paraId="6645DE2C" w14:textId="77777777" w:rsidR="009E2FDE" w:rsidRPr="009E038A" w:rsidRDefault="009E2FDE" w:rsidP="00564872">
            <w:pPr>
              <w:spacing w:line="480" w:lineRule="auto"/>
              <w:jc w:val="center"/>
              <w:rPr>
                <w:rFonts w:ascii="Arial" w:hAnsi="Arial" w:cs="Arial"/>
              </w:rPr>
            </w:pPr>
            <w:r w:rsidRPr="009E038A">
              <w:rPr>
                <w:rFonts w:ascii="Arial" w:hAnsi="Arial" w:cs="Arial"/>
              </w:rPr>
              <w:t>Terpenoids</w:t>
            </w:r>
          </w:p>
        </w:tc>
        <w:tc>
          <w:tcPr>
            <w:tcW w:w="1204" w:type="pct"/>
            <w:hideMark/>
          </w:tcPr>
          <w:p w14:paraId="21692A1C"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5A812BC4"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2878F5DE"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716422B3" w14:textId="77777777" w:rsidTr="009E038A">
        <w:trPr>
          <w:trHeight w:val="311"/>
          <w:jc w:val="center"/>
        </w:trPr>
        <w:tc>
          <w:tcPr>
            <w:tcW w:w="424" w:type="pct"/>
            <w:hideMark/>
          </w:tcPr>
          <w:p w14:paraId="2CE3ECFF" w14:textId="77777777" w:rsidR="009E2FDE" w:rsidRPr="009E038A" w:rsidRDefault="009E2FDE" w:rsidP="00564872">
            <w:pPr>
              <w:spacing w:line="480" w:lineRule="auto"/>
              <w:jc w:val="center"/>
              <w:rPr>
                <w:rFonts w:ascii="Arial" w:hAnsi="Arial" w:cs="Arial"/>
              </w:rPr>
            </w:pPr>
            <w:r w:rsidRPr="009E038A">
              <w:rPr>
                <w:rFonts w:ascii="Arial" w:hAnsi="Arial" w:cs="Arial"/>
              </w:rPr>
              <w:lastRenderedPageBreak/>
              <w:t>3.</w:t>
            </w:r>
          </w:p>
        </w:tc>
        <w:tc>
          <w:tcPr>
            <w:tcW w:w="981" w:type="pct"/>
            <w:hideMark/>
          </w:tcPr>
          <w:p w14:paraId="3F07BC84" w14:textId="77777777" w:rsidR="009E2FDE" w:rsidRPr="009E038A" w:rsidRDefault="009E2FDE" w:rsidP="00564872">
            <w:pPr>
              <w:spacing w:line="480" w:lineRule="auto"/>
              <w:jc w:val="center"/>
              <w:rPr>
                <w:rFonts w:ascii="Arial" w:hAnsi="Arial" w:cs="Arial"/>
              </w:rPr>
            </w:pPr>
            <w:r w:rsidRPr="009E038A">
              <w:rPr>
                <w:rFonts w:ascii="Arial" w:hAnsi="Arial" w:cs="Arial"/>
              </w:rPr>
              <w:t>Glycosides</w:t>
            </w:r>
          </w:p>
        </w:tc>
        <w:tc>
          <w:tcPr>
            <w:tcW w:w="1204" w:type="pct"/>
            <w:hideMark/>
          </w:tcPr>
          <w:p w14:paraId="26D7F18A"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455A0FF4"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2B22CECC"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2545BFF0" w14:textId="77777777" w:rsidTr="009E038A">
        <w:trPr>
          <w:trHeight w:val="311"/>
          <w:jc w:val="center"/>
        </w:trPr>
        <w:tc>
          <w:tcPr>
            <w:tcW w:w="424" w:type="pct"/>
            <w:hideMark/>
          </w:tcPr>
          <w:p w14:paraId="29942EE1" w14:textId="77777777" w:rsidR="009E2FDE" w:rsidRPr="009E038A" w:rsidRDefault="009E2FDE" w:rsidP="00564872">
            <w:pPr>
              <w:spacing w:line="480" w:lineRule="auto"/>
              <w:jc w:val="center"/>
              <w:rPr>
                <w:rFonts w:ascii="Arial" w:hAnsi="Arial" w:cs="Arial"/>
              </w:rPr>
            </w:pPr>
            <w:r w:rsidRPr="009E038A">
              <w:rPr>
                <w:rFonts w:ascii="Arial" w:hAnsi="Arial" w:cs="Arial"/>
              </w:rPr>
              <w:t>4.</w:t>
            </w:r>
          </w:p>
        </w:tc>
        <w:tc>
          <w:tcPr>
            <w:tcW w:w="981" w:type="pct"/>
            <w:hideMark/>
          </w:tcPr>
          <w:p w14:paraId="34D73F56" w14:textId="77777777" w:rsidR="009E2FDE" w:rsidRPr="009E038A" w:rsidRDefault="009E2FDE" w:rsidP="00564872">
            <w:pPr>
              <w:spacing w:line="480" w:lineRule="auto"/>
              <w:jc w:val="center"/>
              <w:rPr>
                <w:rFonts w:ascii="Arial" w:hAnsi="Arial" w:cs="Arial"/>
              </w:rPr>
            </w:pPr>
            <w:r w:rsidRPr="009E038A">
              <w:rPr>
                <w:rFonts w:ascii="Arial" w:hAnsi="Arial" w:cs="Arial"/>
              </w:rPr>
              <w:t>Saponins</w:t>
            </w:r>
          </w:p>
        </w:tc>
        <w:tc>
          <w:tcPr>
            <w:tcW w:w="1204" w:type="pct"/>
            <w:hideMark/>
          </w:tcPr>
          <w:p w14:paraId="40A598AA"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2BDE841B"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127ECB31"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47439DF5" w14:textId="77777777" w:rsidTr="009E038A">
        <w:trPr>
          <w:trHeight w:val="311"/>
          <w:jc w:val="center"/>
        </w:trPr>
        <w:tc>
          <w:tcPr>
            <w:tcW w:w="424" w:type="pct"/>
            <w:hideMark/>
          </w:tcPr>
          <w:p w14:paraId="7FE1294F" w14:textId="77777777" w:rsidR="009E2FDE" w:rsidRPr="009E038A" w:rsidRDefault="009E2FDE" w:rsidP="00564872">
            <w:pPr>
              <w:spacing w:line="480" w:lineRule="auto"/>
              <w:jc w:val="center"/>
              <w:rPr>
                <w:rFonts w:ascii="Arial" w:hAnsi="Arial" w:cs="Arial"/>
              </w:rPr>
            </w:pPr>
            <w:r w:rsidRPr="009E038A">
              <w:rPr>
                <w:rFonts w:ascii="Arial" w:hAnsi="Arial" w:cs="Arial"/>
              </w:rPr>
              <w:t>5.</w:t>
            </w:r>
          </w:p>
        </w:tc>
        <w:tc>
          <w:tcPr>
            <w:tcW w:w="981" w:type="pct"/>
            <w:hideMark/>
          </w:tcPr>
          <w:p w14:paraId="7BFAB4B5" w14:textId="77777777" w:rsidR="009E2FDE" w:rsidRPr="009E038A" w:rsidRDefault="009E2FDE" w:rsidP="00564872">
            <w:pPr>
              <w:spacing w:line="480" w:lineRule="auto"/>
              <w:jc w:val="center"/>
              <w:rPr>
                <w:rFonts w:ascii="Arial" w:hAnsi="Arial" w:cs="Arial"/>
              </w:rPr>
            </w:pPr>
            <w:r w:rsidRPr="009E038A">
              <w:rPr>
                <w:rFonts w:ascii="Arial" w:hAnsi="Arial" w:cs="Arial"/>
              </w:rPr>
              <w:t>Tannins</w:t>
            </w:r>
          </w:p>
        </w:tc>
        <w:tc>
          <w:tcPr>
            <w:tcW w:w="1204" w:type="pct"/>
            <w:hideMark/>
          </w:tcPr>
          <w:p w14:paraId="5BF36B14"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245FCAB0"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09EF9569"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71F8D322" w14:textId="77777777" w:rsidTr="009E038A">
        <w:trPr>
          <w:trHeight w:val="311"/>
          <w:jc w:val="center"/>
        </w:trPr>
        <w:tc>
          <w:tcPr>
            <w:tcW w:w="424" w:type="pct"/>
            <w:hideMark/>
          </w:tcPr>
          <w:p w14:paraId="080F9E6B" w14:textId="77777777" w:rsidR="009E2FDE" w:rsidRPr="009E038A" w:rsidRDefault="009E2FDE" w:rsidP="00564872">
            <w:pPr>
              <w:spacing w:line="480" w:lineRule="auto"/>
              <w:jc w:val="center"/>
              <w:rPr>
                <w:rFonts w:ascii="Arial" w:hAnsi="Arial" w:cs="Arial"/>
              </w:rPr>
            </w:pPr>
            <w:r w:rsidRPr="009E038A">
              <w:rPr>
                <w:rFonts w:ascii="Arial" w:hAnsi="Arial" w:cs="Arial"/>
              </w:rPr>
              <w:t>6.</w:t>
            </w:r>
          </w:p>
        </w:tc>
        <w:tc>
          <w:tcPr>
            <w:tcW w:w="981" w:type="pct"/>
            <w:hideMark/>
          </w:tcPr>
          <w:p w14:paraId="5A3D1D40" w14:textId="77777777" w:rsidR="009E2FDE" w:rsidRPr="009E038A" w:rsidRDefault="009E2FDE" w:rsidP="00564872">
            <w:pPr>
              <w:spacing w:line="480" w:lineRule="auto"/>
              <w:jc w:val="center"/>
              <w:rPr>
                <w:rFonts w:ascii="Arial" w:hAnsi="Arial" w:cs="Arial"/>
              </w:rPr>
            </w:pPr>
            <w:r w:rsidRPr="009E038A">
              <w:rPr>
                <w:rFonts w:ascii="Arial" w:hAnsi="Arial" w:cs="Arial"/>
              </w:rPr>
              <w:t>Phenols</w:t>
            </w:r>
          </w:p>
        </w:tc>
        <w:tc>
          <w:tcPr>
            <w:tcW w:w="1204" w:type="pct"/>
            <w:hideMark/>
          </w:tcPr>
          <w:p w14:paraId="75980ACC"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64E31930"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774A219F"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56820C6B" w14:textId="77777777" w:rsidTr="009E038A">
        <w:trPr>
          <w:trHeight w:val="311"/>
          <w:jc w:val="center"/>
        </w:trPr>
        <w:tc>
          <w:tcPr>
            <w:tcW w:w="424" w:type="pct"/>
            <w:hideMark/>
          </w:tcPr>
          <w:p w14:paraId="71C8C1A6" w14:textId="77777777" w:rsidR="009E2FDE" w:rsidRPr="009E038A" w:rsidRDefault="009E2FDE" w:rsidP="00564872">
            <w:pPr>
              <w:spacing w:line="480" w:lineRule="auto"/>
              <w:jc w:val="center"/>
              <w:rPr>
                <w:rFonts w:ascii="Arial" w:hAnsi="Arial" w:cs="Arial"/>
              </w:rPr>
            </w:pPr>
            <w:r w:rsidRPr="009E038A">
              <w:rPr>
                <w:rFonts w:ascii="Arial" w:hAnsi="Arial" w:cs="Arial"/>
              </w:rPr>
              <w:t>7.</w:t>
            </w:r>
          </w:p>
        </w:tc>
        <w:tc>
          <w:tcPr>
            <w:tcW w:w="981" w:type="pct"/>
            <w:hideMark/>
          </w:tcPr>
          <w:p w14:paraId="3DB9F8B6" w14:textId="77777777" w:rsidR="009E2FDE" w:rsidRPr="009E038A" w:rsidRDefault="009E2FDE" w:rsidP="00564872">
            <w:pPr>
              <w:spacing w:line="480" w:lineRule="auto"/>
              <w:jc w:val="center"/>
              <w:rPr>
                <w:rFonts w:ascii="Arial" w:hAnsi="Arial" w:cs="Arial"/>
              </w:rPr>
            </w:pPr>
            <w:r w:rsidRPr="009E038A">
              <w:rPr>
                <w:rFonts w:ascii="Arial" w:hAnsi="Arial" w:cs="Arial"/>
              </w:rPr>
              <w:t>Steroids</w:t>
            </w:r>
          </w:p>
        </w:tc>
        <w:tc>
          <w:tcPr>
            <w:tcW w:w="1204" w:type="pct"/>
            <w:hideMark/>
          </w:tcPr>
          <w:p w14:paraId="22873E41"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396BF8D0"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7E351C0D"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r w:rsidR="009E2FDE" w:rsidRPr="009E038A" w14:paraId="03C4373E" w14:textId="77777777" w:rsidTr="009E038A">
        <w:trPr>
          <w:trHeight w:val="311"/>
          <w:jc w:val="center"/>
        </w:trPr>
        <w:tc>
          <w:tcPr>
            <w:tcW w:w="424" w:type="pct"/>
            <w:hideMark/>
          </w:tcPr>
          <w:p w14:paraId="56233BB6" w14:textId="77777777" w:rsidR="009E2FDE" w:rsidRPr="009E038A" w:rsidRDefault="009E2FDE" w:rsidP="00564872">
            <w:pPr>
              <w:spacing w:line="480" w:lineRule="auto"/>
              <w:jc w:val="center"/>
              <w:rPr>
                <w:rFonts w:ascii="Arial" w:hAnsi="Arial" w:cs="Arial"/>
              </w:rPr>
            </w:pPr>
            <w:r w:rsidRPr="009E038A">
              <w:rPr>
                <w:rFonts w:ascii="Arial" w:hAnsi="Arial" w:cs="Arial"/>
              </w:rPr>
              <w:t>8.</w:t>
            </w:r>
          </w:p>
        </w:tc>
        <w:tc>
          <w:tcPr>
            <w:tcW w:w="981" w:type="pct"/>
            <w:hideMark/>
          </w:tcPr>
          <w:p w14:paraId="20B6A2F7" w14:textId="77777777" w:rsidR="009E2FDE" w:rsidRPr="009E038A" w:rsidRDefault="009E2FDE" w:rsidP="00564872">
            <w:pPr>
              <w:spacing w:line="480" w:lineRule="auto"/>
              <w:jc w:val="center"/>
              <w:rPr>
                <w:rFonts w:ascii="Arial" w:hAnsi="Arial" w:cs="Arial"/>
              </w:rPr>
            </w:pPr>
            <w:r w:rsidRPr="009E038A">
              <w:rPr>
                <w:rFonts w:ascii="Arial" w:hAnsi="Arial" w:cs="Arial"/>
              </w:rPr>
              <w:t>Alkaloid</w:t>
            </w:r>
          </w:p>
        </w:tc>
        <w:tc>
          <w:tcPr>
            <w:tcW w:w="1204" w:type="pct"/>
            <w:hideMark/>
          </w:tcPr>
          <w:p w14:paraId="19969C26"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222" w:type="pct"/>
            <w:hideMark/>
          </w:tcPr>
          <w:p w14:paraId="41F11D0B"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c>
          <w:tcPr>
            <w:tcW w:w="1170" w:type="pct"/>
            <w:hideMark/>
          </w:tcPr>
          <w:p w14:paraId="59F41486" w14:textId="77777777" w:rsidR="009E2FDE" w:rsidRPr="009E038A" w:rsidRDefault="009E2FDE" w:rsidP="00564872">
            <w:pPr>
              <w:spacing w:line="480" w:lineRule="auto"/>
              <w:jc w:val="center"/>
              <w:rPr>
                <w:rFonts w:ascii="Arial" w:hAnsi="Arial" w:cs="Arial"/>
              </w:rPr>
            </w:pPr>
            <w:r w:rsidRPr="009E038A">
              <w:rPr>
                <w:rFonts w:ascii="Arial" w:hAnsi="Arial" w:cs="Arial"/>
              </w:rPr>
              <w:t>++</w:t>
            </w:r>
          </w:p>
        </w:tc>
      </w:tr>
    </w:tbl>
    <w:p w14:paraId="198801D8" w14:textId="77777777" w:rsidR="009E2FDE" w:rsidRDefault="009E2FDE" w:rsidP="00564872">
      <w:pPr>
        <w:spacing w:line="480" w:lineRule="auto"/>
        <w:ind w:left="360"/>
        <w:rPr>
          <w:szCs w:val="24"/>
        </w:rPr>
      </w:pPr>
    </w:p>
    <w:p w14:paraId="11BB776A" w14:textId="77777777" w:rsidR="009E2FDE" w:rsidRPr="007A1464" w:rsidRDefault="009E2FDE" w:rsidP="00564872">
      <w:pPr>
        <w:pStyle w:val="ListParagraph"/>
        <w:numPr>
          <w:ilvl w:val="0"/>
          <w:numId w:val="38"/>
        </w:numPr>
        <w:spacing w:after="160" w:line="480" w:lineRule="auto"/>
        <w:ind w:left="360"/>
        <w:rPr>
          <w:rFonts w:ascii="Arial" w:hAnsi="Arial" w:cs="Arial"/>
          <w:b/>
          <w:sz w:val="22"/>
        </w:rPr>
      </w:pPr>
      <w:r w:rsidRPr="007A1464">
        <w:rPr>
          <w:rFonts w:ascii="Arial" w:hAnsi="Arial" w:cs="Arial"/>
          <w:b/>
          <w:sz w:val="22"/>
        </w:rPr>
        <w:t>Total Polyphenol Content Estimation</w:t>
      </w:r>
    </w:p>
    <w:p w14:paraId="5FE0DCF8" w14:textId="77777777" w:rsidR="009E2FDE" w:rsidRPr="00262439" w:rsidRDefault="009E2FDE" w:rsidP="00564872">
      <w:pPr>
        <w:spacing w:line="480" w:lineRule="auto"/>
        <w:jc w:val="both"/>
        <w:rPr>
          <w:rFonts w:ascii="Arial" w:hAnsi="Arial" w:cs="Arial"/>
          <w:color w:val="000000"/>
          <w:shd w:val="clear" w:color="auto" w:fill="FFFFFF"/>
        </w:rPr>
      </w:pPr>
      <w:r w:rsidRPr="00262439">
        <w:rPr>
          <w:rFonts w:ascii="Arial" w:hAnsi="Arial" w:cs="Arial"/>
          <w:color w:val="000000"/>
          <w:shd w:val="clear" w:color="auto" w:fill="FFFFFF"/>
        </w:rPr>
        <w:t>The quantitative analysis of total polyphenol content, determined using a gallic acid calibration curve (</w:t>
      </w:r>
      <w:r w:rsidRPr="00262439">
        <w:rPr>
          <w:rFonts w:ascii="Arial" w:hAnsi="Arial" w:cs="Arial"/>
          <w:color w:val="000000"/>
          <w:shd w:val="clear" w:color="auto" w:fill="FFFFFF"/>
        </w:rPr>
        <w:fldChar w:fldCharType="begin"/>
      </w:r>
      <w:r w:rsidRPr="00262439">
        <w:rPr>
          <w:rFonts w:ascii="Arial" w:hAnsi="Arial" w:cs="Arial"/>
          <w:color w:val="000000"/>
          <w:shd w:val="clear" w:color="auto" w:fill="FFFFFF"/>
        </w:rPr>
        <w:instrText xml:space="preserve"> REF _Ref204445313 \h  \* MERGEFORMAT </w:instrText>
      </w:r>
      <w:r w:rsidRPr="00262439">
        <w:rPr>
          <w:rFonts w:ascii="Arial" w:hAnsi="Arial" w:cs="Arial"/>
          <w:color w:val="000000"/>
          <w:shd w:val="clear" w:color="auto" w:fill="FFFFFF"/>
        </w:rPr>
      </w:r>
      <w:r w:rsidRPr="00262439">
        <w:rPr>
          <w:rFonts w:ascii="Arial" w:hAnsi="Arial" w:cs="Arial"/>
          <w:color w:val="000000"/>
          <w:shd w:val="clear" w:color="auto" w:fill="FFFFFF"/>
        </w:rPr>
        <w:fldChar w:fldCharType="separate"/>
      </w:r>
      <w:r w:rsidR="004C23DD">
        <w:rPr>
          <w:rFonts w:ascii="Arial" w:hAnsi="Arial" w:cs="Arial"/>
          <w:color w:val="000000"/>
          <w:shd w:val="clear" w:color="auto" w:fill="FFFFFF"/>
        </w:rPr>
        <w:t>Fig.</w:t>
      </w:r>
      <w:r w:rsidRPr="00262439">
        <w:rPr>
          <w:rFonts w:ascii="Arial" w:hAnsi="Arial" w:cs="Arial"/>
          <w:color w:val="000000"/>
          <w:shd w:val="clear" w:color="auto" w:fill="FFFFFF"/>
        </w:rPr>
        <w:t xml:space="preserve"> 3</w:t>
      </w:r>
      <w:r w:rsidRPr="00262439">
        <w:rPr>
          <w:rFonts w:ascii="Arial" w:hAnsi="Arial" w:cs="Arial"/>
          <w:color w:val="000000"/>
          <w:shd w:val="clear" w:color="auto" w:fill="FFFFFF"/>
        </w:rPr>
        <w:fldChar w:fldCharType="end"/>
      </w:r>
      <w:r w:rsidRPr="00262439">
        <w:rPr>
          <w:rFonts w:ascii="Arial" w:hAnsi="Arial" w:cs="Arial"/>
          <w:color w:val="000000"/>
          <w:shd w:val="clear" w:color="auto" w:fill="FFFFFF"/>
        </w:rPr>
        <w:t>), revealed significant variations among the leaf extracts. Guava extract demonstrated the highest polyphenol concentration at 3.9 mg GAE (Gallic acid equivalent) per gram extract, followed by mango at 3.03 mg GAE/gram extract, and lemon at 1.7 mg GAE/gram extract. These quantifiable differences validate prior qualitative assessments and highlight the differential distribution of these bioactive compounds, which are crucial for their antioxidant, anti-inflammatory, and antimicrobial properties, thus providing a basis for further research into their distinct bioactivities.</w:t>
      </w:r>
    </w:p>
    <w:p w14:paraId="508A1087" w14:textId="77777777" w:rsidR="009E2FDE" w:rsidRPr="00B64841" w:rsidRDefault="009E2FDE" w:rsidP="00564872">
      <w:pPr>
        <w:spacing w:after="55" w:line="480" w:lineRule="auto"/>
      </w:pPr>
    </w:p>
    <w:p w14:paraId="5BA8DD3D" w14:textId="77777777" w:rsidR="009E2FDE" w:rsidRDefault="009E2FDE" w:rsidP="00564872">
      <w:pPr>
        <w:keepNext/>
        <w:spacing w:line="480" w:lineRule="auto"/>
        <w:ind w:left="360"/>
        <w:jc w:val="center"/>
      </w:pPr>
      <w:r>
        <w:rPr>
          <w:noProof/>
          <w:szCs w:val="24"/>
        </w:rPr>
        <w:drawing>
          <wp:inline distT="0" distB="0" distL="0" distR="0" wp14:anchorId="113D3C80" wp14:editId="7546A295">
            <wp:extent cx="2744291" cy="2171270"/>
            <wp:effectExtent l="19050" t="19050" r="18415" b="196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67732" cy="2189816"/>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783C50F6" w14:textId="77777777" w:rsidR="009E2FDE" w:rsidRPr="00D73309" w:rsidRDefault="00D73309" w:rsidP="00564872">
      <w:pPr>
        <w:spacing w:after="55" w:line="480" w:lineRule="auto"/>
        <w:jc w:val="center"/>
        <w:rPr>
          <w:rFonts w:ascii="Arial" w:hAnsi="Arial" w:cs="Arial"/>
          <w:b/>
        </w:rPr>
      </w:pPr>
      <w:bookmarkStart w:id="5" w:name="_Ref204445313"/>
      <w:r w:rsidRPr="00D73309">
        <w:rPr>
          <w:rFonts w:ascii="Arial" w:hAnsi="Arial" w:cs="Arial"/>
          <w:b/>
          <w:color w:val="000000"/>
          <w:shd w:val="clear" w:color="auto" w:fill="FFFFFF"/>
        </w:rPr>
        <w:t>Fig.</w:t>
      </w:r>
      <w:r w:rsidR="009E2FDE" w:rsidRPr="00D73309">
        <w:rPr>
          <w:rFonts w:ascii="Arial" w:hAnsi="Arial" w:cs="Arial"/>
          <w:b/>
        </w:rPr>
        <w:t xml:space="preserve"> </w:t>
      </w:r>
      <w:r w:rsidR="009E2FDE" w:rsidRPr="00D73309">
        <w:rPr>
          <w:rFonts w:ascii="Arial" w:hAnsi="Arial" w:cs="Arial"/>
          <w:b/>
        </w:rPr>
        <w:fldChar w:fldCharType="begin"/>
      </w:r>
      <w:r w:rsidR="009E2FDE" w:rsidRPr="00D73309">
        <w:rPr>
          <w:rFonts w:ascii="Arial" w:hAnsi="Arial" w:cs="Arial"/>
          <w:b/>
        </w:rPr>
        <w:instrText xml:space="preserve"> SEQ Figure \* ARABIC </w:instrText>
      </w:r>
      <w:r w:rsidR="009E2FDE" w:rsidRPr="00D73309">
        <w:rPr>
          <w:rFonts w:ascii="Arial" w:hAnsi="Arial" w:cs="Arial"/>
          <w:b/>
        </w:rPr>
        <w:fldChar w:fldCharType="separate"/>
      </w:r>
      <w:r w:rsidR="009E2FDE" w:rsidRPr="00D73309">
        <w:rPr>
          <w:rFonts w:ascii="Arial" w:hAnsi="Arial" w:cs="Arial"/>
          <w:b/>
        </w:rPr>
        <w:t>3</w:t>
      </w:r>
      <w:r w:rsidR="009E2FDE" w:rsidRPr="00D73309">
        <w:rPr>
          <w:rFonts w:ascii="Arial" w:hAnsi="Arial" w:cs="Arial"/>
          <w:b/>
        </w:rPr>
        <w:fldChar w:fldCharType="end"/>
      </w:r>
      <w:bookmarkEnd w:id="5"/>
      <w:r w:rsidR="009E2FDE" w:rsidRPr="00D73309">
        <w:rPr>
          <w:rFonts w:ascii="Arial" w:hAnsi="Arial" w:cs="Arial"/>
          <w:b/>
        </w:rPr>
        <w:t>. Gallic Acid Standard Curve for Total Polyphenol Content Estimation.</w:t>
      </w:r>
    </w:p>
    <w:p w14:paraId="3CFAEB79" w14:textId="77777777" w:rsidR="009E2FDE" w:rsidRPr="00B64841" w:rsidRDefault="009E2FDE" w:rsidP="00564872">
      <w:pPr>
        <w:spacing w:after="55" w:line="480" w:lineRule="auto"/>
      </w:pPr>
    </w:p>
    <w:p w14:paraId="01284F69" w14:textId="77777777" w:rsidR="009E2FDE" w:rsidRPr="00F35C2A" w:rsidRDefault="009E2FDE" w:rsidP="00564872">
      <w:pPr>
        <w:pStyle w:val="ListParagraph"/>
        <w:numPr>
          <w:ilvl w:val="0"/>
          <w:numId w:val="38"/>
        </w:numPr>
        <w:spacing w:after="160" w:line="480" w:lineRule="auto"/>
        <w:ind w:left="360"/>
        <w:rPr>
          <w:rFonts w:ascii="Arial" w:hAnsi="Arial" w:cs="Arial"/>
          <w:b/>
          <w:sz w:val="22"/>
        </w:rPr>
      </w:pPr>
      <w:r w:rsidRPr="00F35C2A">
        <w:rPr>
          <w:rFonts w:ascii="Arial" w:hAnsi="Arial" w:cs="Arial"/>
          <w:b/>
          <w:sz w:val="22"/>
        </w:rPr>
        <w:t>Total Flavonoid Content Determination</w:t>
      </w:r>
    </w:p>
    <w:p w14:paraId="027B2971" w14:textId="77777777" w:rsidR="009E2FDE" w:rsidRPr="00F75269" w:rsidRDefault="009E2FDE" w:rsidP="00564872">
      <w:pPr>
        <w:spacing w:line="480" w:lineRule="auto"/>
        <w:jc w:val="both"/>
        <w:rPr>
          <w:rFonts w:ascii="Arial" w:hAnsi="Arial" w:cs="Arial"/>
          <w:color w:val="000000"/>
          <w:shd w:val="clear" w:color="auto" w:fill="FFFFFF"/>
        </w:rPr>
      </w:pPr>
      <w:r w:rsidRPr="00F75269">
        <w:rPr>
          <w:rFonts w:ascii="Arial" w:hAnsi="Arial" w:cs="Arial"/>
          <w:color w:val="000000"/>
          <w:shd w:val="clear" w:color="auto" w:fill="FFFFFF"/>
        </w:rPr>
        <w:t>Quantitative analysis of total flavonoid content, determined using a Quercetin standard calibration curve (</w:t>
      </w:r>
      <w:r w:rsidRPr="00F75269">
        <w:rPr>
          <w:rFonts w:ascii="Arial" w:hAnsi="Arial" w:cs="Arial"/>
          <w:color w:val="000000"/>
          <w:shd w:val="clear" w:color="auto" w:fill="FFFFFF"/>
        </w:rPr>
        <w:fldChar w:fldCharType="begin"/>
      </w:r>
      <w:r w:rsidRPr="00F75269">
        <w:rPr>
          <w:rFonts w:ascii="Arial" w:hAnsi="Arial" w:cs="Arial"/>
          <w:color w:val="000000"/>
          <w:shd w:val="clear" w:color="auto" w:fill="FFFFFF"/>
        </w:rPr>
        <w:instrText xml:space="preserve"> REF _Ref204445827 \h  \* MERGEFORMAT </w:instrText>
      </w:r>
      <w:r w:rsidRPr="00F75269">
        <w:rPr>
          <w:rFonts w:ascii="Arial" w:hAnsi="Arial" w:cs="Arial"/>
          <w:color w:val="000000"/>
          <w:shd w:val="clear" w:color="auto" w:fill="FFFFFF"/>
        </w:rPr>
      </w:r>
      <w:r w:rsidRPr="00F75269">
        <w:rPr>
          <w:rFonts w:ascii="Arial" w:hAnsi="Arial" w:cs="Arial"/>
          <w:color w:val="000000"/>
          <w:shd w:val="clear" w:color="auto" w:fill="FFFFFF"/>
        </w:rPr>
        <w:fldChar w:fldCharType="separate"/>
      </w:r>
      <w:r w:rsidR="00E50238">
        <w:rPr>
          <w:rFonts w:ascii="Arial" w:hAnsi="Arial" w:cs="Arial"/>
          <w:color w:val="000000"/>
          <w:shd w:val="clear" w:color="auto" w:fill="FFFFFF"/>
        </w:rPr>
        <w:t>Fig.</w:t>
      </w:r>
      <w:r w:rsidRPr="00F75269">
        <w:rPr>
          <w:rFonts w:ascii="Arial" w:hAnsi="Arial" w:cs="Arial"/>
          <w:color w:val="000000"/>
          <w:shd w:val="clear" w:color="auto" w:fill="FFFFFF"/>
        </w:rPr>
        <w:t xml:space="preserve"> 4</w:t>
      </w:r>
      <w:r w:rsidRPr="00F75269">
        <w:rPr>
          <w:rFonts w:ascii="Arial" w:hAnsi="Arial" w:cs="Arial"/>
          <w:color w:val="000000"/>
          <w:shd w:val="clear" w:color="auto" w:fill="FFFFFF"/>
        </w:rPr>
        <w:fldChar w:fldCharType="end"/>
      </w:r>
      <w:r w:rsidRPr="00F75269">
        <w:rPr>
          <w:rFonts w:ascii="Arial" w:hAnsi="Arial" w:cs="Arial"/>
          <w:color w:val="000000"/>
          <w:shd w:val="clear" w:color="auto" w:fill="FFFFFF"/>
        </w:rPr>
        <w:t xml:space="preserve">), revealed distinct concentrations among the fruit extracts. Guava extract exhibited the highest flavonoid content at 523.33 µg QE (Quercetin equivalent) per gram extract, followed by mango at 448.33 µg QE/gram extract, and lemon at 290 µg QE/gram </w:t>
      </w:r>
      <w:r w:rsidRPr="00F75269">
        <w:rPr>
          <w:rFonts w:ascii="Arial" w:hAnsi="Arial" w:cs="Arial"/>
          <w:color w:val="000000"/>
          <w:shd w:val="clear" w:color="auto" w:fill="FFFFFF"/>
        </w:rPr>
        <w:lastRenderedPageBreak/>
        <w:t>extract. These findings quantify the differential distribution of flavonoids, a class of metabolites known for their significant antioxidant, anti-inflammatory, and anti-cancer properties, thus highlighting the varying potential health benefits and applications of these fruit extracts.</w:t>
      </w:r>
    </w:p>
    <w:p w14:paraId="49F193AA" w14:textId="77777777" w:rsidR="009E2FDE" w:rsidRPr="00B64841" w:rsidRDefault="009E2FDE" w:rsidP="00564872">
      <w:pPr>
        <w:spacing w:after="55" w:line="480" w:lineRule="auto"/>
      </w:pPr>
    </w:p>
    <w:p w14:paraId="53BACE43" w14:textId="77777777" w:rsidR="009E2FDE" w:rsidRDefault="009E2FDE" w:rsidP="00564872">
      <w:pPr>
        <w:keepNext/>
        <w:spacing w:line="480" w:lineRule="auto"/>
        <w:ind w:left="360"/>
        <w:jc w:val="center"/>
      </w:pPr>
      <w:r>
        <w:rPr>
          <w:noProof/>
          <w:szCs w:val="24"/>
        </w:rPr>
        <w:drawing>
          <wp:inline distT="0" distB="0" distL="0" distR="0" wp14:anchorId="31D83527" wp14:editId="3AAD6FFF">
            <wp:extent cx="2921717" cy="2180674"/>
            <wp:effectExtent l="19050" t="19050" r="12065"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21717" cy="2180674"/>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4087C857" w14:textId="77777777" w:rsidR="009E2FDE" w:rsidRPr="00330157" w:rsidRDefault="00EC6892" w:rsidP="00564872">
      <w:pPr>
        <w:spacing w:after="55" w:line="480" w:lineRule="auto"/>
        <w:jc w:val="center"/>
        <w:rPr>
          <w:rFonts w:ascii="Arial" w:hAnsi="Arial" w:cs="Arial"/>
          <w:b/>
        </w:rPr>
      </w:pPr>
      <w:bookmarkStart w:id="6" w:name="_Ref204445827"/>
      <w:r w:rsidRPr="00330157">
        <w:rPr>
          <w:rFonts w:ascii="Arial" w:hAnsi="Arial" w:cs="Arial"/>
          <w:b/>
          <w:color w:val="000000"/>
          <w:shd w:val="clear" w:color="auto" w:fill="FFFFFF"/>
        </w:rPr>
        <w:t>Fig.</w:t>
      </w:r>
      <w:r w:rsidR="009E2FDE" w:rsidRPr="00330157">
        <w:rPr>
          <w:rFonts w:ascii="Arial" w:hAnsi="Arial" w:cs="Arial"/>
          <w:b/>
        </w:rPr>
        <w:t xml:space="preserve"> </w:t>
      </w:r>
      <w:r w:rsidR="009E2FDE" w:rsidRPr="00330157">
        <w:rPr>
          <w:rFonts w:ascii="Arial" w:hAnsi="Arial" w:cs="Arial"/>
          <w:b/>
        </w:rPr>
        <w:fldChar w:fldCharType="begin"/>
      </w:r>
      <w:r w:rsidR="009E2FDE" w:rsidRPr="00330157">
        <w:rPr>
          <w:rFonts w:ascii="Arial" w:hAnsi="Arial" w:cs="Arial"/>
          <w:b/>
        </w:rPr>
        <w:instrText xml:space="preserve"> SEQ Figure \* ARABIC </w:instrText>
      </w:r>
      <w:r w:rsidR="009E2FDE" w:rsidRPr="00330157">
        <w:rPr>
          <w:rFonts w:ascii="Arial" w:hAnsi="Arial" w:cs="Arial"/>
          <w:b/>
        </w:rPr>
        <w:fldChar w:fldCharType="separate"/>
      </w:r>
      <w:r w:rsidR="009E2FDE" w:rsidRPr="00330157">
        <w:rPr>
          <w:rFonts w:ascii="Arial" w:hAnsi="Arial" w:cs="Arial"/>
          <w:b/>
        </w:rPr>
        <w:t>4</w:t>
      </w:r>
      <w:r w:rsidR="009E2FDE" w:rsidRPr="00330157">
        <w:rPr>
          <w:rFonts w:ascii="Arial" w:hAnsi="Arial" w:cs="Arial"/>
          <w:b/>
        </w:rPr>
        <w:fldChar w:fldCharType="end"/>
      </w:r>
      <w:bookmarkEnd w:id="6"/>
      <w:r w:rsidR="009E2FDE" w:rsidRPr="00330157">
        <w:rPr>
          <w:rFonts w:ascii="Arial" w:hAnsi="Arial" w:cs="Arial"/>
          <w:b/>
        </w:rPr>
        <w:t>. Quercetin Standard Curve for Total Flavonoid Content Estimation.</w:t>
      </w:r>
    </w:p>
    <w:p w14:paraId="341D8FF1" w14:textId="77777777" w:rsidR="009E2FDE" w:rsidRPr="00B64841" w:rsidRDefault="009E2FDE" w:rsidP="00564872">
      <w:pPr>
        <w:spacing w:after="55" w:line="480" w:lineRule="auto"/>
      </w:pPr>
    </w:p>
    <w:p w14:paraId="6D27DE53" w14:textId="77777777" w:rsidR="009E2FDE" w:rsidRPr="005933C9" w:rsidRDefault="009E2FDE" w:rsidP="00564872">
      <w:pPr>
        <w:pStyle w:val="ListParagraph"/>
        <w:numPr>
          <w:ilvl w:val="0"/>
          <w:numId w:val="38"/>
        </w:numPr>
        <w:spacing w:after="160" w:line="480" w:lineRule="auto"/>
        <w:ind w:left="360"/>
        <w:rPr>
          <w:rFonts w:ascii="Arial" w:hAnsi="Arial" w:cs="Arial"/>
          <w:b/>
          <w:sz w:val="22"/>
        </w:rPr>
      </w:pPr>
      <w:r w:rsidRPr="005933C9">
        <w:rPr>
          <w:rFonts w:ascii="Arial" w:hAnsi="Arial" w:cs="Arial"/>
          <w:b/>
          <w:sz w:val="22"/>
        </w:rPr>
        <w:t>Ferric Reducing Power Assay (FRPA)</w:t>
      </w:r>
    </w:p>
    <w:p w14:paraId="2D8904D3" w14:textId="77777777" w:rsidR="009E2FDE" w:rsidRPr="0075571E" w:rsidRDefault="009E2FDE" w:rsidP="00564872">
      <w:pPr>
        <w:spacing w:line="480" w:lineRule="auto"/>
        <w:jc w:val="both"/>
        <w:rPr>
          <w:rFonts w:ascii="Arial" w:hAnsi="Arial" w:cs="Arial"/>
          <w:color w:val="000000"/>
          <w:shd w:val="clear" w:color="auto" w:fill="FFFFFF"/>
        </w:rPr>
      </w:pPr>
      <w:r w:rsidRPr="0075571E">
        <w:rPr>
          <w:rFonts w:ascii="Arial" w:hAnsi="Arial" w:cs="Arial"/>
          <w:color w:val="000000"/>
          <w:shd w:val="clear" w:color="auto" w:fill="FFFFFF"/>
        </w:rPr>
        <w:t>The Ferric Reducing Power Assay (FRPA) revealed significant differences among the extracts. Utilizing an ascorbic acid standard curve (</w:t>
      </w:r>
      <w:r w:rsidRPr="0075571E">
        <w:rPr>
          <w:rFonts w:ascii="Arial" w:hAnsi="Arial" w:cs="Arial"/>
          <w:color w:val="000000"/>
          <w:shd w:val="clear" w:color="auto" w:fill="FFFFFF"/>
        </w:rPr>
        <w:fldChar w:fldCharType="begin"/>
      </w:r>
      <w:r w:rsidRPr="0075571E">
        <w:rPr>
          <w:rFonts w:ascii="Arial" w:hAnsi="Arial" w:cs="Arial"/>
          <w:color w:val="000000"/>
          <w:shd w:val="clear" w:color="auto" w:fill="FFFFFF"/>
        </w:rPr>
        <w:instrText xml:space="preserve"> REF _Ref204446479 \h  \* MERGEFORMAT </w:instrText>
      </w:r>
      <w:r w:rsidRPr="0075571E">
        <w:rPr>
          <w:rFonts w:ascii="Arial" w:hAnsi="Arial" w:cs="Arial"/>
          <w:color w:val="000000"/>
          <w:shd w:val="clear" w:color="auto" w:fill="FFFFFF"/>
        </w:rPr>
      </w:r>
      <w:r w:rsidRPr="0075571E">
        <w:rPr>
          <w:rFonts w:ascii="Arial" w:hAnsi="Arial" w:cs="Arial"/>
          <w:color w:val="000000"/>
          <w:shd w:val="clear" w:color="auto" w:fill="FFFFFF"/>
        </w:rPr>
        <w:fldChar w:fldCharType="separate"/>
      </w:r>
      <w:r w:rsidR="005933C9">
        <w:rPr>
          <w:rFonts w:ascii="Arial" w:hAnsi="Arial" w:cs="Arial"/>
          <w:color w:val="000000"/>
          <w:shd w:val="clear" w:color="auto" w:fill="FFFFFF"/>
        </w:rPr>
        <w:t>Fig.</w:t>
      </w:r>
      <w:r w:rsidRPr="0075571E">
        <w:rPr>
          <w:rFonts w:ascii="Arial" w:hAnsi="Arial" w:cs="Arial"/>
          <w:color w:val="000000"/>
          <w:shd w:val="clear" w:color="auto" w:fill="FFFFFF"/>
        </w:rPr>
        <w:t xml:space="preserve"> 5</w:t>
      </w:r>
      <w:r w:rsidRPr="0075571E">
        <w:rPr>
          <w:rFonts w:ascii="Arial" w:hAnsi="Arial" w:cs="Arial"/>
          <w:color w:val="000000"/>
          <w:shd w:val="clear" w:color="auto" w:fill="FFFFFF"/>
        </w:rPr>
        <w:fldChar w:fldCharType="end"/>
      </w:r>
      <w:r w:rsidRPr="0075571E">
        <w:rPr>
          <w:rFonts w:ascii="Arial" w:hAnsi="Arial" w:cs="Arial"/>
          <w:color w:val="000000"/>
          <w:shd w:val="clear" w:color="auto" w:fill="FFFFFF"/>
        </w:rPr>
        <w:t>), guava extract demonstrated the highest antioxidative content at 11.8 mg AAE (Ascorbic acid equivalent) per gram extract, followed by mango at 3.8 mg AAE/gram extract, and lemon with the lowest at 0.34 mg AAE/gram extract. These results clearly indicate that guava extract possesses significantly greater reducing power and thus a higher antioxidant capacity under the tested conditions, suggesting its potential as a more potent source of natural antioxidants.</w:t>
      </w:r>
    </w:p>
    <w:p w14:paraId="7C8AD110" w14:textId="77777777" w:rsidR="009E2FDE" w:rsidRPr="00B64841" w:rsidRDefault="009E2FDE" w:rsidP="00564872">
      <w:pPr>
        <w:spacing w:after="55" w:line="480" w:lineRule="auto"/>
      </w:pPr>
    </w:p>
    <w:p w14:paraId="74835EC7" w14:textId="77777777" w:rsidR="009E2FDE" w:rsidRDefault="009E2FDE" w:rsidP="00564872">
      <w:pPr>
        <w:spacing w:after="55" w:line="480" w:lineRule="auto"/>
        <w:jc w:val="center"/>
      </w:pPr>
      <w:r>
        <w:rPr>
          <w:noProof/>
          <w:szCs w:val="24"/>
        </w:rPr>
        <w:lastRenderedPageBreak/>
        <w:drawing>
          <wp:inline distT="0" distB="0" distL="0" distR="0" wp14:anchorId="003E1268" wp14:editId="5FC8F009">
            <wp:extent cx="2781300" cy="2269152"/>
            <wp:effectExtent l="19050" t="19050" r="19050" b="171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785218" cy="2272348"/>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6ED7DDD1" w14:textId="77777777" w:rsidR="009E2FDE" w:rsidRPr="00C31B7D" w:rsidRDefault="00C31B7D" w:rsidP="00564872">
      <w:pPr>
        <w:spacing w:after="55" w:line="480" w:lineRule="auto"/>
        <w:jc w:val="center"/>
        <w:rPr>
          <w:rFonts w:ascii="Arial" w:hAnsi="Arial" w:cs="Arial"/>
          <w:b/>
        </w:rPr>
      </w:pPr>
      <w:bookmarkStart w:id="7" w:name="_Ref204446479"/>
      <w:r w:rsidRPr="00C31B7D">
        <w:rPr>
          <w:rFonts w:ascii="Arial" w:hAnsi="Arial" w:cs="Arial"/>
          <w:b/>
          <w:color w:val="000000"/>
          <w:shd w:val="clear" w:color="auto" w:fill="FFFFFF"/>
        </w:rPr>
        <w:t>Fig.</w:t>
      </w:r>
      <w:r w:rsidR="009E2FDE" w:rsidRPr="00C31B7D">
        <w:rPr>
          <w:rFonts w:ascii="Arial" w:hAnsi="Arial" w:cs="Arial"/>
          <w:b/>
        </w:rPr>
        <w:t xml:space="preserve"> </w:t>
      </w:r>
      <w:r w:rsidR="009E2FDE" w:rsidRPr="00C31B7D">
        <w:rPr>
          <w:rFonts w:ascii="Arial" w:hAnsi="Arial" w:cs="Arial"/>
          <w:b/>
        </w:rPr>
        <w:fldChar w:fldCharType="begin"/>
      </w:r>
      <w:r w:rsidR="009E2FDE" w:rsidRPr="00C31B7D">
        <w:rPr>
          <w:rFonts w:ascii="Arial" w:hAnsi="Arial" w:cs="Arial"/>
          <w:b/>
        </w:rPr>
        <w:instrText xml:space="preserve"> SEQ Figure \* ARABIC </w:instrText>
      </w:r>
      <w:r w:rsidR="009E2FDE" w:rsidRPr="00C31B7D">
        <w:rPr>
          <w:rFonts w:ascii="Arial" w:hAnsi="Arial" w:cs="Arial"/>
          <w:b/>
        </w:rPr>
        <w:fldChar w:fldCharType="separate"/>
      </w:r>
      <w:r w:rsidR="009E2FDE" w:rsidRPr="00C31B7D">
        <w:rPr>
          <w:rFonts w:ascii="Arial" w:hAnsi="Arial" w:cs="Arial"/>
          <w:b/>
        </w:rPr>
        <w:t>5</w:t>
      </w:r>
      <w:r w:rsidR="009E2FDE" w:rsidRPr="00C31B7D">
        <w:rPr>
          <w:rFonts w:ascii="Arial" w:hAnsi="Arial" w:cs="Arial"/>
          <w:b/>
        </w:rPr>
        <w:fldChar w:fldCharType="end"/>
      </w:r>
      <w:bookmarkEnd w:id="7"/>
      <w:r w:rsidR="009E2FDE" w:rsidRPr="00C31B7D">
        <w:rPr>
          <w:rFonts w:ascii="Arial" w:hAnsi="Arial" w:cs="Arial"/>
          <w:b/>
        </w:rPr>
        <w:t>. Ascorbic Acid Standard Curve for Ferric Reducing Power Assay (FRPA).</w:t>
      </w:r>
    </w:p>
    <w:p w14:paraId="6A659FEC" w14:textId="77777777" w:rsidR="009E2FDE" w:rsidRPr="00B64841" w:rsidRDefault="009E2FDE" w:rsidP="00564872">
      <w:pPr>
        <w:spacing w:after="55" w:line="480" w:lineRule="auto"/>
      </w:pPr>
    </w:p>
    <w:p w14:paraId="57B50A75" w14:textId="77777777" w:rsidR="009E2FDE" w:rsidRPr="002D02E5" w:rsidRDefault="009E2FDE" w:rsidP="00564872">
      <w:pPr>
        <w:pStyle w:val="ListParagraph"/>
        <w:numPr>
          <w:ilvl w:val="0"/>
          <w:numId w:val="38"/>
        </w:numPr>
        <w:spacing w:after="160" w:line="480" w:lineRule="auto"/>
        <w:ind w:left="360"/>
        <w:rPr>
          <w:rFonts w:ascii="Arial" w:hAnsi="Arial" w:cs="Arial"/>
          <w:b/>
          <w:sz w:val="22"/>
        </w:rPr>
      </w:pPr>
      <w:r w:rsidRPr="002D02E5">
        <w:rPr>
          <w:rFonts w:ascii="Arial" w:hAnsi="Arial" w:cs="Arial"/>
          <w:b/>
          <w:sz w:val="22"/>
        </w:rPr>
        <w:t>Total antioxidant capacity (TAC) Determination</w:t>
      </w:r>
    </w:p>
    <w:p w14:paraId="575F0FA8" w14:textId="77777777" w:rsidR="009E2FDE" w:rsidRPr="004804E6" w:rsidRDefault="009E2FDE" w:rsidP="00564872">
      <w:pPr>
        <w:spacing w:line="480" w:lineRule="auto"/>
        <w:jc w:val="both"/>
        <w:rPr>
          <w:rFonts w:ascii="Arial" w:hAnsi="Arial" w:cs="Arial"/>
          <w:color w:val="000000"/>
          <w:shd w:val="clear" w:color="auto" w:fill="FFFFFF"/>
        </w:rPr>
      </w:pPr>
      <w:r w:rsidRPr="004804E6">
        <w:rPr>
          <w:rFonts w:ascii="Arial" w:hAnsi="Arial" w:cs="Arial"/>
          <w:color w:val="000000"/>
          <w:shd w:val="clear" w:color="auto" w:fill="FFFFFF"/>
        </w:rPr>
        <w:t>The total antioxidant capacity (TAC) of lemon, mango, and guava leaf extracts was quantified using the phosphomolybdate reduction assay, with results expressed as Ascorbic Acid Equivalents (AAE) based on an ascorbic acid standard curve (</w:t>
      </w:r>
      <w:r w:rsidRPr="004804E6">
        <w:rPr>
          <w:rFonts w:ascii="Arial" w:hAnsi="Arial" w:cs="Arial"/>
          <w:color w:val="000000"/>
          <w:shd w:val="clear" w:color="auto" w:fill="FFFFFF"/>
        </w:rPr>
        <w:fldChar w:fldCharType="begin"/>
      </w:r>
      <w:r w:rsidRPr="004804E6">
        <w:rPr>
          <w:rFonts w:ascii="Arial" w:hAnsi="Arial" w:cs="Arial"/>
          <w:color w:val="000000"/>
          <w:shd w:val="clear" w:color="auto" w:fill="FFFFFF"/>
        </w:rPr>
        <w:instrText xml:space="preserve"> REF _Ref204446963 \h  \* MERGEFORMAT </w:instrText>
      </w:r>
      <w:r w:rsidRPr="004804E6">
        <w:rPr>
          <w:rFonts w:ascii="Arial" w:hAnsi="Arial" w:cs="Arial"/>
          <w:color w:val="000000"/>
          <w:shd w:val="clear" w:color="auto" w:fill="FFFFFF"/>
        </w:rPr>
      </w:r>
      <w:r w:rsidRPr="004804E6">
        <w:rPr>
          <w:rFonts w:ascii="Arial" w:hAnsi="Arial" w:cs="Arial"/>
          <w:color w:val="000000"/>
          <w:shd w:val="clear" w:color="auto" w:fill="FFFFFF"/>
        </w:rPr>
        <w:fldChar w:fldCharType="separate"/>
      </w:r>
      <w:r w:rsidR="007333ED">
        <w:rPr>
          <w:rFonts w:ascii="Arial" w:hAnsi="Arial" w:cs="Arial"/>
          <w:color w:val="000000"/>
          <w:shd w:val="clear" w:color="auto" w:fill="FFFFFF"/>
        </w:rPr>
        <w:t>Fig.</w:t>
      </w:r>
      <w:r w:rsidRPr="004804E6">
        <w:rPr>
          <w:rFonts w:ascii="Arial" w:hAnsi="Arial" w:cs="Arial"/>
          <w:color w:val="000000"/>
          <w:shd w:val="clear" w:color="auto" w:fill="FFFFFF"/>
        </w:rPr>
        <w:t xml:space="preserve"> 6</w:t>
      </w:r>
      <w:r w:rsidRPr="004804E6">
        <w:rPr>
          <w:rFonts w:ascii="Arial" w:hAnsi="Arial" w:cs="Arial"/>
          <w:color w:val="000000"/>
          <w:shd w:val="clear" w:color="auto" w:fill="FFFFFF"/>
        </w:rPr>
        <w:fldChar w:fldCharType="end"/>
      </w:r>
      <w:r w:rsidRPr="004804E6">
        <w:rPr>
          <w:rFonts w:ascii="Arial" w:hAnsi="Arial" w:cs="Arial"/>
          <w:color w:val="000000"/>
          <w:shd w:val="clear" w:color="auto" w:fill="FFFFFF"/>
        </w:rPr>
        <w:t>). Guava extract demonstrated the highest TAC at 3.91 mg AAE/gram, followed by mango at 2.98 mg AAE/gram, and lemon at 2.29 mg AAE/gram. This indicates that guava possesses the most potent reducing power among the three, suggesting its potential as a superior source of natural antioxidants.</w:t>
      </w:r>
    </w:p>
    <w:p w14:paraId="74E8821C" w14:textId="77777777" w:rsidR="009E2FDE" w:rsidRPr="004804E6" w:rsidRDefault="009E2FDE" w:rsidP="00564872">
      <w:pPr>
        <w:spacing w:line="480" w:lineRule="auto"/>
        <w:jc w:val="both"/>
        <w:rPr>
          <w:rFonts w:ascii="Arial" w:hAnsi="Arial" w:cs="Arial"/>
          <w:color w:val="000000"/>
          <w:shd w:val="clear" w:color="auto" w:fill="FFFFFF"/>
        </w:rPr>
      </w:pPr>
      <w:r w:rsidRPr="004804E6">
        <w:rPr>
          <w:rFonts w:ascii="Arial" w:hAnsi="Arial" w:cs="Arial"/>
          <w:color w:val="000000"/>
          <w:shd w:val="clear" w:color="auto" w:fill="FFFFFF"/>
        </w:rPr>
        <w:t xml:space="preserve">This strong antioxidant activity is crucial for counteracting oxidative stress, a fundamental process implicated in numerous chronic diseases. These findings corroborate the general understanding of the antioxidant potential of these leaves (Pan et al., 2018; Kaur et al., 2025; </w:t>
      </w:r>
      <w:proofErr w:type="spellStart"/>
      <w:r w:rsidRPr="004804E6">
        <w:rPr>
          <w:rFonts w:ascii="Arial" w:hAnsi="Arial" w:cs="Arial"/>
          <w:color w:val="000000"/>
          <w:shd w:val="clear" w:color="auto" w:fill="FFFFFF"/>
        </w:rPr>
        <w:t>Khettal</w:t>
      </w:r>
      <w:proofErr w:type="spellEnd"/>
      <w:r w:rsidRPr="004804E6">
        <w:rPr>
          <w:rFonts w:ascii="Arial" w:hAnsi="Arial" w:cs="Arial"/>
          <w:color w:val="000000"/>
          <w:shd w:val="clear" w:color="auto" w:fill="FFFFFF"/>
        </w:rPr>
        <w:t xml:space="preserve"> et al., 2017) but provide a critical comparative ranking that was previously lacking. The observed differences are directly attributable to the varying concentrations of polyphenols and flavonoids, supporting the concept that the health benefits of botanicals arise from the additive and synergistic combinations of their phytochemicals (Liu, 2003).</w:t>
      </w:r>
    </w:p>
    <w:p w14:paraId="16D46376" w14:textId="77777777" w:rsidR="009E2FDE" w:rsidRPr="00C84A17" w:rsidRDefault="009E2FDE" w:rsidP="00564872">
      <w:pPr>
        <w:spacing w:after="55" w:line="480" w:lineRule="auto"/>
      </w:pPr>
    </w:p>
    <w:p w14:paraId="6CF85FEF" w14:textId="77777777" w:rsidR="009E2FDE" w:rsidRDefault="009E2FDE" w:rsidP="00564872">
      <w:pPr>
        <w:keepNext/>
        <w:spacing w:line="480" w:lineRule="auto"/>
        <w:ind w:left="360"/>
        <w:jc w:val="center"/>
      </w:pPr>
      <w:r>
        <w:rPr>
          <w:noProof/>
          <w:szCs w:val="24"/>
        </w:rPr>
        <w:lastRenderedPageBreak/>
        <w:drawing>
          <wp:inline distT="0" distB="0" distL="0" distR="0" wp14:anchorId="1B5B8415" wp14:editId="7825DE2A">
            <wp:extent cx="2637879" cy="2178278"/>
            <wp:effectExtent l="19050" t="19050" r="1016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637879" cy="2178278"/>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0F854B43" w14:textId="77777777" w:rsidR="009E2FDE" w:rsidRPr="00F17D6F" w:rsidRDefault="004616E0" w:rsidP="00564872">
      <w:pPr>
        <w:spacing w:after="55" w:line="480" w:lineRule="auto"/>
        <w:jc w:val="center"/>
        <w:rPr>
          <w:rFonts w:ascii="Arial" w:hAnsi="Arial" w:cs="Arial"/>
          <w:b/>
        </w:rPr>
      </w:pPr>
      <w:bookmarkStart w:id="8" w:name="_Ref204446963"/>
      <w:r w:rsidRPr="00F17D6F">
        <w:rPr>
          <w:rFonts w:ascii="Arial" w:hAnsi="Arial" w:cs="Arial"/>
          <w:b/>
          <w:color w:val="000000"/>
          <w:shd w:val="clear" w:color="auto" w:fill="FFFFFF"/>
        </w:rPr>
        <w:t>Fig.</w:t>
      </w:r>
      <w:r w:rsidR="009E2FDE" w:rsidRPr="00F17D6F">
        <w:rPr>
          <w:rFonts w:ascii="Arial" w:hAnsi="Arial" w:cs="Arial"/>
          <w:b/>
        </w:rPr>
        <w:t xml:space="preserve"> </w:t>
      </w:r>
      <w:r w:rsidR="009E2FDE" w:rsidRPr="00F17D6F">
        <w:rPr>
          <w:rFonts w:ascii="Arial" w:hAnsi="Arial" w:cs="Arial"/>
          <w:b/>
        </w:rPr>
        <w:fldChar w:fldCharType="begin"/>
      </w:r>
      <w:r w:rsidR="009E2FDE" w:rsidRPr="00F17D6F">
        <w:rPr>
          <w:rFonts w:ascii="Arial" w:hAnsi="Arial" w:cs="Arial"/>
          <w:b/>
        </w:rPr>
        <w:instrText xml:space="preserve"> SEQ Figure \* ARABIC </w:instrText>
      </w:r>
      <w:r w:rsidR="009E2FDE" w:rsidRPr="00F17D6F">
        <w:rPr>
          <w:rFonts w:ascii="Arial" w:hAnsi="Arial" w:cs="Arial"/>
          <w:b/>
        </w:rPr>
        <w:fldChar w:fldCharType="separate"/>
      </w:r>
      <w:r w:rsidR="009E2FDE" w:rsidRPr="00F17D6F">
        <w:rPr>
          <w:rFonts w:ascii="Arial" w:hAnsi="Arial" w:cs="Arial"/>
          <w:b/>
        </w:rPr>
        <w:t>6</w:t>
      </w:r>
      <w:r w:rsidR="009E2FDE" w:rsidRPr="00F17D6F">
        <w:rPr>
          <w:rFonts w:ascii="Arial" w:hAnsi="Arial" w:cs="Arial"/>
          <w:b/>
        </w:rPr>
        <w:fldChar w:fldCharType="end"/>
      </w:r>
      <w:bookmarkEnd w:id="8"/>
      <w:r w:rsidR="009E2FDE" w:rsidRPr="00F17D6F">
        <w:rPr>
          <w:rFonts w:ascii="Arial" w:hAnsi="Arial" w:cs="Arial"/>
          <w:b/>
        </w:rPr>
        <w:t>. Ascorbic Acid Standard Curve for Total Antioxidant Capacity (TAC) Determination.</w:t>
      </w:r>
    </w:p>
    <w:p w14:paraId="07A51180" w14:textId="77777777" w:rsidR="009E2FDE" w:rsidRPr="00C84A17" w:rsidRDefault="009E2FDE" w:rsidP="00564872">
      <w:pPr>
        <w:spacing w:after="55" w:line="480" w:lineRule="auto"/>
      </w:pPr>
    </w:p>
    <w:p w14:paraId="629D0BE7" w14:textId="77777777" w:rsidR="009E2FDE" w:rsidRPr="001F6448" w:rsidRDefault="009E2FDE" w:rsidP="00564872">
      <w:pPr>
        <w:pStyle w:val="ListParagraph"/>
        <w:numPr>
          <w:ilvl w:val="0"/>
          <w:numId w:val="38"/>
        </w:numPr>
        <w:spacing w:after="160" w:line="480" w:lineRule="auto"/>
        <w:ind w:left="360"/>
        <w:rPr>
          <w:rFonts w:ascii="Arial" w:hAnsi="Arial" w:cs="Arial"/>
          <w:b/>
          <w:sz w:val="22"/>
        </w:rPr>
      </w:pPr>
      <w:r w:rsidRPr="001F6448">
        <w:rPr>
          <w:rFonts w:ascii="Arial" w:hAnsi="Arial" w:cs="Arial"/>
          <w:b/>
          <w:sz w:val="22"/>
        </w:rPr>
        <w:t xml:space="preserve"> Anti-Hemolytic Activity of Leaf Extracts</w:t>
      </w:r>
    </w:p>
    <w:p w14:paraId="3DDE83CC" w14:textId="77777777" w:rsidR="009E2FDE" w:rsidRPr="008E283E" w:rsidRDefault="009E2FDE" w:rsidP="00564872">
      <w:pPr>
        <w:spacing w:line="480" w:lineRule="auto"/>
        <w:jc w:val="both"/>
        <w:rPr>
          <w:rFonts w:ascii="Arial" w:hAnsi="Arial" w:cs="Arial"/>
          <w:color w:val="000000"/>
          <w:shd w:val="clear" w:color="auto" w:fill="FFFFFF"/>
        </w:rPr>
      </w:pPr>
      <w:r w:rsidRPr="008E283E">
        <w:rPr>
          <w:rFonts w:ascii="Arial" w:hAnsi="Arial" w:cs="Arial"/>
          <w:color w:val="000000"/>
          <w:shd w:val="clear" w:color="auto" w:fill="FFFFFF"/>
        </w:rPr>
        <w:t>The study investigated the ability of lemon, mango, and guava leaf extracts, alongside Aspirin, to inhibit red blood cell (RBC) lysis, a key process in membrane destabilization relevant to inflammation. All three plant extracts exhibited significant anti-hemolytic activity (</w:t>
      </w:r>
      <w:r w:rsidRPr="008E283E">
        <w:rPr>
          <w:rFonts w:ascii="Arial" w:hAnsi="Arial" w:cs="Arial"/>
          <w:color w:val="000000"/>
          <w:shd w:val="clear" w:color="auto" w:fill="FFFFFF"/>
        </w:rPr>
        <w:fldChar w:fldCharType="begin"/>
      </w:r>
      <w:r w:rsidRPr="008E283E">
        <w:rPr>
          <w:rFonts w:ascii="Arial" w:hAnsi="Arial" w:cs="Arial"/>
          <w:color w:val="000000"/>
          <w:shd w:val="clear" w:color="auto" w:fill="FFFFFF"/>
        </w:rPr>
        <w:instrText xml:space="preserve"> REF _Ref204448719 \h  \* MERGEFORMAT </w:instrText>
      </w:r>
      <w:r w:rsidRPr="008E283E">
        <w:rPr>
          <w:rFonts w:ascii="Arial" w:hAnsi="Arial" w:cs="Arial"/>
          <w:color w:val="000000"/>
          <w:shd w:val="clear" w:color="auto" w:fill="FFFFFF"/>
        </w:rPr>
      </w:r>
      <w:r w:rsidRPr="008E283E">
        <w:rPr>
          <w:rFonts w:ascii="Arial" w:hAnsi="Arial" w:cs="Arial"/>
          <w:color w:val="000000"/>
          <w:shd w:val="clear" w:color="auto" w:fill="FFFFFF"/>
        </w:rPr>
        <w:fldChar w:fldCharType="separate"/>
      </w:r>
      <w:r w:rsidRPr="008E283E">
        <w:rPr>
          <w:rFonts w:ascii="Arial" w:hAnsi="Arial" w:cs="Arial"/>
          <w:color w:val="000000"/>
          <w:shd w:val="clear" w:color="auto" w:fill="FFFFFF"/>
        </w:rPr>
        <w:t>Table 4</w:t>
      </w:r>
      <w:r w:rsidRPr="008E283E">
        <w:rPr>
          <w:rFonts w:ascii="Arial" w:hAnsi="Arial" w:cs="Arial"/>
          <w:color w:val="000000"/>
          <w:shd w:val="clear" w:color="auto" w:fill="FFFFFF"/>
        </w:rPr>
        <w:fldChar w:fldCharType="end"/>
      </w:r>
      <w:r w:rsidRPr="008E283E">
        <w:rPr>
          <w:rFonts w:ascii="Arial" w:hAnsi="Arial" w:cs="Arial"/>
          <w:color w:val="000000"/>
          <w:shd w:val="clear" w:color="auto" w:fill="FFFFFF"/>
        </w:rPr>
        <w:t>), with guava extract demonstrating the highest potency (56.57% inhibition), followed by mango (48.68%) and lemon (26.31%). This was evidenced by duller solution colors and lower absorbance values compared to the 100% hemolysis control (absorbance 0.76)</w:t>
      </w:r>
      <w:r w:rsidR="001F6448" w:rsidRPr="008E283E">
        <w:rPr>
          <w:rFonts w:ascii="Arial" w:hAnsi="Arial" w:cs="Arial"/>
          <w:color w:val="000000"/>
          <w:shd w:val="clear" w:color="auto" w:fill="FFFFFF"/>
        </w:rPr>
        <w:t xml:space="preserve"> (</w:t>
      </w:r>
      <w:r w:rsidR="001F6448" w:rsidRPr="008E283E">
        <w:rPr>
          <w:rFonts w:ascii="Arial" w:hAnsi="Arial" w:cs="Arial"/>
          <w:color w:val="000000"/>
          <w:shd w:val="clear" w:color="auto" w:fill="FFFFFF"/>
        </w:rPr>
        <w:fldChar w:fldCharType="begin"/>
      </w:r>
      <w:r w:rsidR="001F6448" w:rsidRPr="008E283E">
        <w:rPr>
          <w:rFonts w:ascii="Arial" w:hAnsi="Arial" w:cs="Arial"/>
          <w:color w:val="000000"/>
          <w:shd w:val="clear" w:color="auto" w:fill="FFFFFF"/>
        </w:rPr>
        <w:instrText xml:space="preserve"> REF _Ref204448970 \h  \* MERGEFORMAT </w:instrText>
      </w:r>
      <w:r w:rsidR="001F6448" w:rsidRPr="008E283E">
        <w:rPr>
          <w:rFonts w:ascii="Arial" w:hAnsi="Arial" w:cs="Arial"/>
          <w:color w:val="000000"/>
          <w:shd w:val="clear" w:color="auto" w:fill="FFFFFF"/>
        </w:rPr>
      </w:r>
      <w:r w:rsidR="001F6448" w:rsidRPr="008E283E">
        <w:rPr>
          <w:rFonts w:ascii="Arial" w:hAnsi="Arial" w:cs="Arial"/>
          <w:color w:val="000000"/>
          <w:shd w:val="clear" w:color="auto" w:fill="FFFFFF"/>
        </w:rPr>
        <w:fldChar w:fldCharType="separate"/>
      </w:r>
      <w:r w:rsidR="001F6448" w:rsidRPr="001F6448">
        <w:rPr>
          <w:rFonts w:ascii="Arial" w:hAnsi="Arial" w:cs="Arial"/>
          <w:color w:val="000000"/>
          <w:shd w:val="clear" w:color="auto" w:fill="FFFFFF"/>
        </w:rPr>
        <w:t>Fig.</w:t>
      </w:r>
      <w:r w:rsidR="001F6448" w:rsidRPr="008E283E">
        <w:rPr>
          <w:rFonts w:ascii="Arial" w:hAnsi="Arial" w:cs="Arial"/>
          <w:color w:val="000000"/>
          <w:shd w:val="clear" w:color="auto" w:fill="FFFFFF"/>
        </w:rPr>
        <w:t xml:space="preserve"> 7</w:t>
      </w:r>
      <w:r w:rsidR="001F6448" w:rsidRPr="008E283E">
        <w:rPr>
          <w:rFonts w:ascii="Arial" w:hAnsi="Arial" w:cs="Arial"/>
          <w:color w:val="000000"/>
          <w:shd w:val="clear" w:color="auto" w:fill="FFFFFF"/>
        </w:rPr>
        <w:fldChar w:fldCharType="end"/>
      </w:r>
      <w:r w:rsidR="001F6448" w:rsidRPr="008E283E">
        <w:rPr>
          <w:rFonts w:ascii="Arial" w:hAnsi="Arial" w:cs="Arial"/>
          <w:color w:val="000000"/>
          <w:shd w:val="clear" w:color="auto" w:fill="FFFFFF"/>
        </w:rPr>
        <w:t>)</w:t>
      </w:r>
      <w:r w:rsidRPr="008E283E">
        <w:rPr>
          <w:rFonts w:ascii="Arial" w:hAnsi="Arial" w:cs="Arial"/>
          <w:color w:val="000000"/>
          <w:shd w:val="clear" w:color="auto" w:fill="FFFFFF"/>
        </w:rPr>
        <w:t>. Interestingly, Aspirin showed considerably weaker anti-hemolytic activity (5.26% inhibition), suggesting its anti-inflammatory mechanism may not primarily involve direct membrane stabilization. This mechanism, involving the protection of red blood cell membranes from heat-induced lysis, is relevant to mitigating cellular damage during inflammatory processes. This aligns with traditional uses and scientific evidence for the anti-inflammatory properties of mango (</w:t>
      </w:r>
      <w:proofErr w:type="spellStart"/>
      <w:r w:rsidRPr="008E283E">
        <w:rPr>
          <w:rFonts w:ascii="Arial" w:hAnsi="Arial" w:cs="Arial"/>
          <w:color w:val="000000"/>
          <w:shd w:val="clear" w:color="auto" w:fill="FFFFFF"/>
        </w:rPr>
        <w:t>Anggraeni</w:t>
      </w:r>
      <w:proofErr w:type="spellEnd"/>
      <w:r w:rsidRPr="008E283E">
        <w:rPr>
          <w:rFonts w:ascii="Arial" w:hAnsi="Arial" w:cs="Arial"/>
          <w:color w:val="000000"/>
          <w:shd w:val="clear" w:color="auto" w:fill="FFFFFF"/>
        </w:rPr>
        <w:t xml:space="preserve"> et al., 2022) and guava leaves (Angulo-López et al., 2021; </w:t>
      </w:r>
      <w:proofErr w:type="spellStart"/>
      <w:r w:rsidRPr="008E283E">
        <w:rPr>
          <w:rFonts w:ascii="Arial" w:hAnsi="Arial" w:cs="Arial"/>
          <w:color w:val="000000"/>
          <w:shd w:val="clear" w:color="auto" w:fill="FFFFFF"/>
        </w:rPr>
        <w:t>Khettal</w:t>
      </w:r>
      <w:proofErr w:type="spellEnd"/>
      <w:r w:rsidRPr="008E283E">
        <w:rPr>
          <w:rFonts w:ascii="Arial" w:hAnsi="Arial" w:cs="Arial"/>
          <w:color w:val="000000"/>
          <w:shd w:val="clear" w:color="auto" w:fill="FFFFFF"/>
        </w:rPr>
        <w:t xml:space="preserve"> et al., 2017; Kawakami et al., 2009). The comparative data presented here is novel, highlighting guava as the most potent anti-inflammatory agent among the three under these assay conditions. The weaker activity of aspirin in this specific assay suggests a distinct primary mechanism of action, emphasizing the diverse ways in which anti-inflammatory agents exert their effects. While some instances of absorbance exceeding the control were observed, potentially due to internal RBC lysis or hemoglobin-compound reactions </w:t>
      </w:r>
      <w:r w:rsidR="00BE37AA" w:rsidRPr="008E283E">
        <w:rPr>
          <w:rFonts w:ascii="Arial" w:hAnsi="Arial" w:cs="Arial"/>
          <w:color w:val="000000"/>
          <w:shd w:val="clear" w:color="auto" w:fill="FFFFFF"/>
        </w:rPr>
        <w:t>(</w:t>
      </w:r>
      <w:r w:rsidR="00BE37AA" w:rsidRPr="008E283E">
        <w:rPr>
          <w:rFonts w:ascii="Arial" w:hAnsi="Arial" w:cs="Arial"/>
          <w:color w:val="000000"/>
          <w:shd w:val="clear" w:color="auto" w:fill="FFFFFF"/>
        </w:rPr>
        <w:fldChar w:fldCharType="begin"/>
      </w:r>
      <w:r w:rsidR="00BE37AA" w:rsidRPr="008E283E">
        <w:rPr>
          <w:rFonts w:ascii="Arial" w:hAnsi="Arial" w:cs="Arial"/>
          <w:color w:val="000000"/>
          <w:shd w:val="clear" w:color="auto" w:fill="FFFFFF"/>
        </w:rPr>
        <w:instrText xml:space="preserve"> REF _Ref204448970 \h  \* MERGEFORMAT </w:instrText>
      </w:r>
      <w:r w:rsidR="00BE37AA" w:rsidRPr="008E283E">
        <w:rPr>
          <w:rFonts w:ascii="Arial" w:hAnsi="Arial" w:cs="Arial"/>
          <w:color w:val="000000"/>
          <w:shd w:val="clear" w:color="auto" w:fill="FFFFFF"/>
        </w:rPr>
      </w:r>
      <w:r w:rsidR="00BE37AA" w:rsidRPr="008E283E">
        <w:rPr>
          <w:rFonts w:ascii="Arial" w:hAnsi="Arial" w:cs="Arial"/>
          <w:color w:val="000000"/>
          <w:shd w:val="clear" w:color="auto" w:fill="FFFFFF"/>
        </w:rPr>
        <w:fldChar w:fldCharType="separate"/>
      </w:r>
      <w:r w:rsidR="00BE37AA" w:rsidRPr="001F6448">
        <w:rPr>
          <w:rFonts w:ascii="Arial" w:hAnsi="Arial" w:cs="Arial"/>
          <w:color w:val="000000"/>
          <w:shd w:val="clear" w:color="auto" w:fill="FFFFFF"/>
        </w:rPr>
        <w:t>Fig.</w:t>
      </w:r>
      <w:r w:rsidR="00BE37AA" w:rsidRPr="008E283E">
        <w:rPr>
          <w:rFonts w:ascii="Arial" w:hAnsi="Arial" w:cs="Arial"/>
          <w:color w:val="000000"/>
          <w:shd w:val="clear" w:color="auto" w:fill="FFFFFF"/>
        </w:rPr>
        <w:t xml:space="preserve"> 7</w:t>
      </w:r>
      <w:r w:rsidR="00BE37AA" w:rsidRPr="008E283E">
        <w:rPr>
          <w:rFonts w:ascii="Arial" w:hAnsi="Arial" w:cs="Arial"/>
          <w:color w:val="000000"/>
          <w:shd w:val="clear" w:color="auto" w:fill="FFFFFF"/>
        </w:rPr>
        <w:fldChar w:fldCharType="end"/>
      </w:r>
      <w:r w:rsidR="00BE37AA" w:rsidRPr="008E283E">
        <w:rPr>
          <w:rFonts w:ascii="Arial" w:hAnsi="Arial" w:cs="Arial"/>
          <w:color w:val="000000"/>
          <w:shd w:val="clear" w:color="auto" w:fill="FFFFFF"/>
        </w:rPr>
        <w:t>)</w:t>
      </w:r>
      <w:r w:rsidRPr="008E283E">
        <w:rPr>
          <w:rFonts w:ascii="Arial" w:hAnsi="Arial" w:cs="Arial"/>
          <w:color w:val="000000"/>
          <w:shd w:val="clear" w:color="auto" w:fill="FFFFFF"/>
        </w:rPr>
        <w:t>, the overall results strongly indicate that specific phytochemicals in these extracts can protect cell membranes, providing a scientific basis for their potential anti-inflammatory applications.</w:t>
      </w:r>
    </w:p>
    <w:p w14:paraId="1C72EBA6" w14:textId="77777777" w:rsidR="009E2FDE" w:rsidRPr="00C84A17" w:rsidRDefault="009E2FDE" w:rsidP="00564872">
      <w:pPr>
        <w:spacing w:after="55" w:line="480" w:lineRule="auto"/>
      </w:pPr>
    </w:p>
    <w:p w14:paraId="7FC6FE2A" w14:textId="77777777" w:rsidR="009E2FDE" w:rsidRDefault="009E2FDE" w:rsidP="00564872">
      <w:pPr>
        <w:spacing w:after="55" w:line="480" w:lineRule="auto"/>
        <w:jc w:val="center"/>
        <w:rPr>
          <w:rFonts w:ascii="Arial" w:hAnsi="Arial" w:cs="Arial"/>
          <w:b/>
        </w:rPr>
      </w:pPr>
      <w:bookmarkStart w:id="9" w:name="_Ref204448719"/>
      <w:r w:rsidRPr="0081081C">
        <w:rPr>
          <w:rFonts w:ascii="Arial" w:hAnsi="Arial" w:cs="Arial"/>
          <w:b/>
        </w:rPr>
        <w:t xml:space="preserve">Table </w:t>
      </w:r>
      <w:r w:rsidRPr="0081081C">
        <w:rPr>
          <w:rFonts w:ascii="Arial" w:hAnsi="Arial" w:cs="Arial"/>
          <w:b/>
        </w:rPr>
        <w:fldChar w:fldCharType="begin"/>
      </w:r>
      <w:r w:rsidRPr="0081081C">
        <w:rPr>
          <w:rFonts w:ascii="Arial" w:hAnsi="Arial" w:cs="Arial"/>
          <w:b/>
        </w:rPr>
        <w:instrText xml:space="preserve"> SEQ Table \* ARABIC </w:instrText>
      </w:r>
      <w:r w:rsidRPr="0081081C">
        <w:rPr>
          <w:rFonts w:ascii="Arial" w:hAnsi="Arial" w:cs="Arial"/>
          <w:b/>
        </w:rPr>
        <w:fldChar w:fldCharType="separate"/>
      </w:r>
      <w:r w:rsidRPr="0081081C">
        <w:rPr>
          <w:rFonts w:ascii="Arial" w:hAnsi="Arial" w:cs="Arial"/>
          <w:b/>
        </w:rPr>
        <w:t>4</w:t>
      </w:r>
      <w:r w:rsidRPr="0081081C">
        <w:rPr>
          <w:rFonts w:ascii="Arial" w:hAnsi="Arial" w:cs="Arial"/>
          <w:b/>
        </w:rPr>
        <w:fldChar w:fldCharType="end"/>
      </w:r>
      <w:bookmarkEnd w:id="9"/>
      <w:r w:rsidRPr="0081081C">
        <w:rPr>
          <w:rFonts w:ascii="Arial" w:hAnsi="Arial" w:cs="Arial"/>
          <w:b/>
        </w:rPr>
        <w:t>. Anti-hemolytic activity of the leaf extracts and Aspirin.</w:t>
      </w:r>
    </w:p>
    <w:p w14:paraId="1011A0AC" w14:textId="77777777" w:rsidR="00BC17E1" w:rsidRPr="0081081C" w:rsidRDefault="00BC17E1" w:rsidP="00564872">
      <w:pPr>
        <w:spacing w:after="55" w:line="480" w:lineRule="auto"/>
        <w:jc w:val="center"/>
        <w:rPr>
          <w:rFonts w:ascii="Arial" w:hAnsi="Arial" w:cs="Arial"/>
          <w:b/>
        </w:rPr>
      </w:pP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484"/>
        <w:gridCol w:w="1976"/>
        <w:gridCol w:w="3516"/>
        <w:gridCol w:w="2040"/>
      </w:tblGrid>
      <w:tr w:rsidR="009E2FDE" w:rsidRPr="0001500D" w14:paraId="6EFF03FD" w14:textId="77777777" w:rsidTr="0001500D">
        <w:trPr>
          <w:jc w:val="center"/>
        </w:trPr>
        <w:tc>
          <w:tcPr>
            <w:tcW w:w="1581" w:type="pct"/>
          </w:tcPr>
          <w:p w14:paraId="0F4DB370"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Extracts</w:t>
            </w:r>
          </w:p>
        </w:tc>
        <w:tc>
          <w:tcPr>
            <w:tcW w:w="897" w:type="pct"/>
          </w:tcPr>
          <w:p w14:paraId="32E99812"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Volume (µl)</w:t>
            </w:r>
          </w:p>
        </w:tc>
        <w:tc>
          <w:tcPr>
            <w:tcW w:w="1596" w:type="pct"/>
          </w:tcPr>
          <w:p w14:paraId="467BAFD9"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Absorbance at 540 nm</w:t>
            </w:r>
          </w:p>
        </w:tc>
        <w:tc>
          <w:tcPr>
            <w:tcW w:w="926" w:type="pct"/>
          </w:tcPr>
          <w:p w14:paraId="1215F259" w14:textId="77777777" w:rsidR="009E2FDE" w:rsidRPr="006E3DE9" w:rsidRDefault="009E2FDE" w:rsidP="00564872">
            <w:pPr>
              <w:spacing w:line="480" w:lineRule="auto"/>
              <w:jc w:val="center"/>
              <w:rPr>
                <w:rFonts w:ascii="Arial" w:hAnsi="Arial" w:cs="Arial"/>
                <w:sz w:val="20"/>
                <w:szCs w:val="20"/>
              </w:rPr>
            </w:pPr>
            <w:r w:rsidRPr="006E3DE9">
              <w:rPr>
                <w:rFonts w:ascii="Arial" w:hAnsi="Arial" w:cs="Arial"/>
                <w:sz w:val="20"/>
                <w:szCs w:val="20"/>
              </w:rPr>
              <w:t>% Inhibition</w:t>
            </w:r>
          </w:p>
        </w:tc>
      </w:tr>
      <w:tr w:rsidR="009E2FDE" w:rsidRPr="0001500D" w14:paraId="3D02C3D7" w14:textId="77777777" w:rsidTr="0001500D">
        <w:trPr>
          <w:jc w:val="center"/>
        </w:trPr>
        <w:tc>
          <w:tcPr>
            <w:tcW w:w="1581" w:type="pct"/>
          </w:tcPr>
          <w:p w14:paraId="484901F0"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Control</w:t>
            </w:r>
          </w:p>
        </w:tc>
        <w:tc>
          <w:tcPr>
            <w:tcW w:w="897" w:type="pct"/>
          </w:tcPr>
          <w:p w14:paraId="33DC25EF"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100µL</w:t>
            </w:r>
          </w:p>
        </w:tc>
        <w:tc>
          <w:tcPr>
            <w:tcW w:w="1596" w:type="pct"/>
          </w:tcPr>
          <w:p w14:paraId="1FA8222F"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0.76</w:t>
            </w:r>
          </w:p>
        </w:tc>
        <w:tc>
          <w:tcPr>
            <w:tcW w:w="926" w:type="pct"/>
          </w:tcPr>
          <w:p w14:paraId="10342F2E"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N/A</w:t>
            </w:r>
          </w:p>
        </w:tc>
      </w:tr>
      <w:tr w:rsidR="009E2FDE" w:rsidRPr="0001500D" w14:paraId="6497ACA9" w14:textId="77777777" w:rsidTr="0001500D">
        <w:trPr>
          <w:jc w:val="center"/>
        </w:trPr>
        <w:tc>
          <w:tcPr>
            <w:tcW w:w="1581" w:type="pct"/>
          </w:tcPr>
          <w:p w14:paraId="2E1FD790"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Lemon extract</w:t>
            </w:r>
          </w:p>
        </w:tc>
        <w:tc>
          <w:tcPr>
            <w:tcW w:w="897" w:type="pct"/>
          </w:tcPr>
          <w:p w14:paraId="169D7B98"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100µL</w:t>
            </w:r>
          </w:p>
        </w:tc>
        <w:tc>
          <w:tcPr>
            <w:tcW w:w="1596" w:type="pct"/>
          </w:tcPr>
          <w:p w14:paraId="329B2640"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0.56</w:t>
            </w:r>
          </w:p>
        </w:tc>
        <w:tc>
          <w:tcPr>
            <w:tcW w:w="926" w:type="pct"/>
          </w:tcPr>
          <w:p w14:paraId="0517294A"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26.31%</w:t>
            </w:r>
          </w:p>
        </w:tc>
      </w:tr>
      <w:tr w:rsidR="009E2FDE" w:rsidRPr="0001500D" w14:paraId="40B7748C" w14:textId="77777777" w:rsidTr="0001500D">
        <w:trPr>
          <w:jc w:val="center"/>
        </w:trPr>
        <w:tc>
          <w:tcPr>
            <w:tcW w:w="1581" w:type="pct"/>
          </w:tcPr>
          <w:p w14:paraId="29C7B2C0"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Mango extract</w:t>
            </w:r>
          </w:p>
        </w:tc>
        <w:tc>
          <w:tcPr>
            <w:tcW w:w="897" w:type="pct"/>
          </w:tcPr>
          <w:p w14:paraId="6D21440B"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100µL</w:t>
            </w:r>
          </w:p>
        </w:tc>
        <w:tc>
          <w:tcPr>
            <w:tcW w:w="1596" w:type="pct"/>
          </w:tcPr>
          <w:p w14:paraId="303C4119"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0.39</w:t>
            </w:r>
          </w:p>
        </w:tc>
        <w:tc>
          <w:tcPr>
            <w:tcW w:w="926" w:type="pct"/>
          </w:tcPr>
          <w:p w14:paraId="129A3387"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48.68%</w:t>
            </w:r>
          </w:p>
        </w:tc>
      </w:tr>
      <w:tr w:rsidR="009E2FDE" w:rsidRPr="0001500D" w14:paraId="79B60759" w14:textId="77777777" w:rsidTr="0001500D">
        <w:trPr>
          <w:jc w:val="center"/>
        </w:trPr>
        <w:tc>
          <w:tcPr>
            <w:tcW w:w="1581" w:type="pct"/>
          </w:tcPr>
          <w:p w14:paraId="58FEE2AB"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Guava extract</w:t>
            </w:r>
          </w:p>
        </w:tc>
        <w:tc>
          <w:tcPr>
            <w:tcW w:w="897" w:type="pct"/>
          </w:tcPr>
          <w:p w14:paraId="454AA2B9"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100 µL</w:t>
            </w:r>
          </w:p>
        </w:tc>
        <w:tc>
          <w:tcPr>
            <w:tcW w:w="1596" w:type="pct"/>
          </w:tcPr>
          <w:p w14:paraId="5B515C8F"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0.33</w:t>
            </w:r>
          </w:p>
        </w:tc>
        <w:tc>
          <w:tcPr>
            <w:tcW w:w="926" w:type="pct"/>
          </w:tcPr>
          <w:p w14:paraId="5B58D37B"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56.57%</w:t>
            </w:r>
          </w:p>
        </w:tc>
      </w:tr>
      <w:tr w:rsidR="009E2FDE" w:rsidRPr="0001500D" w14:paraId="68CC384E" w14:textId="77777777" w:rsidTr="0001500D">
        <w:trPr>
          <w:jc w:val="center"/>
        </w:trPr>
        <w:tc>
          <w:tcPr>
            <w:tcW w:w="1581" w:type="pct"/>
          </w:tcPr>
          <w:p w14:paraId="5744D03A"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Aspirin (150mg /10ml)</w:t>
            </w:r>
          </w:p>
        </w:tc>
        <w:tc>
          <w:tcPr>
            <w:tcW w:w="897" w:type="pct"/>
          </w:tcPr>
          <w:p w14:paraId="05F51452"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100µL</w:t>
            </w:r>
          </w:p>
        </w:tc>
        <w:tc>
          <w:tcPr>
            <w:tcW w:w="1596" w:type="pct"/>
          </w:tcPr>
          <w:p w14:paraId="261939B3"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0.72</w:t>
            </w:r>
          </w:p>
        </w:tc>
        <w:tc>
          <w:tcPr>
            <w:tcW w:w="926" w:type="pct"/>
          </w:tcPr>
          <w:p w14:paraId="30C74C70" w14:textId="77777777" w:rsidR="009E2FDE" w:rsidRPr="0001500D" w:rsidRDefault="009E2FDE" w:rsidP="00564872">
            <w:pPr>
              <w:spacing w:line="480" w:lineRule="auto"/>
              <w:jc w:val="center"/>
              <w:rPr>
                <w:rFonts w:ascii="Arial" w:hAnsi="Arial" w:cs="Arial"/>
                <w:sz w:val="20"/>
                <w:szCs w:val="20"/>
              </w:rPr>
            </w:pPr>
            <w:r w:rsidRPr="0001500D">
              <w:rPr>
                <w:rFonts w:ascii="Arial" w:hAnsi="Arial" w:cs="Arial"/>
                <w:sz w:val="20"/>
                <w:szCs w:val="20"/>
              </w:rPr>
              <w:t>5.26%</w:t>
            </w:r>
          </w:p>
        </w:tc>
      </w:tr>
    </w:tbl>
    <w:p w14:paraId="7D98FD72" w14:textId="77777777" w:rsidR="009E2FDE" w:rsidRDefault="009E2FDE" w:rsidP="00564872">
      <w:pPr>
        <w:spacing w:line="480" w:lineRule="auto"/>
        <w:rPr>
          <w:szCs w:val="24"/>
        </w:rPr>
      </w:pPr>
    </w:p>
    <w:p w14:paraId="713FFAF1" w14:textId="77777777" w:rsidR="009E2FDE" w:rsidRDefault="009E2FDE" w:rsidP="00564872">
      <w:pPr>
        <w:keepNext/>
        <w:spacing w:line="480" w:lineRule="auto"/>
        <w:jc w:val="center"/>
      </w:pPr>
      <w:r>
        <w:rPr>
          <w:noProof/>
          <w:szCs w:val="24"/>
        </w:rPr>
        <w:drawing>
          <wp:inline distT="0" distB="0" distL="0" distR="0" wp14:anchorId="51125995" wp14:editId="480398B2">
            <wp:extent cx="2002410" cy="1920934"/>
            <wp:effectExtent l="19050" t="19050" r="17145" b="222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rbc.tif"/>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002410" cy="1920934"/>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3E8AEB8F" w14:textId="77777777" w:rsidR="009E2FDE" w:rsidRPr="00757A66" w:rsidRDefault="00757A66" w:rsidP="00564872">
      <w:pPr>
        <w:spacing w:after="55" w:line="480" w:lineRule="auto"/>
        <w:jc w:val="center"/>
        <w:rPr>
          <w:rFonts w:ascii="Arial" w:hAnsi="Arial" w:cs="Arial"/>
          <w:b/>
        </w:rPr>
      </w:pPr>
      <w:bookmarkStart w:id="10" w:name="_Ref204448970"/>
      <w:r>
        <w:rPr>
          <w:rFonts w:ascii="Arial" w:hAnsi="Arial" w:cs="Arial"/>
          <w:b/>
        </w:rPr>
        <w:t>Fig.</w:t>
      </w:r>
      <w:r w:rsidR="009E2FDE" w:rsidRPr="00757A66">
        <w:rPr>
          <w:rFonts w:ascii="Arial" w:hAnsi="Arial" w:cs="Arial"/>
          <w:b/>
        </w:rPr>
        <w:t xml:space="preserve"> </w:t>
      </w:r>
      <w:r w:rsidR="009E2FDE" w:rsidRPr="00757A66">
        <w:rPr>
          <w:rFonts w:ascii="Arial" w:hAnsi="Arial" w:cs="Arial"/>
          <w:b/>
        </w:rPr>
        <w:fldChar w:fldCharType="begin"/>
      </w:r>
      <w:r w:rsidR="009E2FDE" w:rsidRPr="00757A66">
        <w:rPr>
          <w:rFonts w:ascii="Arial" w:hAnsi="Arial" w:cs="Arial"/>
          <w:b/>
        </w:rPr>
        <w:instrText xml:space="preserve"> SEQ Figure \* ARABIC </w:instrText>
      </w:r>
      <w:r w:rsidR="009E2FDE" w:rsidRPr="00757A66">
        <w:rPr>
          <w:rFonts w:ascii="Arial" w:hAnsi="Arial" w:cs="Arial"/>
          <w:b/>
        </w:rPr>
        <w:fldChar w:fldCharType="separate"/>
      </w:r>
      <w:r w:rsidR="009E2FDE" w:rsidRPr="00757A66">
        <w:rPr>
          <w:rFonts w:ascii="Arial" w:hAnsi="Arial" w:cs="Arial"/>
          <w:b/>
        </w:rPr>
        <w:t>7</w:t>
      </w:r>
      <w:r w:rsidR="009E2FDE" w:rsidRPr="00757A66">
        <w:rPr>
          <w:rFonts w:ascii="Arial" w:hAnsi="Arial" w:cs="Arial"/>
          <w:b/>
        </w:rPr>
        <w:fldChar w:fldCharType="end"/>
      </w:r>
      <w:bookmarkEnd w:id="10"/>
      <w:r w:rsidR="009E2FDE" w:rsidRPr="00757A66">
        <w:rPr>
          <w:rFonts w:ascii="Arial" w:hAnsi="Arial" w:cs="Arial"/>
          <w:b/>
        </w:rPr>
        <w:t>. Visual Representation of Red Blood Cell Lysis Inhibition by Lemon, Mango, and Guava Leaf Extracts.</w:t>
      </w:r>
    </w:p>
    <w:p w14:paraId="727B9819" w14:textId="77777777" w:rsidR="009E2FDE" w:rsidRPr="00C84A17" w:rsidRDefault="009E2FDE" w:rsidP="00564872">
      <w:pPr>
        <w:spacing w:after="55" w:line="480" w:lineRule="auto"/>
      </w:pPr>
    </w:p>
    <w:p w14:paraId="0A86FE68" w14:textId="77777777" w:rsidR="009E2FDE" w:rsidRPr="00757001" w:rsidRDefault="009E2FDE" w:rsidP="00564872">
      <w:pPr>
        <w:pStyle w:val="ListParagraph"/>
        <w:numPr>
          <w:ilvl w:val="0"/>
          <w:numId w:val="38"/>
        </w:numPr>
        <w:spacing w:after="160" w:line="480" w:lineRule="auto"/>
        <w:ind w:left="360"/>
        <w:rPr>
          <w:rFonts w:ascii="Arial" w:hAnsi="Arial" w:cs="Arial"/>
          <w:b/>
          <w:sz w:val="22"/>
        </w:rPr>
      </w:pPr>
      <w:r w:rsidRPr="00757001">
        <w:rPr>
          <w:rFonts w:ascii="Arial" w:hAnsi="Arial" w:cs="Arial"/>
          <w:b/>
          <w:sz w:val="22"/>
        </w:rPr>
        <w:t>Sensory Analysis Results of Leaf Teas</w:t>
      </w:r>
    </w:p>
    <w:p w14:paraId="77DA910D" w14:textId="77777777" w:rsidR="009E2FDE" w:rsidRPr="00FD3C36" w:rsidRDefault="009E2FDE" w:rsidP="00564872">
      <w:pPr>
        <w:spacing w:line="480" w:lineRule="auto"/>
        <w:jc w:val="both"/>
        <w:rPr>
          <w:rFonts w:ascii="Arial" w:hAnsi="Arial" w:cs="Arial"/>
          <w:color w:val="000000"/>
          <w:shd w:val="clear" w:color="auto" w:fill="FFFFFF"/>
        </w:rPr>
      </w:pPr>
      <w:r w:rsidRPr="00FD3C36">
        <w:rPr>
          <w:rFonts w:ascii="Arial" w:hAnsi="Arial" w:cs="Arial"/>
          <w:color w:val="000000"/>
          <w:shd w:val="clear" w:color="auto" w:fill="FFFFFF"/>
        </w:rPr>
        <w:t xml:space="preserve">The sensory evaluation provided valuable insights into the organoleptic properties and consumer preferences for mango, guava, and lemon leaf teas, as summarized in </w:t>
      </w:r>
      <w:r w:rsidRPr="00FD3C36">
        <w:rPr>
          <w:rFonts w:ascii="Arial" w:hAnsi="Arial" w:cs="Arial"/>
          <w:color w:val="000000"/>
          <w:shd w:val="clear" w:color="auto" w:fill="FFFFFF"/>
        </w:rPr>
        <w:fldChar w:fldCharType="begin"/>
      </w:r>
      <w:r w:rsidRPr="00FD3C36">
        <w:rPr>
          <w:rFonts w:ascii="Arial" w:hAnsi="Arial" w:cs="Arial"/>
          <w:color w:val="000000"/>
          <w:shd w:val="clear" w:color="auto" w:fill="FFFFFF"/>
        </w:rPr>
        <w:instrText xml:space="preserve"> REF _Ref204450466 \h  \* MERGEFORMAT </w:instrText>
      </w:r>
      <w:r w:rsidRPr="00FD3C36">
        <w:rPr>
          <w:rFonts w:ascii="Arial" w:hAnsi="Arial" w:cs="Arial"/>
          <w:color w:val="000000"/>
          <w:shd w:val="clear" w:color="auto" w:fill="FFFFFF"/>
        </w:rPr>
      </w:r>
      <w:r w:rsidRPr="00FD3C36">
        <w:rPr>
          <w:rFonts w:ascii="Arial" w:hAnsi="Arial" w:cs="Arial"/>
          <w:color w:val="000000"/>
          <w:shd w:val="clear" w:color="auto" w:fill="FFFFFF"/>
        </w:rPr>
        <w:fldChar w:fldCharType="separate"/>
      </w:r>
      <w:r w:rsidRPr="00FD3C36">
        <w:rPr>
          <w:rFonts w:ascii="Arial" w:hAnsi="Arial" w:cs="Arial"/>
          <w:color w:val="000000"/>
          <w:shd w:val="clear" w:color="auto" w:fill="FFFFFF"/>
        </w:rPr>
        <w:t>Table 5</w:t>
      </w:r>
      <w:r w:rsidRPr="00FD3C36">
        <w:rPr>
          <w:rFonts w:ascii="Arial" w:hAnsi="Arial" w:cs="Arial"/>
          <w:color w:val="000000"/>
          <w:shd w:val="clear" w:color="auto" w:fill="FFFFFF"/>
        </w:rPr>
        <w:fldChar w:fldCharType="end"/>
      </w:r>
      <w:r w:rsidRPr="00FD3C36">
        <w:rPr>
          <w:rFonts w:ascii="Arial" w:hAnsi="Arial" w:cs="Arial"/>
          <w:color w:val="000000"/>
          <w:shd w:val="clear" w:color="auto" w:fill="FFFFFF"/>
        </w:rPr>
        <w:t>. Guava leaf tea demonstrated the highest overall acceptability, distinguished by excellent scores for aroma, appearance, color, aftertaste, and astringency, suggesting a well-balanced and appealing profile often linked to its perceived health benefits. Lemon leaf tea excelled in initial sensory attributes l</w:t>
      </w:r>
      <w:r w:rsidR="00CD21D0">
        <w:rPr>
          <w:rFonts w:ascii="Arial" w:hAnsi="Arial" w:cs="Arial"/>
          <w:color w:val="000000"/>
          <w:shd w:val="clear" w:color="auto" w:fill="FFFFFF"/>
        </w:rPr>
        <w:t>ike aroma, appearance, and colo</w:t>
      </w:r>
      <w:r w:rsidRPr="00FD3C36">
        <w:rPr>
          <w:rFonts w:ascii="Arial" w:hAnsi="Arial" w:cs="Arial"/>
          <w:color w:val="000000"/>
          <w:shd w:val="clear" w:color="auto" w:fill="FFFFFF"/>
        </w:rPr>
        <w:t xml:space="preserve">r, but its taste and general acceptability were notably lower, indicating a less preferred overall flavor despite its appealing visual and aromatic qualities. Mango leaf tea generally performed less favorably, with lower scores across most categories, including taste and general acceptability. The analysis highlighted that bitterness and astringency are prevalent taste characteristics in these leaf teas, consistent with their polyphenol content. Furthermore, a significant correlation was observed between different taste attributes, suggesting an interactive perception of complex flavors. Kabilan et al., 2019 focused on different herbal tea formulations, our study extends this critical area by specifically comparing the sensory profiles of teas from common fruit tree leaves and explicitly linking </w:t>
      </w:r>
      <w:r w:rsidRPr="00FD3C36">
        <w:rPr>
          <w:rFonts w:ascii="Arial" w:hAnsi="Arial" w:cs="Arial"/>
          <w:color w:val="000000"/>
          <w:shd w:val="clear" w:color="auto" w:fill="FFFFFF"/>
        </w:rPr>
        <w:lastRenderedPageBreak/>
        <w:t>perceived health benefits to overall acceptability. This evaluation underscores that while initial sensory appeal is important, perceived health benefits can significantly influence overall acceptability.</w:t>
      </w:r>
    </w:p>
    <w:p w14:paraId="16FBA58C" w14:textId="77777777" w:rsidR="009E2FDE" w:rsidRPr="00CD5AF2" w:rsidRDefault="009E2FDE" w:rsidP="00564872">
      <w:pPr>
        <w:spacing w:after="55" w:line="480" w:lineRule="auto"/>
        <w:rPr>
          <w:rFonts w:ascii="Arial" w:hAnsi="Arial" w:cs="Arial"/>
        </w:rPr>
      </w:pPr>
    </w:p>
    <w:p w14:paraId="4F0AAF38" w14:textId="77777777" w:rsidR="009E2FDE" w:rsidRDefault="009E2FDE" w:rsidP="00564872">
      <w:pPr>
        <w:spacing w:after="55" w:line="480" w:lineRule="auto"/>
        <w:jc w:val="center"/>
        <w:rPr>
          <w:rFonts w:ascii="Arial" w:hAnsi="Arial" w:cs="Arial"/>
          <w:b/>
        </w:rPr>
      </w:pPr>
      <w:bookmarkStart w:id="11" w:name="_Ref204450466"/>
      <w:r w:rsidRPr="00CD5AF2">
        <w:rPr>
          <w:rFonts w:ascii="Arial" w:hAnsi="Arial" w:cs="Arial"/>
          <w:b/>
        </w:rPr>
        <w:t xml:space="preserve">Table </w:t>
      </w:r>
      <w:r w:rsidRPr="00CD5AF2">
        <w:rPr>
          <w:rFonts w:ascii="Arial" w:hAnsi="Arial" w:cs="Arial"/>
          <w:b/>
        </w:rPr>
        <w:fldChar w:fldCharType="begin"/>
      </w:r>
      <w:r w:rsidRPr="00CD5AF2">
        <w:rPr>
          <w:rFonts w:ascii="Arial" w:hAnsi="Arial" w:cs="Arial"/>
          <w:b/>
        </w:rPr>
        <w:instrText xml:space="preserve"> SEQ Table \* ARABIC </w:instrText>
      </w:r>
      <w:r w:rsidRPr="00CD5AF2">
        <w:rPr>
          <w:rFonts w:ascii="Arial" w:hAnsi="Arial" w:cs="Arial"/>
          <w:b/>
        </w:rPr>
        <w:fldChar w:fldCharType="separate"/>
      </w:r>
      <w:r w:rsidRPr="00CD5AF2">
        <w:rPr>
          <w:rFonts w:ascii="Arial" w:hAnsi="Arial" w:cs="Arial"/>
          <w:b/>
        </w:rPr>
        <w:t>5</w:t>
      </w:r>
      <w:r w:rsidRPr="00CD5AF2">
        <w:rPr>
          <w:rFonts w:ascii="Arial" w:hAnsi="Arial" w:cs="Arial"/>
          <w:b/>
        </w:rPr>
        <w:fldChar w:fldCharType="end"/>
      </w:r>
      <w:bookmarkEnd w:id="11"/>
      <w:r w:rsidRPr="00CD5AF2">
        <w:rPr>
          <w:rFonts w:ascii="Arial" w:hAnsi="Arial" w:cs="Arial"/>
          <w:b/>
        </w:rPr>
        <w:t>. Sensory evaluation scores (0-10) for various attributes of Mango, Guava, and Lemon leaf teas.</w:t>
      </w:r>
    </w:p>
    <w:p w14:paraId="67F0DC7F" w14:textId="77777777" w:rsidR="00BC17E1" w:rsidRPr="00CD5AF2" w:rsidRDefault="00BC17E1" w:rsidP="00564872">
      <w:pPr>
        <w:spacing w:after="55" w:line="480" w:lineRule="auto"/>
        <w:jc w:val="center"/>
        <w:rPr>
          <w:rFonts w:ascii="Arial" w:hAnsi="Arial" w:cs="Arial"/>
          <w:b/>
        </w:rPr>
      </w:pP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323"/>
        <w:gridCol w:w="816"/>
        <w:gridCol w:w="1363"/>
        <w:gridCol w:w="680"/>
        <w:gridCol w:w="664"/>
        <w:gridCol w:w="1137"/>
        <w:gridCol w:w="1346"/>
        <w:gridCol w:w="1228"/>
        <w:gridCol w:w="2333"/>
      </w:tblGrid>
      <w:tr w:rsidR="009E2FDE" w:rsidRPr="00CD5AF2" w14:paraId="07CB0B6A" w14:textId="77777777" w:rsidTr="007D3A30">
        <w:trPr>
          <w:trHeight w:val="315"/>
        </w:trPr>
        <w:tc>
          <w:tcPr>
            <w:tcW w:w="607" w:type="pct"/>
            <w:tcMar>
              <w:top w:w="30" w:type="dxa"/>
              <w:left w:w="45" w:type="dxa"/>
              <w:bottom w:w="30" w:type="dxa"/>
              <w:right w:w="45" w:type="dxa"/>
            </w:tcMar>
            <w:vAlign w:val="bottom"/>
            <w:hideMark/>
          </w:tcPr>
          <w:p w14:paraId="1E47D638" w14:textId="77777777" w:rsidR="009E2FDE" w:rsidRPr="007D3A30" w:rsidRDefault="009E2FDE" w:rsidP="00564872">
            <w:pPr>
              <w:spacing w:line="480" w:lineRule="auto"/>
              <w:jc w:val="center"/>
              <w:rPr>
                <w:rFonts w:ascii="Arial" w:hAnsi="Arial" w:cs="Arial"/>
              </w:rPr>
            </w:pPr>
            <w:r w:rsidRPr="007D3A30">
              <w:rPr>
                <w:rFonts w:ascii="Arial" w:hAnsi="Arial" w:cs="Arial"/>
              </w:rPr>
              <w:t>Tea Sample</w:t>
            </w:r>
          </w:p>
        </w:tc>
        <w:tc>
          <w:tcPr>
            <w:tcW w:w="374" w:type="pct"/>
            <w:tcMar>
              <w:top w:w="30" w:type="dxa"/>
              <w:left w:w="45" w:type="dxa"/>
              <w:bottom w:w="30" w:type="dxa"/>
              <w:right w:w="45" w:type="dxa"/>
            </w:tcMar>
            <w:vAlign w:val="bottom"/>
            <w:hideMark/>
          </w:tcPr>
          <w:p w14:paraId="44F1F344" w14:textId="77777777" w:rsidR="009E2FDE" w:rsidRPr="007D3A30" w:rsidRDefault="009E2FDE" w:rsidP="00564872">
            <w:pPr>
              <w:spacing w:line="480" w:lineRule="auto"/>
              <w:jc w:val="center"/>
              <w:rPr>
                <w:rFonts w:ascii="Arial" w:hAnsi="Arial" w:cs="Arial"/>
              </w:rPr>
            </w:pPr>
            <w:r w:rsidRPr="007D3A30">
              <w:rPr>
                <w:rFonts w:ascii="Arial" w:hAnsi="Arial" w:cs="Arial"/>
              </w:rPr>
              <w:t>Aroma</w:t>
            </w:r>
          </w:p>
        </w:tc>
        <w:tc>
          <w:tcPr>
            <w:tcW w:w="626" w:type="pct"/>
            <w:tcMar>
              <w:top w:w="30" w:type="dxa"/>
              <w:left w:w="45" w:type="dxa"/>
              <w:bottom w:w="30" w:type="dxa"/>
              <w:right w:w="45" w:type="dxa"/>
            </w:tcMar>
            <w:vAlign w:val="bottom"/>
            <w:hideMark/>
          </w:tcPr>
          <w:p w14:paraId="110E5824" w14:textId="77777777" w:rsidR="009E2FDE" w:rsidRPr="007D3A30" w:rsidRDefault="009E2FDE" w:rsidP="00564872">
            <w:pPr>
              <w:spacing w:line="480" w:lineRule="auto"/>
              <w:jc w:val="center"/>
              <w:rPr>
                <w:rFonts w:ascii="Arial" w:hAnsi="Arial" w:cs="Arial"/>
              </w:rPr>
            </w:pPr>
            <w:r w:rsidRPr="007D3A30">
              <w:rPr>
                <w:rFonts w:ascii="Arial" w:hAnsi="Arial" w:cs="Arial"/>
              </w:rPr>
              <w:t>Appearance</w:t>
            </w:r>
          </w:p>
        </w:tc>
        <w:tc>
          <w:tcPr>
            <w:tcW w:w="312" w:type="pct"/>
            <w:tcMar>
              <w:top w:w="30" w:type="dxa"/>
              <w:left w:w="45" w:type="dxa"/>
              <w:bottom w:w="30" w:type="dxa"/>
              <w:right w:w="45" w:type="dxa"/>
            </w:tcMar>
            <w:vAlign w:val="bottom"/>
            <w:hideMark/>
          </w:tcPr>
          <w:p w14:paraId="6E5807C9" w14:textId="77777777" w:rsidR="009E2FDE" w:rsidRPr="007D3A30" w:rsidRDefault="009E2FDE" w:rsidP="00564872">
            <w:pPr>
              <w:spacing w:line="480" w:lineRule="auto"/>
              <w:jc w:val="center"/>
              <w:rPr>
                <w:rFonts w:ascii="Arial" w:hAnsi="Arial" w:cs="Arial"/>
              </w:rPr>
            </w:pPr>
            <w:r w:rsidRPr="007D3A30">
              <w:rPr>
                <w:rFonts w:ascii="Arial" w:hAnsi="Arial" w:cs="Arial"/>
              </w:rPr>
              <w:t>Color</w:t>
            </w:r>
          </w:p>
        </w:tc>
        <w:tc>
          <w:tcPr>
            <w:tcW w:w="305" w:type="pct"/>
            <w:tcMar>
              <w:top w:w="30" w:type="dxa"/>
              <w:left w:w="45" w:type="dxa"/>
              <w:bottom w:w="30" w:type="dxa"/>
              <w:right w:w="45" w:type="dxa"/>
            </w:tcMar>
            <w:vAlign w:val="bottom"/>
            <w:hideMark/>
          </w:tcPr>
          <w:p w14:paraId="422F9864" w14:textId="77777777" w:rsidR="009E2FDE" w:rsidRPr="007D3A30" w:rsidRDefault="009E2FDE" w:rsidP="00564872">
            <w:pPr>
              <w:spacing w:line="480" w:lineRule="auto"/>
              <w:jc w:val="center"/>
              <w:rPr>
                <w:rFonts w:ascii="Arial" w:hAnsi="Arial" w:cs="Arial"/>
              </w:rPr>
            </w:pPr>
            <w:r w:rsidRPr="007D3A30">
              <w:rPr>
                <w:rFonts w:ascii="Arial" w:hAnsi="Arial" w:cs="Arial"/>
              </w:rPr>
              <w:t>Taste</w:t>
            </w:r>
          </w:p>
        </w:tc>
        <w:tc>
          <w:tcPr>
            <w:tcW w:w="522" w:type="pct"/>
            <w:tcMar>
              <w:top w:w="30" w:type="dxa"/>
              <w:left w:w="45" w:type="dxa"/>
              <w:bottom w:w="30" w:type="dxa"/>
              <w:right w:w="45" w:type="dxa"/>
            </w:tcMar>
            <w:vAlign w:val="bottom"/>
            <w:hideMark/>
          </w:tcPr>
          <w:p w14:paraId="36F5FD3C" w14:textId="77777777" w:rsidR="009E2FDE" w:rsidRPr="007D3A30" w:rsidRDefault="009E2FDE" w:rsidP="00564872">
            <w:pPr>
              <w:spacing w:line="480" w:lineRule="auto"/>
              <w:jc w:val="center"/>
              <w:rPr>
                <w:rFonts w:ascii="Arial" w:hAnsi="Arial" w:cs="Arial"/>
              </w:rPr>
            </w:pPr>
            <w:r w:rsidRPr="007D3A30">
              <w:rPr>
                <w:rFonts w:ascii="Arial" w:hAnsi="Arial" w:cs="Arial"/>
              </w:rPr>
              <w:t>Aftertaste</w:t>
            </w:r>
          </w:p>
        </w:tc>
        <w:tc>
          <w:tcPr>
            <w:tcW w:w="618" w:type="pct"/>
            <w:tcMar>
              <w:top w:w="30" w:type="dxa"/>
              <w:left w:w="45" w:type="dxa"/>
              <w:bottom w:w="30" w:type="dxa"/>
              <w:right w:w="45" w:type="dxa"/>
            </w:tcMar>
            <w:vAlign w:val="bottom"/>
            <w:hideMark/>
          </w:tcPr>
          <w:p w14:paraId="1600B686" w14:textId="77777777" w:rsidR="009E2FDE" w:rsidRPr="007D3A30" w:rsidRDefault="009E2FDE" w:rsidP="00564872">
            <w:pPr>
              <w:spacing w:line="480" w:lineRule="auto"/>
              <w:jc w:val="center"/>
              <w:rPr>
                <w:rFonts w:ascii="Arial" w:hAnsi="Arial" w:cs="Arial"/>
              </w:rPr>
            </w:pPr>
            <w:r w:rsidRPr="007D3A30">
              <w:rPr>
                <w:rFonts w:ascii="Arial" w:hAnsi="Arial" w:cs="Arial"/>
              </w:rPr>
              <w:t>Astringency</w:t>
            </w:r>
          </w:p>
        </w:tc>
        <w:tc>
          <w:tcPr>
            <w:tcW w:w="564" w:type="pct"/>
            <w:tcMar>
              <w:top w:w="30" w:type="dxa"/>
              <w:left w:w="45" w:type="dxa"/>
              <w:bottom w:w="30" w:type="dxa"/>
              <w:right w:w="45" w:type="dxa"/>
            </w:tcMar>
            <w:vAlign w:val="bottom"/>
            <w:hideMark/>
          </w:tcPr>
          <w:p w14:paraId="3466F059" w14:textId="77777777" w:rsidR="009E2FDE" w:rsidRPr="007D3A30" w:rsidRDefault="009E2FDE" w:rsidP="00564872">
            <w:pPr>
              <w:spacing w:line="480" w:lineRule="auto"/>
              <w:jc w:val="center"/>
              <w:rPr>
                <w:rFonts w:ascii="Arial" w:hAnsi="Arial" w:cs="Arial"/>
              </w:rPr>
            </w:pPr>
            <w:r w:rsidRPr="007D3A30">
              <w:rPr>
                <w:rFonts w:ascii="Arial" w:hAnsi="Arial" w:cs="Arial"/>
              </w:rPr>
              <w:t>Refreshing</w:t>
            </w:r>
          </w:p>
        </w:tc>
        <w:tc>
          <w:tcPr>
            <w:tcW w:w="1071" w:type="pct"/>
            <w:tcMar>
              <w:top w:w="30" w:type="dxa"/>
              <w:left w:w="45" w:type="dxa"/>
              <w:bottom w:w="30" w:type="dxa"/>
              <w:right w:w="45" w:type="dxa"/>
            </w:tcMar>
            <w:vAlign w:val="bottom"/>
            <w:hideMark/>
          </w:tcPr>
          <w:p w14:paraId="6C1F4C9D" w14:textId="77777777" w:rsidR="009E2FDE" w:rsidRPr="007D3A30" w:rsidRDefault="009E2FDE" w:rsidP="00564872">
            <w:pPr>
              <w:spacing w:line="480" w:lineRule="auto"/>
              <w:jc w:val="center"/>
              <w:rPr>
                <w:rFonts w:ascii="Arial" w:hAnsi="Arial" w:cs="Arial"/>
              </w:rPr>
            </w:pPr>
            <w:r w:rsidRPr="007D3A30">
              <w:rPr>
                <w:rFonts w:ascii="Arial" w:hAnsi="Arial" w:cs="Arial"/>
              </w:rPr>
              <w:t>General Acceptability</w:t>
            </w:r>
          </w:p>
        </w:tc>
      </w:tr>
      <w:tr w:rsidR="009E2FDE" w:rsidRPr="00CD5AF2" w14:paraId="1E2DE584" w14:textId="77777777" w:rsidTr="007D3A30">
        <w:trPr>
          <w:trHeight w:val="315"/>
        </w:trPr>
        <w:tc>
          <w:tcPr>
            <w:tcW w:w="607" w:type="pct"/>
            <w:tcMar>
              <w:top w:w="30" w:type="dxa"/>
              <w:left w:w="45" w:type="dxa"/>
              <w:bottom w:w="30" w:type="dxa"/>
              <w:right w:w="45" w:type="dxa"/>
            </w:tcMar>
            <w:vAlign w:val="bottom"/>
            <w:hideMark/>
          </w:tcPr>
          <w:p w14:paraId="13819609" w14:textId="77777777" w:rsidR="009E2FDE" w:rsidRPr="00CD5AF2" w:rsidRDefault="009E2FDE" w:rsidP="00564872">
            <w:pPr>
              <w:spacing w:line="480" w:lineRule="auto"/>
              <w:jc w:val="center"/>
              <w:rPr>
                <w:rFonts w:ascii="Arial" w:hAnsi="Arial" w:cs="Arial"/>
              </w:rPr>
            </w:pPr>
            <w:r w:rsidRPr="00CD5AF2">
              <w:rPr>
                <w:rFonts w:ascii="Arial" w:hAnsi="Arial" w:cs="Arial"/>
              </w:rPr>
              <w:t>Mango</w:t>
            </w:r>
          </w:p>
        </w:tc>
        <w:tc>
          <w:tcPr>
            <w:tcW w:w="374" w:type="pct"/>
            <w:tcMar>
              <w:top w:w="30" w:type="dxa"/>
              <w:left w:w="45" w:type="dxa"/>
              <w:bottom w:w="30" w:type="dxa"/>
              <w:right w:w="45" w:type="dxa"/>
            </w:tcMar>
            <w:vAlign w:val="bottom"/>
            <w:hideMark/>
          </w:tcPr>
          <w:p w14:paraId="6D659768" w14:textId="77777777" w:rsidR="009E2FDE" w:rsidRPr="00CD5AF2" w:rsidRDefault="009E2FDE" w:rsidP="00564872">
            <w:pPr>
              <w:spacing w:line="480" w:lineRule="auto"/>
              <w:jc w:val="center"/>
              <w:rPr>
                <w:rFonts w:ascii="Arial" w:hAnsi="Arial" w:cs="Arial"/>
              </w:rPr>
            </w:pPr>
            <w:r w:rsidRPr="00CD5AF2">
              <w:rPr>
                <w:rFonts w:ascii="Arial" w:hAnsi="Arial" w:cs="Arial"/>
              </w:rPr>
              <w:t>7</w:t>
            </w:r>
          </w:p>
        </w:tc>
        <w:tc>
          <w:tcPr>
            <w:tcW w:w="626" w:type="pct"/>
            <w:tcMar>
              <w:top w:w="30" w:type="dxa"/>
              <w:left w:w="45" w:type="dxa"/>
              <w:bottom w:w="30" w:type="dxa"/>
              <w:right w:w="45" w:type="dxa"/>
            </w:tcMar>
            <w:vAlign w:val="bottom"/>
            <w:hideMark/>
          </w:tcPr>
          <w:p w14:paraId="6D6E5D33" w14:textId="77777777" w:rsidR="009E2FDE" w:rsidRPr="00CD5AF2" w:rsidRDefault="009E2FDE" w:rsidP="00564872">
            <w:pPr>
              <w:spacing w:line="480" w:lineRule="auto"/>
              <w:jc w:val="center"/>
              <w:rPr>
                <w:rFonts w:ascii="Arial" w:hAnsi="Arial" w:cs="Arial"/>
              </w:rPr>
            </w:pPr>
            <w:r w:rsidRPr="00CD5AF2">
              <w:rPr>
                <w:rFonts w:ascii="Arial" w:hAnsi="Arial" w:cs="Arial"/>
              </w:rPr>
              <w:t>8</w:t>
            </w:r>
          </w:p>
        </w:tc>
        <w:tc>
          <w:tcPr>
            <w:tcW w:w="312" w:type="pct"/>
            <w:tcMar>
              <w:top w:w="30" w:type="dxa"/>
              <w:left w:w="45" w:type="dxa"/>
              <w:bottom w:w="30" w:type="dxa"/>
              <w:right w:w="45" w:type="dxa"/>
            </w:tcMar>
            <w:vAlign w:val="bottom"/>
            <w:hideMark/>
          </w:tcPr>
          <w:p w14:paraId="3DFA6770" w14:textId="77777777" w:rsidR="009E2FDE" w:rsidRPr="00CD5AF2" w:rsidRDefault="009E2FDE" w:rsidP="00564872">
            <w:pPr>
              <w:spacing w:line="480" w:lineRule="auto"/>
              <w:jc w:val="center"/>
              <w:rPr>
                <w:rFonts w:ascii="Arial" w:hAnsi="Arial" w:cs="Arial"/>
              </w:rPr>
            </w:pPr>
            <w:r w:rsidRPr="00CD5AF2">
              <w:rPr>
                <w:rFonts w:ascii="Arial" w:hAnsi="Arial" w:cs="Arial"/>
              </w:rPr>
              <w:t>8</w:t>
            </w:r>
          </w:p>
        </w:tc>
        <w:tc>
          <w:tcPr>
            <w:tcW w:w="305" w:type="pct"/>
            <w:tcMar>
              <w:top w:w="30" w:type="dxa"/>
              <w:left w:w="45" w:type="dxa"/>
              <w:bottom w:w="30" w:type="dxa"/>
              <w:right w:w="45" w:type="dxa"/>
            </w:tcMar>
            <w:vAlign w:val="bottom"/>
            <w:hideMark/>
          </w:tcPr>
          <w:p w14:paraId="4A5EFB8B" w14:textId="77777777" w:rsidR="009E2FDE" w:rsidRPr="00CD5AF2" w:rsidRDefault="009E2FDE" w:rsidP="00564872">
            <w:pPr>
              <w:spacing w:line="480" w:lineRule="auto"/>
              <w:jc w:val="center"/>
              <w:rPr>
                <w:rFonts w:ascii="Arial" w:hAnsi="Arial" w:cs="Arial"/>
              </w:rPr>
            </w:pPr>
            <w:r w:rsidRPr="00CD5AF2">
              <w:rPr>
                <w:rFonts w:ascii="Arial" w:hAnsi="Arial" w:cs="Arial"/>
              </w:rPr>
              <w:t>4</w:t>
            </w:r>
          </w:p>
        </w:tc>
        <w:tc>
          <w:tcPr>
            <w:tcW w:w="522" w:type="pct"/>
            <w:tcMar>
              <w:top w:w="30" w:type="dxa"/>
              <w:left w:w="45" w:type="dxa"/>
              <w:bottom w:w="30" w:type="dxa"/>
              <w:right w:w="45" w:type="dxa"/>
            </w:tcMar>
            <w:vAlign w:val="bottom"/>
            <w:hideMark/>
          </w:tcPr>
          <w:p w14:paraId="38E4E4C1" w14:textId="77777777" w:rsidR="009E2FDE" w:rsidRPr="00CD5AF2" w:rsidRDefault="009E2FDE" w:rsidP="00564872">
            <w:pPr>
              <w:spacing w:line="480" w:lineRule="auto"/>
              <w:jc w:val="center"/>
              <w:rPr>
                <w:rFonts w:ascii="Arial" w:hAnsi="Arial" w:cs="Arial"/>
              </w:rPr>
            </w:pPr>
            <w:r w:rsidRPr="00CD5AF2">
              <w:rPr>
                <w:rFonts w:ascii="Arial" w:hAnsi="Arial" w:cs="Arial"/>
              </w:rPr>
              <w:t>-</w:t>
            </w:r>
          </w:p>
        </w:tc>
        <w:tc>
          <w:tcPr>
            <w:tcW w:w="618" w:type="pct"/>
            <w:tcMar>
              <w:top w:w="30" w:type="dxa"/>
              <w:left w:w="45" w:type="dxa"/>
              <w:bottom w:w="30" w:type="dxa"/>
              <w:right w:w="45" w:type="dxa"/>
            </w:tcMar>
            <w:vAlign w:val="bottom"/>
            <w:hideMark/>
          </w:tcPr>
          <w:p w14:paraId="4028911C" w14:textId="77777777" w:rsidR="009E2FDE" w:rsidRPr="00CD5AF2" w:rsidRDefault="009E2FDE" w:rsidP="00564872">
            <w:pPr>
              <w:spacing w:line="480" w:lineRule="auto"/>
              <w:jc w:val="center"/>
              <w:rPr>
                <w:rFonts w:ascii="Arial" w:hAnsi="Arial" w:cs="Arial"/>
              </w:rPr>
            </w:pPr>
            <w:r w:rsidRPr="00CD5AF2">
              <w:rPr>
                <w:rFonts w:ascii="Arial" w:hAnsi="Arial" w:cs="Arial"/>
              </w:rPr>
              <w:t>-</w:t>
            </w:r>
          </w:p>
        </w:tc>
        <w:tc>
          <w:tcPr>
            <w:tcW w:w="564" w:type="pct"/>
            <w:tcMar>
              <w:top w:w="30" w:type="dxa"/>
              <w:left w:w="45" w:type="dxa"/>
              <w:bottom w:w="30" w:type="dxa"/>
              <w:right w:w="45" w:type="dxa"/>
            </w:tcMar>
            <w:vAlign w:val="bottom"/>
            <w:hideMark/>
          </w:tcPr>
          <w:p w14:paraId="6F53C692" w14:textId="77777777" w:rsidR="009E2FDE" w:rsidRPr="00CD5AF2" w:rsidRDefault="009E2FDE" w:rsidP="00564872">
            <w:pPr>
              <w:spacing w:line="480" w:lineRule="auto"/>
              <w:jc w:val="center"/>
              <w:rPr>
                <w:rFonts w:ascii="Arial" w:hAnsi="Arial" w:cs="Arial"/>
              </w:rPr>
            </w:pPr>
            <w:r w:rsidRPr="00CD5AF2">
              <w:rPr>
                <w:rFonts w:ascii="Arial" w:hAnsi="Arial" w:cs="Arial"/>
              </w:rPr>
              <w:t>1</w:t>
            </w:r>
          </w:p>
        </w:tc>
        <w:tc>
          <w:tcPr>
            <w:tcW w:w="1071" w:type="pct"/>
            <w:tcMar>
              <w:top w:w="30" w:type="dxa"/>
              <w:left w:w="45" w:type="dxa"/>
              <w:bottom w:w="30" w:type="dxa"/>
              <w:right w:w="45" w:type="dxa"/>
            </w:tcMar>
            <w:vAlign w:val="bottom"/>
            <w:hideMark/>
          </w:tcPr>
          <w:p w14:paraId="7BF5C25A" w14:textId="77777777" w:rsidR="009E2FDE" w:rsidRPr="00CD5AF2" w:rsidRDefault="009E2FDE" w:rsidP="00564872">
            <w:pPr>
              <w:spacing w:line="480" w:lineRule="auto"/>
              <w:jc w:val="center"/>
              <w:rPr>
                <w:rFonts w:ascii="Arial" w:hAnsi="Arial" w:cs="Arial"/>
              </w:rPr>
            </w:pPr>
            <w:r w:rsidRPr="00CD5AF2">
              <w:rPr>
                <w:rFonts w:ascii="Arial" w:hAnsi="Arial" w:cs="Arial"/>
              </w:rPr>
              <w:t>4</w:t>
            </w:r>
          </w:p>
        </w:tc>
      </w:tr>
      <w:tr w:rsidR="009E2FDE" w:rsidRPr="00CD5AF2" w14:paraId="7EBD0438" w14:textId="77777777" w:rsidTr="007D3A30">
        <w:trPr>
          <w:trHeight w:val="315"/>
        </w:trPr>
        <w:tc>
          <w:tcPr>
            <w:tcW w:w="607" w:type="pct"/>
            <w:tcMar>
              <w:top w:w="30" w:type="dxa"/>
              <w:left w:w="45" w:type="dxa"/>
              <w:bottom w:w="30" w:type="dxa"/>
              <w:right w:w="45" w:type="dxa"/>
            </w:tcMar>
            <w:vAlign w:val="bottom"/>
            <w:hideMark/>
          </w:tcPr>
          <w:p w14:paraId="61CAC54E" w14:textId="77777777" w:rsidR="009E2FDE" w:rsidRPr="00CD5AF2" w:rsidRDefault="009E2FDE" w:rsidP="00564872">
            <w:pPr>
              <w:spacing w:line="480" w:lineRule="auto"/>
              <w:jc w:val="center"/>
              <w:rPr>
                <w:rFonts w:ascii="Arial" w:hAnsi="Arial" w:cs="Arial"/>
              </w:rPr>
            </w:pPr>
            <w:r w:rsidRPr="00CD5AF2">
              <w:rPr>
                <w:rFonts w:ascii="Arial" w:hAnsi="Arial" w:cs="Arial"/>
              </w:rPr>
              <w:t>Guava</w:t>
            </w:r>
          </w:p>
        </w:tc>
        <w:tc>
          <w:tcPr>
            <w:tcW w:w="374" w:type="pct"/>
            <w:tcMar>
              <w:top w:w="30" w:type="dxa"/>
              <w:left w:w="45" w:type="dxa"/>
              <w:bottom w:w="30" w:type="dxa"/>
              <w:right w:w="45" w:type="dxa"/>
            </w:tcMar>
            <w:vAlign w:val="bottom"/>
            <w:hideMark/>
          </w:tcPr>
          <w:p w14:paraId="3B001EB2"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626" w:type="pct"/>
            <w:tcMar>
              <w:top w:w="30" w:type="dxa"/>
              <w:left w:w="45" w:type="dxa"/>
              <w:bottom w:w="30" w:type="dxa"/>
              <w:right w:w="45" w:type="dxa"/>
            </w:tcMar>
            <w:vAlign w:val="bottom"/>
            <w:hideMark/>
          </w:tcPr>
          <w:p w14:paraId="0EA678F2" w14:textId="77777777" w:rsidR="009E2FDE" w:rsidRPr="00CD5AF2" w:rsidRDefault="009E2FDE" w:rsidP="00564872">
            <w:pPr>
              <w:spacing w:line="480" w:lineRule="auto"/>
              <w:jc w:val="center"/>
              <w:rPr>
                <w:rFonts w:ascii="Arial" w:hAnsi="Arial" w:cs="Arial"/>
              </w:rPr>
            </w:pPr>
            <w:r w:rsidRPr="00CD5AF2">
              <w:rPr>
                <w:rFonts w:ascii="Arial" w:hAnsi="Arial" w:cs="Arial"/>
              </w:rPr>
              <w:t>9</w:t>
            </w:r>
          </w:p>
        </w:tc>
        <w:tc>
          <w:tcPr>
            <w:tcW w:w="312" w:type="pct"/>
            <w:tcMar>
              <w:top w:w="30" w:type="dxa"/>
              <w:left w:w="45" w:type="dxa"/>
              <w:bottom w:w="30" w:type="dxa"/>
              <w:right w:w="45" w:type="dxa"/>
            </w:tcMar>
            <w:vAlign w:val="bottom"/>
            <w:hideMark/>
          </w:tcPr>
          <w:p w14:paraId="237A8D12" w14:textId="77777777" w:rsidR="009E2FDE" w:rsidRPr="00CD5AF2" w:rsidRDefault="009E2FDE" w:rsidP="00564872">
            <w:pPr>
              <w:spacing w:line="480" w:lineRule="auto"/>
              <w:jc w:val="center"/>
              <w:rPr>
                <w:rFonts w:ascii="Arial" w:hAnsi="Arial" w:cs="Arial"/>
              </w:rPr>
            </w:pPr>
            <w:r w:rsidRPr="00CD5AF2">
              <w:rPr>
                <w:rFonts w:ascii="Arial" w:hAnsi="Arial" w:cs="Arial"/>
              </w:rPr>
              <w:t>9</w:t>
            </w:r>
          </w:p>
        </w:tc>
        <w:tc>
          <w:tcPr>
            <w:tcW w:w="305" w:type="pct"/>
            <w:tcMar>
              <w:top w:w="30" w:type="dxa"/>
              <w:left w:w="45" w:type="dxa"/>
              <w:bottom w:w="30" w:type="dxa"/>
              <w:right w:w="45" w:type="dxa"/>
            </w:tcMar>
            <w:vAlign w:val="bottom"/>
            <w:hideMark/>
          </w:tcPr>
          <w:p w14:paraId="2F82A503" w14:textId="77777777" w:rsidR="009E2FDE" w:rsidRPr="00CD5AF2" w:rsidRDefault="009E2FDE" w:rsidP="00564872">
            <w:pPr>
              <w:spacing w:line="480" w:lineRule="auto"/>
              <w:jc w:val="center"/>
              <w:rPr>
                <w:rFonts w:ascii="Arial" w:hAnsi="Arial" w:cs="Arial"/>
              </w:rPr>
            </w:pPr>
            <w:r w:rsidRPr="00CD5AF2">
              <w:rPr>
                <w:rFonts w:ascii="Arial" w:hAnsi="Arial" w:cs="Arial"/>
              </w:rPr>
              <w:t>6</w:t>
            </w:r>
          </w:p>
        </w:tc>
        <w:tc>
          <w:tcPr>
            <w:tcW w:w="522" w:type="pct"/>
            <w:tcMar>
              <w:top w:w="30" w:type="dxa"/>
              <w:left w:w="45" w:type="dxa"/>
              <w:bottom w:w="30" w:type="dxa"/>
              <w:right w:w="45" w:type="dxa"/>
            </w:tcMar>
            <w:vAlign w:val="bottom"/>
            <w:hideMark/>
          </w:tcPr>
          <w:p w14:paraId="420123C7" w14:textId="77777777" w:rsidR="009E2FDE" w:rsidRPr="00CD5AF2" w:rsidRDefault="009E2FDE" w:rsidP="00564872">
            <w:pPr>
              <w:spacing w:line="480" w:lineRule="auto"/>
              <w:jc w:val="center"/>
              <w:rPr>
                <w:rFonts w:ascii="Arial" w:hAnsi="Arial" w:cs="Arial"/>
              </w:rPr>
            </w:pPr>
            <w:r w:rsidRPr="00CD5AF2">
              <w:rPr>
                <w:rFonts w:ascii="Arial" w:hAnsi="Arial" w:cs="Arial"/>
              </w:rPr>
              <w:t>9</w:t>
            </w:r>
          </w:p>
        </w:tc>
        <w:tc>
          <w:tcPr>
            <w:tcW w:w="618" w:type="pct"/>
            <w:tcMar>
              <w:top w:w="30" w:type="dxa"/>
              <w:left w:w="45" w:type="dxa"/>
              <w:bottom w:w="30" w:type="dxa"/>
              <w:right w:w="45" w:type="dxa"/>
            </w:tcMar>
            <w:vAlign w:val="bottom"/>
            <w:hideMark/>
          </w:tcPr>
          <w:p w14:paraId="40C67245"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564" w:type="pct"/>
            <w:tcMar>
              <w:top w:w="30" w:type="dxa"/>
              <w:left w:w="45" w:type="dxa"/>
              <w:bottom w:w="30" w:type="dxa"/>
              <w:right w:w="45" w:type="dxa"/>
            </w:tcMar>
            <w:vAlign w:val="bottom"/>
            <w:hideMark/>
          </w:tcPr>
          <w:p w14:paraId="181A86E7" w14:textId="77777777" w:rsidR="009E2FDE" w:rsidRPr="00CD5AF2" w:rsidRDefault="009E2FDE" w:rsidP="00564872">
            <w:pPr>
              <w:spacing w:line="480" w:lineRule="auto"/>
              <w:jc w:val="center"/>
              <w:rPr>
                <w:rFonts w:ascii="Arial" w:hAnsi="Arial" w:cs="Arial"/>
              </w:rPr>
            </w:pPr>
            <w:r w:rsidRPr="00CD5AF2">
              <w:rPr>
                <w:rFonts w:ascii="Arial" w:hAnsi="Arial" w:cs="Arial"/>
              </w:rPr>
              <w:t>-</w:t>
            </w:r>
          </w:p>
        </w:tc>
        <w:tc>
          <w:tcPr>
            <w:tcW w:w="1071" w:type="pct"/>
            <w:tcMar>
              <w:top w:w="30" w:type="dxa"/>
              <w:left w:w="45" w:type="dxa"/>
              <w:bottom w:w="30" w:type="dxa"/>
              <w:right w:w="45" w:type="dxa"/>
            </w:tcMar>
            <w:vAlign w:val="bottom"/>
            <w:hideMark/>
          </w:tcPr>
          <w:p w14:paraId="4CB60A7C" w14:textId="77777777" w:rsidR="009E2FDE" w:rsidRPr="00CD5AF2" w:rsidRDefault="009E2FDE" w:rsidP="00564872">
            <w:pPr>
              <w:spacing w:line="480" w:lineRule="auto"/>
              <w:jc w:val="center"/>
              <w:rPr>
                <w:rFonts w:ascii="Arial" w:hAnsi="Arial" w:cs="Arial"/>
              </w:rPr>
            </w:pPr>
            <w:r w:rsidRPr="00CD5AF2">
              <w:rPr>
                <w:rFonts w:ascii="Arial" w:hAnsi="Arial" w:cs="Arial"/>
              </w:rPr>
              <w:t>8</w:t>
            </w:r>
          </w:p>
        </w:tc>
      </w:tr>
      <w:tr w:rsidR="009E2FDE" w:rsidRPr="00CD5AF2" w14:paraId="5275D4DA" w14:textId="77777777" w:rsidTr="007D3A30">
        <w:trPr>
          <w:trHeight w:val="315"/>
        </w:trPr>
        <w:tc>
          <w:tcPr>
            <w:tcW w:w="607" w:type="pct"/>
            <w:tcMar>
              <w:top w:w="30" w:type="dxa"/>
              <w:left w:w="45" w:type="dxa"/>
              <w:bottom w:w="30" w:type="dxa"/>
              <w:right w:w="45" w:type="dxa"/>
            </w:tcMar>
            <w:vAlign w:val="bottom"/>
            <w:hideMark/>
          </w:tcPr>
          <w:p w14:paraId="3457DBFE" w14:textId="77777777" w:rsidR="009E2FDE" w:rsidRPr="00CD5AF2" w:rsidRDefault="009E2FDE" w:rsidP="00564872">
            <w:pPr>
              <w:spacing w:line="480" w:lineRule="auto"/>
              <w:jc w:val="center"/>
              <w:rPr>
                <w:rFonts w:ascii="Arial" w:hAnsi="Arial" w:cs="Arial"/>
              </w:rPr>
            </w:pPr>
            <w:r w:rsidRPr="00CD5AF2">
              <w:rPr>
                <w:rFonts w:ascii="Arial" w:hAnsi="Arial" w:cs="Arial"/>
              </w:rPr>
              <w:t>Lemon</w:t>
            </w:r>
          </w:p>
        </w:tc>
        <w:tc>
          <w:tcPr>
            <w:tcW w:w="374" w:type="pct"/>
            <w:tcMar>
              <w:top w:w="30" w:type="dxa"/>
              <w:left w:w="45" w:type="dxa"/>
              <w:bottom w:w="30" w:type="dxa"/>
              <w:right w:w="45" w:type="dxa"/>
            </w:tcMar>
            <w:vAlign w:val="bottom"/>
            <w:hideMark/>
          </w:tcPr>
          <w:p w14:paraId="299F7EA9"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626" w:type="pct"/>
            <w:tcMar>
              <w:top w:w="30" w:type="dxa"/>
              <w:left w:w="45" w:type="dxa"/>
              <w:bottom w:w="30" w:type="dxa"/>
              <w:right w:w="45" w:type="dxa"/>
            </w:tcMar>
            <w:vAlign w:val="bottom"/>
            <w:hideMark/>
          </w:tcPr>
          <w:p w14:paraId="66CAD5A3"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312" w:type="pct"/>
            <w:tcMar>
              <w:top w:w="30" w:type="dxa"/>
              <w:left w:w="45" w:type="dxa"/>
              <w:bottom w:w="30" w:type="dxa"/>
              <w:right w:w="45" w:type="dxa"/>
            </w:tcMar>
            <w:vAlign w:val="bottom"/>
            <w:hideMark/>
          </w:tcPr>
          <w:p w14:paraId="0E72A98E"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305" w:type="pct"/>
            <w:tcMar>
              <w:top w:w="30" w:type="dxa"/>
              <w:left w:w="45" w:type="dxa"/>
              <w:bottom w:w="30" w:type="dxa"/>
              <w:right w:w="45" w:type="dxa"/>
            </w:tcMar>
            <w:vAlign w:val="bottom"/>
            <w:hideMark/>
          </w:tcPr>
          <w:p w14:paraId="5FDF702B" w14:textId="77777777" w:rsidR="009E2FDE" w:rsidRPr="00CD5AF2" w:rsidRDefault="009E2FDE" w:rsidP="00564872">
            <w:pPr>
              <w:spacing w:line="480" w:lineRule="auto"/>
              <w:jc w:val="center"/>
              <w:rPr>
                <w:rFonts w:ascii="Arial" w:hAnsi="Arial" w:cs="Arial"/>
              </w:rPr>
            </w:pPr>
            <w:r w:rsidRPr="00CD5AF2">
              <w:rPr>
                <w:rFonts w:ascii="Arial" w:hAnsi="Arial" w:cs="Arial"/>
              </w:rPr>
              <w:t>3</w:t>
            </w:r>
          </w:p>
        </w:tc>
        <w:tc>
          <w:tcPr>
            <w:tcW w:w="522" w:type="pct"/>
            <w:tcMar>
              <w:top w:w="30" w:type="dxa"/>
              <w:left w:w="45" w:type="dxa"/>
              <w:bottom w:w="30" w:type="dxa"/>
              <w:right w:w="45" w:type="dxa"/>
            </w:tcMar>
            <w:vAlign w:val="bottom"/>
            <w:hideMark/>
          </w:tcPr>
          <w:p w14:paraId="19DF1BAF"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618" w:type="pct"/>
            <w:tcMar>
              <w:top w:w="30" w:type="dxa"/>
              <w:left w:w="45" w:type="dxa"/>
              <w:bottom w:w="30" w:type="dxa"/>
              <w:right w:w="45" w:type="dxa"/>
            </w:tcMar>
            <w:vAlign w:val="bottom"/>
            <w:hideMark/>
          </w:tcPr>
          <w:p w14:paraId="1F35B7EE" w14:textId="77777777" w:rsidR="009E2FDE" w:rsidRPr="00CD5AF2" w:rsidRDefault="009E2FDE" w:rsidP="00564872">
            <w:pPr>
              <w:spacing w:line="480" w:lineRule="auto"/>
              <w:jc w:val="center"/>
              <w:rPr>
                <w:rFonts w:ascii="Arial" w:hAnsi="Arial" w:cs="Arial"/>
              </w:rPr>
            </w:pPr>
            <w:r w:rsidRPr="00CD5AF2">
              <w:rPr>
                <w:rFonts w:ascii="Arial" w:hAnsi="Arial" w:cs="Arial"/>
              </w:rPr>
              <w:t>10</w:t>
            </w:r>
          </w:p>
        </w:tc>
        <w:tc>
          <w:tcPr>
            <w:tcW w:w="564" w:type="pct"/>
            <w:tcMar>
              <w:top w:w="30" w:type="dxa"/>
              <w:left w:w="45" w:type="dxa"/>
              <w:bottom w:w="30" w:type="dxa"/>
              <w:right w:w="45" w:type="dxa"/>
            </w:tcMar>
            <w:vAlign w:val="bottom"/>
            <w:hideMark/>
          </w:tcPr>
          <w:p w14:paraId="6ADDF781" w14:textId="77777777" w:rsidR="009E2FDE" w:rsidRPr="00CD5AF2" w:rsidRDefault="009E2FDE" w:rsidP="00564872">
            <w:pPr>
              <w:spacing w:line="480" w:lineRule="auto"/>
              <w:jc w:val="center"/>
              <w:rPr>
                <w:rFonts w:ascii="Arial" w:hAnsi="Arial" w:cs="Arial"/>
              </w:rPr>
            </w:pPr>
            <w:r w:rsidRPr="00CD5AF2">
              <w:rPr>
                <w:rFonts w:ascii="Arial" w:hAnsi="Arial" w:cs="Arial"/>
              </w:rPr>
              <w:t>6</w:t>
            </w:r>
          </w:p>
        </w:tc>
        <w:tc>
          <w:tcPr>
            <w:tcW w:w="1071" w:type="pct"/>
            <w:tcMar>
              <w:top w:w="30" w:type="dxa"/>
              <w:left w:w="45" w:type="dxa"/>
              <w:bottom w:w="30" w:type="dxa"/>
              <w:right w:w="45" w:type="dxa"/>
            </w:tcMar>
            <w:vAlign w:val="bottom"/>
            <w:hideMark/>
          </w:tcPr>
          <w:p w14:paraId="606D0C18" w14:textId="77777777" w:rsidR="009E2FDE" w:rsidRPr="00CD5AF2" w:rsidRDefault="009E2FDE" w:rsidP="00564872">
            <w:pPr>
              <w:spacing w:line="480" w:lineRule="auto"/>
              <w:jc w:val="center"/>
              <w:rPr>
                <w:rFonts w:ascii="Arial" w:hAnsi="Arial" w:cs="Arial"/>
              </w:rPr>
            </w:pPr>
            <w:r w:rsidRPr="00CD5AF2">
              <w:rPr>
                <w:rFonts w:ascii="Arial" w:hAnsi="Arial" w:cs="Arial"/>
              </w:rPr>
              <w:t>4</w:t>
            </w:r>
          </w:p>
        </w:tc>
      </w:tr>
    </w:tbl>
    <w:p w14:paraId="0D738AC3" w14:textId="77777777" w:rsidR="009E2FDE" w:rsidRDefault="009E2FDE" w:rsidP="00564872">
      <w:pPr>
        <w:spacing w:line="480" w:lineRule="auto"/>
        <w:rPr>
          <w:szCs w:val="24"/>
        </w:rPr>
      </w:pPr>
    </w:p>
    <w:p w14:paraId="249F0CF8" w14:textId="77777777" w:rsidR="009E2FDE" w:rsidRPr="00FD3C36" w:rsidRDefault="009E2FDE" w:rsidP="00564872">
      <w:pPr>
        <w:spacing w:line="480" w:lineRule="auto"/>
        <w:jc w:val="both"/>
        <w:rPr>
          <w:rFonts w:ascii="Arial" w:hAnsi="Arial" w:cs="Arial"/>
          <w:color w:val="000000"/>
          <w:shd w:val="clear" w:color="auto" w:fill="FFFFFF"/>
        </w:rPr>
      </w:pPr>
      <w:r w:rsidRPr="00FD3C36">
        <w:rPr>
          <w:rFonts w:ascii="Arial" w:hAnsi="Arial" w:cs="Arial"/>
          <w:color w:val="000000"/>
          <w:shd w:val="clear" w:color="auto" w:fill="FFFFFF"/>
        </w:rPr>
        <w:t>Despite individual studies on the health benefits of mango, guava, and lemon leaves, a significant research gap existed concerning a direct comparative analysis of their phytochemical profiles, antioxidant, and anti-inflammatory potentials using a consistent methodology. Furthermore, a comprehensive assessment of the sensory attributes of teas derived from these leaves, which is crucial for consumer acceptance and marketability, was largely overlooked in scientific investigations. This study was specifically designed to bridge this knowledge gap by providing a systematic, side-by-side evaluation of these three common leaf teas, offering a more holistic understanding of their relative health benefits and their potential as acceptable functional beverages.</w:t>
      </w:r>
    </w:p>
    <w:p w14:paraId="04C14D6E" w14:textId="77777777" w:rsidR="00790ADA" w:rsidRPr="00FB3A86" w:rsidRDefault="00790ADA" w:rsidP="00564872">
      <w:pPr>
        <w:pStyle w:val="Body"/>
        <w:spacing w:after="0" w:line="480" w:lineRule="auto"/>
        <w:rPr>
          <w:rFonts w:ascii="Arial" w:hAnsi="Arial" w:cs="Arial"/>
        </w:rPr>
      </w:pPr>
    </w:p>
    <w:p w14:paraId="06C42572" w14:textId="77777777" w:rsidR="00B01FCD" w:rsidRDefault="00000F8F" w:rsidP="00564872">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2DDD2789" w14:textId="77777777" w:rsidR="00790ADA" w:rsidRPr="00FB3A86" w:rsidRDefault="00790ADA" w:rsidP="00564872">
      <w:pPr>
        <w:pStyle w:val="ConcHead"/>
        <w:spacing w:after="0" w:line="480" w:lineRule="auto"/>
        <w:jc w:val="both"/>
        <w:rPr>
          <w:rFonts w:ascii="Arial" w:hAnsi="Arial" w:cs="Arial"/>
        </w:rPr>
      </w:pPr>
    </w:p>
    <w:p w14:paraId="18427130" w14:textId="77777777" w:rsidR="009E2FDE" w:rsidRPr="009E2FDE" w:rsidRDefault="009E2FDE" w:rsidP="00564872">
      <w:pPr>
        <w:pStyle w:val="Body"/>
        <w:spacing w:after="0" w:line="480" w:lineRule="auto"/>
        <w:rPr>
          <w:rFonts w:ascii="Arial" w:hAnsi="Arial" w:cs="Arial"/>
        </w:rPr>
      </w:pPr>
      <w:r w:rsidRPr="009E2FDE">
        <w:rPr>
          <w:rFonts w:ascii="Arial" w:hAnsi="Arial" w:cs="Arial"/>
        </w:rPr>
        <w:t>This study successfully provided a comprehensive comparative analysis of mango, guava, and lemon leaf aqueous extracts, elucidating their phytochemical profiles, antioxidant, anti-inflammatory properties, and crucial sensory attributes. We demonstrated that all three leaves are rich in diverse phytochemicals, with guava consistently exhibiting superior total polyphenol and flavonoid content. Correspondingly, guava extract showed the highest antioxidant capacity and most potent anti-inflammatory activity. Furthermore, our sensory evaluation uniquely highlighted guava leaf tea as having the highest overall consumer acceptability, bridging the gap between scientific efficacy and market potential. These findings strongly support the use of guava leaves as a promising natural source for functional beverages, contributing to sustainable health promotion and offering valuable insights for future product development.</w:t>
      </w:r>
    </w:p>
    <w:p w14:paraId="47FCFDAD" w14:textId="77777777" w:rsidR="00790ADA" w:rsidRPr="00FB3A86" w:rsidRDefault="00790ADA" w:rsidP="00564872">
      <w:pPr>
        <w:pStyle w:val="Body"/>
        <w:spacing w:after="0" w:line="480" w:lineRule="auto"/>
        <w:rPr>
          <w:rFonts w:ascii="Arial" w:hAnsi="Arial" w:cs="Arial"/>
        </w:rPr>
      </w:pPr>
    </w:p>
    <w:p w14:paraId="2EE23437" w14:textId="77777777" w:rsidR="005C784C" w:rsidRDefault="002E64FE" w:rsidP="00564872">
      <w:pPr>
        <w:pStyle w:val="ReferHead"/>
        <w:spacing w:after="0" w:line="480" w:lineRule="auto"/>
        <w:jc w:val="both"/>
        <w:rPr>
          <w:rFonts w:ascii="Arial" w:hAnsi="Arial" w:cs="Arial"/>
          <w:bCs/>
        </w:rPr>
      </w:pPr>
      <w:bookmarkStart w:id="12" w:name="_GoBack"/>
      <w:bookmarkEnd w:id="12"/>
      <w:r>
        <w:rPr>
          <w:rFonts w:ascii="Arial" w:hAnsi="Arial" w:cs="Arial"/>
          <w:bCs/>
        </w:rPr>
        <w:lastRenderedPageBreak/>
        <w:t xml:space="preserve">Ethical approval </w:t>
      </w:r>
    </w:p>
    <w:p w14:paraId="36F9E0D9" w14:textId="77777777" w:rsidR="00121B85" w:rsidRPr="00121B85" w:rsidRDefault="00121B85" w:rsidP="00564872">
      <w:pPr>
        <w:pStyle w:val="ReferHead"/>
        <w:spacing w:after="0" w:line="480" w:lineRule="auto"/>
        <w:jc w:val="both"/>
        <w:rPr>
          <w:rFonts w:ascii="Arial" w:hAnsi="Arial" w:cs="Arial"/>
          <w:b w:val="0"/>
          <w:caps w:val="0"/>
          <w:sz w:val="20"/>
        </w:rPr>
      </w:pPr>
      <w:r w:rsidRPr="00121B85">
        <w:rPr>
          <w:rFonts w:ascii="Arial" w:hAnsi="Arial" w:cs="Arial"/>
          <w:b w:val="0"/>
          <w:caps w:val="0"/>
          <w:sz w:val="20"/>
        </w:rPr>
        <w:t>Approval to conduct hemolysis on human blood cells were approved by Institutional Ethical Committee of IILR (IEC No-19/07/21) Academy, Indore where work was done. The volunteer signed the informed consent for this study.</w:t>
      </w:r>
    </w:p>
    <w:p w14:paraId="2B33A785" w14:textId="77777777" w:rsidR="00860000" w:rsidRDefault="00860000" w:rsidP="00564872">
      <w:pPr>
        <w:pStyle w:val="ReferHead"/>
        <w:spacing w:after="0" w:line="480" w:lineRule="auto"/>
        <w:jc w:val="both"/>
        <w:rPr>
          <w:rFonts w:ascii="Arial" w:hAnsi="Arial" w:cs="Arial"/>
        </w:rPr>
      </w:pPr>
    </w:p>
    <w:p w14:paraId="77AE661D" w14:textId="77777777" w:rsidR="00B01FCD" w:rsidRDefault="00B01FCD" w:rsidP="00564872">
      <w:pPr>
        <w:pStyle w:val="ReferHead"/>
        <w:spacing w:after="0" w:line="480" w:lineRule="auto"/>
        <w:jc w:val="both"/>
        <w:rPr>
          <w:rFonts w:ascii="Arial" w:hAnsi="Arial" w:cs="Arial"/>
        </w:rPr>
      </w:pPr>
      <w:r w:rsidRPr="00FB3A86">
        <w:rPr>
          <w:rFonts w:ascii="Arial" w:hAnsi="Arial" w:cs="Arial"/>
        </w:rPr>
        <w:t>References</w:t>
      </w:r>
    </w:p>
    <w:p w14:paraId="78906DB4" w14:textId="77777777" w:rsidR="00790ADA" w:rsidRPr="00FB3A86" w:rsidRDefault="00790ADA" w:rsidP="00564872">
      <w:pPr>
        <w:pStyle w:val="ReferHead"/>
        <w:spacing w:after="0" w:line="480" w:lineRule="auto"/>
        <w:jc w:val="both"/>
        <w:rPr>
          <w:rFonts w:ascii="Arial" w:hAnsi="Arial" w:cs="Arial"/>
        </w:rPr>
      </w:pPr>
    </w:p>
    <w:p w14:paraId="57CD864E"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13" w:name="_Ref205478385"/>
      <w:r w:rsidRPr="009E2595">
        <w:rPr>
          <w:rFonts w:ascii="Arial" w:hAnsi="Arial" w:cs="Arial"/>
          <w:sz w:val="20"/>
          <w:szCs w:val="20"/>
        </w:rPr>
        <w:t xml:space="preserve">World Health Organization, WHO fact sheet on antimicrobial resistance. </w:t>
      </w:r>
      <w:hyperlink r:id="rId21" w:tgtFrame="_blank" w:history="1">
        <w:r w:rsidRPr="009E2595">
          <w:rPr>
            <w:rFonts w:ascii="Arial" w:hAnsi="Arial" w:cs="Arial"/>
            <w:sz w:val="20"/>
            <w:szCs w:val="20"/>
          </w:rPr>
          <w:t>https://www.who.int/news-room/fact-sheets/detail/antimicrobial-resistance</w:t>
        </w:r>
      </w:hyperlink>
      <w:r w:rsidRPr="009E2595">
        <w:rPr>
          <w:rFonts w:ascii="Arial" w:hAnsi="Arial" w:cs="Arial"/>
          <w:sz w:val="20"/>
          <w:szCs w:val="20"/>
        </w:rPr>
        <w:t>. Accessed 28 Feb, 2023.</w:t>
      </w:r>
      <w:bookmarkEnd w:id="13"/>
    </w:p>
    <w:p w14:paraId="02A6382E"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14" w:name="_Ref205478402"/>
      <w:r w:rsidRPr="009E2595">
        <w:rPr>
          <w:rFonts w:ascii="Arial" w:hAnsi="Arial" w:cs="Arial"/>
          <w:sz w:val="20"/>
          <w:szCs w:val="20"/>
        </w:rPr>
        <w:t>Liu R H, Health benefits of fruit and vegetables are from additive and synergistic combinations of phytochemicals, Am J Clin Nutr, 2003, 78(3), 517S-520S.</w:t>
      </w:r>
      <w:bookmarkEnd w:id="14"/>
      <w:r w:rsidRPr="009E2595">
        <w:rPr>
          <w:rFonts w:ascii="Arial" w:hAnsi="Arial" w:cs="Arial"/>
          <w:sz w:val="20"/>
          <w:szCs w:val="20"/>
        </w:rPr>
        <w:t xml:space="preserve"> https://doi.org/10.1093/ajcn/78.3.517S</w:t>
      </w:r>
    </w:p>
    <w:p w14:paraId="3DC5E805"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15" w:name="_Ref205478430"/>
      <w:r w:rsidRPr="009E2595">
        <w:rPr>
          <w:rFonts w:ascii="Arial" w:hAnsi="Arial" w:cs="Arial"/>
          <w:sz w:val="20"/>
          <w:szCs w:val="20"/>
        </w:rPr>
        <w:t>Mohanapriya M, Ramaswamy L and Rajendran R, Health and medicinal properties of lemon (</w:t>
      </w:r>
      <w:r w:rsidRPr="009E2595">
        <w:rPr>
          <w:rFonts w:ascii="Arial" w:hAnsi="Arial" w:cs="Arial"/>
          <w:i/>
          <w:sz w:val="20"/>
          <w:szCs w:val="20"/>
        </w:rPr>
        <w:t xml:space="preserve">Citrus </w:t>
      </w:r>
      <w:proofErr w:type="spellStart"/>
      <w:r w:rsidRPr="009E2595">
        <w:rPr>
          <w:rFonts w:ascii="Arial" w:hAnsi="Arial" w:cs="Arial"/>
          <w:i/>
          <w:sz w:val="20"/>
          <w:szCs w:val="20"/>
        </w:rPr>
        <w:t>limon</w:t>
      </w:r>
      <w:proofErr w:type="spellEnd"/>
      <w:r w:rsidRPr="009E2595">
        <w:rPr>
          <w:rFonts w:ascii="Arial" w:hAnsi="Arial" w:cs="Arial"/>
          <w:sz w:val="20"/>
          <w:szCs w:val="20"/>
        </w:rPr>
        <w:t xml:space="preserve">), Int J </w:t>
      </w:r>
      <w:proofErr w:type="spellStart"/>
      <w:r w:rsidRPr="009E2595">
        <w:rPr>
          <w:rFonts w:ascii="Arial" w:hAnsi="Arial" w:cs="Arial"/>
          <w:sz w:val="20"/>
          <w:szCs w:val="20"/>
        </w:rPr>
        <w:t>Ayurv</w:t>
      </w:r>
      <w:proofErr w:type="spellEnd"/>
      <w:r w:rsidRPr="009E2595">
        <w:rPr>
          <w:rFonts w:ascii="Arial" w:hAnsi="Arial" w:cs="Arial"/>
          <w:sz w:val="20"/>
          <w:szCs w:val="20"/>
        </w:rPr>
        <w:t xml:space="preserve"> Herb Med, 2013, 3(1), 1095-1100.</w:t>
      </w:r>
      <w:bookmarkEnd w:id="15"/>
      <w:r w:rsidRPr="009E2595">
        <w:rPr>
          <w:rFonts w:ascii="Arial" w:hAnsi="Arial" w:cs="Arial"/>
          <w:sz w:val="20"/>
          <w:szCs w:val="20"/>
        </w:rPr>
        <w:t xml:space="preserve"> </w:t>
      </w:r>
    </w:p>
    <w:p w14:paraId="6C62E135"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16" w:name="_Ref205478435"/>
      <w:proofErr w:type="spellStart"/>
      <w:r w:rsidRPr="009E2595">
        <w:rPr>
          <w:rFonts w:ascii="Arial" w:hAnsi="Arial" w:cs="Arial"/>
          <w:sz w:val="20"/>
          <w:szCs w:val="20"/>
        </w:rPr>
        <w:t>Anggraeni</w:t>
      </w:r>
      <w:proofErr w:type="spellEnd"/>
      <w:r w:rsidRPr="009E2595">
        <w:rPr>
          <w:rFonts w:ascii="Arial" w:hAnsi="Arial" w:cs="Arial"/>
          <w:sz w:val="20"/>
          <w:szCs w:val="20"/>
        </w:rPr>
        <w:t xml:space="preserve"> V J, </w:t>
      </w:r>
      <w:proofErr w:type="spellStart"/>
      <w:r w:rsidRPr="009E2595">
        <w:rPr>
          <w:rFonts w:ascii="Arial" w:hAnsi="Arial" w:cs="Arial"/>
          <w:sz w:val="20"/>
          <w:szCs w:val="20"/>
        </w:rPr>
        <w:t>Purwaniati</w:t>
      </w:r>
      <w:proofErr w:type="spellEnd"/>
      <w:r w:rsidRPr="009E2595">
        <w:rPr>
          <w:rFonts w:ascii="Arial" w:hAnsi="Arial" w:cs="Arial"/>
          <w:sz w:val="20"/>
          <w:szCs w:val="20"/>
        </w:rPr>
        <w:t xml:space="preserve"> P, </w:t>
      </w:r>
      <w:proofErr w:type="spellStart"/>
      <w:r w:rsidRPr="009E2595">
        <w:rPr>
          <w:rFonts w:ascii="Arial" w:hAnsi="Arial" w:cs="Arial"/>
          <w:sz w:val="20"/>
          <w:szCs w:val="20"/>
        </w:rPr>
        <w:t>Budiana</w:t>
      </w:r>
      <w:proofErr w:type="spellEnd"/>
      <w:r w:rsidRPr="009E2595">
        <w:rPr>
          <w:rFonts w:ascii="Arial" w:hAnsi="Arial" w:cs="Arial"/>
          <w:sz w:val="20"/>
          <w:szCs w:val="20"/>
        </w:rPr>
        <w:t xml:space="preserve"> W and </w:t>
      </w:r>
      <w:proofErr w:type="spellStart"/>
      <w:r w:rsidRPr="009E2595">
        <w:rPr>
          <w:rFonts w:ascii="Arial" w:hAnsi="Arial" w:cs="Arial"/>
          <w:sz w:val="20"/>
          <w:szCs w:val="20"/>
        </w:rPr>
        <w:t>Nurdin</w:t>
      </w:r>
      <w:proofErr w:type="spellEnd"/>
      <w:r w:rsidRPr="009E2595">
        <w:rPr>
          <w:rFonts w:ascii="Arial" w:hAnsi="Arial" w:cs="Arial"/>
          <w:sz w:val="20"/>
          <w:szCs w:val="20"/>
        </w:rPr>
        <w:t xml:space="preserve"> T, Molecular Docking Compounds in Methanol Extract of Mango Leaves (</w:t>
      </w:r>
      <w:r w:rsidRPr="009E2595">
        <w:rPr>
          <w:rFonts w:ascii="Arial" w:hAnsi="Arial" w:cs="Arial"/>
          <w:i/>
          <w:sz w:val="20"/>
          <w:szCs w:val="20"/>
        </w:rPr>
        <w:t>Mangifera Indica</w:t>
      </w:r>
      <w:r w:rsidRPr="009E2595">
        <w:rPr>
          <w:rFonts w:ascii="Arial" w:hAnsi="Arial" w:cs="Arial"/>
          <w:sz w:val="20"/>
          <w:szCs w:val="20"/>
        </w:rPr>
        <w:t xml:space="preserve"> L.) as Anti-inflammatory Agent, J Kimia Riset, 2022, 7(1), 57-65.</w:t>
      </w:r>
      <w:bookmarkEnd w:id="16"/>
      <w:r w:rsidRPr="009E2595">
        <w:rPr>
          <w:rFonts w:ascii="Arial" w:hAnsi="Arial" w:cs="Arial"/>
          <w:sz w:val="20"/>
          <w:szCs w:val="20"/>
        </w:rPr>
        <w:t xml:space="preserve"> </w:t>
      </w:r>
      <w:hyperlink r:id="rId22" w:history="1">
        <w:r w:rsidRPr="009E2595">
          <w:rPr>
            <w:rFonts w:ascii="Arial" w:hAnsi="Arial" w:cs="Arial"/>
            <w:sz w:val="20"/>
            <w:szCs w:val="20"/>
          </w:rPr>
          <w:t>https://doi.org/10.20473/jkr.v7i1.35950</w:t>
        </w:r>
      </w:hyperlink>
    </w:p>
    <w:p w14:paraId="2866937C"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17" w:name="_Ref205478443"/>
      <w:r w:rsidRPr="009E2595">
        <w:rPr>
          <w:rFonts w:ascii="Arial" w:hAnsi="Arial" w:cs="Arial"/>
          <w:sz w:val="20"/>
          <w:szCs w:val="20"/>
        </w:rPr>
        <w:t>Pan J, Yi X, Zhang S, Cheng J, Wang Y, Liu C and He X, Bioactive phenolics from mango leaves (</w:t>
      </w:r>
      <w:r w:rsidRPr="009E2595">
        <w:rPr>
          <w:rFonts w:ascii="Arial" w:hAnsi="Arial" w:cs="Arial"/>
          <w:i/>
          <w:sz w:val="20"/>
          <w:szCs w:val="20"/>
        </w:rPr>
        <w:t>Mangifera indica</w:t>
      </w:r>
      <w:r w:rsidRPr="009E2595">
        <w:rPr>
          <w:rFonts w:ascii="Arial" w:hAnsi="Arial" w:cs="Arial"/>
          <w:sz w:val="20"/>
          <w:szCs w:val="20"/>
        </w:rPr>
        <w:t xml:space="preserve"> L.), Ind Crops Prod, 2018, 111, 400-406.</w:t>
      </w:r>
      <w:bookmarkEnd w:id="17"/>
      <w:r w:rsidRPr="009E2595">
        <w:rPr>
          <w:rFonts w:ascii="Arial" w:hAnsi="Arial" w:cs="Arial"/>
          <w:sz w:val="20"/>
          <w:szCs w:val="20"/>
        </w:rPr>
        <w:t xml:space="preserve"> </w:t>
      </w:r>
      <w:hyperlink r:id="rId23" w:tgtFrame="_blank" w:tooltip="Persistent link using digital object identifier" w:history="1">
        <w:r w:rsidRPr="009E2595">
          <w:rPr>
            <w:rFonts w:ascii="Arial" w:hAnsi="Arial" w:cs="Arial"/>
            <w:sz w:val="20"/>
            <w:szCs w:val="20"/>
          </w:rPr>
          <w:t>https://doi.org/10.1016/j.indcrop.2017.10.057</w:t>
        </w:r>
      </w:hyperlink>
    </w:p>
    <w:p w14:paraId="0234BED0"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18" w:name="_Ref205478515"/>
      <w:r w:rsidRPr="009E2595">
        <w:rPr>
          <w:rFonts w:ascii="Arial" w:hAnsi="Arial" w:cs="Arial"/>
          <w:sz w:val="20"/>
          <w:szCs w:val="20"/>
        </w:rPr>
        <w:t xml:space="preserve">Kawakami Y, Nakamura T, Hosokawa T, Suzuki-Yamamoto T, Yamashita H, Kimoto M, Tsuji H, Yoshida H, Hada T and Takahashi Y, Antiproliferative activity of guava leaf extract via inhibition of prostaglandin endoperoxide H synthase isoforms, Prostaglandins </w:t>
      </w:r>
      <w:proofErr w:type="spellStart"/>
      <w:r w:rsidRPr="009E2595">
        <w:rPr>
          <w:rFonts w:ascii="Arial" w:hAnsi="Arial" w:cs="Arial"/>
          <w:sz w:val="20"/>
          <w:szCs w:val="20"/>
        </w:rPr>
        <w:t>Leukot</w:t>
      </w:r>
      <w:proofErr w:type="spellEnd"/>
      <w:r w:rsidRPr="009E2595">
        <w:rPr>
          <w:rFonts w:ascii="Arial" w:hAnsi="Arial" w:cs="Arial"/>
          <w:sz w:val="20"/>
          <w:szCs w:val="20"/>
        </w:rPr>
        <w:t xml:space="preserve"> Essent Fatty Acids, 2009, 80(5-6), 239-245.</w:t>
      </w:r>
      <w:bookmarkEnd w:id="18"/>
      <w:r w:rsidRPr="009E2595">
        <w:rPr>
          <w:rFonts w:ascii="Arial" w:hAnsi="Arial" w:cs="Arial"/>
          <w:sz w:val="20"/>
          <w:szCs w:val="20"/>
        </w:rPr>
        <w:t xml:space="preserve"> https://doi.org/10.1016/j.plefa.2009.04.006</w:t>
      </w:r>
    </w:p>
    <w:p w14:paraId="3C88DEF8"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19" w:name="_Ref205478531"/>
      <w:proofErr w:type="spellStart"/>
      <w:r w:rsidRPr="009E2595">
        <w:rPr>
          <w:rFonts w:ascii="Arial" w:hAnsi="Arial" w:cs="Arial"/>
          <w:sz w:val="20"/>
          <w:szCs w:val="20"/>
        </w:rPr>
        <w:t>Khettal</w:t>
      </w:r>
      <w:proofErr w:type="spellEnd"/>
      <w:r w:rsidRPr="009E2595">
        <w:rPr>
          <w:rFonts w:ascii="Arial" w:hAnsi="Arial" w:cs="Arial"/>
          <w:sz w:val="20"/>
          <w:szCs w:val="20"/>
        </w:rPr>
        <w:t xml:space="preserve"> B, Kadri N, </w:t>
      </w:r>
      <w:proofErr w:type="spellStart"/>
      <w:r w:rsidRPr="009E2595">
        <w:rPr>
          <w:rFonts w:ascii="Arial" w:hAnsi="Arial" w:cs="Arial"/>
          <w:sz w:val="20"/>
          <w:szCs w:val="20"/>
        </w:rPr>
        <w:t>Tighilet</w:t>
      </w:r>
      <w:proofErr w:type="spellEnd"/>
      <w:r w:rsidRPr="009E2595">
        <w:rPr>
          <w:rFonts w:ascii="Arial" w:hAnsi="Arial" w:cs="Arial"/>
          <w:sz w:val="20"/>
          <w:szCs w:val="20"/>
        </w:rPr>
        <w:t xml:space="preserve"> K, </w:t>
      </w:r>
      <w:proofErr w:type="spellStart"/>
      <w:r w:rsidRPr="009E2595">
        <w:rPr>
          <w:rFonts w:ascii="Arial" w:hAnsi="Arial" w:cs="Arial"/>
          <w:sz w:val="20"/>
          <w:szCs w:val="20"/>
        </w:rPr>
        <w:t>Adjebli</w:t>
      </w:r>
      <w:proofErr w:type="spellEnd"/>
      <w:r w:rsidRPr="009E2595">
        <w:rPr>
          <w:rFonts w:ascii="Arial" w:hAnsi="Arial" w:cs="Arial"/>
          <w:sz w:val="20"/>
          <w:szCs w:val="20"/>
        </w:rPr>
        <w:t xml:space="preserve"> A, </w:t>
      </w:r>
      <w:proofErr w:type="spellStart"/>
      <w:r w:rsidRPr="009E2595">
        <w:rPr>
          <w:rFonts w:ascii="Arial" w:hAnsi="Arial" w:cs="Arial"/>
          <w:sz w:val="20"/>
          <w:szCs w:val="20"/>
        </w:rPr>
        <w:t>Dahmoune</w:t>
      </w:r>
      <w:proofErr w:type="spellEnd"/>
      <w:r w:rsidRPr="009E2595">
        <w:rPr>
          <w:rFonts w:ascii="Arial" w:hAnsi="Arial" w:cs="Arial"/>
          <w:sz w:val="20"/>
          <w:szCs w:val="20"/>
        </w:rPr>
        <w:t xml:space="preserve"> F and </w:t>
      </w:r>
      <w:proofErr w:type="spellStart"/>
      <w:r w:rsidRPr="009E2595">
        <w:rPr>
          <w:rFonts w:ascii="Arial" w:hAnsi="Arial" w:cs="Arial"/>
          <w:sz w:val="20"/>
          <w:szCs w:val="20"/>
        </w:rPr>
        <w:t>Maiza-Benabdeslam</w:t>
      </w:r>
      <w:proofErr w:type="spellEnd"/>
      <w:r w:rsidRPr="009E2595">
        <w:rPr>
          <w:rFonts w:ascii="Arial" w:hAnsi="Arial" w:cs="Arial"/>
          <w:sz w:val="20"/>
          <w:szCs w:val="20"/>
        </w:rPr>
        <w:t xml:space="preserve"> F, Phenolic compounds from Citrus leaves: Antioxidant activity and enzymatic browning inhibition, J Complement </w:t>
      </w:r>
      <w:proofErr w:type="spellStart"/>
      <w:r w:rsidRPr="009E2595">
        <w:rPr>
          <w:rFonts w:ascii="Arial" w:hAnsi="Arial" w:cs="Arial"/>
          <w:sz w:val="20"/>
          <w:szCs w:val="20"/>
        </w:rPr>
        <w:t>Integr</w:t>
      </w:r>
      <w:proofErr w:type="spellEnd"/>
      <w:r w:rsidRPr="009E2595">
        <w:rPr>
          <w:rFonts w:ascii="Arial" w:hAnsi="Arial" w:cs="Arial"/>
          <w:sz w:val="20"/>
          <w:szCs w:val="20"/>
        </w:rPr>
        <w:t xml:space="preserve"> Med, 2017, 14(1), 20160030.</w:t>
      </w:r>
      <w:bookmarkEnd w:id="19"/>
      <w:r w:rsidRPr="009E2595">
        <w:rPr>
          <w:rFonts w:ascii="Arial" w:hAnsi="Arial" w:cs="Arial"/>
          <w:sz w:val="20"/>
          <w:szCs w:val="20"/>
        </w:rPr>
        <w:t xml:space="preserve"> </w:t>
      </w:r>
      <w:hyperlink r:id="rId24" w:tgtFrame="_blank" w:history="1">
        <w:r w:rsidRPr="009E2595">
          <w:rPr>
            <w:rFonts w:ascii="Arial" w:hAnsi="Arial" w:cs="Arial"/>
            <w:sz w:val="20"/>
            <w:szCs w:val="20"/>
          </w:rPr>
          <w:t>https://doi.org/10.1515/jcim-2016-0030</w:t>
        </w:r>
      </w:hyperlink>
    </w:p>
    <w:p w14:paraId="69DEACC8"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20" w:name="_Ref205478539"/>
      <w:r w:rsidRPr="009E2595">
        <w:rPr>
          <w:rFonts w:ascii="Arial" w:hAnsi="Arial" w:cs="Arial"/>
          <w:sz w:val="20"/>
          <w:szCs w:val="20"/>
        </w:rPr>
        <w:t>Angulo-López J E, Flores-Gallegos A C, Torres-León C, Ramírez-Guzmán K N, Martínez G A and Aguilar C N, Guava (</w:t>
      </w:r>
      <w:r w:rsidRPr="009E2595">
        <w:rPr>
          <w:rFonts w:ascii="Arial" w:hAnsi="Arial" w:cs="Arial"/>
          <w:i/>
          <w:sz w:val="20"/>
          <w:szCs w:val="20"/>
        </w:rPr>
        <w:t>Psidium guajava</w:t>
      </w:r>
      <w:r w:rsidRPr="009E2595">
        <w:rPr>
          <w:rFonts w:ascii="Arial" w:hAnsi="Arial" w:cs="Arial"/>
          <w:sz w:val="20"/>
          <w:szCs w:val="20"/>
        </w:rPr>
        <w:t xml:space="preserve"> L.) Fruit and Valorization of Industrialization By-Products, Processes, 2021, 9(6), 1075.</w:t>
      </w:r>
      <w:bookmarkEnd w:id="20"/>
      <w:r w:rsidRPr="009E2595">
        <w:rPr>
          <w:rFonts w:ascii="Arial" w:hAnsi="Arial" w:cs="Arial"/>
          <w:sz w:val="20"/>
          <w:szCs w:val="20"/>
        </w:rPr>
        <w:t xml:space="preserve"> https://doi.org/10.3390/pr9061075</w:t>
      </w:r>
    </w:p>
    <w:p w14:paraId="1E975996"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21" w:name="_Ref205478548"/>
      <w:r w:rsidRPr="009E2595">
        <w:rPr>
          <w:rFonts w:ascii="Arial" w:hAnsi="Arial" w:cs="Arial"/>
          <w:sz w:val="20"/>
          <w:szCs w:val="20"/>
        </w:rPr>
        <w:t xml:space="preserve">Huynh H D, </w:t>
      </w:r>
      <w:proofErr w:type="spellStart"/>
      <w:r w:rsidRPr="009E2595">
        <w:rPr>
          <w:rFonts w:ascii="Arial" w:hAnsi="Arial" w:cs="Arial"/>
          <w:sz w:val="20"/>
          <w:szCs w:val="20"/>
        </w:rPr>
        <w:t>Nargotra</w:t>
      </w:r>
      <w:proofErr w:type="spellEnd"/>
      <w:r w:rsidRPr="009E2595">
        <w:rPr>
          <w:rFonts w:ascii="Arial" w:hAnsi="Arial" w:cs="Arial"/>
          <w:sz w:val="20"/>
          <w:szCs w:val="20"/>
        </w:rPr>
        <w:t xml:space="preserve"> P, Wang H-M D, Shieh C-J, Liu Y-C and Kuo C-H, Bioactive Compounds from Guava Leaves (</w:t>
      </w:r>
      <w:r w:rsidRPr="009E2595">
        <w:rPr>
          <w:rFonts w:ascii="Arial" w:hAnsi="Arial" w:cs="Arial"/>
          <w:i/>
          <w:sz w:val="20"/>
          <w:szCs w:val="20"/>
        </w:rPr>
        <w:t>Psidium guajava</w:t>
      </w:r>
      <w:r w:rsidRPr="009E2595">
        <w:rPr>
          <w:rFonts w:ascii="Arial" w:hAnsi="Arial" w:cs="Arial"/>
          <w:sz w:val="20"/>
          <w:szCs w:val="20"/>
        </w:rPr>
        <w:t xml:space="preserve"> L.): Characterization, Biological Activity, Synergistic Effects, and Technological Applications, Molecules, 2025, 30(6), 1278.</w:t>
      </w:r>
      <w:bookmarkEnd w:id="21"/>
      <w:r w:rsidRPr="009E2595">
        <w:rPr>
          <w:rFonts w:ascii="Arial" w:hAnsi="Arial" w:cs="Arial"/>
          <w:sz w:val="20"/>
          <w:szCs w:val="20"/>
        </w:rPr>
        <w:t xml:space="preserve"> </w:t>
      </w:r>
      <w:hyperlink r:id="rId25" w:history="1">
        <w:r w:rsidRPr="009E2595">
          <w:rPr>
            <w:rFonts w:ascii="Arial" w:hAnsi="Arial" w:cs="Arial"/>
            <w:sz w:val="20"/>
            <w:szCs w:val="20"/>
          </w:rPr>
          <w:t>https://doi.org/10.3390/molecules30061278</w:t>
        </w:r>
      </w:hyperlink>
    </w:p>
    <w:p w14:paraId="2F549CAB"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22" w:name="_Ref205478553"/>
      <w:r w:rsidRPr="009E2595">
        <w:rPr>
          <w:rFonts w:ascii="Arial" w:hAnsi="Arial" w:cs="Arial"/>
          <w:sz w:val="20"/>
          <w:szCs w:val="20"/>
        </w:rPr>
        <w:lastRenderedPageBreak/>
        <w:t xml:space="preserve">Kaur J, Kaushik D, Kumar M, </w:t>
      </w:r>
      <w:proofErr w:type="spellStart"/>
      <w:r w:rsidRPr="009E2595">
        <w:rPr>
          <w:rFonts w:ascii="Arial" w:hAnsi="Arial" w:cs="Arial"/>
          <w:sz w:val="20"/>
          <w:szCs w:val="20"/>
        </w:rPr>
        <w:t>Babagil</w:t>
      </w:r>
      <w:proofErr w:type="spellEnd"/>
      <w:r w:rsidRPr="009E2595">
        <w:rPr>
          <w:rFonts w:ascii="Arial" w:hAnsi="Arial" w:cs="Arial"/>
          <w:sz w:val="20"/>
          <w:szCs w:val="20"/>
        </w:rPr>
        <w:t xml:space="preserve"> G E, </w:t>
      </w:r>
      <w:proofErr w:type="spellStart"/>
      <w:r w:rsidRPr="009E2595">
        <w:rPr>
          <w:rFonts w:ascii="Arial" w:hAnsi="Arial" w:cs="Arial"/>
          <w:sz w:val="20"/>
          <w:szCs w:val="20"/>
        </w:rPr>
        <w:t>Amarowicz</w:t>
      </w:r>
      <w:proofErr w:type="spellEnd"/>
      <w:r w:rsidRPr="009E2595">
        <w:rPr>
          <w:rFonts w:ascii="Arial" w:hAnsi="Arial" w:cs="Arial"/>
          <w:sz w:val="20"/>
          <w:szCs w:val="20"/>
        </w:rPr>
        <w:t xml:space="preserve"> R, </w:t>
      </w:r>
      <w:proofErr w:type="spellStart"/>
      <w:r w:rsidRPr="009E2595">
        <w:rPr>
          <w:rFonts w:ascii="Arial" w:hAnsi="Arial" w:cs="Arial"/>
          <w:sz w:val="20"/>
          <w:szCs w:val="20"/>
        </w:rPr>
        <w:t>Proestos</w:t>
      </w:r>
      <w:proofErr w:type="spellEnd"/>
      <w:r w:rsidRPr="009E2595">
        <w:rPr>
          <w:rFonts w:ascii="Arial" w:hAnsi="Arial" w:cs="Arial"/>
          <w:sz w:val="20"/>
          <w:szCs w:val="20"/>
        </w:rPr>
        <w:t xml:space="preserve"> C, Oz E, Oz F, </w:t>
      </w:r>
      <w:proofErr w:type="spellStart"/>
      <w:r w:rsidRPr="009E2595">
        <w:rPr>
          <w:rFonts w:ascii="Arial" w:hAnsi="Arial" w:cs="Arial"/>
          <w:sz w:val="20"/>
          <w:szCs w:val="20"/>
        </w:rPr>
        <w:t>Esatbeyoglu</w:t>
      </w:r>
      <w:proofErr w:type="spellEnd"/>
      <w:r w:rsidRPr="009E2595">
        <w:rPr>
          <w:rFonts w:ascii="Arial" w:hAnsi="Arial" w:cs="Arial"/>
          <w:sz w:val="20"/>
          <w:szCs w:val="20"/>
        </w:rPr>
        <w:t xml:space="preserve"> T and </w:t>
      </w:r>
      <w:proofErr w:type="spellStart"/>
      <w:r w:rsidRPr="009E2595">
        <w:rPr>
          <w:rFonts w:ascii="Arial" w:hAnsi="Arial" w:cs="Arial"/>
          <w:sz w:val="20"/>
          <w:szCs w:val="20"/>
        </w:rPr>
        <w:t>Bordiga</w:t>
      </w:r>
      <w:proofErr w:type="spellEnd"/>
      <w:r w:rsidRPr="009E2595">
        <w:rPr>
          <w:rFonts w:ascii="Arial" w:hAnsi="Arial" w:cs="Arial"/>
          <w:sz w:val="20"/>
          <w:szCs w:val="20"/>
        </w:rPr>
        <w:t xml:space="preserve"> M, Comprehensive Analysis and Characterization of </w:t>
      </w:r>
      <w:r w:rsidRPr="009E2595">
        <w:rPr>
          <w:rFonts w:ascii="Arial" w:hAnsi="Arial" w:cs="Arial"/>
          <w:i/>
          <w:sz w:val="20"/>
          <w:szCs w:val="20"/>
        </w:rPr>
        <w:t>Mangifera indica</w:t>
      </w:r>
      <w:r w:rsidRPr="009E2595">
        <w:rPr>
          <w:rFonts w:ascii="Arial" w:hAnsi="Arial" w:cs="Arial"/>
          <w:sz w:val="20"/>
          <w:szCs w:val="20"/>
        </w:rPr>
        <w:t xml:space="preserve"> L. Leaf Powder, Food Sci </w:t>
      </w:r>
      <w:proofErr w:type="spellStart"/>
      <w:r w:rsidRPr="009E2595">
        <w:rPr>
          <w:rFonts w:ascii="Arial" w:hAnsi="Arial" w:cs="Arial"/>
          <w:sz w:val="20"/>
          <w:szCs w:val="20"/>
        </w:rPr>
        <w:t>Nutr</w:t>
      </w:r>
      <w:proofErr w:type="spellEnd"/>
      <w:r w:rsidRPr="009E2595">
        <w:rPr>
          <w:rFonts w:ascii="Arial" w:hAnsi="Arial" w:cs="Arial"/>
          <w:sz w:val="20"/>
          <w:szCs w:val="20"/>
        </w:rPr>
        <w:t>, 2025, 13(6), e70083.</w:t>
      </w:r>
      <w:bookmarkEnd w:id="22"/>
      <w:r w:rsidRPr="009E2595">
        <w:rPr>
          <w:rFonts w:ascii="Arial" w:hAnsi="Arial" w:cs="Arial"/>
          <w:sz w:val="20"/>
          <w:szCs w:val="20"/>
        </w:rPr>
        <w:t xml:space="preserve"> </w:t>
      </w:r>
      <w:hyperlink r:id="rId26" w:history="1">
        <w:r w:rsidRPr="009E2595">
          <w:rPr>
            <w:rFonts w:ascii="Arial" w:hAnsi="Arial" w:cs="Arial"/>
            <w:sz w:val="20"/>
            <w:szCs w:val="20"/>
          </w:rPr>
          <w:t>https://doi.org/10.1002/fsn3.70083</w:t>
        </w:r>
      </w:hyperlink>
    </w:p>
    <w:p w14:paraId="5C0B2968"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23" w:name="_Ref205478651"/>
      <w:r w:rsidRPr="009E2595">
        <w:rPr>
          <w:rFonts w:ascii="Arial" w:hAnsi="Arial" w:cs="Arial"/>
          <w:sz w:val="20"/>
          <w:szCs w:val="20"/>
        </w:rPr>
        <w:t xml:space="preserve">Patel S, Dey R, Verma K, </w:t>
      </w:r>
      <w:proofErr w:type="spellStart"/>
      <w:r w:rsidRPr="009E2595">
        <w:rPr>
          <w:rFonts w:ascii="Arial" w:hAnsi="Arial" w:cs="Arial"/>
          <w:sz w:val="20"/>
          <w:szCs w:val="20"/>
        </w:rPr>
        <w:t>Deshbhratar</w:t>
      </w:r>
      <w:proofErr w:type="spellEnd"/>
      <w:r w:rsidRPr="009E2595">
        <w:rPr>
          <w:rFonts w:ascii="Arial" w:hAnsi="Arial" w:cs="Arial"/>
          <w:sz w:val="20"/>
          <w:szCs w:val="20"/>
        </w:rPr>
        <w:t xml:space="preserve"> R, Maru K </w:t>
      </w:r>
      <w:proofErr w:type="spellStart"/>
      <w:r w:rsidRPr="009E2595">
        <w:rPr>
          <w:rFonts w:ascii="Arial" w:hAnsi="Arial" w:cs="Arial"/>
          <w:sz w:val="20"/>
          <w:szCs w:val="20"/>
        </w:rPr>
        <w:t>K</w:t>
      </w:r>
      <w:proofErr w:type="spellEnd"/>
      <w:r w:rsidRPr="009E2595">
        <w:rPr>
          <w:rFonts w:ascii="Arial" w:hAnsi="Arial" w:cs="Arial"/>
          <w:sz w:val="20"/>
          <w:szCs w:val="20"/>
        </w:rPr>
        <w:t>, Sharma P, Limaye R and Puri P, Comparative analysis of antioxidant and anti-inflammatory activities of red, blue, and black tea for health benefits, Braz J Sci, 2023, 2(4), 76-89.</w:t>
      </w:r>
      <w:bookmarkEnd w:id="23"/>
      <w:r w:rsidRPr="009E2595">
        <w:rPr>
          <w:rFonts w:ascii="Arial" w:hAnsi="Arial" w:cs="Arial"/>
          <w:sz w:val="20"/>
          <w:szCs w:val="20"/>
        </w:rPr>
        <w:t xml:space="preserve"> </w:t>
      </w:r>
      <w:hyperlink r:id="rId27" w:history="1">
        <w:r w:rsidRPr="009E2595">
          <w:rPr>
            <w:rFonts w:ascii="Arial" w:hAnsi="Arial" w:cs="Arial"/>
            <w:sz w:val="20"/>
            <w:szCs w:val="20"/>
          </w:rPr>
          <w:t>https://doi.org/10.14295/bjs.v2i4.299</w:t>
        </w:r>
      </w:hyperlink>
    </w:p>
    <w:p w14:paraId="33405A17"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24" w:name="_Ref205478672"/>
      <w:r w:rsidRPr="009E2595">
        <w:rPr>
          <w:rFonts w:ascii="Arial" w:hAnsi="Arial" w:cs="Arial"/>
          <w:sz w:val="20"/>
          <w:szCs w:val="20"/>
        </w:rPr>
        <w:t xml:space="preserve">Patel S, Sharma P, </w:t>
      </w:r>
      <w:proofErr w:type="spellStart"/>
      <w:r w:rsidRPr="009E2595">
        <w:rPr>
          <w:rFonts w:ascii="Arial" w:hAnsi="Arial" w:cs="Arial"/>
          <w:sz w:val="20"/>
          <w:szCs w:val="20"/>
        </w:rPr>
        <w:t>Supat</w:t>
      </w:r>
      <w:proofErr w:type="spellEnd"/>
      <w:r w:rsidRPr="009E2595">
        <w:rPr>
          <w:rFonts w:ascii="Arial" w:hAnsi="Arial" w:cs="Arial"/>
          <w:sz w:val="20"/>
          <w:szCs w:val="20"/>
        </w:rPr>
        <w:t xml:space="preserve"> M, Mali S, Bafna A, Rangwala T, Limaye R and Puri P, Investigation of Antioxidant Potential of Black Beans Due to Phytochemical and Globulin Content for Nutraceutical Application, Def Life Sci J, 2024, 9(4), 326-334.</w:t>
      </w:r>
      <w:bookmarkEnd w:id="24"/>
      <w:r w:rsidRPr="009E2595">
        <w:rPr>
          <w:rFonts w:ascii="Arial" w:hAnsi="Arial" w:cs="Arial"/>
          <w:sz w:val="20"/>
          <w:szCs w:val="20"/>
        </w:rPr>
        <w:t xml:space="preserve"> https://doi.org/10.14429/dlsj.9.19920</w:t>
      </w:r>
    </w:p>
    <w:p w14:paraId="46CCFFFE" w14:textId="77777777" w:rsidR="009E2595" w:rsidRPr="009E2595" w:rsidRDefault="009E2595" w:rsidP="00564872">
      <w:pPr>
        <w:pStyle w:val="ListParagraph"/>
        <w:numPr>
          <w:ilvl w:val="0"/>
          <w:numId w:val="39"/>
        </w:numPr>
        <w:spacing w:after="160" w:line="480" w:lineRule="auto"/>
        <w:ind w:left="360"/>
        <w:rPr>
          <w:rFonts w:ascii="Arial" w:hAnsi="Arial" w:cs="Arial"/>
          <w:sz w:val="20"/>
          <w:szCs w:val="20"/>
        </w:rPr>
      </w:pPr>
      <w:bookmarkStart w:id="25" w:name="_Ref205478660"/>
      <w:r w:rsidRPr="009E2595">
        <w:rPr>
          <w:rFonts w:ascii="Arial" w:hAnsi="Arial" w:cs="Arial"/>
          <w:sz w:val="20"/>
          <w:szCs w:val="20"/>
        </w:rPr>
        <w:t xml:space="preserve">Kabilan S J, Baskar R and Poorani G, Herbal Tea Formulation for Health </w:t>
      </w:r>
      <w:proofErr w:type="spellStart"/>
      <w:r w:rsidRPr="009E2595">
        <w:rPr>
          <w:rFonts w:ascii="Arial" w:hAnsi="Arial" w:cs="Arial"/>
          <w:sz w:val="20"/>
          <w:szCs w:val="20"/>
        </w:rPr>
        <w:t>Rejenuvation</w:t>
      </w:r>
      <w:proofErr w:type="spellEnd"/>
      <w:r w:rsidRPr="009E2595">
        <w:rPr>
          <w:rFonts w:ascii="Arial" w:hAnsi="Arial" w:cs="Arial"/>
          <w:sz w:val="20"/>
          <w:szCs w:val="20"/>
        </w:rPr>
        <w:t>: Nutritional, Physicochemical and Sensory Analysis, Int J Eng Adv Technol, 2019, 9(1S4), 783-788.</w:t>
      </w:r>
      <w:bookmarkEnd w:id="25"/>
    </w:p>
    <w:p w14:paraId="418592BB" w14:textId="77777777" w:rsidR="00B01FCD" w:rsidRPr="00FB3A86" w:rsidRDefault="00B01FCD" w:rsidP="00564872">
      <w:pPr>
        <w:pStyle w:val="Reference"/>
        <w:numPr>
          <w:ilvl w:val="0"/>
          <w:numId w:val="0"/>
        </w:numPr>
        <w:spacing w:line="480" w:lineRule="auto"/>
        <w:rPr>
          <w:rFonts w:ascii="Arial" w:hAnsi="Arial" w:cs="Arial"/>
        </w:rPr>
      </w:pPr>
    </w:p>
    <w:p w14:paraId="3C5AF982" w14:textId="77777777" w:rsidR="00B01FCD" w:rsidRDefault="00B01FCD" w:rsidP="00564872">
      <w:pPr>
        <w:pStyle w:val="DefAcrHead"/>
        <w:spacing w:after="0" w:line="480" w:lineRule="auto"/>
        <w:jc w:val="both"/>
        <w:rPr>
          <w:rFonts w:ascii="Arial" w:hAnsi="Arial" w:cs="Arial"/>
        </w:rPr>
      </w:pPr>
      <w:r w:rsidRPr="00FB3A86">
        <w:rPr>
          <w:rFonts w:ascii="Arial" w:hAnsi="Arial" w:cs="Arial"/>
        </w:rPr>
        <w:t>Abbreviations</w:t>
      </w:r>
    </w:p>
    <w:p w14:paraId="0922C772" w14:textId="77777777" w:rsidR="00050137" w:rsidRPr="00050137" w:rsidRDefault="00050137" w:rsidP="00564872">
      <w:pPr>
        <w:spacing w:line="480" w:lineRule="auto"/>
        <w:jc w:val="both"/>
        <w:rPr>
          <w:rFonts w:ascii="Arial" w:hAnsi="Arial" w:cs="Arial"/>
        </w:rPr>
      </w:pPr>
      <w:r w:rsidRPr="00050137">
        <w:rPr>
          <w:rFonts w:ascii="Arial" w:hAnsi="Arial" w:cs="Arial"/>
        </w:rPr>
        <w:t>GAE: Gallic Acid Equivalent</w:t>
      </w:r>
    </w:p>
    <w:p w14:paraId="164A2460" w14:textId="77777777" w:rsidR="00050137" w:rsidRPr="00050137" w:rsidRDefault="00050137" w:rsidP="00564872">
      <w:pPr>
        <w:spacing w:line="480" w:lineRule="auto"/>
        <w:jc w:val="both"/>
        <w:rPr>
          <w:rFonts w:ascii="Arial" w:hAnsi="Arial" w:cs="Arial"/>
        </w:rPr>
      </w:pPr>
      <w:r w:rsidRPr="00050137">
        <w:rPr>
          <w:rFonts w:ascii="Arial" w:hAnsi="Arial" w:cs="Arial"/>
        </w:rPr>
        <w:t>QE: Quercetin Equivalent</w:t>
      </w:r>
    </w:p>
    <w:p w14:paraId="3562470D" w14:textId="77777777" w:rsidR="00050137" w:rsidRPr="00050137" w:rsidRDefault="00050137" w:rsidP="00564872">
      <w:pPr>
        <w:spacing w:line="480" w:lineRule="auto"/>
        <w:jc w:val="both"/>
        <w:rPr>
          <w:rFonts w:ascii="Arial" w:hAnsi="Arial" w:cs="Arial"/>
        </w:rPr>
      </w:pPr>
      <w:r w:rsidRPr="00050137">
        <w:rPr>
          <w:rFonts w:ascii="Arial" w:hAnsi="Arial" w:cs="Arial"/>
        </w:rPr>
        <w:t>FRPA: Ferric Reducing Power Assay</w:t>
      </w:r>
    </w:p>
    <w:p w14:paraId="164C7ED7" w14:textId="77777777" w:rsidR="00050137" w:rsidRPr="00050137" w:rsidRDefault="00050137" w:rsidP="00564872">
      <w:pPr>
        <w:spacing w:line="480" w:lineRule="auto"/>
        <w:jc w:val="both"/>
        <w:rPr>
          <w:rFonts w:ascii="Arial" w:hAnsi="Arial" w:cs="Arial"/>
        </w:rPr>
      </w:pPr>
      <w:r w:rsidRPr="00050137">
        <w:rPr>
          <w:rFonts w:ascii="Arial" w:hAnsi="Arial" w:cs="Arial"/>
        </w:rPr>
        <w:t>TAC: Total Antioxidant Capacity</w:t>
      </w:r>
    </w:p>
    <w:p w14:paraId="0FAAABAA" w14:textId="77777777" w:rsidR="00050137" w:rsidRPr="00050137" w:rsidRDefault="00050137" w:rsidP="00564872">
      <w:pPr>
        <w:spacing w:line="480" w:lineRule="auto"/>
        <w:jc w:val="both"/>
        <w:rPr>
          <w:rFonts w:ascii="Arial" w:hAnsi="Arial" w:cs="Arial"/>
        </w:rPr>
      </w:pPr>
      <w:r w:rsidRPr="00050137">
        <w:rPr>
          <w:rFonts w:ascii="Arial" w:hAnsi="Arial" w:cs="Arial"/>
        </w:rPr>
        <w:t>AAE: Ascorbic Acid Equivalent</w:t>
      </w:r>
    </w:p>
    <w:p w14:paraId="21885D05" w14:textId="77777777" w:rsidR="00050137" w:rsidRPr="00050137" w:rsidRDefault="00050137" w:rsidP="00564872">
      <w:pPr>
        <w:spacing w:line="480" w:lineRule="auto"/>
        <w:jc w:val="both"/>
        <w:rPr>
          <w:rFonts w:ascii="Arial" w:hAnsi="Arial" w:cs="Arial"/>
        </w:rPr>
      </w:pPr>
      <w:r w:rsidRPr="00050137">
        <w:rPr>
          <w:rFonts w:ascii="Arial" w:hAnsi="Arial" w:cs="Arial"/>
        </w:rPr>
        <w:t>RBC: Red Blood Cell</w:t>
      </w:r>
    </w:p>
    <w:p w14:paraId="07654E81" w14:textId="77777777" w:rsidR="00050137" w:rsidRPr="00050137" w:rsidRDefault="00050137" w:rsidP="00564872">
      <w:pPr>
        <w:spacing w:line="480" w:lineRule="auto"/>
        <w:jc w:val="both"/>
        <w:rPr>
          <w:rFonts w:ascii="Arial" w:hAnsi="Arial" w:cs="Arial"/>
        </w:rPr>
      </w:pPr>
      <w:r w:rsidRPr="00050137">
        <w:rPr>
          <w:rFonts w:ascii="Arial" w:hAnsi="Arial" w:cs="Arial"/>
        </w:rPr>
        <w:t>TLC: Thin Layer Chromatography</w:t>
      </w:r>
    </w:p>
    <w:p w14:paraId="54815B7E" w14:textId="77777777" w:rsidR="00050137" w:rsidRPr="00050137" w:rsidRDefault="00050137" w:rsidP="00564872">
      <w:pPr>
        <w:spacing w:line="480" w:lineRule="auto"/>
        <w:jc w:val="both"/>
        <w:rPr>
          <w:rFonts w:ascii="Arial" w:hAnsi="Arial" w:cs="Arial"/>
        </w:rPr>
      </w:pPr>
      <w:r w:rsidRPr="00050137">
        <w:rPr>
          <w:rFonts w:ascii="Arial" w:hAnsi="Arial" w:cs="Arial"/>
        </w:rPr>
        <w:t>NaOH: Sodium Hydroxide</w:t>
      </w:r>
    </w:p>
    <w:p w14:paraId="019FC632" w14:textId="77777777" w:rsidR="00050137" w:rsidRPr="00050137" w:rsidRDefault="00050137" w:rsidP="00564872">
      <w:pPr>
        <w:spacing w:line="480" w:lineRule="auto"/>
        <w:jc w:val="both"/>
        <w:rPr>
          <w:rFonts w:ascii="Arial" w:hAnsi="Arial" w:cs="Arial"/>
        </w:rPr>
      </w:pPr>
      <w:r w:rsidRPr="00050137">
        <w:rPr>
          <w:rFonts w:ascii="Arial" w:hAnsi="Arial" w:cs="Arial"/>
        </w:rPr>
        <w:t>FeCl</w:t>
      </w:r>
      <w:r w:rsidRPr="00050137">
        <w:rPr>
          <w:rFonts w:ascii="Arial" w:hAnsi="Arial" w:cs="Arial"/>
          <w:vertAlign w:val="subscript"/>
        </w:rPr>
        <w:t>3</w:t>
      </w:r>
      <w:r w:rsidRPr="00050137">
        <w:rPr>
          <w:rFonts w:ascii="Arial" w:hAnsi="Arial" w:cs="Arial"/>
        </w:rPr>
        <w:t>: Ferric Chloride</w:t>
      </w:r>
    </w:p>
    <w:p w14:paraId="69832256" w14:textId="77777777" w:rsidR="00050137" w:rsidRPr="00050137" w:rsidRDefault="00050137" w:rsidP="00564872">
      <w:pPr>
        <w:spacing w:line="480" w:lineRule="auto"/>
        <w:jc w:val="both"/>
        <w:rPr>
          <w:rFonts w:ascii="Arial" w:hAnsi="Arial" w:cs="Arial"/>
        </w:rPr>
      </w:pPr>
      <w:r w:rsidRPr="00050137">
        <w:rPr>
          <w:rFonts w:ascii="Arial" w:hAnsi="Arial" w:cs="Arial"/>
        </w:rPr>
        <w:t>H</w:t>
      </w:r>
      <w:r w:rsidRPr="00050137">
        <w:rPr>
          <w:rFonts w:ascii="Arial" w:hAnsi="Arial" w:cs="Arial"/>
          <w:vertAlign w:val="subscript"/>
        </w:rPr>
        <w:t>2</w:t>
      </w:r>
      <w:r w:rsidRPr="00050137">
        <w:rPr>
          <w:rFonts w:ascii="Arial" w:hAnsi="Arial" w:cs="Arial"/>
        </w:rPr>
        <w:t>​SO</w:t>
      </w:r>
      <w:r w:rsidRPr="00050137">
        <w:rPr>
          <w:rFonts w:ascii="Arial" w:hAnsi="Arial" w:cs="Arial"/>
          <w:vertAlign w:val="subscript"/>
        </w:rPr>
        <w:t>4</w:t>
      </w:r>
      <w:r w:rsidRPr="00050137">
        <w:rPr>
          <w:rFonts w:ascii="Arial" w:hAnsi="Arial" w:cs="Arial"/>
        </w:rPr>
        <w:t xml:space="preserve">​: </w:t>
      </w:r>
      <w:proofErr w:type="spellStart"/>
      <w:r w:rsidRPr="00050137">
        <w:rPr>
          <w:rFonts w:ascii="Arial" w:hAnsi="Arial" w:cs="Arial"/>
        </w:rPr>
        <w:t>Sulphuric</w:t>
      </w:r>
      <w:proofErr w:type="spellEnd"/>
      <w:r w:rsidRPr="00050137">
        <w:rPr>
          <w:rFonts w:ascii="Arial" w:hAnsi="Arial" w:cs="Arial"/>
        </w:rPr>
        <w:t xml:space="preserve"> Acid</w:t>
      </w:r>
    </w:p>
    <w:p w14:paraId="66C92398" w14:textId="77777777" w:rsidR="00050137" w:rsidRPr="00050137" w:rsidRDefault="00050137" w:rsidP="00564872">
      <w:pPr>
        <w:spacing w:line="480" w:lineRule="auto"/>
        <w:jc w:val="both"/>
        <w:rPr>
          <w:rFonts w:ascii="Arial" w:hAnsi="Arial" w:cs="Arial"/>
        </w:rPr>
      </w:pPr>
      <w:r w:rsidRPr="00050137">
        <w:rPr>
          <w:rFonts w:ascii="Arial" w:hAnsi="Arial" w:cs="Arial"/>
        </w:rPr>
        <w:t>Fe</w:t>
      </w:r>
      <w:r w:rsidRPr="00050137">
        <w:rPr>
          <w:rFonts w:ascii="Arial" w:hAnsi="Arial" w:cs="Arial"/>
          <w:vertAlign w:val="superscript"/>
        </w:rPr>
        <w:t>3+</w:t>
      </w:r>
      <w:r w:rsidRPr="00050137">
        <w:rPr>
          <w:rFonts w:ascii="Arial" w:hAnsi="Arial" w:cs="Arial"/>
        </w:rPr>
        <w:t>: Ferric Ions</w:t>
      </w:r>
    </w:p>
    <w:p w14:paraId="4D67682B" w14:textId="77777777" w:rsidR="00050137" w:rsidRPr="00050137" w:rsidRDefault="00050137" w:rsidP="00564872">
      <w:pPr>
        <w:spacing w:line="480" w:lineRule="auto"/>
        <w:jc w:val="both"/>
        <w:rPr>
          <w:rFonts w:ascii="Arial" w:hAnsi="Arial" w:cs="Arial"/>
        </w:rPr>
      </w:pPr>
      <w:r w:rsidRPr="00050137">
        <w:rPr>
          <w:rFonts w:ascii="Arial" w:hAnsi="Arial" w:cs="Arial"/>
        </w:rPr>
        <w:t>Fe</w:t>
      </w:r>
      <w:r w:rsidRPr="00050137">
        <w:rPr>
          <w:rFonts w:ascii="Arial" w:hAnsi="Arial" w:cs="Arial"/>
          <w:vertAlign w:val="superscript"/>
        </w:rPr>
        <w:t>2+</w:t>
      </w:r>
      <w:r w:rsidRPr="00050137">
        <w:rPr>
          <w:rFonts w:ascii="Arial" w:hAnsi="Arial" w:cs="Arial"/>
        </w:rPr>
        <w:t>: Ferrous Ions</w:t>
      </w:r>
    </w:p>
    <w:p w14:paraId="13140D52" w14:textId="77777777" w:rsidR="00050137" w:rsidRPr="00050137" w:rsidRDefault="00050137" w:rsidP="00564872">
      <w:pPr>
        <w:spacing w:line="480" w:lineRule="auto"/>
        <w:jc w:val="both"/>
        <w:rPr>
          <w:rFonts w:ascii="Arial" w:hAnsi="Arial" w:cs="Arial"/>
        </w:rPr>
      </w:pPr>
      <w:r w:rsidRPr="00050137">
        <w:rPr>
          <w:rFonts w:ascii="Arial" w:hAnsi="Arial" w:cs="Arial"/>
        </w:rPr>
        <w:t>TCA: Trichloroacetic Acid</w:t>
      </w:r>
    </w:p>
    <w:p w14:paraId="034FB226" w14:textId="77777777" w:rsidR="00B01FCD" w:rsidRPr="00062058" w:rsidRDefault="00050137" w:rsidP="00564872">
      <w:pPr>
        <w:spacing w:line="480" w:lineRule="auto"/>
        <w:jc w:val="both"/>
        <w:rPr>
          <w:rFonts w:ascii="Arial" w:hAnsi="Arial" w:cs="Arial"/>
        </w:rPr>
      </w:pPr>
      <w:r w:rsidRPr="00050137">
        <w:rPr>
          <w:rFonts w:ascii="Arial" w:hAnsi="Arial" w:cs="Arial"/>
        </w:rPr>
        <w:t>PBS: Phosphate-Buffered Saline</w:t>
      </w:r>
    </w:p>
    <w:sectPr w:rsidR="00B01FCD" w:rsidRPr="00062058" w:rsidSect="00E0430D">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B24E7" w14:textId="77777777" w:rsidR="00DA437A" w:rsidRDefault="00DA437A" w:rsidP="00C37E61">
      <w:r>
        <w:separator/>
      </w:r>
    </w:p>
  </w:endnote>
  <w:endnote w:type="continuationSeparator" w:id="0">
    <w:p w14:paraId="1E82FFA9" w14:textId="77777777" w:rsidR="00DA437A" w:rsidRDefault="00DA43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1E37" w14:textId="77777777" w:rsidR="00E0430D" w:rsidRDefault="00E04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26DD" w14:textId="26FDD5A1" w:rsidR="00C37E61" w:rsidRPr="00D558A2" w:rsidRDefault="00C37E61" w:rsidP="00D55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EB936" w14:textId="56F40B19" w:rsidR="00754C9A" w:rsidRPr="00D558A2" w:rsidRDefault="00754C9A" w:rsidP="00D558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1696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CD392" w14:textId="77777777" w:rsidR="00DA437A" w:rsidRDefault="00DA437A" w:rsidP="00C37E61">
      <w:r>
        <w:separator/>
      </w:r>
    </w:p>
  </w:footnote>
  <w:footnote w:type="continuationSeparator" w:id="0">
    <w:p w14:paraId="7040E15D" w14:textId="77777777" w:rsidR="00DA437A" w:rsidRDefault="00DA43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477B" w14:textId="03C02E16" w:rsidR="00E0430D" w:rsidRDefault="00E0430D">
    <w:pPr>
      <w:pStyle w:val="Header"/>
    </w:pPr>
    <w:r>
      <w:rPr>
        <w:noProof/>
      </w:rPr>
      <w:pict w14:anchorId="2A8D2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16EC" w14:textId="3BA8C844" w:rsidR="00E0430D" w:rsidRDefault="00E0430D">
    <w:pPr>
      <w:pStyle w:val="Header"/>
    </w:pPr>
    <w:r>
      <w:rPr>
        <w:noProof/>
      </w:rPr>
      <w:pict w14:anchorId="60E49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6C25" w14:textId="04CD0D9D" w:rsidR="00296529" w:rsidRPr="00296529" w:rsidRDefault="00E0430D" w:rsidP="00296529">
    <w:pPr>
      <w:ind w:left="2160"/>
      <w:jc w:val="center"/>
      <w:rPr>
        <w:rFonts w:ascii="Times New Roman" w:eastAsia="Calibri" w:hAnsi="Times New Roman"/>
        <w:i/>
        <w:sz w:val="18"/>
        <w:szCs w:val="22"/>
      </w:rPr>
    </w:pPr>
    <w:r>
      <w:rPr>
        <w:noProof/>
      </w:rPr>
      <w:pict w14:anchorId="3E9C1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2FAB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DD86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863F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2F7E6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10BA2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C1BBA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0C35" w14:textId="4CAC3EF5" w:rsidR="00E0430D" w:rsidRDefault="00E0430D">
    <w:pPr>
      <w:pStyle w:val="Header"/>
    </w:pPr>
    <w:r>
      <w:rPr>
        <w:noProof/>
      </w:rPr>
      <w:pict w14:anchorId="43311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5591" w14:textId="30503EA1" w:rsidR="00E0430D" w:rsidRDefault="00E0430D">
    <w:pPr>
      <w:pStyle w:val="Header"/>
    </w:pPr>
    <w:r>
      <w:rPr>
        <w:noProof/>
      </w:rPr>
      <w:pict w14:anchorId="19C83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48EE" w14:textId="2C00C52C" w:rsidR="00E0430D" w:rsidRDefault="00E0430D">
    <w:pPr>
      <w:pStyle w:val="Header"/>
    </w:pPr>
    <w:r>
      <w:rPr>
        <w:noProof/>
      </w:rPr>
      <w:pict w14:anchorId="2C3C9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383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DE407A"/>
    <w:multiLevelType w:val="hybridMultilevel"/>
    <w:tmpl w:val="9414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B441CD"/>
    <w:multiLevelType w:val="hybridMultilevel"/>
    <w:tmpl w:val="88FA843E"/>
    <w:lvl w:ilvl="0" w:tplc="D376FEEC">
      <w:start w:val="1"/>
      <w:numFmt w:val="decimal"/>
      <w:lvlText w:val="2.2.%1"/>
      <w:lvlJc w:val="left"/>
      <w:pPr>
        <w:ind w:left="720" w:hanging="360"/>
      </w:pPr>
      <w:rPr>
        <w:rFonts w:hint="default"/>
      </w:rPr>
    </w:lvl>
    <w:lvl w:ilvl="1" w:tplc="9D7E92E2">
      <w:numFmt w:val="bullet"/>
      <w:lvlText w:val="•"/>
      <w:lvlJc w:val="left"/>
      <w:pPr>
        <w:ind w:left="1800" w:hanging="720"/>
      </w:pPr>
      <w:rPr>
        <w:rFonts w:ascii="Segoe UI" w:eastAsia="Segoe UI" w:hAnsi="Segoe UI"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336498"/>
    <w:multiLevelType w:val="hybridMultilevel"/>
    <w:tmpl w:val="DD268A38"/>
    <w:lvl w:ilvl="0" w:tplc="D768531C">
      <w:start w:val="1"/>
      <w:numFmt w:val="decimal"/>
      <w:lvlText w:val="3.%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C80FA9"/>
    <w:multiLevelType w:val="hybridMultilevel"/>
    <w:tmpl w:val="5FD624CE"/>
    <w:lvl w:ilvl="0" w:tplc="436C03C2">
      <w:start w:val="1"/>
      <w:numFmt w:val="decimal"/>
      <w:lvlText w:val="2.%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61E99"/>
    <w:multiLevelType w:val="hybridMultilevel"/>
    <w:tmpl w:val="2C42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50DE4"/>
    <w:multiLevelType w:val="hybridMultilevel"/>
    <w:tmpl w:val="1B5E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D975C85"/>
    <w:multiLevelType w:val="hybridMultilevel"/>
    <w:tmpl w:val="57D4D29A"/>
    <w:lvl w:ilvl="0" w:tplc="33E05FD2">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8026B"/>
    <w:multiLevelType w:val="hybridMultilevel"/>
    <w:tmpl w:val="CC186010"/>
    <w:lvl w:ilvl="0" w:tplc="3022D3B2">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49A42ED"/>
    <w:multiLevelType w:val="multilevel"/>
    <w:tmpl w:val="8E2C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F06123C"/>
    <w:multiLevelType w:val="hybridMultilevel"/>
    <w:tmpl w:val="6B840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5"/>
  </w:num>
  <w:num w:numId="10">
    <w:abstractNumId w:val="2"/>
  </w:num>
  <w:num w:numId="11">
    <w:abstractNumId w:val="27"/>
  </w:num>
  <w:num w:numId="12">
    <w:abstractNumId w:val="3"/>
  </w:num>
  <w:num w:numId="13">
    <w:abstractNumId w:val="25"/>
  </w:num>
  <w:num w:numId="14">
    <w:abstractNumId w:val="9"/>
  </w:num>
  <w:num w:numId="15">
    <w:abstractNumId w:val="31"/>
  </w:num>
  <w:num w:numId="16">
    <w:abstractNumId w:val="5"/>
  </w:num>
  <w:num w:numId="17">
    <w:abstractNumId w:val="32"/>
  </w:num>
  <w:num w:numId="18">
    <w:abstractNumId w:val="17"/>
  </w:num>
  <w:num w:numId="19">
    <w:abstractNumId w:val="38"/>
  </w:num>
  <w:num w:numId="20">
    <w:abstractNumId w:val="12"/>
  </w:num>
  <w:num w:numId="21">
    <w:abstractNumId w:val="10"/>
  </w:num>
  <w:num w:numId="22">
    <w:abstractNumId w:val="15"/>
  </w:num>
  <w:num w:numId="23">
    <w:abstractNumId w:val="29"/>
  </w:num>
  <w:num w:numId="24">
    <w:abstractNumId w:val="36"/>
  </w:num>
  <w:num w:numId="25">
    <w:abstractNumId w:val="4"/>
  </w:num>
  <w:num w:numId="26">
    <w:abstractNumId w:val="24"/>
  </w:num>
  <w:num w:numId="27">
    <w:abstractNumId w:val="30"/>
  </w:num>
  <w:num w:numId="28">
    <w:abstractNumId w:val="37"/>
  </w:num>
  <w:num w:numId="29">
    <w:abstractNumId w:val="34"/>
  </w:num>
  <w:num w:numId="30">
    <w:abstractNumId w:val="11"/>
  </w:num>
  <w:num w:numId="31">
    <w:abstractNumId w:val="26"/>
  </w:num>
  <w:num w:numId="32">
    <w:abstractNumId w:val="7"/>
  </w:num>
  <w:num w:numId="33">
    <w:abstractNumId w:val="18"/>
  </w:num>
  <w:num w:numId="34">
    <w:abstractNumId w:val="13"/>
  </w:num>
  <w:num w:numId="35">
    <w:abstractNumId w:val="23"/>
  </w:num>
  <w:num w:numId="36">
    <w:abstractNumId w:val="22"/>
  </w:num>
  <w:num w:numId="37">
    <w:abstractNumId w:val="19"/>
  </w:num>
  <w:num w:numId="38">
    <w:abstractNumId w:val="16"/>
  </w:num>
  <w:num w:numId="39">
    <w:abstractNumId w:val="28"/>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051"/>
    <w:rsid w:val="00005459"/>
    <w:rsid w:val="0001500D"/>
    <w:rsid w:val="000150C5"/>
    <w:rsid w:val="00030174"/>
    <w:rsid w:val="000303A4"/>
    <w:rsid w:val="000331A9"/>
    <w:rsid w:val="000441BD"/>
    <w:rsid w:val="0004579C"/>
    <w:rsid w:val="00050137"/>
    <w:rsid w:val="00054E1E"/>
    <w:rsid w:val="0005756A"/>
    <w:rsid w:val="00062058"/>
    <w:rsid w:val="000A47FA"/>
    <w:rsid w:val="000A65D3"/>
    <w:rsid w:val="000B1E33"/>
    <w:rsid w:val="000B55E4"/>
    <w:rsid w:val="000B6B83"/>
    <w:rsid w:val="000D689F"/>
    <w:rsid w:val="000E5997"/>
    <w:rsid w:val="000E7B7B"/>
    <w:rsid w:val="000E7D62"/>
    <w:rsid w:val="00101303"/>
    <w:rsid w:val="00103357"/>
    <w:rsid w:val="00121B85"/>
    <w:rsid w:val="00123C9F"/>
    <w:rsid w:val="00126190"/>
    <w:rsid w:val="00130F17"/>
    <w:rsid w:val="001320BF"/>
    <w:rsid w:val="00163BC4"/>
    <w:rsid w:val="00187C24"/>
    <w:rsid w:val="00191062"/>
    <w:rsid w:val="00191A0A"/>
    <w:rsid w:val="00192B72"/>
    <w:rsid w:val="001A29D8"/>
    <w:rsid w:val="001A40D6"/>
    <w:rsid w:val="001A5CAA"/>
    <w:rsid w:val="001B0427"/>
    <w:rsid w:val="001B2716"/>
    <w:rsid w:val="001C22BD"/>
    <w:rsid w:val="001D3482"/>
    <w:rsid w:val="001D3A51"/>
    <w:rsid w:val="001D5250"/>
    <w:rsid w:val="001E10D2"/>
    <w:rsid w:val="001E25B4"/>
    <w:rsid w:val="001E44FE"/>
    <w:rsid w:val="001F6448"/>
    <w:rsid w:val="00200595"/>
    <w:rsid w:val="00204835"/>
    <w:rsid w:val="00220EDB"/>
    <w:rsid w:val="00231920"/>
    <w:rsid w:val="0023195C"/>
    <w:rsid w:val="0024282C"/>
    <w:rsid w:val="00244B45"/>
    <w:rsid w:val="002460DC"/>
    <w:rsid w:val="00250985"/>
    <w:rsid w:val="00253761"/>
    <w:rsid w:val="002556F6"/>
    <w:rsid w:val="00262439"/>
    <w:rsid w:val="002720B0"/>
    <w:rsid w:val="00283105"/>
    <w:rsid w:val="00284C4C"/>
    <w:rsid w:val="00287E68"/>
    <w:rsid w:val="00296529"/>
    <w:rsid w:val="002967B6"/>
    <w:rsid w:val="002B27FB"/>
    <w:rsid w:val="002B685A"/>
    <w:rsid w:val="002C57D2"/>
    <w:rsid w:val="002D02E5"/>
    <w:rsid w:val="002E0D56"/>
    <w:rsid w:val="002E64FE"/>
    <w:rsid w:val="00303DD1"/>
    <w:rsid w:val="00315186"/>
    <w:rsid w:val="00323D7C"/>
    <w:rsid w:val="00330157"/>
    <w:rsid w:val="0033343E"/>
    <w:rsid w:val="003512C2"/>
    <w:rsid w:val="00371FB6"/>
    <w:rsid w:val="003763C1"/>
    <w:rsid w:val="00376BBE"/>
    <w:rsid w:val="0039224F"/>
    <w:rsid w:val="003A358F"/>
    <w:rsid w:val="003A43A4"/>
    <w:rsid w:val="003A4B6D"/>
    <w:rsid w:val="003A7E18"/>
    <w:rsid w:val="003C4C86"/>
    <w:rsid w:val="003C6258"/>
    <w:rsid w:val="003E2904"/>
    <w:rsid w:val="003F2E38"/>
    <w:rsid w:val="00401927"/>
    <w:rsid w:val="0041027F"/>
    <w:rsid w:val="00412475"/>
    <w:rsid w:val="00423789"/>
    <w:rsid w:val="00424DE1"/>
    <w:rsid w:val="00426714"/>
    <w:rsid w:val="00433C39"/>
    <w:rsid w:val="00440F43"/>
    <w:rsid w:val="00441B6F"/>
    <w:rsid w:val="00446221"/>
    <w:rsid w:val="00450E62"/>
    <w:rsid w:val="004539DB"/>
    <w:rsid w:val="00456C99"/>
    <w:rsid w:val="004616E0"/>
    <w:rsid w:val="00471A80"/>
    <w:rsid w:val="004804E6"/>
    <w:rsid w:val="004823B5"/>
    <w:rsid w:val="004C23DD"/>
    <w:rsid w:val="004D305E"/>
    <w:rsid w:val="004D4277"/>
    <w:rsid w:val="004E49A7"/>
    <w:rsid w:val="004E4C5D"/>
    <w:rsid w:val="00502516"/>
    <w:rsid w:val="00505F06"/>
    <w:rsid w:val="00506828"/>
    <w:rsid w:val="0051203A"/>
    <w:rsid w:val="0053056E"/>
    <w:rsid w:val="00554FDA"/>
    <w:rsid w:val="00564872"/>
    <w:rsid w:val="005933C9"/>
    <w:rsid w:val="005956F5"/>
    <w:rsid w:val="005A1B3B"/>
    <w:rsid w:val="005C2B98"/>
    <w:rsid w:val="005C784C"/>
    <w:rsid w:val="005D17F6"/>
    <w:rsid w:val="005E5539"/>
    <w:rsid w:val="005F2430"/>
    <w:rsid w:val="005F7A9B"/>
    <w:rsid w:val="00602BF5"/>
    <w:rsid w:val="00617FDD"/>
    <w:rsid w:val="006214F2"/>
    <w:rsid w:val="00633614"/>
    <w:rsid w:val="00633F68"/>
    <w:rsid w:val="00636EB2"/>
    <w:rsid w:val="006375B8"/>
    <w:rsid w:val="0064282E"/>
    <w:rsid w:val="00654244"/>
    <w:rsid w:val="0066510A"/>
    <w:rsid w:val="00673F9F"/>
    <w:rsid w:val="00686953"/>
    <w:rsid w:val="00687DEA"/>
    <w:rsid w:val="00687E67"/>
    <w:rsid w:val="006967F7"/>
    <w:rsid w:val="006A250C"/>
    <w:rsid w:val="006B21D3"/>
    <w:rsid w:val="006B57D0"/>
    <w:rsid w:val="006C529D"/>
    <w:rsid w:val="006D30FF"/>
    <w:rsid w:val="006D6940"/>
    <w:rsid w:val="006D7A14"/>
    <w:rsid w:val="006E3DE9"/>
    <w:rsid w:val="006F11EC"/>
    <w:rsid w:val="006F6376"/>
    <w:rsid w:val="0070082C"/>
    <w:rsid w:val="00731B17"/>
    <w:rsid w:val="007333ED"/>
    <w:rsid w:val="007369E6"/>
    <w:rsid w:val="00746E59"/>
    <w:rsid w:val="00754C9A"/>
    <w:rsid w:val="0075571E"/>
    <w:rsid w:val="0075599A"/>
    <w:rsid w:val="00757001"/>
    <w:rsid w:val="00757A66"/>
    <w:rsid w:val="00761D52"/>
    <w:rsid w:val="0077749E"/>
    <w:rsid w:val="00781D03"/>
    <w:rsid w:val="00784543"/>
    <w:rsid w:val="00790ADA"/>
    <w:rsid w:val="007A1464"/>
    <w:rsid w:val="007A32A9"/>
    <w:rsid w:val="007C1D85"/>
    <w:rsid w:val="007D2288"/>
    <w:rsid w:val="007D3A30"/>
    <w:rsid w:val="007E088F"/>
    <w:rsid w:val="007E11B4"/>
    <w:rsid w:val="007F7B32"/>
    <w:rsid w:val="00804BC2"/>
    <w:rsid w:val="0081081C"/>
    <w:rsid w:val="008135F3"/>
    <w:rsid w:val="0081431A"/>
    <w:rsid w:val="008238C7"/>
    <w:rsid w:val="00823DEF"/>
    <w:rsid w:val="0083216F"/>
    <w:rsid w:val="00860000"/>
    <w:rsid w:val="00863BD3"/>
    <w:rsid w:val="008641ED"/>
    <w:rsid w:val="00866D66"/>
    <w:rsid w:val="008671C6"/>
    <w:rsid w:val="008729A7"/>
    <w:rsid w:val="00875803"/>
    <w:rsid w:val="00886849"/>
    <w:rsid w:val="008A1DC0"/>
    <w:rsid w:val="008B459E"/>
    <w:rsid w:val="008E13AE"/>
    <w:rsid w:val="008E1506"/>
    <w:rsid w:val="008E283E"/>
    <w:rsid w:val="008E710C"/>
    <w:rsid w:val="008E787A"/>
    <w:rsid w:val="008F69D6"/>
    <w:rsid w:val="00902823"/>
    <w:rsid w:val="00915CA6"/>
    <w:rsid w:val="00927834"/>
    <w:rsid w:val="0094231F"/>
    <w:rsid w:val="009454B9"/>
    <w:rsid w:val="009500A6"/>
    <w:rsid w:val="00957C18"/>
    <w:rsid w:val="009659BA"/>
    <w:rsid w:val="00973F20"/>
    <w:rsid w:val="00983040"/>
    <w:rsid w:val="009B3FB9"/>
    <w:rsid w:val="009C0C4D"/>
    <w:rsid w:val="009C2465"/>
    <w:rsid w:val="009C2F7E"/>
    <w:rsid w:val="009D35A0"/>
    <w:rsid w:val="009D7EB7"/>
    <w:rsid w:val="009E038A"/>
    <w:rsid w:val="009E048A"/>
    <w:rsid w:val="009E08E9"/>
    <w:rsid w:val="009E2595"/>
    <w:rsid w:val="009E2FDE"/>
    <w:rsid w:val="009E3DB9"/>
    <w:rsid w:val="009E6E35"/>
    <w:rsid w:val="009F0EDA"/>
    <w:rsid w:val="009F135D"/>
    <w:rsid w:val="00A03B96"/>
    <w:rsid w:val="00A05B19"/>
    <w:rsid w:val="00A1134E"/>
    <w:rsid w:val="00A24E7E"/>
    <w:rsid w:val="00A258C3"/>
    <w:rsid w:val="00A347C0"/>
    <w:rsid w:val="00A51431"/>
    <w:rsid w:val="00A539AD"/>
    <w:rsid w:val="00A639FB"/>
    <w:rsid w:val="00A741B8"/>
    <w:rsid w:val="00A822FD"/>
    <w:rsid w:val="00A94063"/>
    <w:rsid w:val="00AA6219"/>
    <w:rsid w:val="00AA74E0"/>
    <w:rsid w:val="00AB703F"/>
    <w:rsid w:val="00AC6BB8"/>
    <w:rsid w:val="00AE008F"/>
    <w:rsid w:val="00AE18A2"/>
    <w:rsid w:val="00B01FCD"/>
    <w:rsid w:val="00B1776C"/>
    <w:rsid w:val="00B22F94"/>
    <w:rsid w:val="00B52583"/>
    <w:rsid w:val="00B52896"/>
    <w:rsid w:val="00B62F55"/>
    <w:rsid w:val="00B6618B"/>
    <w:rsid w:val="00B90E06"/>
    <w:rsid w:val="00B95236"/>
    <w:rsid w:val="00B96BD9"/>
    <w:rsid w:val="00BA1B01"/>
    <w:rsid w:val="00BA2641"/>
    <w:rsid w:val="00BB0683"/>
    <w:rsid w:val="00BB37AA"/>
    <w:rsid w:val="00BC17E1"/>
    <w:rsid w:val="00BC53A0"/>
    <w:rsid w:val="00BC63B6"/>
    <w:rsid w:val="00BE37AA"/>
    <w:rsid w:val="00BE62AD"/>
    <w:rsid w:val="00BF121F"/>
    <w:rsid w:val="00BF1F80"/>
    <w:rsid w:val="00C036A5"/>
    <w:rsid w:val="00C144E0"/>
    <w:rsid w:val="00C16653"/>
    <w:rsid w:val="00C166EF"/>
    <w:rsid w:val="00C17EB0"/>
    <w:rsid w:val="00C27A3F"/>
    <w:rsid w:val="00C27F5F"/>
    <w:rsid w:val="00C30A0F"/>
    <w:rsid w:val="00C31B7D"/>
    <w:rsid w:val="00C37E61"/>
    <w:rsid w:val="00C4188B"/>
    <w:rsid w:val="00C56A7C"/>
    <w:rsid w:val="00C70F1B"/>
    <w:rsid w:val="00C71A47"/>
    <w:rsid w:val="00C7464C"/>
    <w:rsid w:val="00C85588"/>
    <w:rsid w:val="00C85F43"/>
    <w:rsid w:val="00CC0F86"/>
    <w:rsid w:val="00CD21D0"/>
    <w:rsid w:val="00CD29F0"/>
    <w:rsid w:val="00CD5AF2"/>
    <w:rsid w:val="00CD6755"/>
    <w:rsid w:val="00CD6856"/>
    <w:rsid w:val="00CE0089"/>
    <w:rsid w:val="00CE4AFB"/>
    <w:rsid w:val="00CE793C"/>
    <w:rsid w:val="00CF193C"/>
    <w:rsid w:val="00D173F1"/>
    <w:rsid w:val="00D21EB8"/>
    <w:rsid w:val="00D270E3"/>
    <w:rsid w:val="00D35F1E"/>
    <w:rsid w:val="00D461D1"/>
    <w:rsid w:val="00D558A2"/>
    <w:rsid w:val="00D73309"/>
    <w:rsid w:val="00D74CB0"/>
    <w:rsid w:val="00D817BF"/>
    <w:rsid w:val="00D8295D"/>
    <w:rsid w:val="00D8395D"/>
    <w:rsid w:val="00DA437A"/>
    <w:rsid w:val="00DC0B64"/>
    <w:rsid w:val="00DC2A65"/>
    <w:rsid w:val="00DC7540"/>
    <w:rsid w:val="00DD0D21"/>
    <w:rsid w:val="00DE15F0"/>
    <w:rsid w:val="00DE5663"/>
    <w:rsid w:val="00DE78AA"/>
    <w:rsid w:val="00E0430D"/>
    <w:rsid w:val="00E053D0"/>
    <w:rsid w:val="00E053ED"/>
    <w:rsid w:val="00E15994"/>
    <w:rsid w:val="00E3114E"/>
    <w:rsid w:val="00E31A70"/>
    <w:rsid w:val="00E35B02"/>
    <w:rsid w:val="00E411F5"/>
    <w:rsid w:val="00E50238"/>
    <w:rsid w:val="00E6409D"/>
    <w:rsid w:val="00E66496"/>
    <w:rsid w:val="00E66B35"/>
    <w:rsid w:val="00E66E10"/>
    <w:rsid w:val="00E769F6"/>
    <w:rsid w:val="00E8407C"/>
    <w:rsid w:val="00E84F3C"/>
    <w:rsid w:val="00E91DAA"/>
    <w:rsid w:val="00EA012C"/>
    <w:rsid w:val="00EA5766"/>
    <w:rsid w:val="00EC10D8"/>
    <w:rsid w:val="00EC62DA"/>
    <w:rsid w:val="00EC6892"/>
    <w:rsid w:val="00EC6A55"/>
    <w:rsid w:val="00ED0288"/>
    <w:rsid w:val="00EE52CB"/>
    <w:rsid w:val="00EF581D"/>
    <w:rsid w:val="00EF7FD8"/>
    <w:rsid w:val="00F06F59"/>
    <w:rsid w:val="00F17988"/>
    <w:rsid w:val="00F17D6F"/>
    <w:rsid w:val="00F27E7B"/>
    <w:rsid w:val="00F35C2A"/>
    <w:rsid w:val="00F469F0"/>
    <w:rsid w:val="00F473C6"/>
    <w:rsid w:val="00F53273"/>
    <w:rsid w:val="00F6362A"/>
    <w:rsid w:val="00F75269"/>
    <w:rsid w:val="00F755E4"/>
    <w:rsid w:val="00F77D02"/>
    <w:rsid w:val="00F915F8"/>
    <w:rsid w:val="00FB3A86"/>
    <w:rsid w:val="00FB4778"/>
    <w:rsid w:val="00FD36C8"/>
    <w:rsid w:val="00FD3C36"/>
    <w:rsid w:val="00FD3E56"/>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89E50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D35F1E"/>
    <w:pPr>
      <w:spacing w:before="100" w:beforeAutospacing="1" w:after="100" w:afterAutospacing="1"/>
    </w:pPr>
    <w:rPr>
      <w:rFonts w:ascii="Times New Roman" w:hAnsi="Times New Roman"/>
      <w:sz w:val="24"/>
      <w:szCs w:val="24"/>
    </w:rPr>
  </w:style>
  <w:style w:type="character" w:customStyle="1" w:styleId="citation-131">
    <w:name w:val="citation-131"/>
    <w:basedOn w:val="DefaultParagraphFont"/>
    <w:rsid w:val="00D35F1E"/>
  </w:style>
  <w:style w:type="character" w:customStyle="1" w:styleId="citation-130">
    <w:name w:val="citation-130"/>
    <w:basedOn w:val="DefaultParagraphFont"/>
    <w:rsid w:val="00D35F1E"/>
  </w:style>
  <w:style w:type="character" w:customStyle="1" w:styleId="citation-129">
    <w:name w:val="citation-129"/>
    <w:basedOn w:val="DefaultParagraphFont"/>
    <w:rsid w:val="00D35F1E"/>
  </w:style>
  <w:style w:type="character" w:customStyle="1" w:styleId="citation-128">
    <w:name w:val="citation-128"/>
    <w:basedOn w:val="DefaultParagraphFont"/>
    <w:rsid w:val="00D35F1E"/>
  </w:style>
  <w:style w:type="character" w:customStyle="1" w:styleId="citation-127">
    <w:name w:val="citation-127"/>
    <w:basedOn w:val="DefaultParagraphFont"/>
    <w:rsid w:val="00D35F1E"/>
  </w:style>
  <w:style w:type="character" w:customStyle="1" w:styleId="citation-126">
    <w:name w:val="citation-126"/>
    <w:basedOn w:val="DefaultParagraphFont"/>
    <w:rsid w:val="00D35F1E"/>
  </w:style>
  <w:style w:type="character" w:customStyle="1" w:styleId="citation-125">
    <w:name w:val="citation-125"/>
    <w:basedOn w:val="DefaultParagraphFont"/>
    <w:rsid w:val="00D35F1E"/>
  </w:style>
  <w:style w:type="character" w:customStyle="1" w:styleId="citation-124">
    <w:name w:val="citation-124"/>
    <w:basedOn w:val="DefaultParagraphFont"/>
    <w:rsid w:val="00D35F1E"/>
  </w:style>
  <w:style w:type="character" w:customStyle="1" w:styleId="citation-123">
    <w:name w:val="citation-123"/>
    <w:basedOn w:val="DefaultParagraphFont"/>
    <w:rsid w:val="00D35F1E"/>
  </w:style>
  <w:style w:type="character" w:customStyle="1" w:styleId="citation-122">
    <w:name w:val="citation-122"/>
    <w:basedOn w:val="DefaultParagraphFont"/>
    <w:rsid w:val="00D35F1E"/>
  </w:style>
  <w:style w:type="character" w:customStyle="1" w:styleId="citation-121">
    <w:name w:val="citation-121"/>
    <w:basedOn w:val="DefaultParagraphFont"/>
    <w:rsid w:val="00D35F1E"/>
  </w:style>
  <w:style w:type="character" w:customStyle="1" w:styleId="citation-120">
    <w:name w:val="citation-120"/>
    <w:basedOn w:val="DefaultParagraphFont"/>
    <w:rsid w:val="00D35F1E"/>
  </w:style>
  <w:style w:type="character" w:customStyle="1" w:styleId="citation-119">
    <w:name w:val="citation-119"/>
    <w:basedOn w:val="DefaultParagraphFont"/>
    <w:rsid w:val="00D35F1E"/>
  </w:style>
  <w:style w:type="character" w:customStyle="1" w:styleId="citation-118">
    <w:name w:val="citation-118"/>
    <w:basedOn w:val="DefaultParagraphFont"/>
    <w:rsid w:val="00D35F1E"/>
  </w:style>
  <w:style w:type="character" w:customStyle="1" w:styleId="citation-117">
    <w:name w:val="citation-117"/>
    <w:basedOn w:val="DefaultParagraphFont"/>
    <w:rsid w:val="00D35F1E"/>
  </w:style>
  <w:style w:type="character" w:customStyle="1" w:styleId="citation-116">
    <w:name w:val="citation-116"/>
    <w:basedOn w:val="DefaultParagraphFont"/>
    <w:rsid w:val="00D35F1E"/>
  </w:style>
  <w:style w:type="character" w:customStyle="1" w:styleId="citation-115">
    <w:name w:val="citation-115"/>
    <w:basedOn w:val="DefaultParagraphFont"/>
    <w:rsid w:val="00D35F1E"/>
  </w:style>
  <w:style w:type="paragraph" w:styleId="ListParagraph">
    <w:name w:val="List Paragraph"/>
    <w:basedOn w:val="Normal"/>
    <w:uiPriority w:val="34"/>
    <w:qFormat/>
    <w:rsid w:val="003A358F"/>
    <w:pPr>
      <w:spacing w:after="56" w:line="262" w:lineRule="auto"/>
      <w:ind w:left="720" w:hanging="10"/>
      <w:contextualSpacing/>
      <w:jc w:val="both"/>
    </w:pPr>
    <w:rPr>
      <w:rFonts w:ascii="Segoe UI" w:eastAsia="Segoe UI" w:hAnsi="Segoe UI" w:cs="Segoe UI"/>
      <w:color w:val="000000"/>
      <w:sz w:val="19"/>
      <w:szCs w:val="22"/>
    </w:rPr>
  </w:style>
  <w:style w:type="character" w:styleId="UnresolvedMention">
    <w:name w:val="Unresolved Mention"/>
    <w:basedOn w:val="DefaultParagraphFont"/>
    <w:uiPriority w:val="99"/>
    <w:semiHidden/>
    <w:unhideWhenUsed/>
    <w:rsid w:val="00D5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76903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00692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tif"/><Relationship Id="rId26" Type="http://schemas.openxmlformats.org/officeDocument/2006/relationships/hyperlink" Target="https://doi.org/10.1002/fsn3.70083" TargetMode="External"/><Relationship Id="rId3" Type="http://schemas.openxmlformats.org/officeDocument/2006/relationships/styles" Target="styles.xml"/><Relationship Id="rId21" Type="http://schemas.openxmlformats.org/officeDocument/2006/relationships/hyperlink" Target="https://www.who.int/news-room/fact-sheets/detail/antimicrobial-resistanc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tif"/><Relationship Id="rId25" Type="http://schemas.openxmlformats.org/officeDocument/2006/relationships/hyperlink" Target="https://doi.org/10.3390/molecules3006127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image" Target="media/image7.tif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15/jcim-2016-003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hyperlink" Target="https://doi.org/10.1016/j.indcrop.2017.10.057"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ti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doi.org/10.20473/jkr.v7i1.35950" TargetMode="External"/><Relationship Id="rId27" Type="http://schemas.openxmlformats.org/officeDocument/2006/relationships/hyperlink" Target="https://doi.org/10.14295/bjs.v2i4.299"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F0CD6-59D8-468A-BDDA-E568AF0D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17</Pages>
  <Words>4813</Words>
  <Characters>27437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153</cp:revision>
  <cp:lastPrinted>1999-07-06T11:00:00Z</cp:lastPrinted>
  <dcterms:created xsi:type="dcterms:W3CDTF">2014-10-25T14:34:00Z</dcterms:created>
  <dcterms:modified xsi:type="dcterms:W3CDTF">2025-10-25T06:54:00Z</dcterms:modified>
</cp:coreProperties>
</file>