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DE53C" w14:textId="77777777" w:rsidR="00754C9A" w:rsidRDefault="00754C9A" w:rsidP="00441B6F">
      <w:pPr>
        <w:pStyle w:val="Title"/>
        <w:spacing w:after="0"/>
        <w:jc w:val="both"/>
        <w:rPr>
          <w:rFonts w:ascii="Arial" w:hAnsi="Arial" w:cs="Arial"/>
        </w:rPr>
      </w:pPr>
    </w:p>
    <w:p w14:paraId="759FE2CB" w14:textId="77777777" w:rsidR="001B7E21" w:rsidRPr="001B7E21" w:rsidRDefault="001B7E21" w:rsidP="001B7E21">
      <w:pPr>
        <w:pStyle w:val="Author"/>
        <w:spacing w:line="240" w:lineRule="auto"/>
        <w:rPr>
          <w:rFonts w:ascii="Arial" w:hAnsi="Arial" w:cs="Arial"/>
          <w:bCs/>
          <w:iCs/>
          <w:kern w:val="28"/>
          <w:sz w:val="36"/>
        </w:rPr>
      </w:pPr>
      <w:r w:rsidRPr="001B7E21">
        <w:rPr>
          <w:rFonts w:ascii="Arial" w:hAnsi="Arial" w:cs="Arial"/>
          <w:bCs/>
          <w:iCs/>
          <w:kern w:val="28"/>
          <w:sz w:val="36"/>
        </w:rPr>
        <w:t xml:space="preserve">Systematic Literature Review of Trends, Potentials, and Challenges About Ecotourism and Learning: A Decade </w:t>
      </w:r>
      <w:r w:rsidR="00520027" w:rsidRPr="001B7E21">
        <w:rPr>
          <w:rFonts w:ascii="Arial" w:hAnsi="Arial" w:cs="Arial"/>
          <w:bCs/>
          <w:iCs/>
          <w:kern w:val="28"/>
          <w:sz w:val="36"/>
        </w:rPr>
        <w:t>in</w:t>
      </w:r>
      <w:r w:rsidRPr="001B7E21">
        <w:rPr>
          <w:rFonts w:ascii="Arial" w:hAnsi="Arial" w:cs="Arial"/>
          <w:bCs/>
          <w:iCs/>
          <w:kern w:val="28"/>
          <w:sz w:val="36"/>
        </w:rPr>
        <w:t xml:space="preserve"> Asia</w:t>
      </w:r>
    </w:p>
    <w:p w14:paraId="11CC8833" w14:textId="77777777" w:rsidR="001B7E21" w:rsidRPr="00163BC4" w:rsidRDefault="001B7E21" w:rsidP="00441B6F">
      <w:pPr>
        <w:pStyle w:val="Author"/>
        <w:spacing w:line="240" w:lineRule="auto"/>
        <w:rPr>
          <w:rFonts w:ascii="Arial" w:hAnsi="Arial" w:cs="Arial"/>
          <w:bCs/>
          <w:iCs/>
          <w:kern w:val="28"/>
          <w:sz w:val="36"/>
        </w:rPr>
      </w:pPr>
    </w:p>
    <w:p w14:paraId="18782B31" w14:textId="77777777" w:rsidR="00B01FCD" w:rsidRPr="00FB3A86" w:rsidRDefault="000C76C0" w:rsidP="00441B6F">
      <w:pPr>
        <w:pStyle w:val="Copyright"/>
        <w:spacing w:after="0" w:line="240" w:lineRule="auto"/>
        <w:jc w:val="both"/>
        <w:rPr>
          <w:rFonts w:ascii="Arial" w:hAnsi="Arial" w:cs="Arial"/>
        </w:rPr>
        <w:sectPr w:rsidR="00B01FCD" w:rsidRPr="00FB3A86" w:rsidSect="00F144E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2F64B2" wp14:editId="4236EAD6">
                <wp:extent cx="5303520" cy="635"/>
                <wp:effectExtent l="13335" t="13335" r="17145" b="15240"/>
                <wp:docPr id="5369653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8D732D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51DA51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D53E06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7D3793D" w14:textId="77777777" w:rsidTr="001E44FE">
        <w:tc>
          <w:tcPr>
            <w:tcW w:w="9576" w:type="dxa"/>
            <w:shd w:val="clear" w:color="auto" w:fill="F2F2F2"/>
          </w:tcPr>
          <w:p w14:paraId="45D41F2A" w14:textId="77777777" w:rsidR="009308B9" w:rsidRPr="009308B9" w:rsidRDefault="009308B9" w:rsidP="009308B9">
            <w:pPr>
              <w:pStyle w:val="Body"/>
              <w:spacing w:after="0"/>
              <w:rPr>
                <w:rFonts w:ascii="Arial" w:eastAsia="Calibri" w:hAnsi="Arial" w:cs="Arial"/>
                <w:b/>
                <w:bCs/>
                <w:szCs w:val="22"/>
              </w:rPr>
            </w:pPr>
            <w:r w:rsidRPr="009308B9">
              <w:rPr>
                <w:rFonts w:ascii="Arial" w:eastAsia="Calibri" w:hAnsi="Arial" w:cs="Arial"/>
                <w:b/>
                <w:bCs/>
                <w:szCs w:val="22"/>
              </w:rPr>
              <w:t>Abstract</w:t>
            </w:r>
          </w:p>
          <w:p w14:paraId="75BC68FE" w14:textId="77777777" w:rsidR="009308B9" w:rsidRDefault="009308B9" w:rsidP="009308B9">
            <w:pPr>
              <w:pStyle w:val="Body"/>
              <w:spacing w:after="0"/>
              <w:rPr>
                <w:rFonts w:ascii="Arial" w:eastAsia="Calibri" w:hAnsi="Arial" w:cs="Arial"/>
                <w:szCs w:val="22"/>
              </w:rPr>
            </w:pPr>
            <w:r w:rsidRPr="009308B9">
              <w:rPr>
                <w:rFonts w:ascii="Arial" w:eastAsia="Calibri" w:hAnsi="Arial" w:cs="Arial"/>
                <w:b/>
                <w:bCs/>
                <w:szCs w:val="22"/>
              </w:rPr>
              <w:t>Background:</w:t>
            </w:r>
          </w:p>
          <w:p w14:paraId="5814D733" w14:textId="77777777" w:rsidR="001B7E21" w:rsidRPr="009308B9" w:rsidRDefault="001B7E21" w:rsidP="009308B9">
            <w:pPr>
              <w:pStyle w:val="Body"/>
              <w:spacing w:after="0"/>
              <w:rPr>
                <w:rFonts w:ascii="Arial" w:eastAsia="Calibri" w:hAnsi="Arial" w:cs="Arial"/>
                <w:szCs w:val="22"/>
              </w:rPr>
            </w:pPr>
            <w:r w:rsidRPr="001B7E21">
              <w:rPr>
                <w:rFonts w:ascii="Arial" w:eastAsia="Calibri" w:hAnsi="Arial" w:cs="Arial"/>
                <w:szCs w:val="22"/>
              </w:rPr>
              <w:t>This study presents a systematic literature review (SLR) of research on ecotourism and learning conducted in Asia between 2014 and 2025, aiming to identify major trends, potentials, and challenges in linking ecotourism with sustainability-oriented education.</w:t>
            </w:r>
          </w:p>
          <w:p w14:paraId="3290B457" w14:textId="77777777" w:rsidR="009308B9" w:rsidRPr="009308B9" w:rsidRDefault="009308B9" w:rsidP="009308B9">
            <w:pPr>
              <w:pStyle w:val="Body"/>
              <w:spacing w:after="0"/>
              <w:rPr>
                <w:rFonts w:ascii="Arial" w:eastAsia="Calibri" w:hAnsi="Arial" w:cs="Arial"/>
                <w:szCs w:val="22"/>
              </w:rPr>
            </w:pPr>
            <w:r w:rsidRPr="009308B9">
              <w:rPr>
                <w:rFonts w:ascii="Arial" w:eastAsia="Calibri" w:hAnsi="Arial" w:cs="Arial"/>
                <w:b/>
                <w:bCs/>
                <w:szCs w:val="22"/>
              </w:rPr>
              <w:t>Methods:</w:t>
            </w:r>
            <w:r w:rsidRPr="009308B9">
              <w:rPr>
                <w:rFonts w:ascii="Arial" w:eastAsia="Calibri" w:hAnsi="Arial" w:cs="Arial"/>
                <w:szCs w:val="22"/>
              </w:rPr>
              <w:br/>
            </w:r>
            <w:r w:rsidR="001B7E21" w:rsidRPr="001B7E21">
              <w:rPr>
                <w:rFonts w:ascii="Arial" w:eastAsia="Calibri" w:hAnsi="Arial" w:cs="Arial"/>
                <w:szCs w:val="22"/>
              </w:rPr>
              <w:t xml:space="preserve">Data were retrieved from the Scopus database using a PRISMA-guided selection process, yielding 39 eligible open-access articles written in English. The analysis employed bibliometric mapping and thematic synthesis using </w:t>
            </w:r>
            <w:proofErr w:type="spellStart"/>
            <w:r w:rsidR="001B7E21" w:rsidRPr="001B7E21">
              <w:rPr>
                <w:rFonts w:ascii="Arial" w:eastAsia="Calibri" w:hAnsi="Arial" w:cs="Arial"/>
                <w:szCs w:val="22"/>
              </w:rPr>
              <w:t>VOSviewer</w:t>
            </w:r>
            <w:proofErr w:type="spellEnd"/>
            <w:r w:rsidR="001B7E21" w:rsidRPr="001B7E21">
              <w:rPr>
                <w:rFonts w:ascii="Arial" w:eastAsia="Calibri" w:hAnsi="Arial" w:cs="Arial"/>
                <w:szCs w:val="22"/>
              </w:rPr>
              <w:t xml:space="preserve"> and </w:t>
            </w:r>
            <w:proofErr w:type="spellStart"/>
            <w:r w:rsidR="001B7E21" w:rsidRPr="001B7E21">
              <w:rPr>
                <w:rFonts w:ascii="Arial" w:eastAsia="Calibri" w:hAnsi="Arial" w:cs="Arial"/>
                <w:szCs w:val="22"/>
              </w:rPr>
              <w:t>Biblioshiny</w:t>
            </w:r>
            <w:proofErr w:type="spellEnd"/>
            <w:r w:rsidR="001B7E21" w:rsidRPr="001B7E21">
              <w:rPr>
                <w:rFonts w:ascii="Arial" w:eastAsia="Calibri" w:hAnsi="Arial" w:cs="Arial"/>
                <w:szCs w:val="22"/>
              </w:rPr>
              <w:t xml:space="preserve"> to explore publication patterns, disciplinary distribution, conceptual networks, and thematic evolution.</w:t>
            </w:r>
          </w:p>
          <w:p w14:paraId="74634E43" w14:textId="77777777" w:rsidR="009308B9" w:rsidRDefault="009308B9" w:rsidP="009308B9">
            <w:pPr>
              <w:pStyle w:val="Body"/>
              <w:spacing w:after="0"/>
              <w:rPr>
                <w:rFonts w:ascii="Arial" w:eastAsia="Calibri" w:hAnsi="Arial" w:cs="Arial"/>
                <w:szCs w:val="22"/>
              </w:rPr>
            </w:pPr>
            <w:r w:rsidRPr="009308B9">
              <w:rPr>
                <w:rFonts w:ascii="Arial" w:eastAsia="Calibri" w:hAnsi="Arial" w:cs="Arial"/>
                <w:b/>
                <w:bCs/>
                <w:szCs w:val="22"/>
              </w:rPr>
              <w:t>Results:</w:t>
            </w:r>
          </w:p>
          <w:p w14:paraId="20BE4652" w14:textId="77777777" w:rsidR="001B7E21" w:rsidRPr="009308B9" w:rsidRDefault="001B7E21" w:rsidP="009308B9">
            <w:pPr>
              <w:pStyle w:val="Body"/>
              <w:spacing w:after="0"/>
              <w:rPr>
                <w:rFonts w:ascii="Arial" w:eastAsia="Calibri" w:hAnsi="Arial" w:cs="Arial"/>
                <w:szCs w:val="22"/>
              </w:rPr>
            </w:pPr>
            <w:r w:rsidRPr="001B7E21">
              <w:rPr>
                <w:rFonts w:ascii="Arial" w:eastAsia="Calibri" w:hAnsi="Arial" w:cs="Arial"/>
                <w:szCs w:val="22"/>
              </w:rPr>
              <w:t>Results reveal a significant growth of research output after 2021, reflecting the increasing global recognition of Education for Sustainable Development (ESD) as a guiding framework for tourism studies. Social sciences, environmental sciences, and computer science dominate the field, indicating a strong interdisciplinary orientation integrating environmental modeling, community learning, and digital innovation. Keyword and thematic analyses identify ecotourism, sustainable tourism, tourism development, and learning as core themes, while emerging topics such as deep learning, social media, and decision-making illustrate a shift toward data-driven sustainability learning. Ecotourism demonstrates strong potential as a medium for experiential, community-based, cultural, and technological learning, yet its educational function remains constrained by commercialization, limited human capacity, and fragmented policy alignment.</w:t>
            </w:r>
          </w:p>
          <w:p w14:paraId="3E9C7382" w14:textId="77777777" w:rsidR="00505F06" w:rsidRDefault="009308B9" w:rsidP="00441B6F">
            <w:pPr>
              <w:pStyle w:val="Body"/>
              <w:spacing w:after="0"/>
              <w:rPr>
                <w:rFonts w:ascii="Arial" w:eastAsia="Calibri" w:hAnsi="Arial" w:cs="Arial"/>
                <w:szCs w:val="22"/>
              </w:rPr>
            </w:pPr>
            <w:r w:rsidRPr="009308B9">
              <w:rPr>
                <w:rFonts w:ascii="Arial" w:eastAsia="Calibri" w:hAnsi="Arial" w:cs="Arial"/>
                <w:b/>
                <w:bCs/>
                <w:szCs w:val="22"/>
              </w:rPr>
              <w:t>Conclusion:</w:t>
            </w:r>
          </w:p>
          <w:p w14:paraId="13081327" w14:textId="77777777" w:rsidR="001B7E21" w:rsidRPr="00BA1B01" w:rsidRDefault="001B7E21" w:rsidP="00441B6F">
            <w:pPr>
              <w:pStyle w:val="Body"/>
              <w:spacing w:after="0"/>
              <w:rPr>
                <w:rFonts w:ascii="Arial" w:eastAsia="Calibri" w:hAnsi="Arial" w:cs="Arial"/>
                <w:szCs w:val="22"/>
              </w:rPr>
            </w:pPr>
            <w:r w:rsidRPr="001B7E21">
              <w:rPr>
                <w:rFonts w:ascii="Arial" w:eastAsia="Calibri" w:hAnsi="Arial" w:cs="Arial"/>
                <w:szCs w:val="22"/>
              </w:rPr>
              <w:t>The review concludes that ecotourism in Asia has evolved from a niche tourism activity into a transformative educational platform that connects nature, culture, and technology for sustainability learning. Future research should prioritize cross-sectoral collaboration, digital pedagogy, and long-term impact evaluation to advance ecotourism as a dynamic framework for Education for Sustainable Development (ESD).</w:t>
            </w:r>
          </w:p>
        </w:tc>
      </w:tr>
    </w:tbl>
    <w:p w14:paraId="46DEEA3C" w14:textId="77777777" w:rsidR="00636EB2" w:rsidRDefault="00636EB2" w:rsidP="00441B6F">
      <w:pPr>
        <w:pStyle w:val="Body"/>
        <w:spacing w:after="0"/>
        <w:rPr>
          <w:rFonts w:ascii="Arial" w:hAnsi="Arial" w:cs="Arial"/>
          <w:i/>
        </w:rPr>
      </w:pPr>
    </w:p>
    <w:p w14:paraId="70CCC7CD" w14:textId="77777777" w:rsidR="001B7E21" w:rsidRDefault="00A24E7E" w:rsidP="00441B6F">
      <w:pPr>
        <w:pStyle w:val="Body"/>
        <w:spacing w:after="0"/>
        <w:rPr>
          <w:rFonts w:ascii="Arial" w:hAnsi="Arial" w:cs="Arial"/>
          <w:i/>
        </w:rPr>
      </w:pPr>
      <w:r>
        <w:rPr>
          <w:rFonts w:ascii="Arial" w:hAnsi="Arial" w:cs="Arial"/>
          <w:i/>
        </w:rPr>
        <w:t xml:space="preserve">Keywords: </w:t>
      </w:r>
      <w:r w:rsidR="001B7E21" w:rsidRPr="001B7E21">
        <w:rPr>
          <w:rFonts w:ascii="Arial" w:hAnsi="Arial" w:cs="Arial"/>
          <w:i/>
        </w:rPr>
        <w:t>Ecotourism</w:t>
      </w:r>
      <w:r w:rsidR="001B7E21">
        <w:rPr>
          <w:rFonts w:ascii="Arial" w:hAnsi="Arial" w:cs="Arial"/>
          <w:i/>
        </w:rPr>
        <w:t>;</w:t>
      </w:r>
      <w:r w:rsidR="001B7E21" w:rsidRPr="001B7E21">
        <w:rPr>
          <w:rFonts w:ascii="Arial" w:hAnsi="Arial" w:cs="Arial"/>
          <w:i/>
        </w:rPr>
        <w:t xml:space="preserve"> Sustainability Learning</w:t>
      </w:r>
      <w:r w:rsidR="001B7E21">
        <w:rPr>
          <w:rFonts w:ascii="Arial" w:hAnsi="Arial" w:cs="Arial"/>
          <w:i/>
        </w:rPr>
        <w:t>;</w:t>
      </w:r>
      <w:r w:rsidR="001B7E21" w:rsidRPr="001B7E21">
        <w:rPr>
          <w:rFonts w:ascii="Arial" w:hAnsi="Arial" w:cs="Arial"/>
          <w:i/>
        </w:rPr>
        <w:t xml:space="preserve"> Asia</w:t>
      </w:r>
      <w:r w:rsidR="001B7E21">
        <w:rPr>
          <w:rFonts w:ascii="Arial" w:hAnsi="Arial" w:cs="Arial"/>
          <w:i/>
        </w:rPr>
        <w:t xml:space="preserve">; </w:t>
      </w:r>
      <w:r w:rsidR="001B7E21" w:rsidRPr="001B7E21">
        <w:rPr>
          <w:rFonts w:ascii="Arial" w:hAnsi="Arial" w:cs="Arial"/>
          <w:i/>
        </w:rPr>
        <w:t>Education for Sustainable Development</w:t>
      </w:r>
    </w:p>
    <w:p w14:paraId="7B19F2AA" w14:textId="77777777" w:rsidR="0024282C" w:rsidRDefault="0024282C" w:rsidP="00441B6F">
      <w:pPr>
        <w:pStyle w:val="Body"/>
        <w:spacing w:after="0"/>
        <w:rPr>
          <w:rFonts w:ascii="Arial" w:hAnsi="Arial" w:cs="Arial"/>
          <w:i/>
          <w:sz w:val="18"/>
        </w:rPr>
      </w:pPr>
    </w:p>
    <w:p w14:paraId="2D7F52E1" w14:textId="77777777" w:rsidR="00505F06" w:rsidRPr="00A24E7E" w:rsidRDefault="00505F06" w:rsidP="00441B6F">
      <w:pPr>
        <w:pStyle w:val="Body"/>
        <w:spacing w:after="0"/>
        <w:rPr>
          <w:rFonts w:ascii="Arial" w:hAnsi="Arial" w:cs="Arial"/>
          <w:i/>
        </w:rPr>
      </w:pPr>
    </w:p>
    <w:p w14:paraId="089B439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77D37D2" w14:textId="77777777" w:rsidR="00790ADA" w:rsidRPr="00FB3A86" w:rsidRDefault="00790ADA" w:rsidP="00441B6F">
      <w:pPr>
        <w:pStyle w:val="AbstHead"/>
        <w:spacing w:after="0"/>
        <w:jc w:val="both"/>
        <w:rPr>
          <w:rFonts w:ascii="Arial" w:hAnsi="Arial" w:cs="Arial"/>
        </w:rPr>
      </w:pPr>
    </w:p>
    <w:p w14:paraId="29D35B11"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 the last decade, Asia has become one of the most dynamic regions in developing ecotourism as a strategy to harmonize environmental conservation, cultural preservation, and community-based economic empowerment. The region’s rich biodiversity, cultural diversity, and rapidly growing tourism sectors have positioned it as a global hub for sustainability-oriented tourism initiatives </w:t>
      </w:r>
      <w:r w:rsidRPr="001B7E21">
        <w:rPr>
          <w:rFonts w:ascii="Arial" w:hAnsi="Arial" w:cs="Arial"/>
        </w:rPr>
        <w:fldChar w:fldCharType="begin" w:fldLock="1"/>
      </w:r>
      <w:r w:rsidRPr="001B7E21">
        <w:rPr>
          <w:rFonts w:ascii="Arial" w:hAnsi="Arial" w:cs="Arial"/>
        </w:rPr>
        <w:instrText>ADDIN CSL_CITATION {"citationItems":[{"id":"ITEM-1","itemData":{"DOI":"10.1080/14724049.2022.2117368","ISSN":"1472-4049","author":[{"dropping-particle":"","family":"Jaya","given":"Pajar Hatma Indra","non-dropping-particle":"","parse-names":false,"suffix":""},{"dropping-particle":"","family":"Izudin","given":"Ahmad","non-dropping-particle":"","parse-names":false,"suffix":""},{"dropping-particle":"","family":"Aditya","given":"Rahadiyand","non-dropping-particle":"","parse-names":false,"suffix":""}],"container-title":"Journal of Ecotourism","id":"ITEM-1","issue":"1","issued":{"date-parts":[["2024","1","2"]]},"note":"doi: 10.1080/14724049.2022.2117368","page":"20-37","publisher":"Routledge","title":"The role of ecotourism in developing local communities in Indonesia","type":"article-journal","volume":"23"},"uris":["http://www.mendeley.com/documents/?uuid=5d3f3494-f188-4be7-832e-19c20ccdaa21"]},{"id":"ITEM-2","itemData":{"DOI":"10.3390/land14061237","ISBN":"2073-445X","abstract":"Ecotourism is widely promoted as a sustainable tourism model that harmonizes environmental conservation with local community benefits. Indonesia, celebrated for its extraordinary biodiversity, has long adopted ecotourism as a strategy to safeguard its natural ecosystems. Despite this, evidence of its environmental impact at a national scale remains sparse. This study bridges this gap by examining forest loss trends from 2014 to 2023 across ecotourism sites in Indonesia to assess whether ecotourism contributes to forest protection. The analysis reveals that most ecotourism sites exhibit no significant reduction in forest loss, with some even experiencing accelerated deforestation. While a few sites demonstrate positive outcomes, these successes are rare and insufficient to indicate widespread environmental benefits. The findings call into question whether the ecotourism model, in its current form, is an effective conservation strategy. A reevaluation of its use is imperative, along with critical reflection on whether ecotourism is genuinely suited to addressing Indonesia’s deforestation challenges. This study underscores the need for alternative or complementary approaches to conservation, as well as a robust examination of ecotourism’s limitations and potential within the broader context of sustainable development.","author":[{"dropping-particle":"","family":"Sisriany","given":"Saraswati","non-dropping-particle":"","parse-names":false,"suffix":""},{"dropping-particle":"","family":"Furuya","given":"Katsunori","non-dropping-particle":"","parse-names":false,"suffix":""}],"container-title":"Land","id":"ITEM-2","issue":"6","issued":{"date-parts":[["2025"]]},"title":"Does Ecotourism Really Benefit the Environment? A Trend Analysis of Forest Cover Loss in Indonesia","type":"article-journal","volume":"14"},"uris":["http://www.mendeley.com/documents/?uuid=c7363267-3f21-4f0f-9b2f-52b1d1d5754e"]}],"mendeley":{"formattedCitation":"(Jaya et al., 2024; Sisriany &amp; Furuya, 2025)","plainTextFormattedCitation":"(Jaya et al., 2024; Sisriany &amp; Furuya, 2025)","previouslyFormattedCitation":"(Jaya et al., 2024; Sisriany &amp; Furuya,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(Jaya et al., 2024; Sisriany &amp; Furuya, 2025)</w:t>
      </w:r>
      <w:r w:rsidRPr="001B7E21">
        <w:rPr>
          <w:rFonts w:ascii="Arial" w:hAnsi="Arial" w:cs="Arial"/>
        </w:rPr>
        <w:fldChar w:fldCharType="end"/>
      </w:r>
      <w:r w:rsidRPr="001B7E21">
        <w:rPr>
          <w:rFonts w:ascii="Arial" w:hAnsi="Arial" w:cs="Arial"/>
        </w:rPr>
        <w:t>. Ecotourism, defined as responsible travel to natural areas that conserves the environment and improves the well-</w:t>
      </w:r>
      <w:r w:rsidRPr="001B7E21">
        <w:rPr>
          <w:rFonts w:ascii="Arial" w:hAnsi="Arial" w:cs="Arial"/>
        </w:rPr>
        <w:lastRenderedPageBreak/>
        <w:t xml:space="preserve">being of local people, has evolved in Asia from a niche practice into a major policy instrument for sustainable development. Beyond its economic contributions, ecotourism in the Asian context increasingly embodies educational and transformative values that can foster environmental literacy, cultural understanding, and sustainable behavior among diverse stakeholders </w:t>
      </w:r>
      <w:r w:rsidRPr="001B7E21">
        <w:rPr>
          <w:rFonts w:ascii="Arial" w:hAnsi="Arial" w:cs="Arial"/>
        </w:rPr>
        <w:fldChar w:fldCharType="begin" w:fldLock="1"/>
      </w:r>
      <w:r w:rsidRPr="001B7E21">
        <w:rPr>
          <w:rFonts w:ascii="Arial" w:hAnsi="Arial" w:cs="Arial"/>
        </w:rPr>
        <w:instrText>ADDIN CSL_CITATION {"citationItems":[{"id":"ITEM-1","itemData":{"DOI":"10.1016/j.tmp.2015.01.002","ISSN":"22119736","abstract":"The paper aims to provide a description of the vision and present practices of ecotourism. Promotion of local livelihoods through ecotourism has been widely considered as an important policy instrument for biodiversity conservation. But ecotourism has become a hotly debated topic since its implementation across countries because of the mismatch in vision and practice. The paper uses content analysis method for reviewing published literature. Published peer-reviewed journal articles on ecotourism during 2000-2013 were collected and reviewed. The overall evidence on the outcomes of ecotourism in the world shows mixed results. Though there are many success stories, the list of failures is very high. Owing to the structural, operational and cultural problems, ecotourism in many places has become a predicament. Thus, ecotourism should be introduced with proper monitoring, evaluation and management of ecotourism sites for reinforcing long term conservation. However economic incentives without socio-cultural betterment, and proper management of the sites will not help in conservation.","author":[{"dropping-particle":"","family":"Das","given":"Madhumita","non-dropping-particle":"","parse-names":false,"suffix":""},{"dropping-particle":"","family":"Chatterjee","given":"Bani","non-dropping-particle":"","parse-names":false,"suffix":""}],"container-title":"Tourism Management Perspectives","id":"ITEM-1","issue":"April 2015","issued":{"date-parts":[["2015"]]},"page":"3-16","publisher":"Elsevier Ltd","title":"Ecotourism: A panacea or a predicament?","type":"article-journal","volume":"14"},"uris":["http://www.mendeley.com/documents/?uuid=3957be76-d077-4efc-a662-68e1dc359458"]},{"id":"ITEM-2","itemData":{"DOI":"10.1002/2688-8319.70050","ISSN":"26888319","abstract":"There is increasing demand for nature-based tourism, and tourism destination competitiveness is increasingly reliant on a positive environmental image. However, the long-term viability of the nature-based tourism experience relies on the sustainability of the underlying natural assets. Ecotourism has highly variable definitions with important differences regarding sustainability between eco-tourism and nature-based tourism. This is because nature-based tourism is purely utilitarian with no protective measures for natural assets. Policy formation around ecotourism and the sustainability of nature-based tourism requires clear definitions of these concepts. We explored a range of perspectives on ecotourism, tourism management and visitor interactions with nature-based tourism destinations, to inform an integrated effective definition of ecotourism. We used thematic analysis of 31 semi-structured interviews from cohorts of tourism (n = 15) and environmental (n = 16) professionals in Ireland. Data saturation was achieved for both cohorts. Participants identified that nature is often viewed as a tourism product and, without sustainable management practices, the long-term economic viability of nature-based tourism is questionable. Environmental engagement of visitors was linked to tourism experience and overall destination competitiveness and was considered an important facilitator of sustainable practices. Participants showed concern for shifting perceptions of biodiversity and the environment, with richness and quality of biodiversity degrading over time. Collaborative action and engagement of local communities, with a focus on long-term environmental action, were seen as essential for sustainable nature-based tourism. We synthesised existing definitions from the literature and perspectives gained from the analysis to provide an integrated definition of ecotourism: Any tourism activity or product which interacts with, or capitalises on, natural assets (nature-based tourism) that has integral long-term benefits to the environment such as positive conservation outcomes, engaging environmental experiences (including education) and/or raised environmental awareness that facilitates positive environmental stewardship, while also ensuring tourism is sustainably managed for the environment, communities and the economy. Practical Implication: Meaningful definitions of ecotourism and/or nature-based tourism are required within tourism policy frameworks, with metrics …","author":[{"dropping-particle":"","family":"Torsney","given":"Andrew","non-dropping-particle":"","parse-names":false,"suffix":""},{"dropping-particle":"","family":"O'Driscoll","given":"Patrick","non-dropping-particle":"","parse-names":false,"suffix":""},{"dropping-particle":"","family":"Buckley","given":"Yvonne M.","non-dropping-particle":"","parse-names":false,"suffix":""}],"container-title":"Ecological Solutions and Evidence","id":"ITEM-2","issue":"2","issued":{"date-parts":[["2025"]]},"page":"1-13","title":"Defining ecotourism for mainstream application and to support sustainable tourism governance","type":"article-journal","volume":"6"},"uris":["http://www.mendeley.com/documents/?uuid=1eda1bf7-600b-480e-9482-1bb137b31dc7"]},{"id":"ITEM-3","itemData":{"DOI":"10.1051/e3sconf/202458705020","ISSN":"22671242","abstract":"Ecotourism offers a sustainable approach to developing natural resources while preserving ecological integrity. This study explores how ecotourism can be effectively integrated into natural resource management strategies. We performed a comparative analysis of ecotourism practices across various regions, evaluating their impact on local ecosystems and communities. Data were collected from case studies, surveys, and field observations. Our findings indicate that well-managed ecotourism initiatives contribute to the sustainable development of natural resources by promoting conservation, generating economic benefits, and enhancing environmental awareness. Key factors for success include community involvement and adaptive management practices. The results underscore the potential of ecotourism as a viable strategy for sustainable resource management. The study highlights best practices and provides recommendations for policymakers and stakeholders to optimize the benefits of ecotourism while mitigating potential drawbacks.","author":[{"dropping-particle":"","family":"Tilavova","given":"Matlab","non-dropping-particle":"","parse-names":false,"suffix":""},{"dropping-particle":"","family":"Safarova","given":"Nigora","non-dropping-particle":"","parse-names":false,"suffix":""},{"dropping-particle":"","family":"Alimova","given":"Mavluda","non-dropping-particle":"","parse-names":false,"suffix":""},{"dropping-particle":"","family":"Bo'ronova","given":"Nigora","non-dropping-particle":"","parse-names":false,"suffix":""}],"container-title":"E3S Web of Conferences","id":"ITEM-3","issued":{"date-parts":[["2024"]]},"title":"Ecotourism as a sustainable development strategy: Exploring the role of natural resource management","type":"paper-conference","volume":"587"},"uris":["http://www.mendeley.com/documents/?uuid=6a5f2c7e-de48-4457-81bd-feede0e0b6ad"]},{"id":"ITEM-4","itemData":{"DOI":"10.3390/land14081531","ISBN":"2073-445X","abstract":"Based on a literature review, the present article aims to present ecotourism as a transformative factor in the economic, social, cultural, and environmental contexts, revealing key elements for the sustainable development of ecotourism. To ensure that this objective is met, the review combines the insights of classical authors and many recent authors who have best addressed the subject. The review carefully selected consensual and contradictory arguments, reflecting on the relevance of each group, particularly in aspects such as the influence of emotional experience on behaviour and satisfaction, strategy and competitive advantage, cooperation and sustainability, and the influence of resilience on ecotourism. The impact of each perspective was presented without ignoring the major constraints that ecotourism faces in its search for a position in the tourism industry. This led the study to accept the fact that the active participation of the community is indispensable in the formula for the success of ecotourism. Some statistical data were consulted and analysed, which enabled the study to determine the quantitative impact of ecotourism on economic, social, and environmental life. In terms of benefits to communities, the review clarifies the fact that ecotourism serves as an instrument that mobilizes not only the additional value of products and services traded in the process, but also the return on investments and job creation. The combination of visiting activities with the involvement of tour guides contributes to maximizing profits in the destinations, thus supporting solid economic, social, and environmental development for the benefit of both ecotourism promoters and local communities. However, the analysis makes it clear that the economic, social, and environmental benefit depends on the degree of involvement of the local population. In terms of usability, for other studies, this review can contribute to the understanding and positioning of ecotourism in the search for a balance between satisfying socioeconomic and environmental interests. Additionally, it can serve as an aid to policy makers in their decisions related to ecotourism.","author":[{"dropping-particle":"","family":"Cossengue","given":"Paulino R","non-dropping-particle":"","parse-names":false,"suffix":""},{"dropping-particle":"","family":"Brea","given":"Jose F","non-dropping-particle":"","parse-names":false,"suffix":""},{"dropping-particle":"","family":"Tavares","given":"Fernando O","non-dropping-particle":"","parse-names":false,"suffix":""}],"container-title":"Land","id":"ITEM-4","issue":"8","issued":{"date-parts":[["2025"]]},"title":"The Transformative Power of Ecotourism: A Comprehensive Review of Its Economic, Social, and Environmental Impacts","type":"article-journal","volume":"14"},"uris":["http://www.mendeley.com/documents/?uuid=f778cc9b-117f-4c84-8e46-691d1d9ac333"]}],"mendeley":{"formattedCitation":"(Cossengue et al., 2025; M. Das &amp; Chatterjee, 2015; Tilavova et al., 2024; Torsney et al., 2025)","plainTextFormattedCitation":"(Cossengue et al., 2025; M. Das &amp; Chatterjee, 2015; Tilavova et al., 2024; Torsney et al., 2025)","previouslyFormattedCitation":"(Cossengue et al., 2025; M. Das &amp; Chatterjee, 2015; Tilavova et al., 2024; Torsney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(Cossengue et al., 2025; M. Das &amp; Chatterjee, 2015; Tilavova et al., 2024; Torsney et al., 2025)</w:t>
      </w:r>
      <w:r w:rsidRPr="001B7E21">
        <w:rPr>
          <w:rFonts w:ascii="Arial" w:hAnsi="Arial" w:cs="Arial"/>
        </w:rPr>
        <w:fldChar w:fldCharType="end"/>
      </w:r>
      <w:r w:rsidRPr="001B7E21">
        <w:rPr>
          <w:rFonts w:ascii="Arial" w:hAnsi="Arial" w:cs="Arial"/>
        </w:rPr>
        <w:t>.</w:t>
      </w:r>
    </w:p>
    <w:p w14:paraId="2C59649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Learning through ecotourism has emerged as a critical means of linking environmental experience with knowledge construction. As emphasized by Education for Sustainable Development (ESD) frameworks, learning does not only occur in classrooms but also through community interaction, environmental participation, and experiential engagement </w:t>
      </w:r>
      <w:r w:rsidRPr="001B7E21">
        <w:rPr>
          <w:rFonts w:ascii="Arial" w:hAnsi="Arial" w:cs="Arial"/>
        </w:rPr>
        <w:fldChar w:fldCharType="begin" w:fldLock="1"/>
      </w:r>
      <w:r w:rsidRPr="001B7E21">
        <w:rPr>
          <w:rFonts w:ascii="Arial" w:hAnsi="Arial" w:cs="Arial"/>
        </w:rPr>
        <w:instrText>ADDIN CSL_CITATION {"citationItems":[{"id":"ITEM-1","itemData":{"DOI":"10.3390/su17188098","ISBN":"2071-1050","abstract":"Education through geotourism plays a key role in advancing the Sustainable Development Goals. This study presents the results of a service-learning project in which a pre-service teacher, conducted under the academic supervision of university faculty members within the framework of a Bachelor’s thesis course, collaborated with public entities to design and implement an educational trail, establishing strategic partnerships to promote Sustainable Development Goals outcomes. The objective of this article is to present the outcomes of the implemented service-learning methodology project: on one hand, the creation of the trail; on the other, the analysis of the perceptions of the stakeholders involved in its development. To assess stakeholder perceptions, a qualitative approach was applied through focus groups. As a result, an accessible educational trail was successfully created. Moreover, the results evidence a consensus among participants regarding the value of the trail as an educational, touristic, and environmental infrastructure. Consequently, teacher training is reinforced as a platform for sustainability-driven action, enabling the creation of partnerships that facilitate the achievement of the Sustainable Development Goals. In addition, the experience and methodologies developed through this project demonstrate potential for replication in other educational and social contexts.","author":[{"dropping-particle":"","family":"Sánchez-Emeterio","given":"Gema","non-dropping-particle":"","parse-names":false,"suffix":""},{"dropping-particle":"","family":"Honrubia Montesinos","given":"Cristina","non-dropping-particle":"","parse-names":false,"suffix":""},{"dropping-particle":"","family":"Gómez Pozos","given":"Alberto","non-dropping-particle":"","parse-names":false,"suffix":""},{"dropping-particle":"","family":"Sanchez-Ramos","given":"David","non-dropping-particle":"","parse-names":false,"suffix":""}],"container-title":"Sustainability","id":"ITEM-1","issue":"18","issued":{"date-parts":[["2025"]]},"title":"Transfer in Teacher Training: Integrating Socio-Environmental Issues Through an Educational Trail","type":"article-journal","volume":"17"},"uris":["http://www.mendeley.com/documents/?uuid=41913679-5c03-4e65-92fd-dbecbc2f6821"]},{"id":"ITEM-2","itemData":{"DOI":"10.1080/02601370.2025.2497411","ISSN":"0260-1370","author":[{"dropping-particle":"","family":"Velempini","given":"Kgosietsile","non-dropping-particle":"","parse-names":false,"suffix":""},{"dropping-particle":"","family":"Maruatona","given":"Tonic","non-dropping-particle":"","parse-names":false,"suffix":""}],"container-title":"International Journal of Lifelong Education","id":"ITEM-2","issued":{"date-parts":[["2025"]]},"note":"doi: 10.1080/02601370.2025.2497411","page":"1-22","publisher":"Routledge","title":"A critical review of UNESCO’s influence on lifelong learning and environmental education delivery in Botswana","type":"article-journal","volume":"2025"},"uris":["http://www.mendeley.com/documents/?uuid=a58b3132-e0c6-48ba-803c-a664bce6b239"]}],"mendeley":{"formattedCitation":"(Sánchez-Emeterio et al., 2025; Velempini &amp; Maruatona, 2025)","plainTextFormattedCitation":"(Sánchez-Emeterio et al., 2025; Velempini &amp; Maruatona, 2025)","previouslyFormattedCitation":"(Sánchez-Emeterio et al., 2025; Velempini &amp; Maruatona,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(Sánchez-Emeterio et al., 2025; Velempini &amp; Maruatona, 2025)</w:t>
      </w:r>
      <w:r w:rsidRPr="001B7E21">
        <w:rPr>
          <w:rFonts w:ascii="Arial" w:hAnsi="Arial" w:cs="Arial"/>
        </w:rPr>
        <w:fldChar w:fldCharType="end"/>
      </w:r>
      <w:r w:rsidRPr="001B7E21">
        <w:rPr>
          <w:rFonts w:ascii="Arial" w:hAnsi="Arial" w:cs="Arial"/>
        </w:rPr>
        <w:t xml:space="preserve">. Ecotourism sites—such as protected areas, national parks, and community-based tourism villages—function as living laboratories that support place-based learning and environmental education. Through participatory approaches, visitors and local communities engage in knowledge exchange, reflection, and co-learning processes that reinforce conservation ethics and sustainability awareness </w:t>
      </w:r>
      <w:r w:rsidRPr="001B7E21">
        <w:rPr>
          <w:rFonts w:ascii="Arial" w:hAnsi="Arial" w:cs="Arial"/>
        </w:rPr>
        <w:fldChar w:fldCharType="begin" w:fldLock="1"/>
      </w:r>
      <w:r w:rsidRPr="001B7E21">
        <w:rPr>
          <w:rFonts w:ascii="Arial" w:hAnsi="Arial" w:cs="Arial"/>
        </w:rPr>
        <w:instrText>ADDIN CSL_CITATION {"citationItems":[{"id":"ITEM-1","itemData":{"DOI":"https://doi.org/10.1016/j.ijgeop.2024.09.004","ISSN":"2577-4441","abstract":"The sustainability of Komodo protection efforts is closely linked to tourism development. To achieve this, it is important to have a deep understanding of local community behaviors and adaptation strategies. This study focuses on the complex relationships between sociodemographic factors, attitudes towards forest conservation, participation in adaptive management programs, and willingness of local communities in the Komodo district to engage in sustainable tourism practices. Using structural equation modeling (SEM), we analyze the connections that either support or hinder the conservation of Komodo habitats while promoting responsible tourism growth. The results show that sociodemographic characteristics have a significant impact on conservation attitudes, leading to increased participation in adaptive programs that are crucial for sustainable tourism. Additionally, the willingness to adapt is a key factor that influences the level of community involvement in sustainable tourism initiatives. This study emphasizes the importance of developing behavioral and adaptive forest protection programs that cater to both Komodo conservation and the sustainable growth of tourism. Policy recommendations focus on community-centered conservation strategies, education on sustainable practices, and the implementation of adaptive management to ensure the long-term viability of Komodo habitats. Overall, this research provides a nuanced understanding of conservation behavior in regions with rich biodiversity. It highlights the pivotal role of community engagement and adaptive strategies in achieving sustainable tourism and conservation goals.","author":[{"dropping-particle":"","family":"Sianipar","given":"Imelda Masni Juniaty","non-dropping-particle":"","parse-names":false,"suffix":""},{"dropping-particle":"","family":"Lee","given":"Chun-Hung","non-dropping-particle":"","parse-names":false,"suffix":""},{"dropping-particle":"","family":"Kim","given":"Doo-Chul","non-dropping-particle":"","parse-names":false,"suffix":""},{"dropping-particle":"","family":"Suryawan","given":"I Wayan Koko","non-dropping-particle":"","parse-names":false,"suffix":""}],"container-title":"International Journal of Geoheritage and Parks","id":"ITEM-1","issue":"3","issued":{"date-parts":[["2025"]]},"page":"335-349","title":"Adaptive strategies and community engagement for sustainable conservation and tourism in Komodo National Park, Indonesia","type":"article-journal","volume":"13"},"uris":["http://www.mendeley.com/documents/?uuid=a0421038-f658-4ae7-802a-7a409f3d12e7"]},{"id":"ITEM-2","itemData":{"DOI":"10.3390/tourhosp6010029","ISBN":"2673-5768","abstract":"Community-based tourism (CBT) is an innovative and participatory approach that places local communities at the center of tourism development. This model aligns with the United Nations Sustainable Development Goals (SDGs), particularly SDG 1 (No Poverty) and SDG 8 (Decent Work and Economic Growth). Through a synthesis of global case studies from regions such as Nepal, Kenya, Costa Rica, South Korea, and Zimbabwe, this paper examines the transformative potential of CBT in fostering inclusive economic growth, empowering marginalized communities, and promoting cultural and environmental sustainability. Content and comparative analyses reveal how CBT generates sustainable livelihoods, preserves cultural heritage, and addresses governance and dependency challenges. The study highlights interlinkages between SDGs 1 and 8 and provides actionable strategies for stakeholders, including policymakers, residents, tourists, and academics. Recommendations for addressing implementation barriers and future research directions underscore the need for innovative solutions, technological integration, and long-term community resilience planning. This paper affirms CBT’s role as a global model for sustainable tourism and equitable development.","author":[{"dropping-particle":"","family":"Jackson","given":"Leonard A","non-dropping-particle":"","parse-names":false,"suffix":""}],"container-title":"Tourism and Hospitality","id":"ITEM-2","issue":"1","issued":{"date-parts":[["2025"]]},"title":"Community-Based Tourism: A Catalyst for Achieving the United Nations Sustainable Development Goals One and Eight","type":"article-journal","volume":"6"},"uris":["http://www.mendeley.com/documents/?uuid=b841d7ba-579c-4ccf-98d0-3f4111ded9dd"]},{"id":"ITEM-3","itemData":{"DOI":"10.1080/23311886.2024.2302212","ISSN":"null","author":[{"dropping-particle":"","family":"Zainal","given":"Suadi","non-dropping-particle":"","parse-names":false,"suffix":""},{"dropping-particle":"","family":"Nirzalin","given":" ","non-dropping-particle":"","parse-names":false,"suffix":""},{"dropping-particle":"","family":"Fakhrurrazi","given":" ","non-dropping-particle":"","parse-names":false,"suffix":""},{"dropping-particle":"","family":"Yunanda","given":"Rizki","non-dropping-particle":"","parse-names":false,"suffix":""},{"dropping-particle":"","family":"Ilham","given":"Iromi","non-dropping-particle":"","parse-names":false,"suffix":""},{"dropping-particle":"","family":"Badaruddin","given":" ","non-dropping-particle":"","parse-names":false,"suffix":""}],"container-title":"Cogent Social Sciences","id":"ITEM-3","issue":"1","issued":{"date-parts":[["2024","12","31"]]},"note":"doi: 10.1080/23311886.2024.2302212","page":"2302212","publisher":"Cogent OA","title":"Actualizing local knowledge for sustainable ecotourism development in a protected forest area: insights from the Gayonese in Aceh Tengah, Indonesia","type":"article-journal","volume":"10"},"uris":["http://www.mendeley.com/documents/?uuid=9b05135f-c37c-4b64-a34e-2b8c9dda7ad7"]},{"id":"ITEM-4","itemData":{"DOI":"10.3390/su17146558","ISBN":"2071-1050","abstract":"The objective is to present the theoretical contributions offered by the methodology for studying sustainable tourism in protected natural areas, capable of promoting environmental protection and sustainable local development in communities. This research was carried out in Machalilla National Park. The deductive method was applied, which allowed for the analysis of the problem, the consultation of general theories related to the topic studied, and the establishment of premises and objectives that led to conclusions on the topic studied. A mixed research approach was used, integrating contributions from the analyses carried out for the treatment and processing of information. The techniques used included a survey of tourism stakeholders, a semantic differential for tourists, and an expert evaluation method to validate the proposal under study. The theoretical and methodological systematisation of tourism sustainability in protected natural areas was achieved. The results show the need to broaden the scientific debate and transfer knowledge on the relevance of sustainable tourism as an alternative for sustainable development in rural communities.","author":[{"dropping-particle":"","family":"López-Vera","given":"Boris M","non-dropping-particle":"","parse-names":false,"suffix":""},{"dropping-particle":"","family":"Pelegrín-Entenza","given":"Norberto","non-dropping-particle":"","parse-names":false,"suffix":""}],"container-title":"Sustainability","id":"ITEM-4","issue":"14","issued":{"date-parts":[["2025"]]},"title":"Methodological Reflection on Sustainable Tourism in Protected Natural Areas","type":"article-journal","volume":"17"},"uris":["http://www.mendeley.com/documents/?uuid=de4e6802-97bd-44e9-b12c-6e85ffd42c7b"]}],"mendeley":{"formattedCitation":"(Jackson, 2025; López-Vera &amp; Pelegrín-Entenza, 2025; Sianipar et al., 2025; Zainal et al., 2024)","plainTextFormattedCitation":"(Jackson, 2025; López-Vera &amp; Pelegrín-Entenza, 2025; Sianipar et al., 2025; Zainal et al., 2024)","previouslyFormattedCitation":"(Jackson, 2025; López-Vera &amp; Pelegrín-Entenza, 2025; Sianipar et al., 2025; Zainal et al.,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(Jackson, 2025; López-Vera &amp; Pelegrín-Entenza, 2025; Sianipar et al., 2025; Zainal et al., 2024)</w:t>
      </w:r>
      <w:r w:rsidRPr="001B7E21">
        <w:rPr>
          <w:rFonts w:ascii="Arial" w:hAnsi="Arial" w:cs="Arial"/>
        </w:rPr>
        <w:fldChar w:fldCharType="end"/>
      </w:r>
      <w:r w:rsidRPr="001B7E21">
        <w:rPr>
          <w:rFonts w:ascii="Arial" w:hAnsi="Arial" w:cs="Arial"/>
        </w:rPr>
        <w:t>. Thus, ecotourism can be understood not merely as recreation, but as a pedagogical process promoting lifelong learning and transformative citizenship.</w:t>
      </w:r>
    </w:p>
    <w:p w14:paraId="7C756872"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Despite its significant potential, the learning dimension of ecotourism remains underrepresented in the scholarly literature, especially within the Asian region. Most research in Asia still prioritizes the economic benefits of ecotourism, visitor satisfaction, or biodiversity management </w:t>
      </w:r>
      <w:r w:rsidRPr="001B7E21">
        <w:rPr>
          <w:rFonts w:ascii="Arial" w:hAnsi="Arial" w:cs="Arial"/>
        </w:rPr>
        <w:fldChar w:fldCharType="begin" w:fldLock="1"/>
      </w:r>
      <w:r w:rsidRPr="001B7E21">
        <w:rPr>
          <w:rFonts w:ascii="Arial" w:hAnsi="Arial" w:cs="Arial"/>
        </w:rPr>
        <w:instrText>ADDIN CSL_CITATION {"citationItems":[{"id":"ITEM-1","itemData":{"DOI":"10.1007/s11356-022-22496-w","ISSN":"1614-7499 (Electronic)","PMID":"35984561","abstract":"The empirical research investigated the relationship between tourism development  and environmental suitability to propose a framework for sustainable ecotourism. The framework suggested a balance between business and environmental interests in maintaining an ecological system with the moderating help of government support and policy interventions. The study population encompasses tourism stakeholders, including tourists, representatives from local communities, members of civil administration, hoteliers, and tour operators serving the areas. A total of 650 questionnaires were distributed to respondents, along with a brief description of key study variables to develop a better understanding. After verifying the instrument's reliability and validity, data analysis was conducted via hierarchical regression. The study findings revealed that a substantial number of people perceive socio-economic benefits, including employment and business openings, infrastructure development from tourism development, and growth. However, the state of the natural and environmental capital was found to be gradually degrading. Alongside the social environment, social vulnerability is reported due to the overutilization of land, intrusion from external cultures, and pollution in air and water due to traffic congestion, accumulation of solid waste, sewage, and carbon emissions. The study suggested a model framework for the development of sustained ecotourism, including supportive government policy interventions to ensure effective conservation of environmental and natural resources without compromising the economic viability and social well-beings of the locals. Furthermore, the variables and the constructs researched can be replicated to other destinations to seek valuable inputs for sustainable destination management elsewhere.","author":[{"dropping-particle":"","family":"Baloch","given":"Qadar Bakhsh","non-dropping-particle":"","parse-names":false,"suffix":""},{"dropping-particle":"","family":"Shah","given":"Syed Naseeb","non-dropping-particle":"","parse-names":false,"suffix":""},{"dropping-particle":"","family":"Iqbal","given":"Nadeem","non-dropping-particle":"","parse-names":false,"suffix":""},{"dropping-particle":"","family":"Sheeraz","given":"Muhammad","non-dropping-particle":"","parse-names":false,"suffix":""},{"dropping-particle":"","family":"Asadullah","given":"Muhammad","non-dropping-particle":"","parse-names":false,"suffix":""},{"dropping-particle":"","family":"Mahar","given":"Sourath","non-dropping-particle":"","parse-names":false,"suffix":""},{"dropping-particle":"","family":"Khan","given":"Asia Umar","non-dropping-particle":"","parse-names":false,"suffix":""}],"container-title":"Environmental science and pollution research international","id":"ITEM-1","issue":"3","issued":{"date-parts":[["2023","1"]]},"language":"eng","page":"5917-5930","publisher-place":"Germany","title":"Impact of tourism development upon environmental sustainability: a suggested  framework for sustainable ecotourism.","type":"article-journal","volume":"30"},"uris":["http://www.mendeley.com/documents/?uuid=514ae411-d974-4424-b995-8638b9a7e432"]},{"id":"ITEM-2","itemData":{"DOI":"https://doi.org/10.1016/S0921-8009(99)00119-6","ISSN":"0921-8009","abstract":"Within the new array of ‘green’ products and services, ecotourism claims to combine environmental responsibility with the generation of local economic benefits that will have both a development impact and serve as conservation incentives. Economic incentives are imperative for nature conservation, particularly in remote and ill-monitored regions where a weak presence of the state hinders the use of alternative tools of environmental regulation. In the following, the link between tourism, local benefits and conservation is conceptualised and analysed empirically, using data from the Cuyabeno Wildlife Reserve in the Ecuadorian Amazon region, near the border of Colombia and Peru. Three Cuyabeno indigenous groups have developed different modes of tourism participation, ranging from autonomous operations to pure salary employment. A quantification of local cash flows from tourism allows for a comparative analysis of income structure, spending, and the impacts on local development and on conservation attitudes. It is concluded that in the whole study area, tourism has actually provided significant additional income. Counter to common belief, the mode of participation is less decisive for local income generation than the tourist attraction of the natural site, the degree of tourism specialisation and the level of local organisation. However, as a conservation incentive, the effectiveness of tourism income depends on the incentive structure inherent in the mode of participation, and on the substitution versus complementarity of other productive activities: only if tourism changes labour and land allocation decisions, will it have a local conservation impact. It is discussed under which circumstances the conjectured link between tourism, local incomes and conservation is likely to be effective. This leads to some general lessons for government policies, for the design of integrated conservation and development projects (ICDPs), and to a number of site-specific recommendations for improving incentive structures.","author":[{"dropping-particle":"","family":"Wunder","given":"Sven","non-dropping-particle":"","parse-names":false,"suffix":""}],"container-title":"Ecological Economics","id":"ITEM-2","issue":"3","issued":{"date-parts":[["2000"]]},"page":"465-479","title":"Ecotourism and economic incentives — an empirical approach","type":"article-journal","volume":"32"},"uris":["http://www.mendeley.com/documents/?uuid=d4bcaaf8-b62f-46cf-90ee-207fdbf732ae"]},{"id":"ITEM-3","itemData":{"DOI":"10.1080/23311975.2024.2353570","ISSN":"null","author":[{"dropping-particle":"","family":"Le","given":"Thanh Tiep","non-dropping-particle":"","parse-names":false,"suffix":""}],"container-title":"Cogent Business &amp; Management","id":"ITEM-3","issue":"1","issued":{"date-parts":[["2024","12","31"]]},"note":"doi: 10.1080/23311975.2024.2353570","page":"2353570","publisher":"Cogent OA","title":"Influences of the ecotourism industry in Mekong Delta – Vietnam: The mediating role of Tourist Satisfaction","type":"article-journal","volume":"11"},"uris":["http://www.mendeley.com/documents/?uuid=f495b37f-928f-4d9a-97e2-8ee10734e14d"]},{"id":"ITEM-4","itemData":{"DOI":"10.3390/su17062443","ISBN":"2071-1050","abstract":"The general aim of this paper is to analyse theoretical perspectives on ecotourism, co-production, and co-management, seeking to understand how these approaches interact and promote the sustainability of natural food resources and sustainable management practices. The methodology adopts a qualitative approach with exploratory and descriptive objectives, utilising a Systematic Literature Review (SLR) to identify and examine the key studies related to the subject. The main findings indicate that ecotourism fosters biodiversity conservation, which sustains local food practices and provides significant economic benefits for local communities through co-production and co-management between stakeholders. The community emerges as a principal active resource in planning and management processes by creating opportunities for environmental education; integrating local knowledge and experiences to develop a unique, multidimensional adaptive capacity; and promoting system regulation. Moreover, the analysis of the examined works highlights the importance of environmental education programmes, flexible institutions open to dialogue with the community, and the equitable distribution of benefits. Lastly, a framework is presented that depicts the relationship among ecotourism, co-production, co-management, and socio-ecological resilience, based on five premises. This framework proposes a holistic approach to achieving socio-ecological resilience in food practices and the sustainable management of resources.","author":[{"dropping-particle":"","family":"Silva","given":"Achilem E","non-dropping-particle":"da","parse-names":false,"suffix":""},{"dropping-particle":"","family":"Maracajá","given":"Kettrin F B","non-dropping-particle":"","parse-names":false,"suffix":""},{"dropping-particle":"","family":"Batalhão","given":"André C S","non-dropping-particle":"","parse-names":false,"suffix":""},{"dropping-particle":"","family":"Silva","given":"Viviane F","non-dropping-particle":"","parse-names":false,"suffix":""},{"dropping-particle":"","family":"Borges","given":"Igo M S","non-dropping-particle":"","parse-names":false,"suffix":""}],"container-title":"Sustainability","id":"ITEM-4","issue":"6","issued":{"date-parts":[["2025"]]},"title":"Ecotourism and Co-Management: Strengthening Socio-Ecological Resilience in Local Food Systems","type":"article-journal","volume":"17"},"uris":["http://www.mendeley.com/documents/?uuid=5058692b-6721-429f-ac1f-b070248125a5"]},{"id":"ITEM-5","itemData":{"DOI":"10.3390/su17136035","ISBN":"2071-1050","abstract":"As various sectors of the world are grappling with various sustainability challenges, there is an urgent need to seek ways to find sustainable ways of dealing with some of these global challenges. Ecotourism has been seen as an avenue for addressing some of the sustainability challenges facing the tourism industry. Most tourism enterprises have adopted ecotourism principles. This study examines the evolution of ecotourism marketing to identify the key concepts and critical debates within this terrain. In this regard, this study also seeks to identify knowledge gaps and future research directions. Using bibliometric data from Web of Science-indexed publications between 2003 and 2025, this study found that ecotourism marketing has been a growing field of research, which is highly cited across fields. The study found that ecotourism marketing covers a wide range of aspects, including digital marketing, destination branding, sustainable marketing, and demand-side considerations in ecotourism marketing. Ecotourism marketing, in many respects, is equally concerned with how ecotourism establishments embrace the current challenges of climate change from a climate change mitigation, adaptation, and resilience perspective to ensure sustainability. There are several research gaps and directions with respect to ecotourism marketing, some of which could cover various aspects in the future, such as examining the role of new technologies, social influencers, and funding in ecotourism marketing. There is an equal need to understand how various generations view the whole concept of green tourism to inform segmentation and better market positioning.","author":[{"dropping-particle":"","family":"Dube","given":"Kaitano","non-dropping-particle":"","parse-names":false,"suffix":""},{"dropping-particle":"","family":"Ezeh","given":"Precious C","non-dropping-particle":"","parse-names":false,"suffix":""}],"container-title":"Sustainability","id":"ITEM-5","issue":"13","issued":{"date-parts":[["2025"]]},"title":"A Global Perspective on Ecotourism Marketing Trends: A Review","type":"article-journal","volume":"17"},"uris":["http://www.mendeley.com/documents/?uuid=f390240b-adbb-4429-a462-ac882bde6123"]},{"id":"ITEM-6","itemData":{"DOI":"10.1108/JABES-07-2018-0051","ISSN":"2515-964X","abstract":"The purpose of this paper is to identify and classify ecotourism service elements according to their instrumentality to customer satisfaction.Drawing on the ECOSERV model, the authors conduct further qualitative and quantitative research to find additional dimensions of service quality. Kano’s model and Customer Satisfaction Index are then employed with a sample of 324 ecotourists to categorize these service quality elements.A new scale of ecotourism service quality is proposed, with the addition of four dimensions: price-quality, interaction with locals, interaction with other customers and relaxation feelings. The paper also confirms the existence of four groups which are classified according to their level of impacts on satisfaction and dissatisfaction: attractive, one-dimensional, must-be and indifferent.The paper improves the present ecotourism scale and develops an integrated approach to facilitate effective decision making by identifying areas that require greater attention, thus providing practical benefits for eco-site managers. It also hopes to contribute to better understanding about ecotourism services in the context of an Asia country like Vietnam and encourages further research in this area.","author":[{"dropping-particle":"","family":"Thuy","given":"Vo Thi Ngoc","non-dropping-particle":"","parse-names":false,"suffix":""},{"dropping-particle":"","family":"Thao","given":"Hoang Doan Phuong","non-dropping-particle":"","parse-names":false,"suffix":""}],"container-title":"Journal of Asian Business and Economic Studies","id":"ITEM-6","issue":"2","issued":{"date-parts":[["2019","6","17"]]},"page":"189-205","title":"Ecotourists’ satisfaction and dissatisfaction: asymmetric effects of service attributes","type":"article-journal","volume":"26"},"uris":["http://www.mendeley.com/documents/?uuid=bb1c1de1-368f-4d3a-b3a4-7b1759031db4"]},{"id":"ITEM-7","itemData":{"DOI":"10.3390/land14081531","ISBN":"2073-445X","abstract":"Based on a literature review, the present article aims to present ecotourism as a transformative factor in the economic, social, cultural, and environmental contexts, revealing key elements for the sustainable development of ecotourism. To ensure that this objective is met, the review combines the insights of classical authors and many recent authors who have best addressed the subject. The review carefully selected consensual and contradictory arguments, reflecting on the relevance of each group, particularly in aspects such as the influence of emotional experience on behaviour and satisfaction, strategy and competitive advantage, cooperation and sustainability, and the influence of resilience on ecotourism. The impact of each perspective was presented without ignoring the major constraints that ecotourism faces in its search for a position in the tourism industry. This led the study to accept the fact that the active participation of the community is indispensable in the formula for the success of ecotourism. Some statistical data were consulted and analysed, which enabled the study to determine the quantitative impact of ecotourism on economic, social, and environmental life. In terms of benefits to communities, the review clarifies the fact that ecotourism serves as an instrument that mobilizes not only the additional value of products and services traded in the process, but also the return on investments and job creation. The combination of visiting activities with the involvement of tour guides contributes to maximizing profits in the destinations, thus supporting solid economic, social, and environmental development for the benefit of both ecotourism promoters and local communities. However, the analysis makes it clear that the economic, social, and environmental benefit depends on the degree of involvement of the local population. In terms of usability, for other studies, this review can contribute to the understanding and positioning of ecotourism in the search for a balance between satisfying socioeconomic and environmental interests. Additionally, it can serve as an aid to policy makers in their decisions related to ecotourism.","author":[{"dropping-particle":"","family":"Cossengue","given":"Paulino R","non-dropping-particle":"","parse-names":false,"suffix":""},{"dropping-particle":"","family":"Brea","given":"Jose F","non-dropping-particle":"","parse-names":false,"suffix":""},{"dropping-particle":"","family":"Tavares","given":"Fernando O","non-dropping-particle":"","parse-names":false,"suffix":""}],"container-title":"Land","id":"ITEM-7","issue":"8","issued":{"date-parts":[["2025"]]},"title":"The Transformative Power of Ecotourism: A Comprehensive Review of Its Economic, Social, and Environmental Impacts","type":"article-journal","volume":"14"},"uris":["http://www.mendeley.com/documents/?uuid=f778cc9b-117f-4c84-8e46-691d1d9ac333"]}],"mendeley":{"formattedCitation":"(Baloch et al., 2023; Cossengue et al., 2025; da Silva et al., 2025; Dube &amp; Ezeh, 2025; Le, 2024; Thuy &amp; Thao, 2019; Wunder, 2000)","plainTextFormattedCitation":"(Baloch et al., 2023; Cossengue et al., 2025; da Silva et al., 2025; Dube &amp; Ezeh, 2025; Le, 2024; Thuy &amp; Thao, 2019; Wunder, 2000)","previouslyFormattedCitation":"(Baloch et al., 2023; Cossengue et al., 2025; da Silva et al., 2025; Dube &amp; Ezeh, 2025; Le, 2024; Thuy &amp; Thao, 2019; Wunder, 2000)"},"properties":{"noteIndex":0},"schema":"https://github.com/citation-style-language/schema/raw/master/csl-citation.json"}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(Baloch et al., 2023; Cossengue et al., 2025; da Silva et al., 2025; Dube &amp; Ezeh, 2025; Le, 2024; Thuy &amp; Thao, 2019; Wunder, 2000)</w:t>
      </w:r>
      <w:r w:rsidRPr="001B7E21">
        <w:rPr>
          <w:rFonts w:ascii="Arial" w:hAnsi="Arial" w:cs="Arial"/>
        </w:rPr>
        <w:fldChar w:fldCharType="end"/>
      </w:r>
      <w:r w:rsidRPr="001B7E21">
        <w:rPr>
          <w:rFonts w:ascii="Arial" w:hAnsi="Arial" w:cs="Arial"/>
        </w:rPr>
        <w:t>, while relatively few studies explore how ecotourism contributes to knowledge, attitudes, and behavioral change related to sustainability. Existing reviews tend to be narrative, lacking systematic synthesis of how ecotourism and learning are conceptually and practically interconnected. As a result, the academic understanding of how ecotourism functions as a medium for learning and capacity building in Asian contexts remains fragmented and underdeveloped.</w:t>
      </w:r>
    </w:p>
    <w:p w14:paraId="3F34CAF6"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 addition, Asia’s socio-cultural diversity presents both opportunities and challenges in implementing ecotourism as an educational platform. The region encompasses a wide spectrum of governance systems, environmental policies, and local wisdoms </w:t>
      </w:r>
      <w:r w:rsidRPr="001B7E21">
        <w:rPr>
          <w:rFonts w:ascii="Arial" w:hAnsi="Arial" w:cs="Arial"/>
        </w:rPr>
        <w:fldChar w:fldCharType="begin" w:fldLock="1"/>
      </w:r>
      <w:r w:rsidRPr="001B7E21">
        <w:rPr>
          <w:rFonts w:ascii="Arial" w:hAnsi="Arial" w:cs="Arial"/>
        </w:rPr>
        <w:instrText>ADDIN CSL_CITATION {"citationItems":[{"id":"ITEM-1","itemData":{"DOI":"10.3390/su141811328","ISBN":"2071-1050","abstract":"This paper aimed to provide a narrative review of the current conditions of orangutan ecotourism on Sumatra Island, problems in the current management systems, and some recommendations for further development. Orangutan conservation centers have been developed on Sumatra Island since 1973. The Bukit Lawang Conservation Station is one of the orangutan conservation centers that have practiced ecotourism to overcome ecological and socio-economic issues. Even though the Bukit Lawang Conservation Station has operated for decades, this station has faced several issues, in particular a monetary crisis in 1997, a flash flood in 2003, and the COVID-19 pandemic. We identified that orangutan conservation centers on Sumatra Island have the potential to support orangutan ecotourism. These conservation centers have ecological support, available facilities, and rich local wisdom that can provide added value for orangutan ecotourism. Therefore, we propose that the development of orangutan ecotourism on Sumatra Island should accommodate surrounding communities through community-based wildlife ecotourism. We also recommend the following strategies to develop orangutan ecotourism on Sumatra Island: (1) mapping the location and distribution of wild orangutans in their natural habitats; (2) managing captive and semi-captive orangutans in conservation centers; (3) provision of tour packages; (4) community empowerment; (5) institutional strengthening of community-based ecotourism management (CBEM); (6) developing ecotourism through a benefit-sharing model; (7) anticipating and minimizing the negative impacts of ecotourism on orangutans; and (8) integrating orangutan tourism with local wisdom.","author":[{"dropping-particle":"","family":"Purwoko","given":"Agus","non-dropping-particle":"","parse-names":false,"suffix":""},{"dropping-particle":"","family":"Kuswanda","given":"Wanda","non-dropping-particle":"","parse-names":false,"suffix":""},{"dropping-particle":"","family":"Situmorang","given":"Rospita O","non-dropping-particle":"","parse-names":false,"suffix":""},{"dropping-particle":"","family":"Hutapea","given":"Freddy J","non-dropping-particle":"","parse-names":false,"suffix":""},{"dropping-particle":"","family":"Saputra","given":"Muhammad H","non-dropping-particle":"","parse-names":false,"suffix":""},{"dropping-particle":"","family":"Pasaribu","given":"Parlin H","non-dropping-particle":"","parse-names":false,"suffix":""}],"container-title":"Sustainability","id":"ITEM-1","issue":"18","issued":{"date-parts":[["2022"]]},"title":"Orangutan Ecotourism on Sumatra Island: Current Conditions and a Call for Further Development","type":"article-journal","volume":"14"},"uris":["http://www.mendeley.com/documents/?uuid=e1fce20f-faa6-439a-b122-e5c36a805762"]},{"id":"ITEM-2","itemData":{"DOI":"https://doi.org/10.1016/j.ssaho.2024.100807","ISSN":"2590-2911","abstract":"Community-based ecotourism (CBE) has been adopted for the preservation and restoration of the ecosystem in the four local communities in Binh Son district of Quang Ngai province in Vietnam. This study investigates the causal links that exist between socioeconomic development, the protection of biodiversity, environment and natural resources, and the institutional responses necessary for successful CBE development. In order to understand the complexities of the CBE model and how the stakeholders engaged in the CBE at local communities, a mix of the Strength-Weakness-Opportunity-Threat (SWOT) analysis and Driver-Pressure-State-Impact-Response (DPSIR) framework was employed for qualitative and quantitative data analysis using key informant interviews and household surveys. The study findings include important implications for both policy and management for promoting the sustainable growth of ecotourism in the region. Regarding theoretical contribution, various challenges to sustainably developing CBE have been identified while a DPSIR conceptual framework is proposed to assist future research in CBE in this area.","author":[{"dropping-particle":"","family":"Tien","given":"Nguyen Dinh","non-dropping-particle":"","parse-names":false,"suffix":""},{"dropping-particle":"","family":"Lam Duyen","given":"Tran Nhat","non-dropping-particle":"","parse-names":false,"suffix":""},{"dropping-particle":"","family":"Thanh Huyen","given":"Nguyen Thi","non-dropping-particle":"","parse-names":false,"suffix":""},{"dropping-particle":"","family":"Anh","given":"Phan Quang","non-dropping-particle":"","parse-names":false,"suffix":""},{"dropping-particle":"","family":"Oanh","given":"Nguyen Thi","non-dropping-particle":"","parse-names":false,"suffix":""},{"dropping-particle":"Van","family":"Tich","given":"Vu","non-dropping-particle":"","parse-names":false,"suffix":""},{"dropping-particle":"","family":"Dat","given":"Dang Thanh","non-dropping-particle":"","parse-names":false,"suffix":""},{"dropping-particle":"","family":"Hong Hanh","given":"Nguyen Thi","non-dropping-particle":"","parse-names":false,"suffix":""},{"dropping-particle":"","family":"Trang","given":"Vu Hong","non-dropping-particle":"","parse-names":false,"suffix":""}],"container-title":"Social Sciences &amp; Humanities Open","id":"ITEM-2","issued":{"date-parts":[["2024"]]},"page":"100807","title":"Community-based ecotourism for sustainability: An evaluative analysis of Binh Son district, Quang Ngai province in Vietnam","type":"article-journal","volume":"9"},"uris":["http://www.mendeley.com/documents/?uuid=416c4d2d-9997-463b-8030-1c2c236f6d48"]},{"id":"ITEM-3","itemData":{"DOI":"10.3390/ijgi14040146","ISBN":"2220-9964","abstract":"(1) Background: This study investigates the impact of the COVID-19 pandemic on tourists’ perceptions of community-based ecotourism (CBET) in Romania and Spain, taking into account country of origin and economic development. In order to provide insights for sustainable tourism development and policymaking, this study aims to investigate how the COVID-19 pandemic has influenced tourists’ perceptions of community-based ecotourism (CBET) in Romania and Spain, taking into account differences in country of origin and economic development. (2) Methods: An online questionnaire was administered to 703 ecotourists (353 Romanian, 350 Spanish). (3) Results: The results show statistically significant differences between the two countries regarding the perception of ecotourism principles, information sources and preferred activities. For example, Romanians showed stronger agreement with ecotourism’s positive contribution to local communities and minimal environmental impact than Spaniards (p &lt; 0.01 for EP3, EP4 and EP6). Significant correlations were found between specific ecotourism elements and preferred activities within each country, highlighting different preferences. Multilinear regression analysis showed that gender and region of origin significantly predicted perceptions of the role of ecotourism in biodiversity conservation for Spain. (4) Conclusions: Policy recommendations include targeted awareness campaigns, increased community involvement and cross-cultural collaboration to promote sustainable CBET development. This comparative study fills a gap in CBET research by contrasting perceptions in Eastern and Western European countries with different levels of economic development.","author":[{"dropping-particle":"","family":"Oltean","given":"Flavia D","non-dropping-particle":"","parse-names":false,"suffix":""},{"dropping-particle":"","family":"Curta","given":"Petru A","non-dropping-particle":"","parse-names":false,"suffix":""},{"dropping-particle":"","family":"Nagy","given":"Benedek","non-dropping-particle":"","parse-names":false,"suffix":""},{"dropping-particle":"","family":"Huseyn","given":"Arzu","non-dropping-particle":"","parse-names":false,"suffix":""},{"dropping-particle":"","family":"Gabor","given":"Manuela R","non-dropping-particle":"","parse-names":false,"suffix":""}],"container-title":"ISPRS International Journal of Geo-Information","id":"ITEM-3","issue":"4","issued":{"date-parts":[["2025"]]},"title":"Changes in Tourists’ Perceptions of Community-Based Ecotourism (CBET) After COVID-19 Pandemic: A Study on the Country of Origin and Economic Development Level","type":"article","volume":"14"},"uris":["http://www.mendeley.com/documents/?uuid=b2d9989a-d18a-4a70-ab43-43ef089b4324"]}],"mendeley":{"formattedCitation":"(Oltean et al., 2025; Purwoko et al., 2022; Tien et al., 2024)","plainTextFormattedCitation":"(Oltean et al., 2025; Purwoko et al., 2022; Tien et al., 2024)","previouslyFormattedCitation":"(Oltean et al., 2025; Purwoko et al., 2022; Tien et al.,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(Oltean et al., 2025; Purwoko et al., 2022; Tien et al., 2024)</w:t>
      </w:r>
      <w:r w:rsidRPr="001B7E21">
        <w:rPr>
          <w:rFonts w:ascii="Arial" w:hAnsi="Arial" w:cs="Arial"/>
        </w:rPr>
        <w:fldChar w:fldCharType="end"/>
      </w:r>
      <w:r w:rsidRPr="001B7E21">
        <w:rPr>
          <w:rFonts w:ascii="Arial" w:hAnsi="Arial" w:cs="Arial"/>
        </w:rPr>
        <w:t xml:space="preserve">—from community-based tourism in Indonesia and Thailand </w:t>
      </w:r>
      <w:r w:rsidRPr="001B7E21">
        <w:rPr>
          <w:rFonts w:ascii="Arial" w:hAnsi="Arial" w:cs="Arial"/>
        </w:rPr>
        <w:fldChar w:fldCharType="begin" w:fldLock="1"/>
      </w:r>
      <w:r w:rsidRPr="001B7E21">
        <w:rPr>
          <w:rFonts w:ascii="Arial" w:hAnsi="Arial" w:cs="Arial"/>
        </w:rPr>
        <w:instrText>ADDIN CSL_CITATION {"citationItems":[{"id":"ITEM-1","itemData":{"DOI":"10.24857/rgsa.v18n7-038","ISSN":"1981982X","abstract":"Purpose: This study analyzes a sustainable tourism village model designed to explore the role of community-based tourism in improving community welfare and preserving the rural environment. Method: Applying a qualitative case study approach, this study focused on community efforts to implement their model of sustainable tourism based on local wisdom. The informants were selected using a purposive sampling technique, followed by snowball sampling. Data were analyzed using the interactive model. This research utilized a source triangulation technique, in which data collected from various sources were compared to obtain mutually reinforcing confirmation and maintain the validity of the data. Results and Conclusion: The development of a tourism village in Dermaji Village has a positive socioeconomic impact on the community. Furthermore, the development of tourist villages has raised public awareness about preserving cultural traditions, which are one of the interesting tourist attractions. One of the crucial factors for the successful development of tourism villages is the commitment of the majority of stakeholders and village communities to develop environmentally friendly tourism villages. Implications of the research: This study suggests that tourism villages should consider social capital to gain support from stakeholders. Originality/Value: This study contributes to understanding the role of community-based tourism in improving the welfare of poor villagers.","author":[{"dropping-particle":"","family":"Hariyadi","given":"Bagus Reza","non-dropping-particle":"","parse-names":false,"suffix":""},{"dropping-particle":"","family":"Rokhman","given":"Ali","non-dropping-particle":"","parse-names":false,"suffix":""},{"dropping-particle":"","family":"Rosyadi","given":"Slamet","non-dropping-particle":"","parse-names":false,"suffix":""},{"dropping-particle":"","family":"Yamin","given":"Muhammad","non-dropping-particle":"","parse-names":false,"suffix":""},{"dropping-particle":"","family":"Runtiko","given":"Agus Ganjar","non-dropping-particle":"","parse-names":false,"suffix":""}],"container-title":"Revista de Gestao Social e Ambiental","id":"ITEM-1","issue":"7","issued":{"date-parts":[["2024"]]},"page":"1-24","title":"the Role of Community-Based Tourism in Sustainable Tourism Village in Indonesia","type":"article-journal","volume":"18"},"uris":["http://www.mendeley.com/documents/?uuid=c995a8d4-9363-445e-afaa-c35870470253"]},{"id":"ITEM-2","itemData":{"DOI":"10.3390/su15129725","ISBN":"2071-1050","abstract":"Implementing sustainable tourism development is an essential part of the strategy to achieve the 2030 Sustainable Development Goals and inclusive, sustainable economic growth. This research aimed to examine the level of readiness of the community to carry out sustainable tourism development, especially community-based tourism on small islands, such as Lombok Island, Indonesia. More specifically, the objectives of this study were as follows: first, knowing the level of community readiness in carrying out sustainable tourism development; second, knowing the various dimensions that influence sustainable tourism development; third, understanding the role of stakeholders in sustainable tourism development. Furthermore, the role of the education sector in increasing community readiness for sustainable tourism development is an exciting matter to study. The method applied in this research used mixed techniques, a combination of quantitative and qualitative approaches. Quantitative methods were used to determine the level of community readiness in sustainable tourism development. A qualitative approach was used to determine the various factors that influence the development of community-based tourism and to determine the role of stakeholders in the development of community-based tourism. Community readiness for sustainable tourism development is high in terms of economic, social, cultural, environmental, and symbolic capital aspects. Economic, social, cultural, and natural elements influence sustainable tourism development. Stakeholders who play a role in developing sustainable tourism in the research area are the government, the private sector, universities, non-governmental organizations, and the media. The results of this study can be used to create a government policy related to sustainable tourism development.","author":[{"dropping-particle":"","family":"Sayuti","given":"Rosiady H","non-dropping-particle":"","parse-names":false,"suffix":""}],"container-title":"Sustainability","id":"ITEM-2","issue":"12","issued":{"date-parts":[["2023"]]},"title":"Community Readiness in Implementing Sustainable Tourism on Small Islands: Evidence from Lombok, Indonesia","type":"article","volume":"15"},"uris":["http://www.mendeley.com/documents/?uuid=9068cd31-2481-445d-82b1-9d6bb56ad5a7"]},{"id":"ITEM-3","itemData":{"DOI":"10.15575/ks.v7i3.48571","author":[{"dropping-particle":"","family":"Azahra","given":"Nabila Putri","non-dropping-particle":"","parse-names":false,"suffix":""},{"dropping-particle":"","family":"Saufi","given":"Akhmad","non-dropping-particle":"","parse-names":false,"suffix":""},{"dropping-particle":"","family":"Suryani","given":"Embun","non-dropping-particle":"","parse-names":false,"suffix":""}],"container-title":"Khazanah Sosial","id":"ITEM-3","issue":"3","issued":{"date-parts":[["2025"]]},"page":"768-776","title":"Community-Based Tourism to Support Sustainable Tourism : Comparative Study in Sesaot ( Indonesia ) and Ban Na San ( Thailand )","type":"article-journal","volume":"7"},"uris":["http://www.mendeley.com/documents/?uuid=2a794a09-d800-46be-a931-74305c4b0275"]}],"mendeley":{"formattedCitation":"(Azahra et al., 2025; Hariyadi et al., 2024; Sayuti, 2023)","plainTextFormattedCitation":"(Azahra et al., 2025; Hariyadi et al., 2024; Sayuti, 2023)","previouslyFormattedCitation":"(Azahra et al., 2025; Hariyadi et al., 2024; Sayuti, 2023)"},"properties":{"noteIndex":0},"schema":"https://github.com/citation-style-language/schema/raw/master/csl-citation.json"}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(Azahra et al., 2025; Hariyadi et al., 2024; Sayuti, 2023)</w:t>
      </w:r>
      <w:r w:rsidRPr="001B7E21">
        <w:rPr>
          <w:rFonts w:ascii="Arial" w:hAnsi="Arial" w:cs="Arial"/>
        </w:rPr>
        <w:fldChar w:fldCharType="end"/>
      </w:r>
      <w:r w:rsidRPr="001B7E21">
        <w:rPr>
          <w:rFonts w:ascii="Arial" w:hAnsi="Arial" w:cs="Arial"/>
        </w:rPr>
        <w:t xml:space="preserve"> to heritage-based ecotourism in Japan and Korea </w:t>
      </w:r>
      <w:r w:rsidRPr="001B7E21">
        <w:rPr>
          <w:rFonts w:ascii="Arial" w:hAnsi="Arial" w:cs="Arial"/>
        </w:rPr>
        <w:fldChar w:fldCharType="begin" w:fldLock="1"/>
      </w:r>
      <w:r w:rsidRPr="001B7E21">
        <w:rPr>
          <w:rFonts w:ascii="Arial" w:hAnsi="Arial" w:cs="Arial"/>
        </w:rPr>
        <w:instrText>ADDIN CSL_CITATION {"citationItems":[{"id":"ITEM-1","itemData":{"DOI":"10.1080/10941665.2024.2401962","ISSN":"1094-1665","author":[{"dropping-particle":"","family":"Park","given":"Eunbyul","non-dropping-particle":"","parse-names":false,"suffix":""},{"dropping-particle":"","family":"Kim","given":"Yeeun","non-dropping-particle":"","parse-names":false,"suffix":""},{"dropping-particle":"","family":"Choi","given":"Hee-Sun","non-dropping-particle":"","parse-names":false,"suffix":""}],"container-title":"Asia Pacific Journal of Tourism Research","id":"ITEM-1","issue":"12","issued":{"date-parts":[["2024","12","1"]]},"note":"doi: 10.1080/10941665.2024.2401962","page":"1473-1489","publisher":"Routledge","title":"Institutional approach for ecotourism collaboration between South Korea and Japan: exploration of criteria for ecotourism joint-certification","type":"article-journal","volume":"29"},"uris":["http://www.mendeley.com/documents/?uuid=9a37cd77-7439-4207-a3b2-d9cde6b756a5"]},{"id":"ITEM-2","itemData":{"ISBN":"9780295993041","abstract":"Imperial tombs, Buddhist architecture, palaces, and art treasures in Korea and Japan have attracted scholars, collectors, and conservators�and millions of tourists. As iconic markers of racial and cultural identity at home and abroad, they are embraced as tangible sources of immense national pride and popular �must-see� destinations. This book provides the first sustained account to highlight how the forces of modernity, nationalism, colonialism, and globalization have contributed to the birth of museums, field disciplines, tourist industry, and heritage management policies. Its chapters trace the history of explorations, preservations, and reconstructions of archaeological monuments from an interregional East Asian comparative perspective in the past century.","author":[{"dropping-particle":"","family":"Pai","given":"Hyung I L","non-dropping-particle":"","parse-names":false,"suffix":""}],"id":"ITEM-2","issued":{"date-parts":[["2013","10","22"]]},"publisher":"University of Washington Press","title":"Heritage Management in Korea and Japan","type":"book"},"uris":["http://www.mendeley.com/documents/?uuid=b64cd979-5efc-44af-afdc-46daaa8f4ca1"]},{"id":"ITEM-3","itemData":{"DOI":"https://doi.org/10.1016/j.tourman.2014.08.012","ISSN":"0261-5177","abstract":"Understanding the sense of authenticity of heritage attractions is important for tourism management and marketing because presentation, interpretation and verification has a direct bearing on motivations to visit and engage with heritage tourism sites. This paper establishes relationships among the concepts of culturally specific motivation, perception of authenticity, engagement and attendant behavioral consequences based on domestic visitors' experiences at Japanese heritage sites. It further extends Kolar and Zabkar's (2010) model of authenticity by including concepts of serious leisure, heritage related behaviors, self-connection and their effects over engagement using Partial Least Square, whereby both formative and reflective scales are included. The structural model is tested with a sample of 768 visitors in a culturally specific setting of Japanese heritage sites. The empirical validation of the conceptual model supports the research hypotheses. These findings contribute to a better understanding of visitors' perceptions and valuation of authenticity in Japanese tourist attractions. Several implications can be drawn from the study findings and interesting directions for future research are provided.","author":[{"dropping-particle":"","family":"Bryce","given":"Derek","non-dropping-particle":"","parse-names":false,"suffix":""},{"dropping-particle":"","family":"Curran","given":"Ross","non-dropping-particle":"","parse-names":false,"suffix":""},{"dropping-particle":"","family":"O'Gorman","given":"Kevin","non-dropping-particle":"","parse-names":false,"suffix":""},{"dropping-particle":"","family":"Taheri","given":"Babak","non-dropping-particle":"","parse-names":false,"suffix":""}],"container-title":"Tourism Management","id":"ITEM-3","issued":{"date-parts":[["2015"]]},"page":"571-581","title":"Visitors' engagement and authenticity: Japanese heritage consumption","type":"article-journal","volume":"46"},"uris":["http://www.mendeley.com/documents/?uuid=e2442708-eac5-4a0d-a598-5660db9cb31a"]},{"id":"ITEM-4","itemData":{"DOI":"10.1108/PRR-05-2022-0048","ISSN":"2399-1747","abstract":"Over recent years, the multi-stakeholder role in sustainable ecotourism within Asia has emerged as a crucial narrative for sustainable ecotourism management across countries on the continent. This trend is perhaps due to the fact that ecotourism is one of the most rapidly growing sectors within the tourism industry. However, to date, no reviews have provided a comprehensive analysis related to the role of multi-stakeholders in the achievement of ecotourism sustainability, particularly in the Asian context. This study aims to fill this knowledge gap by examining the current knowledge regarding multi-stakeholder involvement in sustainable ecotourism within Asia.A systematic review procedure was followed. 320 articles were finalized, from which 34 related pieces of research were selected from the Scopus and Web of Science databases.Three themes emerged from this paper. Recommendations were highlighted to enhance sustainable ecotourism. The study concluded that a more enabling research environment should be provided to improve discourse and encourage policy interventions.No previous studies have explored the multi-stakeholder's role in achieving Asian sustainable ecotourism, indicating a critical gap to be fulfilled. This paper uniquely contributes to the field by providing a comprehensive review of the roles and challenges of multiple stakeholders in sustainable ecotourism across Asia and proposing innovative policy solutions tailored to the region's unique socio-economic and cultural context. Moreover, it puts forward potential solutions to bolster sustainable ecotourism within Asia, benefiting both stakeholders and the destination.","author":[{"dropping-particle":"","family":"Salman","given":"Ahmad","non-dropping-particle":"","parse-names":false,"suffix":""},{"dropping-particle":"","family":"Jaafar","given":"Mastura","non-dropping-particle":"","parse-names":false,"suffix":""},{"dropping-particle":"","family":"Mohamad","given":"Diana","non-dropping-particle":"","parse-names":false,"suffix":""},{"dropping-particle":"","family":"Ebekozien","given":"Andrew","non-dropping-particle":"","parse-names":false,"suffix":""},{"dropping-particle":"","family":"Rasul","given":"Tareq","non-dropping-particle":"","parse-names":false,"suffix":""}],"container-title":"PSU Research Review","id":"ITEM-4","issue":"3","issued":{"date-parts":[["2024","1","9"]]},"page":"940-958","title":"The multi-stakeholder role in Asian sustainable ecotourism: a systematic review","type":"article-journal","volume":"8"},"uris":["http://www.mendeley.com/documents/?uuid=9ea41325-35df-4cdc-beb7-3d254e9dfb33"]}],"mendeley":{"formattedCitation":"(Bryce et al., 2015; Pai, 2013; Park et al., 2024; Salman et al., 2024)","plainTextFormattedCitation":"(Bryce et al., 2015; Pai, 2013; Park et al., 2024; Salman et al., 2024)","previouslyFormattedCitation":"(Bryce et al., 2015; Pai, 2013; Park et al., 2024; Salman et al.,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(Bryce et al., 2015; Pai, 2013; Park et al., 2024; Salman et al., 2024)</w:t>
      </w:r>
      <w:r w:rsidRPr="001B7E21">
        <w:rPr>
          <w:rFonts w:ascii="Arial" w:hAnsi="Arial" w:cs="Arial"/>
        </w:rPr>
        <w:fldChar w:fldCharType="end"/>
      </w:r>
      <w:r w:rsidRPr="001B7E21">
        <w:rPr>
          <w:rFonts w:ascii="Arial" w:hAnsi="Arial" w:cs="Arial"/>
        </w:rPr>
        <w:t>. These variations influence how learning processes are embedded within ecotourism initiatives. Some countries have integrated environmental education into their national tourism policies, while others rely on informal community-driven practices. Understanding these diverse pathways is crucial for identifying models of success and the contextual barriers that shape the outcomes of ecotourism-based learning across Asia.</w:t>
      </w:r>
    </w:p>
    <w:p w14:paraId="675B086C" w14:textId="77777777" w:rsidR="001B7E21" w:rsidRPr="001B7E21" w:rsidRDefault="001B7E21" w:rsidP="001B7E21">
      <w:pPr>
        <w:pStyle w:val="Body"/>
        <w:spacing w:before="120" w:after="120"/>
        <w:rPr>
          <w:rFonts w:ascii="Arial" w:hAnsi="Arial" w:cs="Arial"/>
        </w:rPr>
      </w:pPr>
      <w:r w:rsidRPr="001B7E21">
        <w:rPr>
          <w:rFonts w:ascii="Arial" w:hAnsi="Arial" w:cs="Arial"/>
        </w:rPr>
        <w:t>The growing relevance of the United Nations’ Sustainable Development Goals (SDGs), particularly SDG 4 (Quality Education), SDG 13 (Climate Action), and SDG 15 (Life on Land), further underscores the importance of connecting ecotourism and learning. Ecotourism can serve as a bridge between conservation goals and educational transformation, empowering individuals and communities to become active agents of sustainability. However, the implementation of ecotourism as a learning vehicle often faces challenges such as commercialization pressures, limited local capacity, insufficient policy support, and a lack of integration between education and tourism sectors. A systematic understanding of these barriers is needed to guide more effective and inclusive strategies in the future.</w:t>
      </w:r>
    </w:p>
    <w:p w14:paraId="2A5EF4E5"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To address these gaps, this study conducts a Systematic Literature Review (SLR) focusing on research from 2015 to 2025 that examines the intersection of ecotourism and learning in Asia. The review follows the PRISMA 2020 protocol to ensure transparency and reproducibility </w:t>
      </w:r>
      <w:r w:rsidRPr="001B7E21">
        <w:rPr>
          <w:rFonts w:ascii="Arial" w:hAnsi="Arial" w:cs="Arial"/>
        </w:rPr>
        <w:lastRenderedPageBreak/>
        <w:t>in identifying, screening, and analyzing relevant studies. It aims to synthesize empirical and conceptual insights to answer three main questions: (1) What are the research trends on ecotourism and learning in Asia during the past decade? (2) What potentials of ecotourism have been identified in supporting sustainability-oriented learning? And (3) What challenges persist in implementing ecotourism as an educational strategy in the region? By addressing these questions, this review seeks to provide an integrated perspective on how ecotourism can advance learning, strengthen community resilience, and contribute to achieving sustainable development in Asia.</w:t>
      </w:r>
    </w:p>
    <w:p w14:paraId="17E5D0FB" w14:textId="77777777" w:rsidR="00790ADA" w:rsidRPr="00FB3A86" w:rsidRDefault="00790ADA" w:rsidP="00441B6F">
      <w:pPr>
        <w:pStyle w:val="Body"/>
        <w:spacing w:after="0"/>
        <w:rPr>
          <w:rFonts w:ascii="Arial" w:hAnsi="Arial" w:cs="Arial"/>
        </w:rPr>
      </w:pPr>
    </w:p>
    <w:p w14:paraId="668EF437"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53BC351" w14:textId="77777777" w:rsidR="00790ADA" w:rsidRPr="00FB3A86" w:rsidRDefault="00790ADA" w:rsidP="00441B6F">
      <w:pPr>
        <w:pStyle w:val="AbstHead"/>
        <w:spacing w:after="0"/>
        <w:jc w:val="both"/>
        <w:rPr>
          <w:rFonts w:ascii="Arial" w:hAnsi="Arial" w:cs="Arial"/>
        </w:rPr>
      </w:pPr>
    </w:p>
    <w:p w14:paraId="30C0AC08"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2.1 </w:t>
      </w:r>
      <w:r w:rsidRPr="001B7E21">
        <w:rPr>
          <w:rFonts w:ascii="Arial" w:hAnsi="Arial" w:cs="Arial"/>
          <w:b/>
          <w:sz w:val="22"/>
        </w:rPr>
        <w:t>Research Design</w:t>
      </w:r>
    </w:p>
    <w:p w14:paraId="6A946BD2" w14:textId="77777777" w:rsidR="001B7E21" w:rsidRPr="001B7E21" w:rsidRDefault="001B7E21" w:rsidP="001B7E21">
      <w:pPr>
        <w:pStyle w:val="Body"/>
        <w:spacing w:before="120" w:after="120"/>
        <w:rPr>
          <w:rFonts w:ascii="Arial" w:hAnsi="Arial" w:cs="Arial"/>
        </w:rPr>
      </w:pPr>
      <w:r w:rsidRPr="001B7E21">
        <w:rPr>
          <w:rFonts w:ascii="Arial" w:hAnsi="Arial" w:cs="Arial"/>
        </w:rPr>
        <w:t>This study employed a Systematic Literature Review (SLR) guided by the PRISMA 2020 protocol (Preferred Reporting Items for Systematic Reviews and Meta-Analyses). The PRISMA approach was selected to ensure transparency, replicability, and methodological rigor throughout the review process. The SLR aimed to synthesize research focusing on the intersection between ecotourism and learning within the Asian region over the last decade (2015–2025). The main objective was to identify publication trends, explore educational potentials, and analyze the challenges documented in the literature regarding the integration of ecotourism and sustainability learning.</w:t>
      </w:r>
    </w:p>
    <w:p w14:paraId="5AF94AFA"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2.2 </w:t>
      </w:r>
      <w:r w:rsidRPr="001B7E21">
        <w:rPr>
          <w:rFonts w:ascii="Arial" w:hAnsi="Arial" w:cs="Arial"/>
          <w:b/>
          <w:sz w:val="22"/>
        </w:rPr>
        <w:t>Data Source and Search Strategy</w:t>
      </w:r>
    </w:p>
    <w:p w14:paraId="28BE440B" w14:textId="77777777" w:rsidR="001B7E21" w:rsidRPr="001B7E21" w:rsidRDefault="001B7E21" w:rsidP="001B7E21">
      <w:pPr>
        <w:pStyle w:val="Body"/>
        <w:spacing w:before="120" w:after="120"/>
        <w:rPr>
          <w:rFonts w:ascii="Arial" w:hAnsi="Arial" w:cs="Arial"/>
        </w:rPr>
      </w:pPr>
      <w:r w:rsidRPr="001B7E21">
        <w:rPr>
          <w:rFonts w:ascii="Arial" w:hAnsi="Arial" w:cs="Arial"/>
        </w:rPr>
        <w:t>The data were retrieved from the Scopus database, which provides comprehensive indexing of high-quality peer-reviewed literature. The search was conducted using the advanced query: (TITLE-ABS-KEY (ecotourism AND learning)) AND (</w:t>
      </w:r>
      <w:proofErr w:type="spellStart"/>
      <w:r w:rsidRPr="001B7E21">
        <w:rPr>
          <w:rFonts w:ascii="Arial" w:hAnsi="Arial" w:cs="Arial"/>
        </w:rPr>
        <w:t>asia</w:t>
      </w:r>
      <w:proofErr w:type="spellEnd"/>
      <w:r w:rsidRPr="001B7E21">
        <w:rPr>
          <w:rFonts w:ascii="Arial" w:hAnsi="Arial" w:cs="Arial"/>
        </w:rPr>
        <w:t>) AND (LIMIT TO (</w:t>
      </w:r>
      <w:proofErr w:type="gramStart"/>
      <w:r w:rsidRPr="001B7E21">
        <w:rPr>
          <w:rFonts w:ascii="Arial" w:hAnsi="Arial" w:cs="Arial"/>
        </w:rPr>
        <w:t>DOCTYPE,  "</w:t>
      </w:r>
      <w:proofErr w:type="spellStart"/>
      <w:proofErr w:type="gramEnd"/>
      <w:r w:rsidRPr="001B7E21">
        <w:rPr>
          <w:rFonts w:ascii="Arial" w:hAnsi="Arial" w:cs="Arial"/>
        </w:rPr>
        <w:t>ar</w:t>
      </w:r>
      <w:proofErr w:type="spellEnd"/>
      <w:r w:rsidRPr="001B7E21">
        <w:rPr>
          <w:rFonts w:ascii="Arial" w:hAnsi="Arial" w:cs="Arial"/>
        </w:rPr>
        <w:t>"))  AND (LIMIT-TO (PUBSTAGE,  "final")) AND (LIMIT TO (LANGUAGE, "English")) AND (LIMIT-TO (OA, "all")). This query restricted the scope to open-access, peer-reviewed, and final-stage journal articles written in English, specifically affiliated with institutions across Asian countries. The temporal filter (2014–2025) was applied to focus on the most recent decade of research development, ensuring the relevance of findings to current sustainability education and tourism practices.</w:t>
      </w:r>
    </w:p>
    <w:p w14:paraId="26453111"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2.3 </w:t>
      </w:r>
      <w:r w:rsidRPr="001B7E21">
        <w:rPr>
          <w:rFonts w:ascii="Arial" w:hAnsi="Arial" w:cs="Arial"/>
          <w:b/>
          <w:sz w:val="22"/>
        </w:rPr>
        <w:t>Screening and Selection Process</w:t>
      </w:r>
    </w:p>
    <w:p w14:paraId="47780F33" w14:textId="77777777" w:rsidR="001B7E21" w:rsidRPr="001B7E21" w:rsidRDefault="001B7E21" w:rsidP="001B7E21">
      <w:pPr>
        <w:pStyle w:val="Body"/>
        <w:spacing w:before="120" w:after="120"/>
        <w:rPr>
          <w:rFonts w:ascii="Arial" w:hAnsi="Arial" w:cs="Arial"/>
        </w:rPr>
      </w:pPr>
      <w:r w:rsidRPr="001B7E21">
        <w:rPr>
          <w:rFonts w:ascii="Arial" w:hAnsi="Arial" w:cs="Arial"/>
        </w:rPr>
        <w:t>The literature selection followed the four PRISMA phases: Identification, Screening, Eligibility, and Inclusion, as illustrated in Figure 1. (1) Identification: A total of 474 records were initially retrieved from the Scopus database using the specified search string.</w:t>
      </w:r>
      <w:r w:rsidRPr="001B7E21">
        <w:rPr>
          <w:rFonts w:ascii="Arial" w:hAnsi="Arial" w:cs="Arial"/>
        </w:rPr>
        <w:br/>
        <w:t xml:space="preserve">(2) Screening: After applying the open-access filter, 172 articles were retained, while 302 were excluded due to restrictions related to publication access categories (e.g., green, gold, hybrid, or bronze open access). (3) Eligibility: Further refinement excluded non-final or non-original publications such as book chapters, conference papers, retracted items, errata, and review articles, resulting in 145 original articles. (4) Inclusion: Only English-language studies focusing specifically on the Asian context within the 2015–2025 timeframe </w:t>
      </w:r>
      <w:proofErr w:type="gramStart"/>
      <w:r w:rsidRPr="001B7E21">
        <w:rPr>
          <w:rFonts w:ascii="Arial" w:hAnsi="Arial" w:cs="Arial"/>
        </w:rPr>
        <w:t>were</w:t>
      </w:r>
      <w:proofErr w:type="gramEnd"/>
      <w:r w:rsidRPr="001B7E21">
        <w:rPr>
          <w:rFonts w:ascii="Arial" w:hAnsi="Arial" w:cs="Arial"/>
        </w:rPr>
        <w:t xml:space="preserve"> retained. Three non-English articles (Spanish, Bosnian, and Indonesian) were removed, along with one outlier (published in 1993). The final dataset comprised </w:t>
      </w:r>
      <w:r w:rsidR="00520027">
        <w:rPr>
          <w:rFonts w:ascii="Arial" w:hAnsi="Arial" w:cs="Arial"/>
        </w:rPr>
        <w:t>3</w:t>
      </w:r>
      <w:r w:rsidRPr="001B7E21">
        <w:rPr>
          <w:rFonts w:ascii="Arial" w:hAnsi="Arial" w:cs="Arial"/>
        </w:rPr>
        <w:t>9 eligible articles, which formed the analytical corpus of this review.</w:t>
      </w:r>
    </w:p>
    <w:p w14:paraId="63EBEFF1" w14:textId="77777777" w:rsidR="001B7E21" w:rsidRPr="001B7E21" w:rsidRDefault="001B7E21" w:rsidP="001B7E21">
      <w:pPr>
        <w:pStyle w:val="Body"/>
        <w:spacing w:before="120" w:after="120"/>
        <w:rPr>
          <w:rFonts w:ascii="Arial" w:hAnsi="Arial" w:cs="Arial"/>
        </w:rPr>
      </w:pPr>
    </w:p>
    <w:p w14:paraId="6D60D746" w14:textId="77777777" w:rsidR="001B7E21" w:rsidRPr="001B7E21" w:rsidRDefault="001B7E21" w:rsidP="001B7E21">
      <w:pPr>
        <w:pStyle w:val="Body"/>
        <w:spacing w:before="120" w:after="120"/>
        <w:rPr>
          <w:rFonts w:ascii="Arial" w:hAnsi="Arial" w:cs="Arial"/>
        </w:rPr>
      </w:pPr>
      <w:r w:rsidRPr="001B7E21">
        <w:rPr>
          <w:rFonts w:ascii="Arial" w:hAnsi="Arial" w:cs="Arial"/>
          <w:noProof/>
        </w:rPr>
        <w:lastRenderedPageBreak/>
        <w:drawing>
          <wp:inline distT="0" distB="0" distL="0" distR="0" wp14:anchorId="4FDBFC6B" wp14:editId="456F6532">
            <wp:extent cx="5009515" cy="2933700"/>
            <wp:effectExtent l="0" t="0" r="635" b="0"/>
            <wp:docPr id="116718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84908" name=""/>
                    <pic:cNvPicPr/>
                  </pic:nvPicPr>
                  <pic:blipFill rotWithShape="1">
                    <a:blip r:embed="rId14"/>
                    <a:srcRect l="15163" t="571" b="3733"/>
                    <a:stretch>
                      <a:fillRect/>
                    </a:stretch>
                  </pic:blipFill>
                  <pic:spPr bwMode="auto">
                    <a:xfrm>
                      <a:off x="0" y="0"/>
                      <a:ext cx="5009515" cy="2933700"/>
                    </a:xfrm>
                    <a:prstGeom prst="rect">
                      <a:avLst/>
                    </a:prstGeom>
                    <a:ln>
                      <a:noFill/>
                    </a:ln>
                    <a:extLst>
                      <a:ext uri="{53640926-AAD7-44D8-BBD7-CCE9431645EC}">
                        <a14:shadowObscured xmlns:a14="http://schemas.microsoft.com/office/drawing/2010/main"/>
                      </a:ext>
                    </a:extLst>
                  </pic:spPr>
                </pic:pic>
              </a:graphicData>
            </a:graphic>
          </wp:inline>
        </w:drawing>
      </w:r>
    </w:p>
    <w:p w14:paraId="372F99C2" w14:textId="77777777" w:rsidR="001B7E21" w:rsidRPr="001B7E21" w:rsidRDefault="001B7E21" w:rsidP="001B7E21">
      <w:pPr>
        <w:pStyle w:val="Body"/>
        <w:spacing w:before="120" w:after="120"/>
        <w:rPr>
          <w:rFonts w:ascii="Arial" w:hAnsi="Arial" w:cs="Arial"/>
        </w:rPr>
      </w:pPr>
    </w:p>
    <w:p w14:paraId="382A6EBC" w14:textId="77777777" w:rsidR="001B7E21" w:rsidRPr="001B7E21" w:rsidRDefault="001B7E21" w:rsidP="001B7E21">
      <w:pPr>
        <w:pStyle w:val="Body"/>
        <w:spacing w:before="120" w:after="120"/>
        <w:rPr>
          <w:rFonts w:ascii="Arial" w:hAnsi="Arial" w:cs="Arial"/>
          <w:b/>
          <w:bCs/>
        </w:rPr>
      </w:pPr>
      <w:r w:rsidRPr="001B7E21">
        <w:rPr>
          <w:rFonts w:ascii="Arial" w:hAnsi="Arial" w:cs="Arial"/>
          <w:b/>
          <w:bCs/>
        </w:rPr>
        <w:t>Fig. 1. PRISMA 2020 Flow Diagram of Article Selection Process</w:t>
      </w:r>
      <w:r>
        <w:rPr>
          <w:rFonts w:ascii="Arial" w:hAnsi="Arial" w:cs="Arial"/>
          <w:b/>
          <w:bCs/>
        </w:rPr>
        <w:t xml:space="preserve"> </w:t>
      </w:r>
      <w:r w:rsidRPr="001B7E21">
        <w:rPr>
          <w:rFonts w:ascii="Arial" w:hAnsi="Arial" w:cs="Arial"/>
          <w:b/>
          <w:bCs/>
        </w:rPr>
        <w:t>(source: author’s data processing, 2025)</w:t>
      </w:r>
    </w:p>
    <w:p w14:paraId="4EE6F22B" w14:textId="77777777" w:rsidR="001B7E21" w:rsidRPr="001B7E21" w:rsidRDefault="001B7E21" w:rsidP="001B7E21">
      <w:pPr>
        <w:pStyle w:val="Body"/>
        <w:spacing w:before="120" w:after="120"/>
        <w:rPr>
          <w:rFonts w:ascii="Arial" w:hAnsi="Arial" w:cs="Arial"/>
        </w:rPr>
      </w:pPr>
    </w:p>
    <w:p w14:paraId="0CE54D97"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2.4 </w:t>
      </w:r>
      <w:r w:rsidRPr="001B7E21">
        <w:rPr>
          <w:rFonts w:ascii="Arial" w:hAnsi="Arial" w:cs="Arial"/>
          <w:b/>
          <w:sz w:val="22"/>
        </w:rPr>
        <w:t>Inclusion and Exclusion Criteria</w:t>
      </w:r>
    </w:p>
    <w:p w14:paraId="53DE57E5" w14:textId="77777777" w:rsidR="001B7E21" w:rsidRPr="001B7E21" w:rsidRDefault="001B7E21" w:rsidP="001B7E21">
      <w:pPr>
        <w:pStyle w:val="Body"/>
        <w:spacing w:before="120" w:after="120"/>
        <w:rPr>
          <w:rFonts w:ascii="Arial" w:hAnsi="Arial" w:cs="Arial"/>
        </w:rPr>
      </w:pPr>
      <w:r w:rsidRPr="001B7E21">
        <w:rPr>
          <w:rFonts w:ascii="Arial" w:hAnsi="Arial" w:cs="Arial"/>
        </w:rPr>
        <w:t>The inclusion criteria were formulated to ensure the consistency and academic quality of the analyzed studies. Eligible articles (1) were published between 2015 and 2025, (2) explicitly examined ecotourism in connection with learning, education, or knowledge transfer, (3) presented empirical or conceptual insights relevant to Asia, and (4) were available in full-text English versions. Conversely, articles were excluded if they (1) lacked a learning or educational component, (2) focused solely on the economic or ecological aspects of tourism, (3) were not open access, or (4) were non-peer-reviewed or non-final publications.</w:t>
      </w:r>
    </w:p>
    <w:p w14:paraId="13DED552"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2.5 </w:t>
      </w:r>
      <w:r w:rsidRPr="001B7E21">
        <w:rPr>
          <w:rFonts w:ascii="Arial" w:hAnsi="Arial" w:cs="Arial"/>
          <w:b/>
          <w:sz w:val="22"/>
        </w:rPr>
        <w:t>Data Extraction and Coding</w:t>
      </w:r>
    </w:p>
    <w:p w14:paraId="66AA5832" w14:textId="77777777" w:rsidR="001B7E21" w:rsidRPr="001B7E21" w:rsidRDefault="001B7E21" w:rsidP="001B7E21">
      <w:pPr>
        <w:pStyle w:val="Body"/>
        <w:spacing w:before="120" w:after="120"/>
        <w:rPr>
          <w:rFonts w:ascii="Arial" w:hAnsi="Arial" w:cs="Arial"/>
        </w:rPr>
      </w:pPr>
      <w:r w:rsidRPr="001B7E21">
        <w:rPr>
          <w:rFonts w:ascii="Arial" w:hAnsi="Arial" w:cs="Arial"/>
        </w:rPr>
        <w:t>Each selected article was reviewed in full to extract key bibliographic and thematic information, including (1) publication year, (2) authorship and country of origin, (3) research objectives, (4) methodological design, (5) educational or learning dimensions explored, and (6) major findings or implications for sustainability education. The extracted data were tabulated to enable comparison across studies and to facilitate bibliometric visualization of patterns, trends, and research clusters.</w:t>
      </w:r>
    </w:p>
    <w:p w14:paraId="300652DA"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2.6 </w:t>
      </w:r>
      <w:r w:rsidRPr="001B7E21">
        <w:rPr>
          <w:rFonts w:ascii="Arial" w:hAnsi="Arial" w:cs="Arial"/>
          <w:b/>
          <w:sz w:val="22"/>
        </w:rPr>
        <w:t>Data Analysis</w:t>
      </w:r>
    </w:p>
    <w:p w14:paraId="7DA5431E"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Two complementary analytical approaches were employed. (1) Bibliometric Analysis was used to identify patterns in publication volume, authorship, institutional and national contributions, and keyword co-occurrence. Visualization techniques (e.g., network mapping and thematic evolution) were applied using tools such as </w:t>
      </w:r>
      <w:proofErr w:type="spellStart"/>
      <w:r w:rsidRPr="001B7E21">
        <w:rPr>
          <w:rFonts w:ascii="Arial" w:hAnsi="Arial" w:cs="Arial"/>
        </w:rPr>
        <w:t>VOSviewer</w:t>
      </w:r>
      <w:proofErr w:type="spellEnd"/>
      <w:r w:rsidRPr="001B7E21">
        <w:rPr>
          <w:rFonts w:ascii="Arial" w:hAnsi="Arial" w:cs="Arial"/>
        </w:rPr>
        <w:t xml:space="preserve"> and </w:t>
      </w:r>
      <w:proofErr w:type="spellStart"/>
      <w:r w:rsidRPr="001B7E21">
        <w:rPr>
          <w:rFonts w:ascii="Arial" w:hAnsi="Arial" w:cs="Arial"/>
        </w:rPr>
        <w:t>Biblioshiny</w:t>
      </w:r>
      <w:proofErr w:type="spellEnd"/>
      <w:r w:rsidRPr="001B7E21">
        <w:rPr>
          <w:rFonts w:ascii="Arial" w:hAnsi="Arial" w:cs="Arial"/>
        </w:rPr>
        <w:t>.</w:t>
      </w:r>
      <w:r w:rsidRPr="001B7E21">
        <w:rPr>
          <w:rFonts w:ascii="Arial" w:hAnsi="Arial" w:cs="Arial"/>
        </w:rPr>
        <w:br/>
        <w:t xml:space="preserve">(2) Thematic Analysis was then applied to qualitatively synthesize recurring themes, challenges, and conceptual frameworks emerging from the literature. Thematic coding focused on identifying how ecotourism contributes to knowledge acquisition, attitude </w:t>
      </w:r>
      <w:r w:rsidRPr="001B7E21">
        <w:rPr>
          <w:rFonts w:ascii="Arial" w:hAnsi="Arial" w:cs="Arial"/>
        </w:rPr>
        <w:lastRenderedPageBreak/>
        <w:t>formation, and participatory conservation learning, as well as the barriers that hinder the educational integration of ecotourism practices in Asian contexts.</w:t>
      </w:r>
    </w:p>
    <w:p w14:paraId="480CD281"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2.7 </w:t>
      </w:r>
      <w:r w:rsidRPr="001B7E21">
        <w:rPr>
          <w:rFonts w:ascii="Arial" w:hAnsi="Arial" w:cs="Arial"/>
          <w:b/>
          <w:sz w:val="22"/>
        </w:rPr>
        <w:t>Validity and Reliability</w:t>
      </w:r>
    </w:p>
    <w:p w14:paraId="2EF47B67" w14:textId="77777777" w:rsidR="001B7E21" w:rsidRPr="001B7E21" w:rsidRDefault="001B7E21" w:rsidP="001B7E21">
      <w:pPr>
        <w:pStyle w:val="Body"/>
        <w:spacing w:before="120" w:after="120"/>
        <w:rPr>
          <w:rFonts w:ascii="Arial" w:hAnsi="Arial" w:cs="Arial"/>
        </w:rPr>
      </w:pPr>
      <w:r w:rsidRPr="001B7E21">
        <w:rPr>
          <w:rFonts w:ascii="Arial" w:hAnsi="Arial" w:cs="Arial"/>
        </w:rPr>
        <w:t>To maintain methodological integrity, the review process adhered strictly to PRISMA 2020 guidelines. Data extraction and coding were conducted independently by two reviewers to minimize bias and ensure inter-coder reliability. Any discrepancies in article classification or theme identification were discussed and resolved through consensus. The combination of quantitative (bibliometric) and qualitative (thematic) approaches strengthened the validity and depth of the synthesis.</w:t>
      </w:r>
    </w:p>
    <w:p w14:paraId="742EDE67" w14:textId="77777777" w:rsidR="00790ADA" w:rsidRPr="00FB3A86" w:rsidRDefault="00790ADA" w:rsidP="00441B6F">
      <w:pPr>
        <w:pStyle w:val="Body"/>
        <w:spacing w:after="0"/>
        <w:rPr>
          <w:rFonts w:ascii="Arial" w:hAnsi="Arial" w:cs="Arial"/>
        </w:rPr>
      </w:pPr>
    </w:p>
    <w:p w14:paraId="45171A4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2577E7E" w14:textId="77777777" w:rsidR="00790ADA" w:rsidRPr="00FB3A86" w:rsidRDefault="00790ADA" w:rsidP="00441B6F">
      <w:pPr>
        <w:pStyle w:val="Head1"/>
        <w:spacing w:after="0"/>
        <w:jc w:val="both"/>
        <w:rPr>
          <w:rFonts w:ascii="Arial" w:hAnsi="Arial" w:cs="Arial"/>
        </w:rPr>
      </w:pPr>
    </w:p>
    <w:p w14:paraId="119C6ECF"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3.1 </w:t>
      </w:r>
      <w:r w:rsidRPr="001B7E21">
        <w:rPr>
          <w:rFonts w:ascii="Arial" w:hAnsi="Arial" w:cs="Arial"/>
          <w:b/>
          <w:sz w:val="22"/>
        </w:rPr>
        <w:t xml:space="preserve">Publication Trend of Ecotourism and Learning Research in Asia </w:t>
      </w:r>
    </w:p>
    <w:p w14:paraId="3953B62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publication trend illustrates the temporal growth of research connecting ecotourism and learning in Asia over the last decade. Figure </w:t>
      </w:r>
      <w:r>
        <w:rPr>
          <w:rFonts w:ascii="Arial" w:hAnsi="Arial" w:cs="Arial"/>
        </w:rPr>
        <w:t>2</w:t>
      </w:r>
      <w:r w:rsidRPr="001B7E21">
        <w:rPr>
          <w:rFonts w:ascii="Arial" w:hAnsi="Arial" w:cs="Arial"/>
        </w:rPr>
        <w:t xml:space="preserve"> shows a clear increase in scholarly output between 2017 and 2025, reflecting the rising global concern for sustainability education and the integration of learning components into ecotourism practices. The data were obtained from Scopus-indexed studies included in this systematic review after screening for open-access, peer-reviewed journal articles written in English.</w:t>
      </w:r>
    </w:p>
    <w:p w14:paraId="5B806796" w14:textId="77777777" w:rsidR="001B7E21" w:rsidRPr="001B7E21" w:rsidRDefault="001B7E21" w:rsidP="001B7E21">
      <w:pPr>
        <w:pStyle w:val="Body"/>
        <w:spacing w:before="120" w:after="120"/>
        <w:rPr>
          <w:rFonts w:ascii="Arial" w:hAnsi="Arial" w:cs="Arial"/>
        </w:rPr>
      </w:pPr>
    </w:p>
    <w:p w14:paraId="6812C8C5" w14:textId="77777777" w:rsidR="001B7E21" w:rsidRPr="001B7E21" w:rsidRDefault="001B7E21" w:rsidP="001B7E21">
      <w:pPr>
        <w:pStyle w:val="Body"/>
        <w:spacing w:before="120" w:after="120"/>
        <w:rPr>
          <w:rFonts w:ascii="Arial" w:hAnsi="Arial" w:cs="Arial"/>
        </w:rPr>
      </w:pPr>
      <w:r w:rsidRPr="001B7E21">
        <w:rPr>
          <w:rFonts w:ascii="Arial" w:hAnsi="Arial" w:cs="Arial"/>
          <w:noProof/>
        </w:rPr>
        <w:drawing>
          <wp:inline distT="0" distB="0" distL="0" distR="0" wp14:anchorId="5D89FE36" wp14:editId="11EA4FA9">
            <wp:extent cx="4600575" cy="2590983"/>
            <wp:effectExtent l="0" t="0" r="0" b="0"/>
            <wp:docPr id="147998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87265" name=""/>
                    <pic:cNvPicPr/>
                  </pic:nvPicPr>
                  <pic:blipFill rotWithShape="1">
                    <a:blip r:embed="rId15"/>
                    <a:srcRect l="35004" t="17996" r="6280" b="23443"/>
                    <a:stretch>
                      <a:fillRect/>
                    </a:stretch>
                  </pic:blipFill>
                  <pic:spPr bwMode="auto">
                    <a:xfrm>
                      <a:off x="0" y="0"/>
                      <a:ext cx="4606930" cy="2594562"/>
                    </a:xfrm>
                    <a:prstGeom prst="rect">
                      <a:avLst/>
                    </a:prstGeom>
                    <a:ln>
                      <a:noFill/>
                    </a:ln>
                    <a:extLst>
                      <a:ext uri="{53640926-AAD7-44D8-BBD7-CCE9431645EC}">
                        <a14:shadowObscured xmlns:a14="http://schemas.microsoft.com/office/drawing/2010/main"/>
                      </a:ext>
                    </a:extLst>
                  </pic:spPr>
                </pic:pic>
              </a:graphicData>
            </a:graphic>
          </wp:inline>
        </w:drawing>
      </w:r>
    </w:p>
    <w:p w14:paraId="33AD2142" w14:textId="77777777" w:rsidR="001B7E21" w:rsidRPr="001B7E21" w:rsidRDefault="001B7E21" w:rsidP="001B7E21">
      <w:pPr>
        <w:pStyle w:val="Body"/>
        <w:spacing w:before="120" w:after="120"/>
        <w:rPr>
          <w:rFonts w:ascii="Arial" w:hAnsi="Arial" w:cs="Arial"/>
          <w:b/>
          <w:bCs/>
        </w:rPr>
      </w:pPr>
      <w:r w:rsidRPr="001B7E21">
        <w:rPr>
          <w:rFonts w:ascii="Arial" w:hAnsi="Arial" w:cs="Arial"/>
          <w:b/>
          <w:bCs/>
        </w:rPr>
        <w:t xml:space="preserve">Fig. 2. Annual publication trends of ecotourism and learning research </w:t>
      </w:r>
    </w:p>
    <w:p w14:paraId="13E1A5D7" w14:textId="77777777" w:rsidR="001B7E21" w:rsidRPr="001B7E21" w:rsidRDefault="001B7E21" w:rsidP="001B7E21">
      <w:pPr>
        <w:pStyle w:val="Body"/>
        <w:spacing w:before="120" w:after="120"/>
        <w:rPr>
          <w:rFonts w:ascii="Arial" w:hAnsi="Arial" w:cs="Arial"/>
        </w:rPr>
      </w:pPr>
      <w:r w:rsidRPr="001B7E21">
        <w:rPr>
          <w:rFonts w:ascii="Arial" w:hAnsi="Arial" w:cs="Arial"/>
        </w:rPr>
        <w:t>As shown in Figure 1, research activity in this domain remained relatively low and sporadic between 2017 and 2021, with only one to five publications per year. This period represents the exploratory phase, during which most studies were conceptual or case-based, focusing on local initiatives or pilot programs. The turning point appears in 2022, when the number of publications began to rise steadily—from seven documents in 2022 to eleven in 2023, followed by a sharp increase to sixteen in 2024. This surge corresponds with global post-pandemic recovery efforts, where sustainability and outdoor experiential learning gained renewed attention as part of educational adaptation strategies (UNESCO, 2023).</w:t>
      </w:r>
    </w:p>
    <w:p w14:paraId="52A3D9CF"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slight decline observed in 2025 (from sixteen to thirteen documents) is typical of temporal fluctuations in academic publication cycles rather than a true decrease in research interest. </w:t>
      </w:r>
      <w:r w:rsidRPr="001B7E21">
        <w:rPr>
          <w:rFonts w:ascii="Arial" w:hAnsi="Arial" w:cs="Arial"/>
        </w:rPr>
        <w:lastRenderedPageBreak/>
        <w:t xml:space="preserve">Notably, the cumulative trend confirms that ecotourism and learning has evolved from a marginal topic into a mainstream interdisciplinary field bridging tourism, environmental science, and education. The acceleration in publications after 2021 reflects growing recognition of Education for Sustainable Development (ESD) as a guiding framework for tourism studies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modeling","type":"article-journal","volume":"6"},"uris":["http://www.mendeley.com/documents/?uuid=a47a7944-adb7-478a-83ee-4e4b6e101c5b"]},{"id":"ITEM-2","itemData":{"DOI":"10.3390/land14071421","ISSN":"2073445X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-2","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Framework","type":"article-journal","volume":"14"},"uris":["http://www.mendeley.com/documents/?uuid=6986ea4c-c927-4750-9649-eb8684a6cfa2"]},{"id":"ITEM-3","itemData":{"DOI":"10.3390/su17052210","ISSN":"20711050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(Switzerland)","id":"ITEM-3","issue":"5","issued":{"date-parts":[["2025"]]},"language":"English","note":"Export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Tourism","type":"article-journal","volume":"17"},"uris":["http://www.mendeley.com/documents/?uuid=c4e7738a-ddc6-4144-a708-04c49c82728d"]}],"mendeley":{"formattedCitation":"(P. Das et al., 2025; S. Zhang et al., 2025; Y. Zhang et al., 2025)","plainTextFormattedCitation":"(P. Das et al., 2025; S. Zhang et al., 2025; Y. Zhang et al., 2025)","previouslyFormattedCitation":"(P. Das et al., 2025; 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(P. Das et al., 2025; S. Zhang et al., 2025; Y. Zhang et al., 2025)</w:t>
      </w:r>
      <w:r w:rsidRPr="001B7E21">
        <w:rPr>
          <w:rFonts w:ascii="Arial" w:hAnsi="Arial" w:cs="Arial"/>
        </w:rPr>
        <w:fldChar w:fldCharType="end"/>
      </w:r>
      <w:r w:rsidRPr="001B7E21">
        <w:rPr>
          <w:rFonts w:ascii="Arial" w:hAnsi="Arial" w:cs="Arial"/>
        </w:rPr>
        <w:t>.</w:t>
      </w:r>
    </w:p>
    <w:p w14:paraId="72E7B695" w14:textId="77777777" w:rsidR="001B7E21" w:rsidRPr="001B7E21" w:rsidRDefault="001B7E21" w:rsidP="001B7E21">
      <w:pPr>
        <w:pStyle w:val="Body"/>
        <w:spacing w:before="120" w:after="120"/>
        <w:rPr>
          <w:rFonts w:ascii="Arial" w:hAnsi="Arial" w:cs="Arial"/>
        </w:rPr>
      </w:pPr>
      <w:r w:rsidRPr="001B7E21">
        <w:rPr>
          <w:rFonts w:ascii="Arial" w:hAnsi="Arial" w:cs="Arial"/>
        </w:rPr>
        <w:t>Overall, the consistent upward trajectory in the number of publications indicates a strengthening scholarly commitment to exploring how ecotourism can serve as a transformative tool for sustainability-oriented learning. This trend also mirrors the broader academic shift toward integrating field-based, community-centered, and data-driven learning experiences within tourism education. Consequently, the 2017–2025 decade can be identified as a formative period in establishing ecotourism as both an educational and research priority in Asia.</w:t>
      </w:r>
    </w:p>
    <w:p w14:paraId="3E5470E8"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3.2 </w:t>
      </w:r>
      <w:r w:rsidRPr="001B7E21">
        <w:rPr>
          <w:rFonts w:ascii="Arial" w:hAnsi="Arial" w:cs="Arial"/>
          <w:b/>
          <w:sz w:val="22"/>
        </w:rPr>
        <w:t>Disciplinary Distribution of Ecotourism and Learning Research</w:t>
      </w:r>
    </w:p>
    <w:p w14:paraId="487C5B02"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To better understand the interdisciplinary nature of ecotourism and learning studies, this review analyzed the distribution of publications by subject area. Figure </w:t>
      </w:r>
      <w:r>
        <w:rPr>
          <w:rFonts w:ascii="Arial" w:hAnsi="Arial" w:cs="Arial"/>
        </w:rPr>
        <w:t>3</w:t>
      </w:r>
      <w:r w:rsidRPr="001B7E21">
        <w:rPr>
          <w:rFonts w:ascii="Arial" w:hAnsi="Arial" w:cs="Arial"/>
        </w:rPr>
        <w:t xml:space="preserve"> presents the proportions of disciplines contributing to research in this field between 2014 and 2025, as indexed in Scopus. The classification reveals a diverse but uneven distribution, underscoring the inherently cross-sectoral character of ecotourism research, which integrates natural sciences, social sciences, and applied technologies to advance sustainability-oriented education.</w:t>
      </w:r>
    </w:p>
    <w:p w14:paraId="65BC36B0" w14:textId="77777777" w:rsidR="001B7E21" w:rsidRPr="001B7E21" w:rsidRDefault="001B7E21" w:rsidP="001B7E21">
      <w:pPr>
        <w:pStyle w:val="Body"/>
        <w:spacing w:before="120" w:after="120"/>
        <w:rPr>
          <w:rFonts w:ascii="Arial" w:hAnsi="Arial" w:cs="Arial"/>
        </w:rPr>
      </w:pPr>
      <w:r w:rsidRPr="001B7E21">
        <w:rPr>
          <w:rFonts w:ascii="Arial" w:hAnsi="Arial" w:cs="Arial"/>
          <w:noProof/>
        </w:rPr>
        <w:drawing>
          <wp:inline distT="0" distB="0" distL="0" distR="0" wp14:anchorId="64FECB67" wp14:editId="1DCE136C">
            <wp:extent cx="5038645" cy="2771775"/>
            <wp:effectExtent l="0" t="0" r="0" b="0"/>
            <wp:docPr id="133368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81709" name=""/>
                    <pic:cNvPicPr/>
                  </pic:nvPicPr>
                  <pic:blipFill rotWithShape="1">
                    <a:blip r:embed="rId16"/>
                    <a:srcRect l="34681" t="18282" r="6764" b="20873"/>
                    <a:stretch>
                      <a:fillRect/>
                    </a:stretch>
                  </pic:blipFill>
                  <pic:spPr bwMode="auto">
                    <a:xfrm>
                      <a:off x="0" y="0"/>
                      <a:ext cx="5049906" cy="2777970"/>
                    </a:xfrm>
                    <a:prstGeom prst="rect">
                      <a:avLst/>
                    </a:prstGeom>
                    <a:ln>
                      <a:noFill/>
                    </a:ln>
                    <a:extLst>
                      <a:ext uri="{53640926-AAD7-44D8-BBD7-CCE9431645EC}">
                        <a14:shadowObscured xmlns:a14="http://schemas.microsoft.com/office/drawing/2010/main"/>
                      </a:ext>
                    </a:extLst>
                  </pic:spPr>
                </pic:pic>
              </a:graphicData>
            </a:graphic>
          </wp:inline>
        </w:drawing>
      </w:r>
    </w:p>
    <w:p w14:paraId="008AEB69" w14:textId="77777777" w:rsidR="001B7E21" w:rsidRPr="001B7E21" w:rsidRDefault="001B7E21" w:rsidP="001B7E21">
      <w:pPr>
        <w:pStyle w:val="Body"/>
        <w:spacing w:before="120" w:after="120"/>
        <w:rPr>
          <w:rFonts w:ascii="Arial" w:hAnsi="Arial" w:cs="Arial"/>
          <w:b/>
          <w:bCs/>
        </w:rPr>
      </w:pPr>
      <w:r w:rsidRPr="001B7E21">
        <w:rPr>
          <w:rFonts w:ascii="Arial" w:hAnsi="Arial" w:cs="Arial"/>
          <w:b/>
          <w:bCs/>
        </w:rPr>
        <w:t>Fig. 3. Disciplinary distribution of ecotourism and learning research based on Scopus-indexed publications.</w:t>
      </w:r>
    </w:p>
    <w:p w14:paraId="6C75DD14" w14:textId="77777777" w:rsidR="001B7E21" w:rsidRPr="001B7E21" w:rsidRDefault="001B7E21" w:rsidP="001B7E21">
      <w:pPr>
        <w:pStyle w:val="Body"/>
        <w:spacing w:before="120" w:after="120"/>
        <w:rPr>
          <w:rFonts w:ascii="Arial" w:hAnsi="Arial" w:cs="Arial"/>
        </w:rPr>
      </w:pPr>
    </w:p>
    <w:p w14:paraId="00AF427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As illustrated in Figure </w:t>
      </w:r>
      <w:r w:rsidR="0089681C">
        <w:rPr>
          <w:rFonts w:ascii="Arial" w:hAnsi="Arial" w:cs="Arial"/>
        </w:rPr>
        <w:t>3</w:t>
      </w:r>
      <w:r w:rsidRPr="001B7E21">
        <w:rPr>
          <w:rFonts w:ascii="Arial" w:hAnsi="Arial" w:cs="Arial"/>
        </w:rPr>
        <w:t xml:space="preserve">, Social Sciences dominate the field, accounting for approximately 27.4% of all publications. This dominance reflects the focus on human–environment interactions, community participation, behavioral change, and educational practices within ecotourism contexts </w:t>
      </w:r>
      <w:r w:rsidRPr="001B7E21">
        <w:rPr>
          <w:rFonts w:ascii="Arial" w:hAnsi="Arial" w:cs="Arial"/>
        </w:rPr>
        <w:fldChar w:fldCharType="begin" w:fldLock="1"/>
      </w:r>
      <w:r w:rsidRPr="001B7E21">
        <w:rPr>
          <w:rFonts w:ascii="Arial" w:hAnsi="Arial" w:cs="Arial"/>
        </w:rPr>
        <w:instrText>ADDIN CSL_CITATION {"citationItems":[{"id":"ITEM-1","itemData":{"DOI":"10.1016/j.ssaho.2019.100009","ISSN":"25902911 (ISSN)","abstract":"Self-efficacy and self-concept were deduced to be able to develop sustainable behavior in students. One potential approach is participatory ecological learning in mangrove forest ecotourism. This study aims to determine whether self-efficacy and self-concept significantly affect students’ sustainability through participatory ecological learning. This qualitative study involved 128 participants and used structural equation modeling (SEM). Data were analyzed using partial least squares (PLS). The result indicated that Self-Efficacy significantly affected the sustainability of students’ behavior, but Self-Concept had no significant effect on it. © 2023 Elsevier B.V., All rights reserved.","author":[{"dropping-particle":"","family":"Surjanti","given":"J","non-dropping-particle":"","parse-names":false,"suffix":""},{"dropping-particle":"","family":"Soejoto","given":"A","non-dropping-particle":"","parse-names":false,"suffix":""},{"dropping-particle":"","family":"Seno","given":"D N","non-dropping-particle":"","parse-names":false,"suffix":""}],"container-title":"Social Sciences and Humanities Open","id":"ITEM-1","issue":"1","issued":{"date-parts":[["2020"]]},"language":"English","note":"Export Date: 21 October 2025; Cited By: 21","publisher":"Elsevier Ltd","publisher-place":"Universitas Negeri Surabaya, Department of Economics, Surabaya, Indonesia","title":"Mangrove forest ecotourism: Participatory ecological learning and sustainability of students’ behavior through self-efficacy and self-concept","type":"article-journal","volume":"2"},"uris":["http://www.mendeley.com/documents/?uuid=0cfa40d6-cb74-497f-80d0-fb88aae98673"]},{"id":"ITEM-2","itemData":{"DOI":"10.3390/su17010355","ISSN":"20711050 (ISSN)","abstract":"The purpose of this study is to provide an understanding of the experience of searching for tourism information through ChatGPT and discover the meaning of it. In order to achieve this purpose, data collection was conducted through in-depth interviews, and data analysis was conducted according to Giorgi. As a result, eight themes, 27 meaning units, and 226 meaningful statements were derived. First, the participants were found to partially trust tourism information searched through it and perceive it as a personal AI travel agent. In addition, they were found to be satisfied with it as their primary tool of searching for tourism information and perceived it as an AI travel mate in all processes of tourism. On the one hand, they were found to be disappointed that it still felt like a machine. Second, they were found to feel ambivalent about it and experience better moments with it than with humans. Moreover, they were found to feel enjoyment in the process of learning about it. This study discovered the meaning of experience in searching for tourism information through it, laid the foundation for follow-up research related to it, and presented the possibility of expanding the application of it in the tourism industry. © 2025 Elsevier B.V., All rights reserved.","author":[{"dropping-particle":"","family":"Jin","given":"J.-H.","non-dropping-particle":"","parse-names":false,"suffix":""},{"dropping-particle":"","family":"Han","given":"J.-S.","non-dropping-particle":"","parse-names":false,"suffix":""}],"container-title":"Sustainability (Switzerland)","id":"ITEM-2","issue":"1","issued":{"date-parts":[["2025"]]},"language":"English","note":"Export Date: 21 October 2025; Cited By: 1","publisher":"Multidisciplinary Digital Publishing Institute (MDPI)","publisher-place":"Seojeong University, Department of Hotel and Tourism, Yangju, South Korea","title":"A Phenomenological Study on the Experience of Searching for Tourism Information Following the Emergence of ChatGPT: Focused on the Uncanny Valley Theory","type":"article-journal","volume":"17"},"uris":["http://www.mendeley.com/documents/?uuid=85cd0c6f-0471-48d3-af64-235d9b1d51d6"]},{"id":"ITEM-3","itemData":{"DOI":"10.3390/su16208872","ISSN":"20711050 (ISSN)","abstract":"E-tourism is one of the most important levers for social and economic development. The World Tourism Organization (UNWTO) has declared 2017 the year of sustainable tourism for development. When relying on sophisticated communication technologies. Certainly, these innovations in the field of this analysis aim to determine the main factors of e-tourism achieving excellence in tourism in the Ha’il region. Tourism has disrupted this sector with new and different dimensions of tourism development. This has led various regions and countries to accelerate the search for the tools necessary to achieve excellence and sustainable development in tourism. This research aims to study the development factors of e-tourism to achieve excellence and sustainable development in the tourism of the Ha’il region. Therefore, the gap in this research is represented by the lack of a comprehensive analysis of the interaction between e-tourism development factors and factors that promote tourism excellence in the Ha’il region to achieve sustainable development. For this reason, we applied two analyses: in the first one, we used a statistical analysis based on the survey sent to 500 employees from tourism companies. This analysis aimed to determine the main factors that influence e-tourism to achieve excellence in tourism in the Ha’il region. The results of the statistical analysis gave us the following elements: There are only four main factors that allow authorities to achieve excellence in tourism in the Ha’il region, namely Supporting Technology (ST), Competition Pressure (CP), Human Resource Skills (HRS), and Socio-Cultural (SC) factors. Then, we proceed with a second analysis to determine the main factors of excellence in tourism that drive the achievement of sustainable development in tourism in the Ha’il region. For this reason, we applied an artificial intelligence method based on the unsupervised machine learning technique. The results obtained from the machine learning technique show that five factors determine the excellence in tourism and reveal the sustainable development of Ha’il’s tourism. These factors are ST, CP, Financial Performance (FP), HRS, and Government Commitment (GC). Consequently, we consider that all the factors found in both analyses are important to realise excellence in tourism and sustainable development in tourism. However, to achieve sustainable development in tourism in Ha’il, Saudi authorities must develop the three common factors found in the …","author":[{"dropping-particle":"","family":"Bahou","given":"Y","non-dropping-particle":"","parse-names":false,"suffix":""},{"dropping-particle":"","family":"Triki","given":"R","non-dropping-particle":"","parse-names":false,"suffix":""},{"dropping-particle":"","family":"Maâloul","given":"M H","non-dropping-particle":"","parse-names":false,"suffix":""},{"dropping-particle":"","family":"Tissaoui","given":"K","non-dropping-particle":"","parse-names":false,"suffix":""}],"container-title":"Sustainability (Switzerland)","id":"ITEM-3","issue":"20","issued":{"date-parts":[["2024"]]},"language":"English","note":"Export Date: 21 October 2025; Cited By: 0","publisher":"Multidisciplinary Digital Publishing Institute (MDPI)","publisher-place":"University of Ha'il, Department of Computer Science, Ha'il, Saudi Arabia","title":"Development of E-Tourism to Achieve Excellence and Sustainable Development in Tourism: Ha’il Region Case Study","type":"article-journal","volume":"16"},"uris":["http://www.mendeley.com/documents/?uuid=499f9e6c-fea5-43c3-b5be-712d9b9da468"]},{"id":"ITEM-4","itemData":{"DOI":"10.13057/biodiv/d231222","ISSN":"1412033X (ISSN); 20854722 (ISSN)","abstract":"Plastic pollution is a global problem that threatens coastal and marine ecosystems and human livelihoods and requires effective solutions that can be adapted to local conditions. Management of coastal areas is one sector focusing on world development in general and Indonesia in particular. This research was conducted from July to October 2021 in the mangrove ecotourism area of Baluno (Mangrove Learning Center of Baluno, MLC Baluno), Sendana Sub-district, Majene District, West Sulawesi Province, Indonesia. The type of data used is the primary data from measurements and observations at ecotourism sites. The purpose of this study was to identify the characteristics of plas tic waste and analyze its impact on the socio-economic community in the MLC Baluno mangrove ecotourism area. The results showed (i) The percentage of plastic waste types from all observation stations in the MLC Baluno mangrove ecotourism area consisted of 22% HDPE, 20% LDPE, 17% PVC, 9% PETE, 12% PE, 10% PP, 6 % PE, and 4% PU, (ii) The volume percentage of plastic waste from observation stations in the mangrove ecotourism area of MLC Baluno mangrove ecotourism by type consists of 32% PVC plastic volume, 17% HDPE, 14% PE, 10% LDPE, 10% PETE, PP 11%, 4% PS and 2% PU, (iii) The influence of plastic waste factors (types and volume) has a positive effect on the socio-economic community (livelihood and income). The variable factors of plastic waste influencing socio-economic based on the perceptions of coastal communities in the MLC Baluno mangrove ecotourism area are TW2, VW3, VW4, LV1, LV2, IC1, IC3, and IC5. © 2023 Elsevier B.V., All rights reserved.","author":[{"dropping-particle":"","family":"Massiseng","given":"A N A","non-dropping-particle":"","parse-names":false,"suffix":""},{"dropping-particle":"","family":"Tuwo","given":"A","non-dropping-particle":"","parse-names":false,"suffix":""},{"dropping-particle":"","family":"Fachry","given":"M E","non-dropping-particle":"","parse-names":false,"suffix":""},{"dropping-particle":"","family":"Bahar","given":"A","non-dropping-particle":"","parse-names":false,"suffix":""}],"container-title":"Biodiversitas","id":"ITEM-4","issue":"12","issued":{"date-parts":[["2022"]]},"language":"English","note":"Export Date: 21 October 2025; Cited By: 8","page":"6262-6274","publisher":"Society for Indonesian Biodiversity","publisher-place":"Universitas Cokroaminoto Makassar, Department of Fishery Agrobusiness, Makassar, Indonesia","title":"Characteristics of plastic waste and perceptions of coastal communities in the Baluno mangrove ecotourism area, West Sulawesi, Indonesia","type":"article-journal","volume":"23"},"uris":["http://www.mendeley.com/documents/?uuid=505dded9-48a3-4d1a-92fc-a5fbac5b1027"]},{"id":"ITEM-5","itemData":{"DOI":"10.1080/09669582.2021.1963975","ISSN":"17477646 (ISSN); 09669582 (ISSN)","abstract":"It is long overdue for tourism research to move beyond the basic question of whether gender matters, because there is no humanity (or human phenomenon) without gender dimensions. Instead this article asks how does it matter? It does so by challenging tourism sustainability knowledges from the perspective of feminist epistemologies. It presents a broad and necessary conceptualization of gender which includes the spectrums of sex, sexuality, gender expression, and gender identity. Drawing on the philosophical conception of ideology by Elisabeth Anderson, this article invites to reimagine dominant models of the world in gender, culture and nature ideologies. It introduces the contributions and learnings of the special issue on “Gender and Tourism Sustainability”. Finally, it states that a future agenda for gender and tourism sustainability research must highlight that being and knowing includes the non-human and a multiplicity of ecologies and cosmologies, that knowledges are multitude, and that they can be found beyond the written word and/or sanctioned instutionalized knowledge. © 2022 Elsevier B.V., All rights reserved.","author":[{"dropping-particle":"","family":"Eger","given":"C","non-dropping-particle":"","parse-names":false,"suffix":""},{"dropping-particle":"","family":"Munar","given":"A M","non-dropping-particle":"","parse-names":false,"suffix":""},{"dropping-particle":"","family":"Hsu","given":"C","non-dropping-particle":"","parse-names":false,"suffix":""}],"container-title":"Journal of Sustainable Tourism","id":"ITEM-5","issue":"7","issued":{"date-parts":[["2022"]]},"language":"English","note":"Export Date: 21 October 2025; Cited By: 48","page":"1459-1475","publisher":"Routledge","publisher-place":"Copenhagen Business School, Department of Management, Frederiksberg, Denmark","title":"Gender and tourism sustainability","type":"article-journal","volume":"30"},"uris":["http://www.mendeley.com/documents/?uuid=37a15abf-c970-4d8b-bc02-754b737b4558"]},{"id":"ITEM-6","itemData":{"DOI":"10.35762/AER.2020.42.1.4","ISSN":"22870741 (ISSN); 2287075X (ISSN)","abstract":"Understanding the function of the ecological restoration of mangrove forests leads to appropriate sustainable utilization (SU) of ecosystem services (ES) during development stages of mangrove ecosystem for sustaining the local livelihood and maintaining the mangrove ecological production. The study aims to identify the SU which was changed relying a development of ES at Klong Khone (KK) Sub-district, Samut Songkhram Province, Thailand. The SU was collected by in-depth interview with 20 key respondents, questionnaires survey with 140 fishermen and statistical scientific data on developed mangrove forest areas. Descriptive statistics and event analysis were employed to analyze the data. The study found that bottom-up management tools based on a local people’s participation were applied to determine a way of harvest of ES. An application of these local tools including a common property right, land use zoning, application of local knowledge, human resources, and financial and technological transfer resulted in different utilizing activities of ES during the development of mangrove forest restoration stages. The results showed that the ES produced during mangrove stand initiation stage were mainly harvested for food (90%) and during the young forest regrowth stage (87%) (N = 140). They were also widely used for operating aquaculture during mangrove stand initiation stage (39%), but they were harvested with more concerns about environmental impacts during the young forest regrowth stage (47%) (N = 140). The cultural services during young forest regrowth stage were increasingly utilized for diversified incomes from ecotourism (46%) and education learning program (50%) (N = 140). The ES from developed mangrove forest were harvested effectively based on an application of SU tools which were locally developed by local people’s participation. The SU tools can be proposed and applied in other communities where have similar ecological, social and cultural conditions as KK sub-district to support the SU of ES. © 2020 Elsevier B.V., All rights reserved.","author":[{"dropping-particle":"","family":"Adulcharoen","given":"W","non-dropping-particle":"","parse-names":false,"suffix":""},{"dropping-particle":"","family":"Suntornvongsagul","given":"K","non-dropping-particle":"","parse-names":false,"suffix":""},{"dropping-particle":"","family":"Lee","given":"Y.-S.","non-dropping-particle":"","parse-names":false,"suffix":""}],"container-title":"Applied Environmental Research","id":"ITEM-6","issue":"1","issued":{"date-parts":[["2020"]]},"language":"English","note":"Export Date: 21 October 2025; Cited By: 5","page":"43-57","publisher":"Chulalongkorn University - Environmental Research Institute tchantra@chula.ac.th","publisher-place":"Chulalongkorn University, Development and Sustainability Program, Bangkok, Thailand","title":"Assessment of sustainable utilization of ecosystem services in different stages of mangrove forest restoration at klong khone sub-district, Samut Songkhram province, Thailand","type":"article-journal","volume":"42"},"uris":["http://www.mendeley.com/documents/?uuid=0b04707d-be12-4e44-980e-a07314f50718"]}],"mendeley":{"formattedCitation":"(Adulcharoen et al., 2020; Bahou et al., 2024; Eger et al., 2022; Jin &amp; Han, 2025; Massiseng et al., 2022; Surjanti et al., 2020)","plainTextFormattedCitation":"(Adulcharoen et al., 2020; Bahou et al., 2024; Eger et al., 2022; Jin &amp; Han, 2025; Massiseng et al., 2022; Surjanti et al., 2020)","previouslyFormattedCitation":"(Adulcharoen et al., 2020; Bahou et al., 2024; Eger et al., 2022; Jin &amp; Han, 2025; Massiseng et al., 2022; Surjanti et al., 2020)"},"properties":{"noteIndex":0},"schema":"https://github.com/citation-style-language/schema/raw/master/csl-citation.json"}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(Adulcharoen et al., 2020; Bahou et al., 2024; Eger et al., 2022; Jin &amp; Han, 2025; Massiseng et al., 2022; Surjanti et al., 2020)</w:t>
      </w:r>
      <w:r w:rsidRPr="001B7E21">
        <w:rPr>
          <w:rFonts w:ascii="Arial" w:hAnsi="Arial" w:cs="Arial"/>
        </w:rPr>
        <w:fldChar w:fldCharType="end"/>
      </w:r>
      <w:r w:rsidRPr="001B7E21">
        <w:rPr>
          <w:rFonts w:ascii="Arial" w:hAnsi="Arial" w:cs="Arial"/>
        </w:rPr>
        <w:t xml:space="preserve">. The next largest categories, Environmental Sciences (25.7%) and Energy (18.6%), highlight the increasing incorporation of ecological modeling, environmental impact assessment, and digital tools into tourism and </w:t>
      </w:r>
      <w:r w:rsidRPr="001B7E21">
        <w:rPr>
          <w:rFonts w:ascii="Arial" w:hAnsi="Arial" w:cs="Arial"/>
        </w:rPr>
        <w:lastRenderedPageBreak/>
        <w:t>education research. These findings indicate a shift toward evidence-based and technology-enhanced approaches in sustainability learning.</w:t>
      </w:r>
    </w:p>
    <w:p w14:paraId="5E960B39"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Interestingly, disciplines such as Computer Science (15.0%), Agricultural and Biological Sciences (2.7%), and Earth and Planetary Sciences (3.5%) also contribute significantly. Their involvement suggests that ecotourism serves as a platform for applied environmental research, linking renewable energy management </w:t>
      </w:r>
      <w:r w:rsidRPr="001B7E21">
        <w:rPr>
          <w:rFonts w:ascii="Arial" w:hAnsi="Arial" w:cs="Arial"/>
        </w:rPr>
        <w:fldChar w:fldCharType="begin" w:fldLock="1"/>
      </w:r>
      <w:r w:rsidRPr="001B7E21">
        <w:rPr>
          <w:rFonts w:ascii="Arial" w:hAnsi="Arial" w:cs="Arial"/>
        </w:rPr>
        <w:instrText>ADDIN CSL_CITATION {"citationItems":[{"id":"ITEM-1","itemData":{"DOI":"10.3390/w17132033","ISSN":"20734441 (ISSN)","abstract":"Tainan’s Cigu, located on Taiwan’s southwestern coast, is a prominent aquaculture hub known for its extensive ponds, tidal flats, and lagoons. This study explored the novel integration of kayaking within aquavoltaic (APV) aquaculture ponds, creating a unique hybrid tourism landscape that merges industrial land use (aquaculture and energy production) with nature-based recreation. We investigated the relationships among facility maintenance and safety professionalism (FM), the perceived value of kayaking training (PV), and green energy and sustainable development recognition (GS) within these APV systems in Cigu, Taiwan. While integrating recreation with renewable energy and aquaculture is an emerging approach to multifunctional land use, the mechanisms influencing visitors’ sustainability perceptions remain underexplored. Using data from 613 kayaking participants and structural equation modeling, we tested a theoretical framework encompassing direct, mediated, and moderated relationships. Our findings reveal that FM significantly influences both PV (β = 0.68, p &lt; 0.001) and GS (β = 0.29, p &lt; 0.001). Furthermore, PV strongly affects GS (β = 0.56, p &lt; 0.001). Importantly, PV partially mediates the relationship between FM and GS, with the indirect effect (0.38) accounting for 57% of the total effect. We also identified significant moderating effects of APV coverage, guide expertise, and operational visibility. Complementary observational data obtained with underwater cameras confirm that non-motorized kayaking causes minimal ecological disturbance to cultured species, exhibiting significantly lower behavioral impacts than motorized alternatives. These findings advance the theoretical understanding of experiential learning in novel technological landscapes and provide evidence-based guidelines for optimizing recreational integration within production environments. © 2025 Elsevier B.V., All rights reserved.","author":[{"dropping-particle":"","family":"Sung","given":"Y.-C.","non-dropping-particle":"","parse-names":false,"suffix":""},{"dropping-particle":"","family":"Shih","given":"C.-H.","non-dropping-particle":"","parse-names":false,"suffix":""}],"container-title":"Water (Switzerland)","id":"ITEM-1","issue":"13","issued":{"date-parts":[["2025"]]},"language":"English","note":"Export Date: 21 October 2025; Cited By: 0","publisher":"Multidisciplinary Digital Publishing Institute (MDPI)","publisher-place":"Shu-Te University, Department of Leisure, Recreation and Tourism Management, Yenchao, Taiwan","title":"Enhancing Environmental Cognition Through Kayaking in Aquavoltaic Systems in a Lagoon Aquaculture Area: The Mediating Role of Perceived Value and Facility Management","type":"article-journal","volume":"17"},"uris":["http://www.mendeley.com/documents/?uuid=6b7632ff-686d-4b67-8951-8a70562fed1f"]},{"id":"ITEM-2","itemData":{"DOI":"10.6000/1929-7092.2017.06.20","ISSN":"19297092 (ISSN)","abstract":"The paper presents an overview of recent topical research on global, energy, health &amp; medical, and tourism economics, and global software. We have interpreted \"global\" in the title of the Journal of Reviews on Global Economics to cover contributions that have a global impact on economics, thereby making it \"global economics\". In this sense, the paper is concerned with papers on global, energy, health &amp; medical, and tourism economics, as well as global software algorithms that have global economic impacts. The topics covered include re-opening the Silk Road to transform Chinese trade, education and skill mismatches, code of practice and indicators for quality management of official statistics, projections of energy use and carbon emissions, multi-fuel allocation for power generation using genetic algorithms, optimal active energy loss with feeder routing and renewable energy for smart grid distribution, demand for narcotics with policy implications, computer technology to improve medical information, heritage tourism, ecotourism impacts on the economy, society and environment, taxi drivers' cross-cultural communication problems and challenges, hybrid knowledge discovery system based on items and tags, game development platform to improve advanced programming skills, quadratic approximation of the newsvendor problem with imperfect quality, classification of workflow management systems for emails, academic search engine for personalized rankings, creative and learning processes using game-based activities, personal software process with automatic requirements traceability to support start-ups, and comparing statistical and data mining techniques for enrichment ontology with instances. © 2018 Elsevier B.V., All rights reserved.","author":[{"dropping-particle":"","family":"Chang","given":"C.-L.","non-dropping-particle":"","parse-names":false,"suffix":""},{"dropping-particle":"","family":"McAleer","given":"M","non-dropping-particle":"","parse-names":false,"suffix":""}],"container-title":"Journal of Reviews on Global Economics","id":"ITEM-2","issued":{"date-parts":[["2017"]]},"language":"English","note":"Export Date: 21 October 2025; Cited By: 3","page":"218-224","publisher":"Lifescience Global info-na@lifescienceglobal.com","publisher-place":"National Chung Hsing University, Department of Applied Economics, Taichung, Taiwan","title":"Recent topical research on global, energy, health &amp; medical, and tourism economics, and global software: An overview","type":"article-journal","volume":"6"},"uris":["http://www.mendeley.com/documents/?uuid=49521b74-4309-4892-8e78-de4ae4f7bc4b"]}],"mendeley":{"formattedCitation":"(Chang &amp; McAleer, 2017; Sung &amp; Shih, 2025)","plainTextFormattedCitation":"(Chang &amp; McAleer, 2017; Sung &amp; Shih, 2025)","previouslyFormattedCitation":"(Chang &amp; McAleer, 2017; Sung &amp; Shih,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(Chang &amp; McAleer, 2017; Sung &amp; Shih, 2025)</w:t>
      </w:r>
      <w:r w:rsidRPr="001B7E21">
        <w:rPr>
          <w:rFonts w:ascii="Arial" w:hAnsi="Arial" w:cs="Arial"/>
        </w:rPr>
        <w:fldChar w:fldCharType="end"/>
      </w:r>
      <w:r w:rsidRPr="001B7E21">
        <w:rPr>
          <w:rFonts w:ascii="Arial" w:hAnsi="Arial" w:cs="Arial"/>
        </w:rPr>
        <w:t xml:space="preserve">, conservation of natural resources </w:t>
      </w:r>
      <w:r w:rsidRPr="001B7E21">
        <w:rPr>
          <w:rFonts w:ascii="Arial" w:hAnsi="Arial" w:cs="Arial"/>
        </w:rPr>
        <w:fldChar w:fldCharType="begin" w:fldLock="1"/>
      </w:r>
      <w:r w:rsidRPr="001B7E21">
        <w:rPr>
          <w:rFonts w:ascii="Arial" w:hAnsi="Arial" w:cs="Arial"/>
        </w:rPr>
        <w:instrText>ADDIN CSL_CITATION {"citationItems":[{"id":"ITEM-1","itemData":{"DOI":"10.30892/gtg.31310-533","ISSN":"20651198 (ISSN); 20650817 (ISSN)","abstract":"Sabang Island is one of the atolls (coral) islands in Aceh and has a diverse biodiversity. Coral reef ecosystems are the main ecosystem in coastal and marine areas, where in addition to having ecological values, the marine natural resources also have promising economic value to the community in the field of tourism. Tourism can provide context for learning experiences, can be integrated into environmental education programs, and can be used as a source of learning to increase a learner's awareness and concern for the environment and it is also committed to preventing environmental damage. This research used a survey method on data collection of coral observation surveys used Line Intercept Transect (English et al., 1997; Hill and Wilkinson, 2004) with a length of 100 meters 4 Segment, while observing fish species used Fish Belt Transect. The data obtained were counted and tabulated in table form, then biological biodiversity analysis is carried out (Mueller-Dombois and Ellenberf, 1974; Ludwig and Reynold, 1988; Odum, 1971). The results from natural resource potency analysis for marine ecotourism is concluded that the natural resource potency for marine ecotourism was very varied and could be used as a learning resource for environmental education categorized into two, namely physical and non-physical environments. Direct learning activities in the real environment through environmental education are expected to develop basic knowledge about the environment, be a guide in interacting with the environment, improve reasoning and identifying problem skills, contribute to problem solving, and prevent new problems. Utilization of natural resources for marine ecotourism as a source of environmental education is learning resources by utilization. © 2024 Elsevier B.V., All rights reserved.","author":[{"dropping-particle":"","family":"Aswita","given":"D","non-dropping-particle":"","parse-names":false,"suffix":""},{"dropping-particle":"","family":"Suryadarma","given":"I G P","non-dropping-particle":"","parse-names":false,"suffix":""},{"dropping-particle":"","family":"Suyanto","given":"S","non-dropping-particle":"","parse-names":false,"suffix":""},{"dropping-particle":"","family":"Herawan","given":"T","non-dropping-particle":"","parse-names":false,"suffix":""}],"container-title":"Geojournal of Tourism and Geosites","id":"ITEM-1","issue":"3","issued":{"date-parts":[["2020"]]},"language":"English","note":"Export Date: 21 October 2025; Cited By: 8","page":"996-1003","publisher":"Editura Universitatii din Oradea","publisher-place":"Faculty of Teacher Training and Education, Aceh, Indonesia","title":"The natural resources potency of marine ecotourism as an environmental education source","type":"article-journal","volume":"31"},"uris":["http://www.mendeley.com/documents/?uuid=a66f4673-4174-40bf-bdd8-c70edaf36f24"]},{"id":"ITEM-2","itemData":{"DOI":"10.3389/fmars.2022.1015262","ISSN":"22967745 (ISSN)","abstract":"In this study, we aimed to provide policy advice that supports continuous ecological restoration and coastal economic development. Our analysis indicated that insufficient funds and space are the main problems in mangrove restoration projects in China and Southeast Asian countries. The average cost of mangrove restoration projects in China has been RMB 999,000/ha, leaving a mangrove restoration funding gap of RMB 1,500,000,000/year. Another common problem of emerging industries is insufficient space, another is a lack of subsidies. Learning from the positive experiences of inland areas and Southeast Asian countries, we propose a plan for integrated management that improves emerging marine industries and ecological restoration with the participation of social capital. We also designed a time road map to achieve the plan based on a target area. A SWOT (Strengths, Weaknesses, Opportunities, and Threats) analysis showed that the plan is a win-win model plan, which may generally meet the needs of the local government, such as ecological restoration, pollution control, industrial upgrades, and income improvement. Finally, we suggest that governments should strengthen cross-department coordination, improve current sea area use policies, and strengthen associated publicity attempts. © 2023 Elsevier B.V., All rights reserved.","author":[{"dropping-particle":"","family":"Shusheng","given":"X","non-dropping-particle":"","parse-names":false,"suffix":""},{"dropping-particle":"","family":"Jingqian","given":"X","non-dropping-particle":"","parse-names":false,"suffix":""},{"dropping-particle":"","family":"Chen","given":"C","non-dropping-particle":"","parse-names":false,"suffix":""}],"container-title":"Frontiers in Marine Science","id":"ITEM-2","issued":{"date-parts":[["2023"]]},"language":"English","note":"Export Date: 21 October 2025; Cited By: 2","publisher":"Frontiers Media S.A.","publisher-place":"Ministry of Natural Resources of the People's Republic of China, Beijing, China","title":"Integrated management improves emerging coastal industries and ecological restoration with the participation of social capital","type":"article-journal","volume":"9"},"uris":["http://www.mendeley.com/documents/?uuid=2acfa07f-593d-4035-8e4a-3f63421703a8"]}],"mendeley":{"formattedCitation":"(Aswita et al., 2020; Shusheng et al., 2023)","plainTextFormattedCitation":"(Aswita et al., 2020; Shusheng et al., 2023)","previouslyFormattedCitation":"(Aswita et al., 2020; Shusheng et al., 2023)"},"properties":{"noteIndex":0},"schema":"https://github.com/citation-style-language/schema/raw/master/csl-citation.json"}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(Aswita et al., 2020; Shusheng et al., 2023)</w:t>
      </w:r>
      <w:r w:rsidRPr="001B7E21">
        <w:rPr>
          <w:rFonts w:ascii="Arial" w:hAnsi="Arial" w:cs="Arial"/>
        </w:rPr>
        <w:fldChar w:fldCharType="end"/>
      </w:r>
      <w:r w:rsidRPr="001B7E21">
        <w:rPr>
          <w:rFonts w:ascii="Arial" w:hAnsi="Arial" w:cs="Arial"/>
        </w:rPr>
        <w:t xml:space="preserve">, and agroecological education </w:t>
      </w:r>
      <w:r w:rsidRPr="001B7E21">
        <w:rPr>
          <w:rFonts w:ascii="Arial" w:hAnsi="Arial" w:cs="Arial"/>
        </w:rPr>
        <w:fldChar w:fldCharType="begin" w:fldLock="1"/>
      </w:r>
      <w:r w:rsidRPr="001B7E21">
        <w:rPr>
          <w:rFonts w:ascii="Arial" w:hAnsi="Arial" w:cs="Arial"/>
        </w:rPr>
        <w:instrText>ADDIN CSL_CITATION {"citationItems":[{"id":"ITEM-1","itemData":{"DOI":"10.13057/biodiv/d231222","ISSN":"1412033X (ISSN); 20854722 (ISSN)","abstract":"Plastic pollution is a global problem that threatens coastal and marine ecosystems and human livelihoods and requires effective solutions that can be adapted to local conditions. Management of coastal areas is one sector focusing on world development in general and Indonesia in particular. This research was conducted from July to October 2021 in the mangrove ecotourism area of Baluno (Mangrove Learning Center of Baluno, MLC Baluno), Sendana Sub-district, Majene District, West Sulawesi Province, Indonesia. The type of data used is the primary data from measurements and observations at ecotourism sites. The purpose of this study was to identify the characteristics of plas tic waste and analyze its impact on the socio-economic community in the MLC Baluno mangrove ecotourism area. The results showed (i) The percentage of plastic waste types from all observation stations in the MLC Baluno mangrove ecotourism area consisted of 22% HDPE, 20% LDPE, 17% PVC, 9% PETE, 12% PE, 10% PP, 6 % PE, and 4% PU, (ii) The volume percentage of plastic waste from observation stations in the mangrove ecotourism area of MLC Baluno mangrove ecotourism by type consists of 32% PVC plastic volume, 17% HDPE, 14% PE, 10% LDPE, 10% PETE, PP 11%, 4% PS and 2% PU, (iii) The influence of plastic waste factors (types and volume) has a positive effect on the socio-economic community (livelihood and income). The variable factors of plastic waste influencing socio-economic based on the perceptions of coastal communities in the MLC Baluno mangrove ecotourism area are TW2, VW3, VW4, LV1, LV2, IC1, IC3, and IC5. © 2023 Elsevier B.V., All rights reserved.","author":[{"dropping-particle":"","family":"Massiseng","given":"A N A","non-dropping-particle":"","parse-names":false,"suffix":""},{"dropping-particle":"","family":"Tuwo","given":"A","non-dropping-particle":"","parse-names":false,"suffix":""},{"dropping-particle":"","family":"Fachry","given":"M E","non-dropping-particle":"","parse-names":false,"suffix":""},{"dropping-particle":"","family":"Bahar","given":"A","non-dropping-particle":"","parse-names":false,"suffix":""}],"container-title":"Biodiversitas","id":"ITEM-1","issue":"12","issued":{"date-parts":[["2022"]]},"language":"English","note":"Export Date: 21 October 2025; Cited By: 8","page":"6262-6274","publisher":"Society for Indonesian Biodiversity","publisher-place":"Universitas Cokroaminoto Makassar, Department of Fishery Agrobusiness, Makassar, Indonesia","title":"Characteristics of plastic waste and perceptions of coastal communities in the Baluno mangrove ecotourism area, West Sulawesi, Indonesia","type":"article-journal","volume":"23"},"uris":["http://www.mendeley.com/documents/?uuid=505dded9-48a3-4d1a-92fc-a5fbac5b1027"]}],"mendeley":{"formattedCitation":"(Massiseng et al., 2022)","plainTextFormattedCitation":"(Massiseng et al., 2022)","previouslyFormattedCitation":"(Massiseng et al., 2022)"},"properties":{"noteIndex":0},"schema":"https://github.com/citation-style-language/schema/raw/master/csl-citation.json"}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(Massiseng et al., 2022)</w:t>
      </w:r>
      <w:r w:rsidRPr="001B7E21">
        <w:rPr>
          <w:rFonts w:ascii="Arial" w:hAnsi="Arial" w:cs="Arial"/>
        </w:rPr>
        <w:fldChar w:fldCharType="end"/>
      </w:r>
      <w:r w:rsidRPr="001B7E21">
        <w:rPr>
          <w:rFonts w:ascii="Arial" w:hAnsi="Arial" w:cs="Arial"/>
        </w:rPr>
        <w:t xml:space="preserve">. Meanwhile, smaller shares in Business, Management (4.4%), Art and </w:t>
      </w:r>
      <w:proofErr w:type="spellStart"/>
      <w:r w:rsidRPr="001B7E21">
        <w:rPr>
          <w:rFonts w:ascii="Arial" w:hAnsi="Arial" w:cs="Arial"/>
        </w:rPr>
        <w:t>Humanitiess</w:t>
      </w:r>
      <w:proofErr w:type="spellEnd"/>
      <w:r w:rsidRPr="001B7E21">
        <w:rPr>
          <w:rFonts w:ascii="Arial" w:hAnsi="Arial" w:cs="Arial"/>
        </w:rPr>
        <w:t xml:space="preserve"> (0.9%), and Decision Sciences (0.9%) reveal emerging intersections related to sustainable management, design innovation, and policy decision-making.</w:t>
      </w:r>
    </w:p>
    <w:p w14:paraId="3D397FCC" w14:textId="77777777" w:rsidR="001B7E21" w:rsidRPr="001B7E21" w:rsidRDefault="001B7E21" w:rsidP="001B7E21">
      <w:pPr>
        <w:pStyle w:val="Body"/>
        <w:spacing w:before="120" w:after="120"/>
        <w:rPr>
          <w:rFonts w:ascii="Arial" w:hAnsi="Arial" w:cs="Arial"/>
        </w:rPr>
      </w:pPr>
      <w:r w:rsidRPr="001B7E21">
        <w:rPr>
          <w:rFonts w:ascii="Arial" w:hAnsi="Arial" w:cs="Arial"/>
        </w:rPr>
        <w:t>The multidisciplinary spread of research themes demonstrates that ecotourism and learning are not confined to a single disciplinary framework but rather operate at the intersection of ecological sciences, educational psychology, and technological innovation. This integration aligns with the principles of Education for Sustainable Development (ESD), which emphasizes systems thinking and collaborative problem-solving (UNESCO, 2023). Consequently, the disciplinary composition underscores ecotourism’s potential to foster holistic sustainability education through the convergence of science, society, and technology.</w:t>
      </w:r>
    </w:p>
    <w:p w14:paraId="61E87E3D" w14:textId="77777777" w:rsidR="001B7E21" w:rsidRPr="001B7E21" w:rsidRDefault="001B7E21" w:rsidP="001B7E21">
      <w:pPr>
        <w:pStyle w:val="Body"/>
        <w:spacing w:after="0"/>
        <w:rPr>
          <w:rFonts w:ascii="Arial" w:hAnsi="Arial" w:cs="Arial"/>
          <w:b/>
          <w:sz w:val="22"/>
        </w:rPr>
      </w:pPr>
      <w:r>
        <w:rPr>
          <w:rFonts w:ascii="Arial" w:hAnsi="Arial" w:cs="Arial"/>
          <w:b/>
          <w:sz w:val="22"/>
        </w:rPr>
        <w:t xml:space="preserve">3.3 </w:t>
      </w:r>
      <w:r w:rsidRPr="001B7E21">
        <w:rPr>
          <w:rFonts w:ascii="Arial" w:hAnsi="Arial" w:cs="Arial"/>
          <w:b/>
          <w:sz w:val="22"/>
        </w:rPr>
        <w:t xml:space="preserve">Keyword Co-Occurrence Analysis of Ecotourism and Learning Research </w:t>
      </w:r>
    </w:p>
    <w:p w14:paraId="2F3FCECA"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To explore the conceptual structure and thematic connections within the body of literature, a keyword co-occurrence analysis was conducted using </w:t>
      </w:r>
      <w:proofErr w:type="spellStart"/>
      <w:r w:rsidRPr="001B7E21">
        <w:rPr>
          <w:rFonts w:ascii="Arial" w:hAnsi="Arial" w:cs="Arial"/>
        </w:rPr>
        <w:t>VOSviewer</w:t>
      </w:r>
      <w:proofErr w:type="spellEnd"/>
      <w:r w:rsidRPr="001B7E21">
        <w:rPr>
          <w:rFonts w:ascii="Arial" w:hAnsi="Arial" w:cs="Arial"/>
        </w:rPr>
        <w:t xml:space="preserve">. Figure </w:t>
      </w:r>
      <w:r w:rsidR="0089681C">
        <w:rPr>
          <w:rFonts w:ascii="Arial" w:hAnsi="Arial" w:cs="Arial"/>
        </w:rPr>
        <w:t>4</w:t>
      </w:r>
      <w:r w:rsidRPr="001B7E21">
        <w:rPr>
          <w:rFonts w:ascii="Arial" w:hAnsi="Arial" w:cs="Arial"/>
        </w:rPr>
        <w:t xml:space="preserve"> visualizes the network of dominant keywords derived from </w:t>
      </w:r>
      <w:r w:rsidR="00520027">
        <w:rPr>
          <w:rFonts w:ascii="Arial" w:hAnsi="Arial" w:cs="Arial"/>
        </w:rPr>
        <w:t>3</w:t>
      </w:r>
      <w:r w:rsidRPr="001B7E21">
        <w:rPr>
          <w:rFonts w:ascii="Arial" w:hAnsi="Arial" w:cs="Arial"/>
        </w:rPr>
        <w:t>9 Scopus-indexed articles on ecotourism and learning published in Asia between 2014 and 2025. The map identifies how frequently specific terms appear together within titles, abstracts, and author keywords, revealing major thematic clusters and the intellectual relationships that shape the research field.</w:t>
      </w:r>
    </w:p>
    <w:p w14:paraId="3DECF30D" w14:textId="77777777" w:rsidR="001B7E21" w:rsidRPr="001B7E21" w:rsidRDefault="001B7E21" w:rsidP="001B7E21">
      <w:pPr>
        <w:pStyle w:val="Body"/>
        <w:spacing w:before="120" w:after="120"/>
        <w:rPr>
          <w:rFonts w:ascii="Arial" w:hAnsi="Arial" w:cs="Arial"/>
        </w:rPr>
      </w:pPr>
      <w:r w:rsidRPr="001B7E21">
        <w:rPr>
          <w:rFonts w:ascii="Arial" w:hAnsi="Arial" w:cs="Arial"/>
          <w:noProof/>
        </w:rPr>
        <w:drawing>
          <wp:inline distT="0" distB="0" distL="0" distR="0" wp14:anchorId="05CBEA62" wp14:editId="7AEB6466">
            <wp:extent cx="5179695" cy="3248025"/>
            <wp:effectExtent l="0" t="0" r="1905" b="9525"/>
            <wp:docPr id="92745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4202" cy="3250851"/>
                    </a:xfrm>
                    <a:prstGeom prst="rect">
                      <a:avLst/>
                    </a:prstGeom>
                    <a:noFill/>
                    <a:ln>
                      <a:noFill/>
                    </a:ln>
                  </pic:spPr>
                </pic:pic>
              </a:graphicData>
            </a:graphic>
          </wp:inline>
        </w:drawing>
      </w:r>
    </w:p>
    <w:p w14:paraId="46350121" w14:textId="77777777" w:rsidR="001B7E21" w:rsidRPr="0089681C" w:rsidRDefault="001B7E21" w:rsidP="001B7E21">
      <w:pPr>
        <w:pStyle w:val="Body"/>
        <w:spacing w:before="120" w:after="120"/>
        <w:rPr>
          <w:rFonts w:ascii="Arial" w:hAnsi="Arial" w:cs="Arial"/>
          <w:b/>
          <w:bCs/>
        </w:rPr>
      </w:pPr>
      <w:r w:rsidRPr="0089681C">
        <w:rPr>
          <w:rFonts w:ascii="Arial" w:hAnsi="Arial" w:cs="Arial"/>
          <w:b/>
          <w:bCs/>
        </w:rPr>
        <w:t>Fig</w:t>
      </w:r>
      <w:r w:rsidR="0089681C" w:rsidRPr="0089681C">
        <w:rPr>
          <w:rFonts w:ascii="Arial" w:hAnsi="Arial" w:cs="Arial"/>
          <w:b/>
          <w:bCs/>
        </w:rPr>
        <w:t>.</w:t>
      </w:r>
      <w:r w:rsidRPr="0089681C">
        <w:rPr>
          <w:rFonts w:ascii="Arial" w:hAnsi="Arial" w:cs="Arial"/>
          <w:b/>
          <w:bCs/>
        </w:rPr>
        <w:t xml:space="preserve"> </w:t>
      </w:r>
      <w:r w:rsidR="0089681C">
        <w:rPr>
          <w:rFonts w:ascii="Arial" w:hAnsi="Arial" w:cs="Arial"/>
          <w:b/>
          <w:bCs/>
        </w:rPr>
        <w:t>4</w:t>
      </w:r>
      <w:r w:rsidRPr="0089681C">
        <w:rPr>
          <w:rFonts w:ascii="Arial" w:hAnsi="Arial" w:cs="Arial"/>
          <w:b/>
          <w:bCs/>
        </w:rPr>
        <w:t xml:space="preserve">. Keyword co-occurrence network of ecotourism and learning research in Asia (2015–2025) generated using </w:t>
      </w:r>
      <w:proofErr w:type="spellStart"/>
      <w:r w:rsidRPr="0089681C">
        <w:rPr>
          <w:rFonts w:ascii="Arial" w:hAnsi="Arial" w:cs="Arial"/>
          <w:b/>
          <w:bCs/>
        </w:rPr>
        <w:t>VOSviewer</w:t>
      </w:r>
      <w:proofErr w:type="spellEnd"/>
      <w:r w:rsidRPr="0089681C">
        <w:rPr>
          <w:rFonts w:ascii="Arial" w:hAnsi="Arial" w:cs="Arial"/>
          <w:b/>
          <w:bCs/>
        </w:rPr>
        <w:t>.</w:t>
      </w:r>
    </w:p>
    <w:p w14:paraId="7A792CCC" w14:textId="77777777" w:rsidR="001B7E21" w:rsidRPr="001B7E21" w:rsidRDefault="001B7E21" w:rsidP="001B7E21">
      <w:pPr>
        <w:pStyle w:val="Body"/>
        <w:spacing w:before="120" w:after="120"/>
        <w:rPr>
          <w:rFonts w:ascii="Arial" w:hAnsi="Arial" w:cs="Arial"/>
        </w:rPr>
      </w:pPr>
    </w:p>
    <w:p w14:paraId="15B877D6"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visualization shows that “ecotourism” serves as the central and most frequently occurring keyword, closely connected to related terms such as sustainable tourism, tourism development, and sustainable development. This indicates that the field primarily focuses on linking tourism practices with sustainability principles and development goals. The proximity of terms such as education, learning, and heritage tourism suggests that scholars increasingly view ecotourism as a pedagogical arena for promoting environmental literacy and cultural awareness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2025)","plainTextFormattedCitation":"(P. Das et al., 2025)","previouslyFormattedCitation":"(P. Das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(P. Das et al., 2025)</w:t>
      </w:r>
      <w:r w:rsidRPr="001B7E21">
        <w:rPr>
          <w:rFonts w:ascii="Arial" w:hAnsi="Arial" w:cs="Arial"/>
        </w:rPr>
        <w:fldChar w:fldCharType="end"/>
      </w:r>
      <w:r w:rsidRPr="001B7E21">
        <w:rPr>
          <w:rFonts w:ascii="Arial" w:hAnsi="Arial" w:cs="Arial"/>
        </w:rPr>
        <w:t>. The cluster centered on learning and education (in red) underscores the pedagogical transformation of tourism into a medium for experiential and place-based learning.</w:t>
      </w:r>
    </w:p>
    <w:p w14:paraId="60DA0B9B"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Another major thematic cluster (yellow) connects sustainable development, forest management, economic growth, and sustainable development goals, highlighting the growing emphasis on policy integration and the socioeconomic dimensions of sustainability </w:t>
      </w:r>
      <w:r w:rsidRPr="001B7E21">
        <w:rPr>
          <w:rFonts w:ascii="Arial" w:hAnsi="Arial" w:cs="Arial"/>
        </w:rPr>
        <w:fldChar w:fldCharType="begin" w:fldLock="1"/>
      </w:r>
      <w:r w:rsidRPr="001B7E21">
        <w:rPr>
          <w:rFonts w:ascii="Arial" w:hAnsi="Arial" w:cs="Arial"/>
        </w:rPr>
        <w:instrText>ADDIN CSL_CITATION {"citationItems":[{"id":"ITEM-1","itemData":{"DOI":"10.3390/su17177644","ISSN":"20711050 (ISSN)","abstract":"Community-based ecotourism in community forests, such as Suan Pa Ket Nom Klao, Thailand, offers a promising avenue for promoting sustainable development through meaningful tourist experiences. This study develops and validates the Community Forest Intention Model (CFIM) to examine the relationships among Tourist Experience (TE), Tourist Satisfaction (SAT), and Sustainable Intention (SI) using Partial Least Squares Structural Equation Modeling (PLS-SEM). Data were collected from 128 participants who engaged in six structured activities at Suan Pa Ket Nom Klao, with responses measured via a 5-point Likert scale questionnaire. The results indicate that TE, comprising Service Quality, Accessibility, and Learning Engagement, significantly influences SAT (R2 = 0.562), with Learning Engagement exerting the strongest effect (β = 0.413; p &lt; 0.001). SAT, in turn, positively predicts SI (β = 0.502; p &lt; 0.001; R2 = 0.252). All hypothesized paths were statistically significant, confirming the model’s validity. These findings highlight the critical role of educational and service-related experiences in fostering tourist satisfaction and sustainable behaviors. This study provides actionable insights for enhancing ecotourism programs to support conservation and community engagement. © 2025 Elsevier B.V., All rights reserved.","author":[{"dropping-particle":"","family":"Teeravarunyou","given":"S","non-dropping-particle":"","parse-names":false,"suffix":""},{"dropping-particle":"","family":"Kamolwit","given":"K","non-dropping-particle":"","parse-names":false,"suffix":""},{"dropping-particle":"","family":"Kitirojpan","given":"P","non-dropping-particle":"","parse-names":false,"suffix":""},{"dropping-particle":"","family":"Pattanachan","given":"P","non-dropping-particle":"","parse-names":false,"suffix":""},{"dropping-particle":"","family":"Tirachulee","given":"B","non-dropping-particle":"","parse-names":false,"suffix":""},{"dropping-particle":"","family":"Buddhawong","given":"S","non-dropping-particle":"","parse-names":false,"suffix":""}],"container-title":"Sustainability (Switzerland)","id":"ITEM-1","issue":"17","issued":{"date-parts":[["2025"]]},"language":"English","note":"Export Date: 21 October 2025; Cited By: 0","publisher":"Multidisciplinary Digital Publishing Institute (MDPI)","publisher-place":"King Mongkut's University of Technology Thonburi, School of Architecture and Design, Bangkok, Thailand","title":"Validating the Community Forest Intention Model: Exploring Tourist Experience, Satisfaction, and Sustainable Intentions in Community-Based Ecotourism","type":"article-journal","volume":"17"},"uris":["http://www.mendeley.com/documents/?uuid=118e9014-afdd-41f9-bd39-c6b0cd5b2a25"]}],"mendeley":{"formattedCitation":"(Teeravarunyou et al., 2025)","plainTextFormattedCitation":"(Teeravarunyou et al., 2025)","previouslyFormattedCitation":"(Teeravarunyou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(Teeravarunyou et al., 2025)</w:t>
      </w:r>
      <w:r w:rsidRPr="001B7E21">
        <w:rPr>
          <w:rFonts w:ascii="Arial" w:hAnsi="Arial" w:cs="Arial"/>
        </w:rPr>
        <w:fldChar w:fldCharType="end"/>
      </w:r>
      <w:r w:rsidRPr="001B7E21">
        <w:rPr>
          <w:rFonts w:ascii="Arial" w:hAnsi="Arial" w:cs="Arial"/>
        </w:rPr>
        <w:t xml:space="preserve">. Meanwhile, the green and blue clusters demonstrate technological and data-driven developments, including keywords such as deep learning, artificial neural networks, forecasting method, and time series analysis. These terms reflect the emerging use of machine learning and predictive modeling in optimizing ecotourism planning, environmental monitoring, and learning analytics </w:t>
      </w:r>
      <w:r w:rsidRPr="001B7E21">
        <w:rPr>
          <w:rFonts w:ascii="Arial" w:hAnsi="Arial" w:cs="Arial"/>
        </w:rPr>
        <w:fldChar w:fldCharType="begin" w:fldLock="1"/>
      </w:r>
      <w:r w:rsidRPr="001B7E21">
        <w:rPr>
          <w:rFonts w:ascii="Arial" w:hAnsi="Arial" w:cs="Arial"/>
        </w:rPr>
        <w:instrText>ADDIN CSL_CITATION {"citationItems":[{"id":"ITEM-1","itemData":{"DOI":"10.3390/su17052210","ISSN":"20711050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(Switzerland)","id":"ITEM-1","issue":"5","issued":{"date-parts":[["2025"]]},"language":"English","note":"Export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Tourism","type":"article-journal","volume":"17"},"uris":["http://www.mendeley.com/documents/?uuid=c4e7738a-ddc6-4144-a708-04c49c82728d"]},{"id":"ITEM-2","itemData":{"DOI":"10.3390/land14071421","ISSN":"2073445X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-2","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Framework","type":"article-journal","volume":"14"},"uris":["http://www.mendeley.com/documents/?uuid=6986ea4c-c927-4750-9649-eb8684a6cfa2"]},{"id":"ITEM-3","itemData":{"DOI":"https://doi.org/10.1016/j.clet.2023.100720","ISSN":"2666-7908","abstract":"Climate change and sustainable development are interconnected and pressing global challenges requiring urgent attention. Researching the trends in climate change and sustainable development through a bibliometric study is essential for addressing urgent global challenges, identifying gaps in knowledge, informing policy decisions, and promoting collaboration within the academic and research community. This study aims to conduct a bibliometric analysis to investigate the research trends, collaboration network, and thematic evaluation of publications on climate change and sustainable development. 1696 papers from 1992 to 2022 were selected using the PRISMA framework from the Scopus database. We employ Bibliometric R and VOSviewer software to conduct bibliometric analysis. The study found that literature and citations on climate change and sustainable development have grown significantly. The Chinese Academy of Sciences leads in productivity, while the USA, China, and India are the most productive countries. Surprisingly, 44 papers received over 100 citations, while 50% received less than five. Trending topics include COVID-19, urbanisation, attitude, climate change mitigation and adaptation, etc. The evaluation of research themes reveals a shift towards climate change to mitigation, adaptation, and sustainable development goals. The findings serve as a valuable resource for researchers, policymakers, and practitioners, facilitating a deeper understanding of the evolving knowledge of change and sustainable development research and identifying emerging research areas. The shift from a general emphasis on climate change to more specialised themes underscores the necessity for focused examinations within distinct domains, including but not limited to climate change adaptation, mitigation, and the pursuit of sustainable development goals.","author":[{"dropping-particle":"","family":"Baidya","given":"Arup","non-dropping-particle":"","parse-names":false,"suffix":""},{"dropping-particle":"","family":"Saha","given":"Ashis Kumar","non-dropping-particle":"","parse-names":false,"suffix":""}],"container-title":"Cleaner Engineering and Technology","id":"ITEM-3","issued":{"date-parts":[["2024"]]},"page":"100720","title":"Exploring the research trends in climate change and sustainable development: A bibliometric study","type":"article-journal","volume":"18"},"uris":["http://www.mendeley.com/documents/?uuid=ef6f33bc-49e7-4b95-9822-92411f454eba"]}],"mendeley":{"formattedCitation":"(Arup Baidya &amp; Saha, 2024; S. Zhang et al., 2025; Y. Zhang et al., 2025)","plainTextFormattedCitation":"(Arup Baidya &amp; Saha, 2024; S. Zhang et al., 2025; Y. Zhang et al., 2025)","previouslyFormattedCitation":"(Arup Baidya &amp; Saha, 2024; 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(Arup Baidya &amp; Saha, 2024; S. Zhang et al., 2025; Y. Zhang et al., 2025)</w:t>
      </w:r>
      <w:r w:rsidRPr="001B7E21">
        <w:rPr>
          <w:rFonts w:ascii="Arial" w:hAnsi="Arial" w:cs="Arial"/>
        </w:rPr>
        <w:fldChar w:fldCharType="end"/>
      </w:r>
      <w:r w:rsidRPr="001B7E21">
        <w:rPr>
          <w:rFonts w:ascii="Arial" w:hAnsi="Arial" w:cs="Arial"/>
        </w:rPr>
        <w:t>.</w:t>
      </w:r>
    </w:p>
    <w:p w14:paraId="27FC225C"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Interestingly, smaller clusters indicate specialized or contextual themes. For instance, the purple cluster contains terms like conservation, economics, and social media, pointing to the integration of communication and marketing strategies in sustainability education. Similarly, the red cluster that includes heritage tourism, recreational activity, and public attitude represents sociocultural and behavioral approaches to ecotourism learning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These thematic groupings show that while ecological and technological aspects are well-represented, social and cultural learning dimensions remain central to the field’s development.</w:t>
      </w:r>
    </w:p>
    <w:p w14:paraId="0EBEF03A" w14:textId="77777777" w:rsidR="001B7E21" w:rsidRPr="001B7E21" w:rsidRDefault="001B7E21" w:rsidP="001B7E21">
      <w:pPr>
        <w:pStyle w:val="Body"/>
        <w:spacing w:before="120" w:after="120"/>
        <w:rPr>
          <w:rFonts w:ascii="Arial" w:hAnsi="Arial" w:cs="Arial"/>
        </w:rPr>
      </w:pPr>
      <w:r w:rsidRPr="001B7E21">
        <w:rPr>
          <w:rFonts w:ascii="Arial" w:hAnsi="Arial" w:cs="Arial"/>
        </w:rPr>
        <w:t>Overall, the keyword network demonstrates that research on ecotourism and learning in Asia is characterized by strong interdisciplinarity and conceptual convergence between sustainability, education, and technology. The dense interlinkages between clusters reveal an evolving scholarly consensus: that ecotourism should be designed not only for economic or environmental gain but also as a structured educational experience aligned with the Sustainable Development Goals (SDGs). This intellectual map thus affirms ecotourism’s emerging role as both a research domain and a transformative educational practice for sustainable development in the Asian context.</w:t>
      </w:r>
    </w:p>
    <w:p w14:paraId="4E129B84" w14:textId="77777777" w:rsidR="001B7E21" w:rsidRPr="0089681C" w:rsidRDefault="0089681C" w:rsidP="0089681C">
      <w:pPr>
        <w:pStyle w:val="Body"/>
        <w:spacing w:after="0"/>
        <w:rPr>
          <w:rFonts w:ascii="Arial" w:hAnsi="Arial" w:cs="Arial"/>
          <w:b/>
          <w:sz w:val="22"/>
        </w:rPr>
      </w:pPr>
      <w:r>
        <w:rPr>
          <w:rFonts w:ascii="Arial" w:hAnsi="Arial" w:cs="Arial"/>
          <w:b/>
          <w:sz w:val="22"/>
        </w:rPr>
        <w:t xml:space="preserve">3.4 </w:t>
      </w:r>
      <w:r w:rsidR="001B7E21" w:rsidRPr="0089681C">
        <w:rPr>
          <w:rFonts w:ascii="Arial" w:hAnsi="Arial" w:cs="Arial"/>
          <w:b/>
          <w:sz w:val="22"/>
        </w:rPr>
        <w:t>Thematic Evolution and Conceptual Structure of Ecotourism and Learning Research</w:t>
      </w:r>
    </w:p>
    <w:p w14:paraId="3AE4E481"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To identify the structural dynamics and maturity level of research themes, a thematic mapping analysis was conducted using the </w:t>
      </w:r>
      <w:proofErr w:type="spellStart"/>
      <w:r w:rsidRPr="001B7E21">
        <w:rPr>
          <w:rFonts w:ascii="Arial" w:hAnsi="Arial" w:cs="Arial"/>
        </w:rPr>
        <w:t>Biblioshiny</w:t>
      </w:r>
      <w:proofErr w:type="spellEnd"/>
      <w:r w:rsidRPr="001B7E21">
        <w:rPr>
          <w:rFonts w:ascii="Arial" w:hAnsi="Arial" w:cs="Arial"/>
        </w:rPr>
        <w:t xml:space="preserve"> extension of R-</w:t>
      </w:r>
      <w:proofErr w:type="spellStart"/>
      <w:r w:rsidRPr="001B7E21">
        <w:rPr>
          <w:rFonts w:ascii="Arial" w:hAnsi="Arial" w:cs="Arial"/>
        </w:rPr>
        <w:t>Bibliometrix</w:t>
      </w:r>
      <w:proofErr w:type="spellEnd"/>
      <w:r w:rsidRPr="001B7E21">
        <w:rPr>
          <w:rFonts w:ascii="Arial" w:hAnsi="Arial" w:cs="Arial"/>
        </w:rPr>
        <w:t xml:space="preserve">. Figure </w:t>
      </w:r>
      <w:r w:rsidR="0089681C">
        <w:rPr>
          <w:rFonts w:ascii="Arial" w:hAnsi="Arial" w:cs="Arial"/>
        </w:rPr>
        <w:t>5</w:t>
      </w:r>
      <w:r w:rsidRPr="001B7E21">
        <w:rPr>
          <w:rFonts w:ascii="Arial" w:hAnsi="Arial" w:cs="Arial"/>
        </w:rPr>
        <w:t xml:space="preserve"> presents a two-dimensional visualization that classifies themes according to their development degree (density) on the vertical axis and relevance degree (centrality) on the horizontal axis. This approach helps to distinguish between emerging, basic, niche, and motor themes within the corpus of </w:t>
      </w:r>
      <w:r w:rsidR="00520027">
        <w:rPr>
          <w:rFonts w:ascii="Arial" w:hAnsi="Arial" w:cs="Arial"/>
        </w:rPr>
        <w:t>3</w:t>
      </w:r>
      <w:r w:rsidRPr="001B7E21">
        <w:rPr>
          <w:rFonts w:ascii="Arial" w:hAnsi="Arial" w:cs="Arial"/>
        </w:rPr>
        <w:t>9 Scopus-indexed studies on ecotourism and learning. The distribution of keywords across the four quadrants illustrates the evolution and relative importance of thematic clusters shaping the field.</w:t>
      </w:r>
    </w:p>
    <w:p w14:paraId="7A1F02A0" w14:textId="77777777" w:rsidR="001B7E21" w:rsidRPr="001B7E21" w:rsidRDefault="001B7E21" w:rsidP="001B7E21">
      <w:pPr>
        <w:pStyle w:val="Body"/>
        <w:spacing w:before="120" w:after="120"/>
        <w:rPr>
          <w:rFonts w:ascii="Arial" w:hAnsi="Arial" w:cs="Arial"/>
        </w:rPr>
      </w:pPr>
    </w:p>
    <w:p w14:paraId="12B4A532" w14:textId="77777777" w:rsidR="001B7E21" w:rsidRPr="001B7E21" w:rsidRDefault="001B7E21" w:rsidP="001B7E21">
      <w:pPr>
        <w:pStyle w:val="Body"/>
        <w:spacing w:before="120" w:after="120"/>
        <w:rPr>
          <w:rFonts w:ascii="Arial" w:hAnsi="Arial" w:cs="Arial"/>
        </w:rPr>
      </w:pPr>
      <w:r w:rsidRPr="001B7E21">
        <w:rPr>
          <w:rFonts w:ascii="Arial" w:hAnsi="Arial" w:cs="Arial"/>
          <w:noProof/>
        </w:rPr>
        <w:lastRenderedPageBreak/>
        <w:drawing>
          <wp:inline distT="0" distB="0" distL="0" distR="0" wp14:anchorId="3377A31A" wp14:editId="0FB8F4A4">
            <wp:extent cx="5429250" cy="3619500"/>
            <wp:effectExtent l="0" t="0" r="0" b="0"/>
            <wp:docPr id="81529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p w14:paraId="37322663" w14:textId="77777777" w:rsidR="001B7E21" w:rsidRPr="0089681C" w:rsidRDefault="001B7E21" w:rsidP="001B7E21">
      <w:pPr>
        <w:pStyle w:val="Body"/>
        <w:spacing w:before="120" w:after="120"/>
        <w:rPr>
          <w:rFonts w:ascii="Arial" w:hAnsi="Arial" w:cs="Arial"/>
          <w:b/>
          <w:bCs/>
        </w:rPr>
      </w:pPr>
      <w:r w:rsidRPr="0089681C">
        <w:rPr>
          <w:rFonts w:ascii="Arial" w:hAnsi="Arial" w:cs="Arial"/>
          <w:b/>
          <w:bCs/>
        </w:rPr>
        <w:t>Fig</w:t>
      </w:r>
      <w:r w:rsidR="0089681C" w:rsidRPr="0089681C">
        <w:rPr>
          <w:rFonts w:ascii="Arial" w:hAnsi="Arial" w:cs="Arial"/>
          <w:b/>
          <w:bCs/>
        </w:rPr>
        <w:t>.</w:t>
      </w:r>
      <w:r w:rsidRPr="0089681C">
        <w:rPr>
          <w:rFonts w:ascii="Arial" w:hAnsi="Arial" w:cs="Arial"/>
          <w:b/>
          <w:bCs/>
        </w:rPr>
        <w:t xml:space="preserve"> </w:t>
      </w:r>
      <w:r w:rsidR="0089681C" w:rsidRPr="0089681C">
        <w:rPr>
          <w:rFonts w:ascii="Arial" w:hAnsi="Arial" w:cs="Arial"/>
          <w:b/>
          <w:bCs/>
        </w:rPr>
        <w:t>5</w:t>
      </w:r>
      <w:r w:rsidRPr="0089681C">
        <w:rPr>
          <w:rFonts w:ascii="Arial" w:hAnsi="Arial" w:cs="Arial"/>
          <w:b/>
          <w:bCs/>
        </w:rPr>
        <w:t xml:space="preserve">. Thematic map of ecotourism and learning research based on density and centrality metrics generated using </w:t>
      </w:r>
      <w:proofErr w:type="spellStart"/>
      <w:r w:rsidRPr="0089681C">
        <w:rPr>
          <w:rFonts w:ascii="Arial" w:hAnsi="Arial" w:cs="Arial"/>
          <w:b/>
          <w:bCs/>
        </w:rPr>
        <w:t>Biblioshiny</w:t>
      </w:r>
      <w:proofErr w:type="spellEnd"/>
      <w:r w:rsidRPr="0089681C">
        <w:rPr>
          <w:rFonts w:ascii="Arial" w:hAnsi="Arial" w:cs="Arial"/>
          <w:b/>
          <w:bCs/>
        </w:rPr>
        <w:t>.</w:t>
      </w:r>
    </w:p>
    <w:p w14:paraId="19F778C9" w14:textId="77777777" w:rsidR="001B7E21" w:rsidRPr="001B7E21" w:rsidRDefault="001B7E21" w:rsidP="001B7E21">
      <w:pPr>
        <w:pStyle w:val="Body"/>
        <w:spacing w:before="120" w:after="120"/>
        <w:rPr>
          <w:rFonts w:ascii="Arial" w:hAnsi="Arial" w:cs="Arial"/>
        </w:rPr>
      </w:pPr>
    </w:p>
    <w:p w14:paraId="45E1822C"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upper-right quadrant, labeled Motor Themes, contains dominant and well-developed topics such as ecotourism, tourism development, and China. These themes exhibit both high centrality and density, indicating that they represent the intellectual core and driving force of the field. The consistent linkage of ecotourism with tourism development and sustainable practices demonstrates that scholarly attention remains focused on the role of tourism in promoting sustainability-oriented education and community empowerment </w:t>
      </w:r>
      <w:r w:rsidRPr="001B7E21">
        <w:rPr>
          <w:rFonts w:ascii="Arial" w:hAnsi="Arial" w:cs="Arial"/>
        </w:rPr>
        <w:fldChar w:fldCharType="begin" w:fldLock="1"/>
      </w:r>
      <w:r w:rsidRPr="001B7E21">
        <w:rPr>
          <w:rFonts w:ascii="Arial" w:hAnsi="Arial" w:cs="Arial"/>
        </w:rPr>
        <w:instrText>ADDIN CSL_CITATION {"citationItems":[{"id":"ITEM-1","itemData":{"DOI":"10.3390/su17177644","ISSN":"20711050 (ISSN)","abstract":"Community-based ecotourism in community forests, such as Suan Pa Ket Nom Klao, Thailand, offers a promising avenue for promoting sustainable development through meaningful tourist experiences. This study develops and validates the Community Forest Intention Model (CFIM) to examine the relationships among Tourist Experience (TE), Tourist Satisfaction (SAT), and Sustainable Intention (SI) using Partial Least Squares Structural Equation Modeling (PLS-SEM). Data were collected from 128 participants who engaged in six structured activities at Suan Pa Ket Nom Klao, with responses measured via a 5-point Likert scale questionnaire. The results indicate that TE, comprising Service Quality, Accessibility, and Learning Engagement, significantly influences SAT (R2 = 0.562), with Learning Engagement exerting the strongest effect (β = 0.413; p &lt; 0.001). SAT, in turn, positively predicts SI (β = 0.502; p &lt; 0.001; R2 = 0.252). All hypothesized paths were statistically significant, confirming the model’s validity. These findings highlight the critical role of educational and service-related experiences in fostering tourist satisfaction and sustainable behaviors. This study provides actionable insights for enhancing ecotourism programs to support conservation and community engagement. © 2025 Elsevier B.V., All rights reserved.","author":[{"dropping-particle":"","family":"Teeravarunyou","given":"S","non-dropping-particle":"","parse-names":false,"suffix":""},{"dropping-particle":"","family":"Kamolwit","given":"K","non-dropping-particle":"","parse-names":false,"suffix":""},{"dropping-particle":"","family":"Kitirojpan","given":"P","non-dropping-particle":"","parse-names":false,"suffix":""},{"dropping-particle":"","family":"Pattanachan","given":"P","non-dropping-particle":"","parse-names":false,"suffix":""},{"dropping-particle":"","family":"Tirachulee","given":"B","non-dropping-particle":"","parse-names":false,"suffix":""},{"dropping-particle":"","family":"Buddhawong","given":"S","non-dropping-particle":"","parse-names":false,"suffix":""}],"container-title":"Sustainability (Switzerland)","id":"ITEM-1","issue":"17","issued":{"date-parts":[["2025"]]},"language":"English","note":"Export Date: 21 October 2025; Cited By: 0","publisher":"Multidisciplinary Digital Publishing Institute (MDPI)","publisher-place":"King Mongkut's University of Technology Thonburi, School of Architecture and Design, Bangkok, Thailand","title":"Validating the Community Forest Intention Model: Exploring Tourist Experience, Satisfaction, and Sustainable Intentions in Community-Based Ecotourism","type":"article-journal","volume":"17"},"uris":["http://www.mendeley.com/documents/?uuid=118e9014-afdd-41f9-bd39-c6b0cd5b2a25"]},{"id":"ITEM-2","itemData":{"DOI":"10.1007/s43621-025-01065-4","ISSN":"26629984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Sustainability","id":"ITEM-2","issue":"1","issued":{"date-parts":[["2025"]]},"language":"English","note":"Export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 Teeravarunyou et al., 2025)","plainTextFormattedCitation":"(P. Das et al., 2025; Teeravarunyou et al., 2025)","previouslyFormattedCitation":"(P. Das et al., 2025; Teeravarunyou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(P. Das et al., 2025; Teeravarunyou et al., 2025)</w:t>
      </w:r>
      <w:r w:rsidRPr="001B7E21">
        <w:rPr>
          <w:rFonts w:ascii="Arial" w:hAnsi="Arial" w:cs="Arial"/>
        </w:rPr>
        <w:fldChar w:fldCharType="end"/>
      </w:r>
      <w:r w:rsidRPr="001B7E21">
        <w:rPr>
          <w:rFonts w:ascii="Arial" w:hAnsi="Arial" w:cs="Arial"/>
        </w:rPr>
        <w:t xml:space="preserve">. The prominence of “China” reflects the country’s increasing contribution to ecotourism scholarship, particularly in applying sustainability frameworks and data-driven tourism planning models </w:t>
      </w:r>
      <w:r w:rsidRPr="001B7E21">
        <w:rPr>
          <w:rFonts w:ascii="Arial" w:hAnsi="Arial" w:cs="Arial"/>
        </w:rPr>
        <w:fldChar w:fldCharType="begin" w:fldLock="1"/>
      </w:r>
      <w:r w:rsidRPr="001B7E21">
        <w:rPr>
          <w:rFonts w:ascii="Arial" w:hAnsi="Arial" w:cs="Arial"/>
        </w:rPr>
        <w:instrText>ADDIN CSL_CITATION {"citationItems":[{"id":"ITEM-1","itemData":{"DOI":"10.3390/su17052210","ISSN":"20711050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(Switzerland)","id":"ITEM-1","issue":"5","issued":{"date-parts":[["2025"]]},"language":"English","note":"Export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Tourism","type":"article-journal","volume":"17"},"uris":["http://www.mendeley.com/documents/?uuid=c4e7738a-ddc6-4144-a708-04c49c82728d"]},{"id":"ITEM-2","itemData":{"DOI":"10.3390/land14071421","ISSN":"2073445X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-2","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Framework","type":"article-journal","volume":"14"},"uris":["http://www.mendeley.com/documents/?uuid=6986ea4c-c927-4750-9649-eb8684a6cfa2"]}],"mendeley":{"formattedCitation":"(S. Zhang et al., 2025; Y. Zhang et al., 2025)","plainTextFormattedCitation":"(S. Zhang et al., 2025; Y. Zhang et al., 2025)","previouslyFormattedCitation":"(S.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 Zhang et al., 2025; Y. Zhang et al., 2025)</w:t>
      </w:r>
      <w:r w:rsidRPr="001B7E21">
        <w:rPr>
          <w:rFonts w:ascii="Arial" w:hAnsi="Arial" w:cs="Arial"/>
        </w:rPr>
        <w:fldChar w:fldCharType="end"/>
      </w:r>
      <w:r w:rsidRPr="001B7E21">
        <w:rPr>
          <w:rFonts w:ascii="Arial" w:hAnsi="Arial" w:cs="Arial"/>
        </w:rPr>
        <w:t>.</w:t>
      </w:r>
    </w:p>
    <w:p w14:paraId="774BB2F0"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In contrast, the Niche Themes quadrant (upper-left) includes terms such as social media, decision making, and deep learning. These topics are characterized by high internal development but relatively low connectivity with the broader field. Their emergence highlights the growing interest in integrating technology, data analytics, and behavioral insights into ecotourism research </w:t>
      </w:r>
      <w:r w:rsidRPr="001B7E21">
        <w:rPr>
          <w:rFonts w:ascii="Arial" w:hAnsi="Arial" w:cs="Arial"/>
        </w:rPr>
        <w:fldChar w:fldCharType="begin" w:fldLock="1"/>
      </w:r>
      <w:r w:rsidRPr="001B7E21">
        <w:rPr>
          <w:rFonts w:ascii="Arial" w:hAnsi="Arial" w:cs="Arial"/>
        </w:rPr>
        <w:instrText>ADDIN CSL_CITATION {"citationItems":[{"id":"ITEM-1","itemData":{"DOI":"10.1007/s44163-025-00496-2","ISSN":"27310809 (ISSN)","abstract":"Tourism plays a vital role in driving economic and social development, but poses growing threats to fragile ecosystems, necessitating sustainable ecotourism planning. This study introduces an integrated framework combining deep learning, machine learning, and multi-criteria decision analysis to assess ecotourism potential in India’s Sundarban Biosphere Reserve. Sixteen influencing factors were used to develop potential maps using the Analytical Hierarchy Process (AHP), eXtreme Gradient Boosting (XGBoost), and Deep Learning Neural Network (DLNN). The analysis incorporated multi-source spatial datasets, including Sentinel-2 (10 m), SRTM (30 m), IMD rainfall data (0.25°×0.25°), OpenStreetMap, and Survey of India topographic maps at a 10 m resolution. AHP identified 43.85% of the area as high or very high potential, while Model performance was evaluated using accuracy, Kappa index, MAE, RMSE, and ROC-AUC. The DLNN model outperformed others with an AUC of 0.91, followed by XGBoost (0.86) and AHP (0.79). XGBoost and DLNN classified only 4.63% and 6.22%, respectively, reflecting their more conservative, data-driven outputs. SHapley Additive exPlanations (SHAP) analysis revealed that proximity to tourist spots, mangrove forests, and rivers strongly influenced ecotourism suitability. Ground-truth validation confirmed the robustness of DLNN predictions. This study demonstrates the advantages of DL and ML techniques in capturing complex spatial patterns and overcoming the limitations of traditional expert-based models. The proposed framework offers an advanced tool for ecotourism planning and resource management, balancing development and conservation. It contributes methodologically and practically to the growing body of spatial decision-support systems in sustainable tourism. © 2025 Elsevier B.V., All rights reserved.","author":[{"dropping-particle":"","family":"Baidya","given":"A","non-dropping-particle":"","parse-names":false,"suffix":""},{"dropping-particle":"","family":"Saha","given":"A K","non-dropping-particle":"","parse-names":false,"suffix":""},{"dropping-particle":"","family":"Roy","given":"A","non-dropping-particle":"","parse-names":false,"suffix":""}],"container-title":"Discover Artificial Intelligence","id":"ITEM-1","issue":"1","issued":{"date-parts":[["2025"]]},"language":"English","note":"Export Date: 21 October 2025; Cited By: 0","publisher":"Springer Nature","publisher-place":"Delhi School of Economics, Department of Geography, New Delhi, India","title":"Application of deep learning, machine learning and multi-criteria decision analysis for ecotourism potentiality assessment: a case study of the Sundarban Biosphere Reserve, India","type":"article-journal","volume":"5"},"uris":["http://www.mendeley.com/documents/?uuid=d455c57b-1f60-4aa6-94cd-f68d244ee8cc"]},{"id":"ITEM-2","itemData":{"DOI":"https://doi.org/10.1016/j.clet.2023.100720","ISSN":"2666-7908","abstract":"Climate change and sustainable development are interconnected and pressing global challenges requiring urgent attention. Researching the trends in climate change and sustainable development through a bibliometric study is essential for addressing urgent global challenges, identifying gaps in knowledge, informing policy decisions, and promoting collaboration within the academic and research community. This study aims to conduct a bibliometric analysis to investigate the research trends, collaboration network, and thematic evaluation of publications on climate change and sustainable development. 1696 papers from 1992 to 2022 were selected using the PRISMA framework from the Scopus database. We employ Bibliometric R and VOSviewer software to conduct bibliometric analysis. The study found that literature and citations on climate change and sustainable development have grown significantly. The Chinese Academy of Sciences leads in productivity, while the USA, China, and India are the most productive countries. Surprisingly, 44 papers received over 100 citations, while 50% received less than five. Trending topics include COVID-19, urbanisation, attitude, climate change mitigation and adaptation, etc. The evaluation of research themes reveals a shift towards climate change to mitigation, adaptation, and sustainable development goals. The findings serve as a valuable resource for researchers, policymakers, and practitioners, facilitating a deeper understanding of the evolving knowledge of change and sustainable development research and identifying emerging research areas. The shift from a general emphasis on climate change to more specialised themes underscores the necessity for focused examinations within distinct domains, including but not limited to climate change adaptation, mitigation, and the pursuit of sustainable development goals.","author":[{"dropping-particle":"","family":"Baidya","given":"Arup","non-dropping-particle":"","parse-names":false,"suffix":""},{"dropping-particle":"","family":"Saha","given":"Ashis Kumar","non-dropping-particle":"","parse-names":false,"suffix":""}],"container-title":"Cleaner Engineering and Technology","id":"ITEM-2","issued":{"date-parts":[["2024"]]},"page":"100720","title":"Exploring the research trends in climate change and sustainable development: A bibliometric study","type":"article-journal","volume":"18"},"uris":["http://www.mendeley.com/documents/?uuid=ef6f33bc-49e7-4b95-9822-92411f454eba"]}],"mendeley":{"formattedCitation":"(A Baidya et al., 2025; Arup Baidya &amp; Saha, 2024)","plainTextFormattedCitation":"(A Baidya et al., 2025; Arup Baidya &amp; Saha, 2024)","previouslyFormattedCitation":"(A Baidya et al., 2025; Arup Baidya &amp; Saha,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(A Baidya et al., 2025; Arup Baidya &amp; Saha, 2024)</w:t>
      </w:r>
      <w:r w:rsidRPr="001B7E21">
        <w:rPr>
          <w:rFonts w:ascii="Arial" w:hAnsi="Arial" w:cs="Arial"/>
        </w:rPr>
        <w:fldChar w:fldCharType="end"/>
      </w:r>
      <w:r w:rsidRPr="001B7E21">
        <w:rPr>
          <w:rFonts w:ascii="Arial" w:hAnsi="Arial" w:cs="Arial"/>
        </w:rPr>
        <w:t>. For instance, the incorporation of deep learning and decision support systems reflects the shift toward digital transformation and the use of artificial intelligence for visitor management, environmental monitoring, and sustainability forecasting. Although still peripheral, these themes are expected to become more central as digitalization expands in tourism education and management.</w:t>
      </w:r>
    </w:p>
    <w:p w14:paraId="2E1CA30A"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lower-right quadrant, representing Basic Themes, includes keywords such as learning, environmental education, and Indonesia. These topics exhibit high centrality but moderate density, suggesting that they serve as foundational areas linking multiple research domains. The central position of learning and environmental education indicates their essential role in connecting tourism research with sustainability pedagogy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xml:space="preserve">. </w:t>
      </w:r>
      <w:r w:rsidRPr="001B7E21">
        <w:rPr>
          <w:rFonts w:ascii="Arial" w:hAnsi="Arial" w:cs="Arial"/>
        </w:rPr>
        <w:lastRenderedPageBreak/>
        <w:t>Indonesia’s appearance within this cluster underscores Southeast Asia’s growing role as a living laboratory for ecotourism-based education, where schools and communities collaborate to promote ecological awareness and conservation literacy.</w:t>
      </w:r>
    </w:p>
    <w:p w14:paraId="1BA7883B" w14:textId="77777777" w:rsidR="001B7E21" w:rsidRPr="001B7E21" w:rsidRDefault="001B7E21" w:rsidP="001B7E21">
      <w:pPr>
        <w:pStyle w:val="Body"/>
        <w:spacing w:before="120" w:after="120"/>
        <w:rPr>
          <w:rFonts w:ascii="Arial" w:hAnsi="Arial" w:cs="Arial"/>
        </w:rPr>
      </w:pPr>
      <w:r w:rsidRPr="001B7E21">
        <w:rPr>
          <w:rFonts w:ascii="Arial" w:hAnsi="Arial" w:cs="Arial"/>
        </w:rPr>
        <w:t>Meanwhile, the lower-left quadrant, labeled Emerging or Declining Themes, contains terms such as resource development, numerical model, Taiwan, and segmentation. These themes have lower density and centrality, implying that they are either emerging lines of inquiry or previously important topics losing momentum. The presence of numerical model and resource development suggests that early research emphasized technical modeling and regional resource management but has since evolved toward more integrated socio-ecological frameworks. Future studies may revisit these concepts by linking quantitative modeling with participatory education and local policy development.</w:t>
      </w:r>
    </w:p>
    <w:p w14:paraId="052211DC" w14:textId="77777777" w:rsidR="001B7E21" w:rsidRPr="001B7E21" w:rsidRDefault="001B7E21" w:rsidP="001B7E21">
      <w:pPr>
        <w:pStyle w:val="Body"/>
        <w:spacing w:before="120" w:after="120"/>
        <w:rPr>
          <w:rFonts w:ascii="Arial" w:hAnsi="Arial" w:cs="Arial"/>
        </w:rPr>
      </w:pPr>
      <w:r w:rsidRPr="001B7E21">
        <w:rPr>
          <w:rFonts w:ascii="Arial" w:hAnsi="Arial" w:cs="Arial"/>
        </w:rPr>
        <w:t>Overall, the thematic map confirms that ecotourism and learning research in Asia is evolving from descriptive and localized studies toward an integrated, technology-supported, and education-centered paradigm. The coexistence of mature motor themes (ecotourism, tourism development) and emergent niche themes (deep learning, social media) signals a balanced trajectory of theoretical consolidation and innovation. This progression indicates a field that is both conceptually stable and methodologically dynamic, aligning with global efforts to advance Education for Sustainable Development (ESD) through interdisciplinary research and practice (UNESCO, 2023).</w:t>
      </w:r>
    </w:p>
    <w:p w14:paraId="0713D0E9" w14:textId="77777777" w:rsidR="001B7E21" w:rsidRPr="001B7E21" w:rsidRDefault="001B7E21" w:rsidP="001B7E21">
      <w:pPr>
        <w:pStyle w:val="Body"/>
        <w:spacing w:before="120" w:after="120"/>
        <w:rPr>
          <w:rFonts w:ascii="Arial" w:hAnsi="Arial" w:cs="Arial"/>
        </w:rPr>
      </w:pPr>
    </w:p>
    <w:p w14:paraId="1E421FA9" w14:textId="77777777" w:rsidR="001B7E21" w:rsidRPr="0089681C" w:rsidRDefault="0089681C" w:rsidP="0089681C">
      <w:pPr>
        <w:pStyle w:val="Body"/>
        <w:spacing w:after="0"/>
        <w:rPr>
          <w:rFonts w:ascii="Arial" w:hAnsi="Arial" w:cs="Arial"/>
          <w:b/>
          <w:sz w:val="22"/>
        </w:rPr>
      </w:pPr>
      <w:r>
        <w:rPr>
          <w:rFonts w:ascii="Arial" w:hAnsi="Arial" w:cs="Arial"/>
          <w:b/>
          <w:sz w:val="22"/>
        </w:rPr>
        <w:t xml:space="preserve">3.5 </w:t>
      </w:r>
      <w:r w:rsidR="001B7E21" w:rsidRPr="0089681C">
        <w:rPr>
          <w:rFonts w:ascii="Arial" w:hAnsi="Arial" w:cs="Arial"/>
          <w:b/>
          <w:sz w:val="22"/>
        </w:rPr>
        <w:t>Potentials of Ecotourism in Supporting Sustainability-Oriented Learning</w:t>
      </w:r>
    </w:p>
    <w:p w14:paraId="69C565E4"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3.5.1</w:t>
      </w:r>
      <w:r w:rsidR="001B7E21" w:rsidRPr="0089681C">
        <w:rPr>
          <w:rFonts w:ascii="Arial" w:hAnsi="Arial" w:cs="Arial"/>
          <w:b/>
          <w:bCs/>
        </w:rPr>
        <w:t xml:space="preserve"> Experiential and Place-Based Learning</w:t>
      </w:r>
    </w:p>
    <w:p w14:paraId="54E2D151"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Ecotourism functions as a living laboratory where learners engage directly with ecosystems and communities. Through guided interpretation, field activities, and interaction with local residents, participants develop environmental awareness and responsibility. Studies in Thailand and Indonesia confirm that experiential immersion and place-based learning significantly improve ecological literacy and pro-environmental behavior </w:t>
      </w:r>
      <w:r w:rsidRPr="001B7E21">
        <w:rPr>
          <w:rFonts w:ascii="Arial" w:hAnsi="Arial" w:cs="Arial"/>
        </w:rPr>
        <w:fldChar w:fldCharType="begin" w:fldLock="1"/>
      </w:r>
      <w:r w:rsidRPr="001B7E21">
        <w:rPr>
          <w:rFonts w:ascii="Arial" w:hAnsi="Arial" w:cs="Arial"/>
        </w:rPr>
        <w:instrText>ADDIN CSL_CITATION {"citationItems":[{"id":"ITEM-1","itemData":{"DOI":"10.3390/su17177644","ISSN":"20711050 (ISSN)","abstract":"Community-based ecotourism in community forests, such as Suan Pa Ket Nom Klao, Thailand, offers a promising avenue for promoting sustainable development through meaningful tourist experiences. This study develops and validates the Community Forest Intention Model (CFIM) to examine the relationships among Tourist Experience (TE), Tourist Satisfaction (SAT), and Sustainable Intention (SI) using Partial Least Squares Structural Equation Modeling (PLS-SEM). Data were collected from 128 participants who engaged in six structured activities at Suan Pa Ket Nom Klao, with responses measured via a 5-point Likert scale questionnaire. The results indicate that TE, comprising Service Quality, Accessibility, and Learning Engagement, significantly influences SAT (R2 = 0.562), with Learning Engagement exerting the strongest effect (β = 0.413; p &lt; 0.001). SAT, in turn, positively predicts SI (β = 0.502; p &lt; 0.001; R2 = 0.252). All hypothesized paths were statistically significant, confirming the model’s validity. These findings highlight the critical role of educational and service-related experiences in fostering tourist satisfaction and sustainable behaviors. This study provides actionable insights for enhancing ecotourism programs to support conservation and community engagement. © 2025 Elsevier B.V., All rights reserved.","author":[{"dropping-particle":"","family":"Teeravarunyou","given":"S","non-dropping-particle":"","parse-names":false,"suffix":""},{"dropping-particle":"","family":"Kamolwit","given":"K","non-dropping-particle":"","parse-names":false,"suffix":""},{"dropping-particle":"","family":"Kitirojpan","given":"P","non-dropping-particle":"","parse-names":false,"suffix":""},{"dropping-particle":"","family":"Pattanachan","given":"P","non-dropping-particle":"","parse-names":false,"suffix":""},{"dropping-particle":"","family":"Tirachulee","given":"B","non-dropping-particle":"","parse-names":false,"suffix":""},{"dropping-particle":"","family":"Buddhawong","given":"S","non-dropping-particle":"","parse-names":false,"suffix":""}],"container-title":"Sustainability (Switzerland)","id":"ITEM-1","issue":"17","issued":{"date-parts":[["2025"]]},"language":"English","note":"Export Date: 21 October 2025; Cited By: 0","publisher":"Multidisciplinary Digital Publishing Institute (MDPI)","publisher-place":"King Mongkut's University of Technology Thonburi, School of Architecture and Design, Bangkok, Thailand","title":"Validating the Community Forest Intention Model: Exploring Tourist Experience, Satisfaction, and Sustainable Intentions in Community-Based Ecotourism","type":"article-journal","volume":"17"},"uris":["http://www.mendeley.com/documents/?uuid=118e9014-afdd-41f9-bd39-c6b0cd5b2a25"]}],"mendeley":{"formattedCitation":"(Teeravarunyou et al., 2025)","plainTextFormattedCitation":"(Teeravarunyou et al., 2025)","previouslyFormattedCitation":"(Teeravarunyou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(Teeravarunyou et al., 2025)</w:t>
      </w:r>
      <w:r w:rsidRPr="001B7E21">
        <w:rPr>
          <w:rFonts w:ascii="Arial" w:hAnsi="Arial" w:cs="Arial"/>
        </w:rPr>
        <w:fldChar w:fldCharType="end"/>
      </w:r>
      <w:r w:rsidRPr="001B7E21">
        <w:rPr>
          <w:rFonts w:ascii="Arial" w:hAnsi="Arial" w:cs="Arial"/>
        </w:rPr>
        <w:t>. This pedagogical model connects theoretical knowledge with real-world experience, aligning with the transformative aims of sustainability education.</w:t>
      </w:r>
    </w:p>
    <w:p w14:paraId="1C84E313" w14:textId="77777777" w:rsidR="001B7E21" w:rsidRPr="001B7E21" w:rsidRDefault="001B7E21" w:rsidP="001B7E21">
      <w:pPr>
        <w:pStyle w:val="Body"/>
        <w:spacing w:before="120" w:after="120"/>
        <w:rPr>
          <w:rFonts w:ascii="Arial" w:hAnsi="Arial" w:cs="Arial"/>
        </w:rPr>
      </w:pPr>
    </w:p>
    <w:p w14:paraId="310810CB"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3.5.2 </w:t>
      </w:r>
      <w:r w:rsidR="001B7E21" w:rsidRPr="0089681C">
        <w:rPr>
          <w:rFonts w:ascii="Arial" w:hAnsi="Arial" w:cs="Arial"/>
          <w:b/>
          <w:bCs/>
        </w:rPr>
        <w:t>Integration with Education for Sustainable Development (ESD)</w:t>
      </w:r>
    </w:p>
    <w:p w14:paraId="1D78FAC3"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Recent evidence shows that ecotourism activities can effectively embed the principles of ESD into both formal and informal learning settings.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2025)","manualFormatting":"Das et al. (2025)","plainTextFormattedCitation":"(P. Das et al., 2025)","previouslyFormattedCitation":"(P. Das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Das et al. (2025)</w:t>
      </w:r>
      <w:r w:rsidRPr="001B7E21">
        <w:rPr>
          <w:rFonts w:ascii="Arial" w:hAnsi="Arial" w:cs="Arial"/>
        </w:rPr>
        <w:fldChar w:fldCharType="end"/>
      </w:r>
      <w:r w:rsidRPr="001B7E21">
        <w:rPr>
          <w:rFonts w:ascii="Arial" w:hAnsi="Arial" w:cs="Arial"/>
        </w:rPr>
        <w:t xml:space="preserve"> mapped sustainable tourism research themes against the 17 Sustainable Development Goals (SDGs) using </w:t>
      </w:r>
      <w:proofErr w:type="spellStart"/>
      <w:r w:rsidRPr="001B7E21">
        <w:rPr>
          <w:rFonts w:ascii="Arial" w:hAnsi="Arial" w:cs="Arial"/>
        </w:rPr>
        <w:t>BERTopic</w:t>
      </w:r>
      <w:proofErr w:type="spellEnd"/>
      <w:r w:rsidRPr="001B7E21">
        <w:rPr>
          <w:rFonts w:ascii="Arial" w:hAnsi="Arial" w:cs="Arial"/>
        </w:rPr>
        <w:t>, demonstrating how each ecotourism activity can correspond to specific ESD competencies such as systems thinking, critical reflection, and participatory learning. Such alignment transforms tourism into a contextualized tool for sustainability education. By linking local practices to global goals, ecotourism strengthens the connection between knowledge, values, and actions toward sustainability.</w:t>
      </w:r>
    </w:p>
    <w:p w14:paraId="4538DB76" w14:textId="77777777" w:rsidR="001B7E21" w:rsidRPr="001B7E21" w:rsidRDefault="001B7E21" w:rsidP="001B7E21">
      <w:pPr>
        <w:pStyle w:val="Body"/>
        <w:spacing w:before="120" w:after="120"/>
        <w:rPr>
          <w:rFonts w:ascii="Arial" w:hAnsi="Arial" w:cs="Arial"/>
        </w:rPr>
      </w:pPr>
    </w:p>
    <w:p w14:paraId="314828CB"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 xml:space="preserve">3.5.3 </w:t>
      </w:r>
      <w:r w:rsidR="001B7E21" w:rsidRPr="0089681C">
        <w:rPr>
          <w:rFonts w:ascii="Arial" w:hAnsi="Arial" w:cs="Arial"/>
          <w:b/>
          <w:bCs/>
        </w:rPr>
        <w:t>Community Empowerment and Social Learning</w:t>
      </w:r>
    </w:p>
    <w:p w14:paraId="3851AEF1" w14:textId="77777777" w:rsidR="001B7E21" w:rsidRPr="001B7E21" w:rsidRDefault="001B7E21" w:rsidP="001B7E21">
      <w:pPr>
        <w:pStyle w:val="Body"/>
        <w:spacing w:before="120" w:after="120"/>
        <w:rPr>
          <w:rFonts w:ascii="Arial" w:hAnsi="Arial" w:cs="Arial"/>
        </w:rPr>
      </w:pPr>
      <w:r w:rsidRPr="001B7E21">
        <w:rPr>
          <w:rFonts w:ascii="Arial" w:hAnsi="Arial" w:cs="Arial"/>
        </w:rPr>
        <w:t>Community-based ecotourism provides opportunities for mutual learning between visitors and residents. Local communities, as custodians of traditional ecological knowledge (TEK), become co-educators who help visitors understand ecological and cultural relationships. This interaction supports the development of social capital, reinforces collective stewardship, and nurtures empowerment among marginalized groups. The learning process becomes cyclical and participatory, fostering a sense of shared responsibility for sustainable living.</w:t>
      </w:r>
    </w:p>
    <w:p w14:paraId="30B11A0F" w14:textId="77777777" w:rsidR="001B7E21" w:rsidRPr="001B7E21" w:rsidRDefault="001B7E21" w:rsidP="001B7E21">
      <w:pPr>
        <w:pStyle w:val="Body"/>
        <w:spacing w:before="120" w:after="120"/>
        <w:rPr>
          <w:rFonts w:ascii="Arial" w:hAnsi="Arial" w:cs="Arial"/>
        </w:rPr>
      </w:pPr>
    </w:p>
    <w:p w14:paraId="1541885E"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3.5.4</w:t>
      </w:r>
      <w:r w:rsidR="001B7E21" w:rsidRPr="0089681C">
        <w:rPr>
          <w:rFonts w:ascii="Arial" w:hAnsi="Arial" w:cs="Arial"/>
          <w:b/>
          <w:bCs/>
        </w:rPr>
        <w:t xml:space="preserve"> Cultural and Intercultural Learning</w:t>
      </w:r>
    </w:p>
    <w:p w14:paraId="0E194C9A"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Ecotourism also promotes intercultural understanding through the preservation of heritage and cultural identity. The </w:t>
      </w:r>
      <w:proofErr w:type="spellStart"/>
      <w:r w:rsidRPr="001B7E21">
        <w:rPr>
          <w:rFonts w:ascii="Arial" w:hAnsi="Arial" w:cs="Arial"/>
        </w:rPr>
        <w:t>Templestays</w:t>
      </w:r>
      <w:proofErr w:type="spellEnd"/>
      <w:r w:rsidRPr="001B7E21">
        <w:rPr>
          <w:rFonts w:ascii="Arial" w:hAnsi="Arial" w:cs="Arial"/>
        </w:rPr>
        <w:t xml:space="preserve"> program in South Korea illustrates how mindfulness and cultural immersion can cultivate empathy and self-awareness, enabling visitors to reflect deeply on sustainability values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By integrating cultural learning with ecological consciousness, such programs exemplify a holistic form of education that unites moral, aesthetic, and environmental dimensions. They transform cultural tourism into an ethical learning experience aligned with the objectives of ESD.</w:t>
      </w:r>
    </w:p>
    <w:p w14:paraId="7B9C6A3C" w14:textId="77777777" w:rsidR="001B7E21" w:rsidRPr="001B7E21" w:rsidRDefault="001B7E21" w:rsidP="001B7E21">
      <w:pPr>
        <w:pStyle w:val="Body"/>
        <w:spacing w:before="120" w:after="120"/>
        <w:rPr>
          <w:rFonts w:ascii="Arial" w:hAnsi="Arial" w:cs="Arial"/>
        </w:rPr>
      </w:pPr>
    </w:p>
    <w:p w14:paraId="3AA48C23"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 xml:space="preserve">3.5.4 </w:t>
      </w:r>
      <w:r w:rsidR="001B7E21" w:rsidRPr="0089681C">
        <w:rPr>
          <w:rFonts w:ascii="Arial" w:hAnsi="Arial" w:cs="Arial"/>
          <w:b/>
          <w:bCs/>
        </w:rPr>
        <w:t>Technological and Data-Driven Learning.</w:t>
      </w:r>
    </w:p>
    <w:p w14:paraId="55A0FCCC"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Emerging research emphasizes the integration of digital tools and geospatial analysis in ecotourism learning design. </w:t>
      </w:r>
      <w:r w:rsidRPr="001B7E21">
        <w:rPr>
          <w:rFonts w:ascii="Arial" w:hAnsi="Arial" w:cs="Arial"/>
        </w:rPr>
        <w:fldChar w:fldCharType="begin" w:fldLock="1"/>
      </w:r>
      <w:r w:rsidRPr="001B7E21">
        <w:rPr>
          <w:rFonts w:ascii="Arial" w:hAnsi="Arial" w:cs="Arial"/>
        </w:rPr>
        <w:instrText>ADDIN CSL_CITATION {"citationItems":[{"id":"ITEM-1","itemData":{"DOI":"https://doi.org/10.1016/j.clet.2023.100720","ISSN":"2666-7908","abstract":"Climate change and sustainable development are interconnected and pressing global challenges requiring urgent attention. Researching the trends in climate change and sustainable development through a bibliometric study is essential for addressing urgent global challenges, identifying gaps in knowledge, informing policy decisions, and promoting collaboration within the academic and research community. This study aims to conduct a bibliometric analysis to investigate the research trends, collaboration network, and thematic evaluation of publications on climate change and sustainable development. 1696 papers from 1992 to 2022 were selected using the PRISMA framework from the Scopus database. We employ Bibliometric R and VOSviewer software to conduct bibliometric analysis. The study found that literature and citations on climate change and sustainable development have grown significantly. The Chinese Academy of Sciences leads in productivity, while the USA, China, and India are the most productive countries. Surprisingly, 44 papers received over 100 citations, while 50% received less than five. Trending topics include COVID-19, urbanisation, attitude, climate change mitigation and adaptation, etc. The evaluation of research themes reveals a shift towards climate change to mitigation, adaptation, and sustainable development goals. The findings serve as a valuable resource for researchers, policymakers, and practitioners, facilitating a deeper understanding of the evolving knowledge of change and sustainable development research and identifying emerging research areas. The shift from a general emphasis on climate change to more specialised themes underscores the necessity for focused examinations within distinct domains, including but not limited to climate change adaptation, mitigation, and the pursuit of sustainable development goals.","author":[{"dropping-particle":"","family":"Baidya","given":"Arup","non-dropping-particle":"","parse-names":false,"suffix":""},{"dropping-particle":"","family":"Saha","given":"Ashis Kumar","non-dropping-particle":"","parse-names":false,"suffix":""}],"container-title":"Cleaner Engineering and Technology","id":"ITEM-1","issued":{"date-parts":[["2024"]]},"page":"100720","title":"Exploring the research trends in climate change and sustainable development: A bibliometric study","type":"article-journal","volume":"18"},"uris":["http://www.mendeley.com/documents/?uuid=ef6f33bc-49e7-4b95-9822-92411f454eba"]}],"mendeley":{"formattedCitation":"(Arup Baidya &amp; Saha, 2024)","manualFormatting":"Baidya and Saha (2024)","plainTextFormattedCitation":"(Arup Baidya &amp; Saha, 2024)","previouslyFormattedCitation":"(Arup Baidya &amp; Saha, 2024)"},"properties":{"noteIndex":0},"schema":"https://github.com/citation-style-language/schema/raw/master/csl-citation.json"}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Baidya and Saha (2024)</w:t>
      </w:r>
      <w:r w:rsidRPr="001B7E21">
        <w:rPr>
          <w:rFonts w:ascii="Arial" w:hAnsi="Arial" w:cs="Arial"/>
        </w:rPr>
        <w:fldChar w:fldCharType="end"/>
      </w:r>
      <w:r w:rsidRPr="001B7E21">
        <w:rPr>
          <w:rFonts w:ascii="Arial" w:hAnsi="Arial" w:cs="Arial"/>
        </w:rPr>
        <w:t xml:space="preserve"> used machine learning and multi-criteria decision analysis to map ecotourism potential zones in India’s </w:t>
      </w:r>
      <w:proofErr w:type="spellStart"/>
      <w:r w:rsidRPr="001B7E21">
        <w:rPr>
          <w:rFonts w:ascii="Arial" w:hAnsi="Arial" w:cs="Arial"/>
        </w:rPr>
        <w:t>Sundarban</w:t>
      </w:r>
      <w:proofErr w:type="spellEnd"/>
      <w:r w:rsidRPr="001B7E21">
        <w:rPr>
          <w:rFonts w:ascii="Arial" w:hAnsi="Arial" w:cs="Arial"/>
        </w:rPr>
        <w:t xml:space="preserve"> region, offering evidence-based planning for interpretive routes and citizen-science projects. Similarly, </w:t>
      </w:r>
      <w:r w:rsidRPr="001B7E21">
        <w:rPr>
          <w:rFonts w:ascii="Arial" w:hAnsi="Arial" w:cs="Arial"/>
        </w:rPr>
        <w:fldChar w:fldCharType="begin" w:fldLock="1"/>
      </w:r>
      <w:r w:rsidRPr="001B7E21">
        <w:rPr>
          <w:rFonts w:ascii="Arial" w:hAnsi="Arial" w:cs="Arial"/>
        </w:rPr>
        <w:instrText>ADDIN CSL_CITATION {"citationItems":[{"id":"ITEM-1","itemData":{"DOI":"10.3390/land14071421","ISSN":"2073445X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-1","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Framework","type":"article-journal","volume":"14"},"uris":["http://www.mendeley.com/documents/?uuid=6986ea4c-c927-4750-9649-eb8684a6cfa2"]}],"mendeley":{"formattedCitation":"(S. Zhang et al., 2025)","manualFormatting":"S. Zhang et al. (2025)","plainTextFormattedCitation":"(S. Zhang et al., 2025)","previouslyFormattedCitation":"(S.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 Zhang et al. (2025)</w:t>
      </w:r>
      <w:r w:rsidRPr="001B7E21">
        <w:rPr>
          <w:rFonts w:ascii="Arial" w:hAnsi="Arial" w:cs="Arial"/>
        </w:rPr>
        <w:fldChar w:fldCharType="end"/>
      </w:r>
      <w:r w:rsidRPr="001B7E21">
        <w:rPr>
          <w:rFonts w:ascii="Arial" w:hAnsi="Arial" w:cs="Arial"/>
        </w:rPr>
        <w:t xml:space="preserve"> proposed the framework of “tourism learning resources,” highlighting how open learning infrastructures can scale educational impacts within tourism destinations. These cases demonstrate that digital innovation can bridge environmental modeling with hands-on STEM and sustainability learning in real-world contexts.</w:t>
      </w:r>
    </w:p>
    <w:p w14:paraId="1C0EEF09" w14:textId="77777777" w:rsidR="001B7E21" w:rsidRPr="001B7E21" w:rsidRDefault="001B7E21" w:rsidP="001B7E21">
      <w:pPr>
        <w:pStyle w:val="Body"/>
        <w:spacing w:before="120" w:after="120"/>
        <w:rPr>
          <w:rFonts w:ascii="Arial" w:hAnsi="Arial" w:cs="Arial"/>
        </w:rPr>
      </w:pPr>
    </w:p>
    <w:p w14:paraId="03F4E658" w14:textId="77777777" w:rsidR="001B7E21" w:rsidRPr="0089681C" w:rsidRDefault="0089681C" w:rsidP="0089681C">
      <w:pPr>
        <w:pStyle w:val="Body"/>
        <w:spacing w:after="0"/>
        <w:rPr>
          <w:rFonts w:ascii="Arial" w:hAnsi="Arial" w:cs="Arial"/>
          <w:b/>
          <w:sz w:val="22"/>
        </w:rPr>
      </w:pPr>
      <w:r>
        <w:rPr>
          <w:rFonts w:ascii="Arial" w:hAnsi="Arial" w:cs="Arial"/>
          <w:b/>
          <w:sz w:val="22"/>
        </w:rPr>
        <w:t xml:space="preserve">3.6 </w:t>
      </w:r>
      <w:r w:rsidR="001B7E21" w:rsidRPr="0089681C">
        <w:rPr>
          <w:rFonts w:ascii="Arial" w:hAnsi="Arial" w:cs="Arial"/>
          <w:b/>
          <w:sz w:val="22"/>
        </w:rPr>
        <w:t>Challenges in Implementing Ecotourism as an Educational Strategy in Asia</w:t>
      </w:r>
    </w:p>
    <w:p w14:paraId="653568AD"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3.6.1</w:t>
      </w:r>
      <w:r w:rsidR="001B7E21" w:rsidRPr="0089681C">
        <w:rPr>
          <w:rFonts w:ascii="Arial" w:hAnsi="Arial" w:cs="Arial"/>
          <w:b/>
          <w:bCs/>
        </w:rPr>
        <w:t xml:space="preserve"> Commercialization and Goal Drift</w:t>
      </w:r>
    </w:p>
    <w:p w14:paraId="4CFDA337"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Economic pressures often dominate ecotourism development, leading to the prioritization of profit over educational outcomes. </w:t>
      </w:r>
      <w:r w:rsidRPr="001B7E21">
        <w:rPr>
          <w:rFonts w:ascii="Arial" w:hAnsi="Arial" w:cs="Arial"/>
        </w:rPr>
        <w:fldChar w:fldCharType="begin" w:fldLock="1"/>
      </w:r>
      <w:r w:rsidRPr="001B7E21">
        <w:rPr>
          <w:rFonts w:ascii="Arial" w:hAnsi="Arial" w:cs="Arial"/>
        </w:rPr>
        <w:instrText>ADDIN CSL_CITATION {"citationItems":[{"id":"ITEM-1","itemData":{"DOI":"10.1007/s43621-025-01065-4","ISSN":"26629984 (ISSN)","abstract":"This study explores the intersection of sustainable and green tourism with 17 United Nations sustainable development goals (SDGs), identifying key themes and emerging interdisciplinary configurations. Using the PRISMA framework, we analyzed publications covering the years 2015–2023. A machine learning-based BERTopic model was employed to extract meaningful topics and map publications to the relevant SDGs. This study reveals a strong link between sustainable tourism and multiple SDGs. Seven key themes illustrate the role of sustainable tourism in fostering economic growth, environmental conservation, and community resilience. Geotourism and geoheritage development contribute to quality education (SDG 4) by promoting geological knowledge and conservation while generating local economic opportunities. The tourism-energy-economy nexus highlights the need for clean energy (SDG 7) and climate action (SDG 13) to mitigate emissions linked to tourism-driven economic expansion. Mangrove ecosystem ecotourism management safeguards biodiversity and strengthens life below water (SDG 14) and life on land (SDG 15) while supporting sustainable livelihoods. Rural and smart data-driven tourism enhance decent work and economic growth (SDG 8) by integrating technology and local resources into sustainable development strategies. Ecotourism and community engagement empower local populations, fostering sustainable cities and communities (SDG 11) and partnerships for the goals (SDG 17) through collaborative conservation efforts. Finally, eco-destinations and tourist engagement emphasize responsible consumption and cultural heritage preservation, reinforcing responsible consumption and production (SDG 12). Together, these themes underscore tourism’s broader role in achieving the SDGs by balancing economic benefits with environmental and social sustainability. Our findings add to policy-making and strategic planning, emphasizing the need for a more subtle approach to sustainable tourism, considering diverse regional contexts. Future research should focus on applying technologies such as artificial intelligence, the Internet of Things, and big data, conducting in-depth case studies, examining socioeconomic impacts on local communities, and evaluating policy effectiveness to increase its contribution to achieving the SDGs. Clinical trial registration: Not applicable. © 2025 Elsevier B.V., All rights reserved.","author":[{"dropping-particle":"","family":"Das","given":"P","non-dropping-particle":"","parse-names":false,"suffix":""},{"dropping-particle":"","family":"Mandal","given":"S","non-dropping-particle":"","parse-names":false,"suffix":""},{"dropping-particle":"","family":"Nedungadi","given":"P","non-dropping-particle":"","parse-names":false,"suffix":""},{"dropping-particle":"","family":"Raman","given":"R","non-dropping-particle":"","parse-names":false,"suffix":""}],"container-title":"Discover Sustainability","id":"ITEM-1","issue":"1","issued":{"date-parts":[["2025"]]},"language":"English","note":"Export Date: 21 October 2025; Cited By: 1","publisher":"Springer Nature","publisher-place":"Amrita School of Business, Coimbatore, India","title":"Unveiling sustainable tourism themes with machine learning based topic modeling","type":"article-journal","volume":"6"},"uris":["http://www.mendeley.com/documents/?uuid=a47a7944-adb7-478a-83ee-4e4b6e101c5b"]}],"mendeley":{"formattedCitation":"(P. Das et al., 2025)","manualFormatting":"Das et al. (2025)","plainTextFormattedCitation":"(P. Das et al., 2025)","previouslyFormattedCitation":"(P. Das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Das et al. (2025)</w:t>
      </w:r>
      <w:r w:rsidRPr="001B7E21">
        <w:rPr>
          <w:rFonts w:ascii="Arial" w:hAnsi="Arial" w:cs="Arial"/>
        </w:rPr>
        <w:fldChar w:fldCharType="end"/>
      </w:r>
      <w:r w:rsidRPr="001B7E21">
        <w:rPr>
          <w:rFonts w:ascii="Arial" w:hAnsi="Arial" w:cs="Arial"/>
        </w:rPr>
        <w:t xml:space="preserve"> identified that much of the literature on sustainable tourism focuses on market trends rather than pedagogical design. As a result, ecotourism is frequently reduced to branding exercises without measurable learning outcomes. To address this, learning goals must be clearly articulated and integrated into tourism management frameworks to preserve the educational essence of ecotourism.</w:t>
      </w:r>
    </w:p>
    <w:p w14:paraId="396B642D" w14:textId="77777777" w:rsidR="001B7E21" w:rsidRPr="001B7E21" w:rsidRDefault="001B7E21" w:rsidP="001B7E21">
      <w:pPr>
        <w:pStyle w:val="Body"/>
        <w:spacing w:before="120" w:after="120"/>
        <w:rPr>
          <w:rFonts w:ascii="Arial" w:hAnsi="Arial" w:cs="Arial"/>
        </w:rPr>
      </w:pPr>
    </w:p>
    <w:p w14:paraId="67EEDB1A"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3.6.2 </w:t>
      </w:r>
      <w:r w:rsidR="001B7E21" w:rsidRPr="0089681C">
        <w:rPr>
          <w:rFonts w:ascii="Arial" w:hAnsi="Arial" w:cs="Arial"/>
          <w:b/>
          <w:bCs/>
        </w:rPr>
        <w:t>Human Capacity and Pedagogical Gaps</w:t>
      </w:r>
    </w:p>
    <w:p w14:paraId="51585C98"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Many Asian ecotourism programs face limitations in human resources, particularly in the training of guides, educators, and interpreters. Studies from Thailand and Vietnam show that inconsistent interpretive practices and lack of educator preparation weaken experiential learning quality </w:t>
      </w:r>
      <w:r w:rsidRPr="001B7E21">
        <w:rPr>
          <w:rFonts w:ascii="Arial" w:hAnsi="Arial" w:cs="Arial"/>
        </w:rPr>
        <w:fldChar w:fldCharType="begin" w:fldLock="1"/>
      </w:r>
      <w:r w:rsidRPr="001B7E21">
        <w:rPr>
          <w:rFonts w:ascii="Arial" w:hAnsi="Arial" w:cs="Arial"/>
        </w:rPr>
        <w:instrText>ADDIN CSL_CITATION {"citationItems":[{"id":"ITEM-1","itemData":{"DOI":"10.46827/ejes.v10i7.4899","ISBN":"0009000844","ISSN":"25011111","abstract":"The quality of education may be raised in large part by investing in teacher training. It contributes to the expansion and updating of professional knowledge, teaching abilities, and new and improved methods of approaching students. Teachers can also continue to grow individually via the refresher process, reflect on their teaching methods, and adjust to shifts in the educational landscape and the needs of their students. The purpose of the project is to identify an experiential learning-based teacher training paradigm that is efficient and workable. A pedagogical experiment using this model was conducted with two classes and 35 high school teachers in Thai Nguyen Province, Vietnam. The findings of the research, which used the document research approach together with expert opinion, demonstrate that learning via experience in teacher training has accomplished the desired objective in 5 key stages: (1) (1) Choosing a few standard lessons to organize to teach illustrations; (2) preparing to organize the illustration teaching after the standard lesson has been chosen; (3) practicing demonstration teaching; (4) organizing the discussion after attending the demonstration lesson; and (5) making personal plans to organize the lesson in accordance with the training's content.&lt;p&gt; &lt;/p&gt;&lt;p&gt;&lt;strong&gt; Article visualizations:&lt;/strong&gt;&lt;/p&gt;&lt;p&gt;&lt;img src=\"/-counters-/soc/0111/a.php\" alt=\"Hit counter\" /&gt;&lt;/p&gt;","author":[{"dropping-particle":"","family":"Ha","given":"Nguyen Thi Thu","non-dropping-particle":"","parse-names":false,"suffix":""},{"dropping-particle":"","family":"Khoa","given":"Cao Tien","non-dropping-particle":"","parse-names":false,"suffix":""},{"dropping-particle":"","family":"Huong","given":"Le Thi Thu","non-dropping-particle":"","parse-names":false,"suffix":""},{"dropping-particle":"","family":"Linh","given":"Nguyen Quang","non-dropping-particle":"","parse-names":false,"suffix":""},{"dropping-particle":"","family":"Bich","given":"Nguyen Thi","non-dropping-particle":"","parse-names":false,"suffix":""}],"container-title":"European Journal of Education Studies","id":"ITEM-1","issue":"7","issued":{"date-parts":[["2023"]]},"page":"431-446","title":"the Effectiveness of Experiential Learning Models in Teacher Training: a Case Study in Thai Nguyen Province, Vietnam","type":"article-journal","volume":"10"},"uris":["http://www.mendeley.com/documents/?uuid=ae782f37-c982-4f04-bbd2-55a182843da1"]},{"id":"ITEM-2","itemData":{"DOI":"https://doi.org/10.1016/j.ijme.2024.101088","ISSN":"1472-8117","abstract":"Amidst the pressing global challenges of environmental degradation and social inequality, the role of Higher Education Institutions (HEIs) in achieving the United Nations’ Sustainable Development Goals (SDGs) has become increasingly pivotal. This study examines the pedagogical strategies and engagement of Vietnamese HEIs with sustainability initiatives, focusing on how these institutions integrate sustainability into business and management education. Given that only nine out of 237 institutions in Vietnam have been recognized for significant contributions to sustainable development as of 2023, this inquiry is both timely and critical. The paper employs thematic analysis of qualitative interviews to identify four major themes: motivations for sustainable development, cultural factors and leadership vision, policy inconsistency, and internal communication. This study fills a notable gap in the existing literature by exploring both external determinants like policy frameworks and institutional capacities, as well as underexplored internal factors such as organizational culture, stakeholder awareness, and internal communication within the context of business education. The findings have significant implications for enhancing the role of HEIs in promoting sustainability through innovative teaching practices, effective policy implementation, and strategic leadership. The paper concludes by offering targeted recommendations for educators, policymakers, and administrators to bolster the integration of SDGs in Vietnamese HEIs, thereby contributing to global sustainability efforts.","author":[{"dropping-particle":"","family":"Bui","given":"Hoai Thi Mai","non-dropping-particle":"","parse-names":false,"suffix":""},{"dropping-particle":"","family":"Bui","given":"Tung","non-dropping-particle":"","parse-names":false,"suffix":""},{"dropping-particle":"","family":"Pham","given":"Binh Thai","non-dropping-particle":"","parse-names":false,"suffix":""}],"container-title":"The International Journal of Management Education","id":"ITEM-2","issue":"3","issued":{"date-parts":[["2024"]]},"page":"101088","title":"The role of higher education in achieving sustainable development goals: An evaluation of motivation and capacity of Vietnamese institutions","type":"article-journal","volume":"22"},"uris":["http://www.mendeley.com/documents/?uuid=346e7738-aa28-496b-ace0-ce29ff223f50"]},{"id":"ITEM-3","itemData":{"author":[{"dropping-particle":"","family":"World","given":"Arab","non-dropping-particle":"","parse-names":false,"suffix":""},{"dropping-particle":"","family":"Journal","given":"English","non-dropping-particle":"","parse-names":false,"suffix":""},{"dropping-particle":"","family":"Id","given":"Theses","non-dropping-particle":"","parse-names":false,"suffix":""}],"container-title":"Arab World English Journal","id":"ITEM-3","issue":"March","issued":{"date-parts":[["2020"]]},"page":"1-270","title":"Can I teach these students? A case study of Vietnamese teachers’ self-efficacy in relation to teaching English as a Foreign Language","type":"article-journal"},"uris":["http://www.mendeley.com/documents/?uuid=cd15c7ea-0ba2-4a3a-b290-cda2253db05e"]},{"id":"ITEM-4","itemData":{"DOI":"10.1186/s40468-025-00392-7","ISSN":"2229-0443","abstract":"In Vietnamese English language classrooms, assessment has long been shaped by the weight of summative exams and the pressures of test-oriented instruction. Yet in the margins of this exam-driven culture, some teachers are beginning to reimagine assessment, not as a final judgment, but as a process embedded in learning itself. This study explores how Vietnamese EFL teachers respond to washback by adopting formative assessment (FA) practices following participation in British Council professional development (PD) programs. Drawing on a corpus of written reflections from diverse teaching contexts, the study examines how teachers reframe assessment, navigate institutional tensions, and improvise pedagogical strategies to support student learning.  Using a thematic narrative approach, the analysis reveals a gradual shift from score-focused routines to more dialogic, responsive, and student-centered practices. Teachers described integrating informal games, peer feedback, and observation-based adjustments as ways of making learning visible without relying solely on tests. At the same time, they negotiated complex tensions between institutional expectations and pedagogical intentions, often making quiet, localized changes within rigid systems. The findings highlight teacher agency as a central force in shaping assessment reform and suggest that even modest acts of FA can create space for more inclusive and meaningful learning.","author":[{"dropping-particle":"","family":"Phuong","given":"Hoang Yen","non-dropping-particle":"","parse-names":false,"suffix":""},{"dropping-particle":"","family":"Tran","given":"Ngoc Bao Chau","non-dropping-particle":"","parse-names":false,"suffix":""},{"dropping-particle":"","family":"Nguyen","given":"Thi Thuy Linh","non-dropping-particle":"","parse-names":false,"suffix":""},{"dropping-particle":"","family":"Lam","given":"Tuong Duy","non-dropping-particle":"","parse-names":false,"suffix":""},{"dropping-particle":"","family":"Bui","given":"Nha Quyen","non-dropping-particle":"","parse-names":false,"suffix":""},{"dropping-particle":"","family":"Le","given":"Thanh Thao","non-dropping-particle":"","parse-names":false,"suffix":""}],"container-title":"Language Testing in Asia","id":"ITEM-4","issue":"1","issued":{"date-parts":[["2025"]]},"page":"45","title":"From tests to tasks: how Vietnamese EFL teachers navigate washback through formative assessment practices","type":"article-journal","volume":"15"},"uris":["http://www.mendeley.com/documents/?uuid=2f3b0d52-bf8a-4724-b291-2a480be9889e"]}],"mendeley":{"formattedCitation":"(Bui et al., 2024; Ha et al., 2023; Phuong et al., 2025; World et al., 2020)","plainTextFormattedCitation":"(Bui et al., 2024; Ha et al., 2023; Phuong et al., 2025; World et al., 2020)","previouslyFormattedCitation":"(Bui et al., 2024; Ha et al., 2023; Phuong et al., 2025; World et al., 2020)"},"properties":{"noteIndex":0},"schema":"https://github.com/citation-style-language/schema/raw/master/csl-citation.json"}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(Bui et al., 2024; Ha et al., 2023; Phuong et al., 2025; World et al., 2020)</w:t>
      </w:r>
      <w:r w:rsidRPr="001B7E21">
        <w:rPr>
          <w:rFonts w:ascii="Arial" w:hAnsi="Arial" w:cs="Arial"/>
        </w:rPr>
        <w:fldChar w:fldCharType="end"/>
      </w:r>
      <w:r w:rsidRPr="001B7E21">
        <w:rPr>
          <w:rFonts w:ascii="Arial" w:hAnsi="Arial" w:cs="Arial"/>
        </w:rPr>
        <w:t>. Without professional capacity building and structured curricula, ecotourism fails to deliver its full educational potential. Continuous training and intersectoral collaboration are therefore crucial to enhance pedagogical effectiveness.</w:t>
      </w:r>
    </w:p>
    <w:p w14:paraId="45E51F7D" w14:textId="77777777" w:rsidR="001B7E21" w:rsidRPr="001B7E21" w:rsidRDefault="001B7E21" w:rsidP="001B7E21">
      <w:pPr>
        <w:pStyle w:val="Body"/>
        <w:spacing w:before="120" w:after="120"/>
        <w:rPr>
          <w:rFonts w:ascii="Arial" w:hAnsi="Arial" w:cs="Arial"/>
        </w:rPr>
      </w:pPr>
    </w:p>
    <w:p w14:paraId="01F5EA50"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3.6.3 </w:t>
      </w:r>
      <w:r w:rsidR="001B7E21" w:rsidRPr="0089681C">
        <w:rPr>
          <w:rFonts w:ascii="Arial" w:hAnsi="Arial" w:cs="Arial"/>
          <w:b/>
          <w:bCs/>
        </w:rPr>
        <w:t>Policy Fragmentation and Institutional Misalignment.</w:t>
      </w:r>
    </w:p>
    <w:p w14:paraId="522AA1C1"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The separation between tourism and education policies limits the institutionalization of ecotourism-based learning. </w:t>
      </w:r>
      <w:r w:rsidRPr="001B7E21">
        <w:rPr>
          <w:rFonts w:ascii="Arial" w:hAnsi="Arial" w:cs="Arial"/>
        </w:rPr>
        <w:fldChar w:fldCharType="begin" w:fldLock="1"/>
      </w:r>
      <w:r w:rsidRPr="001B7E21">
        <w:rPr>
          <w:rFonts w:ascii="Arial" w:hAnsi="Arial" w:cs="Arial"/>
        </w:rPr>
        <w:instrText>ADDIN CSL_CITATION {"citationItems":[{"id":"ITEM-1","itemData":{"DOI":"10.3390/land14071421","ISSN":"2073445X (ISSN)","abstract":"Tourism learning resources refer to tourism attractions that carry learning content or stimulate learning behaviors for tourists, thereby determining the quality and effectiveness of tourists’ learning experiences. Actively developing tourism learning resources and manifesting tourism learning functions serves as an innovative practical path for cultivating new quality productivity in tourism and bears the contemporary mission of constructing a national lifelong learning system in the context of Chinese-style modernization. However, at the present stage, Chinese tourists, tourism enterprises, and government functional departments still lack a clear and systematic understanding of the connotations and characteristics of tourism learning resources. This knowledge gap restricts the depth and breadth of resource development. To address the identified gaps, this study begins by exploring the relationship between tourism and learning. Through a systematic literature review, it aims to develop a conceptual framework for tourism learning resources to promote lifelong learning and support sustainable tourism development. Taking this framework as a tool, this paper first explains the connotation and characteristics of tourism learning resources; secondly, classifies them into knowledge popularization, natural observation, skill experience, inspirational development, and cultural recreation types; thirdly, identifies their functional manifestations as acquiring experience, knowledge, skills, and wisdom; and finally, proposes development strategies for tourism learning resources. The most critical strategies identified are (1) enhancing tourism learning literacy, (2) optimizing learning-oriented products, and (3) constructing regionally integrated learning destinations. © 2025 Elsevier B.V., All rights reserved.","author":[{"dropping-particle":"","family":"Zhang","given":"S","non-dropping-particle":"","parse-names":false,"suffix":""},{"dropping-particle":"","family":"Liu","given":"J","non-dropping-particle":"","parse-names":false,"suffix":""},{"dropping-particle":"","family":"Li","given":"Y","non-dropping-particle":"","parse-names":false,"suffix":""}],"container-title":"Land","id":"ITEM-1","issue":"7","issued":{"date-parts":[["2025"]]},"language":"English","note":"Export Date: 21 October 2025; Cited By: 0","publisher":"Multidisciplinary Digital Publishing Institute (MDPI)","publisher-place":"Ocean University of China, Management College, Qingdao, China","title":"Tourism Learning Resources and Development Strategies in China: A Review and Conceptual Framework","type":"article-journal","volume":"14"},"uris":["http://www.mendeley.com/documents/?uuid=6986ea4c-c927-4750-9649-eb8684a6cfa2"]},{"id":"ITEM-2","itemData":{"DOI":"10.3390/su17052210","ISSN":"20711050 (ISSN)","abstract":"This paper introduces a novel hybrid forecasting model for tourism demand that combines Bidirectional Long Short-Term Memory (BiLSTM) and Transformer networks, addressing the challenge of capturing both short-term fluctuations and long-term trends in complex tourism data. Unlike traditional models, such as ARIMA, which often struggle with nonlinear patterns, our hybrid approach leverages the sequential learning capabilities of BiLSTM and the self-attention mechanism of the Transformer to effectively model intricate temporal dependencies. Our experiments on Thailand’s domestic tourism data showed that the hybrid model outperformed traditional methods and standalone deep learning models, where it achieved a 12% reduction in the RMSE, a 15% reduction in the MAE, and a 10% increase in the (Formula presented.). This improved accuracy offers significant practical benefits for sustainable tourism, enabling policymakers and tourism managers to optimize resource allocation, anticipate peak season demand, and develop strategies to mitigate over-tourism. The model’s robustness and adaptability make it a valuable tool for data-driven decision-making in the tourism sector. © 2025 Elsevier B.V., All rights reserved.","author":[{"dropping-particle":"","family":"Zhang","given":"Y","non-dropping-particle":"","parse-names":false,"suffix":""},{"dropping-particle":"","family":"Tan","given":"W H","non-dropping-particle":"","parse-names":false,"suffix":""},{"dropping-particle":"","family":"Zeng","given":"Z","non-dropping-particle":"","parse-names":false,"suffix":""}],"container-title":"Sustainability (Switzerland)","id":"ITEM-2","issue":"5","issued":{"date-parts":[["2025"]]},"language":"English","note":"Export Date: 21 October 2025; Cited By: 1","publisher":"Multidisciplinary Digital Publishing Institute (MDPI)","publisher-place":"UCSI University, Faculty of Social Sciences and Liberal Arts, Kuala Lumpur, Malaysia","title":"Tourism Demand Forecasting Based on a Hybrid Temporal Neural Network Model for Sustainable Tourism","type":"article-journal","volume":"17"},"uris":["http://www.mendeley.com/documents/?uuid=c4e7738a-ddc6-4144-a708-04c49c82728d"]}],"mendeley":{"formattedCitation":"(S. Zhang et al., 2025; Y. Zhang et al., 2025)","manualFormatting":"S. Zhang et al. (2025) and Y. Zhang et al. (2025)","plainTextFormattedCitation":"(S. Zhang et al., 2025; Y. Zhang et al., 2025)","previouslyFormattedCitation":"(S. Zhang et al., 2025; Y. Zhang et al.,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S. Zhang et al. (2025) and Y. Zhang et al. (2025)</w:t>
      </w:r>
      <w:r w:rsidRPr="001B7E21">
        <w:rPr>
          <w:rFonts w:ascii="Arial" w:hAnsi="Arial" w:cs="Arial"/>
        </w:rPr>
        <w:fldChar w:fldCharType="end"/>
      </w:r>
      <w:r w:rsidRPr="001B7E21">
        <w:rPr>
          <w:rFonts w:ascii="Arial" w:hAnsi="Arial" w:cs="Arial"/>
        </w:rPr>
        <w:t xml:space="preserve"> highlighted that fragmented governance systems prevent coordinated efforts between educational institutions and tourism stakeholders. Effective policy integration should involve joint planning, funding schemes, and shared indicators of educational success. Only through such coherence can ecotourism evolve from a voluntary initiative into a strategic educational framework.</w:t>
      </w:r>
    </w:p>
    <w:p w14:paraId="488C46C7" w14:textId="77777777" w:rsidR="001B7E21" w:rsidRPr="001B7E21" w:rsidRDefault="001B7E21" w:rsidP="001B7E21">
      <w:pPr>
        <w:pStyle w:val="Body"/>
        <w:spacing w:before="120" w:after="120"/>
        <w:rPr>
          <w:rFonts w:ascii="Arial" w:hAnsi="Arial" w:cs="Arial"/>
        </w:rPr>
      </w:pPr>
    </w:p>
    <w:p w14:paraId="48840CB8" w14:textId="77777777" w:rsidR="001B7E21" w:rsidRPr="0089681C" w:rsidRDefault="0089681C" w:rsidP="001B7E21">
      <w:pPr>
        <w:pStyle w:val="Body"/>
        <w:spacing w:before="120" w:after="120"/>
        <w:rPr>
          <w:rFonts w:ascii="Arial" w:hAnsi="Arial" w:cs="Arial"/>
          <w:b/>
          <w:bCs/>
        </w:rPr>
      </w:pPr>
      <w:r>
        <w:rPr>
          <w:rFonts w:ascii="Arial" w:hAnsi="Arial" w:cs="Arial"/>
          <w:b/>
          <w:bCs/>
        </w:rPr>
        <w:t xml:space="preserve">3.6.4 </w:t>
      </w:r>
      <w:r w:rsidR="001B7E21" w:rsidRPr="0089681C">
        <w:rPr>
          <w:rFonts w:ascii="Arial" w:hAnsi="Arial" w:cs="Arial"/>
          <w:b/>
          <w:bCs/>
        </w:rPr>
        <w:t>Cultural and Ethical Tensions</w:t>
      </w:r>
    </w:p>
    <w:p w14:paraId="0CE8D32D"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When cultural or spiritual elements become commercialized, educational intentions may conflict with ethical values. The </w:t>
      </w:r>
      <w:proofErr w:type="spellStart"/>
      <w:r w:rsidRPr="001B7E21">
        <w:rPr>
          <w:rFonts w:ascii="Arial" w:hAnsi="Arial" w:cs="Arial"/>
        </w:rPr>
        <w:t>Templestays</w:t>
      </w:r>
      <w:proofErr w:type="spellEnd"/>
      <w:r w:rsidRPr="001B7E21">
        <w:rPr>
          <w:rFonts w:ascii="Arial" w:hAnsi="Arial" w:cs="Arial"/>
        </w:rPr>
        <w:t xml:space="preserve"> case shows that without proper community collaboration, sacred traditions risk being commodified for tourism rather than serving as tools for reflection and cultural understanding </w:t>
      </w:r>
      <w:r w:rsidRPr="001B7E21">
        <w:rPr>
          <w:rFonts w:ascii="Arial" w:hAnsi="Arial" w:cs="Arial"/>
        </w:rPr>
        <w:fldChar w:fldCharType="begin" w:fldLock="1"/>
      </w:r>
      <w:r w:rsidRPr="001B7E21">
        <w:rPr>
          <w:rFonts w:ascii="Arial" w:hAnsi="Arial" w:cs="Arial"/>
        </w:rPr>
        <w:instrText>ADDIN CSL_CITATION {"citationItems":[{"id":"ITEM-1","itemData":{"DOI":"10.3390/su17146483","ISSN":"20711050 (ISSN)","abstract":"Templestay programs in South Korea represent a unique convergence of Buddhist ritual, cultural immersion, and wellness tourism. While often treated as niche cultural experiences, their broader significance within sustainable wellness tourism remains underexplored. This study examines participant reflections from the Beomeosa Templestay program through thematic analysis of over 600 reviews sourced from TripAdvisor, Google Reviews, and handwritten guestbooks. Using a triangulated framework combining Grounded Theory, Symbolic Interactionism, and the Wellness Tourism Model, the research identifies four recurring experiential themes: spiritual development, emotional healing, cultural immersion, and conscious consumption. Findings reveal cross-cultural variations: non-Korean participants emphasized spiritual exploration and cultural learning, while Korean participants prioritized emotional renewal and reconnection with heritage. Yet, across all groups, participants reported transformative outcomes, including heightened clarity, inner calm, and enhanced self-awareness. These results suggest that Templestays serve as accessible, culturally grounded wellness retreats that align with rising global demand for intentional, mindful travel. This study contributes to sustainable tourism scholarship by framing Templestays as low-impact, spiritually resonant alternatives to commercialized wellness retreats. Practical recommendations are offered to expand participation while maintaining program authenticity and safeguarding the spiritual and cultural integrity of monastic hosts in an increasingly globalized wellness landscape. © 2025 Elsevier B.V., All rights reserved.","author":[{"dropping-particle":"","family":"Brennan","given":"B S","non-dropping-particle":"","parse-names":false,"suffix":""},{"dropping-particle":"","family":"Kessler","given":"D","non-dropping-particle":"","parse-names":false,"suffix":""}],"container-title":"Sustainability (Switzerland)","id":"ITEM-1","issue":"14","issued":{"date-parts":[["2025"]]},"language":"English","note":"Export Date: 21 October 2025; Cited By: 1","publisher":"Multidisciplinary Digital Publishing Institute (MDPI)","publisher-place":"College of Business Administration, Incheon, South Korea","title":"From Ritual to Renewal: Templestays as a Cross-Cultural Model of Sustainable Wellness Tourism in South Korea","type":"article-journal","volume":"17"},"uris":["http://www.mendeley.com/documents/?uuid=dcb8905b-2838-4d79-9c60-06ec5875ab5f"]}],"mendeley":{"formattedCitation":"(Brennan &amp; Kessler, 2025)","plainTextFormattedCitation":"(Brennan &amp; Kessler, 2025)","previouslyFormattedCitation":"(Brennan &amp; Kessler, 2025)"},"properties":{"noteIndex":0},"schema":"https://github.com/citation-style-language/schema/raw/master/csl-citation.json"}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(Brennan &amp; Kessler, 2025)</w:t>
      </w:r>
      <w:r w:rsidRPr="001B7E21">
        <w:rPr>
          <w:rFonts w:ascii="Arial" w:hAnsi="Arial" w:cs="Arial"/>
        </w:rPr>
        <w:fldChar w:fldCharType="end"/>
      </w:r>
      <w:r w:rsidRPr="001B7E21">
        <w:rPr>
          <w:rFonts w:ascii="Arial" w:hAnsi="Arial" w:cs="Arial"/>
        </w:rPr>
        <w:t>. Ethical co-design and community ownership are therefore essential for ensuring that cultural learning remains respectful, authentic, and educationally meaningful.</w:t>
      </w:r>
    </w:p>
    <w:p w14:paraId="5AFA2124" w14:textId="77777777" w:rsidR="001B7E21" w:rsidRPr="001B7E21" w:rsidRDefault="001B7E21" w:rsidP="001B7E21">
      <w:pPr>
        <w:pStyle w:val="Body"/>
        <w:spacing w:before="120" w:after="120"/>
        <w:rPr>
          <w:rFonts w:ascii="Arial" w:hAnsi="Arial" w:cs="Arial"/>
        </w:rPr>
      </w:pPr>
    </w:p>
    <w:p w14:paraId="48D639F8"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 xml:space="preserve">3.6.5 </w:t>
      </w:r>
      <w:r w:rsidR="001B7E21" w:rsidRPr="0089681C">
        <w:rPr>
          <w:rFonts w:ascii="Arial" w:hAnsi="Arial" w:cs="Arial"/>
          <w:b/>
          <w:bCs/>
        </w:rPr>
        <w:t>Infrastructure and Funding Constraints</w:t>
      </w:r>
    </w:p>
    <w:p w14:paraId="5D7ABB67"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Many community-based ecotourism projects in Asia suffer from inadequate infrastructure, limited interpretive materials, and unstable financial support. Field-based studies reveal that poor maintenance of trails, signage, and educational facilities restricts the continuity of learning activities </w:t>
      </w:r>
      <w:r w:rsidRPr="001B7E21">
        <w:rPr>
          <w:rFonts w:ascii="Arial" w:hAnsi="Arial" w:cs="Arial"/>
        </w:rPr>
        <w:fldChar w:fldCharType="begin" w:fldLock="1"/>
      </w:r>
      <w:r w:rsidRPr="001B7E21">
        <w:rPr>
          <w:rFonts w:ascii="Arial" w:hAnsi="Arial" w:cs="Arial"/>
        </w:rPr>
        <w:instrText>ADDIN CSL_CITATION {"citationItems":[{"id":"ITEM-1","itemData":{"DOI":"10.34007/jehss.v7i2.2359","abstract":"This study aims to analyze community-based ecotourism strategies to empower the local economy in Bone Regency. Using qualitative methods and a case study approach, this research involved 20 informants consisting of 10 domestic tourists, 5 tourism agency employees, and 5 members of the environmental community. Data were collected through in-depth interviews, field observations, and documentation, then analyzed thematically. The results showed that the implementation of community-based ecotourism strategies was able to have a positive impact on the local economy. Communities are actively involved in the management of ecotourism destinations, which not only increases their income but also strengthens awareness of the importance of preserving the environment. Community participation in environmental conservation and tourism management, such as waste management and ecosystem conservation, has proven to be an important factor in the success of ecotourism. In addition, the role of local government and the environmental community plays a significant role in supporting the sustainability and development of ecotourism. This study concludes that community-based ecotourism strategies can be an effective model of local economic empowerment, but further collaboration between the government, communities, and tourists is needed to improve social and environmental impacts sustainably.","author":[{"dropping-particle":"","family":"Irmawati","given":"Irmawati","non-dropping-particle":"","parse-names":false,"suffix":""},{"dropping-particle":"","family":"Hasnawati","given":"Hasnawati","non-dropping-particle":"","parse-names":false,"suffix":""}],"container-title":"Journal of Education, Humaniora and Social Sciences (JEHSS)","id":"ITEM-1","issue":"2","issued":{"date-parts":[["2024"]]},"page":"395-404","title":"Community-based Ecotourism Strategy for Local Economic Empowerment","type":"article-journal","volume":"7"},"uris":["http://www.mendeley.com/documents/?uuid=b0a7cb5a-0f14-4b20-9177-4f2407f677cd"]},{"id":"ITEM-2","itemData":{"DOI":"10.3390/su11184977","ISBN":"2071-1050","abstract":"Ecotourism has a high potential impact on remote communities, by improving economic opportunity and natural resources conservation, and is increasingly accepted as an alternative livelihood for rural people. This study examines ecotourism development from the perspective of participation and economic impact for the Bousra people in Cambodia. A total of 237 households were selected as the sample size. Data collection was carried out with face-to-face interviews and analyzed using logistic regression and ordinary least square methods. Results revealed that local households depend mostly on agriculture (i.e., crop plantation and farming) and utilize ecotourism as a secondary source of income. Most households acknowledged ecotourism had a positive impact on environmental, social, and economic perspectives, while some signaled negative backlash due to depleted natural resources and impact on local culture. Household participation in ecotourism was not significantly affected from assistance issued by government or non-governmental organizations. However, causal relationships were found based on household demographic factors, attitude to environmental conservation, and village life. It was shown that the percentage of people involvement in ecotourism is high, but their income percentage is low due to education, skill, and capacity to expand. As a low-impact alternative to standard commercial tourism, community-based ecotourism has potential in becoming a transformative form of economics for local communities.","author":[{"dropping-particle":"","family":"Kim","given":"Marin","non-dropping-particle":"","parse-names":false,"suffix":""},{"dropping-particle":"","family":"Xie","given":"Yi","non-dropping-particle":"","parse-names":false,"suffix":""},{"dropping-particle":"","family":"Cirella","given":"Giuseppe T","non-dropping-particle":"","parse-names":false,"suffix":""}],"container-title":"Sustainability","id":"ITEM-2","issue":"18","issued":{"date-parts":[["2019"]]},"title":"Sustainable Transformative Economy: Community-Based Ecotourism","type":"article","volume":"11"},"uris":["http://www.mendeley.com/documents/?uuid=0c75437c-5f94-4bb9-9be2-ab9b0e1359e4"]},{"id":"ITEM-3","itemData":{"DOI":"10.1080/09640568.2024.2428257","ISSN":"0964-0568","author":[{"dropping-particle":"","family":"Duong","given":"Minh-Phuong Thi","non-dropping-particle":"","parse-names":false,"suffix":""},{"dropping-particle":"","family":"Lobry de Bruyn","given":"Lisa","non-dropping-particle":"","parse-names":false,"suffix":""},{"dropping-particle":"","family":"Kristiansen","given":"Paul","non-dropping-particle":"","parse-names":false,"suffix":""},{"dropping-particle":"","family":"Marshall","given":"Graham R","non-dropping-particle":"","parse-names":false,"suffix":""},{"dropping-particle":"","family":"Wilkes","given":"Janelle","non-dropping-particle":"","parse-names":false,"suffix":""}],"container-title":"Journal of Environmental Planning and Management","id":"ITEM-3","issued":{"date-parts":[["2025"]]},"note":"doi: 10.1080/09640568.2024.2428257","page":"1-27","publisher":"Routledge","title":"Community-based ecotourism and the challenges of local participation: insights from an ecotourism venture in Cat Tien National Park, Vietnam","type":"article-journal","volume":"2025"},"uris":["http://www.mendeley.com/documents/?uuid=8e97d03a-9feb-4285-bbe6-bc1f8e52ef3e"]}],"mendeley":{"formattedCitation":"(Duong et al., 2025; Irmawati &amp; Hasnawati, 2024; Kim et al., 2019)","plainTextFormattedCitation":"(Duong et al., 2025; Irmawati &amp; Hasnawati, 2024; Kim et al., 2019)","previouslyFormattedCitation":"(Duong et al., 2025; Irmawati &amp; Hasnawati, 2024; Kim et al., 2019)"},"properties":{"noteIndex":0},"schema":"https://github.com/citation-style-language/schema/raw/master/csl-citation.json"}</w:instrText>
      </w:r>
      <w:r w:rsidRPr="001B7E21">
        <w:rPr>
          <w:rFonts w:ascii="Arial" w:hAnsi="Arial" w:cs="Arial"/>
        </w:rPr>
        <w:fldChar w:fldCharType="separate"/>
      </w:r>
      <w:r w:rsidRPr="001B7E21">
        <w:rPr>
          <w:rFonts w:ascii="Arial" w:hAnsi="Arial" w:cs="Arial"/>
        </w:rPr>
        <w:t>(Duong et al., 2025; Irmawati &amp; Hasnawati, 2024; Kim et al., 2019)</w:t>
      </w:r>
      <w:r w:rsidRPr="001B7E21">
        <w:rPr>
          <w:rFonts w:ascii="Arial" w:hAnsi="Arial" w:cs="Arial"/>
        </w:rPr>
        <w:fldChar w:fldCharType="end"/>
      </w:r>
      <w:r w:rsidRPr="001B7E21">
        <w:rPr>
          <w:rFonts w:ascii="Arial" w:hAnsi="Arial" w:cs="Arial"/>
        </w:rPr>
        <w:t>. Long-term funding and strategic partnerships are needed to institutionalize learning within tourism destinations. Public–private collaboration and local government investment could bridge these material gaps.</w:t>
      </w:r>
    </w:p>
    <w:p w14:paraId="4874563A" w14:textId="77777777" w:rsidR="001B7E21" w:rsidRPr="001B7E21" w:rsidRDefault="001B7E21" w:rsidP="001B7E21">
      <w:pPr>
        <w:pStyle w:val="Body"/>
        <w:spacing w:before="120" w:after="120"/>
        <w:rPr>
          <w:rFonts w:ascii="Arial" w:hAnsi="Arial" w:cs="Arial"/>
        </w:rPr>
      </w:pPr>
    </w:p>
    <w:p w14:paraId="321CD9EB" w14:textId="77777777" w:rsidR="001B7E21" w:rsidRPr="0089681C" w:rsidRDefault="0089681C" w:rsidP="001B7E21">
      <w:pPr>
        <w:pStyle w:val="Body"/>
        <w:spacing w:before="120" w:after="120"/>
        <w:rPr>
          <w:rFonts w:ascii="Arial" w:hAnsi="Arial" w:cs="Arial"/>
          <w:b/>
          <w:bCs/>
        </w:rPr>
      </w:pPr>
      <w:r w:rsidRPr="0089681C">
        <w:rPr>
          <w:rFonts w:ascii="Arial" w:hAnsi="Arial" w:cs="Arial"/>
          <w:b/>
          <w:bCs/>
        </w:rPr>
        <w:t>3.6.6</w:t>
      </w:r>
      <w:r w:rsidR="001B7E21" w:rsidRPr="0089681C">
        <w:rPr>
          <w:rFonts w:ascii="Arial" w:hAnsi="Arial" w:cs="Arial"/>
          <w:b/>
          <w:bCs/>
        </w:rPr>
        <w:t xml:space="preserve"> Socio-Economic Vulnerability and Resilience Gaps</w:t>
      </w:r>
    </w:p>
    <w:p w14:paraId="17E0E6F6" w14:textId="77777777" w:rsidR="001B7E21" w:rsidRPr="001B7E21" w:rsidRDefault="001B7E21" w:rsidP="001B7E21">
      <w:pPr>
        <w:pStyle w:val="Body"/>
        <w:spacing w:before="120" w:after="120"/>
        <w:rPr>
          <w:rFonts w:ascii="Arial" w:hAnsi="Arial" w:cs="Arial"/>
        </w:rPr>
      </w:pPr>
      <w:r w:rsidRPr="001B7E21">
        <w:rPr>
          <w:rFonts w:ascii="Arial" w:hAnsi="Arial" w:cs="Arial"/>
        </w:rPr>
        <w:t xml:space="preserve">Ecotourism initiatives are often vulnerable to socio-economic disruptions, such as pandemics or climate-related disasters. Research in China’s </w:t>
      </w:r>
      <w:proofErr w:type="spellStart"/>
      <w:r w:rsidRPr="001B7E21">
        <w:rPr>
          <w:rFonts w:ascii="Arial" w:hAnsi="Arial" w:cs="Arial"/>
        </w:rPr>
        <w:t>Wulingyuan</w:t>
      </w:r>
      <w:proofErr w:type="spellEnd"/>
      <w:r w:rsidRPr="001B7E21">
        <w:rPr>
          <w:rFonts w:ascii="Arial" w:hAnsi="Arial" w:cs="Arial"/>
        </w:rPr>
        <w:t xml:space="preserve"> Scenic Area by Wu et al. (2025) indicates that households dependent on tourism experience severe instability, which in turn interrupts educational programs. Building resilience through diversified livelihoods and adaptive management ensures that ecotourism-based learning remains sustainable even during crises. Thus, strengthening local resilience becomes both a learning objective and a prerequisite for educational continuity.</w:t>
      </w:r>
    </w:p>
    <w:p w14:paraId="2A0935FF" w14:textId="77777777" w:rsidR="00091805" w:rsidRDefault="00091805" w:rsidP="00441B6F">
      <w:pPr>
        <w:pStyle w:val="ConcHead"/>
        <w:spacing w:after="0"/>
        <w:jc w:val="both"/>
        <w:rPr>
          <w:rFonts w:ascii="Arial" w:hAnsi="Arial" w:cs="Arial"/>
        </w:rPr>
      </w:pPr>
    </w:p>
    <w:p w14:paraId="3E694E2E" w14:textId="77777777" w:rsidR="00790ADA" w:rsidRPr="00FB3A86"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E90CAE" w14:textId="77777777" w:rsidR="0089681C" w:rsidRPr="0089681C" w:rsidRDefault="0089681C" w:rsidP="0089681C">
      <w:pPr>
        <w:pStyle w:val="Body"/>
        <w:spacing w:after="0"/>
        <w:rPr>
          <w:rFonts w:ascii="Arial" w:hAnsi="Arial" w:cs="Arial"/>
        </w:rPr>
      </w:pPr>
      <w:r w:rsidRPr="0089681C">
        <w:rPr>
          <w:rFonts w:ascii="Arial" w:hAnsi="Arial" w:cs="Arial"/>
        </w:rPr>
        <w:t>The systematic synthesis of ecotourism and learning research in Asia from 2015 to 2025 demonstrates a rapidly expanding interdisciplinary field characterized by conceptual maturity and methodological diversification. The consistent increase in publications after 2021 signals the consolidation of ecotourism as both a pedagogical and sustainability strategy, supported by advances in environmental education, data-driven tourism planning, and community empowerment. Keyword and thematic analyses further confirm a strong convergence between ecological sciences, educational innovation, and technology integration, reflecting the growing influence of the Education for Sustainable Development (ESD) framework. Across the reviewed studies, ecotourism emerges not merely as a form of sustainable travel but as a transformative learning ecosystem that cultivates environmental literacy, cultural sensitivity, and socio-ecological resilience. These findings affirm that the Asian region has become a critical hub for advancing sustainability-oriented education through ecotourism practices that integrate experiential, cultural, and technological dimensions.</w:t>
      </w:r>
    </w:p>
    <w:p w14:paraId="4F986479" w14:textId="77777777" w:rsidR="0089681C" w:rsidRPr="0089681C" w:rsidRDefault="0089681C" w:rsidP="0089681C">
      <w:pPr>
        <w:pStyle w:val="Body"/>
        <w:spacing w:after="0"/>
        <w:rPr>
          <w:rFonts w:ascii="Arial" w:hAnsi="Arial" w:cs="Arial"/>
        </w:rPr>
      </w:pPr>
      <w:r w:rsidRPr="0089681C">
        <w:rPr>
          <w:rFonts w:ascii="Arial" w:hAnsi="Arial" w:cs="Arial"/>
        </w:rPr>
        <w:t xml:space="preserve">Future research should aim to strengthen the theoretical and empirical linkages between ecotourism and sustainability learning through longitudinal, comparative, and participatory approaches. There remains a need to explore underrepresented contexts such as rural and post-conflict areas, as well as to evaluate the long-term impacts of ecotourism-based learning on behavior change and community resilience. Integrating emerging technologies such as artificial intelligence, big data analytics, and immersive learning tools (e.g., VR and AR) could deepen our understanding of how digital transformation supports sustainability pedagogy in </w:t>
      </w:r>
      <w:r w:rsidRPr="0089681C">
        <w:rPr>
          <w:rFonts w:ascii="Arial" w:hAnsi="Arial" w:cs="Arial"/>
        </w:rPr>
        <w:lastRenderedPageBreak/>
        <w:t>ecotourism. Moreover, interdisciplinary collaboration between educators, policymakers, technologists, and local communities is essential to develop inclusive models that bridge environmental management with formal and informal education systems. Such integrative and future-oriented research will ensure that ecotourism continues to evolve as a driver of innovation, equity, and ecological consciousness in sustainability education.</w:t>
      </w:r>
    </w:p>
    <w:p w14:paraId="24535A10" w14:textId="77777777" w:rsidR="00790ADA" w:rsidRPr="00FB3A86" w:rsidRDefault="00790ADA" w:rsidP="00441B6F">
      <w:pPr>
        <w:pStyle w:val="Body"/>
        <w:spacing w:after="0"/>
        <w:rPr>
          <w:rFonts w:ascii="Arial" w:hAnsi="Arial" w:cs="Arial"/>
        </w:rPr>
      </w:pPr>
    </w:p>
    <w:p w14:paraId="38EB6389" w14:textId="77777777" w:rsidR="009C02A8" w:rsidRDefault="009C02A8" w:rsidP="00441B6F">
      <w:pPr>
        <w:pStyle w:val="ReferHead"/>
        <w:spacing w:after="0"/>
        <w:jc w:val="both"/>
        <w:rPr>
          <w:rFonts w:ascii="Arial" w:hAnsi="Arial" w:cs="Arial"/>
          <w:b w:val="0"/>
          <w:caps w:val="0"/>
          <w:sz w:val="20"/>
        </w:rPr>
      </w:pPr>
    </w:p>
    <w:p w14:paraId="4935BE47" w14:textId="77777777" w:rsidR="009C02A8" w:rsidRPr="009C02A8" w:rsidRDefault="009C02A8" w:rsidP="009C02A8">
      <w:pPr>
        <w:pStyle w:val="ReferHead"/>
        <w:jc w:val="both"/>
        <w:rPr>
          <w:rFonts w:ascii="Arial" w:hAnsi="Arial" w:cs="Arial"/>
          <w:b w:val="0"/>
          <w:caps w:val="0"/>
          <w:sz w:val="20"/>
        </w:rPr>
      </w:pPr>
      <w:r w:rsidRPr="009C02A8">
        <w:rPr>
          <w:rFonts w:ascii="Arial" w:hAnsi="Arial" w:cs="Arial"/>
          <w:b w:val="0"/>
          <w:caps w:val="0"/>
          <w:sz w:val="20"/>
        </w:rPr>
        <w:t>COMPETING INTERESTS DISCLAIMER:</w:t>
      </w:r>
    </w:p>
    <w:p w14:paraId="0A88B7B5" w14:textId="2DD18A3A" w:rsidR="009C02A8" w:rsidRDefault="009C02A8" w:rsidP="009C02A8">
      <w:pPr>
        <w:pStyle w:val="ReferHead"/>
        <w:spacing w:after="0"/>
        <w:jc w:val="both"/>
        <w:rPr>
          <w:rFonts w:ascii="Arial" w:hAnsi="Arial" w:cs="Arial"/>
          <w:b w:val="0"/>
          <w:caps w:val="0"/>
          <w:sz w:val="20"/>
        </w:rPr>
      </w:pPr>
      <w:r w:rsidRPr="009C02A8">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DAFDE00" w14:textId="77777777" w:rsidR="004D1FB7" w:rsidRDefault="004D1FB7" w:rsidP="00441B6F">
      <w:pPr>
        <w:pStyle w:val="ReferHead"/>
        <w:spacing w:after="0"/>
        <w:jc w:val="both"/>
        <w:rPr>
          <w:rFonts w:ascii="Arial" w:hAnsi="Arial" w:cs="Arial"/>
          <w:b w:val="0"/>
          <w:caps w:val="0"/>
          <w:sz w:val="20"/>
        </w:rPr>
      </w:pPr>
    </w:p>
    <w:p w14:paraId="1EE477E6" w14:textId="77777777" w:rsidR="004D1FB7" w:rsidRPr="004D1FB7" w:rsidRDefault="004D1FB7" w:rsidP="00441B6F">
      <w:pPr>
        <w:pStyle w:val="ReferHead"/>
        <w:spacing w:after="0"/>
        <w:jc w:val="both"/>
        <w:rPr>
          <w:rFonts w:ascii="Arial" w:hAnsi="Arial" w:cs="Arial"/>
        </w:rPr>
      </w:pPr>
      <w:r w:rsidRPr="00FB3A86">
        <w:rPr>
          <w:rFonts w:ascii="Arial" w:hAnsi="Arial" w:cs="Arial"/>
        </w:rPr>
        <w:t>References</w:t>
      </w:r>
    </w:p>
    <w:p w14:paraId="3DD87A7C" w14:textId="77777777" w:rsidR="004D1FB7" w:rsidRDefault="004D1FB7" w:rsidP="00441B6F">
      <w:pPr>
        <w:pStyle w:val="ReferHead"/>
        <w:spacing w:after="0"/>
        <w:jc w:val="both"/>
        <w:rPr>
          <w:rFonts w:ascii="Arial" w:hAnsi="Arial" w:cs="Arial"/>
          <w:b w:val="0"/>
          <w:caps w:val="0"/>
          <w:sz w:val="20"/>
        </w:rPr>
      </w:pPr>
    </w:p>
    <w:p w14:paraId="34DFCF46"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b/>
          <w:bCs/>
        </w:rPr>
        <w:fldChar w:fldCharType="begin" w:fldLock="1"/>
      </w:r>
      <w:r w:rsidRPr="0089681C">
        <w:rPr>
          <w:rFonts w:ascii="Arial" w:hAnsi="Arial" w:cs="Arial"/>
          <w:b/>
          <w:bCs/>
        </w:rPr>
        <w:instrText xml:space="preserve">ADDIN Mendeley Bibliography CSL_BIBLIOGRAPHY </w:instrText>
      </w:r>
      <w:r w:rsidRPr="0089681C">
        <w:rPr>
          <w:rFonts w:ascii="Arial" w:hAnsi="Arial" w:cs="Arial"/>
          <w:b/>
          <w:bCs/>
        </w:rPr>
        <w:fldChar w:fldCharType="separate"/>
      </w:r>
      <w:r w:rsidRPr="0089681C">
        <w:rPr>
          <w:rFonts w:ascii="Arial" w:hAnsi="Arial" w:cs="Arial"/>
          <w:noProof/>
        </w:rPr>
        <w:t xml:space="preserve">Adulcharoen, W., Suntornvongsagul, K., &amp; Lee, Y.-S. (2020). Assessment of sustainable utilization of ecosystem services in different stages of mangrove forest restoration at klong khone sub-district, Samut Songkhram province, Thailand. </w:t>
      </w:r>
      <w:r w:rsidRPr="0089681C">
        <w:rPr>
          <w:rFonts w:ascii="Arial" w:hAnsi="Arial" w:cs="Arial"/>
          <w:i/>
          <w:iCs/>
          <w:noProof/>
        </w:rPr>
        <w:t>Applied Environmental Research</w:t>
      </w:r>
      <w:r w:rsidRPr="0089681C">
        <w:rPr>
          <w:rFonts w:ascii="Arial" w:hAnsi="Arial" w:cs="Arial"/>
          <w:noProof/>
        </w:rPr>
        <w:t xml:space="preserve">, </w:t>
      </w:r>
      <w:r w:rsidRPr="0089681C">
        <w:rPr>
          <w:rFonts w:ascii="Arial" w:hAnsi="Arial" w:cs="Arial"/>
          <w:i/>
          <w:iCs/>
          <w:noProof/>
        </w:rPr>
        <w:t>42</w:t>
      </w:r>
      <w:r w:rsidRPr="0089681C">
        <w:rPr>
          <w:rFonts w:ascii="Arial" w:hAnsi="Arial" w:cs="Arial"/>
          <w:noProof/>
        </w:rPr>
        <w:t>(1), 43–57. https://doi.org/10.35762/AER.2020.42.1.4</w:t>
      </w:r>
    </w:p>
    <w:p w14:paraId="091F7D4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Aswita, D., Suryadarma, I. G. P., Suyanto, S., &amp; Herawan, T. (2020). The natural resources potency of marine ecotourism as an environmental education source. </w:t>
      </w:r>
      <w:r w:rsidRPr="0089681C">
        <w:rPr>
          <w:rFonts w:ascii="Arial" w:hAnsi="Arial" w:cs="Arial"/>
          <w:i/>
          <w:iCs/>
          <w:noProof/>
        </w:rPr>
        <w:t>Geojournal of Tourism and Geosites</w:t>
      </w:r>
      <w:r w:rsidRPr="0089681C">
        <w:rPr>
          <w:rFonts w:ascii="Arial" w:hAnsi="Arial" w:cs="Arial"/>
          <w:noProof/>
        </w:rPr>
        <w:t xml:space="preserve">, </w:t>
      </w:r>
      <w:r w:rsidRPr="0089681C">
        <w:rPr>
          <w:rFonts w:ascii="Arial" w:hAnsi="Arial" w:cs="Arial"/>
          <w:i/>
          <w:iCs/>
          <w:noProof/>
        </w:rPr>
        <w:t>31</w:t>
      </w:r>
      <w:r w:rsidRPr="0089681C">
        <w:rPr>
          <w:rFonts w:ascii="Arial" w:hAnsi="Arial" w:cs="Arial"/>
          <w:noProof/>
        </w:rPr>
        <w:t>(3), 996–1003. https://doi.org/10.30892/gtg.31310-533</w:t>
      </w:r>
    </w:p>
    <w:p w14:paraId="1817011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Azahra, N. P., Saufi, A., &amp; Suryani, E. (2025). Community-Based Tourism to Support Sustainable Tourism : Comparative Study in Sesaot ( Indonesia ) and Ban Na San ( Thailand ). </w:t>
      </w:r>
      <w:r w:rsidRPr="0089681C">
        <w:rPr>
          <w:rFonts w:ascii="Arial" w:hAnsi="Arial" w:cs="Arial"/>
          <w:i/>
          <w:iCs/>
          <w:noProof/>
        </w:rPr>
        <w:t>Khazanah Sosial</w:t>
      </w:r>
      <w:r w:rsidRPr="0089681C">
        <w:rPr>
          <w:rFonts w:ascii="Arial" w:hAnsi="Arial" w:cs="Arial"/>
          <w:noProof/>
        </w:rPr>
        <w:t xml:space="preserve">, </w:t>
      </w:r>
      <w:r w:rsidRPr="0089681C">
        <w:rPr>
          <w:rFonts w:ascii="Arial" w:hAnsi="Arial" w:cs="Arial"/>
          <w:i/>
          <w:iCs/>
          <w:noProof/>
        </w:rPr>
        <w:t>7</w:t>
      </w:r>
      <w:r w:rsidRPr="0089681C">
        <w:rPr>
          <w:rFonts w:ascii="Arial" w:hAnsi="Arial" w:cs="Arial"/>
          <w:noProof/>
        </w:rPr>
        <w:t>(3), 768–776. https://doi.org/10.15575/ks.v7i3.48571</w:t>
      </w:r>
    </w:p>
    <w:p w14:paraId="45927EF7"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Bahou, Y., Triki, R., Maâloul, M. H., &amp; Tissaoui, K. (2024). Development of E-Tourism to Achieve Excellence and Sustainable Development in Tourism: Ha’il Region Case Study.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16</w:t>
      </w:r>
      <w:r w:rsidRPr="0089681C">
        <w:rPr>
          <w:rFonts w:ascii="Arial" w:hAnsi="Arial" w:cs="Arial"/>
          <w:noProof/>
        </w:rPr>
        <w:t>(20). https://doi.org/10.3390/su16208872</w:t>
      </w:r>
    </w:p>
    <w:p w14:paraId="201DA3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Baidya, A, Saha, A. K., &amp; Roy, A. (2025). Application of deep learning, machine learning and multi-criteria decision analysis for ecotourism potentiality assessment: a case study of the Sundarban Biosphere Reserve, India. </w:t>
      </w:r>
      <w:r w:rsidRPr="0089681C">
        <w:rPr>
          <w:rFonts w:ascii="Arial" w:hAnsi="Arial" w:cs="Arial"/>
          <w:i/>
          <w:iCs/>
          <w:noProof/>
        </w:rPr>
        <w:t>Discover Artificial Intelligence</w:t>
      </w:r>
      <w:r w:rsidRPr="0089681C">
        <w:rPr>
          <w:rFonts w:ascii="Arial" w:hAnsi="Arial" w:cs="Arial"/>
          <w:noProof/>
        </w:rPr>
        <w:t xml:space="preserve">, </w:t>
      </w:r>
      <w:r w:rsidRPr="0089681C">
        <w:rPr>
          <w:rFonts w:ascii="Arial" w:hAnsi="Arial" w:cs="Arial"/>
          <w:i/>
          <w:iCs/>
          <w:noProof/>
        </w:rPr>
        <w:t>5</w:t>
      </w:r>
      <w:r w:rsidRPr="0089681C">
        <w:rPr>
          <w:rFonts w:ascii="Arial" w:hAnsi="Arial" w:cs="Arial"/>
          <w:noProof/>
        </w:rPr>
        <w:t>(1). https://doi.org/10.1007/s44163-025-00496-2</w:t>
      </w:r>
    </w:p>
    <w:p w14:paraId="2C246932"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Baidya, Arup, &amp; Saha, A. K. (2024). Exploring the research trends in climate change and sustainable development: A bibliometric study. </w:t>
      </w:r>
      <w:r w:rsidRPr="0089681C">
        <w:rPr>
          <w:rFonts w:ascii="Arial" w:hAnsi="Arial" w:cs="Arial"/>
          <w:i/>
          <w:iCs/>
          <w:noProof/>
        </w:rPr>
        <w:t>Cleaner Engineering and Technology</w:t>
      </w:r>
      <w:r w:rsidRPr="0089681C">
        <w:rPr>
          <w:rFonts w:ascii="Arial" w:hAnsi="Arial" w:cs="Arial"/>
          <w:noProof/>
        </w:rPr>
        <w:t xml:space="preserve">, </w:t>
      </w:r>
      <w:r w:rsidRPr="0089681C">
        <w:rPr>
          <w:rFonts w:ascii="Arial" w:hAnsi="Arial" w:cs="Arial"/>
          <w:i/>
          <w:iCs/>
          <w:noProof/>
        </w:rPr>
        <w:t>18</w:t>
      </w:r>
      <w:r w:rsidRPr="0089681C">
        <w:rPr>
          <w:rFonts w:ascii="Arial" w:hAnsi="Arial" w:cs="Arial"/>
          <w:noProof/>
        </w:rPr>
        <w:t>, 100720. https://doi.org/https://doi.org/10.1016/j.clet.2023.100720</w:t>
      </w:r>
    </w:p>
    <w:p w14:paraId="0BE46C13"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Baloch, Q. B., Shah, S. N., Iqbal, N., Sheeraz, M., Asadullah, M., Mahar, S., &amp; Khan, A. U. (2023). Impact of tourism development upon environmental sustainability: a suggested  framework for sustainable ecotourism. </w:t>
      </w:r>
      <w:r w:rsidRPr="0089681C">
        <w:rPr>
          <w:rFonts w:ascii="Arial" w:hAnsi="Arial" w:cs="Arial"/>
          <w:i/>
          <w:iCs/>
          <w:noProof/>
        </w:rPr>
        <w:t>Environmental Science and Pollution Research International</w:t>
      </w:r>
      <w:r w:rsidRPr="0089681C">
        <w:rPr>
          <w:rFonts w:ascii="Arial" w:hAnsi="Arial" w:cs="Arial"/>
          <w:noProof/>
        </w:rPr>
        <w:t xml:space="preserve">, </w:t>
      </w:r>
      <w:r w:rsidRPr="0089681C">
        <w:rPr>
          <w:rFonts w:ascii="Arial" w:hAnsi="Arial" w:cs="Arial"/>
          <w:i/>
          <w:iCs/>
          <w:noProof/>
        </w:rPr>
        <w:t>30</w:t>
      </w:r>
      <w:r w:rsidRPr="0089681C">
        <w:rPr>
          <w:rFonts w:ascii="Arial" w:hAnsi="Arial" w:cs="Arial"/>
          <w:noProof/>
        </w:rPr>
        <w:t>(3), 5917–5930. https://doi.org/10.1007/s11356-022-22496-w</w:t>
      </w:r>
    </w:p>
    <w:p w14:paraId="5512BE43"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Brennan, B. S., &amp; Kessler, D. (2025). From Ritual to Renewal: Templestays as a Cross-Cultural Model of Sustainable Wellness Tourism in South Korea.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(14). https://doi.org/10.3390/su17146483</w:t>
      </w:r>
    </w:p>
    <w:p w14:paraId="4B19F45E"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Bryce, D., Curran, R., O’Gorman, K., &amp; Taheri, B. (2015). Visitors’ engagement and authenticity: Japanese heritage consumption. </w:t>
      </w:r>
      <w:r w:rsidRPr="0089681C">
        <w:rPr>
          <w:rFonts w:ascii="Arial" w:hAnsi="Arial" w:cs="Arial"/>
          <w:i/>
          <w:iCs/>
          <w:noProof/>
        </w:rPr>
        <w:t>Tourism Management</w:t>
      </w:r>
      <w:r w:rsidRPr="0089681C">
        <w:rPr>
          <w:rFonts w:ascii="Arial" w:hAnsi="Arial" w:cs="Arial"/>
          <w:noProof/>
        </w:rPr>
        <w:t xml:space="preserve">, </w:t>
      </w:r>
      <w:r w:rsidRPr="0089681C">
        <w:rPr>
          <w:rFonts w:ascii="Arial" w:hAnsi="Arial" w:cs="Arial"/>
          <w:i/>
          <w:iCs/>
          <w:noProof/>
        </w:rPr>
        <w:t>46</w:t>
      </w:r>
      <w:r w:rsidRPr="0089681C">
        <w:rPr>
          <w:rFonts w:ascii="Arial" w:hAnsi="Arial" w:cs="Arial"/>
          <w:noProof/>
        </w:rPr>
        <w:t>, 571–581. https://doi.org/https://doi.org/10.1016/j.tourman.2014.08.012</w:t>
      </w:r>
    </w:p>
    <w:p w14:paraId="3DC0A6CB"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Bui, H. T. M., Bui, T., &amp; Pham, B. T. (2024). The role of higher education in achieving sustainable development goals: An evaluation of motivation and capacity of Vietnamese institutions. </w:t>
      </w:r>
      <w:r w:rsidRPr="0089681C">
        <w:rPr>
          <w:rFonts w:ascii="Arial" w:hAnsi="Arial" w:cs="Arial"/>
          <w:i/>
          <w:iCs/>
          <w:noProof/>
        </w:rPr>
        <w:t>The International Journal of Management Education</w:t>
      </w:r>
      <w:r w:rsidRPr="0089681C">
        <w:rPr>
          <w:rFonts w:ascii="Arial" w:hAnsi="Arial" w:cs="Arial"/>
          <w:noProof/>
        </w:rPr>
        <w:t xml:space="preserve">, </w:t>
      </w:r>
      <w:r w:rsidRPr="0089681C">
        <w:rPr>
          <w:rFonts w:ascii="Arial" w:hAnsi="Arial" w:cs="Arial"/>
          <w:i/>
          <w:iCs/>
          <w:noProof/>
        </w:rPr>
        <w:t>22</w:t>
      </w:r>
      <w:r w:rsidRPr="0089681C">
        <w:rPr>
          <w:rFonts w:ascii="Arial" w:hAnsi="Arial" w:cs="Arial"/>
          <w:noProof/>
        </w:rPr>
        <w:t>(3), 101088. https://doi.org/https://doi.org/10.1016/j.ijme.2024.101088</w:t>
      </w:r>
    </w:p>
    <w:p w14:paraId="22CBA220"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Chang, C.-L., &amp; McAleer, M. (2017). Recent topical research on global, energy, health &amp; medical, and tourism economics, and global software: An overview. </w:t>
      </w:r>
      <w:r w:rsidRPr="0089681C">
        <w:rPr>
          <w:rFonts w:ascii="Arial" w:hAnsi="Arial" w:cs="Arial"/>
          <w:i/>
          <w:iCs/>
          <w:noProof/>
        </w:rPr>
        <w:t>Journal of Reviews on Global Economics</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 218–224. https://doi.org/10.6000/1929-7092.2017.06.20</w:t>
      </w:r>
    </w:p>
    <w:p w14:paraId="79175A12"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Cossengue, P. R., Brea, J. F., &amp; Tavares, F. O. (2025). The Transformative Power of </w:t>
      </w:r>
      <w:r w:rsidRPr="0089681C">
        <w:rPr>
          <w:rFonts w:ascii="Arial" w:hAnsi="Arial" w:cs="Arial"/>
          <w:noProof/>
        </w:rPr>
        <w:lastRenderedPageBreak/>
        <w:t xml:space="preserve">Ecotourism: A Comprehensive Review of Its Economic, Social, and Environmental Impacts. </w:t>
      </w:r>
      <w:r w:rsidRPr="0089681C">
        <w:rPr>
          <w:rFonts w:ascii="Arial" w:hAnsi="Arial" w:cs="Arial"/>
          <w:i/>
          <w:iCs/>
          <w:noProof/>
        </w:rPr>
        <w:t>Land</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(8). https://doi.org/10.3390/land14081531</w:t>
      </w:r>
    </w:p>
    <w:p w14:paraId="0FE76A70"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da Silva, A. E., Maracajá, K. F. B., Batalhão, A. C. S., Silva, V. F., &amp; Borges, I. M. S. (2025). Ecotourism and Co-Management: Strengthening Socio-Ecological Resilience in Local Food Systems.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(6). https://doi.org/10.3390/su17062443</w:t>
      </w:r>
    </w:p>
    <w:p w14:paraId="3BEB14F1"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Das, M., &amp; Chatterjee, B. (2015). Ecotourism: A panacea or a predicament? </w:t>
      </w:r>
      <w:r w:rsidRPr="0089681C">
        <w:rPr>
          <w:rFonts w:ascii="Arial" w:hAnsi="Arial" w:cs="Arial"/>
          <w:i/>
          <w:iCs/>
          <w:noProof/>
        </w:rPr>
        <w:t>Tourism Management Perspectives</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(April 2015), 3–16. https://doi.org/10.1016/j.tmp.2015.01.002</w:t>
      </w:r>
    </w:p>
    <w:p w14:paraId="448F3B9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Das, P., Mandal, S., Nedungadi, P., &amp; Raman, R. (2025). Unveiling sustainable tourism themes with machine learning based topic modeling. </w:t>
      </w:r>
      <w:r w:rsidRPr="0089681C">
        <w:rPr>
          <w:rFonts w:ascii="Arial" w:hAnsi="Arial" w:cs="Arial"/>
          <w:i/>
          <w:iCs/>
          <w:noProof/>
        </w:rPr>
        <w:t>Discover Sustainability</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(1). https://doi.org/10.1007/s43621-025-01065-4</w:t>
      </w:r>
    </w:p>
    <w:p w14:paraId="45EEDC9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Dube, K., &amp; Ezeh, P. C. (2025). A Global Perspective on Ecotourism Marketing Trends: A Review.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(13). https://doi.org/10.3390/su17136035</w:t>
      </w:r>
    </w:p>
    <w:p w14:paraId="7792400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Duong, M.-P. T., Lobry de Bruyn, L., Kristiansen, P., Marshall, G. R., &amp; Wilkes, J. (2025). Community-based ecotourism and the challenges of local participation: insights from an ecotourism venture in Cat Tien National Park, Vietnam. </w:t>
      </w:r>
      <w:r w:rsidRPr="0089681C">
        <w:rPr>
          <w:rFonts w:ascii="Arial" w:hAnsi="Arial" w:cs="Arial"/>
          <w:i/>
          <w:iCs/>
          <w:noProof/>
        </w:rPr>
        <w:t>Journal of Environmental Planning and Management</w:t>
      </w:r>
      <w:r w:rsidRPr="0089681C">
        <w:rPr>
          <w:rFonts w:ascii="Arial" w:hAnsi="Arial" w:cs="Arial"/>
          <w:noProof/>
        </w:rPr>
        <w:t xml:space="preserve">, </w:t>
      </w:r>
      <w:r w:rsidRPr="0089681C">
        <w:rPr>
          <w:rFonts w:ascii="Arial" w:hAnsi="Arial" w:cs="Arial"/>
          <w:i/>
          <w:iCs/>
          <w:noProof/>
        </w:rPr>
        <w:t>2025</w:t>
      </w:r>
      <w:r w:rsidRPr="0089681C">
        <w:rPr>
          <w:rFonts w:ascii="Arial" w:hAnsi="Arial" w:cs="Arial"/>
          <w:noProof/>
        </w:rPr>
        <w:t>, 1–27. https://doi.org/10.1080/09640568.2024.2428257</w:t>
      </w:r>
    </w:p>
    <w:p w14:paraId="40B07529"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Eger, C., Munar, A. M., &amp; Hsu, C. (2022). Gender and tourism sustainability. </w:t>
      </w:r>
      <w:r w:rsidRPr="0089681C">
        <w:rPr>
          <w:rFonts w:ascii="Arial" w:hAnsi="Arial" w:cs="Arial"/>
          <w:i/>
          <w:iCs/>
          <w:noProof/>
        </w:rPr>
        <w:t>Journal of Sustainable Tourism</w:t>
      </w:r>
      <w:r w:rsidRPr="0089681C">
        <w:rPr>
          <w:rFonts w:ascii="Arial" w:hAnsi="Arial" w:cs="Arial"/>
          <w:noProof/>
        </w:rPr>
        <w:t xml:space="preserve">, </w:t>
      </w:r>
      <w:r w:rsidRPr="0089681C">
        <w:rPr>
          <w:rFonts w:ascii="Arial" w:hAnsi="Arial" w:cs="Arial"/>
          <w:i/>
          <w:iCs/>
          <w:noProof/>
        </w:rPr>
        <w:t>30</w:t>
      </w:r>
      <w:r w:rsidRPr="0089681C">
        <w:rPr>
          <w:rFonts w:ascii="Arial" w:hAnsi="Arial" w:cs="Arial"/>
          <w:noProof/>
        </w:rPr>
        <w:t>(7), 1459–1475. https://doi.org/10.1080/09669582.2021.1963975</w:t>
      </w:r>
    </w:p>
    <w:p w14:paraId="4C8B8D85"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Ha, N. T. T., Khoa, C. T., Huong, L. T. T., Linh, N. Q., &amp; Bich, N. T. (2023). the Effectiveness of Experiential Learning Models in Teacher Training: a Case Study in Thai Nguyen Province, Vietnam. </w:t>
      </w:r>
      <w:r w:rsidRPr="0089681C">
        <w:rPr>
          <w:rFonts w:ascii="Arial" w:hAnsi="Arial" w:cs="Arial"/>
          <w:i/>
          <w:iCs/>
          <w:noProof/>
        </w:rPr>
        <w:t>European Journal of Education Studies</w:t>
      </w:r>
      <w:r w:rsidRPr="0089681C">
        <w:rPr>
          <w:rFonts w:ascii="Arial" w:hAnsi="Arial" w:cs="Arial"/>
          <w:noProof/>
        </w:rPr>
        <w:t xml:space="preserve">, </w:t>
      </w:r>
      <w:r w:rsidRPr="0089681C">
        <w:rPr>
          <w:rFonts w:ascii="Arial" w:hAnsi="Arial" w:cs="Arial"/>
          <w:i/>
          <w:iCs/>
          <w:noProof/>
        </w:rPr>
        <w:t>10</w:t>
      </w:r>
      <w:r w:rsidRPr="0089681C">
        <w:rPr>
          <w:rFonts w:ascii="Arial" w:hAnsi="Arial" w:cs="Arial"/>
          <w:noProof/>
        </w:rPr>
        <w:t>(7), 431–446. https://doi.org/10.46827/ejes.v10i7.4899</w:t>
      </w:r>
    </w:p>
    <w:p w14:paraId="20C1092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Hariyadi, B. R., Rokhman, A., Rosyadi, S., Yamin, M., &amp; Runtiko, A. G. (2024). the Role of Community-Based Tourism in Sustainable Tourism Village in Indonesia. </w:t>
      </w:r>
      <w:r w:rsidRPr="0089681C">
        <w:rPr>
          <w:rFonts w:ascii="Arial" w:hAnsi="Arial" w:cs="Arial"/>
          <w:i/>
          <w:iCs/>
          <w:noProof/>
        </w:rPr>
        <w:t>Revista de Gestao Social e Ambiental</w:t>
      </w:r>
      <w:r w:rsidRPr="0089681C">
        <w:rPr>
          <w:rFonts w:ascii="Arial" w:hAnsi="Arial" w:cs="Arial"/>
          <w:noProof/>
        </w:rPr>
        <w:t xml:space="preserve">, </w:t>
      </w:r>
      <w:r w:rsidRPr="0089681C">
        <w:rPr>
          <w:rFonts w:ascii="Arial" w:hAnsi="Arial" w:cs="Arial"/>
          <w:i/>
          <w:iCs/>
          <w:noProof/>
        </w:rPr>
        <w:t>18</w:t>
      </w:r>
      <w:r w:rsidRPr="0089681C">
        <w:rPr>
          <w:rFonts w:ascii="Arial" w:hAnsi="Arial" w:cs="Arial"/>
          <w:noProof/>
        </w:rPr>
        <w:t>(7), 1–24. https://doi.org/10.24857/rgsa.v18n7-038</w:t>
      </w:r>
    </w:p>
    <w:p w14:paraId="2889BF5E"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Irmawati, I., &amp; Hasnawati, H. (2024). Community-based Ecotourism Strategy for Local Economic Empowerment. </w:t>
      </w:r>
      <w:r w:rsidRPr="0089681C">
        <w:rPr>
          <w:rFonts w:ascii="Arial" w:hAnsi="Arial" w:cs="Arial"/>
          <w:i/>
          <w:iCs/>
          <w:noProof/>
        </w:rPr>
        <w:t>Journal of Education, Humaniora and Social Sciences (JEHSS)</w:t>
      </w:r>
      <w:r w:rsidRPr="0089681C">
        <w:rPr>
          <w:rFonts w:ascii="Arial" w:hAnsi="Arial" w:cs="Arial"/>
          <w:noProof/>
        </w:rPr>
        <w:t xml:space="preserve">, </w:t>
      </w:r>
      <w:r w:rsidRPr="0089681C">
        <w:rPr>
          <w:rFonts w:ascii="Arial" w:hAnsi="Arial" w:cs="Arial"/>
          <w:i/>
          <w:iCs/>
          <w:noProof/>
        </w:rPr>
        <w:t>7</w:t>
      </w:r>
      <w:r w:rsidRPr="0089681C">
        <w:rPr>
          <w:rFonts w:ascii="Arial" w:hAnsi="Arial" w:cs="Arial"/>
          <w:noProof/>
        </w:rPr>
        <w:t>(2), 395–404. https://doi.org/10.34007/jehss.v7i2.2359</w:t>
      </w:r>
    </w:p>
    <w:p w14:paraId="477F3F95"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Jackson, L. A. (2025). Community-Based Tourism: A Catalyst for Achieving the United Nations Sustainable Development Goals One and Eight. </w:t>
      </w:r>
      <w:r w:rsidRPr="0089681C">
        <w:rPr>
          <w:rFonts w:ascii="Arial" w:hAnsi="Arial" w:cs="Arial"/>
          <w:i/>
          <w:iCs/>
          <w:noProof/>
        </w:rPr>
        <w:t>Tourism and Hospitality</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(1). https://doi.org/10.3390/tourhosp6010029</w:t>
      </w:r>
    </w:p>
    <w:p w14:paraId="77B70713"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Jaya, P. H. I., Izudin, A., &amp; Aditya, R. (2024). The role of ecotourism in developing local communities in Indonesia. </w:t>
      </w:r>
      <w:r w:rsidRPr="0089681C">
        <w:rPr>
          <w:rFonts w:ascii="Arial" w:hAnsi="Arial" w:cs="Arial"/>
          <w:i/>
          <w:iCs/>
          <w:noProof/>
        </w:rPr>
        <w:t>Journal of Ecotourism</w:t>
      </w:r>
      <w:r w:rsidRPr="0089681C">
        <w:rPr>
          <w:rFonts w:ascii="Arial" w:hAnsi="Arial" w:cs="Arial"/>
          <w:noProof/>
        </w:rPr>
        <w:t xml:space="preserve">, </w:t>
      </w:r>
      <w:r w:rsidRPr="0089681C">
        <w:rPr>
          <w:rFonts w:ascii="Arial" w:hAnsi="Arial" w:cs="Arial"/>
          <w:i/>
          <w:iCs/>
          <w:noProof/>
        </w:rPr>
        <w:t>23</w:t>
      </w:r>
      <w:r w:rsidRPr="0089681C">
        <w:rPr>
          <w:rFonts w:ascii="Arial" w:hAnsi="Arial" w:cs="Arial"/>
          <w:noProof/>
        </w:rPr>
        <w:t>(1), 20–37. https://doi.org/10.1080/14724049.2022.2117368</w:t>
      </w:r>
    </w:p>
    <w:p w14:paraId="43975CD6"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Jin, J.-H., &amp; Han, J.-S. (2025). A Phenomenological Study on the Experience of Searching for Tourism Information Following the Emergence of ChatGPT: Focused on the Uncanny Valley Theory.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 https://doi.org/10.3390/su17010355</w:t>
      </w:r>
    </w:p>
    <w:p w14:paraId="20D15E2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Kim, M., Xie, Y., &amp; Cirella, G. T. (2019). Sustainable Transformative Economy: Community-Based Ecotourism. In </w:t>
      </w:r>
      <w:r w:rsidRPr="0089681C">
        <w:rPr>
          <w:rFonts w:ascii="Arial" w:hAnsi="Arial" w:cs="Arial"/>
          <w:i/>
          <w:iCs/>
          <w:noProof/>
        </w:rPr>
        <w:t>Sustainability</w:t>
      </w:r>
      <w:r w:rsidRPr="0089681C">
        <w:rPr>
          <w:rFonts w:ascii="Arial" w:hAnsi="Arial" w:cs="Arial"/>
          <w:noProof/>
        </w:rPr>
        <w:t xml:space="preserve"> (Vol. 11, Issue 18). https://doi.org/10.3390/su11184977</w:t>
      </w:r>
    </w:p>
    <w:p w14:paraId="1B16B56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Le, T. T. (2024). Influences of the ecotourism industry in Mekong Delta – Vietnam: The mediating role of Tourist Satisfaction. </w:t>
      </w:r>
      <w:r w:rsidRPr="0089681C">
        <w:rPr>
          <w:rFonts w:ascii="Arial" w:hAnsi="Arial" w:cs="Arial"/>
          <w:i/>
          <w:iCs/>
          <w:noProof/>
        </w:rPr>
        <w:t>Cogent Business &amp; Management</w:t>
      </w:r>
      <w:r w:rsidRPr="0089681C">
        <w:rPr>
          <w:rFonts w:ascii="Arial" w:hAnsi="Arial" w:cs="Arial"/>
          <w:noProof/>
        </w:rPr>
        <w:t xml:space="preserve">, </w:t>
      </w:r>
      <w:r w:rsidRPr="0089681C">
        <w:rPr>
          <w:rFonts w:ascii="Arial" w:hAnsi="Arial" w:cs="Arial"/>
          <w:i/>
          <w:iCs/>
          <w:noProof/>
        </w:rPr>
        <w:t>11</w:t>
      </w:r>
      <w:r w:rsidRPr="0089681C">
        <w:rPr>
          <w:rFonts w:ascii="Arial" w:hAnsi="Arial" w:cs="Arial"/>
          <w:noProof/>
        </w:rPr>
        <w:t>(1), 2353570. https://doi.org/10.1080/23311975.2024.2353570</w:t>
      </w:r>
    </w:p>
    <w:p w14:paraId="513AB83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López-Vera, B. M., &amp; Pelegrín-Entenza, N. (2025). Methodological Reflection on Sustainable Tourism in Protected Natural Areas.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(14). https://doi.org/10.3390/su17146558</w:t>
      </w:r>
    </w:p>
    <w:p w14:paraId="54BAEB5A"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Massiseng, A. N. A., Tuwo, A., Fachry, M. E., &amp; Bahar, A. (2022). Characteristics of plastic waste and perceptions of coastal communities in the Baluno mangrove ecotourism area, West Sulawesi, Indonesia. </w:t>
      </w:r>
      <w:r w:rsidRPr="0089681C">
        <w:rPr>
          <w:rFonts w:ascii="Arial" w:hAnsi="Arial" w:cs="Arial"/>
          <w:i/>
          <w:iCs/>
          <w:noProof/>
        </w:rPr>
        <w:t>Biodiversitas</w:t>
      </w:r>
      <w:r w:rsidRPr="0089681C">
        <w:rPr>
          <w:rFonts w:ascii="Arial" w:hAnsi="Arial" w:cs="Arial"/>
          <w:noProof/>
        </w:rPr>
        <w:t xml:space="preserve">, </w:t>
      </w:r>
      <w:r w:rsidRPr="0089681C">
        <w:rPr>
          <w:rFonts w:ascii="Arial" w:hAnsi="Arial" w:cs="Arial"/>
          <w:i/>
          <w:iCs/>
          <w:noProof/>
        </w:rPr>
        <w:t>23</w:t>
      </w:r>
      <w:r w:rsidRPr="0089681C">
        <w:rPr>
          <w:rFonts w:ascii="Arial" w:hAnsi="Arial" w:cs="Arial"/>
          <w:noProof/>
        </w:rPr>
        <w:t xml:space="preserve">(12), 6262–6274. </w:t>
      </w:r>
      <w:r w:rsidRPr="0089681C">
        <w:rPr>
          <w:rFonts w:ascii="Arial" w:hAnsi="Arial" w:cs="Arial"/>
          <w:noProof/>
        </w:rPr>
        <w:lastRenderedPageBreak/>
        <w:t>https://doi.org/10.13057/biodiv/d231222</w:t>
      </w:r>
    </w:p>
    <w:p w14:paraId="21E3CAD1"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Oltean, F. D., Curta, P. A., Nagy, B., Huseyn, A., &amp; Gabor, M. R. (2025). Changes in Tourists’ Perceptions of Community-Based Ecotourism (CBET) After COVID-19 Pandemic: A Study on the Country of Origin and Economic Development Level. In </w:t>
      </w:r>
      <w:r w:rsidRPr="0089681C">
        <w:rPr>
          <w:rFonts w:ascii="Arial" w:hAnsi="Arial" w:cs="Arial"/>
          <w:i/>
          <w:iCs/>
          <w:noProof/>
        </w:rPr>
        <w:t>ISPRS International Journal of Geo-Information</w:t>
      </w:r>
      <w:r w:rsidRPr="0089681C">
        <w:rPr>
          <w:rFonts w:ascii="Arial" w:hAnsi="Arial" w:cs="Arial"/>
          <w:noProof/>
        </w:rPr>
        <w:t xml:space="preserve"> (Vol. 14, Issue 4). https://doi.org/10.3390/ijgi14040146</w:t>
      </w:r>
    </w:p>
    <w:p w14:paraId="3AE875B7"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Pai, H. I. L. (2013). </w:t>
      </w:r>
      <w:r w:rsidRPr="0089681C">
        <w:rPr>
          <w:rFonts w:ascii="Arial" w:hAnsi="Arial" w:cs="Arial"/>
          <w:i/>
          <w:iCs/>
          <w:noProof/>
        </w:rPr>
        <w:t>Heritage Management in Korea and Japan</w:t>
      </w:r>
      <w:r w:rsidRPr="0089681C">
        <w:rPr>
          <w:rFonts w:ascii="Arial" w:hAnsi="Arial" w:cs="Arial"/>
          <w:noProof/>
        </w:rPr>
        <w:t>. University of Washington Press. http://www.jstor.org/stable/j.ctvcwnw9r</w:t>
      </w:r>
    </w:p>
    <w:p w14:paraId="02F8B365"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Park, E., Kim, Y., &amp; Choi, H.-S. (2024). Institutional approach for ecotourism collaboration between South Korea and Japan: exploration of criteria for ecotourism joint-certification. </w:t>
      </w:r>
      <w:r w:rsidRPr="0089681C">
        <w:rPr>
          <w:rFonts w:ascii="Arial" w:hAnsi="Arial" w:cs="Arial"/>
          <w:i/>
          <w:iCs/>
          <w:noProof/>
        </w:rPr>
        <w:t>Asia Pacific Journal of Tourism Research</w:t>
      </w:r>
      <w:r w:rsidRPr="0089681C">
        <w:rPr>
          <w:rFonts w:ascii="Arial" w:hAnsi="Arial" w:cs="Arial"/>
          <w:noProof/>
        </w:rPr>
        <w:t xml:space="preserve">, </w:t>
      </w:r>
      <w:r w:rsidRPr="0089681C">
        <w:rPr>
          <w:rFonts w:ascii="Arial" w:hAnsi="Arial" w:cs="Arial"/>
          <w:i/>
          <w:iCs/>
          <w:noProof/>
        </w:rPr>
        <w:t>29</w:t>
      </w:r>
      <w:r w:rsidRPr="0089681C">
        <w:rPr>
          <w:rFonts w:ascii="Arial" w:hAnsi="Arial" w:cs="Arial"/>
          <w:noProof/>
        </w:rPr>
        <w:t>(12), 1473–1489. https://doi.org/10.1080/10941665.2024.2401962</w:t>
      </w:r>
    </w:p>
    <w:p w14:paraId="1A06C8D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Phuong, H. Y., Tran, N. B. C., Nguyen, T. T. L., Lam, T. D., Bui, N. Q., &amp; Le, T. T. (2025). From tests to tasks: how Vietnamese EFL teachers navigate washback through formative assessment practices. </w:t>
      </w:r>
      <w:r w:rsidRPr="0089681C">
        <w:rPr>
          <w:rFonts w:ascii="Arial" w:hAnsi="Arial" w:cs="Arial"/>
          <w:i/>
          <w:iCs/>
          <w:noProof/>
        </w:rPr>
        <w:t>Language Testing in Asia</w:t>
      </w:r>
      <w:r w:rsidRPr="0089681C">
        <w:rPr>
          <w:rFonts w:ascii="Arial" w:hAnsi="Arial" w:cs="Arial"/>
          <w:noProof/>
        </w:rPr>
        <w:t xml:space="preserve">, </w:t>
      </w:r>
      <w:r w:rsidRPr="0089681C">
        <w:rPr>
          <w:rFonts w:ascii="Arial" w:hAnsi="Arial" w:cs="Arial"/>
          <w:i/>
          <w:iCs/>
          <w:noProof/>
        </w:rPr>
        <w:t>15</w:t>
      </w:r>
      <w:r w:rsidRPr="0089681C">
        <w:rPr>
          <w:rFonts w:ascii="Arial" w:hAnsi="Arial" w:cs="Arial"/>
          <w:noProof/>
        </w:rPr>
        <w:t>(1), 45. https://doi.org/10.1186/s40468-025-00392-7</w:t>
      </w:r>
    </w:p>
    <w:p w14:paraId="11548F59"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Purwoko, A., Kuswanda, W., Situmorang, R. O., Hutapea, F. J., Saputra, M. H., &amp; Pasaribu, P. H. (2022). Orangutan Ecotourism on Sumatra Island: Current Conditions and a Call for Further Development.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(18). https://doi.org/10.3390/su141811328</w:t>
      </w:r>
    </w:p>
    <w:p w14:paraId="740BF144"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Salman, A., Jaafar, M., Mohamad, D., Ebekozien, A., &amp; Rasul, T. (2024). The multi-stakeholder role in Asian sustainable ecotourism: a systematic review. </w:t>
      </w:r>
      <w:r w:rsidRPr="0089681C">
        <w:rPr>
          <w:rFonts w:ascii="Arial" w:hAnsi="Arial" w:cs="Arial"/>
          <w:i/>
          <w:iCs/>
          <w:noProof/>
        </w:rPr>
        <w:t>PSU Research Review</w:t>
      </w:r>
      <w:r w:rsidRPr="0089681C">
        <w:rPr>
          <w:rFonts w:ascii="Arial" w:hAnsi="Arial" w:cs="Arial"/>
          <w:noProof/>
        </w:rPr>
        <w:t xml:space="preserve">, </w:t>
      </w:r>
      <w:r w:rsidRPr="0089681C">
        <w:rPr>
          <w:rFonts w:ascii="Arial" w:hAnsi="Arial" w:cs="Arial"/>
          <w:i/>
          <w:iCs/>
          <w:noProof/>
        </w:rPr>
        <w:t>8</w:t>
      </w:r>
      <w:r w:rsidRPr="0089681C">
        <w:rPr>
          <w:rFonts w:ascii="Arial" w:hAnsi="Arial" w:cs="Arial"/>
          <w:noProof/>
        </w:rPr>
        <w:t>(3), 940–958. https://doi.org/10.1108/PRR-05-2022-0048</w:t>
      </w:r>
    </w:p>
    <w:p w14:paraId="0933B6CA"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Sánchez-Emeterio, G., Honrubia Montesinos, C., Gómez Pozos, A., &amp; Sanchez-Ramos, D. (2025). Transfer in Teacher Training: Integrating Socio-Environmental Issues Through an Educational Trail. </w:t>
      </w:r>
      <w:r w:rsidRPr="0089681C">
        <w:rPr>
          <w:rFonts w:ascii="Arial" w:hAnsi="Arial" w:cs="Arial"/>
          <w:i/>
          <w:iCs/>
          <w:noProof/>
        </w:rPr>
        <w:t>Sustainability</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(18). https://doi.org/10.3390/su17188098</w:t>
      </w:r>
    </w:p>
    <w:p w14:paraId="1FF82B3E"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Sayuti, R. H. (2023). Community Readiness in Implementing Sustainable Tourism on Small Islands: Evidence from Lombok, Indonesia. In </w:t>
      </w:r>
      <w:r w:rsidRPr="0089681C">
        <w:rPr>
          <w:rFonts w:ascii="Arial" w:hAnsi="Arial" w:cs="Arial"/>
          <w:i/>
          <w:iCs/>
          <w:noProof/>
        </w:rPr>
        <w:t>Sustainability</w:t>
      </w:r>
      <w:r w:rsidRPr="0089681C">
        <w:rPr>
          <w:rFonts w:ascii="Arial" w:hAnsi="Arial" w:cs="Arial"/>
          <w:noProof/>
        </w:rPr>
        <w:t xml:space="preserve"> (Vol. 15, Issue 12). https://doi.org/10.3390/su15129725</w:t>
      </w:r>
    </w:p>
    <w:p w14:paraId="0E9FA46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Shusheng, X., Jingqian, X., &amp; Chen, C. (2023). Integrated management improves emerging coastal industries and ecological restoration with the participation of social capital. </w:t>
      </w:r>
      <w:r w:rsidRPr="0089681C">
        <w:rPr>
          <w:rFonts w:ascii="Arial" w:hAnsi="Arial" w:cs="Arial"/>
          <w:i/>
          <w:iCs/>
          <w:noProof/>
        </w:rPr>
        <w:t>Frontiers in Marine Science</w:t>
      </w:r>
      <w:r w:rsidRPr="0089681C">
        <w:rPr>
          <w:rFonts w:ascii="Arial" w:hAnsi="Arial" w:cs="Arial"/>
          <w:noProof/>
        </w:rPr>
        <w:t xml:space="preserve">, </w:t>
      </w:r>
      <w:r w:rsidRPr="0089681C">
        <w:rPr>
          <w:rFonts w:ascii="Arial" w:hAnsi="Arial" w:cs="Arial"/>
          <w:i/>
          <w:iCs/>
          <w:noProof/>
        </w:rPr>
        <w:t>9</w:t>
      </w:r>
      <w:r w:rsidRPr="0089681C">
        <w:rPr>
          <w:rFonts w:ascii="Arial" w:hAnsi="Arial" w:cs="Arial"/>
          <w:noProof/>
        </w:rPr>
        <w:t>. https://doi.org/10.3389/fmars.2022.1015262</w:t>
      </w:r>
    </w:p>
    <w:p w14:paraId="1D736D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Sianipar, I. M. J., Lee, C.-H., Kim, D.-C., &amp; Suryawan, I. W. K. (2025). Adaptive strategies and community engagement for sustainable conservation and tourism in Komodo National Park, Indonesia. </w:t>
      </w:r>
      <w:r w:rsidRPr="0089681C">
        <w:rPr>
          <w:rFonts w:ascii="Arial" w:hAnsi="Arial" w:cs="Arial"/>
          <w:i/>
          <w:iCs/>
          <w:noProof/>
        </w:rPr>
        <w:t>International Journal of Geoheritage and Parks</w:t>
      </w:r>
      <w:r w:rsidRPr="0089681C">
        <w:rPr>
          <w:rFonts w:ascii="Arial" w:hAnsi="Arial" w:cs="Arial"/>
          <w:noProof/>
        </w:rPr>
        <w:t xml:space="preserve">, </w:t>
      </w:r>
      <w:r w:rsidRPr="0089681C">
        <w:rPr>
          <w:rFonts w:ascii="Arial" w:hAnsi="Arial" w:cs="Arial"/>
          <w:i/>
          <w:iCs/>
          <w:noProof/>
        </w:rPr>
        <w:t>13</w:t>
      </w:r>
      <w:r w:rsidRPr="0089681C">
        <w:rPr>
          <w:rFonts w:ascii="Arial" w:hAnsi="Arial" w:cs="Arial"/>
          <w:noProof/>
        </w:rPr>
        <w:t>(3), 335–349. https://doi.org/https://doi.org/10.1016/j.ijgeop.2024.09.004</w:t>
      </w:r>
    </w:p>
    <w:p w14:paraId="704AC50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Sisriany, S., &amp; Furuya, K. (2025). Does Ecotourism Really Benefit the Environment? A Trend Analysis of Forest Cover Loss in Indonesia. </w:t>
      </w:r>
      <w:r w:rsidRPr="0089681C">
        <w:rPr>
          <w:rFonts w:ascii="Arial" w:hAnsi="Arial" w:cs="Arial"/>
          <w:i/>
          <w:iCs/>
          <w:noProof/>
        </w:rPr>
        <w:t>Land</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(6). https://doi.org/10.3390/land14061237</w:t>
      </w:r>
    </w:p>
    <w:p w14:paraId="7F7650AC"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Sung, Y.-C., &amp; Shih, C.-H. (2025). Enhancing Environmental Cognition Through Kayaking in Aquavoltaic Systems in a Lagoon Aquaculture Area: The Mediating Role of Perceived Value and Facility Management. </w:t>
      </w:r>
      <w:r w:rsidRPr="0089681C">
        <w:rPr>
          <w:rFonts w:ascii="Arial" w:hAnsi="Arial" w:cs="Arial"/>
          <w:i/>
          <w:iCs/>
          <w:noProof/>
        </w:rPr>
        <w:t>Water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(13). https://doi.org/10.3390/w17132033</w:t>
      </w:r>
    </w:p>
    <w:p w14:paraId="7901C54D"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Surjanti, J., Soejoto, A., &amp; Seno, D. N. (2020). Mangrove forest ecotourism: Participatory ecological learning and sustainability of students’ behavior through self-efficacy and self-concept. </w:t>
      </w:r>
      <w:r w:rsidRPr="0089681C">
        <w:rPr>
          <w:rFonts w:ascii="Arial" w:hAnsi="Arial" w:cs="Arial"/>
          <w:i/>
          <w:iCs/>
          <w:noProof/>
        </w:rPr>
        <w:t>Social Sciences and Humanities Open</w:t>
      </w:r>
      <w:r w:rsidRPr="0089681C">
        <w:rPr>
          <w:rFonts w:ascii="Arial" w:hAnsi="Arial" w:cs="Arial"/>
          <w:noProof/>
        </w:rPr>
        <w:t xml:space="preserve">, </w:t>
      </w:r>
      <w:r w:rsidRPr="0089681C">
        <w:rPr>
          <w:rFonts w:ascii="Arial" w:hAnsi="Arial" w:cs="Arial"/>
          <w:i/>
          <w:iCs/>
          <w:noProof/>
        </w:rPr>
        <w:t>2</w:t>
      </w:r>
      <w:r w:rsidRPr="0089681C">
        <w:rPr>
          <w:rFonts w:ascii="Arial" w:hAnsi="Arial" w:cs="Arial"/>
          <w:noProof/>
        </w:rPr>
        <w:t>(1). https://doi.org/10.1016/j.ssaho.2019.100009</w:t>
      </w:r>
    </w:p>
    <w:p w14:paraId="53FB0DB0"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Teeravarunyou, S., Kamolwit, K., Kitirojpan, P., Pattanachan, P., Tirachulee, B., &amp; Buddhawong, S. (2025). Validating the Community Forest Intention Model: Exploring Tourist Experience, Satisfaction, and Sustainable Intentions in Community-Based Ecotourism.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(17). https://doi.org/10.3390/su17177644</w:t>
      </w:r>
    </w:p>
    <w:p w14:paraId="6148F65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Thuy, V. T. N., &amp; Thao, H. D. P. (2019). Ecotourists’ satisfaction and dissatisfaction: asymmetric effects of service attributes. </w:t>
      </w:r>
      <w:r w:rsidRPr="0089681C">
        <w:rPr>
          <w:rFonts w:ascii="Arial" w:hAnsi="Arial" w:cs="Arial"/>
          <w:i/>
          <w:iCs/>
          <w:noProof/>
        </w:rPr>
        <w:t>Journal of Asian Business and Economic Studies</w:t>
      </w:r>
      <w:r w:rsidRPr="0089681C">
        <w:rPr>
          <w:rFonts w:ascii="Arial" w:hAnsi="Arial" w:cs="Arial"/>
          <w:noProof/>
        </w:rPr>
        <w:t xml:space="preserve">, </w:t>
      </w:r>
      <w:r w:rsidRPr="0089681C">
        <w:rPr>
          <w:rFonts w:ascii="Arial" w:hAnsi="Arial" w:cs="Arial"/>
          <w:i/>
          <w:iCs/>
          <w:noProof/>
        </w:rPr>
        <w:t>26</w:t>
      </w:r>
      <w:r w:rsidRPr="0089681C">
        <w:rPr>
          <w:rFonts w:ascii="Arial" w:hAnsi="Arial" w:cs="Arial"/>
          <w:noProof/>
        </w:rPr>
        <w:t>(2), 189–205. https://doi.org/10.1108/JABES-07-2018-0051</w:t>
      </w:r>
    </w:p>
    <w:p w14:paraId="472087C2"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lastRenderedPageBreak/>
        <w:t xml:space="preserve">Tien, N. D., Lam Duyen, T. N., Thanh Huyen, N. T., Anh, P. Q., Oanh, N. T., Tich, V. Van, Dat, D. T., Hong Hanh, N. T., &amp; Trang, V. H. (2024). Community-based ecotourism for sustainability: An evaluative analysis of Binh Son district, Quang Ngai province in Vietnam. </w:t>
      </w:r>
      <w:r w:rsidRPr="0089681C">
        <w:rPr>
          <w:rFonts w:ascii="Arial" w:hAnsi="Arial" w:cs="Arial"/>
          <w:i/>
          <w:iCs/>
          <w:noProof/>
        </w:rPr>
        <w:t>Social Sciences &amp; Humanities Open</w:t>
      </w:r>
      <w:r w:rsidRPr="0089681C">
        <w:rPr>
          <w:rFonts w:ascii="Arial" w:hAnsi="Arial" w:cs="Arial"/>
          <w:noProof/>
        </w:rPr>
        <w:t xml:space="preserve">, </w:t>
      </w:r>
      <w:r w:rsidRPr="0089681C">
        <w:rPr>
          <w:rFonts w:ascii="Arial" w:hAnsi="Arial" w:cs="Arial"/>
          <w:i/>
          <w:iCs/>
          <w:noProof/>
        </w:rPr>
        <w:t>9</w:t>
      </w:r>
      <w:r w:rsidRPr="0089681C">
        <w:rPr>
          <w:rFonts w:ascii="Arial" w:hAnsi="Arial" w:cs="Arial"/>
          <w:noProof/>
        </w:rPr>
        <w:t>, 100807. https://doi.org/https://doi.org/10.1016/j.ssaho.2024.100807</w:t>
      </w:r>
    </w:p>
    <w:p w14:paraId="4604F0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Tilavova, M., Safarova, N., Alimova, M., &amp; Bo’ronova, N. (2024). Ecotourism as a sustainable development strategy: Exploring the role of natural resource management. </w:t>
      </w:r>
      <w:r w:rsidRPr="0089681C">
        <w:rPr>
          <w:rFonts w:ascii="Arial" w:hAnsi="Arial" w:cs="Arial"/>
          <w:i/>
          <w:iCs/>
          <w:noProof/>
        </w:rPr>
        <w:t>E3S Web of Conferences</w:t>
      </w:r>
      <w:r w:rsidRPr="0089681C">
        <w:rPr>
          <w:rFonts w:ascii="Arial" w:hAnsi="Arial" w:cs="Arial"/>
          <w:noProof/>
        </w:rPr>
        <w:t xml:space="preserve">, </w:t>
      </w:r>
      <w:r w:rsidRPr="0089681C">
        <w:rPr>
          <w:rFonts w:ascii="Arial" w:hAnsi="Arial" w:cs="Arial"/>
          <w:i/>
          <w:iCs/>
          <w:noProof/>
        </w:rPr>
        <w:t>587</w:t>
      </w:r>
      <w:r w:rsidRPr="0089681C">
        <w:rPr>
          <w:rFonts w:ascii="Arial" w:hAnsi="Arial" w:cs="Arial"/>
          <w:noProof/>
        </w:rPr>
        <w:t>. https://doi.org/10.1051/e3sconf/202458705020</w:t>
      </w:r>
    </w:p>
    <w:p w14:paraId="46997B38"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Torsney, A., O’Driscoll, P., &amp; Buckley, Y. M. (2025). Defining ecotourism for mainstream application and to support sustainable tourism governance. </w:t>
      </w:r>
      <w:r w:rsidRPr="0089681C">
        <w:rPr>
          <w:rFonts w:ascii="Arial" w:hAnsi="Arial" w:cs="Arial"/>
          <w:i/>
          <w:iCs/>
          <w:noProof/>
        </w:rPr>
        <w:t>Ecological Solutions and Evidence</w:t>
      </w:r>
      <w:r w:rsidRPr="0089681C">
        <w:rPr>
          <w:rFonts w:ascii="Arial" w:hAnsi="Arial" w:cs="Arial"/>
          <w:noProof/>
        </w:rPr>
        <w:t xml:space="preserve">, </w:t>
      </w:r>
      <w:r w:rsidRPr="0089681C">
        <w:rPr>
          <w:rFonts w:ascii="Arial" w:hAnsi="Arial" w:cs="Arial"/>
          <w:i/>
          <w:iCs/>
          <w:noProof/>
        </w:rPr>
        <w:t>6</w:t>
      </w:r>
      <w:r w:rsidRPr="0089681C">
        <w:rPr>
          <w:rFonts w:ascii="Arial" w:hAnsi="Arial" w:cs="Arial"/>
          <w:noProof/>
        </w:rPr>
        <w:t>(2), 1–13. https://doi.org/10.1002/2688-8319.70050</w:t>
      </w:r>
    </w:p>
    <w:p w14:paraId="0918F5E1"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Velempini, K., &amp; Maruatona, T. (2025). A critical review of UNESCO’s influence on lifelong learning and environmental education delivery in Botswana. </w:t>
      </w:r>
      <w:r w:rsidRPr="0089681C">
        <w:rPr>
          <w:rFonts w:ascii="Arial" w:hAnsi="Arial" w:cs="Arial"/>
          <w:i/>
          <w:iCs/>
          <w:noProof/>
        </w:rPr>
        <w:t>International Journal of Lifelong Education</w:t>
      </w:r>
      <w:r w:rsidRPr="0089681C">
        <w:rPr>
          <w:rFonts w:ascii="Arial" w:hAnsi="Arial" w:cs="Arial"/>
          <w:noProof/>
        </w:rPr>
        <w:t xml:space="preserve">, </w:t>
      </w:r>
      <w:r w:rsidRPr="0089681C">
        <w:rPr>
          <w:rFonts w:ascii="Arial" w:hAnsi="Arial" w:cs="Arial"/>
          <w:i/>
          <w:iCs/>
          <w:noProof/>
        </w:rPr>
        <w:t>2025</w:t>
      </w:r>
      <w:r w:rsidRPr="0089681C">
        <w:rPr>
          <w:rFonts w:ascii="Arial" w:hAnsi="Arial" w:cs="Arial"/>
          <w:noProof/>
        </w:rPr>
        <w:t>, 1–22. https://doi.org/10.1080/02601370.2025.2497411</w:t>
      </w:r>
    </w:p>
    <w:p w14:paraId="1D9D66B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World, A., Journal, E., &amp; Id, T. (2020). Can I teach these students? A case study of Vietnamese teachers’ self-efficacy in relation to teaching English as a Foreign Language. </w:t>
      </w:r>
      <w:r w:rsidRPr="0089681C">
        <w:rPr>
          <w:rFonts w:ascii="Arial" w:hAnsi="Arial" w:cs="Arial"/>
          <w:i/>
          <w:iCs/>
          <w:noProof/>
        </w:rPr>
        <w:t>Arab World English Journal</w:t>
      </w:r>
      <w:r w:rsidRPr="0089681C">
        <w:rPr>
          <w:rFonts w:ascii="Arial" w:hAnsi="Arial" w:cs="Arial"/>
          <w:noProof/>
        </w:rPr>
        <w:t xml:space="preserve">, </w:t>
      </w:r>
      <w:r w:rsidRPr="0089681C">
        <w:rPr>
          <w:rFonts w:ascii="Arial" w:hAnsi="Arial" w:cs="Arial"/>
          <w:i/>
          <w:iCs/>
          <w:noProof/>
        </w:rPr>
        <w:t>March</w:t>
      </w:r>
      <w:r w:rsidRPr="0089681C">
        <w:rPr>
          <w:rFonts w:ascii="Arial" w:hAnsi="Arial" w:cs="Arial"/>
          <w:noProof/>
        </w:rPr>
        <w:t>, 1–270.</w:t>
      </w:r>
    </w:p>
    <w:p w14:paraId="3A7B7518"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Wunder, S. (2000). Ecotourism and economic incentives — an empirical approach. </w:t>
      </w:r>
      <w:r w:rsidRPr="0089681C">
        <w:rPr>
          <w:rFonts w:ascii="Arial" w:hAnsi="Arial" w:cs="Arial"/>
          <w:i/>
          <w:iCs/>
          <w:noProof/>
        </w:rPr>
        <w:t>Ecological Economics</w:t>
      </w:r>
      <w:r w:rsidRPr="0089681C">
        <w:rPr>
          <w:rFonts w:ascii="Arial" w:hAnsi="Arial" w:cs="Arial"/>
          <w:noProof/>
        </w:rPr>
        <w:t xml:space="preserve">, </w:t>
      </w:r>
      <w:r w:rsidRPr="0089681C">
        <w:rPr>
          <w:rFonts w:ascii="Arial" w:hAnsi="Arial" w:cs="Arial"/>
          <w:i/>
          <w:iCs/>
          <w:noProof/>
        </w:rPr>
        <w:t>32</w:t>
      </w:r>
      <w:r w:rsidRPr="0089681C">
        <w:rPr>
          <w:rFonts w:ascii="Arial" w:hAnsi="Arial" w:cs="Arial"/>
          <w:noProof/>
        </w:rPr>
        <w:t>(3), 465–479. https://doi.org/https://doi.org/10.1016/S0921-8009(99)00119-6</w:t>
      </w:r>
    </w:p>
    <w:p w14:paraId="2D47ED0A"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Zainal, S., Nirzalin,  , Fakhrurrazi,  , Yunanda, R., Ilham, I., &amp; Badaruddin,  . (2024). Actualizing local knowledge for sustainable ecotourism development in a protected forest area: insights from the Gayonese in Aceh Tengah, Indonesia. </w:t>
      </w:r>
      <w:r w:rsidRPr="0089681C">
        <w:rPr>
          <w:rFonts w:ascii="Arial" w:hAnsi="Arial" w:cs="Arial"/>
          <w:i/>
          <w:iCs/>
          <w:noProof/>
        </w:rPr>
        <w:t>Cogent Social Sciences</w:t>
      </w:r>
      <w:r w:rsidRPr="0089681C">
        <w:rPr>
          <w:rFonts w:ascii="Arial" w:hAnsi="Arial" w:cs="Arial"/>
          <w:noProof/>
        </w:rPr>
        <w:t xml:space="preserve">, </w:t>
      </w:r>
      <w:r w:rsidRPr="0089681C">
        <w:rPr>
          <w:rFonts w:ascii="Arial" w:hAnsi="Arial" w:cs="Arial"/>
          <w:i/>
          <w:iCs/>
          <w:noProof/>
        </w:rPr>
        <w:t>10</w:t>
      </w:r>
      <w:r w:rsidRPr="0089681C">
        <w:rPr>
          <w:rFonts w:ascii="Arial" w:hAnsi="Arial" w:cs="Arial"/>
          <w:noProof/>
        </w:rPr>
        <w:t>(1), 2302212. https://doi.org/10.1080/23311886.2024.2302212</w:t>
      </w:r>
    </w:p>
    <w:p w14:paraId="3B5D71DF"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Zhang, S., Liu, J., &amp; Li, Y. (2025). Tourism Learning Resources and Development Strategies in China: A Review and Conceptual Framework. </w:t>
      </w:r>
      <w:r w:rsidRPr="0089681C">
        <w:rPr>
          <w:rFonts w:ascii="Arial" w:hAnsi="Arial" w:cs="Arial"/>
          <w:i/>
          <w:iCs/>
          <w:noProof/>
        </w:rPr>
        <w:t>Land</w:t>
      </w:r>
      <w:r w:rsidRPr="0089681C">
        <w:rPr>
          <w:rFonts w:ascii="Arial" w:hAnsi="Arial" w:cs="Arial"/>
          <w:noProof/>
        </w:rPr>
        <w:t xml:space="preserve">, </w:t>
      </w:r>
      <w:r w:rsidRPr="0089681C">
        <w:rPr>
          <w:rFonts w:ascii="Arial" w:hAnsi="Arial" w:cs="Arial"/>
          <w:i/>
          <w:iCs/>
          <w:noProof/>
        </w:rPr>
        <w:t>14</w:t>
      </w:r>
      <w:r w:rsidRPr="0089681C">
        <w:rPr>
          <w:rFonts w:ascii="Arial" w:hAnsi="Arial" w:cs="Arial"/>
          <w:noProof/>
        </w:rPr>
        <w:t>(7). https://doi.org/10.3390/land14071421</w:t>
      </w:r>
    </w:p>
    <w:p w14:paraId="0AE65EAB" w14:textId="77777777" w:rsidR="0089681C" w:rsidRPr="0089681C" w:rsidRDefault="0089681C" w:rsidP="0089681C">
      <w:pPr>
        <w:widowControl w:val="0"/>
        <w:autoSpaceDE w:val="0"/>
        <w:autoSpaceDN w:val="0"/>
        <w:adjustRightInd w:val="0"/>
        <w:ind w:left="480" w:hanging="480"/>
        <w:rPr>
          <w:rFonts w:ascii="Arial" w:hAnsi="Arial" w:cs="Arial"/>
          <w:noProof/>
        </w:rPr>
      </w:pPr>
      <w:r w:rsidRPr="0089681C">
        <w:rPr>
          <w:rFonts w:ascii="Arial" w:hAnsi="Arial" w:cs="Arial"/>
          <w:noProof/>
        </w:rPr>
        <w:t xml:space="preserve">Zhang, Y., Tan, W. H., &amp; Zeng, Z. (2025). Tourism Demand Forecasting Based on a Hybrid Temporal Neural Network Model for Sustainable Tourism. </w:t>
      </w:r>
      <w:r w:rsidRPr="0089681C">
        <w:rPr>
          <w:rFonts w:ascii="Arial" w:hAnsi="Arial" w:cs="Arial"/>
          <w:i/>
          <w:iCs/>
          <w:noProof/>
        </w:rPr>
        <w:t>Sustainability (Switzerland)</w:t>
      </w:r>
      <w:r w:rsidRPr="0089681C">
        <w:rPr>
          <w:rFonts w:ascii="Arial" w:hAnsi="Arial" w:cs="Arial"/>
          <w:noProof/>
        </w:rPr>
        <w:t xml:space="preserve">, </w:t>
      </w:r>
      <w:r w:rsidRPr="0089681C">
        <w:rPr>
          <w:rFonts w:ascii="Arial" w:hAnsi="Arial" w:cs="Arial"/>
          <w:i/>
          <w:iCs/>
          <w:noProof/>
        </w:rPr>
        <w:t>17</w:t>
      </w:r>
      <w:r w:rsidRPr="0089681C">
        <w:rPr>
          <w:rFonts w:ascii="Arial" w:hAnsi="Arial" w:cs="Arial"/>
          <w:noProof/>
        </w:rPr>
        <w:t>(5). https://doi.org/10.3390/su17052210</w:t>
      </w:r>
    </w:p>
    <w:p w14:paraId="42CA73C1" w14:textId="77777777" w:rsidR="00091805" w:rsidRPr="004D1FB7" w:rsidRDefault="0089681C" w:rsidP="0089681C">
      <w:pPr>
        <w:pStyle w:val="ReferHead"/>
        <w:spacing w:after="0"/>
        <w:jc w:val="both"/>
        <w:rPr>
          <w:rFonts w:ascii="Arial" w:hAnsi="Arial" w:cs="Arial"/>
          <w:b w:val="0"/>
          <w:caps w:val="0"/>
          <w:sz w:val="20"/>
        </w:rPr>
      </w:pPr>
      <w:r w:rsidRPr="0089681C">
        <w:rPr>
          <w:rFonts w:ascii="Arial" w:hAnsi="Arial" w:cs="Arial"/>
          <w:b w:val="0"/>
          <w:bCs/>
          <w:sz w:val="20"/>
        </w:rPr>
        <w:fldChar w:fldCharType="end"/>
      </w:r>
    </w:p>
    <w:p w14:paraId="6BC77E57" w14:textId="77777777" w:rsidR="004D4277" w:rsidRDefault="004D4277" w:rsidP="00441B6F">
      <w:pPr>
        <w:pStyle w:val="Appendix"/>
        <w:spacing w:after="0"/>
        <w:jc w:val="both"/>
        <w:rPr>
          <w:rFonts w:ascii="Arial" w:hAnsi="Arial" w:cs="Arial"/>
          <w:b w:val="0"/>
        </w:rPr>
      </w:pPr>
    </w:p>
    <w:p w14:paraId="5F46B788" w14:textId="77777777" w:rsidR="001B0917" w:rsidRPr="00FB3A86" w:rsidRDefault="001B0917" w:rsidP="00441B6F">
      <w:pPr>
        <w:pStyle w:val="Appendix"/>
        <w:spacing w:after="0"/>
        <w:jc w:val="both"/>
        <w:rPr>
          <w:rFonts w:ascii="Arial" w:hAnsi="Arial" w:cs="Arial"/>
          <w:b w:val="0"/>
        </w:rPr>
        <w:sectPr w:rsidR="001B0917" w:rsidRPr="00FB3A86" w:rsidSect="00F144E4">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36FBB3D9" w14:textId="77777777" w:rsidR="00B01FCD" w:rsidRPr="00FB3A86" w:rsidRDefault="00B01FCD" w:rsidP="00441B6F">
      <w:pPr>
        <w:pStyle w:val="Appendix"/>
        <w:spacing w:after="0"/>
        <w:jc w:val="both"/>
        <w:rPr>
          <w:rFonts w:ascii="Arial" w:hAnsi="Arial" w:cs="Arial"/>
          <w:b w:val="0"/>
        </w:rPr>
      </w:pPr>
    </w:p>
    <w:sectPr w:rsidR="00B01FCD" w:rsidRPr="00FB3A86" w:rsidSect="00F144E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684D8" w14:textId="77777777" w:rsidR="00442F2A" w:rsidRDefault="00442F2A" w:rsidP="00C37E61">
      <w:r>
        <w:separator/>
      </w:r>
    </w:p>
  </w:endnote>
  <w:endnote w:type="continuationSeparator" w:id="0">
    <w:p w14:paraId="1D3473A2" w14:textId="77777777" w:rsidR="00442F2A" w:rsidRDefault="00442F2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9C54D" w14:textId="77777777" w:rsidR="00F144E4" w:rsidRDefault="00F14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68A87" w14:textId="77777777" w:rsidR="00F144E4" w:rsidRDefault="00F144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3BF1" w14:textId="56F982E2" w:rsidR="00754C9A" w:rsidRPr="00F144E4" w:rsidRDefault="00754C9A" w:rsidP="00F144E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6EE8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F0136" w14:textId="77777777" w:rsidR="00442F2A" w:rsidRDefault="00442F2A" w:rsidP="00C37E61">
      <w:r>
        <w:separator/>
      </w:r>
    </w:p>
  </w:footnote>
  <w:footnote w:type="continuationSeparator" w:id="0">
    <w:p w14:paraId="32EA464F" w14:textId="77777777" w:rsidR="00442F2A" w:rsidRDefault="00442F2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1C1F" w14:textId="273968B2" w:rsidR="00F144E4" w:rsidRDefault="00F144E4">
    <w:pPr>
      <w:pStyle w:val="Header"/>
    </w:pPr>
    <w:r>
      <w:rPr>
        <w:noProof/>
      </w:rPr>
      <w:pict w14:anchorId="50B41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AA9B" w14:textId="19DB0171" w:rsidR="00F144E4" w:rsidRDefault="00F144E4">
    <w:pPr>
      <w:pStyle w:val="Header"/>
    </w:pPr>
    <w:r>
      <w:rPr>
        <w:noProof/>
      </w:rPr>
      <w:pict w14:anchorId="5EA92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7439C" w14:textId="0A4A3B57" w:rsidR="00296529" w:rsidRPr="00296529" w:rsidRDefault="00F144E4" w:rsidP="00296529">
    <w:pPr>
      <w:ind w:left="2160"/>
      <w:jc w:val="center"/>
      <w:rPr>
        <w:rFonts w:ascii="Times New Roman" w:eastAsia="Calibri" w:hAnsi="Times New Roman"/>
        <w:i/>
        <w:sz w:val="18"/>
        <w:szCs w:val="22"/>
      </w:rPr>
    </w:pPr>
    <w:r>
      <w:rPr>
        <w:noProof/>
      </w:rPr>
      <w:pict w14:anchorId="0185E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869A2D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798228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271D03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34D9D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AAC64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85ED6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1E3E3" w14:textId="4B56F8A7" w:rsidR="00F144E4" w:rsidRDefault="00F144E4">
    <w:pPr>
      <w:pStyle w:val="Header"/>
    </w:pPr>
    <w:r>
      <w:rPr>
        <w:noProof/>
      </w:rPr>
      <w:pict w14:anchorId="135F5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7EE0" w14:textId="43957014" w:rsidR="00F144E4" w:rsidRDefault="00F144E4">
    <w:pPr>
      <w:pStyle w:val="Header"/>
    </w:pPr>
    <w:r>
      <w:rPr>
        <w:noProof/>
      </w:rPr>
      <w:pict w14:anchorId="1949E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22D7" w14:textId="3DBAD9FB" w:rsidR="00F144E4" w:rsidRDefault="00F144E4">
    <w:pPr>
      <w:pStyle w:val="Header"/>
    </w:pPr>
    <w:r>
      <w:rPr>
        <w:noProof/>
      </w:rPr>
      <w:pict w14:anchorId="22D41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2395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D143CD"/>
    <w:multiLevelType w:val="multilevel"/>
    <w:tmpl w:val="8F80A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0B0179"/>
    <w:multiLevelType w:val="multilevel"/>
    <w:tmpl w:val="729C48D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E18D4"/>
    <w:multiLevelType w:val="multilevel"/>
    <w:tmpl w:val="8B9C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F67520"/>
    <w:multiLevelType w:val="hybridMultilevel"/>
    <w:tmpl w:val="8690CB6C"/>
    <w:lvl w:ilvl="0" w:tplc="3CA864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5483707"/>
    <w:multiLevelType w:val="multilevel"/>
    <w:tmpl w:val="A51A8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B5798F"/>
    <w:multiLevelType w:val="multilevel"/>
    <w:tmpl w:val="5EB2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1363B"/>
    <w:multiLevelType w:val="multilevel"/>
    <w:tmpl w:val="66EE4A1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F17BA6"/>
    <w:multiLevelType w:val="multilevel"/>
    <w:tmpl w:val="CCDE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3"/>
  </w:num>
  <w:num w:numId="10">
    <w:abstractNumId w:val="2"/>
  </w:num>
  <w:num w:numId="11">
    <w:abstractNumId w:val="26"/>
  </w:num>
  <w:num w:numId="12">
    <w:abstractNumId w:val="3"/>
  </w:num>
  <w:num w:numId="13">
    <w:abstractNumId w:val="25"/>
  </w:num>
  <w:num w:numId="14">
    <w:abstractNumId w:val="10"/>
  </w:num>
  <w:num w:numId="15">
    <w:abstractNumId w:val="29"/>
  </w:num>
  <w:num w:numId="16">
    <w:abstractNumId w:val="5"/>
  </w:num>
  <w:num w:numId="17">
    <w:abstractNumId w:val="30"/>
  </w:num>
  <w:num w:numId="18">
    <w:abstractNumId w:val="18"/>
  </w:num>
  <w:num w:numId="19">
    <w:abstractNumId w:val="36"/>
  </w:num>
  <w:num w:numId="20">
    <w:abstractNumId w:val="14"/>
  </w:num>
  <w:num w:numId="21">
    <w:abstractNumId w:val="11"/>
  </w:num>
  <w:num w:numId="22">
    <w:abstractNumId w:val="17"/>
  </w:num>
  <w:num w:numId="23">
    <w:abstractNumId w:val="27"/>
  </w:num>
  <w:num w:numId="24">
    <w:abstractNumId w:val="34"/>
  </w:num>
  <w:num w:numId="25">
    <w:abstractNumId w:val="4"/>
  </w:num>
  <w:num w:numId="26">
    <w:abstractNumId w:val="24"/>
  </w:num>
  <w:num w:numId="27">
    <w:abstractNumId w:val="28"/>
  </w:num>
  <w:num w:numId="28">
    <w:abstractNumId w:val="35"/>
  </w:num>
  <w:num w:numId="29">
    <w:abstractNumId w:val="32"/>
  </w:num>
  <w:num w:numId="30">
    <w:abstractNumId w:val="12"/>
  </w:num>
  <w:num w:numId="31">
    <w:abstractNumId w:val="13"/>
  </w:num>
  <w:num w:numId="32">
    <w:abstractNumId w:val="20"/>
  </w:num>
  <w:num w:numId="33">
    <w:abstractNumId w:val="22"/>
  </w:num>
  <w:num w:numId="34">
    <w:abstractNumId w:val="19"/>
  </w:num>
  <w:num w:numId="35">
    <w:abstractNumId w:val="6"/>
  </w:num>
  <w:num w:numId="36">
    <w:abstractNumId w:val="21"/>
  </w:num>
  <w:num w:numId="37">
    <w:abstractNumId w:val="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1805"/>
    <w:rsid w:val="00091FC8"/>
    <w:rsid w:val="000A47FA"/>
    <w:rsid w:val="000A65D3"/>
    <w:rsid w:val="000B1E33"/>
    <w:rsid w:val="000C76C0"/>
    <w:rsid w:val="000D689F"/>
    <w:rsid w:val="000E7B7B"/>
    <w:rsid w:val="000E7D62"/>
    <w:rsid w:val="000F01F2"/>
    <w:rsid w:val="00103357"/>
    <w:rsid w:val="00123C9F"/>
    <w:rsid w:val="00126190"/>
    <w:rsid w:val="00130F17"/>
    <w:rsid w:val="001320BF"/>
    <w:rsid w:val="00163BC4"/>
    <w:rsid w:val="00191062"/>
    <w:rsid w:val="00192B72"/>
    <w:rsid w:val="001A29D8"/>
    <w:rsid w:val="001A5CAA"/>
    <w:rsid w:val="001B0427"/>
    <w:rsid w:val="001B0917"/>
    <w:rsid w:val="001B7E21"/>
    <w:rsid w:val="001D3A51"/>
    <w:rsid w:val="001E10D2"/>
    <w:rsid w:val="001E25B4"/>
    <w:rsid w:val="001E44FE"/>
    <w:rsid w:val="00200595"/>
    <w:rsid w:val="00204835"/>
    <w:rsid w:val="00231920"/>
    <w:rsid w:val="0023195C"/>
    <w:rsid w:val="0024282C"/>
    <w:rsid w:val="002460DC"/>
    <w:rsid w:val="00250985"/>
    <w:rsid w:val="002519B3"/>
    <w:rsid w:val="002556F6"/>
    <w:rsid w:val="00283105"/>
    <w:rsid w:val="00284C4C"/>
    <w:rsid w:val="00287E68"/>
    <w:rsid w:val="00296529"/>
    <w:rsid w:val="002B27FB"/>
    <w:rsid w:val="002B685A"/>
    <w:rsid w:val="002C57D2"/>
    <w:rsid w:val="002C64D3"/>
    <w:rsid w:val="002E0D56"/>
    <w:rsid w:val="00315186"/>
    <w:rsid w:val="0033343E"/>
    <w:rsid w:val="003512C2"/>
    <w:rsid w:val="0036223F"/>
    <w:rsid w:val="00371FB6"/>
    <w:rsid w:val="003763C1"/>
    <w:rsid w:val="00376BBE"/>
    <w:rsid w:val="0039224F"/>
    <w:rsid w:val="003A43A4"/>
    <w:rsid w:val="003A7E18"/>
    <w:rsid w:val="003C4C86"/>
    <w:rsid w:val="003C6258"/>
    <w:rsid w:val="003E2904"/>
    <w:rsid w:val="003E3100"/>
    <w:rsid w:val="00401927"/>
    <w:rsid w:val="0041027F"/>
    <w:rsid w:val="00412475"/>
    <w:rsid w:val="00423789"/>
    <w:rsid w:val="00440F43"/>
    <w:rsid w:val="00441B6F"/>
    <w:rsid w:val="00442F2A"/>
    <w:rsid w:val="00446221"/>
    <w:rsid w:val="00450E62"/>
    <w:rsid w:val="004539DB"/>
    <w:rsid w:val="00471A80"/>
    <w:rsid w:val="004D1FB7"/>
    <w:rsid w:val="004D305E"/>
    <w:rsid w:val="004D4277"/>
    <w:rsid w:val="00502516"/>
    <w:rsid w:val="00505F06"/>
    <w:rsid w:val="00506828"/>
    <w:rsid w:val="00520027"/>
    <w:rsid w:val="0053056E"/>
    <w:rsid w:val="00554FDA"/>
    <w:rsid w:val="00571A9A"/>
    <w:rsid w:val="00576FD9"/>
    <w:rsid w:val="005C119F"/>
    <w:rsid w:val="005C784C"/>
    <w:rsid w:val="005D17F6"/>
    <w:rsid w:val="005E5539"/>
    <w:rsid w:val="00602BF5"/>
    <w:rsid w:val="00607111"/>
    <w:rsid w:val="00617FDD"/>
    <w:rsid w:val="00633614"/>
    <w:rsid w:val="00633F68"/>
    <w:rsid w:val="00636EB2"/>
    <w:rsid w:val="006375B8"/>
    <w:rsid w:val="0066510A"/>
    <w:rsid w:val="00673F9F"/>
    <w:rsid w:val="00683F50"/>
    <w:rsid w:val="00686953"/>
    <w:rsid w:val="00687DEA"/>
    <w:rsid w:val="00687E67"/>
    <w:rsid w:val="006967F7"/>
    <w:rsid w:val="006A250C"/>
    <w:rsid w:val="006B21D3"/>
    <w:rsid w:val="006B57D0"/>
    <w:rsid w:val="006D30FF"/>
    <w:rsid w:val="006D6940"/>
    <w:rsid w:val="006F11EC"/>
    <w:rsid w:val="0070082C"/>
    <w:rsid w:val="00726F80"/>
    <w:rsid w:val="00727F80"/>
    <w:rsid w:val="007369E6"/>
    <w:rsid w:val="00746E59"/>
    <w:rsid w:val="007478D0"/>
    <w:rsid w:val="00754C9A"/>
    <w:rsid w:val="0075599A"/>
    <w:rsid w:val="00761D52"/>
    <w:rsid w:val="00773164"/>
    <w:rsid w:val="0077749E"/>
    <w:rsid w:val="00790ADA"/>
    <w:rsid w:val="00795773"/>
    <w:rsid w:val="007D2288"/>
    <w:rsid w:val="007E088F"/>
    <w:rsid w:val="007F7B32"/>
    <w:rsid w:val="00804BC2"/>
    <w:rsid w:val="0081431A"/>
    <w:rsid w:val="0083216F"/>
    <w:rsid w:val="00860000"/>
    <w:rsid w:val="00863BD3"/>
    <w:rsid w:val="008641ED"/>
    <w:rsid w:val="00866D66"/>
    <w:rsid w:val="008671C6"/>
    <w:rsid w:val="00875803"/>
    <w:rsid w:val="0089681C"/>
    <w:rsid w:val="008B1B16"/>
    <w:rsid w:val="008B459E"/>
    <w:rsid w:val="008E13AE"/>
    <w:rsid w:val="008E1506"/>
    <w:rsid w:val="008E710C"/>
    <w:rsid w:val="008F69D6"/>
    <w:rsid w:val="00902823"/>
    <w:rsid w:val="00915CA6"/>
    <w:rsid w:val="00927834"/>
    <w:rsid w:val="009308B9"/>
    <w:rsid w:val="009500A6"/>
    <w:rsid w:val="00957C18"/>
    <w:rsid w:val="009659BA"/>
    <w:rsid w:val="00983040"/>
    <w:rsid w:val="009B3FB9"/>
    <w:rsid w:val="009C02A8"/>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2425"/>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2E71"/>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75753"/>
    <w:rsid w:val="00D80993"/>
    <w:rsid w:val="00D8295D"/>
    <w:rsid w:val="00DC2A65"/>
    <w:rsid w:val="00DE15F0"/>
    <w:rsid w:val="00DE5663"/>
    <w:rsid w:val="00DE78AA"/>
    <w:rsid w:val="00E053D0"/>
    <w:rsid w:val="00E15994"/>
    <w:rsid w:val="00E3114E"/>
    <w:rsid w:val="00E31A70"/>
    <w:rsid w:val="00E33127"/>
    <w:rsid w:val="00E35B02"/>
    <w:rsid w:val="00E66496"/>
    <w:rsid w:val="00E66B35"/>
    <w:rsid w:val="00E66E10"/>
    <w:rsid w:val="00E769F6"/>
    <w:rsid w:val="00E8407C"/>
    <w:rsid w:val="00E84F3C"/>
    <w:rsid w:val="00E93AAC"/>
    <w:rsid w:val="00EA012C"/>
    <w:rsid w:val="00EC6A55"/>
    <w:rsid w:val="00ED0288"/>
    <w:rsid w:val="00EE52CB"/>
    <w:rsid w:val="00EF581D"/>
    <w:rsid w:val="00EF7FD8"/>
    <w:rsid w:val="00F06F59"/>
    <w:rsid w:val="00F13FE3"/>
    <w:rsid w:val="00F144E4"/>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DB5714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519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B09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D8099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9">
    <w:name w:val="heading 9"/>
    <w:basedOn w:val="Normal"/>
    <w:next w:val="Normal"/>
    <w:link w:val="Heading9Char"/>
    <w:semiHidden/>
    <w:unhideWhenUsed/>
    <w:qFormat/>
    <w:rsid w:val="008968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1B091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D80993"/>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semiHidden/>
    <w:rsid w:val="002519B3"/>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89681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9C02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1F2E5-D090-42EC-B942-955E57D0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16</Pages>
  <Words>35359</Words>
  <Characters>201549</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236436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2025-11-15T15:21:00Z</dcterms:created>
  <dcterms:modified xsi:type="dcterms:W3CDTF">2025-11-17T11:17:00Z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http://www.zotero.org/styles/council-of-science-editors-alphabetical</vt:lpwstr>
  </property>
  <property fmtid="{D5CDD505-2E9C-101B-9397-08002B2CF9AE}" pid="5" name="Mendeley Recent Style Name 1_1">
    <vt:lpwstr>Council of Science Editors, Citation-Name (numeric, sorted alphabetically)</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http://www.zotero.org/styles/mary-ann-liebert-vancouver</vt:lpwstr>
  </property>
  <property fmtid="{D5CDD505-2E9C-101B-9397-08002B2CF9AE}" pid="13" name="Mendeley Recent Style Name 5_1">
    <vt:lpwstr>Mary Ann Liebert - Vancouver</vt:lpwstr>
  </property>
  <property fmtid="{D5CDD505-2E9C-101B-9397-08002B2CF9AE}" pid="14" name="Mendeley Recent Style Id 6_1">
    <vt:lpwstr>http://www.zotero.org/styles/medizinische-universitat-innsbruck-vancouver</vt:lpwstr>
  </property>
  <property fmtid="{D5CDD505-2E9C-101B-9397-08002B2CF9AE}" pid="15" name="Mendeley Recent Style Name 6_1">
    <vt:lpwstr>Medizinische Universität Innsbruck - Vancouver (Deutsch)</vt:lpwstr>
  </property>
  <property fmtid="{D5CDD505-2E9C-101B-9397-08002B2CF9AE}" pid="16" name="Mendeley Recent Style Id 7_1">
    <vt:lpwstr>http://www.zotero.org/styles/nature-publishing-group-vancouver</vt:lpwstr>
  </property>
  <property fmtid="{D5CDD505-2E9C-101B-9397-08002B2CF9AE}" pid="17" name="Mendeley Recent Style Name 7_1">
    <vt:lpwstr>Nature Publishing Group - Vancouver</vt:lpwstr>
  </property>
  <property fmtid="{D5CDD505-2E9C-101B-9397-08002B2CF9AE}" pid="18" name="Mendeley Recent Style Id 8_1">
    <vt:lpwstr>http://www.zotero.org/styles/springer-basic-brackets-no-et-al-alphabetical</vt:lpwstr>
  </property>
  <property fmtid="{D5CDD505-2E9C-101B-9397-08002B2CF9AE}" pid="19" name="Mendeley Recent Style Name 8_1">
    <vt:lpwstr>Springer - Basic (numeric, brackets, no "et al.", alphabetical)</vt:lpwstr>
  </property>
  <property fmtid="{D5CDD505-2E9C-101B-9397-08002B2CF9AE}" pid="20" name="Mendeley Recent Style Id 9_1">
    <vt:lpwstr>http://www.zotero.org/styles/serbian-archives-of-medicine</vt:lpwstr>
  </property>
  <property fmtid="{D5CDD505-2E9C-101B-9397-08002B2CF9AE}" pid="21" name="Mendeley Recent Style Name 9_1">
    <vt:lpwstr>Vancouver - Serbian Archives of Medicine</vt:lpwstr>
  </property>
  <property fmtid="{D5CDD505-2E9C-101B-9397-08002B2CF9AE}" pid="22" name="Mendeley Document_1">
    <vt:lpwstr>True</vt:lpwstr>
  </property>
  <property fmtid="{D5CDD505-2E9C-101B-9397-08002B2CF9AE}" pid="23" name="Mendeley Unique User Id_1">
    <vt:lpwstr>1c3d96d5-2cb9-33ce-8ba8-efeb22e52b68</vt:lpwstr>
  </property>
  <property fmtid="{D5CDD505-2E9C-101B-9397-08002B2CF9AE}" pid="24" name="Mendeley Citation Style_1">
    <vt:lpwstr>http://www.zotero.org/styles/apa</vt:lpwstr>
  </property>
</Properties>
</file>