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9D991" w14:textId="77777777" w:rsidR="00B62E14" w:rsidRP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t>The Impact of the ‘Skilling Uganda’ Programme on Youth Employment in Eastern Uganda</w:t>
      </w:r>
    </w:p>
    <w:p w14:paraId="333CEDF9" w14:textId="77777777" w:rsidR="00CE2410" w:rsidRDefault="00CE2410" w:rsidP="00E169C3">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7C2C2B6D" w14:textId="353E5483" w:rsidR="00B62E14" w:rsidRPr="00B62E14" w:rsidRDefault="00B62E14" w:rsidP="00E169C3">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r w:rsidRPr="00B62E14">
        <w:rPr>
          <w:rFonts w:ascii="Times New Roman" w:eastAsia="Times New Roman" w:hAnsi="Times New Roman" w:cs="Times New Roman"/>
          <w:b/>
          <w:bCs/>
          <w:sz w:val="27"/>
          <w:szCs w:val="27"/>
        </w:rPr>
        <w:t>Abstract</w:t>
      </w:r>
    </w:p>
    <w:p w14:paraId="458AE657"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Youth unemployment remains one of Uganda’s most persistent development challenges, undermining the nation’s socioeconomic transformation and stability. This paper examines the impact of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an initiative under the Business, Technical, and Vocational Education and Training (BTVET) Strategic Plan (2011–2020), on youth employment outcomes in Eastern Uganda. Guided by Human Capital Theory and General Systems Theory, the study sought to establish the employment status and employability of programme graduates, identify challenges they face in the labour market, and explore institutional factors affecting programme sustainability. A mixed-methods approach was employed, drawing on survey data from 208 respondents selected from three Technical and Vocational Education and Training (TVET) institutions—</w:t>
      </w:r>
      <w:proofErr w:type="spellStart"/>
      <w:r w:rsidRPr="00B62E14">
        <w:rPr>
          <w:rFonts w:ascii="Times New Roman" w:eastAsia="Times New Roman" w:hAnsi="Times New Roman" w:cs="Times New Roman"/>
          <w:sz w:val="24"/>
          <w:szCs w:val="24"/>
        </w:rPr>
        <w:t>Buteleja</w:t>
      </w:r>
      <w:proofErr w:type="spellEnd"/>
      <w:r w:rsidRPr="00B62E14">
        <w:rPr>
          <w:rFonts w:ascii="Times New Roman" w:eastAsia="Times New Roman" w:hAnsi="Times New Roman" w:cs="Times New Roman"/>
          <w:sz w:val="24"/>
          <w:szCs w:val="24"/>
        </w:rPr>
        <w:t xml:space="preserve"> VTI, </w:t>
      </w:r>
      <w:proofErr w:type="spellStart"/>
      <w:r w:rsidRPr="00B62E14">
        <w:rPr>
          <w:rFonts w:ascii="Times New Roman" w:eastAsia="Times New Roman" w:hAnsi="Times New Roman" w:cs="Times New Roman"/>
          <w:sz w:val="24"/>
          <w:szCs w:val="24"/>
        </w:rPr>
        <w:t>Kaliro</w:t>
      </w:r>
      <w:proofErr w:type="spellEnd"/>
      <w:r w:rsidRPr="00B62E14">
        <w:rPr>
          <w:rFonts w:ascii="Times New Roman" w:eastAsia="Times New Roman" w:hAnsi="Times New Roman" w:cs="Times New Roman"/>
          <w:sz w:val="24"/>
          <w:szCs w:val="24"/>
        </w:rPr>
        <w:t xml:space="preserve"> VTI, and Uganda Technical College (UTC) Elgon. Findings revealed that while the programme improved access to employment opportunities, 14.4% of graduates remained unemployed and many others faced underemployment, earning below subsistence levels. Persistent gaps in digital literacy (51.4%) and leadership skills (64.0%) were evident, attributed more to personal initiative than institutional training. Institutional weaknesses such as limited funding, weak industry linkages, and inadequate technological infrastructure hindered long-term effectiveness. The study concludes that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enhanced access to employment but fell short of fostering sustainable, high-quality jobs. Strengthening industry partnerships, integrating employability skills, and expanding technological training are recommended to enhance the employability and resilience of Ugandan youth.</w:t>
      </w:r>
    </w:p>
    <w:p w14:paraId="7CB36740"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Keywords:</w:t>
      </w:r>
      <w:r w:rsidRPr="00B62E14">
        <w:rPr>
          <w:rFonts w:ascii="Times New Roman" w:eastAsia="Times New Roman" w:hAnsi="Times New Roman" w:cs="Times New Roman"/>
          <w:sz w:val="24"/>
          <w:szCs w:val="24"/>
        </w:rPr>
        <w:t xml:space="preserve"> Skilling Uganda, youth employment, employability skills, vocational training, BTVET, Uganda.</w:t>
      </w:r>
    </w:p>
    <w:p w14:paraId="098D05AE" w14:textId="70788A46"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 xml:space="preserve">1. Introduction </w:t>
      </w:r>
    </w:p>
    <w:p w14:paraId="021F8868"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Youth unemployment poses one of the most significant social and economic challenges in sub-Saharan Africa, with Uganda ranking among the countries facing the highest rates of joblessness among young people. According to the Uganda Bureau of Statistics (UBOS, 2021), youth unemployment stood at 16.5%, far exceeding the national average of 9.2%. Beyond economic implications, youth unemployment threatens social cohesion and political stability (UNDP, 2019). In response, the Government of Uganda introduced a range of interventions targeting youth employability, the most prominent of which was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—the implementation framework of the Business, Technical, and Vocational Education and Training (BTVET) Strategic Plan (2011–2020). This programme sought to shift Uganda’s education system from certificate-based instruction to a competence-based framework that emphasizes practical, employable skills.</w:t>
      </w:r>
    </w:p>
    <w:p w14:paraId="0EC0A6FF"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lastRenderedPageBreak/>
        <w:t xml:space="preserve">Historically, youth unemployment in Africa escalated following the post-colonial shift to formal labour markets, where economic reforms and structural adjustment programs in the 1980s and 1990s reduced public-sector jobs and limited industrial opportunities (AfDB, 2020). In Uganda, the problem intensified despite numerous youth initiatives, including the Youth Livelihood </w:t>
      </w:r>
      <w:proofErr w:type="spellStart"/>
      <w:r w:rsidRPr="00B62E14">
        <w:rPr>
          <w:rFonts w:ascii="Times New Roman" w:eastAsia="Times New Roman" w:hAnsi="Times New Roman" w:cs="Times New Roman"/>
          <w:sz w:val="24"/>
          <w:szCs w:val="24"/>
        </w:rPr>
        <w:t>Programme</w:t>
      </w:r>
      <w:proofErr w:type="spellEnd"/>
      <w:r w:rsidRPr="00B62E14">
        <w:rPr>
          <w:rFonts w:ascii="Times New Roman" w:eastAsia="Times New Roman" w:hAnsi="Times New Roman" w:cs="Times New Roman"/>
          <w:sz w:val="24"/>
          <w:szCs w:val="24"/>
        </w:rPr>
        <w:t xml:space="preserve"> (2014), </w:t>
      </w:r>
      <w:proofErr w:type="spellStart"/>
      <w:r w:rsidRPr="00B62E14">
        <w:rPr>
          <w:rFonts w:ascii="Times New Roman" w:eastAsia="Times New Roman" w:hAnsi="Times New Roman" w:cs="Times New Roman"/>
          <w:sz w:val="24"/>
          <w:szCs w:val="24"/>
        </w:rPr>
        <w:t>Emyooga</w:t>
      </w:r>
      <w:proofErr w:type="spellEnd"/>
      <w:r w:rsidRPr="00B62E14">
        <w:rPr>
          <w:rFonts w:ascii="Times New Roman" w:eastAsia="Times New Roman" w:hAnsi="Times New Roman" w:cs="Times New Roman"/>
          <w:sz w:val="24"/>
          <w:szCs w:val="24"/>
        </w:rPr>
        <w:t xml:space="preserve"> (2020), and the Presidential Skilling Initiative (2017). Many of these schemes, however, were criticized for weak implementation, politicization, and lack of follow-up (</w:t>
      </w:r>
      <w:proofErr w:type="spellStart"/>
      <w:r w:rsidRPr="00B62E14">
        <w:rPr>
          <w:rFonts w:ascii="Times New Roman" w:eastAsia="Times New Roman" w:hAnsi="Times New Roman" w:cs="Times New Roman"/>
          <w:sz w:val="24"/>
          <w:szCs w:val="24"/>
        </w:rPr>
        <w:t>Ahaibwe</w:t>
      </w:r>
      <w:proofErr w:type="spellEnd"/>
      <w:r w:rsidRPr="00B62E14">
        <w:rPr>
          <w:rFonts w:ascii="Times New Roman" w:eastAsia="Times New Roman" w:hAnsi="Times New Roman" w:cs="Times New Roman"/>
          <w:sz w:val="24"/>
          <w:szCs w:val="24"/>
        </w:rPr>
        <w:t xml:space="preserve"> &amp; </w:t>
      </w:r>
      <w:proofErr w:type="spellStart"/>
      <w:r w:rsidRPr="00B62E14">
        <w:rPr>
          <w:rFonts w:ascii="Times New Roman" w:eastAsia="Times New Roman" w:hAnsi="Times New Roman" w:cs="Times New Roman"/>
          <w:sz w:val="24"/>
          <w:szCs w:val="24"/>
        </w:rPr>
        <w:t>Mbowa</w:t>
      </w:r>
      <w:proofErr w:type="spellEnd"/>
      <w:r w:rsidRPr="00B62E14">
        <w:rPr>
          <w:rFonts w:ascii="Times New Roman" w:eastAsia="Times New Roman" w:hAnsi="Times New Roman" w:cs="Times New Roman"/>
          <w:sz w:val="24"/>
          <w:szCs w:val="24"/>
        </w:rPr>
        <w:t xml:space="preserve">, 2014).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distinguished itself by emphasizing systematic reform within TVET institutions and industry collaboration through the Uganda Skills Development Project (USDP) and the Albertine Region Skills Development Project (ARSDP), both co-funded by the World Bank and development partners.</w:t>
      </w:r>
    </w:p>
    <w:p w14:paraId="0FD3345F"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theoretical foundation of this study draws from the </w:t>
      </w:r>
      <w:r w:rsidRPr="00F36304">
        <w:rPr>
          <w:rFonts w:ascii="Times New Roman" w:eastAsia="Times New Roman" w:hAnsi="Times New Roman" w:cs="Times New Roman"/>
          <w:bCs/>
          <w:sz w:val="24"/>
          <w:szCs w:val="24"/>
        </w:rPr>
        <w:t>Human Capital Theory</w:t>
      </w:r>
      <w:r w:rsidRPr="00B62E14">
        <w:rPr>
          <w:rFonts w:ascii="Times New Roman" w:eastAsia="Times New Roman" w:hAnsi="Times New Roman" w:cs="Times New Roman"/>
          <w:sz w:val="24"/>
          <w:szCs w:val="24"/>
        </w:rPr>
        <w:t xml:space="preserve"> (Becker, 1964) </w:t>
      </w:r>
      <w:r w:rsidRPr="00F36304">
        <w:rPr>
          <w:rFonts w:ascii="Times New Roman" w:eastAsia="Times New Roman" w:hAnsi="Times New Roman" w:cs="Times New Roman"/>
          <w:sz w:val="24"/>
          <w:szCs w:val="24"/>
        </w:rPr>
        <w:t xml:space="preserve">and </w:t>
      </w:r>
      <w:r w:rsidRPr="00F36304">
        <w:rPr>
          <w:rFonts w:ascii="Times New Roman" w:eastAsia="Times New Roman" w:hAnsi="Times New Roman" w:cs="Times New Roman"/>
          <w:bCs/>
          <w:sz w:val="24"/>
          <w:szCs w:val="24"/>
        </w:rPr>
        <w:t>General Systems Theory</w:t>
      </w:r>
      <w:r w:rsidRPr="00B62E14">
        <w:rPr>
          <w:rFonts w:ascii="Times New Roman" w:eastAsia="Times New Roman" w:hAnsi="Times New Roman" w:cs="Times New Roman"/>
          <w:sz w:val="24"/>
          <w:szCs w:val="24"/>
        </w:rPr>
        <w:t xml:space="preserve"> (Bertalanffy, 1968). Human Capital Theory posits that education and training are investments that enhance individuals’ productivity and economic value. This study applies this perspective to assess whether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effectively increased youth employability through skills accumulation. General Systems Theory complements this by conceptualizing skills development as a system in which inputs (training, infrastructure, and institutional capacity) produce outputs (employment and productivity). Together, these frameworks suggest that enhancing skills should translate into improved employment outcomes, assuming other systemic factors—such as institutional quality and labour market demand—function optimally.</w:t>
      </w:r>
    </w:p>
    <w:p w14:paraId="348CDFAD"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Empirical literature underscores the significance of skills development in improving employment outcomes, yet warns of the persistent gap between training and the realities of the labour market (ILO, 2015; OECD, 2015). For instance, </w:t>
      </w:r>
      <w:proofErr w:type="spellStart"/>
      <w:r w:rsidRPr="00B62E14">
        <w:rPr>
          <w:rFonts w:ascii="Times New Roman" w:eastAsia="Times New Roman" w:hAnsi="Times New Roman" w:cs="Times New Roman"/>
          <w:sz w:val="24"/>
          <w:szCs w:val="24"/>
        </w:rPr>
        <w:t>Kluve</w:t>
      </w:r>
      <w:proofErr w:type="spellEnd"/>
      <w:r w:rsidRPr="00B62E14">
        <w:rPr>
          <w:rFonts w:ascii="Times New Roman" w:eastAsia="Times New Roman" w:hAnsi="Times New Roman" w:cs="Times New Roman"/>
          <w:sz w:val="24"/>
          <w:szCs w:val="24"/>
        </w:rPr>
        <w:t xml:space="preserve"> et al. (2019) emphasize that youth employment programs achieve sustainable results only when designed in partnership with industry stakeholders and supplemented with post-training support such as mentorship, access to finance, and technological adaptation. Similarly, Fox and Kaul (2018) found that multi-dimensional interventions—combining training with entrepreneurship and market access—yield more enduring employment gains than stand-alone training. However, in many developing contexts, training institutions continue to face inadequate resources, poor equipment, and limited supervision, leading to low-quality outcomes.</w:t>
      </w:r>
    </w:p>
    <w:p w14:paraId="1B6DCE69"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In Uganda, studies by Moses and Liu (2023) and </w:t>
      </w:r>
      <w:proofErr w:type="spellStart"/>
      <w:r w:rsidRPr="00B62E14">
        <w:rPr>
          <w:rFonts w:ascii="Times New Roman" w:eastAsia="Times New Roman" w:hAnsi="Times New Roman" w:cs="Times New Roman"/>
          <w:sz w:val="24"/>
          <w:szCs w:val="24"/>
        </w:rPr>
        <w:t>Ahaibwe</w:t>
      </w:r>
      <w:proofErr w:type="spellEnd"/>
      <w:r w:rsidRPr="00B62E14">
        <w:rPr>
          <w:rFonts w:ascii="Times New Roman" w:eastAsia="Times New Roman" w:hAnsi="Times New Roman" w:cs="Times New Roman"/>
          <w:sz w:val="24"/>
          <w:szCs w:val="24"/>
        </w:rPr>
        <w:t xml:space="preserve"> and </w:t>
      </w:r>
      <w:proofErr w:type="spellStart"/>
      <w:r w:rsidRPr="00B62E14">
        <w:rPr>
          <w:rFonts w:ascii="Times New Roman" w:eastAsia="Times New Roman" w:hAnsi="Times New Roman" w:cs="Times New Roman"/>
          <w:sz w:val="24"/>
          <w:szCs w:val="24"/>
        </w:rPr>
        <w:t>Mbowa</w:t>
      </w:r>
      <w:proofErr w:type="spellEnd"/>
      <w:r w:rsidRPr="00B62E14">
        <w:rPr>
          <w:rFonts w:ascii="Times New Roman" w:eastAsia="Times New Roman" w:hAnsi="Times New Roman" w:cs="Times New Roman"/>
          <w:sz w:val="24"/>
          <w:szCs w:val="24"/>
        </w:rPr>
        <w:t xml:space="preserve"> (2014) revealed that while vocational training initiatives have improved skills acquisition and self-employment, persistent structural challenges—such as underfunding, outdated curricula, and limited private-sector collaboration—restrict their overall impact. UNESCO (2015) further stresses that effective TVET systems require alignment with local labour market needs, sustainable funding, and continuous evaluation of program outcomes. These insights collectively justify the current study’s focus on evaluating the real-world impact of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on youth employment in Eastern Uganda, a region characterized by high population density, limited industrialization, and constrained access to formal job markets.</w:t>
      </w:r>
    </w:p>
    <w:p w14:paraId="5E944E76"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study therefore aimed to address four critical objectives: (1) to establish the employment status of youth trained under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(2) to determine the employability skills acquired; (3) to identify employment-related challenges facing graduates; and (4) to </w:t>
      </w:r>
      <w:r w:rsidRPr="00B62E14">
        <w:rPr>
          <w:rFonts w:ascii="Times New Roman" w:eastAsia="Times New Roman" w:hAnsi="Times New Roman" w:cs="Times New Roman"/>
          <w:sz w:val="24"/>
          <w:szCs w:val="24"/>
        </w:rPr>
        <w:lastRenderedPageBreak/>
        <w:t>explore institutional challenges affecting programme implementation and sustainability. By examining these dimensions, this paper contributes empirical evidence to the ongoing policy debate on how skills development interventions can be redesigned to create meaningful, sustainable employment for Uganda’s youth.</w:t>
      </w:r>
    </w:p>
    <w:p w14:paraId="7A92E72B" w14:textId="77777777" w:rsidR="00B62E14" w:rsidRPr="00B62E14" w:rsidRDefault="00B62E14" w:rsidP="00B62E14">
      <w:pPr>
        <w:spacing w:after="0" w:line="240" w:lineRule="auto"/>
        <w:rPr>
          <w:rFonts w:ascii="Times New Roman" w:eastAsia="Times New Roman" w:hAnsi="Times New Roman" w:cs="Times New Roman"/>
          <w:sz w:val="24"/>
          <w:szCs w:val="24"/>
        </w:rPr>
      </w:pPr>
    </w:p>
    <w:p w14:paraId="70BB68CF" w14:textId="77777777" w:rsidR="00B62E14" w:rsidRP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t>2. Methodology</w:t>
      </w:r>
    </w:p>
    <w:p w14:paraId="60B0C7B5"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2.1 Research Design and Paradigm</w:t>
      </w:r>
    </w:p>
    <w:p w14:paraId="78EA43FE"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This study adopted </w:t>
      </w:r>
      <w:r w:rsidRPr="00E169C3">
        <w:rPr>
          <w:rFonts w:ascii="Times New Roman" w:eastAsia="Times New Roman" w:hAnsi="Times New Roman" w:cs="Times New Roman"/>
          <w:sz w:val="24"/>
          <w:szCs w:val="24"/>
        </w:rPr>
        <w:t xml:space="preserve">a </w:t>
      </w:r>
      <w:r w:rsidRPr="00E169C3">
        <w:rPr>
          <w:rFonts w:ascii="Times New Roman" w:eastAsia="Times New Roman" w:hAnsi="Times New Roman" w:cs="Times New Roman"/>
          <w:bCs/>
          <w:sz w:val="24"/>
          <w:szCs w:val="24"/>
        </w:rPr>
        <w:t>mixed-methods research design</w:t>
      </w:r>
      <w:r w:rsidRPr="00E169C3">
        <w:rPr>
          <w:rFonts w:ascii="Times New Roman" w:eastAsia="Times New Roman" w:hAnsi="Times New Roman" w:cs="Times New Roman"/>
          <w:sz w:val="24"/>
          <w:szCs w:val="24"/>
        </w:rPr>
        <w:t xml:space="preserve"> under a </w:t>
      </w:r>
      <w:r w:rsidRPr="00E169C3">
        <w:rPr>
          <w:rFonts w:ascii="Times New Roman" w:eastAsia="Times New Roman" w:hAnsi="Times New Roman" w:cs="Times New Roman"/>
          <w:bCs/>
          <w:sz w:val="24"/>
          <w:szCs w:val="24"/>
        </w:rPr>
        <w:t>pragmatic paradigm</w:t>
      </w:r>
      <w:r w:rsidRPr="00B62E14">
        <w:rPr>
          <w:rFonts w:ascii="Times New Roman" w:eastAsia="Times New Roman" w:hAnsi="Times New Roman" w:cs="Times New Roman"/>
          <w:sz w:val="24"/>
          <w:szCs w:val="24"/>
        </w:rPr>
        <w:t xml:space="preserve">, integrating both quantitative and qualitative approaches to examine the multidimensional impact of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on youth employment in Eastern Uganda. The mixed-methods approach was chosen because it enabled triangulation of numerical data with qualitative insights, ensuring a more holistic understanding of the </w:t>
      </w:r>
      <w:proofErr w:type="spellStart"/>
      <w:r w:rsidRPr="00B62E14">
        <w:rPr>
          <w:rFonts w:ascii="Times New Roman" w:eastAsia="Times New Roman" w:hAnsi="Times New Roman" w:cs="Times New Roman"/>
          <w:sz w:val="24"/>
          <w:szCs w:val="24"/>
        </w:rPr>
        <w:t>programme’s</w:t>
      </w:r>
      <w:proofErr w:type="spellEnd"/>
      <w:r w:rsidRPr="00B62E14">
        <w:rPr>
          <w:rFonts w:ascii="Times New Roman" w:eastAsia="Times New Roman" w:hAnsi="Times New Roman" w:cs="Times New Roman"/>
          <w:sz w:val="24"/>
          <w:szCs w:val="24"/>
        </w:rPr>
        <w:t xml:space="preserve"> outcomes. According to Creswell and Creswell (2017), the pragmatic paradigm emphasizes practical solutions to real-world problems, drawing from both positivist and interpretivist traditions. This made it appropriate for a tracer study that sought both statistical evidence and contextual explanations from participants.</w:t>
      </w:r>
    </w:p>
    <w:p w14:paraId="4E3F4DED" w14:textId="77777777" w:rsidR="00B62E14" w:rsidRPr="00B62E14" w:rsidRDefault="00B62E14" w:rsidP="00F3630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Quantitative data were collected through structured questionnaires administered to graduates of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while qualitative data were obtained through semi-structured interviews with administrators of beneficiary Technical and Vocational Education and Training (TVET) institutions. Quantitative data allowed the measurement of employability outcomes and employment status, whereas qualitative narratives provided depth on institutional challenges, program implementation, and perceived skill gaps. The integration of both datasets enhanced reliability, internal validity, and interpretation of results.</w:t>
      </w:r>
    </w:p>
    <w:p w14:paraId="6D9D513D"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2.2 Study Area</w:t>
      </w:r>
    </w:p>
    <w:p w14:paraId="474290B0"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research was conducted in </w:t>
      </w:r>
      <w:r w:rsidRPr="00E169C3">
        <w:rPr>
          <w:rFonts w:ascii="Times New Roman" w:eastAsia="Times New Roman" w:hAnsi="Times New Roman" w:cs="Times New Roman"/>
          <w:bCs/>
          <w:sz w:val="24"/>
          <w:szCs w:val="24"/>
        </w:rPr>
        <w:t>Eastern Uganda</w:t>
      </w:r>
      <w:r w:rsidRPr="00E169C3">
        <w:rPr>
          <w:rFonts w:ascii="Times New Roman" w:eastAsia="Times New Roman" w:hAnsi="Times New Roman" w:cs="Times New Roman"/>
          <w:sz w:val="24"/>
          <w:szCs w:val="24"/>
        </w:rPr>
        <w:t>,</w:t>
      </w:r>
      <w:r w:rsidRPr="00B62E14">
        <w:rPr>
          <w:rFonts w:ascii="Times New Roman" w:eastAsia="Times New Roman" w:hAnsi="Times New Roman" w:cs="Times New Roman"/>
          <w:sz w:val="24"/>
          <w:szCs w:val="24"/>
        </w:rPr>
        <w:t xml:space="preserve"> a region geographically located between latitude 1.2692° N and longitude 33.4384° E. The area was purposively selected because it hosts several government-aided TVET institutions that benefited from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through the Uganda Skills Development Project (USDP). The region has one of the highest youth populations in the country, yet experiences limited industrial growth and high unemployment rates (UBOS, 2023).</w:t>
      </w:r>
    </w:p>
    <w:p w14:paraId="5FB58FC5"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Key beneficiary institutions included </w:t>
      </w:r>
      <w:r w:rsidRPr="00E169C3">
        <w:rPr>
          <w:rFonts w:ascii="Times New Roman" w:eastAsia="Times New Roman" w:hAnsi="Times New Roman" w:cs="Times New Roman"/>
          <w:bCs/>
          <w:sz w:val="24"/>
          <w:szCs w:val="24"/>
        </w:rPr>
        <w:t>Uganda Technical College (UTC) Elgon</w:t>
      </w:r>
      <w:r w:rsidRPr="00E169C3">
        <w:rPr>
          <w:rFonts w:ascii="Times New Roman" w:eastAsia="Times New Roman" w:hAnsi="Times New Roman" w:cs="Times New Roman"/>
          <w:sz w:val="24"/>
          <w:szCs w:val="24"/>
        </w:rPr>
        <w:t xml:space="preserve">, </w:t>
      </w:r>
      <w:r w:rsidRPr="00E169C3">
        <w:rPr>
          <w:rFonts w:ascii="Times New Roman" w:eastAsia="Times New Roman" w:hAnsi="Times New Roman" w:cs="Times New Roman"/>
          <w:bCs/>
          <w:sz w:val="24"/>
          <w:szCs w:val="24"/>
        </w:rPr>
        <w:t>Kaliro Vocational Training Institute (VTI)</w:t>
      </w:r>
      <w:r w:rsidRPr="00E169C3">
        <w:rPr>
          <w:rFonts w:ascii="Times New Roman" w:eastAsia="Times New Roman" w:hAnsi="Times New Roman" w:cs="Times New Roman"/>
          <w:sz w:val="24"/>
          <w:szCs w:val="24"/>
        </w:rPr>
        <w:t xml:space="preserve">, and </w:t>
      </w:r>
      <w:proofErr w:type="spellStart"/>
      <w:r w:rsidRPr="00E169C3">
        <w:rPr>
          <w:rFonts w:ascii="Times New Roman" w:eastAsia="Times New Roman" w:hAnsi="Times New Roman" w:cs="Times New Roman"/>
          <w:bCs/>
          <w:sz w:val="24"/>
          <w:szCs w:val="24"/>
        </w:rPr>
        <w:t>Buteleja</w:t>
      </w:r>
      <w:proofErr w:type="spellEnd"/>
      <w:r w:rsidRPr="00E169C3">
        <w:rPr>
          <w:rFonts w:ascii="Times New Roman" w:eastAsia="Times New Roman" w:hAnsi="Times New Roman" w:cs="Times New Roman"/>
          <w:bCs/>
          <w:sz w:val="24"/>
          <w:szCs w:val="24"/>
        </w:rPr>
        <w:t xml:space="preserve"> Vocational Training Institute</w:t>
      </w:r>
      <w:r w:rsidRPr="00B62E14">
        <w:rPr>
          <w:rFonts w:ascii="Times New Roman" w:eastAsia="Times New Roman" w:hAnsi="Times New Roman" w:cs="Times New Roman"/>
          <w:sz w:val="24"/>
          <w:szCs w:val="24"/>
        </w:rPr>
        <w:t xml:space="preserve">. UTC Elgon served as a Centre of Excellence under the USDP, providing training in engineering, construction, and manufacturing trades. </w:t>
      </w:r>
      <w:proofErr w:type="spellStart"/>
      <w:r w:rsidRPr="00B62E14">
        <w:rPr>
          <w:rFonts w:ascii="Times New Roman" w:eastAsia="Times New Roman" w:hAnsi="Times New Roman" w:cs="Times New Roman"/>
          <w:sz w:val="24"/>
          <w:szCs w:val="24"/>
        </w:rPr>
        <w:t>Kaliro</w:t>
      </w:r>
      <w:proofErr w:type="spellEnd"/>
      <w:r w:rsidRPr="00B62E14">
        <w:rPr>
          <w:rFonts w:ascii="Times New Roman" w:eastAsia="Times New Roman" w:hAnsi="Times New Roman" w:cs="Times New Roman"/>
          <w:sz w:val="24"/>
          <w:szCs w:val="24"/>
        </w:rPr>
        <w:t xml:space="preserve"> and </w:t>
      </w:r>
      <w:proofErr w:type="spellStart"/>
      <w:r w:rsidRPr="00B62E14">
        <w:rPr>
          <w:rFonts w:ascii="Times New Roman" w:eastAsia="Times New Roman" w:hAnsi="Times New Roman" w:cs="Times New Roman"/>
          <w:sz w:val="24"/>
          <w:szCs w:val="24"/>
        </w:rPr>
        <w:t>Buteleja</w:t>
      </w:r>
      <w:proofErr w:type="spellEnd"/>
      <w:r w:rsidRPr="00B62E14">
        <w:rPr>
          <w:rFonts w:ascii="Times New Roman" w:eastAsia="Times New Roman" w:hAnsi="Times New Roman" w:cs="Times New Roman"/>
          <w:sz w:val="24"/>
          <w:szCs w:val="24"/>
        </w:rPr>
        <w:t xml:space="preserve"> VTIs, as satellite beneficiaries, offered craft-level and artisan-level courses in building construction, plumbing, welding, tailoring, and electrical installation.</w:t>
      </w:r>
    </w:p>
    <w:p w14:paraId="53595E9E"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lastRenderedPageBreak/>
        <w:t xml:space="preserve">The region’s socio-economic context, characterized by agricultural dependence and limited industrialization, made it a suitable case for assessing whether skills training interventions like </w:t>
      </w:r>
      <w:r w:rsidRPr="00B62E14">
        <w:rPr>
          <w:rFonts w:ascii="Times New Roman" w:eastAsia="Times New Roman" w:hAnsi="Times New Roman" w:cs="Times New Roman"/>
          <w:i/>
          <w:iCs/>
          <w:sz w:val="24"/>
          <w:szCs w:val="24"/>
        </w:rPr>
        <w:t>Skilling Uganda</w:t>
      </w:r>
      <w:r w:rsidRPr="00B62E14">
        <w:rPr>
          <w:rFonts w:ascii="Times New Roman" w:eastAsia="Times New Roman" w:hAnsi="Times New Roman" w:cs="Times New Roman"/>
          <w:sz w:val="24"/>
          <w:szCs w:val="24"/>
        </w:rPr>
        <w:t xml:space="preserve"> can bridge the gap between education and employment.</w:t>
      </w:r>
    </w:p>
    <w:p w14:paraId="268FBC60"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2.3 Target Population and Sampling Design</w:t>
      </w:r>
    </w:p>
    <w:p w14:paraId="733A74B5"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The </w:t>
      </w:r>
      <w:r w:rsidRPr="00E169C3">
        <w:rPr>
          <w:rFonts w:ascii="Times New Roman" w:eastAsia="Times New Roman" w:hAnsi="Times New Roman" w:cs="Times New Roman"/>
          <w:bCs/>
          <w:sz w:val="24"/>
          <w:szCs w:val="24"/>
        </w:rPr>
        <w:t>target population</w:t>
      </w:r>
      <w:r w:rsidRPr="00E169C3">
        <w:rPr>
          <w:rFonts w:ascii="Times New Roman" w:eastAsia="Times New Roman" w:hAnsi="Times New Roman" w:cs="Times New Roman"/>
          <w:sz w:val="24"/>
          <w:szCs w:val="24"/>
        </w:rPr>
        <w:t xml:space="preserve"> comprised all graduates of the </w:t>
      </w:r>
      <w:r w:rsidRPr="00E169C3">
        <w:rPr>
          <w:rFonts w:ascii="Times New Roman" w:eastAsia="Times New Roman" w:hAnsi="Times New Roman" w:cs="Times New Roman"/>
          <w:i/>
          <w:iCs/>
          <w:sz w:val="24"/>
          <w:szCs w:val="24"/>
        </w:rPr>
        <w:t>Skilling Uganda Programme</w:t>
      </w:r>
      <w:r w:rsidRPr="00E169C3">
        <w:rPr>
          <w:rFonts w:ascii="Times New Roman" w:eastAsia="Times New Roman" w:hAnsi="Times New Roman" w:cs="Times New Roman"/>
          <w:sz w:val="24"/>
          <w:szCs w:val="24"/>
        </w:rPr>
        <w:t xml:space="preserve"> from the three beneficiary TVET institutions. Records from the institutions indicated approximately 450 graduates in 2020, the final year of the </w:t>
      </w:r>
      <w:proofErr w:type="spellStart"/>
      <w:r w:rsidRPr="00E169C3">
        <w:rPr>
          <w:rFonts w:ascii="Times New Roman" w:eastAsia="Times New Roman" w:hAnsi="Times New Roman" w:cs="Times New Roman"/>
          <w:sz w:val="24"/>
          <w:szCs w:val="24"/>
        </w:rPr>
        <w:t>programme’s</w:t>
      </w:r>
      <w:proofErr w:type="spellEnd"/>
      <w:r w:rsidRPr="00E169C3">
        <w:rPr>
          <w:rFonts w:ascii="Times New Roman" w:eastAsia="Times New Roman" w:hAnsi="Times New Roman" w:cs="Times New Roman"/>
          <w:sz w:val="24"/>
          <w:szCs w:val="24"/>
        </w:rPr>
        <w:t xml:space="preserve"> implementation phase. This cohort was chosen for its relevance—being recent enough to trace yet having had sufficient time (three years) to transition into employment or entrepreneurship.</w:t>
      </w:r>
    </w:p>
    <w:p w14:paraId="249C28AF"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Using </w:t>
      </w:r>
      <w:proofErr w:type="spellStart"/>
      <w:r w:rsidRPr="00E169C3">
        <w:rPr>
          <w:rFonts w:ascii="Times New Roman" w:eastAsia="Times New Roman" w:hAnsi="Times New Roman" w:cs="Times New Roman"/>
          <w:bCs/>
          <w:sz w:val="24"/>
          <w:szCs w:val="24"/>
        </w:rPr>
        <w:t>Krejcie</w:t>
      </w:r>
      <w:proofErr w:type="spellEnd"/>
      <w:r w:rsidRPr="00E169C3">
        <w:rPr>
          <w:rFonts w:ascii="Times New Roman" w:eastAsia="Times New Roman" w:hAnsi="Times New Roman" w:cs="Times New Roman"/>
          <w:bCs/>
          <w:sz w:val="24"/>
          <w:szCs w:val="24"/>
        </w:rPr>
        <w:t xml:space="preserve"> and Morgan’s (1970)</w:t>
      </w:r>
      <w:r w:rsidRPr="00E169C3">
        <w:rPr>
          <w:rFonts w:ascii="Times New Roman" w:eastAsia="Times New Roman" w:hAnsi="Times New Roman" w:cs="Times New Roman"/>
          <w:sz w:val="24"/>
          <w:szCs w:val="24"/>
        </w:rPr>
        <w:t xml:space="preserve"> sample size determination formula, a representative sample of </w:t>
      </w:r>
      <w:r w:rsidRPr="00E169C3">
        <w:rPr>
          <w:rFonts w:ascii="Times New Roman" w:eastAsia="Times New Roman" w:hAnsi="Times New Roman" w:cs="Times New Roman"/>
          <w:bCs/>
          <w:sz w:val="24"/>
          <w:szCs w:val="24"/>
        </w:rPr>
        <w:t>208 respondents</w:t>
      </w:r>
      <w:r w:rsidRPr="00E169C3">
        <w:rPr>
          <w:rFonts w:ascii="Times New Roman" w:eastAsia="Times New Roman" w:hAnsi="Times New Roman" w:cs="Times New Roman"/>
          <w:sz w:val="24"/>
          <w:szCs w:val="24"/>
        </w:rPr>
        <w:t xml:space="preserve"> was drawn from the total population (N=450). A combination of </w:t>
      </w:r>
      <w:r w:rsidRPr="00E169C3">
        <w:rPr>
          <w:rFonts w:ascii="Times New Roman" w:eastAsia="Times New Roman" w:hAnsi="Times New Roman" w:cs="Times New Roman"/>
          <w:bCs/>
          <w:sz w:val="24"/>
          <w:szCs w:val="24"/>
        </w:rPr>
        <w:t>purposive</w:t>
      </w:r>
      <w:r w:rsidRPr="00E169C3">
        <w:rPr>
          <w:rFonts w:ascii="Times New Roman" w:eastAsia="Times New Roman" w:hAnsi="Times New Roman" w:cs="Times New Roman"/>
          <w:sz w:val="24"/>
          <w:szCs w:val="24"/>
        </w:rPr>
        <w:t xml:space="preserve">, </w:t>
      </w:r>
      <w:r w:rsidRPr="00E169C3">
        <w:rPr>
          <w:rFonts w:ascii="Times New Roman" w:eastAsia="Times New Roman" w:hAnsi="Times New Roman" w:cs="Times New Roman"/>
          <w:bCs/>
          <w:sz w:val="24"/>
          <w:szCs w:val="24"/>
        </w:rPr>
        <w:t>simple random</w:t>
      </w:r>
      <w:r w:rsidRPr="00E169C3">
        <w:rPr>
          <w:rFonts w:ascii="Times New Roman" w:eastAsia="Times New Roman" w:hAnsi="Times New Roman" w:cs="Times New Roman"/>
          <w:sz w:val="24"/>
          <w:szCs w:val="24"/>
        </w:rPr>
        <w:t xml:space="preserve">, and </w:t>
      </w:r>
      <w:r w:rsidRPr="00E169C3">
        <w:rPr>
          <w:rFonts w:ascii="Times New Roman" w:eastAsia="Times New Roman" w:hAnsi="Times New Roman" w:cs="Times New Roman"/>
          <w:bCs/>
          <w:sz w:val="24"/>
          <w:szCs w:val="24"/>
        </w:rPr>
        <w:t>stratified sampling techniques</w:t>
      </w:r>
      <w:r w:rsidRPr="00E169C3">
        <w:rPr>
          <w:rFonts w:ascii="Times New Roman" w:eastAsia="Times New Roman" w:hAnsi="Times New Roman" w:cs="Times New Roman"/>
          <w:sz w:val="24"/>
          <w:szCs w:val="24"/>
        </w:rPr>
        <w:t xml:space="preserve"> was applied.</w:t>
      </w:r>
    </w:p>
    <w:p w14:paraId="15D18ED4" w14:textId="77777777" w:rsidR="00B62E14" w:rsidRPr="00E169C3" w:rsidRDefault="00B62E14" w:rsidP="00B62E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Purposive sampling</w:t>
      </w:r>
      <w:r w:rsidRPr="00E169C3">
        <w:rPr>
          <w:rFonts w:ascii="Times New Roman" w:eastAsia="Times New Roman" w:hAnsi="Times New Roman" w:cs="Times New Roman"/>
          <w:sz w:val="24"/>
          <w:szCs w:val="24"/>
        </w:rPr>
        <w:t xml:space="preserve"> identified the three TVET institutions and their administrators.</w:t>
      </w:r>
    </w:p>
    <w:p w14:paraId="236118E9" w14:textId="77777777" w:rsidR="00B62E14" w:rsidRPr="00E169C3" w:rsidRDefault="00B62E14" w:rsidP="00B62E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Simple random sampling</w:t>
      </w:r>
      <w:r w:rsidRPr="00E169C3">
        <w:rPr>
          <w:rFonts w:ascii="Times New Roman" w:eastAsia="Times New Roman" w:hAnsi="Times New Roman" w:cs="Times New Roman"/>
          <w:sz w:val="24"/>
          <w:szCs w:val="24"/>
        </w:rPr>
        <w:t xml:space="preserve"> ensured each graduate had an equal chance of selection.</w:t>
      </w:r>
    </w:p>
    <w:p w14:paraId="5F055778" w14:textId="77777777" w:rsidR="00B62E14" w:rsidRPr="00E169C3" w:rsidRDefault="00B62E14" w:rsidP="00B62E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Stratified random sampling</w:t>
      </w:r>
      <w:r w:rsidRPr="00E169C3">
        <w:rPr>
          <w:rFonts w:ascii="Times New Roman" w:eastAsia="Times New Roman" w:hAnsi="Times New Roman" w:cs="Times New Roman"/>
          <w:sz w:val="24"/>
          <w:szCs w:val="24"/>
        </w:rPr>
        <w:t xml:space="preserve"> grouped respondents by skill area (e.g., electrical installation, building, welding) to guarantee representation across training disciplines.</w:t>
      </w:r>
    </w:p>
    <w:p w14:paraId="6AF9729A"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The study also included three key informants—one administrator from each participating institution—bringing the total number of respondents to </w:t>
      </w:r>
      <w:r w:rsidRPr="00E169C3">
        <w:rPr>
          <w:rFonts w:ascii="Times New Roman" w:eastAsia="Times New Roman" w:hAnsi="Times New Roman" w:cs="Times New Roman"/>
          <w:bCs/>
          <w:sz w:val="24"/>
          <w:szCs w:val="24"/>
        </w:rPr>
        <w:t>211</w:t>
      </w:r>
      <w:r w:rsidRPr="00E169C3">
        <w:rPr>
          <w:rFonts w:ascii="Times New Roman" w:eastAsia="Times New Roman" w:hAnsi="Times New Roman" w:cs="Times New Roman"/>
          <w:sz w:val="24"/>
          <w:szCs w:val="24"/>
        </w:rPr>
        <w:t>.</w:t>
      </w:r>
    </w:p>
    <w:p w14:paraId="7EAE803E"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2.4 Data Collection Methods and Instruments</w:t>
      </w:r>
    </w:p>
    <w:p w14:paraId="077AC5EF"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Two primary instruments were employed:</w:t>
      </w:r>
    </w:p>
    <w:p w14:paraId="0C081B99" w14:textId="77777777" w:rsidR="00B62E14" w:rsidRPr="00E169C3" w:rsidRDefault="00B62E14" w:rsidP="00B62E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Questionnaires</w:t>
      </w:r>
      <w:r w:rsidRPr="00E169C3">
        <w:rPr>
          <w:rFonts w:ascii="Times New Roman" w:eastAsia="Times New Roman" w:hAnsi="Times New Roman" w:cs="Times New Roman"/>
          <w:sz w:val="24"/>
          <w:szCs w:val="24"/>
        </w:rPr>
        <w:t xml:space="preserve"> for graduates, and</w:t>
      </w:r>
    </w:p>
    <w:p w14:paraId="2E1771C8" w14:textId="77777777" w:rsidR="00B62E14" w:rsidRPr="00B62E14" w:rsidRDefault="00B62E14" w:rsidP="00B62E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Interview guides</w:t>
      </w:r>
      <w:r w:rsidRPr="00E169C3">
        <w:rPr>
          <w:rFonts w:ascii="Times New Roman" w:eastAsia="Times New Roman" w:hAnsi="Times New Roman" w:cs="Times New Roman"/>
          <w:sz w:val="24"/>
          <w:szCs w:val="24"/>
        </w:rPr>
        <w:t xml:space="preserve"> for administrators</w:t>
      </w:r>
      <w:r w:rsidRPr="00B62E14">
        <w:rPr>
          <w:rFonts w:ascii="Times New Roman" w:eastAsia="Times New Roman" w:hAnsi="Times New Roman" w:cs="Times New Roman"/>
          <w:sz w:val="24"/>
          <w:szCs w:val="24"/>
        </w:rPr>
        <w:t>.</w:t>
      </w:r>
    </w:p>
    <w:p w14:paraId="5474DE25" w14:textId="77777777" w:rsidR="00B62E14" w:rsidRPr="00B62E14" w:rsidRDefault="00B62E14" w:rsidP="00B62E14">
      <w:pPr>
        <w:spacing w:before="100" w:beforeAutospacing="1" w:after="100" w:afterAutospacing="1" w:line="240" w:lineRule="auto"/>
        <w:outlineLvl w:val="3"/>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2.4.1 Questionnaires</w:t>
      </w:r>
    </w:p>
    <w:p w14:paraId="227B1F23"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A structured questionnaire was designed in line with the research objectives. It included both </w:t>
      </w:r>
      <w:r w:rsidRPr="00E169C3">
        <w:rPr>
          <w:rFonts w:ascii="Times New Roman" w:eastAsia="Times New Roman" w:hAnsi="Times New Roman" w:cs="Times New Roman"/>
          <w:bCs/>
          <w:sz w:val="24"/>
          <w:szCs w:val="24"/>
        </w:rPr>
        <w:t>closed-ended questions</w:t>
      </w:r>
      <w:r w:rsidRPr="00E169C3">
        <w:rPr>
          <w:rFonts w:ascii="Times New Roman" w:eastAsia="Times New Roman" w:hAnsi="Times New Roman" w:cs="Times New Roman"/>
          <w:sz w:val="24"/>
          <w:szCs w:val="24"/>
        </w:rPr>
        <w:t xml:space="preserve"> (to capture quantifiable data such as employment status, income range, and skills acquired) and </w:t>
      </w:r>
      <w:r w:rsidRPr="00E169C3">
        <w:rPr>
          <w:rFonts w:ascii="Times New Roman" w:eastAsia="Times New Roman" w:hAnsi="Times New Roman" w:cs="Times New Roman"/>
          <w:bCs/>
          <w:sz w:val="24"/>
          <w:szCs w:val="24"/>
        </w:rPr>
        <w:t>open-ended prompts</w:t>
      </w:r>
      <w:r w:rsidRPr="00E169C3">
        <w:rPr>
          <w:rFonts w:ascii="Times New Roman" w:eastAsia="Times New Roman" w:hAnsi="Times New Roman" w:cs="Times New Roman"/>
          <w:sz w:val="24"/>
          <w:szCs w:val="24"/>
        </w:rPr>
        <w:t xml:space="preserve"> (to elicit participants’ perceptions and experiences). The questionnaire covered demographic data, type of training received,</w:t>
      </w:r>
      <w:r w:rsidRPr="00B62E14">
        <w:rPr>
          <w:rFonts w:ascii="Times New Roman" w:eastAsia="Times New Roman" w:hAnsi="Times New Roman" w:cs="Times New Roman"/>
          <w:sz w:val="24"/>
          <w:szCs w:val="24"/>
        </w:rPr>
        <w:t xml:space="preserve"> employability skills, employment outcomes, and challenges faced post-training. The tools were pretested in a pilot study to ensure clarity, relevance, and reliability.</w:t>
      </w:r>
    </w:p>
    <w:p w14:paraId="6866588E" w14:textId="77777777" w:rsidR="00B62E14" w:rsidRPr="00B62E14" w:rsidRDefault="00B62E14" w:rsidP="00B62E14">
      <w:pPr>
        <w:spacing w:before="100" w:beforeAutospacing="1" w:after="100" w:afterAutospacing="1" w:line="240" w:lineRule="auto"/>
        <w:outlineLvl w:val="3"/>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2.4.2 Interviews</w:t>
      </w:r>
    </w:p>
    <w:p w14:paraId="39602D6E"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Semi-structured interviews were conducted with TVET administrators to gather qualitative insights on programme implementation, institutional capacity, and sustainability challenges. The flexible format enabled probing and follow-up questions, generating nuanced understanding </w:t>
      </w:r>
      <w:r w:rsidRPr="00B62E14">
        <w:rPr>
          <w:rFonts w:ascii="Times New Roman" w:eastAsia="Times New Roman" w:hAnsi="Times New Roman" w:cs="Times New Roman"/>
          <w:sz w:val="24"/>
          <w:szCs w:val="24"/>
        </w:rPr>
        <w:lastRenderedPageBreak/>
        <w:t>beyond quantitative data. Interviews were recorded with consent and transcribed verbatim for thematic analysis.</w:t>
      </w:r>
    </w:p>
    <w:p w14:paraId="39BBB9BD"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2.5 Validity, Reliability, and Ethical Considerations</w:t>
      </w:r>
    </w:p>
    <w:p w14:paraId="71D16D43" w14:textId="77777777" w:rsidR="00B62E14" w:rsidRPr="00B62E14" w:rsidRDefault="00B62E14" w:rsidP="00B62E14">
      <w:pPr>
        <w:spacing w:before="100" w:beforeAutospacing="1" w:after="100" w:afterAutospacing="1" w:line="240" w:lineRule="auto"/>
        <w:outlineLvl w:val="3"/>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2.5.1 Validity and Reliability</w:t>
      </w:r>
    </w:p>
    <w:p w14:paraId="0A5988DF"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To ensure validity, the questionnaire and interview guide were reviewed by academic </w:t>
      </w:r>
      <w:r w:rsidRPr="00E169C3">
        <w:rPr>
          <w:rFonts w:ascii="Times New Roman" w:eastAsia="Times New Roman" w:hAnsi="Times New Roman" w:cs="Times New Roman"/>
          <w:sz w:val="24"/>
          <w:szCs w:val="24"/>
        </w:rPr>
        <w:t xml:space="preserve">supervisors and field experts. Content validity was enhanced through alignment with the study objectives and literature. Reliability was assessed using a </w:t>
      </w:r>
      <w:r w:rsidRPr="00E169C3">
        <w:rPr>
          <w:rFonts w:ascii="Times New Roman" w:eastAsia="Times New Roman" w:hAnsi="Times New Roman" w:cs="Times New Roman"/>
          <w:bCs/>
          <w:sz w:val="24"/>
          <w:szCs w:val="24"/>
        </w:rPr>
        <w:t>pilot test</w:t>
      </w:r>
      <w:r w:rsidRPr="00E169C3">
        <w:rPr>
          <w:rFonts w:ascii="Times New Roman" w:eastAsia="Times New Roman" w:hAnsi="Times New Roman" w:cs="Times New Roman"/>
          <w:sz w:val="24"/>
          <w:szCs w:val="24"/>
        </w:rPr>
        <w:t xml:space="preserve"> conducted among a small group of graduates from non-participating institutions. The consistency of responses was measured using </w:t>
      </w:r>
      <w:r w:rsidRPr="00E169C3">
        <w:rPr>
          <w:rFonts w:ascii="Times New Roman" w:eastAsia="Times New Roman" w:hAnsi="Times New Roman" w:cs="Times New Roman"/>
          <w:bCs/>
          <w:sz w:val="24"/>
          <w:szCs w:val="24"/>
        </w:rPr>
        <w:t>Cronbach’s alpha coefficient</w:t>
      </w:r>
      <w:r w:rsidRPr="00E169C3">
        <w:rPr>
          <w:rFonts w:ascii="Times New Roman" w:eastAsia="Times New Roman" w:hAnsi="Times New Roman" w:cs="Times New Roman"/>
          <w:sz w:val="24"/>
          <w:szCs w:val="24"/>
        </w:rPr>
        <w:t xml:space="preserve">, which yielded a reliability score of </w:t>
      </w:r>
      <w:r w:rsidRPr="00E169C3">
        <w:rPr>
          <w:rFonts w:ascii="Times New Roman" w:eastAsia="Times New Roman" w:hAnsi="Times New Roman" w:cs="Times New Roman"/>
          <w:bCs/>
          <w:sz w:val="24"/>
          <w:szCs w:val="24"/>
        </w:rPr>
        <w:t>0.82</w:t>
      </w:r>
      <w:r w:rsidRPr="00E169C3">
        <w:rPr>
          <w:rFonts w:ascii="Times New Roman" w:eastAsia="Times New Roman" w:hAnsi="Times New Roman" w:cs="Times New Roman"/>
          <w:sz w:val="24"/>
          <w:szCs w:val="24"/>
        </w:rPr>
        <w:t>, indicating strong internal consistency.</w:t>
      </w:r>
    </w:p>
    <w:p w14:paraId="27E48B49" w14:textId="77777777" w:rsidR="00B62E14" w:rsidRPr="00B62E14" w:rsidRDefault="00B62E14" w:rsidP="00B62E14">
      <w:pPr>
        <w:spacing w:before="100" w:beforeAutospacing="1" w:after="100" w:afterAutospacing="1" w:line="240" w:lineRule="auto"/>
        <w:outlineLvl w:val="3"/>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2.5.2 Ethical Considerations</w:t>
      </w:r>
    </w:p>
    <w:p w14:paraId="05C032CF"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study adhered to ethical guidelines established by the University of Eldoret and Uganda’s Research Ethics Committee. Permission to collect data was obtained from the participating </w:t>
      </w:r>
      <w:r w:rsidRPr="00E169C3">
        <w:rPr>
          <w:rFonts w:ascii="Times New Roman" w:eastAsia="Times New Roman" w:hAnsi="Times New Roman" w:cs="Times New Roman"/>
          <w:sz w:val="24"/>
          <w:szCs w:val="24"/>
        </w:rPr>
        <w:t xml:space="preserve">institutions. Respondents were briefed on the purpose of the study, and </w:t>
      </w:r>
      <w:r w:rsidRPr="00E169C3">
        <w:rPr>
          <w:rFonts w:ascii="Times New Roman" w:eastAsia="Times New Roman" w:hAnsi="Times New Roman" w:cs="Times New Roman"/>
          <w:bCs/>
          <w:sz w:val="24"/>
          <w:szCs w:val="24"/>
        </w:rPr>
        <w:t>informed consent</w:t>
      </w:r>
      <w:r w:rsidRPr="00E169C3">
        <w:rPr>
          <w:rFonts w:ascii="Times New Roman" w:eastAsia="Times New Roman" w:hAnsi="Times New Roman" w:cs="Times New Roman"/>
          <w:sz w:val="24"/>
          <w:szCs w:val="24"/>
        </w:rPr>
        <w:t xml:space="preserve"> was</w:t>
      </w:r>
      <w:r w:rsidRPr="00B62E14">
        <w:rPr>
          <w:rFonts w:ascii="Times New Roman" w:eastAsia="Times New Roman" w:hAnsi="Times New Roman" w:cs="Times New Roman"/>
          <w:sz w:val="24"/>
          <w:szCs w:val="24"/>
        </w:rPr>
        <w:t xml:space="preserve"> obtained prior to participation. Confidentiality and anonymity were assured by using codes instead of names, and participation was voluntary.</w:t>
      </w:r>
    </w:p>
    <w:p w14:paraId="3969E706"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2.6 Data Analysis</w:t>
      </w:r>
    </w:p>
    <w:p w14:paraId="2ED09105"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Quantitative data were analyzed using </w:t>
      </w:r>
      <w:r w:rsidRPr="00E169C3">
        <w:rPr>
          <w:rFonts w:ascii="Times New Roman" w:eastAsia="Times New Roman" w:hAnsi="Times New Roman" w:cs="Times New Roman"/>
          <w:bCs/>
          <w:sz w:val="24"/>
          <w:szCs w:val="24"/>
        </w:rPr>
        <w:t>Statistical Package for the Social Sciences (SPSS)</w:t>
      </w:r>
      <w:r w:rsidRPr="00E169C3">
        <w:rPr>
          <w:rFonts w:ascii="Times New Roman" w:eastAsia="Times New Roman" w:hAnsi="Times New Roman" w:cs="Times New Roman"/>
          <w:sz w:val="24"/>
          <w:szCs w:val="24"/>
        </w:rPr>
        <w:t xml:space="preserve"> version 22. Descriptive statistics such as frequencies, percentages, and means were used to present demographic profiles and employment outcomes. Cross-tabulation helped to compare employment status across skill areas and gender.</w:t>
      </w:r>
    </w:p>
    <w:p w14:paraId="12583D5E"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Qualitative data from interviews were analyzed using </w:t>
      </w:r>
      <w:r w:rsidRPr="00E169C3">
        <w:rPr>
          <w:rFonts w:ascii="Times New Roman" w:eastAsia="Times New Roman" w:hAnsi="Times New Roman" w:cs="Times New Roman"/>
          <w:bCs/>
          <w:sz w:val="24"/>
          <w:szCs w:val="24"/>
        </w:rPr>
        <w:t>thematic analysis</w:t>
      </w:r>
      <w:r w:rsidRPr="00E169C3">
        <w:rPr>
          <w:rFonts w:ascii="Times New Roman" w:eastAsia="Times New Roman" w:hAnsi="Times New Roman" w:cs="Times New Roman"/>
          <w:sz w:val="24"/>
          <w:szCs w:val="24"/>
        </w:rPr>
        <w:t>. Transcripts were read</w:t>
      </w:r>
      <w:r w:rsidRPr="00B62E14">
        <w:rPr>
          <w:rFonts w:ascii="Times New Roman" w:eastAsia="Times New Roman" w:hAnsi="Times New Roman" w:cs="Times New Roman"/>
          <w:sz w:val="24"/>
          <w:szCs w:val="24"/>
        </w:rPr>
        <w:t xml:space="preserve"> and re-read to identify emerging patterns and themes related to employability skills, institutional challenges, and programme outcomes. These qualitative insights were then triangulated with quantitative findings to enrich interpretation and enhance the robustness of conclusions.</w:t>
      </w:r>
    </w:p>
    <w:p w14:paraId="5E36FCBD"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2.7 Summary of the Methodological Approach</w:t>
      </w:r>
    </w:p>
    <w:p w14:paraId="7E8AC456"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The study’s methodological design ensured that both the </w:t>
      </w:r>
      <w:r w:rsidRPr="00E169C3">
        <w:rPr>
          <w:rFonts w:ascii="Times New Roman" w:eastAsia="Times New Roman" w:hAnsi="Times New Roman" w:cs="Times New Roman"/>
          <w:bCs/>
          <w:sz w:val="24"/>
          <w:szCs w:val="24"/>
        </w:rPr>
        <w:t>breadth</w:t>
      </w:r>
      <w:r w:rsidRPr="00E169C3">
        <w:rPr>
          <w:rFonts w:ascii="Times New Roman" w:eastAsia="Times New Roman" w:hAnsi="Times New Roman" w:cs="Times New Roman"/>
          <w:sz w:val="24"/>
          <w:szCs w:val="24"/>
        </w:rPr>
        <w:t xml:space="preserve"> (through quantitative survey data) and </w:t>
      </w:r>
      <w:r w:rsidRPr="00E169C3">
        <w:rPr>
          <w:rFonts w:ascii="Times New Roman" w:eastAsia="Times New Roman" w:hAnsi="Times New Roman" w:cs="Times New Roman"/>
          <w:bCs/>
          <w:sz w:val="24"/>
          <w:szCs w:val="24"/>
        </w:rPr>
        <w:t>depth</w:t>
      </w:r>
      <w:r w:rsidRPr="00E169C3">
        <w:rPr>
          <w:rFonts w:ascii="Times New Roman" w:eastAsia="Times New Roman" w:hAnsi="Times New Roman" w:cs="Times New Roman"/>
          <w:sz w:val="24"/>
          <w:szCs w:val="24"/>
        </w:rPr>
        <w:t xml:space="preserve"> (through qualitative insights) of the </w:t>
      </w:r>
      <w:r w:rsidRPr="00E169C3">
        <w:rPr>
          <w:rFonts w:ascii="Times New Roman" w:eastAsia="Times New Roman" w:hAnsi="Times New Roman" w:cs="Times New Roman"/>
          <w:i/>
          <w:iCs/>
          <w:sz w:val="24"/>
          <w:szCs w:val="24"/>
        </w:rPr>
        <w:t xml:space="preserve">Skilling Uganda </w:t>
      </w:r>
      <w:proofErr w:type="spellStart"/>
      <w:r w:rsidRPr="00E169C3">
        <w:rPr>
          <w:rFonts w:ascii="Times New Roman" w:eastAsia="Times New Roman" w:hAnsi="Times New Roman" w:cs="Times New Roman"/>
          <w:i/>
          <w:iCs/>
          <w:sz w:val="24"/>
          <w:szCs w:val="24"/>
        </w:rPr>
        <w:t>Programme’s</w:t>
      </w:r>
      <w:proofErr w:type="spellEnd"/>
      <w:r w:rsidRPr="00E169C3">
        <w:rPr>
          <w:rFonts w:ascii="Times New Roman" w:eastAsia="Times New Roman" w:hAnsi="Times New Roman" w:cs="Times New Roman"/>
          <w:sz w:val="24"/>
          <w:szCs w:val="24"/>
        </w:rPr>
        <w:t xml:space="preserve"> impact were adequately captured. By combining empirical evidence with personal and institutional perspectives, the study provided a balanced assessment of how skills development initiatives</w:t>
      </w:r>
      <w:r w:rsidRPr="00B62E14">
        <w:rPr>
          <w:rFonts w:ascii="Times New Roman" w:eastAsia="Times New Roman" w:hAnsi="Times New Roman" w:cs="Times New Roman"/>
          <w:sz w:val="24"/>
          <w:szCs w:val="24"/>
        </w:rPr>
        <w:t xml:space="preserve"> influence employment outcomes. The mixed-methods approach, grounded in pragmatic philosophy, thus offered an appropriate lens for exploring complex, real-world educational interventions in developing economies like Uganda’s.</w:t>
      </w:r>
    </w:p>
    <w:p w14:paraId="2C9B03BD" w14:textId="77777777" w:rsidR="00F36304" w:rsidRDefault="00F36304" w:rsidP="00B62E14">
      <w:pPr>
        <w:spacing w:before="100" w:beforeAutospacing="1" w:after="100" w:afterAutospacing="1" w:line="240" w:lineRule="auto"/>
        <w:outlineLvl w:val="1"/>
        <w:rPr>
          <w:rFonts w:ascii="Times New Roman" w:eastAsia="Times New Roman" w:hAnsi="Times New Roman" w:cs="Times New Roman"/>
          <w:b/>
          <w:bCs/>
          <w:sz w:val="36"/>
          <w:szCs w:val="36"/>
        </w:rPr>
      </w:pPr>
    </w:p>
    <w:p w14:paraId="51EB4419" w14:textId="77777777" w:rsidR="00B62E14" w:rsidRP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lastRenderedPageBreak/>
        <w:t>3. Results and Discussion</w:t>
      </w:r>
    </w:p>
    <w:p w14:paraId="49A05623"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3.1 Demographic Characteristics of Respondents</w:t>
      </w:r>
    </w:p>
    <w:p w14:paraId="27155B80"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A total of </w:t>
      </w:r>
      <w:r w:rsidRPr="00145525">
        <w:rPr>
          <w:rFonts w:ascii="Times New Roman" w:eastAsia="Times New Roman" w:hAnsi="Times New Roman" w:cs="Times New Roman"/>
          <w:bCs/>
          <w:sz w:val="24"/>
          <w:szCs w:val="24"/>
        </w:rPr>
        <w:t>208 graduates</w:t>
      </w:r>
      <w:r w:rsidR="00145525">
        <w:rPr>
          <w:rFonts w:ascii="Times New Roman" w:eastAsia="Times New Roman" w:hAnsi="Times New Roman" w:cs="Times New Roman"/>
          <w:bCs/>
          <w:sz w:val="24"/>
          <w:szCs w:val="24"/>
        </w:rPr>
        <w:t xml:space="preserve"> and 3 administrative representatives</w:t>
      </w:r>
      <w:r w:rsidRPr="00145525">
        <w:rPr>
          <w:rFonts w:ascii="Times New Roman" w:eastAsia="Times New Roman" w:hAnsi="Times New Roman" w:cs="Times New Roman"/>
          <w:sz w:val="24"/>
          <w:szCs w:val="24"/>
        </w:rPr>
        <w:t xml:space="preserve"> from the </w:t>
      </w:r>
      <w:r w:rsidRPr="00145525">
        <w:rPr>
          <w:rFonts w:ascii="Times New Roman" w:eastAsia="Times New Roman" w:hAnsi="Times New Roman" w:cs="Times New Roman"/>
          <w:i/>
          <w:iCs/>
          <w:sz w:val="24"/>
          <w:szCs w:val="24"/>
        </w:rPr>
        <w:t>Skilling Uganda Programme</w:t>
      </w:r>
      <w:r w:rsidRPr="00145525">
        <w:rPr>
          <w:rFonts w:ascii="Times New Roman" w:eastAsia="Times New Roman" w:hAnsi="Times New Roman" w:cs="Times New Roman"/>
          <w:sz w:val="24"/>
          <w:szCs w:val="24"/>
        </w:rPr>
        <w:t xml:space="preserve"> participated in the study, representing a 92% response rate. The sample comprised </w:t>
      </w:r>
      <w:r w:rsidRPr="00145525">
        <w:rPr>
          <w:rFonts w:ascii="Times New Roman" w:eastAsia="Times New Roman" w:hAnsi="Times New Roman" w:cs="Times New Roman"/>
          <w:bCs/>
          <w:sz w:val="24"/>
          <w:szCs w:val="24"/>
        </w:rPr>
        <w:t>57% males</w:t>
      </w:r>
      <w:r w:rsidRPr="00145525">
        <w:rPr>
          <w:rFonts w:ascii="Times New Roman" w:eastAsia="Times New Roman" w:hAnsi="Times New Roman" w:cs="Times New Roman"/>
          <w:sz w:val="24"/>
          <w:szCs w:val="24"/>
        </w:rPr>
        <w:t xml:space="preserve"> and </w:t>
      </w:r>
      <w:r w:rsidRPr="00145525">
        <w:rPr>
          <w:rFonts w:ascii="Times New Roman" w:eastAsia="Times New Roman" w:hAnsi="Times New Roman" w:cs="Times New Roman"/>
          <w:bCs/>
          <w:sz w:val="24"/>
          <w:szCs w:val="24"/>
        </w:rPr>
        <w:t>43% females</w:t>
      </w:r>
      <w:r w:rsidRPr="00145525">
        <w:rPr>
          <w:rFonts w:ascii="Times New Roman" w:eastAsia="Times New Roman" w:hAnsi="Times New Roman" w:cs="Times New Roman"/>
          <w:sz w:val="24"/>
          <w:szCs w:val="24"/>
        </w:rPr>
        <w:t xml:space="preserve">, reflecting the gender distribution typical of vocational training institutions in Uganda. Most respondents (62%) were between </w:t>
      </w:r>
      <w:r w:rsidRPr="00145525">
        <w:rPr>
          <w:rFonts w:ascii="Times New Roman" w:eastAsia="Times New Roman" w:hAnsi="Times New Roman" w:cs="Times New Roman"/>
          <w:bCs/>
          <w:sz w:val="24"/>
          <w:szCs w:val="24"/>
        </w:rPr>
        <w:t>18 and 30 years</w:t>
      </w:r>
      <w:r w:rsidRPr="00145525">
        <w:rPr>
          <w:rFonts w:ascii="Times New Roman" w:eastAsia="Times New Roman" w:hAnsi="Times New Roman" w:cs="Times New Roman"/>
          <w:sz w:val="24"/>
          <w:szCs w:val="24"/>
        </w:rPr>
        <w:t xml:space="preserve"> old, signifying that the programme primarily targeted youth. Regarding educational attainment prior to enrolment, 48% of participants had completed the Uganda Certificate of Education (UCE), while 31% held Uganda Advanced</w:t>
      </w:r>
      <w:r w:rsidRPr="00B62E14">
        <w:rPr>
          <w:rFonts w:ascii="Times New Roman" w:eastAsia="Times New Roman" w:hAnsi="Times New Roman" w:cs="Times New Roman"/>
          <w:sz w:val="24"/>
          <w:szCs w:val="24"/>
        </w:rPr>
        <w:t xml:space="preserve"> Certificate of Education (UACE) qualifications.</w:t>
      </w:r>
    </w:p>
    <w:p w14:paraId="79640EB8"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The majority of graduates (67%) trained in technical trades such as construction, plumbing, and electrical installation, while 33% specialized in service-oriented trades like tailoring, catering, and hairdressing. Table 1 summarizes the key demographic characteristics.</w:t>
      </w:r>
    </w:p>
    <w:p w14:paraId="0E95A527"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Table 1: 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073"/>
        <w:gridCol w:w="1154"/>
        <w:gridCol w:w="1653"/>
        <w:gridCol w:w="81"/>
      </w:tblGrid>
      <w:tr w:rsidR="00895202" w:rsidRPr="00B62E14" w14:paraId="0A11855A" w14:textId="2F971E06" w:rsidTr="00210547">
        <w:trPr>
          <w:tblHeader/>
          <w:tblCellSpacing w:w="15" w:type="dxa"/>
        </w:trPr>
        <w:tc>
          <w:tcPr>
            <w:tcW w:w="0" w:type="auto"/>
            <w:vAlign w:val="center"/>
            <w:hideMark/>
          </w:tcPr>
          <w:p w14:paraId="1DED89D5"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Variable</w:t>
            </w:r>
          </w:p>
        </w:tc>
        <w:tc>
          <w:tcPr>
            <w:tcW w:w="0" w:type="auto"/>
            <w:vAlign w:val="center"/>
            <w:hideMark/>
          </w:tcPr>
          <w:p w14:paraId="3CCD80DA"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Category</w:t>
            </w:r>
          </w:p>
        </w:tc>
        <w:tc>
          <w:tcPr>
            <w:tcW w:w="0" w:type="auto"/>
            <w:vAlign w:val="center"/>
            <w:hideMark/>
          </w:tcPr>
          <w:p w14:paraId="32D5082F"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Frequency</w:t>
            </w:r>
          </w:p>
        </w:tc>
        <w:tc>
          <w:tcPr>
            <w:tcW w:w="0" w:type="auto"/>
            <w:vAlign w:val="center"/>
            <w:hideMark/>
          </w:tcPr>
          <w:p w14:paraId="31A7B683"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Percentage (%)</w:t>
            </w:r>
          </w:p>
        </w:tc>
        <w:tc>
          <w:tcPr>
            <w:tcW w:w="0" w:type="auto"/>
          </w:tcPr>
          <w:p w14:paraId="53679F20"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p>
        </w:tc>
      </w:tr>
      <w:tr w:rsidR="00895202" w:rsidRPr="00B62E14" w14:paraId="0809BCFE" w14:textId="49506B63" w:rsidTr="00210547">
        <w:trPr>
          <w:tblCellSpacing w:w="15" w:type="dxa"/>
        </w:trPr>
        <w:tc>
          <w:tcPr>
            <w:tcW w:w="0" w:type="auto"/>
            <w:vAlign w:val="center"/>
            <w:hideMark/>
          </w:tcPr>
          <w:p w14:paraId="5D35854A"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Gender</w:t>
            </w:r>
          </w:p>
        </w:tc>
        <w:tc>
          <w:tcPr>
            <w:tcW w:w="0" w:type="auto"/>
            <w:vAlign w:val="center"/>
            <w:hideMark/>
          </w:tcPr>
          <w:p w14:paraId="69475F8B"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Male</w:t>
            </w:r>
          </w:p>
        </w:tc>
        <w:tc>
          <w:tcPr>
            <w:tcW w:w="0" w:type="auto"/>
            <w:vAlign w:val="center"/>
            <w:hideMark/>
          </w:tcPr>
          <w:p w14:paraId="72293468"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119</w:t>
            </w:r>
          </w:p>
        </w:tc>
        <w:tc>
          <w:tcPr>
            <w:tcW w:w="0" w:type="auto"/>
            <w:vAlign w:val="center"/>
            <w:hideMark/>
          </w:tcPr>
          <w:p w14:paraId="31CC5C9D"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57.2</w:t>
            </w:r>
          </w:p>
        </w:tc>
        <w:tc>
          <w:tcPr>
            <w:tcW w:w="0" w:type="auto"/>
          </w:tcPr>
          <w:p w14:paraId="2D3489DC"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1ABA221C" w14:textId="53998F0B" w:rsidTr="00210547">
        <w:trPr>
          <w:tblCellSpacing w:w="15" w:type="dxa"/>
        </w:trPr>
        <w:tc>
          <w:tcPr>
            <w:tcW w:w="0" w:type="auto"/>
            <w:vAlign w:val="center"/>
            <w:hideMark/>
          </w:tcPr>
          <w:p w14:paraId="78A41A76"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4A9817EE"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Female</w:t>
            </w:r>
          </w:p>
        </w:tc>
        <w:tc>
          <w:tcPr>
            <w:tcW w:w="0" w:type="auto"/>
            <w:vAlign w:val="center"/>
            <w:hideMark/>
          </w:tcPr>
          <w:p w14:paraId="47DAD110"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89</w:t>
            </w:r>
          </w:p>
        </w:tc>
        <w:tc>
          <w:tcPr>
            <w:tcW w:w="0" w:type="auto"/>
            <w:vAlign w:val="center"/>
            <w:hideMark/>
          </w:tcPr>
          <w:p w14:paraId="30933738"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42.8</w:t>
            </w:r>
          </w:p>
        </w:tc>
        <w:tc>
          <w:tcPr>
            <w:tcW w:w="0" w:type="auto"/>
          </w:tcPr>
          <w:p w14:paraId="451175D5"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7DF15438" w14:textId="49E2483E" w:rsidTr="00210547">
        <w:trPr>
          <w:tblCellSpacing w:w="15" w:type="dxa"/>
        </w:trPr>
        <w:tc>
          <w:tcPr>
            <w:tcW w:w="0" w:type="auto"/>
            <w:vAlign w:val="center"/>
            <w:hideMark/>
          </w:tcPr>
          <w:p w14:paraId="71BB3993"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Age Group</w:t>
            </w:r>
          </w:p>
        </w:tc>
        <w:tc>
          <w:tcPr>
            <w:tcW w:w="0" w:type="auto"/>
            <w:vAlign w:val="center"/>
            <w:hideMark/>
          </w:tcPr>
          <w:p w14:paraId="369CBF74"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18–24</w:t>
            </w:r>
          </w:p>
        </w:tc>
        <w:tc>
          <w:tcPr>
            <w:tcW w:w="0" w:type="auto"/>
            <w:vAlign w:val="center"/>
            <w:hideMark/>
          </w:tcPr>
          <w:p w14:paraId="36699324"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78</w:t>
            </w:r>
          </w:p>
        </w:tc>
        <w:tc>
          <w:tcPr>
            <w:tcW w:w="0" w:type="auto"/>
            <w:vAlign w:val="center"/>
            <w:hideMark/>
          </w:tcPr>
          <w:p w14:paraId="0B3EA94B"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37.5</w:t>
            </w:r>
          </w:p>
        </w:tc>
        <w:tc>
          <w:tcPr>
            <w:tcW w:w="0" w:type="auto"/>
          </w:tcPr>
          <w:p w14:paraId="08FA4087"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4C15938D" w14:textId="038A31E5" w:rsidTr="00210547">
        <w:trPr>
          <w:tblCellSpacing w:w="15" w:type="dxa"/>
        </w:trPr>
        <w:tc>
          <w:tcPr>
            <w:tcW w:w="0" w:type="auto"/>
            <w:vAlign w:val="center"/>
            <w:hideMark/>
          </w:tcPr>
          <w:p w14:paraId="2E38EE78"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59212A77"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25–30</w:t>
            </w:r>
          </w:p>
        </w:tc>
        <w:tc>
          <w:tcPr>
            <w:tcW w:w="0" w:type="auto"/>
            <w:vAlign w:val="center"/>
            <w:hideMark/>
          </w:tcPr>
          <w:p w14:paraId="6866EBE6"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51</w:t>
            </w:r>
          </w:p>
        </w:tc>
        <w:tc>
          <w:tcPr>
            <w:tcW w:w="0" w:type="auto"/>
            <w:vAlign w:val="center"/>
            <w:hideMark/>
          </w:tcPr>
          <w:p w14:paraId="4F74BA22"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24.5</w:t>
            </w:r>
          </w:p>
        </w:tc>
        <w:tc>
          <w:tcPr>
            <w:tcW w:w="0" w:type="auto"/>
          </w:tcPr>
          <w:p w14:paraId="67A8D02B"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3B19B9F8" w14:textId="5246E161" w:rsidTr="00210547">
        <w:trPr>
          <w:tblCellSpacing w:w="15" w:type="dxa"/>
        </w:trPr>
        <w:tc>
          <w:tcPr>
            <w:tcW w:w="0" w:type="auto"/>
            <w:vAlign w:val="center"/>
            <w:hideMark/>
          </w:tcPr>
          <w:p w14:paraId="72CA62F5"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59434FEE"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31–35</w:t>
            </w:r>
          </w:p>
        </w:tc>
        <w:tc>
          <w:tcPr>
            <w:tcW w:w="0" w:type="auto"/>
            <w:vAlign w:val="center"/>
            <w:hideMark/>
          </w:tcPr>
          <w:p w14:paraId="065E5247"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46</w:t>
            </w:r>
          </w:p>
        </w:tc>
        <w:tc>
          <w:tcPr>
            <w:tcW w:w="0" w:type="auto"/>
            <w:vAlign w:val="center"/>
            <w:hideMark/>
          </w:tcPr>
          <w:p w14:paraId="6B872816"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22.1</w:t>
            </w:r>
          </w:p>
        </w:tc>
        <w:tc>
          <w:tcPr>
            <w:tcW w:w="0" w:type="auto"/>
          </w:tcPr>
          <w:p w14:paraId="04412554"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02E77D6A" w14:textId="5241A7E2" w:rsidTr="00210547">
        <w:trPr>
          <w:tblCellSpacing w:w="15" w:type="dxa"/>
        </w:trPr>
        <w:tc>
          <w:tcPr>
            <w:tcW w:w="0" w:type="auto"/>
            <w:vAlign w:val="center"/>
            <w:hideMark/>
          </w:tcPr>
          <w:p w14:paraId="6500412C"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55D12C45"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Above 35</w:t>
            </w:r>
          </w:p>
        </w:tc>
        <w:tc>
          <w:tcPr>
            <w:tcW w:w="0" w:type="auto"/>
            <w:vAlign w:val="center"/>
            <w:hideMark/>
          </w:tcPr>
          <w:p w14:paraId="549C3380"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33</w:t>
            </w:r>
          </w:p>
        </w:tc>
        <w:tc>
          <w:tcPr>
            <w:tcW w:w="0" w:type="auto"/>
            <w:vAlign w:val="center"/>
            <w:hideMark/>
          </w:tcPr>
          <w:p w14:paraId="07708694"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15.9</w:t>
            </w:r>
          </w:p>
        </w:tc>
        <w:tc>
          <w:tcPr>
            <w:tcW w:w="0" w:type="auto"/>
          </w:tcPr>
          <w:p w14:paraId="3BD274ED"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16A770DB" w14:textId="13DC6A30" w:rsidTr="00210547">
        <w:trPr>
          <w:tblCellSpacing w:w="15" w:type="dxa"/>
        </w:trPr>
        <w:tc>
          <w:tcPr>
            <w:tcW w:w="0" w:type="auto"/>
            <w:vAlign w:val="center"/>
            <w:hideMark/>
          </w:tcPr>
          <w:p w14:paraId="05C2EDFB"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Education Level</w:t>
            </w:r>
          </w:p>
        </w:tc>
        <w:tc>
          <w:tcPr>
            <w:tcW w:w="0" w:type="auto"/>
            <w:vAlign w:val="center"/>
            <w:hideMark/>
          </w:tcPr>
          <w:p w14:paraId="22305895"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UCE</w:t>
            </w:r>
          </w:p>
        </w:tc>
        <w:tc>
          <w:tcPr>
            <w:tcW w:w="0" w:type="auto"/>
            <w:vAlign w:val="center"/>
            <w:hideMark/>
          </w:tcPr>
          <w:p w14:paraId="33C2FE8C"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100</w:t>
            </w:r>
          </w:p>
        </w:tc>
        <w:tc>
          <w:tcPr>
            <w:tcW w:w="0" w:type="auto"/>
            <w:vAlign w:val="center"/>
            <w:hideMark/>
          </w:tcPr>
          <w:p w14:paraId="5AAC14D1"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48.1</w:t>
            </w:r>
          </w:p>
        </w:tc>
        <w:tc>
          <w:tcPr>
            <w:tcW w:w="0" w:type="auto"/>
          </w:tcPr>
          <w:p w14:paraId="09E26EDC"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1E24BBEB" w14:textId="4EC3A2F8" w:rsidTr="00210547">
        <w:trPr>
          <w:tblCellSpacing w:w="15" w:type="dxa"/>
        </w:trPr>
        <w:tc>
          <w:tcPr>
            <w:tcW w:w="0" w:type="auto"/>
            <w:vAlign w:val="center"/>
            <w:hideMark/>
          </w:tcPr>
          <w:p w14:paraId="30A131F7"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3306913F"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UACE</w:t>
            </w:r>
          </w:p>
        </w:tc>
        <w:tc>
          <w:tcPr>
            <w:tcW w:w="0" w:type="auto"/>
            <w:vAlign w:val="center"/>
            <w:hideMark/>
          </w:tcPr>
          <w:p w14:paraId="1DFEE06D"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65</w:t>
            </w:r>
          </w:p>
        </w:tc>
        <w:tc>
          <w:tcPr>
            <w:tcW w:w="0" w:type="auto"/>
            <w:vAlign w:val="center"/>
            <w:hideMark/>
          </w:tcPr>
          <w:p w14:paraId="55F47476"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31.3</w:t>
            </w:r>
          </w:p>
        </w:tc>
        <w:tc>
          <w:tcPr>
            <w:tcW w:w="0" w:type="auto"/>
          </w:tcPr>
          <w:p w14:paraId="424FF503"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78B44ADF" w14:textId="107743AB" w:rsidTr="00210547">
        <w:trPr>
          <w:tblCellSpacing w:w="15" w:type="dxa"/>
        </w:trPr>
        <w:tc>
          <w:tcPr>
            <w:tcW w:w="0" w:type="auto"/>
            <w:vAlign w:val="center"/>
            <w:hideMark/>
          </w:tcPr>
          <w:p w14:paraId="0249F32D"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6A02BFCA"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Certificate</w:t>
            </w:r>
          </w:p>
        </w:tc>
        <w:tc>
          <w:tcPr>
            <w:tcW w:w="0" w:type="auto"/>
            <w:vAlign w:val="center"/>
            <w:hideMark/>
          </w:tcPr>
          <w:p w14:paraId="06849C4E"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43</w:t>
            </w:r>
          </w:p>
        </w:tc>
        <w:tc>
          <w:tcPr>
            <w:tcW w:w="0" w:type="auto"/>
            <w:vAlign w:val="center"/>
            <w:hideMark/>
          </w:tcPr>
          <w:p w14:paraId="286D0061"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20.6</w:t>
            </w:r>
          </w:p>
        </w:tc>
        <w:tc>
          <w:tcPr>
            <w:tcW w:w="0" w:type="auto"/>
          </w:tcPr>
          <w:p w14:paraId="4A6BA6DA"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bl>
    <w:p w14:paraId="37A951B6"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These findings show that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effectively reached its target demographic—young people with modest educational backgrounds, many of whom would otherwise be excluded from formal employment opportunities.</w:t>
      </w:r>
    </w:p>
    <w:p w14:paraId="75B080F7"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3.2 Employment Status of Graduates</w:t>
      </w:r>
    </w:p>
    <w:p w14:paraId="0F50795F"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Results indicated that the </w:t>
      </w:r>
      <w:r w:rsidRPr="00145525">
        <w:rPr>
          <w:rFonts w:ascii="Times New Roman" w:eastAsia="Times New Roman" w:hAnsi="Times New Roman" w:cs="Times New Roman"/>
          <w:i/>
          <w:iCs/>
          <w:sz w:val="24"/>
          <w:szCs w:val="24"/>
        </w:rPr>
        <w:t>Skilling Uganda Programme</w:t>
      </w:r>
      <w:r w:rsidRPr="00145525">
        <w:rPr>
          <w:rFonts w:ascii="Times New Roman" w:eastAsia="Times New Roman" w:hAnsi="Times New Roman" w:cs="Times New Roman"/>
          <w:sz w:val="24"/>
          <w:szCs w:val="24"/>
        </w:rPr>
        <w:t xml:space="preserve"> improved youth employability, though not to the extent of eliminating unemployment. As shown in Table 2, </w:t>
      </w:r>
      <w:r w:rsidRPr="00145525">
        <w:rPr>
          <w:rFonts w:ascii="Times New Roman" w:eastAsia="Times New Roman" w:hAnsi="Times New Roman" w:cs="Times New Roman"/>
          <w:bCs/>
          <w:sz w:val="24"/>
          <w:szCs w:val="24"/>
        </w:rPr>
        <w:t>14.4% of graduates</w:t>
      </w:r>
      <w:r w:rsidRPr="00145525">
        <w:rPr>
          <w:rFonts w:ascii="Times New Roman" w:eastAsia="Times New Roman" w:hAnsi="Times New Roman" w:cs="Times New Roman"/>
          <w:sz w:val="24"/>
          <w:szCs w:val="24"/>
        </w:rPr>
        <w:t xml:space="preserve"> remained unemployed at the time of data collection, while </w:t>
      </w:r>
      <w:r w:rsidRPr="00145525">
        <w:rPr>
          <w:rFonts w:ascii="Times New Roman" w:eastAsia="Times New Roman" w:hAnsi="Times New Roman" w:cs="Times New Roman"/>
          <w:bCs/>
          <w:sz w:val="24"/>
          <w:szCs w:val="24"/>
        </w:rPr>
        <w:t>39.4%</w:t>
      </w:r>
      <w:r w:rsidRPr="00145525">
        <w:rPr>
          <w:rFonts w:ascii="Times New Roman" w:eastAsia="Times New Roman" w:hAnsi="Times New Roman" w:cs="Times New Roman"/>
          <w:sz w:val="24"/>
          <w:szCs w:val="24"/>
        </w:rPr>
        <w:t xml:space="preserve"> were self-employed and </w:t>
      </w:r>
      <w:r w:rsidRPr="00145525">
        <w:rPr>
          <w:rFonts w:ascii="Times New Roman" w:eastAsia="Times New Roman" w:hAnsi="Times New Roman" w:cs="Times New Roman"/>
          <w:bCs/>
          <w:sz w:val="24"/>
          <w:szCs w:val="24"/>
        </w:rPr>
        <w:t>46.2%</w:t>
      </w:r>
      <w:r w:rsidRPr="00145525">
        <w:rPr>
          <w:rFonts w:ascii="Times New Roman" w:eastAsia="Times New Roman" w:hAnsi="Times New Roman" w:cs="Times New Roman"/>
          <w:sz w:val="24"/>
          <w:szCs w:val="24"/>
        </w:rPr>
        <w:t xml:space="preserve"> engaged in wage employment. However, the majority of the employed respondents reported unstable or low-income jobs, often in the informal sector.</w:t>
      </w:r>
    </w:p>
    <w:p w14:paraId="1D4CEBE2"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Table 2: Employment Status of Graduates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gridCol w:w="1154"/>
        <w:gridCol w:w="1668"/>
      </w:tblGrid>
      <w:tr w:rsidR="00B62E14" w:rsidRPr="00B62E14" w14:paraId="342A7232" w14:textId="77777777" w:rsidTr="00B62E14">
        <w:trPr>
          <w:tblHeader/>
          <w:tblCellSpacing w:w="15" w:type="dxa"/>
        </w:trPr>
        <w:tc>
          <w:tcPr>
            <w:tcW w:w="0" w:type="auto"/>
            <w:vAlign w:val="center"/>
            <w:hideMark/>
          </w:tcPr>
          <w:p w14:paraId="2B0203B0"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lastRenderedPageBreak/>
              <w:t>Employment Category</w:t>
            </w:r>
          </w:p>
        </w:tc>
        <w:tc>
          <w:tcPr>
            <w:tcW w:w="0" w:type="auto"/>
            <w:vAlign w:val="center"/>
            <w:hideMark/>
          </w:tcPr>
          <w:p w14:paraId="07542E77"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Frequency</w:t>
            </w:r>
          </w:p>
        </w:tc>
        <w:tc>
          <w:tcPr>
            <w:tcW w:w="0" w:type="auto"/>
            <w:vAlign w:val="center"/>
            <w:hideMark/>
          </w:tcPr>
          <w:p w14:paraId="43872F32"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Percentage (%)</w:t>
            </w:r>
          </w:p>
        </w:tc>
      </w:tr>
      <w:tr w:rsidR="00B62E14" w:rsidRPr="00B62E14" w14:paraId="3CF3D4F0" w14:textId="77777777" w:rsidTr="00B62E14">
        <w:trPr>
          <w:tblCellSpacing w:w="15" w:type="dxa"/>
        </w:trPr>
        <w:tc>
          <w:tcPr>
            <w:tcW w:w="0" w:type="auto"/>
            <w:vAlign w:val="center"/>
            <w:hideMark/>
          </w:tcPr>
          <w:p w14:paraId="5B6BCA9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Wage Employment</w:t>
            </w:r>
          </w:p>
        </w:tc>
        <w:tc>
          <w:tcPr>
            <w:tcW w:w="0" w:type="auto"/>
            <w:vAlign w:val="center"/>
            <w:hideMark/>
          </w:tcPr>
          <w:p w14:paraId="51490329"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96</w:t>
            </w:r>
          </w:p>
        </w:tc>
        <w:tc>
          <w:tcPr>
            <w:tcW w:w="0" w:type="auto"/>
            <w:vAlign w:val="center"/>
            <w:hideMark/>
          </w:tcPr>
          <w:p w14:paraId="790B2E15"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46.2</w:t>
            </w:r>
          </w:p>
        </w:tc>
      </w:tr>
      <w:tr w:rsidR="00B62E14" w:rsidRPr="00B62E14" w14:paraId="7F822496" w14:textId="77777777" w:rsidTr="00B62E14">
        <w:trPr>
          <w:tblCellSpacing w:w="15" w:type="dxa"/>
        </w:trPr>
        <w:tc>
          <w:tcPr>
            <w:tcW w:w="0" w:type="auto"/>
            <w:vAlign w:val="center"/>
            <w:hideMark/>
          </w:tcPr>
          <w:p w14:paraId="713CD805"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Self-Employment</w:t>
            </w:r>
          </w:p>
        </w:tc>
        <w:tc>
          <w:tcPr>
            <w:tcW w:w="0" w:type="auto"/>
            <w:vAlign w:val="center"/>
            <w:hideMark/>
          </w:tcPr>
          <w:p w14:paraId="46383A0B"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82</w:t>
            </w:r>
          </w:p>
        </w:tc>
        <w:tc>
          <w:tcPr>
            <w:tcW w:w="0" w:type="auto"/>
            <w:vAlign w:val="center"/>
            <w:hideMark/>
          </w:tcPr>
          <w:p w14:paraId="76178625"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39.4</w:t>
            </w:r>
          </w:p>
        </w:tc>
      </w:tr>
      <w:tr w:rsidR="00B62E14" w:rsidRPr="00B62E14" w14:paraId="4C496503" w14:textId="77777777" w:rsidTr="00B62E14">
        <w:trPr>
          <w:tblCellSpacing w:w="15" w:type="dxa"/>
        </w:trPr>
        <w:tc>
          <w:tcPr>
            <w:tcW w:w="0" w:type="auto"/>
            <w:vAlign w:val="center"/>
            <w:hideMark/>
          </w:tcPr>
          <w:p w14:paraId="3EC2851B"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Unemployed</w:t>
            </w:r>
          </w:p>
        </w:tc>
        <w:tc>
          <w:tcPr>
            <w:tcW w:w="0" w:type="auto"/>
            <w:vAlign w:val="center"/>
            <w:hideMark/>
          </w:tcPr>
          <w:p w14:paraId="477924F7"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30</w:t>
            </w:r>
          </w:p>
        </w:tc>
        <w:tc>
          <w:tcPr>
            <w:tcW w:w="0" w:type="auto"/>
            <w:vAlign w:val="center"/>
            <w:hideMark/>
          </w:tcPr>
          <w:p w14:paraId="0D8BEE80"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14.4</w:t>
            </w:r>
          </w:p>
        </w:tc>
      </w:tr>
      <w:tr w:rsidR="00B62E14" w:rsidRPr="00B62E14" w14:paraId="582D1A01" w14:textId="77777777" w:rsidTr="00B62E14">
        <w:trPr>
          <w:tblCellSpacing w:w="15" w:type="dxa"/>
        </w:trPr>
        <w:tc>
          <w:tcPr>
            <w:tcW w:w="0" w:type="auto"/>
            <w:vAlign w:val="center"/>
            <w:hideMark/>
          </w:tcPr>
          <w:p w14:paraId="36B50CF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Total</w:t>
            </w:r>
          </w:p>
        </w:tc>
        <w:tc>
          <w:tcPr>
            <w:tcW w:w="0" w:type="auto"/>
            <w:vAlign w:val="center"/>
            <w:hideMark/>
          </w:tcPr>
          <w:p w14:paraId="5AC02B23"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208</w:t>
            </w:r>
          </w:p>
        </w:tc>
        <w:tc>
          <w:tcPr>
            <w:tcW w:w="0" w:type="auto"/>
            <w:vAlign w:val="center"/>
            <w:hideMark/>
          </w:tcPr>
          <w:p w14:paraId="1943C6C4"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100.0</w:t>
            </w:r>
          </w:p>
        </w:tc>
      </w:tr>
    </w:tbl>
    <w:p w14:paraId="554B792B"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results suggest that while </w:t>
      </w:r>
      <w:r w:rsidRPr="00B62E14">
        <w:rPr>
          <w:rFonts w:ascii="Times New Roman" w:eastAsia="Times New Roman" w:hAnsi="Times New Roman" w:cs="Times New Roman"/>
          <w:i/>
          <w:iCs/>
          <w:sz w:val="24"/>
          <w:szCs w:val="24"/>
        </w:rPr>
        <w:t>Skilling Uganda</w:t>
      </w:r>
      <w:r w:rsidRPr="00B62E14">
        <w:rPr>
          <w:rFonts w:ascii="Times New Roman" w:eastAsia="Times New Roman" w:hAnsi="Times New Roman" w:cs="Times New Roman"/>
          <w:sz w:val="24"/>
          <w:szCs w:val="24"/>
        </w:rPr>
        <w:t xml:space="preserve"> contributed positively to labour market absorption, most graduates continued to face underemployment and limited income stability. This aligns with findings by Fox and Kaul (2018), who observed that training alone seldom guarantees sustainable employment in low-income economies unless accompanied by access to finance, market linkages, and post-training support.</w:t>
      </w:r>
    </w:p>
    <w:p w14:paraId="4B745A89"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Qualitative interviews with institutional administrators corroborated these findings. Respondents reported that “graduates often possess basic technical skills but lack sufficient capital to start viable enterprises.” Others emphasized the weak connection between training institutions and employers, leading to limited apprenticeship opportunities.</w:t>
      </w:r>
    </w:p>
    <w:p w14:paraId="49C21389"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3.3 Employability Skills Acquired</w:t>
      </w:r>
    </w:p>
    <w:p w14:paraId="35743979"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study assessed employability skills developed through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across key domains—technical competence, communication, digital literacy, and leadership. Table 3 summarizes the extent to which graduates reported acquiring these skills.</w:t>
      </w:r>
    </w:p>
    <w:p w14:paraId="46CDB478"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Table 3: Employability Skills Acquired Through the Programme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6"/>
        <w:gridCol w:w="2910"/>
        <w:gridCol w:w="3854"/>
      </w:tblGrid>
      <w:tr w:rsidR="00B62E14" w:rsidRPr="00B62E14" w14:paraId="14ACF254" w14:textId="77777777" w:rsidTr="00B62E14">
        <w:trPr>
          <w:tblHeader/>
          <w:tblCellSpacing w:w="15" w:type="dxa"/>
        </w:trPr>
        <w:tc>
          <w:tcPr>
            <w:tcW w:w="0" w:type="auto"/>
            <w:vAlign w:val="center"/>
            <w:hideMark/>
          </w:tcPr>
          <w:p w14:paraId="5C912D71"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Skill Area</w:t>
            </w:r>
          </w:p>
        </w:tc>
        <w:tc>
          <w:tcPr>
            <w:tcW w:w="0" w:type="auto"/>
            <w:vAlign w:val="center"/>
            <w:hideMark/>
          </w:tcPr>
          <w:p w14:paraId="48893DB0"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Acquired from Training (%)</w:t>
            </w:r>
          </w:p>
        </w:tc>
        <w:tc>
          <w:tcPr>
            <w:tcW w:w="0" w:type="auto"/>
            <w:vAlign w:val="center"/>
            <w:hideMark/>
          </w:tcPr>
          <w:p w14:paraId="54106985"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Acquired from Personal Initiative (%)</w:t>
            </w:r>
          </w:p>
        </w:tc>
      </w:tr>
      <w:tr w:rsidR="00B62E14" w:rsidRPr="00B62E14" w14:paraId="574710D0" w14:textId="77777777" w:rsidTr="00B62E14">
        <w:trPr>
          <w:tblCellSpacing w:w="15" w:type="dxa"/>
        </w:trPr>
        <w:tc>
          <w:tcPr>
            <w:tcW w:w="0" w:type="auto"/>
            <w:vAlign w:val="center"/>
            <w:hideMark/>
          </w:tcPr>
          <w:p w14:paraId="49D94048"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Technical/Trade Skills</w:t>
            </w:r>
          </w:p>
        </w:tc>
        <w:tc>
          <w:tcPr>
            <w:tcW w:w="0" w:type="auto"/>
            <w:vAlign w:val="center"/>
            <w:hideMark/>
          </w:tcPr>
          <w:p w14:paraId="2E83D3BD"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78.4</w:t>
            </w:r>
          </w:p>
        </w:tc>
        <w:tc>
          <w:tcPr>
            <w:tcW w:w="0" w:type="auto"/>
            <w:vAlign w:val="center"/>
            <w:hideMark/>
          </w:tcPr>
          <w:p w14:paraId="125EBB60"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21.6</w:t>
            </w:r>
          </w:p>
        </w:tc>
      </w:tr>
      <w:tr w:rsidR="00B62E14" w:rsidRPr="00B62E14" w14:paraId="32D79AB5" w14:textId="77777777" w:rsidTr="00B62E14">
        <w:trPr>
          <w:tblCellSpacing w:w="15" w:type="dxa"/>
        </w:trPr>
        <w:tc>
          <w:tcPr>
            <w:tcW w:w="0" w:type="auto"/>
            <w:vAlign w:val="center"/>
            <w:hideMark/>
          </w:tcPr>
          <w:p w14:paraId="5C5CEB94"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Communication Skills</w:t>
            </w:r>
          </w:p>
        </w:tc>
        <w:tc>
          <w:tcPr>
            <w:tcW w:w="0" w:type="auto"/>
            <w:vAlign w:val="center"/>
            <w:hideMark/>
          </w:tcPr>
          <w:p w14:paraId="73C67BC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54.8</w:t>
            </w:r>
          </w:p>
        </w:tc>
        <w:tc>
          <w:tcPr>
            <w:tcW w:w="0" w:type="auto"/>
            <w:vAlign w:val="center"/>
            <w:hideMark/>
          </w:tcPr>
          <w:p w14:paraId="20889562"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45.2</w:t>
            </w:r>
          </w:p>
        </w:tc>
      </w:tr>
      <w:tr w:rsidR="00B62E14" w:rsidRPr="00B62E14" w14:paraId="16A94077" w14:textId="77777777" w:rsidTr="00B62E14">
        <w:trPr>
          <w:tblCellSpacing w:w="15" w:type="dxa"/>
        </w:trPr>
        <w:tc>
          <w:tcPr>
            <w:tcW w:w="0" w:type="auto"/>
            <w:vAlign w:val="center"/>
            <w:hideMark/>
          </w:tcPr>
          <w:p w14:paraId="1456DDE2"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Leadership and Teamwork</w:t>
            </w:r>
          </w:p>
        </w:tc>
        <w:tc>
          <w:tcPr>
            <w:tcW w:w="0" w:type="auto"/>
            <w:vAlign w:val="center"/>
            <w:hideMark/>
          </w:tcPr>
          <w:p w14:paraId="638AEF8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36.0</w:t>
            </w:r>
          </w:p>
        </w:tc>
        <w:tc>
          <w:tcPr>
            <w:tcW w:w="0" w:type="auto"/>
            <w:vAlign w:val="center"/>
            <w:hideMark/>
          </w:tcPr>
          <w:p w14:paraId="64150D39"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64.0</w:t>
            </w:r>
          </w:p>
        </w:tc>
      </w:tr>
      <w:tr w:rsidR="00B62E14" w:rsidRPr="00B62E14" w14:paraId="5393ABE4" w14:textId="77777777" w:rsidTr="00B62E14">
        <w:trPr>
          <w:tblCellSpacing w:w="15" w:type="dxa"/>
        </w:trPr>
        <w:tc>
          <w:tcPr>
            <w:tcW w:w="0" w:type="auto"/>
            <w:vAlign w:val="center"/>
            <w:hideMark/>
          </w:tcPr>
          <w:p w14:paraId="761AD943"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Digital Literacy</w:t>
            </w:r>
          </w:p>
        </w:tc>
        <w:tc>
          <w:tcPr>
            <w:tcW w:w="0" w:type="auto"/>
            <w:vAlign w:val="center"/>
            <w:hideMark/>
          </w:tcPr>
          <w:p w14:paraId="7F0DDCD7"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48.6</w:t>
            </w:r>
          </w:p>
        </w:tc>
        <w:tc>
          <w:tcPr>
            <w:tcW w:w="0" w:type="auto"/>
            <w:vAlign w:val="center"/>
            <w:hideMark/>
          </w:tcPr>
          <w:p w14:paraId="51DE2DE6"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51.4</w:t>
            </w:r>
          </w:p>
        </w:tc>
      </w:tr>
    </w:tbl>
    <w:p w14:paraId="633633C6"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Results reveal a </w:t>
      </w:r>
      <w:r w:rsidRPr="00145525">
        <w:rPr>
          <w:rFonts w:ascii="Times New Roman" w:eastAsia="Times New Roman" w:hAnsi="Times New Roman" w:cs="Times New Roman"/>
          <w:bCs/>
          <w:sz w:val="24"/>
          <w:szCs w:val="24"/>
        </w:rPr>
        <w:t>strong emphasis on technical competence (78.4%)</w:t>
      </w:r>
      <w:r w:rsidRPr="00145525">
        <w:rPr>
          <w:rFonts w:ascii="Times New Roman" w:eastAsia="Times New Roman" w:hAnsi="Times New Roman" w:cs="Times New Roman"/>
          <w:sz w:val="24"/>
          <w:szCs w:val="24"/>
        </w:rPr>
        <w:t xml:space="preserve">, confirming that TVET institutions effectively transferred job-specific skills. However, only </w:t>
      </w:r>
      <w:r w:rsidRPr="00145525">
        <w:rPr>
          <w:rFonts w:ascii="Times New Roman" w:eastAsia="Times New Roman" w:hAnsi="Times New Roman" w:cs="Times New Roman"/>
          <w:bCs/>
          <w:sz w:val="24"/>
          <w:szCs w:val="24"/>
        </w:rPr>
        <w:t>36%</w:t>
      </w:r>
      <w:r w:rsidRPr="00145525">
        <w:rPr>
          <w:rFonts w:ascii="Times New Roman" w:eastAsia="Times New Roman" w:hAnsi="Times New Roman" w:cs="Times New Roman"/>
          <w:sz w:val="24"/>
          <w:szCs w:val="24"/>
        </w:rPr>
        <w:t xml:space="preserve"> and </w:t>
      </w:r>
      <w:r w:rsidRPr="00145525">
        <w:rPr>
          <w:rFonts w:ascii="Times New Roman" w:eastAsia="Times New Roman" w:hAnsi="Times New Roman" w:cs="Times New Roman"/>
          <w:bCs/>
          <w:sz w:val="24"/>
          <w:szCs w:val="24"/>
        </w:rPr>
        <w:t>48.6%</w:t>
      </w:r>
      <w:r w:rsidRPr="00145525">
        <w:rPr>
          <w:rFonts w:ascii="Times New Roman" w:eastAsia="Times New Roman" w:hAnsi="Times New Roman" w:cs="Times New Roman"/>
          <w:sz w:val="24"/>
          <w:szCs w:val="24"/>
        </w:rPr>
        <w:t xml:space="preserve"> of respondents reported acquiring leadership and digital literacy skills respectively through formal</w:t>
      </w:r>
      <w:r w:rsidRPr="00B62E14">
        <w:rPr>
          <w:rFonts w:ascii="Times New Roman" w:eastAsia="Times New Roman" w:hAnsi="Times New Roman" w:cs="Times New Roman"/>
          <w:sz w:val="24"/>
          <w:szCs w:val="24"/>
        </w:rPr>
        <w:t xml:space="preserve"> training, with a significant proportion (over 50%) attributing these skills to personal effort. This finding resonates with ILO (2015) and OECD (2015), which highlight the persistent neglect of soft and digital skills in vocational curricula in developing countries.</w:t>
      </w:r>
    </w:p>
    <w:p w14:paraId="316D2CFD"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The deficiency in digital literacy is particularly concerning given the increasing digitalization of work processes, even in trades such as construction, design, and entrepreneurship. It implies that Uganda’s TVET system still lags behind the technological transformation required for global competitiveness.</w:t>
      </w:r>
    </w:p>
    <w:p w14:paraId="4463BBA1"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lastRenderedPageBreak/>
        <w:t>3.4 Income Distribution and Nature of Employment</w:t>
      </w:r>
    </w:p>
    <w:p w14:paraId="4121E189"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Income analysis revealed disparities in the earnings of graduates. Only </w:t>
      </w:r>
      <w:r w:rsidRPr="00145525">
        <w:rPr>
          <w:rFonts w:ascii="Times New Roman" w:eastAsia="Times New Roman" w:hAnsi="Times New Roman" w:cs="Times New Roman"/>
          <w:bCs/>
          <w:sz w:val="24"/>
          <w:szCs w:val="24"/>
        </w:rPr>
        <w:t>18.3%</w:t>
      </w:r>
      <w:r w:rsidRPr="00145525">
        <w:rPr>
          <w:rFonts w:ascii="Times New Roman" w:eastAsia="Times New Roman" w:hAnsi="Times New Roman" w:cs="Times New Roman"/>
          <w:sz w:val="24"/>
          <w:szCs w:val="24"/>
        </w:rPr>
        <w:t xml:space="preserve"> earned above UGX 500,000 per month, while </w:t>
      </w:r>
      <w:r w:rsidRPr="00145525">
        <w:rPr>
          <w:rFonts w:ascii="Times New Roman" w:eastAsia="Times New Roman" w:hAnsi="Times New Roman" w:cs="Times New Roman"/>
          <w:bCs/>
          <w:sz w:val="24"/>
          <w:szCs w:val="24"/>
        </w:rPr>
        <w:t>52.8%</w:t>
      </w:r>
      <w:r w:rsidRPr="00145525">
        <w:rPr>
          <w:rFonts w:ascii="Times New Roman" w:eastAsia="Times New Roman" w:hAnsi="Times New Roman" w:cs="Times New Roman"/>
          <w:sz w:val="24"/>
          <w:szCs w:val="24"/>
        </w:rPr>
        <w:t xml:space="preserve"> earned below UGX 300,000—barely sufficient to meet</w:t>
      </w:r>
      <w:r w:rsidRPr="00B62E14">
        <w:rPr>
          <w:rFonts w:ascii="Times New Roman" w:eastAsia="Times New Roman" w:hAnsi="Times New Roman" w:cs="Times New Roman"/>
          <w:sz w:val="24"/>
          <w:szCs w:val="24"/>
        </w:rPr>
        <w:t xml:space="preserve"> basic needs. Figure 1 illustrates the income distribution among employed graduates.</w:t>
      </w:r>
    </w:p>
    <w:p w14:paraId="4BD61AA3"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Figure 1: Monthly Income Distribution of Employed Graduates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02"/>
        <w:gridCol w:w="1668"/>
      </w:tblGrid>
      <w:tr w:rsidR="00B62E14" w:rsidRPr="00B62E14" w14:paraId="750D19E6" w14:textId="77777777" w:rsidTr="00895202">
        <w:trPr>
          <w:tblHeader/>
          <w:tblCellSpacing w:w="15" w:type="dxa"/>
          <w:jc w:val="center"/>
        </w:trPr>
        <w:tc>
          <w:tcPr>
            <w:tcW w:w="0" w:type="auto"/>
            <w:vAlign w:val="center"/>
            <w:hideMark/>
          </w:tcPr>
          <w:p w14:paraId="6FC8BF32"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Income Range (UGX)</w:t>
            </w:r>
          </w:p>
        </w:tc>
        <w:tc>
          <w:tcPr>
            <w:tcW w:w="0" w:type="auto"/>
            <w:vAlign w:val="center"/>
            <w:hideMark/>
          </w:tcPr>
          <w:p w14:paraId="035BD528"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Percentage (%)</w:t>
            </w:r>
          </w:p>
        </w:tc>
      </w:tr>
      <w:tr w:rsidR="00B62E14" w:rsidRPr="00B62E14" w14:paraId="4860BD09" w14:textId="77777777" w:rsidTr="00895202">
        <w:trPr>
          <w:tblCellSpacing w:w="15" w:type="dxa"/>
          <w:jc w:val="center"/>
        </w:trPr>
        <w:tc>
          <w:tcPr>
            <w:tcW w:w="0" w:type="auto"/>
            <w:vAlign w:val="center"/>
            <w:hideMark/>
          </w:tcPr>
          <w:p w14:paraId="12A77981"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Below 300,000</w:t>
            </w:r>
          </w:p>
        </w:tc>
        <w:tc>
          <w:tcPr>
            <w:tcW w:w="0" w:type="auto"/>
            <w:vAlign w:val="center"/>
            <w:hideMark/>
          </w:tcPr>
          <w:p w14:paraId="3DED0189"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52.8</w:t>
            </w:r>
          </w:p>
        </w:tc>
      </w:tr>
      <w:tr w:rsidR="00B62E14" w:rsidRPr="00B62E14" w14:paraId="7A4C4063" w14:textId="77777777" w:rsidTr="00895202">
        <w:trPr>
          <w:tblCellSpacing w:w="15" w:type="dxa"/>
          <w:jc w:val="center"/>
        </w:trPr>
        <w:tc>
          <w:tcPr>
            <w:tcW w:w="0" w:type="auto"/>
            <w:vAlign w:val="center"/>
            <w:hideMark/>
          </w:tcPr>
          <w:p w14:paraId="4240DB0F"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300,001–500,000</w:t>
            </w:r>
          </w:p>
        </w:tc>
        <w:tc>
          <w:tcPr>
            <w:tcW w:w="0" w:type="auto"/>
            <w:vAlign w:val="center"/>
            <w:hideMark/>
          </w:tcPr>
          <w:p w14:paraId="4D20B1A7"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28.9</w:t>
            </w:r>
          </w:p>
        </w:tc>
      </w:tr>
      <w:tr w:rsidR="00B62E14" w:rsidRPr="00B62E14" w14:paraId="168261FB" w14:textId="77777777" w:rsidTr="00895202">
        <w:trPr>
          <w:tblCellSpacing w:w="15" w:type="dxa"/>
          <w:jc w:val="center"/>
        </w:trPr>
        <w:tc>
          <w:tcPr>
            <w:tcW w:w="0" w:type="auto"/>
            <w:vAlign w:val="center"/>
            <w:hideMark/>
          </w:tcPr>
          <w:p w14:paraId="5A4F054F"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500,001–700,000</w:t>
            </w:r>
          </w:p>
        </w:tc>
        <w:tc>
          <w:tcPr>
            <w:tcW w:w="0" w:type="auto"/>
            <w:vAlign w:val="center"/>
            <w:hideMark/>
          </w:tcPr>
          <w:p w14:paraId="248B7E8B"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12.3</w:t>
            </w:r>
          </w:p>
        </w:tc>
      </w:tr>
      <w:tr w:rsidR="00B62E14" w:rsidRPr="00B62E14" w14:paraId="7475EF99" w14:textId="77777777" w:rsidTr="00895202">
        <w:trPr>
          <w:tblCellSpacing w:w="15" w:type="dxa"/>
          <w:jc w:val="center"/>
        </w:trPr>
        <w:tc>
          <w:tcPr>
            <w:tcW w:w="0" w:type="auto"/>
            <w:vAlign w:val="center"/>
            <w:hideMark/>
          </w:tcPr>
          <w:p w14:paraId="22F5989A"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Above 700,000</w:t>
            </w:r>
          </w:p>
        </w:tc>
        <w:tc>
          <w:tcPr>
            <w:tcW w:w="0" w:type="auto"/>
            <w:vAlign w:val="center"/>
            <w:hideMark/>
          </w:tcPr>
          <w:p w14:paraId="42EC0B2F"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6.0</w:t>
            </w:r>
          </w:p>
        </w:tc>
      </w:tr>
    </w:tbl>
    <w:p w14:paraId="6B75C581"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Low earnings were attributed to several factors: the informal nature of self-employment, low start-up capital, and weak market linkages. These findings correspond with those of </w:t>
      </w:r>
      <w:proofErr w:type="spellStart"/>
      <w:r w:rsidRPr="00B62E14">
        <w:rPr>
          <w:rFonts w:ascii="Times New Roman" w:eastAsia="Times New Roman" w:hAnsi="Times New Roman" w:cs="Times New Roman"/>
          <w:sz w:val="24"/>
          <w:szCs w:val="24"/>
        </w:rPr>
        <w:t>Ahaibwe</w:t>
      </w:r>
      <w:proofErr w:type="spellEnd"/>
      <w:r w:rsidRPr="00B62E14">
        <w:rPr>
          <w:rFonts w:ascii="Times New Roman" w:eastAsia="Times New Roman" w:hAnsi="Times New Roman" w:cs="Times New Roman"/>
          <w:sz w:val="24"/>
          <w:szCs w:val="24"/>
        </w:rPr>
        <w:t xml:space="preserve"> and </w:t>
      </w:r>
      <w:proofErr w:type="spellStart"/>
      <w:r w:rsidRPr="00B62E14">
        <w:rPr>
          <w:rFonts w:ascii="Times New Roman" w:eastAsia="Times New Roman" w:hAnsi="Times New Roman" w:cs="Times New Roman"/>
          <w:sz w:val="24"/>
          <w:szCs w:val="24"/>
        </w:rPr>
        <w:t>Mbowa</w:t>
      </w:r>
      <w:proofErr w:type="spellEnd"/>
      <w:r w:rsidRPr="00B62E14">
        <w:rPr>
          <w:rFonts w:ascii="Times New Roman" w:eastAsia="Times New Roman" w:hAnsi="Times New Roman" w:cs="Times New Roman"/>
          <w:sz w:val="24"/>
          <w:szCs w:val="24"/>
        </w:rPr>
        <w:t xml:space="preserve"> (2014), who observed that self-employed youth in Uganda’s informal sector often operate small-scale ventures with limited profitability.</w:t>
      </w:r>
    </w:p>
    <w:p w14:paraId="2026C8B2"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Qualitative data further highlighted that “graduates often engage in casual work unrelated to their training due to lack of tools and capital.” This mismatch between acquired skills and job opportunities demonstrates that while the programme improved employability, it did not sufficiently address systemic barriers to productive employment.</w:t>
      </w:r>
    </w:p>
    <w:p w14:paraId="0AEE1E9F"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3.5 Challenges Faced by Graduates</w:t>
      </w:r>
    </w:p>
    <w:p w14:paraId="6C1977F3"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Respondents identified a range of challenges constraining employment outcomes, summarized in Table 4.</w:t>
      </w:r>
    </w:p>
    <w:p w14:paraId="281B9C57"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Table 4: Key Challenges Faced by Graduates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1"/>
        <w:gridCol w:w="2768"/>
      </w:tblGrid>
      <w:tr w:rsidR="00B62E14" w:rsidRPr="00B62E14" w14:paraId="3C48C028" w14:textId="77777777" w:rsidTr="00B62E14">
        <w:trPr>
          <w:tblHeader/>
          <w:tblCellSpacing w:w="15" w:type="dxa"/>
        </w:trPr>
        <w:tc>
          <w:tcPr>
            <w:tcW w:w="0" w:type="auto"/>
            <w:vAlign w:val="center"/>
            <w:hideMark/>
          </w:tcPr>
          <w:p w14:paraId="46498135"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Challenge</w:t>
            </w:r>
          </w:p>
        </w:tc>
        <w:tc>
          <w:tcPr>
            <w:tcW w:w="0" w:type="auto"/>
            <w:vAlign w:val="center"/>
            <w:hideMark/>
          </w:tcPr>
          <w:p w14:paraId="0CEEB2A9"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Percentage (%) Reporting</w:t>
            </w:r>
          </w:p>
        </w:tc>
      </w:tr>
      <w:tr w:rsidR="00B62E14" w:rsidRPr="00B62E14" w14:paraId="2A63D152" w14:textId="77777777" w:rsidTr="00B62E14">
        <w:trPr>
          <w:tblCellSpacing w:w="15" w:type="dxa"/>
        </w:trPr>
        <w:tc>
          <w:tcPr>
            <w:tcW w:w="0" w:type="auto"/>
            <w:vAlign w:val="center"/>
            <w:hideMark/>
          </w:tcPr>
          <w:p w14:paraId="4E00924D"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Inadequate Start-up Capital</w:t>
            </w:r>
          </w:p>
        </w:tc>
        <w:tc>
          <w:tcPr>
            <w:tcW w:w="0" w:type="auto"/>
            <w:vAlign w:val="center"/>
            <w:hideMark/>
          </w:tcPr>
          <w:p w14:paraId="06F970AA"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76.0</w:t>
            </w:r>
          </w:p>
        </w:tc>
      </w:tr>
      <w:tr w:rsidR="00B62E14" w:rsidRPr="00B62E14" w14:paraId="4B059D88" w14:textId="77777777" w:rsidTr="00B62E14">
        <w:trPr>
          <w:tblCellSpacing w:w="15" w:type="dxa"/>
        </w:trPr>
        <w:tc>
          <w:tcPr>
            <w:tcW w:w="0" w:type="auto"/>
            <w:vAlign w:val="center"/>
            <w:hideMark/>
          </w:tcPr>
          <w:p w14:paraId="52620D08"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Limited Access to Modern Tools and Technology</w:t>
            </w:r>
          </w:p>
        </w:tc>
        <w:tc>
          <w:tcPr>
            <w:tcW w:w="0" w:type="auto"/>
            <w:vAlign w:val="center"/>
            <w:hideMark/>
          </w:tcPr>
          <w:p w14:paraId="169AC85F"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39.9</w:t>
            </w:r>
          </w:p>
        </w:tc>
      </w:tr>
      <w:tr w:rsidR="00B62E14" w:rsidRPr="00B62E14" w14:paraId="419D0A8C" w14:textId="77777777" w:rsidTr="00B62E14">
        <w:trPr>
          <w:tblCellSpacing w:w="15" w:type="dxa"/>
        </w:trPr>
        <w:tc>
          <w:tcPr>
            <w:tcW w:w="0" w:type="auto"/>
            <w:vAlign w:val="center"/>
            <w:hideMark/>
          </w:tcPr>
          <w:p w14:paraId="31794D03"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Weak Market Linkages</w:t>
            </w:r>
          </w:p>
        </w:tc>
        <w:tc>
          <w:tcPr>
            <w:tcW w:w="0" w:type="auto"/>
            <w:vAlign w:val="center"/>
            <w:hideMark/>
          </w:tcPr>
          <w:p w14:paraId="158C476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34.1</w:t>
            </w:r>
          </w:p>
        </w:tc>
      </w:tr>
      <w:tr w:rsidR="00B62E14" w:rsidRPr="00B62E14" w14:paraId="314CFB62" w14:textId="77777777" w:rsidTr="00B62E14">
        <w:trPr>
          <w:tblCellSpacing w:w="15" w:type="dxa"/>
        </w:trPr>
        <w:tc>
          <w:tcPr>
            <w:tcW w:w="0" w:type="auto"/>
            <w:vAlign w:val="center"/>
            <w:hideMark/>
          </w:tcPr>
          <w:p w14:paraId="40AA708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Lack of Mentorship and Networking</w:t>
            </w:r>
          </w:p>
        </w:tc>
        <w:tc>
          <w:tcPr>
            <w:tcW w:w="0" w:type="auto"/>
            <w:vAlign w:val="center"/>
            <w:hideMark/>
          </w:tcPr>
          <w:p w14:paraId="65ACCD4D"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27.9</w:t>
            </w:r>
          </w:p>
        </w:tc>
      </w:tr>
      <w:tr w:rsidR="00B62E14" w:rsidRPr="00B62E14" w14:paraId="5A3FDE77" w14:textId="77777777" w:rsidTr="00B62E14">
        <w:trPr>
          <w:tblCellSpacing w:w="15" w:type="dxa"/>
        </w:trPr>
        <w:tc>
          <w:tcPr>
            <w:tcW w:w="0" w:type="auto"/>
            <w:vAlign w:val="center"/>
            <w:hideMark/>
          </w:tcPr>
          <w:p w14:paraId="7154B477"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Insufficient Employability Skills</w:t>
            </w:r>
          </w:p>
        </w:tc>
        <w:tc>
          <w:tcPr>
            <w:tcW w:w="0" w:type="auto"/>
            <w:vAlign w:val="center"/>
            <w:hideMark/>
          </w:tcPr>
          <w:p w14:paraId="599C3F93"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27.9</w:t>
            </w:r>
          </w:p>
        </w:tc>
      </w:tr>
      <w:tr w:rsidR="00B62E14" w:rsidRPr="00B62E14" w14:paraId="142C27C8" w14:textId="77777777" w:rsidTr="00B62E14">
        <w:trPr>
          <w:tblCellSpacing w:w="15" w:type="dxa"/>
        </w:trPr>
        <w:tc>
          <w:tcPr>
            <w:tcW w:w="0" w:type="auto"/>
            <w:vAlign w:val="center"/>
            <w:hideMark/>
          </w:tcPr>
          <w:p w14:paraId="5F4662E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Gender Discrimination and Stereotypes</w:t>
            </w:r>
          </w:p>
        </w:tc>
        <w:tc>
          <w:tcPr>
            <w:tcW w:w="0" w:type="auto"/>
            <w:vAlign w:val="center"/>
            <w:hideMark/>
          </w:tcPr>
          <w:p w14:paraId="2A4E2D4A"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12.5</w:t>
            </w:r>
          </w:p>
        </w:tc>
      </w:tr>
    </w:tbl>
    <w:p w14:paraId="7CFEEA76"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The most critical constraint was </w:t>
      </w:r>
      <w:r w:rsidRPr="00145525">
        <w:rPr>
          <w:rFonts w:ascii="Times New Roman" w:eastAsia="Times New Roman" w:hAnsi="Times New Roman" w:cs="Times New Roman"/>
          <w:bCs/>
          <w:sz w:val="24"/>
          <w:szCs w:val="24"/>
        </w:rPr>
        <w:t>limited access to capital (76%)</w:t>
      </w:r>
      <w:r w:rsidRPr="00145525">
        <w:rPr>
          <w:rFonts w:ascii="Times New Roman" w:eastAsia="Times New Roman" w:hAnsi="Times New Roman" w:cs="Times New Roman"/>
          <w:sz w:val="24"/>
          <w:szCs w:val="24"/>
        </w:rPr>
        <w:t>, consistent with World Bank</w:t>
      </w:r>
      <w:r w:rsidRPr="00B62E14">
        <w:rPr>
          <w:rFonts w:ascii="Times New Roman" w:eastAsia="Times New Roman" w:hAnsi="Times New Roman" w:cs="Times New Roman"/>
          <w:sz w:val="24"/>
          <w:szCs w:val="24"/>
        </w:rPr>
        <w:t xml:space="preserve"> (2019) findings that access to finance remains a dominant bottleneck for young entrepreneurs in Uganda. Weak market linkages and lack of mentorship further diminished the capacity of graduates to transition into stable employment.</w:t>
      </w:r>
    </w:p>
    <w:p w14:paraId="5A75A3A8"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lastRenderedPageBreak/>
        <w:t xml:space="preserve">Interviews with institutional heads revealed that although </w:t>
      </w:r>
      <w:r w:rsidRPr="00B62E14">
        <w:rPr>
          <w:rFonts w:ascii="Times New Roman" w:eastAsia="Times New Roman" w:hAnsi="Times New Roman" w:cs="Times New Roman"/>
          <w:i/>
          <w:iCs/>
          <w:sz w:val="24"/>
          <w:szCs w:val="24"/>
        </w:rPr>
        <w:t>Skilling Uganda</w:t>
      </w:r>
      <w:r w:rsidRPr="00B62E14">
        <w:rPr>
          <w:rFonts w:ascii="Times New Roman" w:eastAsia="Times New Roman" w:hAnsi="Times New Roman" w:cs="Times New Roman"/>
          <w:sz w:val="24"/>
          <w:szCs w:val="24"/>
        </w:rPr>
        <w:t xml:space="preserve"> established a foundation for skill-based employment, sustainability was hampered by inadequate post-training support. One administrator noted:</w:t>
      </w:r>
    </w:p>
    <w:p w14:paraId="6E14485C" w14:textId="77777777" w:rsidR="00B62E14" w:rsidRPr="00B62E14" w:rsidRDefault="00B62E14" w:rsidP="00B62E14">
      <w:pPr>
        <w:spacing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“Our graduates have the skills, but once they leave the institution, they have nowhere to go—no credit, no startup kits, and no market access. The system stops at training.”</w:t>
      </w:r>
    </w:p>
    <w:p w14:paraId="1B28D395"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This observation underscores the systemic weakness in linking training to enterprise development and employment pathways, confirming the argument by </w:t>
      </w:r>
      <w:proofErr w:type="spellStart"/>
      <w:r w:rsidRPr="00B62E14">
        <w:rPr>
          <w:rFonts w:ascii="Times New Roman" w:eastAsia="Times New Roman" w:hAnsi="Times New Roman" w:cs="Times New Roman"/>
          <w:sz w:val="24"/>
          <w:szCs w:val="24"/>
        </w:rPr>
        <w:t>Kluve</w:t>
      </w:r>
      <w:proofErr w:type="spellEnd"/>
      <w:r w:rsidRPr="00B62E14">
        <w:rPr>
          <w:rFonts w:ascii="Times New Roman" w:eastAsia="Times New Roman" w:hAnsi="Times New Roman" w:cs="Times New Roman"/>
          <w:sz w:val="24"/>
          <w:szCs w:val="24"/>
        </w:rPr>
        <w:t xml:space="preserve"> et al. (2019) that integrated interventions are necessary to sustain youth employment gains.</w:t>
      </w:r>
    </w:p>
    <w:p w14:paraId="0849ACCF"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3.6 Institutional and Systemic Challenges</w:t>
      </w:r>
    </w:p>
    <w:p w14:paraId="0D774516"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From the institutional perspective, several challenges undermined the implementation of the </w:t>
      </w:r>
      <w:r w:rsidRPr="00145525">
        <w:rPr>
          <w:rFonts w:ascii="Times New Roman" w:eastAsia="Times New Roman" w:hAnsi="Times New Roman" w:cs="Times New Roman"/>
          <w:i/>
          <w:iCs/>
          <w:sz w:val="24"/>
          <w:szCs w:val="24"/>
        </w:rPr>
        <w:t>Skilling Uganda Programme</w:t>
      </w:r>
      <w:r w:rsidRPr="00145525">
        <w:rPr>
          <w:rFonts w:ascii="Times New Roman" w:eastAsia="Times New Roman" w:hAnsi="Times New Roman" w:cs="Times New Roman"/>
          <w:sz w:val="24"/>
          <w:szCs w:val="24"/>
        </w:rPr>
        <w:t xml:space="preserve">. These included </w:t>
      </w:r>
      <w:r w:rsidRPr="00145525">
        <w:rPr>
          <w:rFonts w:ascii="Times New Roman" w:eastAsia="Times New Roman" w:hAnsi="Times New Roman" w:cs="Times New Roman"/>
          <w:bCs/>
          <w:sz w:val="24"/>
          <w:szCs w:val="24"/>
        </w:rPr>
        <w:t>insufficient funding</w:t>
      </w:r>
      <w:r w:rsidRPr="00145525">
        <w:rPr>
          <w:rFonts w:ascii="Times New Roman" w:eastAsia="Times New Roman" w:hAnsi="Times New Roman" w:cs="Times New Roman"/>
          <w:sz w:val="24"/>
          <w:szCs w:val="24"/>
        </w:rPr>
        <w:t xml:space="preserve">, </w:t>
      </w:r>
      <w:r w:rsidRPr="00145525">
        <w:rPr>
          <w:rFonts w:ascii="Times New Roman" w:eastAsia="Times New Roman" w:hAnsi="Times New Roman" w:cs="Times New Roman"/>
          <w:bCs/>
          <w:sz w:val="24"/>
          <w:szCs w:val="24"/>
        </w:rPr>
        <w:t>inadequate supervision</w:t>
      </w:r>
      <w:r w:rsidRPr="00145525">
        <w:rPr>
          <w:rFonts w:ascii="Times New Roman" w:eastAsia="Times New Roman" w:hAnsi="Times New Roman" w:cs="Times New Roman"/>
          <w:sz w:val="24"/>
          <w:szCs w:val="24"/>
        </w:rPr>
        <w:t xml:space="preserve">, </w:t>
      </w:r>
      <w:r w:rsidRPr="00145525">
        <w:rPr>
          <w:rFonts w:ascii="Times New Roman" w:eastAsia="Times New Roman" w:hAnsi="Times New Roman" w:cs="Times New Roman"/>
          <w:bCs/>
          <w:sz w:val="24"/>
          <w:szCs w:val="24"/>
        </w:rPr>
        <w:t>limited digital infrastructure</w:t>
      </w:r>
      <w:r w:rsidRPr="00145525">
        <w:rPr>
          <w:rFonts w:ascii="Times New Roman" w:eastAsia="Times New Roman" w:hAnsi="Times New Roman" w:cs="Times New Roman"/>
          <w:sz w:val="24"/>
          <w:szCs w:val="24"/>
        </w:rPr>
        <w:t xml:space="preserve">, and </w:t>
      </w:r>
      <w:r w:rsidRPr="00145525">
        <w:rPr>
          <w:rFonts w:ascii="Times New Roman" w:eastAsia="Times New Roman" w:hAnsi="Times New Roman" w:cs="Times New Roman"/>
          <w:bCs/>
          <w:sz w:val="24"/>
          <w:szCs w:val="24"/>
        </w:rPr>
        <w:t>weak collaboration with private-sector employers</w:t>
      </w:r>
      <w:r w:rsidRPr="00145525">
        <w:rPr>
          <w:rFonts w:ascii="Times New Roman" w:eastAsia="Times New Roman" w:hAnsi="Times New Roman" w:cs="Times New Roman"/>
          <w:sz w:val="24"/>
          <w:szCs w:val="24"/>
        </w:rPr>
        <w:t>. Administrators lamented that funds disbursed through the Uganda Skills Development Project (USDP) were insufficient to sustain equipment maintenance and instructor training.</w:t>
      </w:r>
    </w:p>
    <w:p w14:paraId="33A22633"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Moreover, the absence of a comprehensive </w:t>
      </w:r>
      <w:r w:rsidRPr="00145525">
        <w:rPr>
          <w:rFonts w:ascii="Times New Roman" w:eastAsia="Times New Roman" w:hAnsi="Times New Roman" w:cs="Times New Roman"/>
          <w:bCs/>
          <w:sz w:val="24"/>
          <w:szCs w:val="24"/>
        </w:rPr>
        <w:t>Monitoring and Evaluation (M&amp;E) framework</w:t>
      </w:r>
      <w:r w:rsidRPr="00145525">
        <w:rPr>
          <w:rFonts w:ascii="Times New Roman" w:eastAsia="Times New Roman" w:hAnsi="Times New Roman" w:cs="Times New Roman"/>
          <w:sz w:val="24"/>
          <w:szCs w:val="24"/>
        </w:rPr>
        <w:t xml:space="preserve"> made it difficult to assess long-term programme outcomes. These findings align with Moses and Liu (2023), who noted that the lack of systematic tracking of graduates limits accountability and</w:t>
      </w:r>
      <w:r w:rsidRPr="00B62E14">
        <w:rPr>
          <w:rFonts w:ascii="Times New Roman" w:eastAsia="Times New Roman" w:hAnsi="Times New Roman" w:cs="Times New Roman"/>
          <w:sz w:val="24"/>
          <w:szCs w:val="24"/>
        </w:rPr>
        <w:t xml:space="preserve"> continuous improvement within Uganda’s TVET sector.</w:t>
      </w:r>
    </w:p>
    <w:p w14:paraId="6EA037C2"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Gender disparities were also observed, with female participation remaining lower than male participation, particularly in technical fields like construction and mechanics. This imbalance reflects entrenched gender norms and limited female empowerment initiatives within vocational training institutions.</w:t>
      </w:r>
    </w:p>
    <w:p w14:paraId="13880763"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3.7 Comparative Analysis and Theoretical Reflection</w:t>
      </w:r>
    </w:p>
    <w:p w14:paraId="649028D2"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The findings of this study are consistent with the </w:t>
      </w:r>
      <w:r w:rsidRPr="00145525">
        <w:rPr>
          <w:rFonts w:ascii="Times New Roman" w:eastAsia="Times New Roman" w:hAnsi="Times New Roman" w:cs="Times New Roman"/>
          <w:bCs/>
          <w:sz w:val="24"/>
          <w:szCs w:val="24"/>
        </w:rPr>
        <w:t>Human Capital Theory</w:t>
      </w:r>
      <w:r w:rsidRPr="00145525">
        <w:rPr>
          <w:rFonts w:ascii="Times New Roman" w:eastAsia="Times New Roman" w:hAnsi="Times New Roman" w:cs="Times New Roman"/>
          <w:sz w:val="24"/>
          <w:szCs w:val="24"/>
        </w:rPr>
        <w:t xml:space="preserve">, which posits that investment in skills leads to higher productivity and employment opportunities. Indeed, the </w:t>
      </w:r>
      <w:r w:rsidRPr="00145525">
        <w:rPr>
          <w:rFonts w:ascii="Times New Roman" w:eastAsia="Times New Roman" w:hAnsi="Times New Roman" w:cs="Times New Roman"/>
          <w:i/>
          <w:iCs/>
          <w:sz w:val="24"/>
          <w:szCs w:val="24"/>
        </w:rPr>
        <w:t>Skilling Uganda Programme</w:t>
      </w:r>
      <w:r w:rsidRPr="00145525">
        <w:rPr>
          <w:rFonts w:ascii="Times New Roman" w:eastAsia="Times New Roman" w:hAnsi="Times New Roman" w:cs="Times New Roman"/>
          <w:sz w:val="24"/>
          <w:szCs w:val="24"/>
        </w:rPr>
        <w:t xml:space="preserve"> succeeded in imparting technical competencies that improved employability. However, the findings also demonstrate that </w:t>
      </w:r>
      <w:r w:rsidRPr="00145525">
        <w:rPr>
          <w:rFonts w:ascii="Times New Roman" w:eastAsia="Times New Roman" w:hAnsi="Times New Roman" w:cs="Times New Roman"/>
          <w:bCs/>
          <w:sz w:val="24"/>
          <w:szCs w:val="24"/>
        </w:rPr>
        <w:t>human capital alone does not guarantee employment</w:t>
      </w:r>
      <w:r w:rsidRPr="00145525">
        <w:rPr>
          <w:rFonts w:ascii="Times New Roman" w:eastAsia="Times New Roman" w:hAnsi="Times New Roman" w:cs="Times New Roman"/>
          <w:sz w:val="24"/>
          <w:szCs w:val="24"/>
        </w:rPr>
        <w:t>, as systemic constraints—such as access to finance and institutional weaknesses—mediate the outcomes.</w:t>
      </w:r>
    </w:p>
    <w:p w14:paraId="097AE18D"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From a </w:t>
      </w:r>
      <w:r w:rsidRPr="00145525">
        <w:rPr>
          <w:rFonts w:ascii="Times New Roman" w:eastAsia="Times New Roman" w:hAnsi="Times New Roman" w:cs="Times New Roman"/>
          <w:bCs/>
          <w:sz w:val="24"/>
          <w:szCs w:val="24"/>
        </w:rPr>
        <w:t>General Systems Theory</w:t>
      </w:r>
      <w:r w:rsidRPr="00145525">
        <w:rPr>
          <w:rFonts w:ascii="Times New Roman" w:eastAsia="Times New Roman" w:hAnsi="Times New Roman" w:cs="Times New Roman"/>
          <w:sz w:val="24"/>
          <w:szCs w:val="24"/>
        </w:rPr>
        <w:t xml:space="preserve"> perspective, the </w:t>
      </w:r>
      <w:proofErr w:type="spellStart"/>
      <w:r w:rsidRPr="00145525">
        <w:rPr>
          <w:rFonts w:ascii="Times New Roman" w:eastAsia="Times New Roman" w:hAnsi="Times New Roman" w:cs="Times New Roman"/>
          <w:sz w:val="24"/>
          <w:szCs w:val="24"/>
        </w:rPr>
        <w:t>programme’s</w:t>
      </w:r>
      <w:proofErr w:type="spellEnd"/>
      <w:r w:rsidRPr="00145525">
        <w:rPr>
          <w:rFonts w:ascii="Times New Roman" w:eastAsia="Times New Roman" w:hAnsi="Times New Roman" w:cs="Times New Roman"/>
          <w:sz w:val="24"/>
          <w:szCs w:val="24"/>
        </w:rPr>
        <w:t xml:space="preserve"> limited impact can be attributed to weaknesses in its systemic components: inadequate inputs (funding, supervision, infrastructure) and weak processes (industry collaboration and monitoring). As Bertalanffy (1968) suggested, a system’s success depends on the interaction of its parts; in this case, poor</w:t>
      </w:r>
      <w:r w:rsidRPr="00B62E14">
        <w:rPr>
          <w:rFonts w:ascii="Times New Roman" w:eastAsia="Times New Roman" w:hAnsi="Times New Roman" w:cs="Times New Roman"/>
          <w:sz w:val="24"/>
          <w:szCs w:val="24"/>
        </w:rPr>
        <w:t xml:space="preserve"> interconnection among government, training institutions, and industry resulted in suboptimal employment outcomes.</w:t>
      </w:r>
    </w:p>
    <w:p w14:paraId="4A2B88DB"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lastRenderedPageBreak/>
        <w:t>These results reinforce global observations by the ILO (2015) and OECD (2015) that effective TVET systems require synergy between training institutions, labour markets, and policy frameworks to achieve sustainable youth employment.</w:t>
      </w:r>
    </w:p>
    <w:p w14:paraId="032E20F7"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3.8 Summary of Key Findings</w:t>
      </w:r>
    </w:p>
    <w:p w14:paraId="1BB34A52"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The study’s major findings can be summarized as follows:</w:t>
      </w:r>
    </w:p>
    <w:p w14:paraId="4836F42C"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increased access to technical training and modestly improved employment rates among youth in Eastern Uganda.</w:t>
      </w:r>
    </w:p>
    <w:p w14:paraId="7F42184B"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Most graduates are employed in the informal sector, with limited income stability.</w:t>
      </w:r>
    </w:p>
    <w:p w14:paraId="25AAED0F"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There are significant gaps in digital and leadership skills training.</w:t>
      </w:r>
    </w:p>
    <w:p w14:paraId="29551D03"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Start-up capital and weak institutional linkages are the main barriers to sustainable employment.</w:t>
      </w:r>
    </w:p>
    <w:p w14:paraId="4146B749"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Institutional challenges—funding shortages, weak M&amp;E, and inadequate infrastructure—limit programme sustainability.</w:t>
      </w:r>
    </w:p>
    <w:p w14:paraId="50F23207"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These findings collectively suggest that while </w:t>
      </w:r>
      <w:r w:rsidRPr="00B62E14">
        <w:rPr>
          <w:rFonts w:ascii="Times New Roman" w:eastAsia="Times New Roman" w:hAnsi="Times New Roman" w:cs="Times New Roman"/>
          <w:i/>
          <w:iCs/>
          <w:sz w:val="24"/>
          <w:szCs w:val="24"/>
        </w:rPr>
        <w:t>Skilling Uganda</w:t>
      </w:r>
      <w:r w:rsidRPr="00B62E14">
        <w:rPr>
          <w:rFonts w:ascii="Times New Roman" w:eastAsia="Times New Roman" w:hAnsi="Times New Roman" w:cs="Times New Roman"/>
          <w:sz w:val="24"/>
          <w:szCs w:val="24"/>
        </w:rPr>
        <w:t xml:space="preserve"> has made commendable strides toward skill-based employability, structural constraints continue to impede the transition from training to sustainable livelihoods.</w:t>
      </w:r>
    </w:p>
    <w:p w14:paraId="76760D75" w14:textId="77777777" w:rsidR="00B62E14" w:rsidRPr="00B62E14" w:rsidRDefault="00B62E14" w:rsidP="00B62E14">
      <w:pPr>
        <w:spacing w:after="0" w:line="240" w:lineRule="auto"/>
        <w:rPr>
          <w:rFonts w:ascii="Times New Roman" w:eastAsia="Times New Roman" w:hAnsi="Times New Roman" w:cs="Times New Roman"/>
          <w:sz w:val="24"/>
          <w:szCs w:val="24"/>
        </w:rPr>
      </w:pPr>
    </w:p>
    <w:p w14:paraId="29EF3652" w14:textId="77777777" w:rsidR="00B62E14" w:rsidRP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t>4. Conclusion and Recommendations</w:t>
      </w:r>
    </w:p>
    <w:p w14:paraId="5903A228"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4.1 Conclusion</w:t>
      </w:r>
    </w:p>
    <w:p w14:paraId="7B70C579"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was conceived as a transformative framework to re-orient Uganda’s vocational education system toward competence-based training, thereby improving youth employability and reducing unemployment. This study assessed its impact on youth employment outcomes in Eastern Uganda using a mixed-methods approach grounded in Human Capital Theory and General Systems Theory.</w:t>
      </w:r>
    </w:p>
    <w:p w14:paraId="3054B735"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The findings demonstrate that the programme </w:t>
      </w:r>
      <w:r w:rsidRPr="00145525">
        <w:rPr>
          <w:rFonts w:ascii="Times New Roman" w:eastAsia="Times New Roman" w:hAnsi="Times New Roman" w:cs="Times New Roman"/>
          <w:bCs/>
          <w:sz w:val="24"/>
          <w:szCs w:val="24"/>
        </w:rPr>
        <w:t>significantly enhanced access to technical and vocational education</w:t>
      </w:r>
      <w:r w:rsidRPr="00145525">
        <w:rPr>
          <w:rFonts w:ascii="Times New Roman" w:eastAsia="Times New Roman" w:hAnsi="Times New Roman" w:cs="Times New Roman"/>
          <w:sz w:val="24"/>
          <w:szCs w:val="24"/>
        </w:rPr>
        <w:t xml:space="preserve"> and moderately improved employment rates among graduates. However, the employment generated was largely </w:t>
      </w:r>
      <w:r w:rsidRPr="00145525">
        <w:rPr>
          <w:rFonts w:ascii="Times New Roman" w:eastAsia="Times New Roman" w:hAnsi="Times New Roman" w:cs="Times New Roman"/>
          <w:bCs/>
          <w:sz w:val="24"/>
          <w:szCs w:val="24"/>
        </w:rPr>
        <w:t>unsustainable and low-income</w:t>
      </w:r>
      <w:r w:rsidRPr="00145525">
        <w:rPr>
          <w:rFonts w:ascii="Times New Roman" w:eastAsia="Times New Roman" w:hAnsi="Times New Roman" w:cs="Times New Roman"/>
          <w:sz w:val="24"/>
          <w:szCs w:val="24"/>
        </w:rPr>
        <w:t>, concentrated in the informal sector. Only a small proportion of graduates attained formal wage employment, while many remained underemployed.</w:t>
      </w:r>
    </w:p>
    <w:p w14:paraId="3D0536A9"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Skill development outcomes were uneven: while technical proficiency improved substantially, </w:t>
      </w:r>
      <w:r w:rsidRPr="00145525">
        <w:rPr>
          <w:rFonts w:ascii="Times New Roman" w:eastAsia="Times New Roman" w:hAnsi="Times New Roman" w:cs="Times New Roman"/>
          <w:bCs/>
          <w:sz w:val="24"/>
          <w:szCs w:val="24"/>
        </w:rPr>
        <w:t>digital literacy and soft-skill competencies</w:t>
      </w:r>
      <w:r w:rsidRPr="00145525">
        <w:rPr>
          <w:rFonts w:ascii="Times New Roman" w:eastAsia="Times New Roman" w:hAnsi="Times New Roman" w:cs="Times New Roman"/>
          <w:sz w:val="24"/>
          <w:szCs w:val="24"/>
        </w:rPr>
        <w:t>—such as communication, leadership, and entrepreneurship—remained limited. Institutional weaknesses, including inadequate funding,</w:t>
      </w:r>
      <w:r w:rsidRPr="00B62E14">
        <w:rPr>
          <w:rFonts w:ascii="Times New Roman" w:eastAsia="Times New Roman" w:hAnsi="Times New Roman" w:cs="Times New Roman"/>
          <w:sz w:val="24"/>
          <w:szCs w:val="24"/>
        </w:rPr>
        <w:t xml:space="preserve"> obsolete equipment, insufficient industry partnerships, and weak monitoring mechanisms, constrained the </w:t>
      </w:r>
      <w:proofErr w:type="spellStart"/>
      <w:r w:rsidRPr="00B62E14">
        <w:rPr>
          <w:rFonts w:ascii="Times New Roman" w:eastAsia="Times New Roman" w:hAnsi="Times New Roman" w:cs="Times New Roman"/>
          <w:sz w:val="24"/>
          <w:szCs w:val="24"/>
        </w:rPr>
        <w:t>programme’s</w:t>
      </w:r>
      <w:proofErr w:type="spellEnd"/>
      <w:r w:rsidRPr="00B62E14">
        <w:rPr>
          <w:rFonts w:ascii="Times New Roman" w:eastAsia="Times New Roman" w:hAnsi="Times New Roman" w:cs="Times New Roman"/>
          <w:sz w:val="24"/>
          <w:szCs w:val="24"/>
        </w:rPr>
        <w:t xml:space="preserve"> overall effectiveness. Moreover, the lack of structured post-training support (e.g., access to finance and mentorship) impeded the translation of training into productive self-employment.</w:t>
      </w:r>
    </w:p>
    <w:p w14:paraId="0C0EB309"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lastRenderedPageBreak/>
        <w:t xml:space="preserve">From a theoretical standpoint, the findings affirm the </w:t>
      </w:r>
      <w:r w:rsidRPr="00145525">
        <w:rPr>
          <w:rFonts w:ascii="Times New Roman" w:eastAsia="Times New Roman" w:hAnsi="Times New Roman" w:cs="Times New Roman"/>
          <w:bCs/>
          <w:sz w:val="24"/>
          <w:szCs w:val="24"/>
        </w:rPr>
        <w:t>Human Capital Theory</w:t>
      </w:r>
      <w:r w:rsidRPr="00145525">
        <w:rPr>
          <w:rFonts w:ascii="Times New Roman" w:eastAsia="Times New Roman" w:hAnsi="Times New Roman" w:cs="Times New Roman"/>
          <w:sz w:val="24"/>
          <w:szCs w:val="24"/>
        </w:rPr>
        <w:t xml:space="preserve"> premise that investment in skills enhances employability. Nonetheless, the study extends this framework by highlighting that </w:t>
      </w:r>
      <w:r w:rsidRPr="00145525">
        <w:rPr>
          <w:rFonts w:ascii="Times New Roman" w:eastAsia="Times New Roman" w:hAnsi="Times New Roman" w:cs="Times New Roman"/>
          <w:bCs/>
          <w:sz w:val="24"/>
          <w:szCs w:val="24"/>
        </w:rPr>
        <w:t>human capital must be complemented by systemic enablers</w:t>
      </w:r>
      <w:r w:rsidRPr="00145525">
        <w:rPr>
          <w:rFonts w:ascii="Times New Roman" w:eastAsia="Times New Roman" w:hAnsi="Times New Roman" w:cs="Times New Roman"/>
          <w:sz w:val="24"/>
          <w:szCs w:val="24"/>
        </w:rPr>
        <w:t xml:space="preserve">, as emphasized by </w:t>
      </w:r>
      <w:r w:rsidRPr="00145525">
        <w:rPr>
          <w:rFonts w:ascii="Times New Roman" w:eastAsia="Times New Roman" w:hAnsi="Times New Roman" w:cs="Times New Roman"/>
          <w:bCs/>
          <w:sz w:val="24"/>
          <w:szCs w:val="24"/>
        </w:rPr>
        <w:t>General Systems Theory</w:t>
      </w:r>
      <w:r w:rsidRPr="00145525">
        <w:rPr>
          <w:rFonts w:ascii="Times New Roman" w:eastAsia="Times New Roman" w:hAnsi="Times New Roman" w:cs="Times New Roman"/>
          <w:sz w:val="24"/>
          <w:szCs w:val="24"/>
        </w:rPr>
        <w:t>, to achieve sustainable employment outcomes. The interdependence of institutions, policy frameworks, and economic structures determines whether training investments yield tangible labour-market benefits.</w:t>
      </w:r>
    </w:p>
    <w:p w14:paraId="2AF7183E"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Overall, the study concludes that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was a step in the right direction but insufficient in its current form to address structural unemployment. For Uganda to realize the full potential of its youthful population, vocational education must evolve beyond technical training to encompass innovation, digital transformation, and entrepreneurship.</w:t>
      </w:r>
    </w:p>
    <w:p w14:paraId="6469D04C"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4.2 Recommendations</w:t>
      </w:r>
    </w:p>
    <w:p w14:paraId="4A68E247"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Based on the findings and conclusions, the following recommendations are proposed to enhance the design, implementation, and sustainability of skills-development initiatives in Uganda and similar contexts:</w:t>
      </w:r>
    </w:p>
    <w:p w14:paraId="34BDA27F"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Integrate Employability and Digital Skills Across Curricula:</w:t>
      </w:r>
      <w:r w:rsidRPr="00145525">
        <w:rPr>
          <w:rFonts w:ascii="Times New Roman" w:eastAsia="Times New Roman" w:hAnsi="Times New Roman" w:cs="Times New Roman"/>
          <w:sz w:val="24"/>
          <w:szCs w:val="24"/>
        </w:rPr>
        <w:br/>
        <w:t>TVET curricula should incorporate soft skills, ICT competence, entrepreneurship, and financial literacy as compulsory modules. This will equip graduates with adaptable competencies suited to the dynamic labour market.</w:t>
      </w:r>
    </w:p>
    <w:p w14:paraId="6A0FC0C5"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Strengthen Public–Private Partnerships (PPP):</w:t>
      </w:r>
      <w:r w:rsidRPr="00145525">
        <w:rPr>
          <w:rFonts w:ascii="Times New Roman" w:eastAsia="Times New Roman" w:hAnsi="Times New Roman" w:cs="Times New Roman"/>
          <w:sz w:val="24"/>
          <w:szCs w:val="24"/>
        </w:rPr>
        <w:br/>
        <w:t>The government should institutionalize collaboration between TVET institutions and industry actors. Employers should participate in curriculum design, apprenticeship programmes, and graduate placement initiatives to ensure market-relevant training.</w:t>
      </w:r>
    </w:p>
    <w:p w14:paraId="79632F36"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Enhance Post-Training Support Mechanisms:</w:t>
      </w:r>
      <w:r w:rsidRPr="00145525">
        <w:rPr>
          <w:rFonts w:ascii="Times New Roman" w:eastAsia="Times New Roman" w:hAnsi="Times New Roman" w:cs="Times New Roman"/>
          <w:sz w:val="24"/>
          <w:szCs w:val="24"/>
        </w:rPr>
        <w:br/>
        <w:t>Establish revolving funds or youth enterprise grants to provide graduates with start-up capital and toolkits. Partnerships with microfinance institutions and SACCOs can improve access to credit for small business development.</w:t>
      </w:r>
    </w:p>
    <w:p w14:paraId="6D172F2A"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Improve Institutional Capacity and Funding:</w:t>
      </w:r>
      <w:r w:rsidRPr="00145525">
        <w:rPr>
          <w:rFonts w:ascii="Times New Roman" w:eastAsia="Times New Roman" w:hAnsi="Times New Roman" w:cs="Times New Roman"/>
          <w:sz w:val="24"/>
          <w:szCs w:val="24"/>
        </w:rPr>
        <w:br/>
        <w:t>Increased and predictable funding from government and development partners is vital to maintain training equipment, upgrade facilities, and retrain instructors. TVET institutions should also adopt performance-based financing linked to employment outcomes.</w:t>
      </w:r>
    </w:p>
    <w:p w14:paraId="2D794489"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Develop a Robust Monitoring and Evaluation (M&amp;E) Framework:</w:t>
      </w:r>
      <w:r w:rsidRPr="00145525">
        <w:rPr>
          <w:rFonts w:ascii="Times New Roman" w:eastAsia="Times New Roman" w:hAnsi="Times New Roman" w:cs="Times New Roman"/>
          <w:sz w:val="24"/>
          <w:szCs w:val="24"/>
        </w:rPr>
        <w:br/>
        <w:t>A comprehensive M&amp;E system should track graduate employment trajectories, employer satisfaction, and institutional performance. Such data will facilitate evidence-based policy adjustments and enhance accountability.</w:t>
      </w:r>
    </w:p>
    <w:p w14:paraId="2047135D"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Promote Gender Equity in TVET Participation:</w:t>
      </w:r>
      <w:r w:rsidRPr="00145525">
        <w:rPr>
          <w:rFonts w:ascii="Times New Roman" w:eastAsia="Times New Roman" w:hAnsi="Times New Roman" w:cs="Times New Roman"/>
          <w:sz w:val="24"/>
          <w:szCs w:val="24"/>
        </w:rPr>
        <w:br/>
        <w:t>Special incentives and affirmative-action policies should encourage female enrolment in non-traditional trades such as engineering and mechanics, addressing gender disparities observed in vocational training.</w:t>
      </w:r>
    </w:p>
    <w:p w14:paraId="61BE9739"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Decentralize Skills-Development Governance:</w:t>
      </w:r>
      <w:r w:rsidRPr="00145525">
        <w:rPr>
          <w:rFonts w:ascii="Times New Roman" w:eastAsia="Times New Roman" w:hAnsi="Times New Roman" w:cs="Times New Roman"/>
          <w:sz w:val="24"/>
          <w:szCs w:val="24"/>
        </w:rPr>
        <w:br/>
        <w:t>Local governments should play a more active role in coordinating community-based training and linking graduates with local enterprises. This will improve responsiveness to regional labour-market demands.</w:t>
      </w:r>
    </w:p>
    <w:p w14:paraId="67BC47A3"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lastRenderedPageBreak/>
        <w:t>Encourage Innovation and Technology Adoption:</w:t>
      </w:r>
      <w:r w:rsidRPr="00145525">
        <w:rPr>
          <w:rFonts w:ascii="Times New Roman" w:eastAsia="Times New Roman" w:hAnsi="Times New Roman" w:cs="Times New Roman"/>
          <w:sz w:val="24"/>
          <w:szCs w:val="24"/>
        </w:rPr>
        <w:br/>
        <w:t>Introducing digital learning platforms and modern training technologies will improve training quality and expose youth to evolving industry standards.</w:t>
      </w:r>
    </w:p>
    <w:p w14:paraId="3D152191"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Implementing these recommendations can enhance the sustainability and inclusiveness of Uganda’s skills-development strategy, positioning TVET as a driver of economic transformation and social equity.</w:t>
      </w:r>
    </w:p>
    <w:p w14:paraId="6EB579FC" w14:textId="77777777" w:rsidR="00B62E14" w:rsidRPr="00B62E14" w:rsidRDefault="00B62E14" w:rsidP="00B62E14">
      <w:pPr>
        <w:spacing w:after="0" w:line="240" w:lineRule="auto"/>
        <w:rPr>
          <w:rFonts w:ascii="Times New Roman" w:eastAsia="Times New Roman" w:hAnsi="Times New Roman" w:cs="Times New Roman"/>
          <w:sz w:val="24"/>
          <w:szCs w:val="24"/>
        </w:rPr>
      </w:pPr>
    </w:p>
    <w:p w14:paraId="4315AF3C" w14:textId="77777777" w:rsid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t>References</w:t>
      </w:r>
    </w:p>
    <w:p w14:paraId="31F05FD9" w14:textId="77777777" w:rsidR="00462238" w:rsidRDefault="00462238" w:rsidP="00462238">
      <w:pPr>
        <w:pStyle w:val="ListParagraph"/>
        <w:spacing w:after="0" w:line="480" w:lineRule="auto"/>
        <w:ind w:hanging="720"/>
        <w:jc w:val="both"/>
        <w:rPr>
          <w:rFonts w:ascii="Times New Roman" w:hAnsi="Times New Roman"/>
          <w:sz w:val="24"/>
          <w:szCs w:val="24"/>
          <w:lang w:val="zh-CN" w:eastAsia="zh-CN"/>
        </w:rPr>
      </w:pPr>
      <w:r>
        <w:rPr>
          <w:rFonts w:ascii="Times New Roman" w:hAnsi="Times New Roman"/>
          <w:color w:val="222222"/>
          <w:sz w:val="24"/>
          <w:szCs w:val="24"/>
          <w:shd w:val="clear" w:color="auto" w:fill="FFFFFF"/>
          <w:lang w:val="zh-CN" w:eastAsia="zh-CN"/>
        </w:rPr>
        <w:t xml:space="preserve">Moses, K. M., &amp; Liu, W. T. (2023, January). </w:t>
      </w:r>
      <w:r>
        <w:rPr>
          <w:rFonts w:ascii="Times New Roman" w:hAnsi="Times New Roman"/>
          <w:i/>
          <w:iCs/>
          <w:color w:val="222222"/>
          <w:sz w:val="24"/>
          <w:szCs w:val="24"/>
          <w:shd w:val="clear" w:color="auto" w:fill="FFFFFF"/>
          <w:lang w:val="zh-CN" w:eastAsia="zh-CN"/>
        </w:rPr>
        <w:t>The role of TVET skill development in transformation of informal sector in developing countries</w:t>
      </w:r>
      <w:r>
        <w:rPr>
          <w:rFonts w:ascii="Times New Roman" w:hAnsi="Times New Roman"/>
          <w:color w:val="222222"/>
          <w:sz w:val="24"/>
          <w:szCs w:val="24"/>
          <w:shd w:val="clear" w:color="auto" w:fill="FFFFFF"/>
          <w:lang w:val="zh-CN" w:eastAsia="zh-CN"/>
        </w:rPr>
        <w:t>:</w:t>
      </w:r>
      <w:r>
        <w:rPr>
          <w:rFonts w:ascii="Times New Roman" w:hAnsi="Times New Roman"/>
          <w:i/>
          <w:iCs/>
          <w:color w:val="222222"/>
          <w:sz w:val="24"/>
          <w:szCs w:val="24"/>
          <w:shd w:val="clear" w:color="auto" w:fill="FFFFFF"/>
          <w:lang w:val="zh-CN" w:eastAsia="zh-CN"/>
        </w:rPr>
        <w:t xml:space="preserve"> the case study of skilling Uganda program in Kampala urban area Uganda</w:t>
      </w:r>
      <w:r>
        <w:rPr>
          <w:rFonts w:ascii="Times New Roman" w:hAnsi="Times New Roman"/>
          <w:color w:val="222222"/>
          <w:sz w:val="24"/>
          <w:szCs w:val="24"/>
          <w:shd w:val="clear" w:color="auto" w:fill="FFFFFF"/>
          <w:lang w:val="zh-CN" w:eastAsia="zh-CN"/>
        </w:rPr>
        <w:t>. In </w:t>
      </w:r>
      <w:r>
        <w:rPr>
          <w:rFonts w:ascii="Times New Roman" w:hAnsi="Times New Roman"/>
          <w:i/>
          <w:iCs/>
          <w:color w:val="222222"/>
          <w:sz w:val="24"/>
          <w:szCs w:val="24"/>
          <w:shd w:val="clear" w:color="auto" w:fill="FFFFFF"/>
          <w:lang w:val="zh-CN" w:eastAsia="zh-CN"/>
        </w:rPr>
        <w:t>Proceedings</w:t>
      </w:r>
      <w:r>
        <w:rPr>
          <w:rFonts w:ascii="Times New Roman" w:hAnsi="Times New Roman"/>
          <w:color w:val="222222"/>
          <w:sz w:val="24"/>
          <w:szCs w:val="24"/>
          <w:shd w:val="clear" w:color="auto" w:fill="FFFFFF"/>
          <w:lang w:val="zh-CN" w:eastAsia="zh-CN"/>
        </w:rPr>
        <w:t> (Vol. 83, No. 1, p. 46). MDPI.</w:t>
      </w:r>
    </w:p>
    <w:p w14:paraId="6D99D382"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International Labour Office. (2022). </w:t>
      </w:r>
      <w:r>
        <w:rPr>
          <w:rFonts w:ascii="Times New Roman" w:hAnsi="Times New Roman"/>
          <w:i/>
          <w:iCs/>
          <w:color w:val="222222"/>
          <w:sz w:val="24"/>
          <w:szCs w:val="24"/>
          <w:shd w:val="clear" w:color="auto" w:fill="FFFFFF"/>
        </w:rPr>
        <w:t>Global employment trends for youth 2022: investing in transforming futures for young people</w:t>
      </w:r>
      <w:r>
        <w:rPr>
          <w:rFonts w:ascii="Times New Roman" w:hAnsi="Times New Roman"/>
          <w:color w:val="222222"/>
          <w:sz w:val="24"/>
          <w:szCs w:val="24"/>
          <w:shd w:val="clear" w:color="auto" w:fill="FFFFFF"/>
        </w:rPr>
        <w:t>. International Labour Office.</w:t>
      </w:r>
    </w:p>
    <w:p w14:paraId="41540D99" w14:textId="77777777" w:rsidR="00CC7EFF" w:rsidRDefault="00CC7EFF" w:rsidP="00835A23">
      <w:pPr>
        <w:pStyle w:val="NormalWeb"/>
        <w:ind w:left="720" w:hanging="720"/>
        <w:jc w:val="both"/>
      </w:pPr>
      <w:r>
        <w:t xml:space="preserve">Card, D., </w:t>
      </w:r>
      <w:proofErr w:type="spellStart"/>
      <w:r>
        <w:t>Kluve</w:t>
      </w:r>
      <w:proofErr w:type="spellEnd"/>
      <w:r>
        <w:t xml:space="preserve">, J., &amp; Weber, A. (2018). </w:t>
      </w:r>
      <w:r>
        <w:rPr>
          <w:i/>
        </w:rPr>
        <w:t>What works? A meta-analysis of active labor market program evaluations.</w:t>
      </w:r>
      <w:r>
        <w:t xml:space="preserve"> </w:t>
      </w:r>
      <w:r>
        <w:rPr>
          <w:rStyle w:val="Emphasis"/>
        </w:rPr>
        <w:t>Journal of the European Economic Association, 16</w:t>
      </w:r>
      <w:r>
        <w:t>(3), 894–931. https://doi.org/10.1093/jeea/jvx028</w:t>
      </w:r>
    </w:p>
    <w:p w14:paraId="509A8BA9" w14:textId="77777777" w:rsidR="00CC7EFF" w:rsidRDefault="00CC7EFF" w:rsidP="00835A23">
      <w:pPr>
        <w:pStyle w:val="NormalWeb"/>
        <w:ind w:left="720" w:hanging="720"/>
        <w:jc w:val="both"/>
      </w:pPr>
      <w:r>
        <w:t xml:space="preserve">Filmer, D., &amp; Fox, L. (2014). </w:t>
      </w:r>
      <w:r>
        <w:rPr>
          <w:rStyle w:val="Emphasis"/>
        </w:rPr>
        <w:t>Youth employment in sub-Saharan Africa</w:t>
      </w:r>
      <w:r>
        <w:t>. World Bank. https://doi.org/10.1596/978-1-4648-0107-5</w:t>
      </w:r>
    </w:p>
    <w:p w14:paraId="53ECAD82" w14:textId="77777777" w:rsidR="00CC7EFF" w:rsidRDefault="00CC7EFF" w:rsidP="00835A23">
      <w:pPr>
        <w:pStyle w:val="NormalWeb"/>
        <w:ind w:left="720" w:hanging="720"/>
        <w:jc w:val="both"/>
      </w:pPr>
      <w:r>
        <w:t xml:space="preserve">Fox, L., &amp; Kaul, U. (2018). The evidence is in: How should youth employment programs in low-income countries be designed? </w:t>
      </w:r>
      <w:r>
        <w:rPr>
          <w:rStyle w:val="Emphasis"/>
        </w:rPr>
        <w:t>Policy Research Working Paper 8500</w:t>
      </w:r>
      <w:r>
        <w:t>. World Bank.</w:t>
      </w:r>
    </w:p>
    <w:p w14:paraId="39C92945" w14:textId="77777777" w:rsidR="00CC7EFF" w:rsidRDefault="00CC7EFF" w:rsidP="00835A23">
      <w:pPr>
        <w:pStyle w:val="NormalWeb"/>
        <w:ind w:left="720" w:hanging="720"/>
        <w:jc w:val="both"/>
      </w:pPr>
      <w:r>
        <w:t xml:space="preserve">International Labour Organization. (2015). </w:t>
      </w:r>
      <w:r>
        <w:rPr>
          <w:rStyle w:val="Emphasis"/>
        </w:rPr>
        <w:t>Global employment trends for youth 2015: Scaling up investments in decent jobs for youth</w:t>
      </w:r>
      <w:r>
        <w:t>. ILO.</w:t>
      </w:r>
    </w:p>
    <w:p w14:paraId="75411C1F" w14:textId="77777777" w:rsidR="00CC7EFF" w:rsidRDefault="00CC7EFF" w:rsidP="00835A23">
      <w:pPr>
        <w:pStyle w:val="NormalWeb"/>
        <w:ind w:left="720" w:hanging="720"/>
        <w:jc w:val="both"/>
      </w:pPr>
      <w:proofErr w:type="spellStart"/>
      <w:r>
        <w:t>Kluve</w:t>
      </w:r>
      <w:proofErr w:type="spellEnd"/>
      <w:r>
        <w:t xml:space="preserve">, J., Puerto, S., Robalino, D., Romero, J. M., Rother, F., </w:t>
      </w:r>
      <w:proofErr w:type="spellStart"/>
      <w:r>
        <w:t>Stöterau</w:t>
      </w:r>
      <w:proofErr w:type="spellEnd"/>
      <w:r>
        <w:t xml:space="preserve">, J., </w:t>
      </w:r>
      <w:proofErr w:type="spellStart"/>
      <w:r>
        <w:t>Weidenkaff</w:t>
      </w:r>
      <w:proofErr w:type="spellEnd"/>
      <w:r>
        <w:t xml:space="preserve">, F., &amp; Witte, M. (2019). </w:t>
      </w:r>
      <w:r>
        <w:rPr>
          <w:i/>
        </w:rPr>
        <w:t>Do youth employment programs improve labor market outcomes?</w:t>
      </w:r>
      <w:r>
        <w:t xml:space="preserve"> A quantitative review. </w:t>
      </w:r>
      <w:r>
        <w:rPr>
          <w:rStyle w:val="Emphasis"/>
        </w:rPr>
        <w:t>World Development, 114</w:t>
      </w:r>
      <w:r>
        <w:t>, 237–253. https://doi.org/10.1016/j.worlddev.2018.10.004</w:t>
      </w:r>
    </w:p>
    <w:p w14:paraId="5DE0CC38" w14:textId="77777777" w:rsidR="00CC7EFF" w:rsidRDefault="00CC7EFF" w:rsidP="00835A23">
      <w:pPr>
        <w:pStyle w:val="NormalWeb"/>
        <w:ind w:left="720" w:hanging="720"/>
        <w:jc w:val="both"/>
      </w:pPr>
      <w:r>
        <w:t xml:space="preserve">World Bank. (2023). </w:t>
      </w:r>
      <w:r>
        <w:rPr>
          <w:rStyle w:val="Emphasis"/>
        </w:rPr>
        <w:t>World development report 2023: Migrants, refugees, and societies</w:t>
      </w:r>
      <w:r>
        <w:t xml:space="preserve">. World Bank. </w:t>
      </w:r>
      <w:hyperlink r:id="rId7" w:tgtFrame="_new" w:history="1">
        <w:r>
          <w:rPr>
            <w:rStyle w:val="Hyperlink"/>
          </w:rPr>
          <w:t>https://www.worldbank.org</w:t>
        </w:r>
      </w:hyperlink>
    </w:p>
    <w:p w14:paraId="14075D08" w14:textId="77777777" w:rsidR="00CC7EFF" w:rsidRDefault="00CC7EFF" w:rsidP="00835A23">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Gregg, P., &amp; </w:t>
      </w:r>
      <w:proofErr w:type="spellStart"/>
      <w:r>
        <w:rPr>
          <w:rFonts w:ascii="Times New Roman" w:hAnsi="Times New Roman"/>
          <w:color w:val="222222"/>
          <w:sz w:val="24"/>
          <w:szCs w:val="24"/>
          <w:shd w:val="clear" w:color="auto" w:fill="FFFFFF"/>
        </w:rPr>
        <w:t>Tominey</w:t>
      </w:r>
      <w:proofErr w:type="spellEnd"/>
      <w:r>
        <w:rPr>
          <w:rFonts w:ascii="Times New Roman" w:hAnsi="Times New Roman"/>
          <w:color w:val="222222"/>
          <w:sz w:val="24"/>
          <w:szCs w:val="24"/>
          <w:shd w:val="clear" w:color="auto" w:fill="FFFFFF"/>
        </w:rPr>
        <w:t xml:space="preserve">, E. (2005). </w:t>
      </w:r>
      <w:r>
        <w:rPr>
          <w:rFonts w:ascii="Times New Roman" w:hAnsi="Times New Roman"/>
          <w:i/>
          <w:iCs/>
          <w:color w:val="222222"/>
          <w:sz w:val="24"/>
          <w:szCs w:val="24"/>
          <w:shd w:val="clear" w:color="auto" w:fill="FFFFFF"/>
        </w:rPr>
        <w:t>The wage scar from male youth unemployment</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Labour Economics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w:t>
      </w:r>
      <w:r>
        <w:rPr>
          <w:rFonts w:ascii="Times New Roman" w:hAnsi="Times New Roman"/>
          <w:color w:val="222222"/>
          <w:sz w:val="24"/>
          <w:szCs w:val="24"/>
          <w:shd w:val="clear" w:color="auto" w:fill="FFFFFF"/>
        </w:rPr>
        <w:t>(4), 487-509.</w:t>
      </w:r>
    </w:p>
    <w:p w14:paraId="7988C9D4"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Bassanini</w:t>
      </w:r>
      <w:proofErr w:type="spellEnd"/>
      <w:r>
        <w:rPr>
          <w:rFonts w:ascii="Times New Roman" w:hAnsi="Times New Roman"/>
          <w:color w:val="222222"/>
          <w:sz w:val="24"/>
          <w:szCs w:val="24"/>
          <w:shd w:val="clear" w:color="auto" w:fill="FFFFFF"/>
        </w:rPr>
        <w:t xml:space="preserve">, A., &amp; Duval, R. (2009). </w:t>
      </w:r>
      <w:r>
        <w:rPr>
          <w:rFonts w:ascii="Times New Roman" w:hAnsi="Times New Roman"/>
          <w:i/>
          <w:iCs/>
          <w:color w:val="222222"/>
          <w:sz w:val="24"/>
          <w:szCs w:val="24"/>
          <w:shd w:val="clear" w:color="auto" w:fill="FFFFFF"/>
        </w:rPr>
        <w:t>Unemployment, institutions, and reform complementarities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re-assessing the aggregate evidence for OECD countries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Oxford Review of Economic Policy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25</w:t>
      </w:r>
      <w:r>
        <w:rPr>
          <w:rFonts w:ascii="Times New Roman" w:hAnsi="Times New Roman"/>
          <w:color w:val="222222"/>
          <w:sz w:val="24"/>
          <w:szCs w:val="24"/>
          <w:shd w:val="clear" w:color="auto" w:fill="FFFFFF"/>
        </w:rPr>
        <w:t>(1), 40-59.</w:t>
      </w:r>
    </w:p>
    <w:p w14:paraId="0FB3C6A0"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Becker, G. S. (2009). </w:t>
      </w:r>
      <w:r>
        <w:rPr>
          <w:rFonts w:ascii="Times New Roman" w:hAnsi="Times New Roman"/>
          <w:i/>
          <w:iCs/>
          <w:color w:val="222222"/>
          <w:sz w:val="24"/>
          <w:szCs w:val="24"/>
          <w:shd w:val="clear" w:color="auto" w:fill="FFFFFF"/>
        </w:rPr>
        <w:t>Human capital: A theoretical and empirical analysis, with special reference to education</w:t>
      </w:r>
      <w:r>
        <w:rPr>
          <w:rFonts w:ascii="Times New Roman" w:hAnsi="Times New Roman"/>
          <w:color w:val="222222"/>
          <w:sz w:val="24"/>
          <w:szCs w:val="24"/>
          <w:shd w:val="clear" w:color="auto" w:fill="FFFFFF"/>
        </w:rPr>
        <w:t>. University of Chicago press.</w:t>
      </w:r>
    </w:p>
    <w:p w14:paraId="7ED79E4B"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O’Higgins, N. (2001). </w:t>
      </w:r>
      <w:r>
        <w:rPr>
          <w:rFonts w:ascii="Times New Roman" w:hAnsi="Times New Roman"/>
          <w:i/>
          <w:color w:val="222222"/>
          <w:sz w:val="24"/>
          <w:szCs w:val="24"/>
          <w:shd w:val="clear" w:color="auto" w:fill="FFFFFF"/>
        </w:rPr>
        <w:t>Youth unemployment and employment policy: A global perspective</w:t>
      </w:r>
      <w:r>
        <w:rPr>
          <w:rFonts w:ascii="Times New Roman" w:hAnsi="Times New Roman"/>
          <w:color w:val="222222"/>
          <w:sz w:val="24"/>
          <w:szCs w:val="24"/>
          <w:shd w:val="clear" w:color="auto" w:fill="FFFFFF"/>
        </w:rPr>
        <w:t xml:space="preserve"> (Geneva, ILO).</w:t>
      </w:r>
    </w:p>
    <w:p w14:paraId="30E0AFF6"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Ahaibwe</w:t>
      </w:r>
      <w:proofErr w:type="spellEnd"/>
      <w:r>
        <w:rPr>
          <w:rFonts w:ascii="Times New Roman" w:hAnsi="Times New Roman"/>
          <w:color w:val="222222"/>
          <w:sz w:val="24"/>
          <w:szCs w:val="24"/>
          <w:shd w:val="clear" w:color="auto" w:fill="FFFFFF"/>
        </w:rPr>
        <w:t xml:space="preserve">, G., &amp; </w:t>
      </w:r>
      <w:proofErr w:type="spellStart"/>
      <w:r>
        <w:rPr>
          <w:rFonts w:ascii="Times New Roman" w:hAnsi="Times New Roman"/>
          <w:color w:val="222222"/>
          <w:sz w:val="24"/>
          <w:szCs w:val="24"/>
          <w:shd w:val="clear" w:color="auto" w:fill="FFFFFF"/>
        </w:rPr>
        <w:t>Mbowa</w:t>
      </w:r>
      <w:proofErr w:type="spellEnd"/>
      <w:r>
        <w:rPr>
          <w:rFonts w:ascii="Times New Roman" w:hAnsi="Times New Roman"/>
          <w:color w:val="222222"/>
          <w:sz w:val="24"/>
          <w:szCs w:val="24"/>
          <w:shd w:val="clear" w:color="auto" w:fill="FFFFFF"/>
        </w:rPr>
        <w:t xml:space="preserve">, S. (2014). </w:t>
      </w:r>
      <w:r>
        <w:rPr>
          <w:rFonts w:ascii="Times New Roman" w:hAnsi="Times New Roman"/>
          <w:i/>
          <w:color w:val="222222"/>
          <w:sz w:val="24"/>
          <w:szCs w:val="24"/>
          <w:shd w:val="clear" w:color="auto" w:fill="FFFFFF"/>
        </w:rPr>
        <w:t>Youth Unemployment Challenge in Uganda and the Role of Employment Policies in Jobs Creation</w:t>
      </w:r>
      <w:r>
        <w:rPr>
          <w:rFonts w:ascii="Times New Roman" w:hAnsi="Times New Roman"/>
          <w:color w:val="222222"/>
          <w:sz w:val="24"/>
          <w:szCs w:val="24"/>
          <w:shd w:val="clear" w:color="auto" w:fill="FFFFFF"/>
        </w:rPr>
        <w:t>, Brookings Institute, Washington DC.</w:t>
      </w:r>
    </w:p>
    <w:p w14:paraId="36CB4F01"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Organization for Economic Co-operation and Development. (2014). </w:t>
      </w:r>
      <w:r>
        <w:rPr>
          <w:rFonts w:ascii="Times New Roman" w:hAnsi="Times New Roman"/>
          <w:i/>
          <w:color w:val="222222"/>
          <w:sz w:val="24"/>
          <w:szCs w:val="24"/>
          <w:shd w:val="clear" w:color="auto" w:fill="FFFFFF"/>
        </w:rPr>
        <w:t>OECD Employment Outlook 2014. Paris</w:t>
      </w:r>
      <w:r>
        <w:rPr>
          <w:rFonts w:ascii="Times New Roman" w:hAnsi="Times New Roman"/>
          <w:color w:val="222222"/>
          <w:sz w:val="24"/>
          <w:szCs w:val="24"/>
          <w:shd w:val="clear" w:color="auto" w:fill="FFFFFF"/>
        </w:rPr>
        <w:t>: OECD Publishing.</w:t>
      </w:r>
    </w:p>
    <w:p w14:paraId="30A29CA6"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World Bank. (2013). </w:t>
      </w:r>
      <w:r>
        <w:rPr>
          <w:rFonts w:ascii="Times New Roman" w:hAnsi="Times New Roman"/>
          <w:i/>
          <w:color w:val="222222"/>
          <w:sz w:val="24"/>
          <w:szCs w:val="24"/>
          <w:shd w:val="clear" w:color="auto" w:fill="FFFFFF"/>
        </w:rPr>
        <w:t>World Development Report 2013</w:t>
      </w:r>
      <w:r>
        <w:rPr>
          <w:rFonts w:ascii="Times New Roman" w:hAnsi="Times New Roman"/>
          <w:color w:val="222222"/>
          <w:sz w:val="24"/>
          <w:szCs w:val="24"/>
          <w:shd w:val="clear" w:color="auto" w:fill="FFFFFF"/>
        </w:rPr>
        <w:t>: Jobs. Washington, DC: World Bank.</w:t>
      </w:r>
    </w:p>
    <w:p w14:paraId="69606A7D"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European Centre for the Development of Vocational </w:t>
      </w:r>
      <w:proofErr w:type="gramStart"/>
      <w:r>
        <w:rPr>
          <w:rFonts w:ascii="Times New Roman" w:hAnsi="Times New Roman"/>
          <w:color w:val="222222"/>
          <w:sz w:val="24"/>
          <w:szCs w:val="24"/>
          <w:shd w:val="clear" w:color="auto" w:fill="FFFFFF"/>
        </w:rPr>
        <w:t>Training .</w:t>
      </w:r>
      <w:proofErr w:type="gramEnd"/>
      <w:r>
        <w:rPr>
          <w:rFonts w:ascii="Times New Roman" w:hAnsi="Times New Roman"/>
          <w:color w:val="222222"/>
          <w:sz w:val="24"/>
          <w:szCs w:val="24"/>
          <w:shd w:val="clear" w:color="auto" w:fill="FFFFFF"/>
        </w:rPr>
        <w:t xml:space="preserve"> (2016). </w:t>
      </w:r>
      <w:r>
        <w:rPr>
          <w:rFonts w:ascii="Times New Roman" w:hAnsi="Times New Roman"/>
          <w:i/>
          <w:color w:val="222222"/>
          <w:sz w:val="24"/>
          <w:szCs w:val="24"/>
          <w:shd w:val="clear" w:color="auto" w:fill="FFFFFF"/>
        </w:rPr>
        <w:t>The changing nature and role of vocational education and training in Europe. Luxembourg</w:t>
      </w:r>
      <w:r>
        <w:rPr>
          <w:rFonts w:ascii="Times New Roman" w:hAnsi="Times New Roman"/>
          <w:color w:val="222222"/>
          <w:sz w:val="24"/>
          <w:szCs w:val="24"/>
          <w:shd w:val="clear" w:color="auto" w:fill="FFFFFF"/>
        </w:rPr>
        <w:t>: Publications Office of the European Union.</w:t>
      </w:r>
    </w:p>
    <w:p w14:paraId="32E2239D"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United Nations Development Programme. (2014). </w:t>
      </w:r>
      <w:r>
        <w:rPr>
          <w:rFonts w:ascii="Times New Roman" w:hAnsi="Times New Roman"/>
          <w:i/>
          <w:color w:val="222222"/>
          <w:sz w:val="24"/>
          <w:szCs w:val="24"/>
          <w:shd w:val="clear" w:color="auto" w:fill="FFFFFF"/>
        </w:rPr>
        <w:t>Tackling Youth Unemployment: Evidence from around the World</w:t>
      </w:r>
      <w:r>
        <w:rPr>
          <w:rFonts w:ascii="Times New Roman" w:hAnsi="Times New Roman"/>
          <w:color w:val="222222"/>
          <w:sz w:val="24"/>
          <w:szCs w:val="24"/>
          <w:shd w:val="clear" w:color="auto" w:fill="FFFFFF"/>
        </w:rPr>
        <w:t>. New York: UNDP.</w:t>
      </w:r>
    </w:p>
    <w:p w14:paraId="287D0E96" w14:textId="77777777" w:rsidR="00CC7EFF" w:rsidRDefault="00CC7EFF" w:rsidP="00CC7EFF">
      <w:pPr>
        <w:pBdr>
          <w:bottom w:val="single" w:sz="6" w:space="1" w:color="auto"/>
        </w:pBdr>
        <w:spacing w:after="120" w:line="480" w:lineRule="auto"/>
        <w:ind w:left="720" w:hanging="720"/>
        <w:jc w:val="both"/>
        <w:rPr>
          <w:rFonts w:ascii="Times New Roman" w:eastAsia="Times New Roman" w:hAnsi="Times New Roman"/>
          <w:vanish/>
          <w:sz w:val="24"/>
          <w:szCs w:val="24"/>
        </w:rPr>
      </w:pPr>
      <w:r>
        <w:rPr>
          <w:rFonts w:ascii="Times New Roman" w:eastAsia="Times New Roman" w:hAnsi="Times New Roman"/>
          <w:vanish/>
          <w:sz w:val="24"/>
          <w:szCs w:val="24"/>
        </w:rPr>
        <w:t>Top of Form</w:t>
      </w:r>
    </w:p>
    <w:p w14:paraId="60A54E15" w14:textId="77777777" w:rsidR="00CC7EFF" w:rsidRDefault="00CC7EFF" w:rsidP="00CC7EFF">
      <w:pPr>
        <w:spacing w:after="120" w:line="480" w:lineRule="auto"/>
        <w:ind w:left="720" w:hanging="720"/>
        <w:jc w:val="both"/>
        <w:rPr>
          <w:rFonts w:ascii="Times New Roman" w:hAnsi="Times New Roman"/>
          <w:i/>
          <w:color w:val="222222"/>
          <w:sz w:val="24"/>
          <w:szCs w:val="24"/>
          <w:shd w:val="clear" w:color="auto" w:fill="FFFFFF"/>
        </w:rPr>
      </w:pPr>
      <w:r>
        <w:rPr>
          <w:rFonts w:ascii="Times New Roman" w:hAnsi="Times New Roman"/>
          <w:color w:val="222222"/>
          <w:sz w:val="24"/>
          <w:szCs w:val="24"/>
          <w:shd w:val="clear" w:color="auto" w:fill="FFFFFF"/>
        </w:rPr>
        <w:t xml:space="preserve">THE REPUBLIC OF UGANDA. Ministry of Gender, labor, and social development. </w:t>
      </w:r>
      <w:r>
        <w:rPr>
          <w:rFonts w:ascii="Times New Roman" w:hAnsi="Times New Roman"/>
          <w:i/>
          <w:color w:val="222222"/>
          <w:sz w:val="24"/>
          <w:szCs w:val="24"/>
          <w:shd w:val="clear" w:color="auto" w:fill="FFFFFF"/>
        </w:rPr>
        <w:t>National Youth Action Plan 2016.</w:t>
      </w:r>
    </w:p>
    <w:p w14:paraId="40B1614F" w14:textId="77777777" w:rsidR="00CC7EFF" w:rsidRDefault="00CC7EFF" w:rsidP="00CC7EFF">
      <w:pPr>
        <w:spacing w:after="120" w:line="480" w:lineRule="auto"/>
        <w:ind w:left="720" w:hanging="720"/>
        <w:jc w:val="both"/>
        <w:rPr>
          <w:rFonts w:ascii="Times New Roman" w:hAnsi="Times New Roman"/>
          <w:i/>
          <w:iCs/>
          <w:color w:val="222222"/>
          <w:sz w:val="24"/>
          <w:szCs w:val="24"/>
          <w:shd w:val="clear" w:color="auto" w:fill="FFFFFF"/>
        </w:rPr>
      </w:pPr>
      <w:r>
        <w:rPr>
          <w:rFonts w:ascii="Times New Roman" w:hAnsi="Times New Roman"/>
          <w:color w:val="222222"/>
          <w:sz w:val="24"/>
          <w:szCs w:val="24"/>
          <w:shd w:val="clear" w:color="auto" w:fill="FFFFFF"/>
        </w:rPr>
        <w:lastRenderedPageBreak/>
        <w:t xml:space="preserve">Republic of Uganda. Ministry of Education and Sports. (2012). </w:t>
      </w:r>
      <w:r>
        <w:rPr>
          <w:rFonts w:ascii="Times New Roman" w:hAnsi="Times New Roman"/>
          <w:i/>
          <w:iCs/>
          <w:color w:val="222222"/>
          <w:sz w:val="24"/>
          <w:szCs w:val="24"/>
          <w:shd w:val="clear" w:color="auto" w:fill="FFFFFF"/>
        </w:rPr>
        <w:t>Skilling Uganda: BTVET strategic plan: 2012/13 to 2021/2.</w:t>
      </w:r>
    </w:p>
    <w:p w14:paraId="6FEED9D4"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lang w:val="zh-CN" w:eastAsia="zh-CN"/>
        </w:rPr>
      </w:pPr>
      <w:r>
        <w:rPr>
          <w:rFonts w:ascii="Times New Roman" w:hAnsi="Times New Roman"/>
          <w:color w:val="222222"/>
          <w:sz w:val="24"/>
          <w:szCs w:val="24"/>
          <w:shd w:val="clear" w:color="auto" w:fill="FFFFFF"/>
        </w:rPr>
        <w:t xml:space="preserve">Wrightsman, L. S., Cook, S. W., &amp; </w:t>
      </w:r>
      <w:proofErr w:type="spellStart"/>
      <w:r>
        <w:rPr>
          <w:rFonts w:ascii="Times New Roman" w:hAnsi="Times New Roman"/>
          <w:color w:val="222222"/>
          <w:sz w:val="24"/>
          <w:szCs w:val="24"/>
          <w:shd w:val="clear" w:color="auto" w:fill="FFFFFF"/>
        </w:rPr>
        <w:t>Selltiz</w:t>
      </w:r>
      <w:proofErr w:type="spellEnd"/>
      <w:r>
        <w:rPr>
          <w:rFonts w:ascii="Times New Roman" w:hAnsi="Times New Roman"/>
          <w:color w:val="222222"/>
          <w:sz w:val="24"/>
          <w:szCs w:val="24"/>
          <w:shd w:val="clear" w:color="auto" w:fill="FFFFFF"/>
        </w:rPr>
        <w:t>, C. (1976). </w:t>
      </w:r>
      <w:r>
        <w:rPr>
          <w:rFonts w:ascii="Times New Roman" w:hAnsi="Times New Roman"/>
          <w:i/>
          <w:iCs/>
          <w:color w:val="222222"/>
          <w:sz w:val="24"/>
          <w:szCs w:val="24"/>
          <w:shd w:val="clear" w:color="auto" w:fill="FFFFFF"/>
        </w:rPr>
        <w:t>Research methods in social relations</w:t>
      </w:r>
      <w:r>
        <w:rPr>
          <w:rFonts w:ascii="Times New Roman" w:hAnsi="Times New Roman"/>
          <w:color w:val="222222"/>
          <w:sz w:val="24"/>
          <w:szCs w:val="24"/>
          <w:shd w:val="clear" w:color="auto" w:fill="FFFFFF"/>
        </w:rPr>
        <w:t xml:space="preserve">. Holt, Rinehart and Winston. </w:t>
      </w:r>
    </w:p>
    <w:p w14:paraId="39279AD1" w14:textId="77777777" w:rsidR="00CC7EFF" w:rsidRDefault="00CC7EFF" w:rsidP="00CC7EFF">
      <w:pPr>
        <w:spacing w:after="120" w:line="48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auto" w:fill="FFFFFF"/>
        </w:rPr>
        <w:t>Apunyo</w:t>
      </w:r>
      <w:proofErr w:type="spellEnd"/>
      <w:r>
        <w:rPr>
          <w:rFonts w:ascii="Times New Roman" w:hAnsi="Times New Roman"/>
          <w:color w:val="222222"/>
          <w:sz w:val="24"/>
          <w:szCs w:val="24"/>
          <w:shd w:val="clear" w:color="auto" w:fill="FFFFFF"/>
        </w:rPr>
        <w:t xml:space="preserve">, R., White, H., </w:t>
      </w:r>
      <w:proofErr w:type="spellStart"/>
      <w:r>
        <w:rPr>
          <w:rFonts w:ascii="Times New Roman" w:hAnsi="Times New Roman"/>
          <w:color w:val="222222"/>
          <w:sz w:val="24"/>
          <w:szCs w:val="24"/>
          <w:shd w:val="clear" w:color="auto" w:fill="FFFFFF"/>
        </w:rPr>
        <w:t>Otike</w:t>
      </w:r>
      <w:proofErr w:type="spellEnd"/>
      <w:r>
        <w:rPr>
          <w:rFonts w:ascii="Times New Roman" w:hAnsi="Times New Roman"/>
          <w:color w:val="222222"/>
          <w:sz w:val="24"/>
          <w:szCs w:val="24"/>
          <w:shd w:val="clear" w:color="auto" w:fill="FFFFFF"/>
        </w:rPr>
        <w:t xml:space="preserve">, C., </w:t>
      </w:r>
      <w:proofErr w:type="spellStart"/>
      <w:r>
        <w:rPr>
          <w:rFonts w:ascii="Times New Roman" w:hAnsi="Times New Roman"/>
          <w:color w:val="222222"/>
          <w:sz w:val="24"/>
          <w:szCs w:val="24"/>
          <w:shd w:val="clear" w:color="auto" w:fill="FFFFFF"/>
        </w:rPr>
        <w:t>Katairo</w:t>
      </w:r>
      <w:proofErr w:type="spellEnd"/>
      <w:r>
        <w:rPr>
          <w:rFonts w:ascii="Times New Roman" w:hAnsi="Times New Roman"/>
          <w:color w:val="222222"/>
          <w:sz w:val="24"/>
          <w:szCs w:val="24"/>
          <w:shd w:val="clear" w:color="auto" w:fill="FFFFFF"/>
        </w:rPr>
        <w:t xml:space="preserve">, T., Puerto, S., Gardiner, D., ... &amp; </w:t>
      </w:r>
      <w:proofErr w:type="spellStart"/>
      <w:r>
        <w:rPr>
          <w:rFonts w:ascii="Times New Roman" w:hAnsi="Times New Roman"/>
          <w:color w:val="222222"/>
          <w:sz w:val="24"/>
          <w:szCs w:val="24"/>
          <w:shd w:val="clear" w:color="auto" w:fill="FFFFFF"/>
        </w:rPr>
        <w:t>Obuku</w:t>
      </w:r>
      <w:proofErr w:type="spellEnd"/>
      <w:r>
        <w:rPr>
          <w:rFonts w:ascii="Times New Roman" w:hAnsi="Times New Roman"/>
          <w:color w:val="222222"/>
          <w:sz w:val="24"/>
          <w:szCs w:val="24"/>
          <w:shd w:val="clear" w:color="auto" w:fill="FFFFFF"/>
        </w:rPr>
        <w:t xml:space="preserve">, E. A. (2022). </w:t>
      </w:r>
      <w:r>
        <w:rPr>
          <w:rFonts w:ascii="Times New Roman" w:hAnsi="Times New Roman"/>
          <w:i/>
          <w:iCs/>
          <w:color w:val="222222"/>
          <w:sz w:val="24"/>
          <w:szCs w:val="24"/>
          <w:shd w:val="clear" w:color="auto" w:fill="FFFFFF"/>
        </w:rPr>
        <w:t>Interventions to increase youth employment: An evidence and gap map.</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Campbell Systematic Reviews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18</w:t>
      </w:r>
      <w:r>
        <w:rPr>
          <w:rFonts w:ascii="Times New Roman" w:hAnsi="Times New Roman"/>
          <w:color w:val="222222"/>
          <w:sz w:val="24"/>
          <w:szCs w:val="24"/>
          <w:shd w:val="clear" w:color="auto" w:fill="FFFFFF"/>
        </w:rPr>
        <w:t>(1), e1216.</w:t>
      </w:r>
    </w:p>
    <w:p w14:paraId="3F6B270E"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p>
    <w:p w14:paraId="0CC629D8"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sz w:val="24"/>
          <w:szCs w:val="24"/>
        </w:rPr>
        <w:t>https://www.ilo.org/wcmsp5/groups/public/@dgreports/@dcomm/documents/publication/wcms_732770.pdf</w:t>
      </w:r>
    </w:p>
    <w:p w14:paraId="293FEA35" w14:textId="77777777" w:rsidR="00CC7EFF" w:rsidRDefault="0030310C" w:rsidP="00CC7EFF">
      <w:pPr>
        <w:spacing w:after="120" w:line="480" w:lineRule="auto"/>
        <w:ind w:left="720" w:hanging="720"/>
        <w:jc w:val="both"/>
        <w:rPr>
          <w:rFonts w:ascii="Times New Roman" w:eastAsia="Times New Roman" w:hAnsi="Times New Roman"/>
          <w:color w:val="0D0D0D"/>
          <w:sz w:val="24"/>
          <w:szCs w:val="24"/>
          <w:lang w:val="zh-CN" w:eastAsia="zh-CN"/>
        </w:rPr>
      </w:pPr>
      <w:hyperlink r:id="rId8" w:history="1">
        <w:r w:rsidR="00CC7EFF">
          <w:rPr>
            <w:rStyle w:val="Hyperlink"/>
            <w:rFonts w:ascii="Times New Roman" w:hAnsi="Times New Roman"/>
            <w:sz w:val="24"/>
            <w:szCs w:val="24"/>
            <w:lang w:val="zh-CN" w:eastAsia="zh-CN"/>
          </w:rPr>
          <w:t>https://data.worldbank.org/indicator/SL.UEM.1524.ZS</w:t>
        </w:r>
      </w:hyperlink>
    </w:p>
    <w:p w14:paraId="1408C993" w14:textId="77777777" w:rsidR="00CC7EFF" w:rsidRDefault="0030310C" w:rsidP="00CC7EFF">
      <w:pPr>
        <w:spacing w:after="120" w:line="480" w:lineRule="auto"/>
        <w:ind w:left="720" w:hanging="720"/>
        <w:jc w:val="both"/>
        <w:rPr>
          <w:rFonts w:ascii="Times New Roman" w:hAnsi="Times New Roman"/>
          <w:sz w:val="24"/>
          <w:szCs w:val="24"/>
          <w:lang w:eastAsia="zh-CN"/>
        </w:rPr>
      </w:pPr>
      <w:hyperlink r:id="rId9" w:history="1">
        <w:r w:rsidR="00CC7EFF">
          <w:rPr>
            <w:rStyle w:val="Hyperlink"/>
            <w:rFonts w:ascii="Times New Roman" w:hAnsi="Times New Roman"/>
            <w:sz w:val="24"/>
            <w:szCs w:val="24"/>
            <w:lang w:eastAsia="zh-CN"/>
          </w:rPr>
          <w:t>https://www.un.org/development/desa/youth/wp-content/uploads/sites/21/2020/07/World-Youth-Report-2020.pdf</w:t>
        </w:r>
      </w:hyperlink>
    </w:p>
    <w:p w14:paraId="3029C978"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sz w:val="24"/>
          <w:szCs w:val="24"/>
        </w:rPr>
        <w:t xml:space="preserve">Robinson, C., &amp; Pope, R. (2023). </w:t>
      </w:r>
      <w:r>
        <w:rPr>
          <w:rFonts w:ascii="Times New Roman" w:hAnsi="Times New Roman"/>
          <w:i/>
          <w:iCs/>
          <w:sz w:val="24"/>
          <w:szCs w:val="24"/>
        </w:rPr>
        <w:t xml:space="preserve">Diversity, Democracy and Social Justice in Education. </w:t>
      </w:r>
      <w:r>
        <w:rPr>
          <w:rFonts w:ascii="Times New Roman" w:hAnsi="Times New Roman"/>
          <w:sz w:val="24"/>
          <w:szCs w:val="24"/>
        </w:rPr>
        <w:t xml:space="preserve">International Encyclopedia of Education, 4. </w:t>
      </w:r>
    </w:p>
    <w:p w14:paraId="4E22DBDB"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Hartmann, M., &amp; Langan, T. (2018). </w:t>
      </w:r>
      <w:r>
        <w:rPr>
          <w:rFonts w:ascii="Times New Roman" w:hAnsi="Times New Roman"/>
          <w:i/>
          <w:iCs/>
          <w:color w:val="222222"/>
          <w:sz w:val="24"/>
          <w:szCs w:val="24"/>
          <w:shd w:val="clear" w:color="auto" w:fill="FFFFFF"/>
        </w:rPr>
        <w:t>Common Good Through the Lens of Catholic Social Teaching</w:t>
      </w:r>
      <w:r>
        <w:rPr>
          <w:rFonts w:ascii="Times New Roman" w:hAnsi="Times New Roman"/>
          <w:color w:val="222222"/>
          <w:sz w:val="24"/>
          <w:szCs w:val="24"/>
          <w:shd w:val="clear" w:color="auto" w:fill="FFFFFF"/>
        </w:rPr>
        <w:t>: A Case Study for Principles of Macroeconomics.</w:t>
      </w:r>
    </w:p>
    <w:p w14:paraId="2A59438A"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sz w:val="24"/>
          <w:szCs w:val="24"/>
        </w:rPr>
        <w:t xml:space="preserve">Berman, M. 1996, </w:t>
      </w:r>
      <w:r>
        <w:rPr>
          <w:rFonts w:ascii="Times New Roman" w:hAnsi="Times New Roman"/>
          <w:i/>
          <w:iCs/>
          <w:sz w:val="24"/>
          <w:szCs w:val="24"/>
        </w:rPr>
        <w:t>“The shadow Side of Systems Theory”</w:t>
      </w:r>
      <w:r>
        <w:rPr>
          <w:rFonts w:ascii="Times New Roman" w:hAnsi="Times New Roman"/>
          <w:sz w:val="24"/>
          <w:szCs w:val="24"/>
        </w:rPr>
        <w:t>, Journal of Humanistic Psychology, Vol. 36, issue 1, pp27-55.</w:t>
      </w:r>
    </w:p>
    <w:p w14:paraId="3D80DCF3" w14:textId="77777777" w:rsidR="00CC7EFF" w:rsidRDefault="00CC7EFF" w:rsidP="00CC7EFF">
      <w:pPr>
        <w:pStyle w:val="NormalWeb"/>
        <w:ind w:left="720" w:hanging="720"/>
        <w:jc w:val="both"/>
      </w:pPr>
      <w:r>
        <w:rPr>
          <w:rStyle w:val="Strong"/>
        </w:rPr>
        <w:t xml:space="preserve">Berman, M. (1996). The shadow side of systems theory. </w:t>
      </w:r>
      <w:r>
        <w:rPr>
          <w:rStyle w:val="Emphasis"/>
        </w:rPr>
        <w:t>Journal of Humanistic Psychology, 36</w:t>
      </w:r>
      <w:r>
        <w:rPr>
          <w:rStyle w:val="Strong"/>
        </w:rPr>
        <w:t xml:space="preserve">(1), 27–55. </w:t>
      </w:r>
      <w:hyperlink r:id="rId10" w:history="1">
        <w:r>
          <w:rPr>
            <w:rStyle w:val="Hyperlink"/>
          </w:rPr>
          <w:t>https://doi.org/10.1177/00221678960361003</w:t>
        </w:r>
      </w:hyperlink>
    </w:p>
    <w:p w14:paraId="13A92BA0"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lang w:val="it-IT"/>
        </w:rPr>
        <w:lastRenderedPageBreak/>
        <w:t xml:space="preserve">Kluve, J., Puerto, S., Robalino, D., Romero, J. M., Rother, F., Stoeterau, J., ... </w:t>
      </w:r>
      <w:r>
        <w:rPr>
          <w:rFonts w:ascii="Times New Roman" w:hAnsi="Times New Roman"/>
          <w:color w:val="222222"/>
          <w:sz w:val="24"/>
          <w:szCs w:val="24"/>
          <w:shd w:val="clear" w:color="auto" w:fill="FFFFFF"/>
        </w:rPr>
        <w:t xml:space="preserve">&amp; Witte, M. (2017). </w:t>
      </w:r>
      <w:r>
        <w:rPr>
          <w:rFonts w:ascii="Times New Roman" w:hAnsi="Times New Roman"/>
          <w:i/>
          <w:iCs/>
          <w:color w:val="222222"/>
          <w:sz w:val="24"/>
          <w:szCs w:val="24"/>
          <w:shd w:val="clear" w:color="auto" w:fill="FFFFFF"/>
        </w:rPr>
        <w:t>Interventions to improve the labour market outcomes of youth: A systematic review of training, entrepreneurship promotion, employment services and subsidized employment interventions</w:t>
      </w:r>
      <w:r>
        <w:rPr>
          <w:rFonts w:ascii="Times New Roman" w:hAnsi="Times New Roman"/>
          <w:color w:val="222222"/>
          <w:sz w:val="24"/>
          <w:szCs w:val="24"/>
          <w:shd w:val="clear" w:color="auto" w:fill="FFFFFF"/>
        </w:rPr>
        <w:t>. Campbell Systematic Reviews, 13(1), 1-288.</w:t>
      </w:r>
    </w:p>
    <w:p w14:paraId="5BFB4854" w14:textId="77777777" w:rsidR="00CC7EFF" w:rsidRDefault="00CC7EFF" w:rsidP="00CC7EFF">
      <w:pPr>
        <w:spacing w:after="0" w:line="48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auto" w:fill="FFFFFF"/>
        </w:rPr>
        <w:t>Hillage</w:t>
      </w:r>
      <w:proofErr w:type="spellEnd"/>
      <w:r>
        <w:rPr>
          <w:rFonts w:ascii="Times New Roman" w:hAnsi="Times New Roman"/>
          <w:color w:val="222222"/>
          <w:sz w:val="24"/>
          <w:szCs w:val="24"/>
          <w:shd w:val="clear" w:color="auto" w:fill="FFFFFF"/>
        </w:rPr>
        <w:t>, J., &amp; Pollard, E. (1998). </w:t>
      </w:r>
      <w:r>
        <w:rPr>
          <w:rFonts w:ascii="Times New Roman" w:hAnsi="Times New Roman"/>
          <w:i/>
          <w:iCs/>
          <w:color w:val="222222"/>
          <w:sz w:val="24"/>
          <w:szCs w:val="24"/>
          <w:shd w:val="clear" w:color="auto" w:fill="FFFFFF"/>
        </w:rPr>
        <w:t>Employability: developing a framework for policy analysis</w:t>
      </w:r>
      <w:r>
        <w:rPr>
          <w:rFonts w:ascii="Times New Roman" w:hAnsi="Times New Roman"/>
          <w:color w:val="222222"/>
          <w:sz w:val="24"/>
          <w:szCs w:val="24"/>
          <w:shd w:val="clear" w:color="auto" w:fill="FFFFFF"/>
        </w:rPr>
        <w:t xml:space="preserve"> (Vol. 107). London: </w:t>
      </w:r>
      <w:proofErr w:type="spellStart"/>
      <w:r>
        <w:rPr>
          <w:rFonts w:ascii="Times New Roman" w:hAnsi="Times New Roman"/>
          <w:color w:val="222222"/>
          <w:sz w:val="24"/>
          <w:szCs w:val="24"/>
          <w:shd w:val="clear" w:color="auto" w:fill="FFFFFF"/>
        </w:rPr>
        <w:t>DfEE</w:t>
      </w:r>
      <w:proofErr w:type="spellEnd"/>
      <w:r>
        <w:rPr>
          <w:rFonts w:ascii="Times New Roman" w:hAnsi="Times New Roman"/>
          <w:color w:val="222222"/>
          <w:sz w:val="24"/>
          <w:szCs w:val="24"/>
          <w:shd w:val="clear" w:color="auto" w:fill="FFFFFF"/>
        </w:rPr>
        <w:t>.</w:t>
      </w:r>
    </w:p>
    <w:p w14:paraId="5212A8FD"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Hargie, O. (2021). </w:t>
      </w:r>
      <w:r>
        <w:rPr>
          <w:rFonts w:ascii="Times New Roman" w:hAnsi="Times New Roman"/>
          <w:i/>
          <w:iCs/>
          <w:color w:val="222222"/>
          <w:sz w:val="24"/>
          <w:szCs w:val="24"/>
          <w:shd w:val="clear" w:color="auto" w:fill="FFFFFF"/>
        </w:rPr>
        <w:t>Skilled interpersonal communication: Research, theory and practice</w:t>
      </w:r>
      <w:r>
        <w:rPr>
          <w:rFonts w:ascii="Times New Roman" w:hAnsi="Times New Roman"/>
          <w:color w:val="222222"/>
          <w:sz w:val="24"/>
          <w:szCs w:val="24"/>
          <w:shd w:val="clear" w:color="auto" w:fill="FFFFFF"/>
        </w:rPr>
        <w:t>. Routledge.</w:t>
      </w:r>
    </w:p>
    <w:p w14:paraId="30E9D005"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Katzenbach, J. R., &amp; Smith, D. K. (2015). </w:t>
      </w:r>
      <w:r>
        <w:rPr>
          <w:rFonts w:ascii="Times New Roman" w:hAnsi="Times New Roman"/>
          <w:i/>
          <w:iCs/>
          <w:color w:val="222222"/>
          <w:sz w:val="24"/>
          <w:szCs w:val="24"/>
          <w:shd w:val="clear" w:color="auto" w:fill="FFFFFF"/>
        </w:rPr>
        <w:t>The wisdom of teams: Creating the high-performance organization</w:t>
      </w:r>
      <w:r>
        <w:rPr>
          <w:rFonts w:ascii="Times New Roman" w:hAnsi="Times New Roman"/>
          <w:color w:val="222222"/>
          <w:sz w:val="24"/>
          <w:szCs w:val="24"/>
          <w:shd w:val="clear" w:color="auto" w:fill="FFFFFF"/>
        </w:rPr>
        <w:t>. Harvard Business Review Press.</w:t>
      </w:r>
    </w:p>
    <w:p w14:paraId="14DE2F0E"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Sosik, J. J., Potosky, D., &amp; Jung, D. I. (2002). </w:t>
      </w:r>
      <w:r>
        <w:rPr>
          <w:rFonts w:ascii="Times New Roman" w:hAnsi="Times New Roman"/>
          <w:i/>
          <w:iCs/>
          <w:color w:val="222222"/>
          <w:sz w:val="24"/>
          <w:szCs w:val="24"/>
          <w:shd w:val="clear" w:color="auto" w:fill="FFFFFF"/>
        </w:rPr>
        <w:t>Adaptive self-regulation: Meeting others' expectations of leadership and performance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The Journal of Social Psychology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142</w:t>
      </w:r>
      <w:r>
        <w:rPr>
          <w:rFonts w:ascii="Times New Roman" w:hAnsi="Times New Roman"/>
          <w:color w:val="222222"/>
          <w:sz w:val="24"/>
          <w:szCs w:val="24"/>
          <w:shd w:val="clear" w:color="auto" w:fill="FFFFFF"/>
        </w:rPr>
        <w:t>(2), 211-232.</w:t>
      </w:r>
    </w:p>
    <w:p w14:paraId="2ABFDA65"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Macan, T. H., Shahani, C., </w:t>
      </w:r>
      <w:proofErr w:type="spellStart"/>
      <w:r>
        <w:rPr>
          <w:rFonts w:ascii="Times New Roman" w:hAnsi="Times New Roman"/>
          <w:color w:val="222222"/>
          <w:sz w:val="24"/>
          <w:szCs w:val="24"/>
          <w:shd w:val="clear" w:color="auto" w:fill="FFFFFF"/>
        </w:rPr>
        <w:t>Dipboye</w:t>
      </w:r>
      <w:proofErr w:type="spellEnd"/>
      <w:r>
        <w:rPr>
          <w:rFonts w:ascii="Times New Roman" w:hAnsi="Times New Roman"/>
          <w:color w:val="222222"/>
          <w:sz w:val="24"/>
          <w:szCs w:val="24"/>
          <w:shd w:val="clear" w:color="auto" w:fill="FFFFFF"/>
        </w:rPr>
        <w:t xml:space="preserve">, R. L., &amp; Phillips, A. P. (1990). </w:t>
      </w:r>
      <w:r>
        <w:rPr>
          <w:rFonts w:ascii="Times New Roman" w:hAnsi="Times New Roman"/>
          <w:i/>
          <w:iCs/>
          <w:color w:val="222222"/>
          <w:sz w:val="24"/>
          <w:szCs w:val="24"/>
          <w:shd w:val="clear" w:color="auto" w:fill="FFFFFF"/>
        </w:rPr>
        <w:t>College students' time management: Correlations with academic performance and stress.</w:t>
      </w:r>
      <w:r>
        <w:rPr>
          <w:rFonts w:ascii="Times New Roman" w:hAnsi="Times New Roman"/>
          <w:color w:val="222222"/>
          <w:sz w:val="24"/>
          <w:szCs w:val="24"/>
          <w:shd w:val="clear" w:color="auto" w:fill="FFFFFF"/>
        </w:rPr>
        <w:t> Journal of educational psychology, 82(4), 760.</w:t>
      </w:r>
    </w:p>
    <w:p w14:paraId="1D2A11E9"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Erstad, O. (2015). </w:t>
      </w:r>
      <w:r>
        <w:rPr>
          <w:rFonts w:ascii="Times New Roman" w:hAnsi="Times New Roman"/>
          <w:i/>
          <w:iCs/>
          <w:color w:val="222222"/>
          <w:sz w:val="24"/>
          <w:szCs w:val="24"/>
          <w:shd w:val="clear" w:color="auto" w:fill="FFFFFF"/>
        </w:rPr>
        <w:t>The learning lives of digital youth—beyond the formal and informal.</w:t>
      </w:r>
      <w:r>
        <w:rPr>
          <w:rFonts w:ascii="Times New Roman" w:hAnsi="Times New Roman"/>
          <w:color w:val="222222"/>
          <w:sz w:val="24"/>
          <w:szCs w:val="24"/>
          <w:shd w:val="clear" w:color="auto" w:fill="FFFFFF"/>
        </w:rPr>
        <w:t xml:space="preserve"> In </w:t>
      </w:r>
      <w:r>
        <w:rPr>
          <w:rFonts w:ascii="Times New Roman" w:hAnsi="Times New Roman"/>
          <w:i/>
          <w:iCs/>
          <w:color w:val="222222"/>
          <w:sz w:val="24"/>
          <w:szCs w:val="24"/>
          <w:shd w:val="clear" w:color="auto" w:fill="FFFFFF"/>
        </w:rPr>
        <w:t>Digital Technologies in the Lives of Young People</w:t>
      </w:r>
      <w:r>
        <w:rPr>
          <w:rFonts w:ascii="Times New Roman" w:hAnsi="Times New Roman"/>
          <w:color w:val="222222"/>
          <w:sz w:val="24"/>
          <w:szCs w:val="24"/>
          <w:shd w:val="clear" w:color="auto" w:fill="FFFFFF"/>
        </w:rPr>
        <w:t> (pp. 25-43). Routledge.</w:t>
      </w:r>
    </w:p>
    <w:p w14:paraId="71FDDA7A"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Canton, H. (2021). International Labour Organization—ILO. In </w:t>
      </w:r>
      <w:r>
        <w:rPr>
          <w:rFonts w:ascii="Times New Roman" w:hAnsi="Times New Roman"/>
          <w:i/>
          <w:iCs/>
          <w:color w:val="222222"/>
          <w:sz w:val="24"/>
          <w:szCs w:val="24"/>
          <w:shd w:val="clear" w:color="auto" w:fill="FFFFFF"/>
        </w:rPr>
        <w:t>The Europa Directory of International Organizations 2021</w:t>
      </w:r>
      <w:r>
        <w:rPr>
          <w:rFonts w:ascii="Times New Roman" w:hAnsi="Times New Roman"/>
          <w:color w:val="222222"/>
          <w:sz w:val="24"/>
          <w:szCs w:val="24"/>
          <w:shd w:val="clear" w:color="auto" w:fill="FFFFFF"/>
        </w:rPr>
        <w:t> (pp. 333-338). Routledge.</w:t>
      </w:r>
    </w:p>
    <w:p w14:paraId="32B37B6C" w14:textId="77777777" w:rsidR="00CC7EFF" w:rsidRDefault="00CC7EFF" w:rsidP="00CC7EFF">
      <w:pPr>
        <w:pStyle w:val="ListParagraph"/>
        <w:spacing w:line="480" w:lineRule="auto"/>
        <w:ind w:hanging="720"/>
        <w:jc w:val="both"/>
        <w:rPr>
          <w:rFonts w:ascii="Times New Roman" w:hAnsi="Times New Roman"/>
          <w:sz w:val="24"/>
          <w:szCs w:val="24"/>
        </w:rPr>
      </w:pPr>
    </w:p>
    <w:p w14:paraId="2A92B6E0" w14:textId="77777777" w:rsidR="00CC7EFF" w:rsidRDefault="00CC7EFF" w:rsidP="00CC7EFF">
      <w:pPr>
        <w:pStyle w:val="ListParagraph"/>
        <w:spacing w:line="480" w:lineRule="auto"/>
        <w:ind w:hanging="720"/>
        <w:jc w:val="both"/>
        <w:rPr>
          <w:rFonts w:ascii="Times New Roman" w:hAnsi="Times New Roman"/>
          <w:i/>
          <w:iCs/>
          <w:sz w:val="24"/>
          <w:szCs w:val="24"/>
        </w:rPr>
      </w:pPr>
      <w:r>
        <w:rPr>
          <w:rFonts w:ascii="Times New Roman" w:hAnsi="Times New Roman"/>
          <w:sz w:val="24"/>
          <w:szCs w:val="24"/>
        </w:rPr>
        <w:t xml:space="preserve">Fares, J.; Puerto, O.S. (2009). </w:t>
      </w:r>
      <w:r>
        <w:rPr>
          <w:rFonts w:ascii="Times New Roman" w:hAnsi="Times New Roman"/>
          <w:i/>
          <w:iCs/>
          <w:sz w:val="24"/>
          <w:szCs w:val="24"/>
        </w:rPr>
        <w:t xml:space="preserve">Towards comprehensive training, SP Discussion Paper No. 0924 (Washington, The World Bank). </w:t>
      </w:r>
    </w:p>
    <w:p w14:paraId="597E84A4" w14:textId="77777777" w:rsidR="00CC7EFF" w:rsidRDefault="00CC7EFF" w:rsidP="00CC7EFF">
      <w:pPr>
        <w:pStyle w:val="ListParagraph"/>
        <w:spacing w:line="480" w:lineRule="auto"/>
        <w:ind w:hanging="720"/>
        <w:jc w:val="both"/>
        <w:rPr>
          <w:rFonts w:ascii="Times New Roman" w:hAnsi="Times New Roman"/>
          <w:sz w:val="24"/>
          <w:szCs w:val="24"/>
        </w:rPr>
      </w:pPr>
      <w:r>
        <w:rPr>
          <w:rFonts w:ascii="Times New Roman" w:hAnsi="Times New Roman"/>
          <w:sz w:val="24"/>
          <w:szCs w:val="24"/>
        </w:rPr>
        <w:lastRenderedPageBreak/>
        <w:t xml:space="preserve">Organization for Economic Co-operation and Development. (2009). </w:t>
      </w:r>
      <w:r>
        <w:rPr>
          <w:rFonts w:ascii="Times New Roman" w:hAnsi="Times New Roman"/>
          <w:i/>
          <w:iCs/>
          <w:sz w:val="24"/>
          <w:szCs w:val="24"/>
        </w:rPr>
        <w:t>Tackling the jobs crisis: The labour market and social policy response,</w:t>
      </w:r>
      <w:r>
        <w:rPr>
          <w:rFonts w:ascii="Times New Roman" w:hAnsi="Times New Roman"/>
          <w:sz w:val="24"/>
          <w:szCs w:val="24"/>
        </w:rPr>
        <w:t xml:space="preserve"> Background Document presented at the OECD Labour and Employment Ministerial Meeting, Paris, 28–9 Sept. </w:t>
      </w:r>
    </w:p>
    <w:p w14:paraId="65B37C8A" w14:textId="77777777" w:rsidR="00CC7EFF" w:rsidRPr="00835A23" w:rsidRDefault="00CC7EFF" w:rsidP="00CC7EFF">
      <w:pPr>
        <w:pStyle w:val="ListParagraph"/>
        <w:spacing w:line="480" w:lineRule="auto"/>
        <w:ind w:hanging="720"/>
        <w:jc w:val="both"/>
        <w:rPr>
          <w:rFonts w:ascii="Times New Roman" w:hAnsi="Times New Roman"/>
          <w:sz w:val="24"/>
          <w:szCs w:val="24"/>
        </w:rPr>
      </w:pPr>
      <w:r w:rsidRPr="00835A23">
        <w:rPr>
          <w:rStyle w:val="Strong"/>
          <w:rFonts w:ascii="Times New Roman" w:hAnsi="Times New Roman"/>
          <w:b w:val="0"/>
          <w:sz w:val="24"/>
          <w:szCs w:val="24"/>
        </w:rPr>
        <w:t>UNESCO. (2010).</w:t>
      </w:r>
      <w:r w:rsidRPr="00835A23">
        <w:rPr>
          <w:rFonts w:ascii="Times New Roman" w:hAnsi="Times New Roman"/>
          <w:sz w:val="24"/>
          <w:szCs w:val="24"/>
        </w:rPr>
        <w:t xml:space="preserve"> </w:t>
      </w:r>
      <w:r w:rsidRPr="00835A23">
        <w:rPr>
          <w:rStyle w:val="Emphasis"/>
          <w:sz w:val="24"/>
          <w:szCs w:val="24"/>
        </w:rPr>
        <w:t>Reaching the marginalized: EFA global monitoring report 2010</w:t>
      </w:r>
      <w:r w:rsidRPr="00835A23">
        <w:rPr>
          <w:rFonts w:ascii="Times New Roman" w:hAnsi="Times New Roman"/>
          <w:sz w:val="24"/>
          <w:szCs w:val="24"/>
        </w:rPr>
        <w:t>. UNESCO.</w:t>
      </w:r>
    </w:p>
    <w:p w14:paraId="31BDA8BA" w14:textId="77777777" w:rsidR="00CC7EFF" w:rsidRPr="00835A23" w:rsidRDefault="00CC7EFF" w:rsidP="00CC7EFF">
      <w:pPr>
        <w:pStyle w:val="ListParagraph"/>
        <w:spacing w:line="480" w:lineRule="auto"/>
        <w:ind w:hanging="720"/>
        <w:jc w:val="both"/>
        <w:rPr>
          <w:rFonts w:ascii="Times New Roman" w:hAnsi="Times New Roman"/>
          <w:sz w:val="24"/>
          <w:szCs w:val="24"/>
        </w:rPr>
      </w:pPr>
      <w:r w:rsidRPr="00835A23">
        <w:rPr>
          <w:rStyle w:val="Strong"/>
          <w:rFonts w:ascii="Times New Roman" w:hAnsi="Times New Roman"/>
          <w:b w:val="0"/>
          <w:sz w:val="24"/>
          <w:szCs w:val="24"/>
        </w:rPr>
        <w:t>World Bank Institute. (2006).</w:t>
      </w:r>
      <w:r w:rsidRPr="00835A23">
        <w:rPr>
          <w:rFonts w:ascii="Times New Roman" w:hAnsi="Times New Roman"/>
          <w:sz w:val="24"/>
          <w:szCs w:val="24"/>
        </w:rPr>
        <w:t xml:space="preserve"> </w:t>
      </w:r>
      <w:r w:rsidRPr="00835A23">
        <w:rPr>
          <w:rStyle w:val="Emphasis"/>
          <w:sz w:val="24"/>
          <w:szCs w:val="24"/>
        </w:rPr>
        <w:t>Investment climate capacity enhancement program</w:t>
      </w:r>
      <w:r w:rsidRPr="00835A23">
        <w:rPr>
          <w:rFonts w:ascii="Times New Roman" w:hAnsi="Times New Roman"/>
          <w:sz w:val="24"/>
          <w:szCs w:val="24"/>
        </w:rPr>
        <w:t>. World Bank.</w:t>
      </w:r>
    </w:p>
    <w:p w14:paraId="53FEC54E" w14:textId="77777777" w:rsidR="00CC7EFF" w:rsidRDefault="00CC7EFF" w:rsidP="00CC7EFF">
      <w:pPr>
        <w:pStyle w:val="ListParagraph"/>
        <w:spacing w:line="480" w:lineRule="auto"/>
        <w:ind w:hanging="720"/>
        <w:jc w:val="both"/>
        <w:rPr>
          <w:rFonts w:ascii="Times New Roman" w:hAnsi="Times New Roman"/>
          <w:sz w:val="24"/>
          <w:szCs w:val="24"/>
        </w:rPr>
      </w:pPr>
      <w:r w:rsidRPr="00835A23">
        <w:rPr>
          <w:rStyle w:val="Strong"/>
          <w:rFonts w:ascii="Times New Roman" w:hAnsi="Times New Roman"/>
          <w:b w:val="0"/>
          <w:sz w:val="24"/>
          <w:szCs w:val="24"/>
        </w:rPr>
        <w:t>Tzannatos, Z. (2011, October).</w:t>
      </w:r>
      <w:r w:rsidRPr="00835A23">
        <w:rPr>
          <w:rFonts w:ascii="Times New Roman" w:hAnsi="Times New Roman"/>
          <w:sz w:val="24"/>
          <w:szCs w:val="24"/>
        </w:rPr>
        <w:t xml:space="preserve"> </w:t>
      </w:r>
      <w:r w:rsidRPr="00835A23">
        <w:rPr>
          <w:rStyle w:val="Emphasis"/>
          <w:sz w:val="24"/>
          <w:szCs w:val="24"/>
        </w:rPr>
        <w:t>Employment, vulnerability, social protection and the crisis of</w:t>
      </w:r>
      <w:r>
        <w:rPr>
          <w:rStyle w:val="Emphasis"/>
          <w:sz w:val="24"/>
          <w:szCs w:val="24"/>
        </w:rPr>
        <w:t xml:space="preserve"> Arab economic reforms</w:t>
      </w:r>
      <w:r>
        <w:rPr>
          <w:rFonts w:ascii="Times New Roman" w:hAnsi="Times New Roman"/>
          <w:sz w:val="24"/>
          <w:szCs w:val="24"/>
        </w:rPr>
        <w:t xml:space="preserve">. In K. Abu-Ismail et al. (Eds.), </w:t>
      </w:r>
      <w:r>
        <w:rPr>
          <w:rStyle w:val="Emphasis"/>
          <w:sz w:val="24"/>
          <w:szCs w:val="24"/>
        </w:rPr>
        <w:t>Arab development challenges background paper 2011</w:t>
      </w:r>
      <w:r>
        <w:rPr>
          <w:rFonts w:ascii="Times New Roman" w:hAnsi="Times New Roman"/>
          <w:sz w:val="24"/>
          <w:szCs w:val="24"/>
        </w:rPr>
        <w:t>. International Labour Office.</w:t>
      </w:r>
    </w:p>
    <w:p w14:paraId="6FE42417" w14:textId="77777777" w:rsidR="00CC7EFF" w:rsidRDefault="00CC7EFF" w:rsidP="00CC7EFF">
      <w:pPr>
        <w:pStyle w:val="ListParagraph"/>
        <w:spacing w:line="480" w:lineRule="auto"/>
        <w:ind w:hanging="720"/>
        <w:jc w:val="both"/>
        <w:rPr>
          <w:rFonts w:ascii="Times New Roman" w:hAnsi="Times New Roman"/>
          <w:sz w:val="24"/>
          <w:szCs w:val="24"/>
        </w:rPr>
      </w:pPr>
      <w:r w:rsidRPr="00835A23">
        <w:rPr>
          <w:rStyle w:val="Strong"/>
          <w:rFonts w:ascii="Times New Roman" w:hAnsi="Times New Roman"/>
          <w:b w:val="0"/>
          <w:sz w:val="24"/>
          <w:szCs w:val="24"/>
        </w:rPr>
        <w:t>Kawar, M. (2011)</w:t>
      </w:r>
      <w:r>
        <w:rPr>
          <w:rStyle w:val="Strong"/>
          <w:rFonts w:ascii="Times New Roman" w:hAnsi="Times New Roman"/>
          <w:sz w:val="24"/>
          <w:szCs w:val="24"/>
        </w:rPr>
        <w:t>.</w:t>
      </w:r>
      <w:r>
        <w:rPr>
          <w:rFonts w:ascii="Times New Roman" w:hAnsi="Times New Roman"/>
          <w:sz w:val="24"/>
          <w:szCs w:val="24"/>
        </w:rPr>
        <w:t xml:space="preserve"> </w:t>
      </w:r>
      <w:r>
        <w:rPr>
          <w:rStyle w:val="Emphasis"/>
          <w:sz w:val="24"/>
          <w:szCs w:val="24"/>
        </w:rPr>
        <w:t>Skills development for job creation, economic growth and poverty reduction: Background paper</w:t>
      </w:r>
      <w:r>
        <w:rPr>
          <w:rFonts w:ascii="Times New Roman" w:hAnsi="Times New Roman"/>
          <w:sz w:val="24"/>
          <w:szCs w:val="24"/>
        </w:rPr>
        <w:t>. International Labour Office</w:t>
      </w:r>
    </w:p>
    <w:p w14:paraId="1E496FA2"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Papadakis, N. </w:t>
      </w:r>
      <w:r>
        <w:rPr>
          <w:rFonts w:ascii="Times New Roman" w:hAnsi="Times New Roman"/>
          <w:i/>
          <w:iCs/>
          <w:color w:val="222222"/>
          <w:sz w:val="24"/>
          <w:szCs w:val="24"/>
          <w:shd w:val="clear" w:color="auto" w:fill="FFFFFF"/>
        </w:rPr>
        <w:t xml:space="preserve">The Changing Labour Market and the Demand for Creativity-Related Competences: </w:t>
      </w:r>
      <w:r>
        <w:rPr>
          <w:rFonts w:ascii="Times New Roman" w:hAnsi="Times New Roman"/>
          <w:color w:val="222222"/>
          <w:sz w:val="24"/>
          <w:szCs w:val="24"/>
          <w:shd w:val="clear" w:color="auto" w:fill="FFFFFF"/>
        </w:rPr>
        <w:t>The EU Key Competences Framework and the European State of Play Concerning Creativity Development.</w:t>
      </w:r>
    </w:p>
    <w:p w14:paraId="024C5546"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Hogarth, T., &amp; Gambin, L. (2018). Aligning school to work: </w:t>
      </w:r>
      <w:r>
        <w:rPr>
          <w:rFonts w:ascii="Times New Roman" w:hAnsi="Times New Roman"/>
          <w:i/>
          <w:iCs/>
          <w:color w:val="222222"/>
          <w:sz w:val="24"/>
          <w:szCs w:val="24"/>
          <w:shd w:val="clear" w:color="auto" w:fill="FFFFFF"/>
        </w:rPr>
        <w:t>Assessing the impact of employer engagement in young people’s transitions from education to work. In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Essays on Employer Engagement in Education</w:t>
      </w:r>
      <w:r>
        <w:rPr>
          <w:rFonts w:ascii="Times New Roman" w:hAnsi="Times New Roman"/>
          <w:color w:val="222222"/>
          <w:sz w:val="24"/>
          <w:szCs w:val="24"/>
          <w:shd w:val="clear" w:color="auto" w:fill="FFFFFF"/>
        </w:rPr>
        <w:t> (pp. 142-157). Routledge.</w:t>
      </w:r>
    </w:p>
    <w:p w14:paraId="4570137B"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OECD. (2021). </w:t>
      </w:r>
      <w:r>
        <w:rPr>
          <w:rFonts w:ascii="Times New Roman" w:hAnsi="Times New Roman"/>
          <w:i/>
          <w:iCs/>
          <w:color w:val="222222"/>
          <w:sz w:val="24"/>
          <w:szCs w:val="24"/>
          <w:shd w:val="clear" w:color="auto" w:fill="FFFFFF"/>
        </w:rPr>
        <w:t>OECD Reviews of Vocational Education and Training Vocational Education and Training in Thailand</w:t>
      </w:r>
      <w:r>
        <w:rPr>
          <w:rFonts w:ascii="Times New Roman" w:hAnsi="Times New Roman"/>
          <w:color w:val="222222"/>
          <w:sz w:val="24"/>
          <w:szCs w:val="24"/>
          <w:shd w:val="clear" w:color="auto" w:fill="FFFFFF"/>
        </w:rPr>
        <w:t>. OECD Publishing.</w:t>
      </w:r>
    </w:p>
    <w:p w14:paraId="77A8203D"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Wanberg, C. R., Kanfer, R., &amp; Banas, J. T. (2000). Predictors and outcomes of networking intensity among unemployed job seekers. </w:t>
      </w:r>
      <w:r>
        <w:rPr>
          <w:rFonts w:ascii="Times New Roman" w:hAnsi="Times New Roman"/>
          <w:i/>
          <w:iCs/>
          <w:color w:val="222222"/>
          <w:sz w:val="24"/>
          <w:szCs w:val="24"/>
          <w:shd w:val="clear" w:color="auto" w:fill="FFFFFF"/>
        </w:rPr>
        <w:t>Journal of Applied Psychology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85</w:t>
      </w:r>
      <w:r>
        <w:rPr>
          <w:rFonts w:ascii="Times New Roman" w:hAnsi="Times New Roman"/>
          <w:color w:val="222222"/>
          <w:sz w:val="24"/>
          <w:szCs w:val="24"/>
          <w:shd w:val="clear" w:color="auto" w:fill="FFFFFF"/>
        </w:rPr>
        <w:t>(4), 491.</w:t>
      </w:r>
    </w:p>
    <w:p w14:paraId="07E9AABE"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Autor, D. H. (2019, May). </w:t>
      </w:r>
      <w:r>
        <w:rPr>
          <w:rFonts w:ascii="Times New Roman" w:hAnsi="Times New Roman"/>
          <w:i/>
          <w:iCs/>
          <w:color w:val="222222"/>
          <w:sz w:val="24"/>
          <w:szCs w:val="24"/>
          <w:shd w:val="clear" w:color="auto" w:fill="FFFFFF"/>
        </w:rPr>
        <w:t>Work of the Past, Work of the Future</w:t>
      </w:r>
      <w:r>
        <w:rPr>
          <w:rFonts w:ascii="Times New Roman" w:hAnsi="Times New Roman"/>
          <w:color w:val="222222"/>
          <w:sz w:val="24"/>
          <w:szCs w:val="24"/>
          <w:shd w:val="clear" w:color="auto" w:fill="FFFFFF"/>
        </w:rPr>
        <w:t>. In </w:t>
      </w:r>
      <w:r>
        <w:rPr>
          <w:rFonts w:ascii="Times New Roman" w:hAnsi="Times New Roman"/>
          <w:i/>
          <w:iCs/>
          <w:color w:val="222222"/>
          <w:sz w:val="24"/>
          <w:szCs w:val="24"/>
          <w:shd w:val="clear" w:color="auto" w:fill="FFFFFF"/>
        </w:rPr>
        <w:t>AEA Papers and Proceedings</w:t>
      </w:r>
      <w:r>
        <w:rPr>
          <w:rFonts w:ascii="Times New Roman" w:hAnsi="Times New Roman"/>
          <w:color w:val="222222"/>
          <w:sz w:val="24"/>
          <w:szCs w:val="24"/>
          <w:shd w:val="clear" w:color="auto" w:fill="FFFFFF"/>
        </w:rPr>
        <w:t> (Vol. 109, pp. 1-32). 2014 Broadway, Suite 305, Nashville, TN 37203: American Economic Association.</w:t>
      </w:r>
    </w:p>
    <w:p w14:paraId="2A47E1C3"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Autor, D. H. (2019, May). </w:t>
      </w:r>
      <w:r>
        <w:rPr>
          <w:rFonts w:ascii="Times New Roman" w:hAnsi="Times New Roman"/>
          <w:i/>
          <w:iCs/>
          <w:color w:val="222222"/>
          <w:sz w:val="24"/>
          <w:szCs w:val="24"/>
          <w:shd w:val="clear" w:color="auto" w:fill="FFFFFF"/>
        </w:rPr>
        <w:t>Work of the past, work of the future. AEA Papers and Proceedings, 109, 1–32</w:t>
      </w:r>
      <w:r>
        <w:rPr>
          <w:rFonts w:ascii="Times New Roman" w:hAnsi="Times New Roman"/>
          <w:color w:val="222222"/>
          <w:sz w:val="24"/>
          <w:szCs w:val="24"/>
          <w:shd w:val="clear" w:color="auto" w:fill="FFFFFF"/>
        </w:rPr>
        <w:t>. https://doi.org/10.1257/pandp.20191110</w:t>
      </w:r>
    </w:p>
    <w:p w14:paraId="22ACCC29"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t xml:space="preserve">Baron, R. M., &amp; Kenny, D. A. (1986). </w:t>
      </w:r>
      <w:r>
        <w:rPr>
          <w:rFonts w:ascii="Times New Roman" w:hAnsi="Times New Roman"/>
          <w:i/>
          <w:iCs/>
          <w:sz w:val="24"/>
          <w:szCs w:val="24"/>
        </w:rPr>
        <w:t>The moderator-mediator variable distinction in social psychological research: Conceptual, strategic, and statistical considerations</w:t>
      </w:r>
      <w:r>
        <w:rPr>
          <w:rFonts w:ascii="Times New Roman" w:hAnsi="Times New Roman"/>
          <w:sz w:val="24"/>
          <w:szCs w:val="24"/>
        </w:rPr>
        <w:t>. Journal of Personality and Social Psychology, 51(6), 1173–1182.</w:t>
      </w:r>
    </w:p>
    <w:p w14:paraId="5A20FDF6"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t xml:space="preserve">Hayes, A. F. (2013). </w:t>
      </w:r>
      <w:r>
        <w:rPr>
          <w:rFonts w:ascii="Times New Roman" w:hAnsi="Times New Roman"/>
          <w:i/>
          <w:iCs/>
          <w:sz w:val="24"/>
          <w:szCs w:val="24"/>
        </w:rPr>
        <w:t>Introduction to mediation, moderation, and conditional process analysis:</w:t>
      </w:r>
      <w:r>
        <w:rPr>
          <w:rFonts w:ascii="Times New Roman" w:hAnsi="Times New Roman"/>
          <w:sz w:val="24"/>
          <w:szCs w:val="24"/>
        </w:rPr>
        <w:t xml:space="preserve"> A regression-based approach. Guilford Press. </w:t>
      </w:r>
    </w:p>
    <w:p w14:paraId="3EBBA1A1" w14:textId="77777777" w:rsidR="00CC7EFF" w:rsidRDefault="00CC7EFF" w:rsidP="00CC7EFF">
      <w:pPr>
        <w:pStyle w:val="ListParagraph"/>
        <w:spacing w:line="480" w:lineRule="auto"/>
        <w:ind w:hanging="720"/>
        <w:jc w:val="both"/>
        <w:rPr>
          <w:rFonts w:ascii="Times New Roman" w:hAnsi="Times New Roman"/>
          <w:i/>
          <w:iCs/>
          <w:color w:val="222222"/>
          <w:sz w:val="24"/>
          <w:szCs w:val="24"/>
          <w:shd w:val="clear" w:color="auto" w:fill="FFFFFF"/>
        </w:rPr>
      </w:pPr>
      <w:r>
        <w:rPr>
          <w:rFonts w:ascii="Times New Roman" w:hAnsi="Times New Roman"/>
          <w:sz w:val="24"/>
          <w:szCs w:val="24"/>
        </w:rPr>
        <w:t xml:space="preserve">MacKinnon, D. P., Fairchild, A. J., &amp; Fritz, M. S. (2007). </w:t>
      </w:r>
      <w:r>
        <w:rPr>
          <w:rFonts w:ascii="Times New Roman" w:hAnsi="Times New Roman"/>
          <w:i/>
          <w:iCs/>
          <w:sz w:val="24"/>
          <w:szCs w:val="24"/>
        </w:rPr>
        <w:t>Mediation analysis. Annual Review of Psychology, 58, 593–614.</w:t>
      </w:r>
    </w:p>
    <w:p w14:paraId="3F348078"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t xml:space="preserve">Simmons, J. P., Nelson, L. D., &amp; </w:t>
      </w:r>
      <w:proofErr w:type="spellStart"/>
      <w:r>
        <w:rPr>
          <w:rFonts w:ascii="Times New Roman" w:hAnsi="Times New Roman"/>
          <w:sz w:val="24"/>
          <w:szCs w:val="24"/>
        </w:rPr>
        <w:t>Simonsohn</w:t>
      </w:r>
      <w:proofErr w:type="spellEnd"/>
      <w:r>
        <w:rPr>
          <w:rFonts w:ascii="Times New Roman" w:hAnsi="Times New Roman"/>
          <w:sz w:val="24"/>
          <w:szCs w:val="24"/>
        </w:rPr>
        <w:t>, U. (2011).</w:t>
      </w:r>
      <w:r>
        <w:rPr>
          <w:rFonts w:ascii="Times New Roman" w:hAnsi="Times New Roman"/>
          <w:i/>
          <w:iCs/>
          <w:sz w:val="24"/>
          <w:szCs w:val="24"/>
        </w:rPr>
        <w:t xml:space="preserve"> False-positive psychology: Undisclosed flexibility in data collection and analysis allows presenting anything as significant</w:t>
      </w:r>
      <w:r>
        <w:rPr>
          <w:rFonts w:ascii="Times New Roman" w:hAnsi="Times New Roman"/>
          <w:sz w:val="24"/>
          <w:szCs w:val="24"/>
        </w:rPr>
        <w:t>. Psychological Science, 22(11), 1359–1366.</w:t>
      </w:r>
    </w:p>
    <w:p w14:paraId="5C315369" w14:textId="77777777" w:rsidR="00CC7EFF" w:rsidRDefault="00CC7EFF" w:rsidP="00CC7EFF">
      <w:pPr>
        <w:pStyle w:val="ListParagraph"/>
        <w:spacing w:line="480" w:lineRule="auto"/>
        <w:ind w:hanging="720"/>
        <w:jc w:val="both"/>
        <w:rPr>
          <w:rFonts w:ascii="Times New Roman" w:hAnsi="Times New Roman"/>
          <w:sz w:val="24"/>
          <w:szCs w:val="24"/>
          <w:lang w:val="zh-CN" w:eastAsia="zh-CN"/>
        </w:rPr>
      </w:pPr>
      <w:r>
        <w:rPr>
          <w:rFonts w:ascii="Times New Roman" w:hAnsi="Times New Roman"/>
          <w:sz w:val="24"/>
          <w:szCs w:val="24"/>
          <w:lang w:val="zh-CN" w:eastAsia="zh-CN"/>
        </w:rPr>
        <w:t xml:space="preserve">Stevens, J. P. (2009). </w:t>
      </w:r>
      <w:r>
        <w:rPr>
          <w:rFonts w:ascii="Times New Roman" w:hAnsi="Times New Roman"/>
          <w:i/>
          <w:iCs/>
          <w:sz w:val="24"/>
          <w:szCs w:val="24"/>
          <w:lang w:val="zh-CN" w:eastAsia="zh-CN"/>
        </w:rPr>
        <w:t>Applied multivariate statistics for the social sciences</w:t>
      </w:r>
      <w:r>
        <w:rPr>
          <w:rFonts w:ascii="Times New Roman" w:hAnsi="Times New Roman"/>
          <w:sz w:val="24"/>
          <w:szCs w:val="24"/>
          <w:lang w:val="zh-CN" w:eastAsia="zh-CN"/>
        </w:rPr>
        <w:t>. Routledge.</w:t>
      </w:r>
    </w:p>
    <w:p w14:paraId="6B59B87C" w14:textId="77777777" w:rsidR="00CC7EFF" w:rsidRDefault="00CC7EFF" w:rsidP="00CC7EFF">
      <w:pPr>
        <w:pStyle w:val="ListParagraph"/>
        <w:spacing w:after="0"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Creswell, J. W., &amp; Creswell, J. D. (2017). </w:t>
      </w:r>
      <w:r>
        <w:rPr>
          <w:rFonts w:ascii="Times New Roman" w:hAnsi="Times New Roman"/>
          <w:i/>
          <w:iCs/>
          <w:color w:val="222222"/>
          <w:sz w:val="24"/>
          <w:szCs w:val="24"/>
          <w:shd w:val="clear" w:color="auto" w:fill="FFFFFF"/>
        </w:rPr>
        <w:t>Research design: Qualitative, quantitative, and mixed methods approaches</w:t>
      </w:r>
      <w:r>
        <w:rPr>
          <w:rFonts w:ascii="Times New Roman" w:hAnsi="Times New Roman"/>
          <w:color w:val="222222"/>
          <w:sz w:val="24"/>
          <w:szCs w:val="24"/>
          <w:shd w:val="clear" w:color="auto" w:fill="FFFFFF"/>
        </w:rPr>
        <w:t>. Sage publications.</w:t>
      </w:r>
    </w:p>
    <w:p w14:paraId="6C0768FA" w14:textId="77777777" w:rsidR="00CC7EFF" w:rsidRDefault="00CC7EFF" w:rsidP="00CC7EFF">
      <w:pPr>
        <w:pStyle w:val="ListParagraph"/>
        <w:spacing w:after="0" w:line="480" w:lineRule="auto"/>
        <w:ind w:hanging="720"/>
        <w:jc w:val="both"/>
        <w:rPr>
          <w:rFonts w:ascii="Times New Roman" w:hAnsi="Times New Roman"/>
          <w:sz w:val="24"/>
          <w:szCs w:val="24"/>
          <w:lang w:val="zh-CN" w:eastAsia="zh-CN"/>
        </w:rPr>
      </w:pPr>
      <w:r>
        <w:rPr>
          <w:rFonts w:ascii="Times New Roman" w:hAnsi="Times New Roman"/>
          <w:sz w:val="24"/>
          <w:szCs w:val="24"/>
          <w:lang w:val="zh-CN" w:eastAsia="zh-CN"/>
        </w:rPr>
        <w:t xml:space="preserve">Smith, J. A., Flowers, P., &amp; Larkin, M. (2009). </w:t>
      </w:r>
      <w:r>
        <w:rPr>
          <w:rFonts w:ascii="Times New Roman" w:hAnsi="Times New Roman"/>
          <w:i/>
          <w:iCs/>
          <w:sz w:val="24"/>
          <w:szCs w:val="24"/>
          <w:lang w:val="zh-CN" w:eastAsia="zh-CN"/>
        </w:rPr>
        <w:t>Interpretative phenomenological analys</w:t>
      </w:r>
      <w:proofErr w:type="spellStart"/>
      <w:r>
        <w:rPr>
          <w:rFonts w:ascii="Times New Roman" w:hAnsi="Times New Roman"/>
          <w:i/>
          <w:iCs/>
          <w:sz w:val="24"/>
          <w:szCs w:val="24"/>
          <w:lang w:eastAsia="zh-CN"/>
        </w:rPr>
        <w:t>i</w:t>
      </w:r>
      <w:proofErr w:type="spellEnd"/>
      <w:r>
        <w:rPr>
          <w:rFonts w:ascii="Times New Roman" w:hAnsi="Times New Roman"/>
          <w:i/>
          <w:iCs/>
          <w:sz w:val="24"/>
          <w:szCs w:val="24"/>
          <w:lang w:val="zh-CN" w:eastAsia="zh-CN"/>
        </w:rPr>
        <w:t>s: Theory, method and research.</w:t>
      </w:r>
      <w:r>
        <w:rPr>
          <w:rFonts w:ascii="Times New Roman" w:hAnsi="Times New Roman"/>
          <w:sz w:val="24"/>
          <w:szCs w:val="24"/>
          <w:lang w:val="zh-CN" w:eastAsia="zh-CN"/>
        </w:rPr>
        <w:t xml:space="preserve"> Sage Publications.</w:t>
      </w:r>
    </w:p>
    <w:p w14:paraId="73532971" w14:textId="77777777" w:rsidR="00CC7EFF" w:rsidRDefault="00CC7EFF" w:rsidP="00CC7EFF">
      <w:pPr>
        <w:pStyle w:val="ListParagraph"/>
        <w:spacing w:after="0" w:line="480" w:lineRule="auto"/>
        <w:ind w:hanging="720"/>
        <w:jc w:val="both"/>
        <w:rPr>
          <w:rFonts w:ascii="Times New Roman" w:hAnsi="Times New Roman"/>
          <w:sz w:val="24"/>
          <w:szCs w:val="24"/>
          <w:lang w:val="zh-CN" w:eastAsia="zh-CN"/>
        </w:rPr>
      </w:pPr>
      <w:r>
        <w:rPr>
          <w:rFonts w:ascii="Times New Roman" w:hAnsi="Times New Roman"/>
          <w:color w:val="222222"/>
          <w:sz w:val="24"/>
          <w:szCs w:val="24"/>
          <w:shd w:val="clear" w:color="auto" w:fill="FFFFFF"/>
          <w:lang w:val="zh-CN" w:eastAsia="zh-CN"/>
        </w:rPr>
        <w:t xml:space="preserve">Asiamah, N., Mensah, H., &amp; Oteng-Abayie, E. F. (2017). </w:t>
      </w:r>
      <w:r>
        <w:rPr>
          <w:rFonts w:ascii="Times New Roman" w:hAnsi="Times New Roman"/>
          <w:i/>
          <w:iCs/>
          <w:color w:val="222222"/>
          <w:sz w:val="24"/>
          <w:szCs w:val="24"/>
          <w:shd w:val="clear" w:color="auto" w:fill="FFFFFF"/>
          <w:lang w:val="zh-CN" w:eastAsia="zh-CN"/>
        </w:rPr>
        <w:t>General, target, and accessible population: Demystifying the concepts for effective sampling.</w:t>
      </w:r>
      <w:r>
        <w:rPr>
          <w:rFonts w:ascii="Times New Roman" w:hAnsi="Times New Roman"/>
          <w:color w:val="222222"/>
          <w:sz w:val="24"/>
          <w:szCs w:val="24"/>
          <w:shd w:val="clear" w:color="auto" w:fill="FFFFFF"/>
          <w:lang w:val="zh-CN" w:eastAsia="zh-CN"/>
        </w:rPr>
        <w:t> </w:t>
      </w:r>
      <w:r>
        <w:rPr>
          <w:rFonts w:ascii="Times New Roman" w:hAnsi="Times New Roman"/>
          <w:i/>
          <w:iCs/>
          <w:color w:val="222222"/>
          <w:sz w:val="24"/>
          <w:szCs w:val="24"/>
          <w:shd w:val="clear" w:color="auto" w:fill="FFFFFF"/>
          <w:lang w:val="zh-CN" w:eastAsia="zh-CN"/>
        </w:rPr>
        <w:t>The qualitative report</w:t>
      </w:r>
      <w:r>
        <w:rPr>
          <w:rFonts w:ascii="Times New Roman" w:hAnsi="Times New Roman"/>
          <w:color w:val="222222"/>
          <w:sz w:val="24"/>
          <w:szCs w:val="24"/>
          <w:shd w:val="clear" w:color="auto" w:fill="FFFFFF"/>
          <w:lang w:val="zh-CN" w:eastAsia="zh-CN"/>
        </w:rPr>
        <w:t>, </w:t>
      </w:r>
      <w:r>
        <w:rPr>
          <w:rFonts w:ascii="Times New Roman" w:hAnsi="Times New Roman"/>
          <w:i/>
          <w:iCs/>
          <w:color w:val="222222"/>
          <w:sz w:val="24"/>
          <w:szCs w:val="24"/>
          <w:shd w:val="clear" w:color="auto" w:fill="FFFFFF"/>
          <w:lang w:val="zh-CN" w:eastAsia="zh-CN"/>
        </w:rPr>
        <w:t>22</w:t>
      </w:r>
      <w:r>
        <w:rPr>
          <w:rFonts w:ascii="Times New Roman" w:hAnsi="Times New Roman"/>
          <w:color w:val="222222"/>
          <w:sz w:val="24"/>
          <w:szCs w:val="24"/>
          <w:shd w:val="clear" w:color="auto" w:fill="FFFFFF"/>
          <w:lang w:val="zh-CN" w:eastAsia="zh-CN"/>
        </w:rPr>
        <w:t>(6), 1607-1621.</w:t>
      </w:r>
    </w:p>
    <w:p w14:paraId="5869C02C" w14:textId="77777777" w:rsidR="00CC7EFF" w:rsidRDefault="0030310C" w:rsidP="00CC7EFF">
      <w:pPr>
        <w:pStyle w:val="ListParagraph"/>
        <w:spacing w:after="0" w:line="480" w:lineRule="auto"/>
        <w:ind w:hanging="720"/>
        <w:jc w:val="both"/>
        <w:rPr>
          <w:rFonts w:ascii="Times New Roman" w:hAnsi="Times New Roman"/>
          <w:sz w:val="24"/>
          <w:szCs w:val="24"/>
          <w:lang w:val="zh-CN" w:eastAsia="zh-CN"/>
        </w:rPr>
      </w:pPr>
      <w:hyperlink r:id="rId11" w:history="1">
        <w:r w:rsidR="00CC7EFF">
          <w:rPr>
            <w:rStyle w:val="Hyperlink"/>
            <w:rFonts w:ascii="Times New Roman" w:hAnsi="Times New Roman"/>
            <w:sz w:val="24"/>
            <w:szCs w:val="24"/>
            <w:lang w:val="zh-CN" w:eastAsia="zh-CN"/>
          </w:rPr>
          <w:t>https://open.enabel.be/en/UGA/2142/p/support-to-the-implementation-of-the-skilling-uganda-strategy.html</w:t>
        </w:r>
      </w:hyperlink>
    </w:p>
    <w:p w14:paraId="6BFE3604" w14:textId="77777777" w:rsidR="00CC7EFF" w:rsidRDefault="0030310C" w:rsidP="00CC7EFF">
      <w:pPr>
        <w:pStyle w:val="ListParagraph"/>
        <w:spacing w:after="0" w:line="480" w:lineRule="auto"/>
        <w:ind w:hanging="720"/>
        <w:jc w:val="both"/>
        <w:rPr>
          <w:rFonts w:ascii="Times New Roman" w:hAnsi="Times New Roman"/>
          <w:sz w:val="24"/>
          <w:szCs w:val="24"/>
          <w:lang w:val="zh-CN" w:eastAsia="zh-CN"/>
        </w:rPr>
      </w:pPr>
      <w:hyperlink r:id="rId12" w:history="1">
        <w:r w:rsidR="00CC7EFF">
          <w:rPr>
            <w:rStyle w:val="Hyperlink"/>
            <w:rFonts w:ascii="Times New Roman" w:hAnsi="Times New Roman"/>
            <w:sz w:val="24"/>
            <w:szCs w:val="24"/>
            <w:lang w:val="zh-CN" w:eastAsia="zh-CN"/>
          </w:rPr>
          <w:t>https://presidentialinitiatives.go.ug/skilling-the-boy-and-girl-child/</w:t>
        </w:r>
      </w:hyperlink>
    </w:p>
    <w:p w14:paraId="126B3616" w14:textId="77777777" w:rsidR="00CC7EFF" w:rsidRDefault="00CC7EFF" w:rsidP="00CC7EFF">
      <w:pPr>
        <w:spacing w:after="0" w:line="480" w:lineRule="auto"/>
        <w:ind w:left="720" w:hanging="720"/>
        <w:jc w:val="both"/>
        <w:rPr>
          <w:rFonts w:ascii="Times New Roman" w:hAnsi="Times New Roman"/>
          <w:sz w:val="24"/>
          <w:szCs w:val="24"/>
          <w:lang w:eastAsia="zh-CN"/>
        </w:rPr>
      </w:pPr>
      <w:r>
        <w:rPr>
          <w:rFonts w:ascii="Times New Roman" w:hAnsi="Times New Roman"/>
          <w:sz w:val="24"/>
          <w:szCs w:val="24"/>
          <w:lang w:eastAsia="zh-CN"/>
        </w:rPr>
        <w:lastRenderedPageBreak/>
        <w:t>https://www.ubos.org/wp-content/uploads/publications/11_2022NLFS_2021_main_report.pdf</w:t>
      </w:r>
    </w:p>
    <w:p w14:paraId="36069C92" w14:textId="77777777" w:rsidR="002326F1" w:rsidRDefault="002326F1"/>
    <w:sectPr w:rsidR="002326F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23BF7" w14:textId="77777777" w:rsidR="0030310C" w:rsidRDefault="0030310C" w:rsidP="00CE2410">
      <w:pPr>
        <w:spacing w:after="0" w:line="240" w:lineRule="auto"/>
      </w:pPr>
      <w:r>
        <w:separator/>
      </w:r>
    </w:p>
  </w:endnote>
  <w:endnote w:type="continuationSeparator" w:id="0">
    <w:p w14:paraId="5593149A" w14:textId="77777777" w:rsidR="0030310C" w:rsidRDefault="0030310C" w:rsidP="00CE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ED8AE" w14:textId="77777777" w:rsidR="00CE2410" w:rsidRDefault="00CE2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60C7" w14:textId="77777777" w:rsidR="00CE2410" w:rsidRDefault="00CE2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EB670" w14:textId="77777777" w:rsidR="00CE2410" w:rsidRDefault="00CE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23AE3" w14:textId="77777777" w:rsidR="0030310C" w:rsidRDefault="0030310C" w:rsidP="00CE2410">
      <w:pPr>
        <w:spacing w:after="0" w:line="240" w:lineRule="auto"/>
      </w:pPr>
      <w:r>
        <w:separator/>
      </w:r>
    </w:p>
  </w:footnote>
  <w:footnote w:type="continuationSeparator" w:id="0">
    <w:p w14:paraId="222CB423" w14:textId="77777777" w:rsidR="0030310C" w:rsidRDefault="0030310C" w:rsidP="00CE2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902CA" w14:textId="6D9F761A" w:rsidR="00CE2410" w:rsidRDefault="00CE2410">
    <w:pPr>
      <w:pStyle w:val="Header"/>
    </w:pPr>
    <w:r>
      <w:rPr>
        <w:noProof/>
      </w:rPr>
      <w:pict w14:anchorId="1A133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8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CCDA" w14:textId="2438A767" w:rsidR="00CE2410" w:rsidRDefault="00CE2410">
    <w:pPr>
      <w:pStyle w:val="Header"/>
    </w:pPr>
    <w:r>
      <w:rPr>
        <w:noProof/>
      </w:rPr>
      <w:pict w14:anchorId="6A71A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8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E72F" w14:textId="68D0A150" w:rsidR="00CE2410" w:rsidRDefault="00CE2410">
    <w:pPr>
      <w:pStyle w:val="Header"/>
    </w:pPr>
    <w:r>
      <w:rPr>
        <w:noProof/>
      </w:rPr>
      <w:pict w14:anchorId="3EE4C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8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302B"/>
    <w:multiLevelType w:val="multilevel"/>
    <w:tmpl w:val="3454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431234"/>
    <w:multiLevelType w:val="multilevel"/>
    <w:tmpl w:val="1A8C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012F1"/>
    <w:multiLevelType w:val="multilevel"/>
    <w:tmpl w:val="C780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CB4149"/>
    <w:multiLevelType w:val="multilevel"/>
    <w:tmpl w:val="950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14"/>
    <w:rsid w:val="000B3BC1"/>
    <w:rsid w:val="00145525"/>
    <w:rsid w:val="00180F8C"/>
    <w:rsid w:val="002326F1"/>
    <w:rsid w:val="0030310C"/>
    <w:rsid w:val="00462238"/>
    <w:rsid w:val="00525F3D"/>
    <w:rsid w:val="00750425"/>
    <w:rsid w:val="00825DBB"/>
    <w:rsid w:val="00835A23"/>
    <w:rsid w:val="00895202"/>
    <w:rsid w:val="00B62E14"/>
    <w:rsid w:val="00CC7EFF"/>
    <w:rsid w:val="00CE2410"/>
    <w:rsid w:val="00E169C3"/>
    <w:rsid w:val="00F3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C0D3D"/>
  <w15:chartTrackingRefBased/>
  <w15:docId w15:val="{A63FC43F-0D50-4D62-BD0A-C900027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62E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2E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2E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62E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62E1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E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2E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2E1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62E1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62E14"/>
    <w:rPr>
      <w:rFonts w:ascii="Times New Roman" w:eastAsia="Times New Roman" w:hAnsi="Times New Roman" w:cs="Times New Roman"/>
      <w:b/>
      <w:bCs/>
      <w:sz w:val="15"/>
      <w:szCs w:val="15"/>
    </w:rPr>
  </w:style>
  <w:style w:type="character" w:styleId="Strong">
    <w:name w:val="Strong"/>
    <w:basedOn w:val="DefaultParagraphFont"/>
    <w:qFormat/>
    <w:rsid w:val="00B62E14"/>
    <w:rPr>
      <w:b/>
      <w:bCs/>
    </w:rPr>
  </w:style>
  <w:style w:type="paragraph" w:styleId="NormalWeb">
    <w:name w:val="Normal (Web)"/>
    <w:basedOn w:val="Normal"/>
    <w:uiPriority w:val="99"/>
    <w:unhideWhenUsed/>
    <w:qFormat/>
    <w:rsid w:val="00B62E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2E14"/>
    <w:rPr>
      <w:i/>
      <w:iCs/>
    </w:rPr>
  </w:style>
  <w:style w:type="character" w:styleId="Hyperlink">
    <w:name w:val="Hyperlink"/>
    <w:uiPriority w:val="99"/>
    <w:qFormat/>
    <w:rsid w:val="00CC7EFF"/>
    <w:rPr>
      <w:rFonts w:ascii="Calibri" w:eastAsia="Calibri" w:hAnsi="Calibri" w:cs="Times New Roman"/>
      <w:color w:val="0000FF"/>
      <w:u w:val="single"/>
    </w:rPr>
  </w:style>
  <w:style w:type="paragraph" w:styleId="ListParagraph">
    <w:name w:val="List Paragraph"/>
    <w:basedOn w:val="Normal"/>
    <w:uiPriority w:val="34"/>
    <w:qFormat/>
    <w:rsid w:val="00CC7EFF"/>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0B3BC1"/>
    <w:rPr>
      <w:color w:val="605E5C"/>
      <w:shd w:val="clear" w:color="auto" w:fill="E1DFDD"/>
    </w:rPr>
  </w:style>
  <w:style w:type="paragraph" w:styleId="Header">
    <w:name w:val="header"/>
    <w:basedOn w:val="Normal"/>
    <w:link w:val="HeaderChar"/>
    <w:uiPriority w:val="99"/>
    <w:unhideWhenUsed/>
    <w:rsid w:val="00CE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410"/>
  </w:style>
  <w:style w:type="paragraph" w:styleId="Footer">
    <w:name w:val="footer"/>
    <w:basedOn w:val="Normal"/>
    <w:link w:val="FooterChar"/>
    <w:uiPriority w:val="99"/>
    <w:unhideWhenUsed/>
    <w:rsid w:val="00CE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127560">
      <w:bodyDiv w:val="1"/>
      <w:marLeft w:val="0"/>
      <w:marRight w:val="0"/>
      <w:marTop w:val="0"/>
      <w:marBottom w:val="0"/>
      <w:divBdr>
        <w:top w:val="none" w:sz="0" w:space="0" w:color="auto"/>
        <w:left w:val="none" w:sz="0" w:space="0" w:color="auto"/>
        <w:bottom w:val="none" w:sz="0" w:space="0" w:color="auto"/>
        <w:right w:val="none" w:sz="0" w:space="0" w:color="auto"/>
      </w:divBdr>
      <w:divsChild>
        <w:div w:id="639657522">
          <w:marLeft w:val="0"/>
          <w:marRight w:val="0"/>
          <w:marTop w:val="0"/>
          <w:marBottom w:val="0"/>
          <w:divBdr>
            <w:top w:val="none" w:sz="0" w:space="0" w:color="auto"/>
            <w:left w:val="none" w:sz="0" w:space="0" w:color="auto"/>
            <w:bottom w:val="none" w:sz="0" w:space="0" w:color="auto"/>
            <w:right w:val="none" w:sz="0" w:space="0" w:color="auto"/>
          </w:divBdr>
          <w:divsChild>
            <w:div w:id="878779034">
              <w:marLeft w:val="0"/>
              <w:marRight w:val="0"/>
              <w:marTop w:val="0"/>
              <w:marBottom w:val="0"/>
              <w:divBdr>
                <w:top w:val="none" w:sz="0" w:space="0" w:color="auto"/>
                <w:left w:val="none" w:sz="0" w:space="0" w:color="auto"/>
                <w:bottom w:val="none" w:sz="0" w:space="0" w:color="auto"/>
                <w:right w:val="none" w:sz="0" w:space="0" w:color="auto"/>
              </w:divBdr>
              <w:divsChild>
                <w:div w:id="2096704566">
                  <w:marLeft w:val="0"/>
                  <w:marRight w:val="0"/>
                  <w:marTop w:val="0"/>
                  <w:marBottom w:val="0"/>
                  <w:divBdr>
                    <w:top w:val="none" w:sz="0" w:space="0" w:color="auto"/>
                    <w:left w:val="none" w:sz="0" w:space="0" w:color="auto"/>
                    <w:bottom w:val="none" w:sz="0" w:space="0" w:color="auto"/>
                    <w:right w:val="none" w:sz="0" w:space="0" w:color="auto"/>
                  </w:divBdr>
                  <w:divsChild>
                    <w:div w:id="794909899">
                      <w:marLeft w:val="0"/>
                      <w:marRight w:val="0"/>
                      <w:marTop w:val="0"/>
                      <w:marBottom w:val="0"/>
                      <w:divBdr>
                        <w:top w:val="none" w:sz="0" w:space="0" w:color="auto"/>
                        <w:left w:val="none" w:sz="0" w:space="0" w:color="auto"/>
                        <w:bottom w:val="none" w:sz="0" w:space="0" w:color="auto"/>
                        <w:right w:val="none" w:sz="0" w:space="0" w:color="auto"/>
                      </w:divBdr>
                      <w:divsChild>
                        <w:div w:id="1237667893">
                          <w:marLeft w:val="0"/>
                          <w:marRight w:val="0"/>
                          <w:marTop w:val="0"/>
                          <w:marBottom w:val="0"/>
                          <w:divBdr>
                            <w:top w:val="none" w:sz="0" w:space="0" w:color="auto"/>
                            <w:left w:val="none" w:sz="0" w:space="0" w:color="auto"/>
                            <w:bottom w:val="none" w:sz="0" w:space="0" w:color="auto"/>
                            <w:right w:val="none" w:sz="0" w:space="0" w:color="auto"/>
                          </w:divBdr>
                          <w:divsChild>
                            <w:div w:id="372385002">
                              <w:marLeft w:val="0"/>
                              <w:marRight w:val="0"/>
                              <w:marTop w:val="0"/>
                              <w:marBottom w:val="0"/>
                              <w:divBdr>
                                <w:top w:val="none" w:sz="0" w:space="0" w:color="auto"/>
                                <w:left w:val="none" w:sz="0" w:space="0" w:color="auto"/>
                                <w:bottom w:val="none" w:sz="0" w:space="0" w:color="auto"/>
                                <w:right w:val="none" w:sz="0" w:space="0" w:color="auto"/>
                              </w:divBdr>
                              <w:divsChild>
                                <w:div w:id="8791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82131">
          <w:marLeft w:val="0"/>
          <w:marRight w:val="0"/>
          <w:marTop w:val="0"/>
          <w:marBottom w:val="0"/>
          <w:divBdr>
            <w:top w:val="none" w:sz="0" w:space="0" w:color="auto"/>
            <w:left w:val="none" w:sz="0" w:space="0" w:color="auto"/>
            <w:bottom w:val="none" w:sz="0" w:space="0" w:color="auto"/>
            <w:right w:val="none" w:sz="0" w:space="0" w:color="auto"/>
          </w:divBdr>
          <w:divsChild>
            <w:div w:id="1350331801">
              <w:marLeft w:val="0"/>
              <w:marRight w:val="0"/>
              <w:marTop w:val="0"/>
              <w:marBottom w:val="0"/>
              <w:divBdr>
                <w:top w:val="none" w:sz="0" w:space="0" w:color="auto"/>
                <w:left w:val="none" w:sz="0" w:space="0" w:color="auto"/>
                <w:bottom w:val="none" w:sz="0" w:space="0" w:color="auto"/>
                <w:right w:val="none" w:sz="0" w:space="0" w:color="auto"/>
              </w:divBdr>
              <w:divsChild>
                <w:div w:id="1696078765">
                  <w:marLeft w:val="0"/>
                  <w:marRight w:val="0"/>
                  <w:marTop w:val="0"/>
                  <w:marBottom w:val="0"/>
                  <w:divBdr>
                    <w:top w:val="none" w:sz="0" w:space="0" w:color="auto"/>
                    <w:left w:val="none" w:sz="0" w:space="0" w:color="auto"/>
                    <w:bottom w:val="none" w:sz="0" w:space="0" w:color="auto"/>
                    <w:right w:val="none" w:sz="0" w:space="0" w:color="auto"/>
                  </w:divBdr>
                  <w:divsChild>
                    <w:div w:id="103815396">
                      <w:marLeft w:val="0"/>
                      <w:marRight w:val="0"/>
                      <w:marTop w:val="0"/>
                      <w:marBottom w:val="0"/>
                      <w:divBdr>
                        <w:top w:val="none" w:sz="0" w:space="0" w:color="auto"/>
                        <w:left w:val="none" w:sz="0" w:space="0" w:color="auto"/>
                        <w:bottom w:val="none" w:sz="0" w:space="0" w:color="auto"/>
                        <w:right w:val="none" w:sz="0" w:space="0" w:color="auto"/>
                      </w:divBdr>
                      <w:divsChild>
                        <w:div w:id="1248806847">
                          <w:marLeft w:val="0"/>
                          <w:marRight w:val="0"/>
                          <w:marTop w:val="0"/>
                          <w:marBottom w:val="0"/>
                          <w:divBdr>
                            <w:top w:val="none" w:sz="0" w:space="0" w:color="auto"/>
                            <w:left w:val="none" w:sz="0" w:space="0" w:color="auto"/>
                            <w:bottom w:val="none" w:sz="0" w:space="0" w:color="auto"/>
                            <w:right w:val="none" w:sz="0" w:space="0" w:color="auto"/>
                          </w:divBdr>
                          <w:divsChild>
                            <w:div w:id="1096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8884">
          <w:marLeft w:val="0"/>
          <w:marRight w:val="0"/>
          <w:marTop w:val="0"/>
          <w:marBottom w:val="0"/>
          <w:divBdr>
            <w:top w:val="none" w:sz="0" w:space="0" w:color="auto"/>
            <w:left w:val="none" w:sz="0" w:space="0" w:color="auto"/>
            <w:bottom w:val="none" w:sz="0" w:space="0" w:color="auto"/>
            <w:right w:val="none" w:sz="0" w:space="0" w:color="auto"/>
          </w:divBdr>
          <w:divsChild>
            <w:div w:id="1596205954">
              <w:marLeft w:val="0"/>
              <w:marRight w:val="0"/>
              <w:marTop w:val="0"/>
              <w:marBottom w:val="0"/>
              <w:divBdr>
                <w:top w:val="none" w:sz="0" w:space="0" w:color="auto"/>
                <w:left w:val="none" w:sz="0" w:space="0" w:color="auto"/>
                <w:bottom w:val="none" w:sz="0" w:space="0" w:color="auto"/>
                <w:right w:val="none" w:sz="0" w:space="0" w:color="auto"/>
              </w:divBdr>
              <w:divsChild>
                <w:div w:id="1783766738">
                  <w:marLeft w:val="0"/>
                  <w:marRight w:val="0"/>
                  <w:marTop w:val="0"/>
                  <w:marBottom w:val="0"/>
                  <w:divBdr>
                    <w:top w:val="none" w:sz="0" w:space="0" w:color="auto"/>
                    <w:left w:val="none" w:sz="0" w:space="0" w:color="auto"/>
                    <w:bottom w:val="none" w:sz="0" w:space="0" w:color="auto"/>
                    <w:right w:val="none" w:sz="0" w:space="0" w:color="auto"/>
                  </w:divBdr>
                  <w:divsChild>
                    <w:div w:id="2021618672">
                      <w:marLeft w:val="0"/>
                      <w:marRight w:val="0"/>
                      <w:marTop w:val="0"/>
                      <w:marBottom w:val="0"/>
                      <w:divBdr>
                        <w:top w:val="none" w:sz="0" w:space="0" w:color="auto"/>
                        <w:left w:val="none" w:sz="0" w:space="0" w:color="auto"/>
                        <w:bottom w:val="none" w:sz="0" w:space="0" w:color="auto"/>
                        <w:right w:val="none" w:sz="0" w:space="0" w:color="auto"/>
                      </w:divBdr>
                      <w:divsChild>
                        <w:div w:id="1089080974">
                          <w:marLeft w:val="0"/>
                          <w:marRight w:val="0"/>
                          <w:marTop w:val="0"/>
                          <w:marBottom w:val="0"/>
                          <w:divBdr>
                            <w:top w:val="none" w:sz="0" w:space="0" w:color="auto"/>
                            <w:left w:val="none" w:sz="0" w:space="0" w:color="auto"/>
                            <w:bottom w:val="none" w:sz="0" w:space="0" w:color="auto"/>
                            <w:right w:val="none" w:sz="0" w:space="0" w:color="auto"/>
                          </w:divBdr>
                          <w:divsChild>
                            <w:div w:id="9190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37057">
          <w:marLeft w:val="0"/>
          <w:marRight w:val="0"/>
          <w:marTop w:val="0"/>
          <w:marBottom w:val="0"/>
          <w:divBdr>
            <w:top w:val="none" w:sz="0" w:space="0" w:color="auto"/>
            <w:left w:val="none" w:sz="0" w:space="0" w:color="auto"/>
            <w:bottom w:val="none" w:sz="0" w:space="0" w:color="auto"/>
            <w:right w:val="none" w:sz="0" w:space="0" w:color="auto"/>
          </w:divBdr>
          <w:divsChild>
            <w:div w:id="1614364581">
              <w:marLeft w:val="0"/>
              <w:marRight w:val="0"/>
              <w:marTop w:val="0"/>
              <w:marBottom w:val="0"/>
              <w:divBdr>
                <w:top w:val="none" w:sz="0" w:space="0" w:color="auto"/>
                <w:left w:val="none" w:sz="0" w:space="0" w:color="auto"/>
                <w:bottom w:val="none" w:sz="0" w:space="0" w:color="auto"/>
                <w:right w:val="none" w:sz="0" w:space="0" w:color="auto"/>
              </w:divBdr>
              <w:divsChild>
                <w:div w:id="1249264967">
                  <w:marLeft w:val="0"/>
                  <w:marRight w:val="0"/>
                  <w:marTop w:val="0"/>
                  <w:marBottom w:val="0"/>
                  <w:divBdr>
                    <w:top w:val="none" w:sz="0" w:space="0" w:color="auto"/>
                    <w:left w:val="none" w:sz="0" w:space="0" w:color="auto"/>
                    <w:bottom w:val="none" w:sz="0" w:space="0" w:color="auto"/>
                    <w:right w:val="none" w:sz="0" w:space="0" w:color="auto"/>
                  </w:divBdr>
                  <w:divsChild>
                    <w:div w:id="690421869">
                      <w:marLeft w:val="0"/>
                      <w:marRight w:val="0"/>
                      <w:marTop w:val="0"/>
                      <w:marBottom w:val="0"/>
                      <w:divBdr>
                        <w:top w:val="none" w:sz="0" w:space="0" w:color="auto"/>
                        <w:left w:val="none" w:sz="0" w:space="0" w:color="auto"/>
                        <w:bottom w:val="none" w:sz="0" w:space="0" w:color="auto"/>
                        <w:right w:val="none" w:sz="0" w:space="0" w:color="auto"/>
                      </w:divBdr>
                      <w:divsChild>
                        <w:div w:id="1452702516">
                          <w:marLeft w:val="0"/>
                          <w:marRight w:val="0"/>
                          <w:marTop w:val="0"/>
                          <w:marBottom w:val="0"/>
                          <w:divBdr>
                            <w:top w:val="none" w:sz="0" w:space="0" w:color="auto"/>
                            <w:left w:val="none" w:sz="0" w:space="0" w:color="auto"/>
                            <w:bottom w:val="none" w:sz="0" w:space="0" w:color="auto"/>
                            <w:right w:val="none" w:sz="0" w:space="0" w:color="auto"/>
                          </w:divBdr>
                          <w:divsChild>
                            <w:div w:id="38088533">
                              <w:marLeft w:val="0"/>
                              <w:marRight w:val="0"/>
                              <w:marTop w:val="0"/>
                              <w:marBottom w:val="0"/>
                              <w:divBdr>
                                <w:top w:val="none" w:sz="0" w:space="0" w:color="auto"/>
                                <w:left w:val="none" w:sz="0" w:space="0" w:color="auto"/>
                                <w:bottom w:val="none" w:sz="0" w:space="0" w:color="auto"/>
                                <w:right w:val="none" w:sz="0" w:space="0" w:color="auto"/>
                              </w:divBdr>
                              <w:divsChild>
                                <w:div w:id="363605850">
                                  <w:marLeft w:val="0"/>
                                  <w:marRight w:val="0"/>
                                  <w:marTop w:val="0"/>
                                  <w:marBottom w:val="0"/>
                                  <w:divBdr>
                                    <w:top w:val="none" w:sz="0" w:space="0" w:color="auto"/>
                                    <w:left w:val="none" w:sz="0" w:space="0" w:color="auto"/>
                                    <w:bottom w:val="none" w:sz="0" w:space="0" w:color="auto"/>
                                    <w:right w:val="none" w:sz="0" w:space="0" w:color="auto"/>
                                  </w:divBdr>
                                  <w:divsChild>
                                    <w:div w:id="125662483">
                                      <w:marLeft w:val="0"/>
                                      <w:marRight w:val="0"/>
                                      <w:marTop w:val="0"/>
                                      <w:marBottom w:val="0"/>
                                      <w:divBdr>
                                        <w:top w:val="none" w:sz="0" w:space="0" w:color="auto"/>
                                        <w:left w:val="none" w:sz="0" w:space="0" w:color="auto"/>
                                        <w:bottom w:val="none" w:sz="0" w:space="0" w:color="auto"/>
                                        <w:right w:val="none" w:sz="0" w:space="0" w:color="auto"/>
                                      </w:divBdr>
                                    </w:div>
                                  </w:divsChild>
                                </w:div>
                                <w:div w:id="849373608">
                                  <w:marLeft w:val="0"/>
                                  <w:marRight w:val="0"/>
                                  <w:marTop w:val="0"/>
                                  <w:marBottom w:val="0"/>
                                  <w:divBdr>
                                    <w:top w:val="none" w:sz="0" w:space="0" w:color="auto"/>
                                    <w:left w:val="none" w:sz="0" w:space="0" w:color="auto"/>
                                    <w:bottom w:val="none" w:sz="0" w:space="0" w:color="auto"/>
                                    <w:right w:val="none" w:sz="0" w:space="0" w:color="auto"/>
                                  </w:divBdr>
                                  <w:divsChild>
                                    <w:div w:id="785660917">
                                      <w:marLeft w:val="0"/>
                                      <w:marRight w:val="0"/>
                                      <w:marTop w:val="0"/>
                                      <w:marBottom w:val="0"/>
                                      <w:divBdr>
                                        <w:top w:val="none" w:sz="0" w:space="0" w:color="auto"/>
                                        <w:left w:val="none" w:sz="0" w:space="0" w:color="auto"/>
                                        <w:bottom w:val="none" w:sz="0" w:space="0" w:color="auto"/>
                                        <w:right w:val="none" w:sz="0" w:space="0" w:color="auto"/>
                                      </w:divBdr>
                                    </w:div>
                                  </w:divsChild>
                                </w:div>
                                <w:div w:id="1264068711">
                                  <w:marLeft w:val="0"/>
                                  <w:marRight w:val="0"/>
                                  <w:marTop w:val="0"/>
                                  <w:marBottom w:val="0"/>
                                  <w:divBdr>
                                    <w:top w:val="none" w:sz="0" w:space="0" w:color="auto"/>
                                    <w:left w:val="none" w:sz="0" w:space="0" w:color="auto"/>
                                    <w:bottom w:val="none" w:sz="0" w:space="0" w:color="auto"/>
                                    <w:right w:val="none" w:sz="0" w:space="0" w:color="auto"/>
                                  </w:divBdr>
                                  <w:divsChild>
                                    <w:div w:id="210312313">
                                      <w:marLeft w:val="0"/>
                                      <w:marRight w:val="0"/>
                                      <w:marTop w:val="0"/>
                                      <w:marBottom w:val="0"/>
                                      <w:divBdr>
                                        <w:top w:val="none" w:sz="0" w:space="0" w:color="auto"/>
                                        <w:left w:val="none" w:sz="0" w:space="0" w:color="auto"/>
                                        <w:bottom w:val="none" w:sz="0" w:space="0" w:color="auto"/>
                                        <w:right w:val="none" w:sz="0" w:space="0" w:color="auto"/>
                                      </w:divBdr>
                                    </w:div>
                                  </w:divsChild>
                                </w:div>
                                <w:div w:id="151430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81165">
                                  <w:marLeft w:val="0"/>
                                  <w:marRight w:val="0"/>
                                  <w:marTop w:val="0"/>
                                  <w:marBottom w:val="0"/>
                                  <w:divBdr>
                                    <w:top w:val="none" w:sz="0" w:space="0" w:color="auto"/>
                                    <w:left w:val="none" w:sz="0" w:space="0" w:color="auto"/>
                                    <w:bottom w:val="none" w:sz="0" w:space="0" w:color="auto"/>
                                    <w:right w:val="none" w:sz="0" w:space="0" w:color="auto"/>
                                  </w:divBdr>
                                  <w:divsChild>
                                    <w:div w:id="189412985">
                                      <w:marLeft w:val="0"/>
                                      <w:marRight w:val="0"/>
                                      <w:marTop w:val="0"/>
                                      <w:marBottom w:val="0"/>
                                      <w:divBdr>
                                        <w:top w:val="none" w:sz="0" w:space="0" w:color="auto"/>
                                        <w:left w:val="none" w:sz="0" w:space="0" w:color="auto"/>
                                        <w:bottom w:val="none" w:sz="0" w:space="0" w:color="auto"/>
                                        <w:right w:val="none" w:sz="0" w:space="0" w:color="auto"/>
                                      </w:divBdr>
                                    </w:div>
                                  </w:divsChild>
                                </w:div>
                                <w:div w:id="1708026406">
                                  <w:marLeft w:val="0"/>
                                  <w:marRight w:val="0"/>
                                  <w:marTop w:val="0"/>
                                  <w:marBottom w:val="0"/>
                                  <w:divBdr>
                                    <w:top w:val="none" w:sz="0" w:space="0" w:color="auto"/>
                                    <w:left w:val="none" w:sz="0" w:space="0" w:color="auto"/>
                                    <w:bottom w:val="none" w:sz="0" w:space="0" w:color="auto"/>
                                    <w:right w:val="none" w:sz="0" w:space="0" w:color="auto"/>
                                  </w:divBdr>
                                  <w:divsChild>
                                    <w:div w:id="469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33867">
          <w:marLeft w:val="0"/>
          <w:marRight w:val="0"/>
          <w:marTop w:val="0"/>
          <w:marBottom w:val="0"/>
          <w:divBdr>
            <w:top w:val="none" w:sz="0" w:space="0" w:color="auto"/>
            <w:left w:val="none" w:sz="0" w:space="0" w:color="auto"/>
            <w:bottom w:val="none" w:sz="0" w:space="0" w:color="auto"/>
            <w:right w:val="none" w:sz="0" w:space="0" w:color="auto"/>
          </w:divBdr>
          <w:divsChild>
            <w:div w:id="1482698064">
              <w:marLeft w:val="0"/>
              <w:marRight w:val="0"/>
              <w:marTop w:val="0"/>
              <w:marBottom w:val="0"/>
              <w:divBdr>
                <w:top w:val="none" w:sz="0" w:space="0" w:color="auto"/>
                <w:left w:val="none" w:sz="0" w:space="0" w:color="auto"/>
                <w:bottom w:val="none" w:sz="0" w:space="0" w:color="auto"/>
                <w:right w:val="none" w:sz="0" w:space="0" w:color="auto"/>
              </w:divBdr>
              <w:divsChild>
                <w:div w:id="703214688">
                  <w:marLeft w:val="0"/>
                  <w:marRight w:val="0"/>
                  <w:marTop w:val="0"/>
                  <w:marBottom w:val="0"/>
                  <w:divBdr>
                    <w:top w:val="none" w:sz="0" w:space="0" w:color="auto"/>
                    <w:left w:val="none" w:sz="0" w:space="0" w:color="auto"/>
                    <w:bottom w:val="none" w:sz="0" w:space="0" w:color="auto"/>
                    <w:right w:val="none" w:sz="0" w:space="0" w:color="auto"/>
                  </w:divBdr>
                  <w:divsChild>
                    <w:div w:id="1905598260">
                      <w:marLeft w:val="0"/>
                      <w:marRight w:val="0"/>
                      <w:marTop w:val="0"/>
                      <w:marBottom w:val="0"/>
                      <w:divBdr>
                        <w:top w:val="none" w:sz="0" w:space="0" w:color="auto"/>
                        <w:left w:val="none" w:sz="0" w:space="0" w:color="auto"/>
                        <w:bottom w:val="none" w:sz="0" w:space="0" w:color="auto"/>
                        <w:right w:val="none" w:sz="0" w:space="0" w:color="auto"/>
                      </w:divBdr>
                      <w:divsChild>
                        <w:div w:id="1212157205">
                          <w:marLeft w:val="0"/>
                          <w:marRight w:val="0"/>
                          <w:marTop w:val="0"/>
                          <w:marBottom w:val="0"/>
                          <w:divBdr>
                            <w:top w:val="none" w:sz="0" w:space="0" w:color="auto"/>
                            <w:left w:val="none" w:sz="0" w:space="0" w:color="auto"/>
                            <w:bottom w:val="none" w:sz="0" w:space="0" w:color="auto"/>
                            <w:right w:val="none" w:sz="0" w:space="0" w:color="auto"/>
                          </w:divBdr>
                          <w:divsChild>
                            <w:div w:id="1740326151">
                              <w:marLeft w:val="0"/>
                              <w:marRight w:val="0"/>
                              <w:marTop w:val="0"/>
                              <w:marBottom w:val="0"/>
                              <w:divBdr>
                                <w:top w:val="none" w:sz="0" w:space="0" w:color="auto"/>
                                <w:left w:val="none" w:sz="0" w:space="0" w:color="auto"/>
                                <w:bottom w:val="none" w:sz="0" w:space="0" w:color="auto"/>
                                <w:right w:val="none" w:sz="0" w:space="0" w:color="auto"/>
                              </w:divBdr>
                              <w:divsChild>
                                <w:div w:id="2087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671998">
          <w:marLeft w:val="0"/>
          <w:marRight w:val="0"/>
          <w:marTop w:val="0"/>
          <w:marBottom w:val="0"/>
          <w:divBdr>
            <w:top w:val="none" w:sz="0" w:space="0" w:color="auto"/>
            <w:left w:val="none" w:sz="0" w:space="0" w:color="auto"/>
            <w:bottom w:val="none" w:sz="0" w:space="0" w:color="auto"/>
            <w:right w:val="none" w:sz="0" w:space="0" w:color="auto"/>
          </w:divBdr>
          <w:divsChild>
            <w:div w:id="774253134">
              <w:marLeft w:val="0"/>
              <w:marRight w:val="0"/>
              <w:marTop w:val="0"/>
              <w:marBottom w:val="0"/>
              <w:divBdr>
                <w:top w:val="none" w:sz="0" w:space="0" w:color="auto"/>
                <w:left w:val="none" w:sz="0" w:space="0" w:color="auto"/>
                <w:bottom w:val="none" w:sz="0" w:space="0" w:color="auto"/>
                <w:right w:val="none" w:sz="0" w:space="0" w:color="auto"/>
              </w:divBdr>
              <w:divsChild>
                <w:div w:id="209849129">
                  <w:marLeft w:val="0"/>
                  <w:marRight w:val="0"/>
                  <w:marTop w:val="0"/>
                  <w:marBottom w:val="0"/>
                  <w:divBdr>
                    <w:top w:val="none" w:sz="0" w:space="0" w:color="auto"/>
                    <w:left w:val="none" w:sz="0" w:space="0" w:color="auto"/>
                    <w:bottom w:val="none" w:sz="0" w:space="0" w:color="auto"/>
                    <w:right w:val="none" w:sz="0" w:space="0" w:color="auto"/>
                  </w:divBdr>
                  <w:divsChild>
                    <w:div w:id="1300725015">
                      <w:marLeft w:val="0"/>
                      <w:marRight w:val="0"/>
                      <w:marTop w:val="0"/>
                      <w:marBottom w:val="0"/>
                      <w:divBdr>
                        <w:top w:val="none" w:sz="0" w:space="0" w:color="auto"/>
                        <w:left w:val="none" w:sz="0" w:space="0" w:color="auto"/>
                        <w:bottom w:val="none" w:sz="0" w:space="0" w:color="auto"/>
                        <w:right w:val="none" w:sz="0" w:space="0" w:color="auto"/>
                      </w:divBdr>
                      <w:divsChild>
                        <w:div w:id="2132358450">
                          <w:marLeft w:val="0"/>
                          <w:marRight w:val="0"/>
                          <w:marTop w:val="0"/>
                          <w:marBottom w:val="0"/>
                          <w:divBdr>
                            <w:top w:val="none" w:sz="0" w:space="0" w:color="auto"/>
                            <w:left w:val="none" w:sz="0" w:space="0" w:color="auto"/>
                            <w:bottom w:val="none" w:sz="0" w:space="0" w:color="auto"/>
                            <w:right w:val="none" w:sz="0" w:space="0" w:color="auto"/>
                          </w:divBdr>
                          <w:divsChild>
                            <w:div w:id="1750228088">
                              <w:marLeft w:val="0"/>
                              <w:marRight w:val="0"/>
                              <w:marTop w:val="0"/>
                              <w:marBottom w:val="0"/>
                              <w:divBdr>
                                <w:top w:val="none" w:sz="0" w:space="0" w:color="auto"/>
                                <w:left w:val="none" w:sz="0" w:space="0" w:color="auto"/>
                                <w:bottom w:val="none" w:sz="0" w:space="0" w:color="auto"/>
                                <w:right w:val="none" w:sz="0" w:space="0" w:color="auto"/>
                              </w:divBdr>
                              <w:divsChild>
                                <w:div w:id="12555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629090">
          <w:marLeft w:val="0"/>
          <w:marRight w:val="0"/>
          <w:marTop w:val="0"/>
          <w:marBottom w:val="0"/>
          <w:divBdr>
            <w:top w:val="none" w:sz="0" w:space="0" w:color="auto"/>
            <w:left w:val="none" w:sz="0" w:space="0" w:color="auto"/>
            <w:bottom w:val="none" w:sz="0" w:space="0" w:color="auto"/>
            <w:right w:val="none" w:sz="0" w:space="0" w:color="auto"/>
          </w:divBdr>
          <w:divsChild>
            <w:div w:id="296489972">
              <w:marLeft w:val="0"/>
              <w:marRight w:val="0"/>
              <w:marTop w:val="0"/>
              <w:marBottom w:val="0"/>
              <w:divBdr>
                <w:top w:val="none" w:sz="0" w:space="0" w:color="auto"/>
                <w:left w:val="none" w:sz="0" w:space="0" w:color="auto"/>
                <w:bottom w:val="none" w:sz="0" w:space="0" w:color="auto"/>
                <w:right w:val="none" w:sz="0" w:space="0" w:color="auto"/>
              </w:divBdr>
              <w:divsChild>
                <w:div w:id="168175876">
                  <w:marLeft w:val="0"/>
                  <w:marRight w:val="0"/>
                  <w:marTop w:val="0"/>
                  <w:marBottom w:val="0"/>
                  <w:divBdr>
                    <w:top w:val="none" w:sz="0" w:space="0" w:color="auto"/>
                    <w:left w:val="none" w:sz="0" w:space="0" w:color="auto"/>
                    <w:bottom w:val="none" w:sz="0" w:space="0" w:color="auto"/>
                    <w:right w:val="none" w:sz="0" w:space="0" w:color="auto"/>
                  </w:divBdr>
                  <w:divsChild>
                    <w:div w:id="656955135">
                      <w:marLeft w:val="0"/>
                      <w:marRight w:val="0"/>
                      <w:marTop w:val="0"/>
                      <w:marBottom w:val="0"/>
                      <w:divBdr>
                        <w:top w:val="none" w:sz="0" w:space="0" w:color="auto"/>
                        <w:left w:val="none" w:sz="0" w:space="0" w:color="auto"/>
                        <w:bottom w:val="none" w:sz="0" w:space="0" w:color="auto"/>
                        <w:right w:val="none" w:sz="0" w:space="0" w:color="auto"/>
                      </w:divBdr>
                      <w:divsChild>
                        <w:div w:id="517473698">
                          <w:marLeft w:val="0"/>
                          <w:marRight w:val="0"/>
                          <w:marTop w:val="0"/>
                          <w:marBottom w:val="0"/>
                          <w:divBdr>
                            <w:top w:val="none" w:sz="0" w:space="0" w:color="auto"/>
                            <w:left w:val="none" w:sz="0" w:space="0" w:color="auto"/>
                            <w:bottom w:val="none" w:sz="0" w:space="0" w:color="auto"/>
                            <w:right w:val="none" w:sz="0" w:space="0" w:color="auto"/>
                          </w:divBdr>
                          <w:divsChild>
                            <w:div w:id="18468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SL.UEM.1524.Z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orldbank.org?utm_source=chatgpt.com" TargetMode="External"/><Relationship Id="rId12" Type="http://schemas.openxmlformats.org/officeDocument/2006/relationships/hyperlink" Target="https://presidentialinitiatives.go.ug/skilling-the-boy-and-girl-chil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enabel.be/en/UGA/2142/p/support-to-the-implementation-of-the-skilling-uganda-strateg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77/002216789603610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org/development/desa/youth/wp-content/uploads/sites/21/2020/07/World-Youth-Report-2020.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5751</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dc:creator>
  <cp:keywords/>
  <dc:description/>
  <cp:lastModifiedBy>SDI 1084</cp:lastModifiedBy>
  <cp:revision>7</cp:revision>
  <dcterms:created xsi:type="dcterms:W3CDTF">2025-11-04T09:26:00Z</dcterms:created>
  <dcterms:modified xsi:type="dcterms:W3CDTF">2025-11-05T06:42:00Z</dcterms:modified>
</cp:coreProperties>
</file>