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47781" w14:textId="77777777" w:rsidR="00083506" w:rsidRPr="008A2CEB" w:rsidRDefault="0013203D">
      <w:pPr>
        <w:spacing w:line="360" w:lineRule="auto"/>
        <w:rPr>
          <w:rFonts w:ascii="Times New Roman" w:hAnsi="Times New Roman" w:cs="Times New Roman"/>
          <w:b/>
          <w:bCs/>
          <w:u w:val="single"/>
        </w:rPr>
      </w:pPr>
      <w:r w:rsidRPr="008A2CEB">
        <w:rPr>
          <w:rFonts w:ascii="Times New Roman" w:hAnsi="Times New Roman" w:cs="Times New Roman"/>
          <w:b/>
          <w:bCs/>
          <w:u w:val="single"/>
        </w:rPr>
        <w:t xml:space="preserve">Review Article </w:t>
      </w:r>
    </w:p>
    <w:p w14:paraId="02697026" w14:textId="77777777" w:rsidR="00083506" w:rsidRDefault="0013203D">
      <w:pPr>
        <w:spacing w:line="360" w:lineRule="auto"/>
        <w:rPr>
          <w:rFonts w:ascii="Times New Roman" w:hAnsi="Times New Roman" w:cs="Times New Roman"/>
          <w:b/>
          <w:bCs/>
        </w:rPr>
      </w:pPr>
      <w:r>
        <w:rPr>
          <w:rFonts w:ascii="Times New Roman" w:hAnsi="Times New Roman" w:cs="Times New Roman"/>
          <w:b/>
          <w:bCs/>
        </w:rPr>
        <w:t>From Data to Decisions: A Scoping Review of Actionable Learning Analytics for Teaching and Assessment</w:t>
      </w:r>
    </w:p>
    <w:p w14:paraId="3B3E3B8E" w14:textId="51324377" w:rsidR="008A2CEB" w:rsidRDefault="008A2CEB">
      <w:pPr>
        <w:spacing w:line="360" w:lineRule="auto"/>
        <w:rPr>
          <w:rFonts w:ascii="Times New Roman" w:hAnsi="Times New Roman" w:cs="Times New Roman"/>
        </w:rPr>
      </w:pPr>
      <w:bookmarkStart w:id="0" w:name="_GoBack"/>
      <w:bookmarkEnd w:id="0"/>
    </w:p>
    <w:p w14:paraId="12EB8B47" w14:textId="77777777" w:rsidR="00083506" w:rsidRDefault="0013203D">
      <w:pPr>
        <w:spacing w:line="360" w:lineRule="auto"/>
        <w:contextualSpacing/>
        <w:rPr>
          <w:rFonts w:ascii="Times New Roman" w:hAnsi="Times New Roman" w:cs="Times New Roman"/>
        </w:rPr>
      </w:pPr>
      <w:r>
        <w:rPr>
          <w:rFonts w:ascii="Times New Roman" w:hAnsi="Times New Roman" w:cs="Times New Roman"/>
          <w:b/>
          <w:bCs/>
        </w:rPr>
        <w:t>Abstract</w:t>
      </w:r>
    </w:p>
    <w:p w14:paraId="714AED1F" w14:textId="77777777" w:rsidR="00083506" w:rsidRDefault="0013203D">
      <w:pPr>
        <w:spacing w:line="360" w:lineRule="auto"/>
        <w:contextualSpacing/>
        <w:rPr>
          <w:rFonts w:ascii="Times New Roman" w:hAnsi="Times New Roman" w:cs="Times New Roman"/>
        </w:rPr>
      </w:pPr>
      <w:r>
        <w:rPr>
          <w:rFonts w:ascii="Times New Roman" w:hAnsi="Times New Roman" w:cs="Times New Roman"/>
          <w:b/>
          <w:bCs/>
        </w:rPr>
        <w:t>Background:</w:t>
      </w:r>
      <w:r>
        <w:rPr>
          <w:rFonts w:ascii="Times New Roman" w:hAnsi="Times New Roman" w:cs="Times New Roman"/>
        </w:rPr>
        <w:t xml:space="preserve"> Actionable learning analytics (ALA) have gained increasing attention as tools that transform educational data into meaningful insights for teaching and assessment. However, the extent to which these systems inform pedagogical and institutional decision-ma</w:t>
      </w:r>
      <w:r>
        <w:rPr>
          <w:rFonts w:ascii="Times New Roman" w:hAnsi="Times New Roman" w:cs="Times New Roman"/>
        </w:rPr>
        <w:t>king remains unclear.</w:t>
      </w:r>
    </w:p>
    <w:p w14:paraId="62779F4B" w14:textId="77777777" w:rsidR="00083506" w:rsidRDefault="0013203D">
      <w:pPr>
        <w:spacing w:line="360" w:lineRule="auto"/>
        <w:contextualSpacing/>
        <w:rPr>
          <w:rFonts w:ascii="Times New Roman" w:hAnsi="Times New Roman" w:cs="Times New Roman"/>
        </w:rPr>
      </w:pPr>
      <w:r>
        <w:rPr>
          <w:rFonts w:ascii="Times New Roman" w:hAnsi="Times New Roman" w:cs="Times New Roman"/>
          <w:b/>
          <w:bCs/>
        </w:rPr>
        <w:t>Objectives:</w:t>
      </w:r>
      <w:r>
        <w:rPr>
          <w:rFonts w:ascii="Times New Roman" w:hAnsi="Times New Roman" w:cs="Times New Roman"/>
        </w:rPr>
        <w:t xml:space="preserve"> This scoping review aimed to synthesize evidence on how ALA are conceptualized, implemented, and translated into pedagogical action across educational settings.</w:t>
      </w:r>
    </w:p>
    <w:p w14:paraId="2226E2C7" w14:textId="77777777" w:rsidR="00083506" w:rsidRDefault="0013203D">
      <w:pPr>
        <w:spacing w:line="360" w:lineRule="auto"/>
        <w:contextualSpacing/>
        <w:rPr>
          <w:rFonts w:ascii="Times New Roman" w:hAnsi="Times New Roman" w:cs="Times New Roman"/>
        </w:rPr>
      </w:pPr>
      <w:r>
        <w:rPr>
          <w:rFonts w:ascii="Times New Roman" w:hAnsi="Times New Roman" w:cs="Times New Roman"/>
          <w:b/>
          <w:bCs/>
        </w:rPr>
        <w:t>Methods:</w:t>
      </w:r>
      <w:r>
        <w:rPr>
          <w:rFonts w:ascii="Times New Roman" w:hAnsi="Times New Roman" w:cs="Times New Roman"/>
        </w:rPr>
        <w:t xml:space="preserve"> Following PRISMA-</w:t>
      </w:r>
      <w:proofErr w:type="spellStart"/>
      <w:r>
        <w:rPr>
          <w:rFonts w:ascii="Times New Roman" w:hAnsi="Times New Roman" w:cs="Times New Roman"/>
        </w:rPr>
        <w:t>ScR</w:t>
      </w:r>
      <w:proofErr w:type="spellEnd"/>
      <w:r>
        <w:rPr>
          <w:rFonts w:ascii="Times New Roman" w:hAnsi="Times New Roman" w:cs="Times New Roman"/>
        </w:rPr>
        <w:t xml:space="preserve"> guidelines, four databases (Web</w:t>
      </w:r>
      <w:r>
        <w:rPr>
          <w:rFonts w:ascii="Times New Roman" w:hAnsi="Times New Roman" w:cs="Times New Roman"/>
        </w:rPr>
        <w:t xml:space="preserve"> of Science, Scopus, ERIC, and IEEE Xplore) were systematically searched. The search yielded 1,362 records; after screening and eligibility assessment, 28 studies published between 2012 and 2025 were included. Data were extracted and charted according to s</w:t>
      </w:r>
      <w:r>
        <w:rPr>
          <w:rFonts w:ascii="Times New Roman" w:hAnsi="Times New Roman" w:cs="Times New Roman"/>
        </w:rPr>
        <w:t>tudy design, educational level, analytic framework, and reported outcomes.</w:t>
      </w:r>
    </w:p>
    <w:p w14:paraId="48D6C0A9" w14:textId="77777777" w:rsidR="00083506" w:rsidRDefault="0013203D">
      <w:pPr>
        <w:spacing w:line="360" w:lineRule="auto"/>
        <w:contextualSpacing/>
        <w:rPr>
          <w:rFonts w:ascii="Times New Roman" w:hAnsi="Times New Roman" w:cs="Times New Roman"/>
        </w:rPr>
      </w:pPr>
      <w:r>
        <w:rPr>
          <w:rFonts w:ascii="Times New Roman" w:hAnsi="Times New Roman" w:cs="Times New Roman"/>
          <w:b/>
          <w:bCs/>
        </w:rPr>
        <w:t>Results:</w:t>
      </w:r>
      <w:r>
        <w:rPr>
          <w:rFonts w:ascii="Times New Roman" w:hAnsi="Times New Roman" w:cs="Times New Roman"/>
        </w:rPr>
        <w:t xml:space="preserve"> Most studies were situated in higher education and employed mixed or design-based methodologies. Frameworks such as the Learning Analytics Cycle and Analytics4Action model </w:t>
      </w:r>
      <w:r>
        <w:rPr>
          <w:rFonts w:ascii="Times New Roman" w:hAnsi="Times New Roman" w:cs="Times New Roman"/>
        </w:rPr>
        <w:t>guided data interpretation. Across contexts, ALA supported adaptive teaching, formative assessment, and institutional feedback systems. Positive outcomes included enhanced student engagement, improved feedback quality, and increased teacher awareness. Yet,</w:t>
      </w:r>
      <w:r>
        <w:rPr>
          <w:rFonts w:ascii="Times New Roman" w:hAnsi="Times New Roman" w:cs="Times New Roman"/>
        </w:rPr>
        <w:t xml:space="preserve"> limited data literacy, ethical concerns, and institutional capacity constrained their broader adoption.</w:t>
      </w:r>
    </w:p>
    <w:p w14:paraId="71AA0176" w14:textId="77777777" w:rsidR="00083506" w:rsidRDefault="0013203D">
      <w:pPr>
        <w:spacing w:line="360" w:lineRule="auto"/>
        <w:contextualSpacing/>
        <w:rPr>
          <w:rFonts w:ascii="Times New Roman" w:hAnsi="Times New Roman" w:cs="Times New Roman"/>
        </w:rPr>
      </w:pPr>
      <w:r>
        <w:rPr>
          <w:rFonts w:ascii="Times New Roman" w:hAnsi="Times New Roman" w:cs="Times New Roman"/>
          <w:b/>
          <w:bCs/>
        </w:rPr>
        <w:t>Conclusions:</w:t>
      </w:r>
      <w:r>
        <w:rPr>
          <w:rFonts w:ascii="Times New Roman" w:hAnsi="Times New Roman" w:cs="Times New Roman"/>
        </w:rPr>
        <w:t xml:space="preserve"> ALA are most effective when integrated into reflective, participatory, and ethically transparent teaching environments. Rather than replac</w:t>
      </w:r>
      <w:r>
        <w:rPr>
          <w:rFonts w:ascii="Times New Roman" w:hAnsi="Times New Roman" w:cs="Times New Roman"/>
        </w:rPr>
        <w:t>ing educator judgment, analytics should serve as interpretive aids that enhance responsiveness to diverse learner needs. Future research should explore teacher training, co-design approaches, and the sustainability of analytics-driven pedagogical innovatio</w:t>
      </w:r>
      <w:r>
        <w:rPr>
          <w:rFonts w:ascii="Times New Roman" w:hAnsi="Times New Roman" w:cs="Times New Roman"/>
        </w:rPr>
        <w:t>n.</w:t>
      </w:r>
    </w:p>
    <w:p w14:paraId="2207058E" w14:textId="77777777" w:rsidR="00083506" w:rsidRDefault="0013203D">
      <w:pPr>
        <w:spacing w:line="360" w:lineRule="auto"/>
        <w:contextualSpacing/>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Actionable learning analytics; Teaching and assessment; Data-informed pedagogy; Student engagement; Educational data mining; Inclusive education.</w:t>
      </w:r>
    </w:p>
    <w:p w14:paraId="026CCB77" w14:textId="77777777" w:rsidR="00083506" w:rsidRDefault="00083506">
      <w:pPr>
        <w:spacing w:line="360" w:lineRule="auto"/>
        <w:rPr>
          <w:rFonts w:ascii="Times New Roman" w:hAnsi="Times New Roman" w:cs="Times New Roman"/>
        </w:rPr>
      </w:pPr>
    </w:p>
    <w:p w14:paraId="22C65485" w14:textId="77777777" w:rsidR="00083506" w:rsidRDefault="0013203D">
      <w:pPr>
        <w:spacing w:line="360" w:lineRule="auto"/>
        <w:rPr>
          <w:rFonts w:ascii="Times New Roman" w:hAnsi="Times New Roman" w:cs="Times New Roman"/>
          <w:b/>
          <w:bCs/>
        </w:rPr>
      </w:pPr>
      <w:r>
        <w:rPr>
          <w:rFonts w:ascii="Times New Roman" w:hAnsi="Times New Roman" w:cs="Times New Roman"/>
          <w:b/>
          <w:bCs/>
        </w:rPr>
        <w:lastRenderedPageBreak/>
        <w:t>1 Introduction</w:t>
      </w:r>
    </w:p>
    <w:p w14:paraId="2DA54651"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As digital learning environments proliferate across educational systems, educat</w:t>
      </w:r>
      <w:r>
        <w:rPr>
          <w:rFonts w:ascii="Times New Roman" w:hAnsi="Times New Roman" w:cs="Times New Roman"/>
        </w:rPr>
        <w:t xml:space="preserve">ors and researchers increasingly turn to data-driven approaches to enhance teaching and assessment. Learning analytics (LA) refers to the systematic measurement, collection, analysis, and reporting of data about learners and their contexts for purposes of </w:t>
      </w:r>
      <w:r>
        <w:rPr>
          <w:rFonts w:ascii="Times New Roman" w:hAnsi="Times New Roman" w:cs="Times New Roman"/>
        </w:rPr>
        <w:t>understanding and optimizing learning (Siemens, 2013). Over the past decade, learning analytics has expanded from descriptive reporting and visualization to more sophisticated predictive and prescriptive systems that promise to inform educational decision-</w:t>
      </w:r>
      <w:r>
        <w:rPr>
          <w:rFonts w:ascii="Times New Roman" w:hAnsi="Times New Roman" w:cs="Times New Roman"/>
        </w:rPr>
        <w:t>making (</w:t>
      </w:r>
      <w:proofErr w:type="spellStart"/>
      <w:r>
        <w:rPr>
          <w:rFonts w:ascii="Times New Roman" w:hAnsi="Times New Roman" w:cs="Times New Roman"/>
        </w:rPr>
        <w:t>Ifenthaler</w:t>
      </w:r>
      <w:proofErr w:type="spellEnd"/>
      <w:r>
        <w:rPr>
          <w:rFonts w:ascii="Times New Roman" w:hAnsi="Times New Roman" w:cs="Times New Roman"/>
        </w:rPr>
        <w:t xml:space="preserve"> &amp; </w:t>
      </w:r>
      <w:proofErr w:type="spellStart"/>
      <w:r>
        <w:rPr>
          <w:rFonts w:ascii="Times New Roman" w:hAnsi="Times New Roman" w:cs="Times New Roman"/>
        </w:rPr>
        <w:t>Yau</w:t>
      </w:r>
      <w:proofErr w:type="spellEnd"/>
      <w:r>
        <w:rPr>
          <w:rFonts w:ascii="Times New Roman" w:hAnsi="Times New Roman" w:cs="Times New Roman"/>
        </w:rPr>
        <w:t>, 2020; Tsai et al., 2018). Yet despite this growth, a persistent gap remains between data availability and actionable insight. Educators often receive analytic outputs such as dashboards, predictive alerts, or engagement scores wit</w:t>
      </w:r>
      <w:r>
        <w:rPr>
          <w:rFonts w:ascii="Times New Roman" w:hAnsi="Times New Roman" w:cs="Times New Roman"/>
        </w:rPr>
        <w:t>hout clear pathways for translating these insights into pedagogical or assessment practices (Jørnø &amp; Gynther, 2018; Van Leeuwen et al., 2022).</w:t>
      </w:r>
    </w:p>
    <w:p w14:paraId="38874D4B"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 challenge of moving from data to decision has been widely noted but insufficiently synthesized. Although nu</w:t>
      </w:r>
      <w:r>
        <w:rPr>
          <w:rFonts w:ascii="Times New Roman" w:hAnsi="Times New Roman" w:cs="Times New Roman"/>
        </w:rPr>
        <w:t>merous studies demonstrate that analytics can predict learner behaviors or outcomes, far fewer examine how those insights are acted upon by teachers, administrators, or students (</w:t>
      </w:r>
      <w:proofErr w:type="spellStart"/>
      <w:r>
        <w:rPr>
          <w:rFonts w:ascii="Times New Roman" w:hAnsi="Times New Roman" w:cs="Times New Roman"/>
        </w:rPr>
        <w:t>Herodotou</w:t>
      </w:r>
      <w:proofErr w:type="spellEnd"/>
      <w:r>
        <w:rPr>
          <w:rFonts w:ascii="Times New Roman" w:hAnsi="Times New Roman" w:cs="Times New Roman"/>
        </w:rPr>
        <w:t xml:space="preserve"> et al., 2020; Wise &amp; Vytasek, 2017). This disconnect mirrors what </w:t>
      </w:r>
      <w:proofErr w:type="spellStart"/>
      <w:r>
        <w:rPr>
          <w:rFonts w:ascii="Times New Roman" w:hAnsi="Times New Roman" w:cs="Times New Roman"/>
        </w:rPr>
        <w:t>G</w:t>
      </w:r>
      <w:r>
        <w:rPr>
          <w:rFonts w:ascii="Times New Roman" w:hAnsi="Times New Roman" w:cs="Times New Roman"/>
        </w:rPr>
        <w:t>asevic</w:t>
      </w:r>
      <w:proofErr w:type="spellEnd"/>
      <w:r>
        <w:rPr>
          <w:rFonts w:ascii="Times New Roman" w:hAnsi="Times New Roman" w:cs="Times New Roman"/>
        </w:rPr>
        <w:t xml:space="preserve"> et al. (2019) describe as the “last mile problem” in learning analytics; the distance between analytic output and educational intervention. In practice, actionable learning analytics requires more than technical accuracy. It involves human interpret</w:t>
      </w:r>
      <w:r>
        <w:rPr>
          <w:rFonts w:ascii="Times New Roman" w:hAnsi="Times New Roman" w:cs="Times New Roman"/>
        </w:rPr>
        <w:t>ation, contextual judgment, and institutional support structures that enable educators to respond meaningfully to analytic feedback (Tsai et al., 2020). Without these mediating processes, analytics risk reinforcing descriptive reporting without contributin</w:t>
      </w:r>
      <w:r>
        <w:rPr>
          <w:rFonts w:ascii="Times New Roman" w:hAnsi="Times New Roman" w:cs="Times New Roman"/>
        </w:rPr>
        <w:t>g to actual improvement in teaching or assessment.</w:t>
      </w:r>
    </w:p>
    <w:p w14:paraId="39AD151B"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Learning analytics, as a field, evolved at the intersection of educational measurement, cognitive psychology, and data science. Early work emphasized the descriptive potential of digital traces for under</w:t>
      </w:r>
      <w:r>
        <w:rPr>
          <w:rFonts w:ascii="Times New Roman" w:hAnsi="Times New Roman" w:cs="Times New Roman"/>
        </w:rPr>
        <w:t>standing learner engagement (Ferguson &amp; Buckingham Shum, 2012). Over time, scholars argued for a shift toward action-oriented frameworks that close the loop between measurement and pedagogical change (</w:t>
      </w:r>
      <w:proofErr w:type="spellStart"/>
      <w:r>
        <w:rPr>
          <w:rFonts w:ascii="Times New Roman" w:hAnsi="Times New Roman" w:cs="Times New Roman"/>
        </w:rPr>
        <w:t>Clow</w:t>
      </w:r>
      <w:proofErr w:type="spellEnd"/>
      <w:r>
        <w:rPr>
          <w:rFonts w:ascii="Times New Roman" w:hAnsi="Times New Roman" w:cs="Times New Roman"/>
        </w:rPr>
        <w:t xml:space="preserve">, 2012; </w:t>
      </w:r>
      <w:proofErr w:type="spellStart"/>
      <w:r>
        <w:rPr>
          <w:rFonts w:ascii="Times New Roman" w:hAnsi="Times New Roman" w:cs="Times New Roman"/>
        </w:rPr>
        <w:t>Rienties</w:t>
      </w:r>
      <w:proofErr w:type="spellEnd"/>
      <w:r>
        <w:rPr>
          <w:rFonts w:ascii="Times New Roman" w:hAnsi="Times New Roman" w:cs="Times New Roman"/>
        </w:rPr>
        <w:t xml:space="preserve"> et al., 2016). Within this paradig</w:t>
      </w:r>
      <w:r>
        <w:rPr>
          <w:rFonts w:ascii="Times New Roman" w:hAnsi="Times New Roman" w:cs="Times New Roman"/>
        </w:rPr>
        <w:t xml:space="preserve">m, actionability refers to the capacity of an analytic system to inform specific, context-sensitive interventions that can feasibly be implemented within teaching and assessment cycles </w:t>
      </w:r>
      <w:r>
        <w:rPr>
          <w:rFonts w:ascii="Times New Roman" w:hAnsi="Times New Roman" w:cs="Times New Roman"/>
        </w:rPr>
        <w:lastRenderedPageBreak/>
        <w:t>(Jørnø &amp; Gynther, 2018). Thus, “actionable learning analytics” represen</w:t>
      </w:r>
      <w:r>
        <w:rPr>
          <w:rFonts w:ascii="Times New Roman" w:hAnsi="Times New Roman" w:cs="Times New Roman"/>
        </w:rPr>
        <w:t>ts a critical turning point in the field from retrospective analysis to real-time decision support.</w:t>
      </w:r>
    </w:p>
    <w:p w14:paraId="400F8500"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Despite its promise, evidence on the design, implementation, and outcomes of actionable learning analytics remains fragmented. Existing reviews have prima</w:t>
      </w:r>
      <w:r>
        <w:rPr>
          <w:rFonts w:ascii="Times New Roman" w:hAnsi="Times New Roman" w:cs="Times New Roman"/>
        </w:rPr>
        <w:t>rily catalogued learning analytics tools, methods, or predictive accuracy (</w:t>
      </w:r>
      <w:proofErr w:type="spellStart"/>
      <w:r>
        <w:rPr>
          <w:rFonts w:ascii="Times New Roman" w:hAnsi="Times New Roman" w:cs="Times New Roman"/>
        </w:rPr>
        <w:t>Ifenthaler</w:t>
      </w:r>
      <w:proofErr w:type="spellEnd"/>
      <w:r>
        <w:rPr>
          <w:rFonts w:ascii="Times New Roman" w:hAnsi="Times New Roman" w:cs="Times New Roman"/>
        </w:rPr>
        <w:t xml:space="preserve"> &amp; </w:t>
      </w:r>
      <w:proofErr w:type="spellStart"/>
      <w:r>
        <w:rPr>
          <w:rFonts w:ascii="Times New Roman" w:hAnsi="Times New Roman" w:cs="Times New Roman"/>
        </w:rPr>
        <w:t>Yau</w:t>
      </w:r>
      <w:proofErr w:type="spellEnd"/>
      <w:r>
        <w:rPr>
          <w:rFonts w:ascii="Times New Roman" w:hAnsi="Times New Roman" w:cs="Times New Roman"/>
        </w:rPr>
        <w:t xml:space="preserve">, 2020; Pan et al., 2024), but few have focused specifically on how analytics shape instructional decisions or assessment practices. For example, </w:t>
      </w:r>
      <w:proofErr w:type="spellStart"/>
      <w:r>
        <w:rPr>
          <w:rFonts w:ascii="Times New Roman" w:hAnsi="Times New Roman" w:cs="Times New Roman"/>
        </w:rPr>
        <w:t>Sonderlund</w:t>
      </w:r>
      <w:proofErr w:type="spellEnd"/>
      <w:r>
        <w:rPr>
          <w:rFonts w:ascii="Times New Roman" w:hAnsi="Times New Roman" w:cs="Times New Roman"/>
        </w:rPr>
        <w:t xml:space="preserve"> and Smit</w:t>
      </w:r>
      <w:r>
        <w:rPr>
          <w:rFonts w:ascii="Times New Roman" w:hAnsi="Times New Roman" w:cs="Times New Roman"/>
        </w:rPr>
        <w:t>h (2018) identified modest improvements in student performance following analytics-based interventions but found inconsistent evidence regarding teacher adoption and sustained pedagogical change. Similarly, Paolucci et al. (2024) reported that in K–12 sett</w:t>
      </w:r>
      <w:r>
        <w:rPr>
          <w:rFonts w:ascii="Times New Roman" w:hAnsi="Times New Roman" w:cs="Times New Roman"/>
        </w:rPr>
        <w:t>ings, educators often view analytics dashboards as informative but struggle to integrate them into formative assessment or feedback processes. These findings suggest that the capacity of analytics to transform teaching is conditioned not only by data quali</w:t>
      </w:r>
      <w:r>
        <w:rPr>
          <w:rFonts w:ascii="Times New Roman" w:hAnsi="Times New Roman" w:cs="Times New Roman"/>
        </w:rPr>
        <w:t>ty but also by educators’ interpretive skills, institutional readiness, and policy environments.</w:t>
      </w:r>
    </w:p>
    <w:p w14:paraId="2E6E22D3"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A conceptual distinction must therefore be made between predictive analytics and actionable analytics. Predictive models estimate likely outcomes, such as dr</w:t>
      </w:r>
      <w:r>
        <w:rPr>
          <w:rFonts w:ascii="Times New Roman" w:hAnsi="Times New Roman" w:cs="Times New Roman"/>
        </w:rPr>
        <w:t>opout risk or performance trends, whereas actionable models are designed to support decisions and prompt interventions (Kennedy et al., 2025; Liu et al., 2025). Actionability requires interpretability, timeliness, and alignment with pedagogical goals (Wise</w:t>
      </w:r>
      <w:r>
        <w:rPr>
          <w:rFonts w:ascii="Times New Roman" w:hAnsi="Times New Roman" w:cs="Times New Roman"/>
        </w:rPr>
        <w:t xml:space="preserve"> &amp; Vytasek, 2017). From a systems perspective, it implies the existence of a feedback loop in which data inform decision-making and those decisions, in turn, generate new data that refine subsequent actions (Clow, 2012). In this sense, actionable analytics</w:t>
      </w:r>
      <w:r>
        <w:rPr>
          <w:rFonts w:ascii="Times New Roman" w:hAnsi="Times New Roman" w:cs="Times New Roman"/>
        </w:rPr>
        <w:t xml:space="preserve"> embody both a technical and a social process because they depend on human agency as much as algorithmic precision (Van Kessel et al., 2025).</w:t>
      </w:r>
    </w:p>
    <w:p w14:paraId="523AB99D"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 shift toward actionable learning analytics also raises fundamental questions about evidence use in education</w:t>
      </w:r>
      <w:r>
        <w:rPr>
          <w:rFonts w:ascii="Times New Roman" w:hAnsi="Times New Roman" w:cs="Times New Roman"/>
        </w:rPr>
        <w:t xml:space="preserve">. The capacity to make data-informed decisions presupposes that educators not only understand analytic indicators but also trust their validity and relevance (Tsai et al., 2020). As </w:t>
      </w:r>
      <w:proofErr w:type="spellStart"/>
      <w:r>
        <w:rPr>
          <w:rFonts w:ascii="Times New Roman" w:hAnsi="Times New Roman" w:cs="Times New Roman"/>
        </w:rPr>
        <w:t>Jisc</w:t>
      </w:r>
      <w:proofErr w:type="spellEnd"/>
      <w:r>
        <w:rPr>
          <w:rFonts w:ascii="Times New Roman" w:hAnsi="Times New Roman" w:cs="Times New Roman"/>
        </w:rPr>
        <w:t xml:space="preserve"> (2020) and </w:t>
      </w:r>
      <w:proofErr w:type="spellStart"/>
      <w:r>
        <w:rPr>
          <w:rFonts w:ascii="Times New Roman" w:hAnsi="Times New Roman" w:cs="Times New Roman"/>
        </w:rPr>
        <w:t>Ifenthaler</w:t>
      </w:r>
      <w:proofErr w:type="spellEnd"/>
      <w:r>
        <w:rPr>
          <w:rFonts w:ascii="Times New Roman" w:hAnsi="Times New Roman" w:cs="Times New Roman"/>
        </w:rPr>
        <w:t xml:space="preserve"> and Yau (2020) emphasize, the interpretive labo</w:t>
      </w:r>
      <w:r>
        <w:rPr>
          <w:rFonts w:ascii="Times New Roman" w:hAnsi="Times New Roman" w:cs="Times New Roman"/>
        </w:rPr>
        <w:t>r of translating analytics into decisions is itself pedagogical. It involves reflective judgment, contextual awareness, and ethical responsibility. Moreover, the consequences of acting on analytics are nontrivial. Decisions about assessment feedback, early</w:t>
      </w:r>
      <w:r>
        <w:rPr>
          <w:rFonts w:ascii="Times New Roman" w:hAnsi="Times New Roman" w:cs="Times New Roman"/>
        </w:rPr>
        <w:t xml:space="preserve"> interventions, or course redesign can have direct effects on student outcomes and equity (Paolucci et al., 2024; Van </w:t>
      </w:r>
      <w:r>
        <w:rPr>
          <w:rFonts w:ascii="Times New Roman" w:hAnsi="Times New Roman" w:cs="Times New Roman"/>
        </w:rPr>
        <w:lastRenderedPageBreak/>
        <w:t>Leeuwen et al., 2022). Hence, the study of actionable learning analytics is not merely technical but also epistemological and ethical.</w:t>
      </w:r>
    </w:p>
    <w:p w14:paraId="31EFA862"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w:t>
      </w:r>
      <w:r>
        <w:rPr>
          <w:rFonts w:ascii="Times New Roman" w:hAnsi="Times New Roman" w:cs="Times New Roman"/>
        </w:rPr>
        <w:t>he present review addresses these gaps by systematically mapping empirical and conceptual research on actionable learning analytics as they pertain to teaching and assessment. Following the PRISMA-</w:t>
      </w:r>
      <w:proofErr w:type="spellStart"/>
      <w:r>
        <w:rPr>
          <w:rFonts w:ascii="Times New Roman" w:hAnsi="Times New Roman" w:cs="Times New Roman"/>
        </w:rPr>
        <w:t>ScR</w:t>
      </w:r>
      <w:proofErr w:type="spellEnd"/>
      <w:r>
        <w:rPr>
          <w:rFonts w:ascii="Times New Roman" w:hAnsi="Times New Roman" w:cs="Times New Roman"/>
        </w:rPr>
        <w:t xml:space="preserve"> guidelines (</w:t>
      </w:r>
      <w:proofErr w:type="spellStart"/>
      <w:r>
        <w:rPr>
          <w:rFonts w:ascii="Times New Roman" w:hAnsi="Times New Roman" w:cs="Times New Roman"/>
        </w:rPr>
        <w:t>Tricco</w:t>
      </w:r>
      <w:proofErr w:type="spellEnd"/>
      <w:r>
        <w:rPr>
          <w:rFonts w:ascii="Times New Roman" w:hAnsi="Times New Roman" w:cs="Times New Roman"/>
        </w:rPr>
        <w:t xml:space="preserve"> et al., 2018), we synthesize literat</w:t>
      </w:r>
      <w:r>
        <w:rPr>
          <w:rFonts w:ascii="Times New Roman" w:hAnsi="Times New Roman" w:cs="Times New Roman"/>
        </w:rPr>
        <w:t>ure published between 2010 and 2025 across higher education, K–12, and professional learning contexts. Specifically, this scoping review aims to identify how actionable learning analytics have been conceptualized and implemented, examine the types of actio</w:t>
      </w:r>
      <w:r>
        <w:rPr>
          <w:rFonts w:ascii="Times New Roman" w:hAnsi="Times New Roman" w:cs="Times New Roman"/>
        </w:rPr>
        <w:t xml:space="preserve">ns, decisions, or interventions supported, assess reported impacts on teaching practices, assessment design, and student learning, and highlight theoretical and methodological gaps for future research. By integrating findings across diverse settings, this </w:t>
      </w:r>
      <w:r>
        <w:rPr>
          <w:rFonts w:ascii="Times New Roman" w:hAnsi="Times New Roman" w:cs="Times New Roman"/>
        </w:rPr>
        <w:t>review seeks to clarify what constitutes actionable analytics, how actionability is achieved, and under what conditions data can genuinely inform pedagogical and assessment decisions.</w:t>
      </w:r>
    </w:p>
    <w:p w14:paraId="521B841A"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Ultimately, the goal of this review is to move beyond the rhetoric of </w:t>
      </w:r>
      <w:r>
        <w:rPr>
          <w:rFonts w:ascii="Times New Roman" w:hAnsi="Times New Roman" w:cs="Times New Roman"/>
        </w:rPr>
        <w:t>data-driven education toward an empirically grounded understanding of how analytics can meaningfully support human decision-making in teaching and learning. This review contends that learning analytics cannot be understood apart from the educational contex</w:t>
      </w:r>
      <w:r>
        <w:rPr>
          <w:rFonts w:ascii="Times New Roman" w:hAnsi="Times New Roman" w:cs="Times New Roman"/>
        </w:rPr>
        <w:t>ts and human actors that render data actionable. The challenge, therefore, is not merely technical but relational, to ensure that analytics serve as tools for pedagogical reflection rather than instruments of measurement alone.</w:t>
      </w:r>
    </w:p>
    <w:p w14:paraId="04A7C4BF" w14:textId="77777777" w:rsidR="00083506" w:rsidRDefault="0013203D">
      <w:pPr>
        <w:spacing w:line="360" w:lineRule="auto"/>
        <w:rPr>
          <w:rFonts w:ascii="Times New Roman" w:hAnsi="Times New Roman" w:cs="Times New Roman"/>
          <w:b/>
          <w:bCs/>
        </w:rPr>
      </w:pPr>
      <w:r>
        <w:rPr>
          <w:rFonts w:ascii="Times New Roman" w:hAnsi="Times New Roman" w:cs="Times New Roman"/>
          <w:b/>
          <w:bCs/>
        </w:rPr>
        <w:t>2 Conceptual and Theoretical</w:t>
      </w:r>
      <w:r>
        <w:rPr>
          <w:rFonts w:ascii="Times New Roman" w:hAnsi="Times New Roman" w:cs="Times New Roman"/>
          <w:b/>
          <w:bCs/>
        </w:rPr>
        <w:t xml:space="preserve"> Foundations</w:t>
      </w:r>
    </w:p>
    <w:p w14:paraId="33338B0F"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 concept of actionability within learning analytics is rooted in a broader intellectual shift from measurement toward improvement. Early definitions of learning analytics emphasized the collection and analysis of data to describe learning</w:t>
      </w:r>
      <w:r>
        <w:rPr>
          <w:rFonts w:ascii="Times New Roman" w:hAnsi="Times New Roman" w:cs="Times New Roman"/>
        </w:rPr>
        <w:t xml:space="preserve"> processes and outcomes (Siemens, 2013). However, as the field matured, scholars began to argue that analytics should not only document learning behaviors but also inform the pedagogical and institutional actions that shape them (Clow, 2012; Ferguson &amp; Buc</w:t>
      </w:r>
      <w:r>
        <w:rPr>
          <w:rFonts w:ascii="Times New Roman" w:hAnsi="Times New Roman" w:cs="Times New Roman"/>
        </w:rPr>
        <w:t>kingham Shum, 2012). This transformation reflects a movement from a descriptive to a generative paradigm, where data are viewed not as endpoints of analysis but as catalysts for educational change.</w:t>
      </w:r>
    </w:p>
    <w:p w14:paraId="5B6A96B7" w14:textId="77777777" w:rsidR="00083506" w:rsidRDefault="0013203D">
      <w:pPr>
        <w:spacing w:line="360" w:lineRule="auto"/>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t>The theoretical foundations of actionable learning analy</w:t>
      </w:r>
      <w:r>
        <w:rPr>
          <w:rFonts w:ascii="Times New Roman" w:hAnsi="Times New Roman" w:cs="Times New Roman"/>
        </w:rPr>
        <w:t>tics draw from multiple frameworks that converge on the idea of closing the loop between evidence and action. Clow’s (2012) “learning analytics cycle” is one of the earliest articulations of this principle, emphasizing that analytics gain meaning only when</w:t>
      </w:r>
      <w:r>
        <w:rPr>
          <w:rFonts w:ascii="Times New Roman" w:hAnsi="Times New Roman" w:cs="Times New Roman"/>
        </w:rPr>
        <w:t xml:space="preserve"> data collection, analysis, interpretation, and intervention form a continuous, iterative process. Similarly, </w:t>
      </w:r>
      <w:proofErr w:type="spellStart"/>
      <w:r>
        <w:rPr>
          <w:rFonts w:ascii="Times New Roman" w:hAnsi="Times New Roman" w:cs="Times New Roman"/>
        </w:rPr>
        <w:t>Rienties</w:t>
      </w:r>
      <w:proofErr w:type="spellEnd"/>
      <w:r>
        <w:rPr>
          <w:rFonts w:ascii="Times New Roman" w:hAnsi="Times New Roman" w:cs="Times New Roman"/>
        </w:rPr>
        <w:t xml:space="preserve"> et al. (2016) developed the “Analytics4Action Evaluation Framework,” which links analytic insights to pedagogical reflection and redesign</w:t>
      </w:r>
      <w:r>
        <w:rPr>
          <w:rFonts w:ascii="Times New Roman" w:hAnsi="Times New Roman" w:cs="Times New Roman"/>
        </w:rPr>
        <w:t>. Both frameworks conceptualize learning analytics as a dynamic feedback system in which evidence informs teaching and teaching, in turn, generates new evidence. The essence of actionability lies in this reciprocity, where educators engage with data as co-</w:t>
      </w:r>
      <w:r>
        <w:rPr>
          <w:rFonts w:ascii="Times New Roman" w:hAnsi="Times New Roman" w:cs="Times New Roman"/>
        </w:rPr>
        <w:t>constructors of insight rather than as passive recipients of information.</w:t>
      </w:r>
    </w:p>
    <w:p w14:paraId="2324C346"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From a socio-technical perspective, actionability also depends on the interpretive and contextual capacities of educators. Jørnø and Gynther (2018) argue that analytics become acti</w:t>
      </w:r>
      <w:r>
        <w:rPr>
          <w:rFonts w:ascii="Times New Roman" w:hAnsi="Times New Roman" w:cs="Times New Roman"/>
        </w:rPr>
        <w:t xml:space="preserve">onable only when they produce insights that are meaningful, timely, and feasible within the constraints of real educational settings. They introduce the notion of “pedagogical interpretability,” emphasizing that data must align with teachers’ professional </w:t>
      </w:r>
      <w:r>
        <w:rPr>
          <w:rFonts w:ascii="Times New Roman" w:hAnsi="Times New Roman" w:cs="Times New Roman"/>
        </w:rPr>
        <w:t>knowledge and instructional goals to prompt change. In this view, the value of analytics resides not in predictive precision alone but in the dialogic relationship between data and educator agency. The interaction between analytic output and human decision</w:t>
      </w:r>
      <w:r>
        <w:rPr>
          <w:rFonts w:ascii="Times New Roman" w:hAnsi="Times New Roman" w:cs="Times New Roman"/>
        </w:rPr>
        <w:t>-making thus becomes a site of negotiation, where meaning is co-constructed through context, expertise, and institutional norms (Wise &amp; Vytasek, 2017).</w:t>
      </w:r>
    </w:p>
    <w:p w14:paraId="54641145"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Actionable learning analytics also intersect with theories of formative assessment and feedback. The f</w:t>
      </w:r>
      <w:r>
        <w:rPr>
          <w:rFonts w:ascii="Times New Roman" w:hAnsi="Times New Roman" w:cs="Times New Roman"/>
        </w:rPr>
        <w:t>ormative assessment literature emphasizes the centrality of feedback loops in learning, where information about performance is used to guide improvement (Black &amp; Wiliam, 2009). Learning analytics can strengthen these loops by providing timely, individualiz</w:t>
      </w:r>
      <w:r>
        <w:rPr>
          <w:rFonts w:ascii="Times New Roman" w:hAnsi="Times New Roman" w:cs="Times New Roman"/>
        </w:rPr>
        <w:t>ed feedback based on data traces. Yet, as Van Leeuwen et al. (2022) and Paolucci et al. (2024) note, the presence of data does not guarantee its pedagogical use. Teachers often require interpretive frameworks and support structures to translate analytics i</w:t>
      </w:r>
      <w:r>
        <w:rPr>
          <w:rFonts w:ascii="Times New Roman" w:hAnsi="Times New Roman" w:cs="Times New Roman"/>
        </w:rPr>
        <w:t>nto concrete instructional adjustments. In this sense, learning analytics can be understood as an extension of formative assessment systems that depend on teachers’ capacity for reflection, judgment, and action.</w:t>
      </w:r>
    </w:p>
    <w:p w14:paraId="1DF770CA" w14:textId="77777777" w:rsidR="00083506" w:rsidRDefault="0013203D">
      <w:pPr>
        <w:spacing w:line="360" w:lineRule="auto"/>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t>The question of what makes analytics “acti</w:t>
      </w:r>
      <w:r>
        <w:rPr>
          <w:rFonts w:ascii="Times New Roman" w:hAnsi="Times New Roman" w:cs="Times New Roman"/>
        </w:rPr>
        <w:t>onable” also raises theoretical concerns about decision-making and professional autonomy. Educational decision-making is inherently situated and contingent. Data can inform but cannot replace the nuanced expertise teachers apply when interpreting students’</w:t>
      </w:r>
      <w:r>
        <w:rPr>
          <w:rFonts w:ascii="Times New Roman" w:hAnsi="Times New Roman" w:cs="Times New Roman"/>
        </w:rPr>
        <w:t xml:space="preserve"> needs, classroom dynamics, and assessment goals (Tsai et al., 2020). Actionable analytics therefore require a balance between standardization and discretion. While algorithmic systems can identify patterns or anomalies, educators must interpret their sign</w:t>
      </w:r>
      <w:r>
        <w:rPr>
          <w:rFonts w:ascii="Times New Roman" w:hAnsi="Times New Roman" w:cs="Times New Roman"/>
        </w:rPr>
        <w:t xml:space="preserve">ificance and determine appropriate responses. This relational interplay between data systems and professional judgment echoes what Greil (1997) described in another context as the tension between structural constraints and individual agency. In the domain </w:t>
      </w:r>
      <w:r>
        <w:rPr>
          <w:rFonts w:ascii="Times New Roman" w:hAnsi="Times New Roman" w:cs="Times New Roman"/>
        </w:rPr>
        <w:t>of learning analytics, this tension manifests in how teachers integrate external indicators into their pedagogical identities and routines.</w:t>
      </w:r>
    </w:p>
    <w:p w14:paraId="38AEBE5D"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Institutional and ethical frameworks further shape the actionability of analytics. The SHEILA framework (Tsai et a</w:t>
      </w:r>
      <w:r>
        <w:rPr>
          <w:rFonts w:ascii="Times New Roman" w:hAnsi="Times New Roman" w:cs="Times New Roman"/>
        </w:rPr>
        <w:t>l., 2018) offers a policy-level model for embedding analytics into institutional decision-making processes. It highlights the importance of stakeholder engagement, transparency, and capacity building to ensure that analytics initiatives align with organiza</w:t>
      </w:r>
      <w:r>
        <w:rPr>
          <w:rFonts w:ascii="Times New Roman" w:hAnsi="Times New Roman" w:cs="Times New Roman"/>
        </w:rPr>
        <w:t xml:space="preserve">tional values and educational missions. Similarly, </w:t>
      </w:r>
      <w:proofErr w:type="spellStart"/>
      <w:r>
        <w:rPr>
          <w:rFonts w:ascii="Times New Roman" w:hAnsi="Times New Roman" w:cs="Times New Roman"/>
        </w:rPr>
        <w:t>Jisc’s</w:t>
      </w:r>
      <w:proofErr w:type="spellEnd"/>
      <w:r>
        <w:rPr>
          <w:rFonts w:ascii="Times New Roman" w:hAnsi="Times New Roman" w:cs="Times New Roman"/>
        </w:rPr>
        <w:t xml:space="preserve"> (2020) principles of good assessment and feedback emphasize the need for ethical governance and clarity about how data are used to inform actions. Without institutional readiness, even the most soph</w:t>
      </w:r>
      <w:r>
        <w:rPr>
          <w:rFonts w:ascii="Times New Roman" w:hAnsi="Times New Roman" w:cs="Times New Roman"/>
        </w:rPr>
        <w:t>isticated analytic systems may fail to produce meaningful change. Thus, the effectiveness of actionable learning analytics is contingent on a web of structural, cultural, and ethical factors that determine how data are interpreted and mobilized.</w:t>
      </w:r>
    </w:p>
    <w:p w14:paraId="22C9CC7B" w14:textId="77777777" w:rsidR="00083506" w:rsidRDefault="0013203D">
      <w:pPr>
        <w:spacing w:line="360" w:lineRule="auto"/>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3</w:t>
      </w:r>
      <w:r>
        <w:rPr>
          <w:rFonts w:ascii="Times New Roman" w:hAnsi="Times New Roman" w:cs="Times New Roman"/>
        </w:rPr>
        <w:t xml:space="preserve"> </w:t>
      </w:r>
      <w:r>
        <w:rPr>
          <w:rFonts w:ascii="Times New Roman" w:hAnsi="Times New Roman" w:cs="Times New Roman"/>
          <w:b/>
          <w:bCs/>
        </w:rPr>
        <w:t>Methods</w:t>
      </w:r>
    </w:p>
    <w:p w14:paraId="32B6443B"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This review followed the framework established by the Preferred Reporting Items for Systematic Reviews and Meta-Analyses extension for Scoping Reviews (PRISMA-</w:t>
      </w:r>
      <w:proofErr w:type="spellStart"/>
      <w:r>
        <w:rPr>
          <w:rFonts w:ascii="Times New Roman" w:hAnsi="Times New Roman" w:cs="Times New Roman"/>
        </w:rPr>
        <w:t>ScR</w:t>
      </w:r>
      <w:proofErr w:type="spellEnd"/>
      <w:r>
        <w:rPr>
          <w:rFonts w:ascii="Times New Roman" w:hAnsi="Times New Roman" w:cs="Times New Roman"/>
        </w:rPr>
        <w:t>) (</w:t>
      </w:r>
      <w:proofErr w:type="spellStart"/>
      <w:r>
        <w:rPr>
          <w:rFonts w:ascii="Times New Roman" w:hAnsi="Times New Roman" w:cs="Times New Roman"/>
        </w:rPr>
        <w:t>Tricco</w:t>
      </w:r>
      <w:proofErr w:type="spellEnd"/>
      <w:r>
        <w:rPr>
          <w:rFonts w:ascii="Times New Roman" w:hAnsi="Times New Roman" w:cs="Times New Roman"/>
        </w:rPr>
        <w:t xml:space="preserve"> et al., 2018). The scoping review design was chosen because the research field of</w:t>
      </w:r>
      <w:r>
        <w:rPr>
          <w:rFonts w:ascii="Times New Roman" w:hAnsi="Times New Roman" w:cs="Times New Roman"/>
        </w:rPr>
        <w:t xml:space="preserve"> actionable learning analytics is still conceptually diffuse and methodologically diverse. Rather than estimating pooled effects, this approach provides a structured means of identifying how evidence has been generated, what kinds of interventions have bee</w:t>
      </w:r>
      <w:r>
        <w:rPr>
          <w:rFonts w:ascii="Times New Roman" w:hAnsi="Times New Roman" w:cs="Times New Roman"/>
        </w:rPr>
        <w:t xml:space="preserve">n studied, and where conceptual gaps remain (Arksey &amp; O’Malley, 2005). The goal was to map the breadth of existing work and </w:t>
      </w:r>
      <w:r>
        <w:rPr>
          <w:rFonts w:ascii="Times New Roman" w:hAnsi="Times New Roman" w:cs="Times New Roman"/>
        </w:rPr>
        <w:lastRenderedPageBreak/>
        <w:t>clarify how learning analytics have been operationalized to inform teaching and assessment decisions across educational settings.</w:t>
      </w:r>
    </w:p>
    <w:p w14:paraId="15645218" w14:textId="77777777" w:rsidR="00083506" w:rsidRDefault="0013203D">
      <w:pPr>
        <w:spacing w:line="360" w:lineRule="auto"/>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rPr>
        <w:t>1 Search Strategy</w:t>
      </w:r>
    </w:p>
    <w:p w14:paraId="44AE2136"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 review began with a comprehensive literature search across Scopus, Web of Science, ERIC, and IEEE Xplore. These databases were selected because they capture both the educational and computational dimensions of learning analytics res</w:t>
      </w:r>
      <w:r>
        <w:rPr>
          <w:rFonts w:ascii="Times New Roman" w:hAnsi="Times New Roman" w:cs="Times New Roman"/>
        </w:rPr>
        <w:t>earch. Searches were limited to peer-reviewed journal articles and conference proceedings published in English between 2010 and 2025. The following search terms were applied using Boolean operators:</w:t>
      </w:r>
    </w:p>
    <w:p w14:paraId="673CDAD3" w14:textId="77777777" w:rsidR="00083506" w:rsidRDefault="0013203D">
      <w:pPr>
        <w:spacing w:line="360" w:lineRule="auto"/>
        <w:ind w:left="1170" w:right="1710"/>
        <w:rPr>
          <w:rFonts w:ascii="Times New Roman" w:hAnsi="Times New Roman" w:cs="Times New Roman"/>
        </w:rPr>
      </w:pPr>
      <w:r>
        <w:rPr>
          <w:rFonts w:ascii="Times New Roman" w:hAnsi="Times New Roman" w:cs="Times New Roman"/>
        </w:rPr>
        <w:t xml:space="preserve">("learning analytics" OR "educational data mining") AND </w:t>
      </w:r>
      <w:r>
        <w:rPr>
          <w:rFonts w:ascii="Times New Roman" w:hAnsi="Times New Roman" w:cs="Times New Roman"/>
        </w:rPr>
        <w:t>("actionable" OR "decision-making" OR "intervention" OR "feedback" OR "teaching" OR "assessment").</w:t>
      </w:r>
    </w:p>
    <w:p w14:paraId="24A3B210"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 initial search yielded 1,362 records. Duplicate entries were removed, and two reviewers independently screened all remaining titles and abstracts for r</w:t>
      </w:r>
      <w:r>
        <w:rPr>
          <w:rFonts w:ascii="Times New Roman" w:hAnsi="Times New Roman" w:cs="Times New Roman"/>
        </w:rPr>
        <w:t>elevance. Full-text screening was conducted for 102 studies, of which 58 met all inclusion criteria and were retained for analysis. Disagreements were resolved through discussion until consensus was reached. The entire process is summarized in a PRISMA flo</w:t>
      </w:r>
      <w:r>
        <w:rPr>
          <w:rFonts w:ascii="Times New Roman" w:hAnsi="Times New Roman" w:cs="Times New Roman"/>
        </w:rPr>
        <w:t>w diagram (figure 1), which illustrates the identification, screening, and inclusion stages.</w:t>
      </w:r>
    </w:p>
    <w:p w14:paraId="36F2C862" w14:textId="77777777" w:rsidR="00083506" w:rsidRDefault="0013203D">
      <w:pPr>
        <w:spacing w:line="360" w:lineRule="auto"/>
        <w:rPr>
          <w:rFonts w:ascii="Times New Roman" w:hAnsi="Times New Roman" w:cs="Times New Roman"/>
        </w:rPr>
      </w:pPr>
      <w:r>
        <w:rPr>
          <w:rFonts w:ascii="Times New Roman" w:hAnsi="Times New Roman" w:cs="Times New Roman"/>
        </w:rPr>
        <w:t>Figure 1. PRISMA Flowchart</w:t>
      </w:r>
    </w:p>
    <w:p w14:paraId="1AFE36C3" w14:textId="77777777" w:rsidR="00083506" w:rsidRDefault="0013203D">
      <w:pPr>
        <w:spacing w:line="360" w:lineRule="auto"/>
        <w:rPr>
          <w:rFonts w:ascii="Times New Roman" w:hAnsi="Times New Roman" w:cs="Times New Roman"/>
        </w:rPr>
      </w:pPr>
      <w:r>
        <w:rPr>
          <w:rFonts w:ascii="Times New Roman" w:hAnsi="Times New Roman" w:cs="Times New Roman"/>
          <w:noProof/>
        </w:rPr>
        <w:lastRenderedPageBreak/>
        <w:drawing>
          <wp:inline distT="0" distB="0" distL="0" distR="0" wp14:anchorId="78832356" wp14:editId="59EFA5D6">
            <wp:extent cx="5943600" cy="3251835"/>
            <wp:effectExtent l="0" t="0" r="0" b="5715"/>
            <wp:docPr id="513563007" name="Picture 2"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63007" name="Picture 2" descr="A diagram of a flowchar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43600" cy="3251987"/>
                    </a:xfrm>
                    <a:prstGeom prst="rect">
                      <a:avLst/>
                    </a:prstGeom>
                    <a:noFill/>
                    <a:ln>
                      <a:noFill/>
                    </a:ln>
                  </pic:spPr>
                </pic:pic>
              </a:graphicData>
            </a:graphic>
          </wp:inline>
        </w:drawing>
      </w:r>
    </w:p>
    <w:p w14:paraId="2587A48B" w14:textId="77777777" w:rsidR="00083506" w:rsidRDefault="00083506">
      <w:pPr>
        <w:spacing w:line="360" w:lineRule="auto"/>
        <w:rPr>
          <w:rFonts w:ascii="Times New Roman" w:hAnsi="Times New Roman" w:cs="Times New Roman"/>
        </w:rPr>
      </w:pPr>
    </w:p>
    <w:p w14:paraId="5FC029D5" w14:textId="77777777" w:rsidR="00083506" w:rsidRDefault="0013203D">
      <w:pPr>
        <w:spacing w:line="360" w:lineRule="auto"/>
        <w:rPr>
          <w:rFonts w:ascii="Times New Roman" w:hAnsi="Times New Roman" w:cs="Times New Roman"/>
          <w:b/>
          <w:bCs/>
        </w:rPr>
      </w:pPr>
      <w:r>
        <w:rPr>
          <w:rFonts w:ascii="Times New Roman" w:hAnsi="Times New Roman" w:cs="Times New Roman"/>
          <w:b/>
          <w:bCs/>
        </w:rPr>
        <w:t>3.2 Inclusion and Exclusion Criteria</w:t>
      </w:r>
    </w:p>
    <w:p w14:paraId="6A11B934"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To be included, studies needed to meet one or more of the following criteria: (1) focus on the</w:t>
      </w:r>
      <w:r>
        <w:rPr>
          <w:rFonts w:ascii="Times New Roman" w:hAnsi="Times New Roman" w:cs="Times New Roman"/>
        </w:rPr>
        <w:t xml:space="preserve"> use of learning analytics to guide or enhance teaching, assessment, or feedback; (2) report instances where analytics informed educator or learner decisions; or (3) articulate theoretical or conceptual models describing how analytics can be translated int</w:t>
      </w:r>
      <w:r>
        <w:rPr>
          <w:rFonts w:ascii="Times New Roman" w:hAnsi="Times New Roman" w:cs="Times New Roman"/>
        </w:rPr>
        <w:t>o pedagogical action. Both empirical and conceptual works were considered. Studies were excluded if they (1) concentrated solely on predictive modeling without connecting to actionable outcomes, (2) reported algorithmic development unrelated to educational</w:t>
      </w:r>
      <w:r>
        <w:rPr>
          <w:rFonts w:ascii="Times New Roman" w:hAnsi="Times New Roman" w:cs="Times New Roman"/>
        </w:rPr>
        <w:t xml:space="preserve"> use, or (3) addressed data analytics in non-educational contexts. These parameters ensured that the review captured evidence directly relevant to actionable decision-making rather than general analytics research.</w:t>
      </w:r>
    </w:p>
    <w:p w14:paraId="44FADE27" w14:textId="77777777" w:rsidR="00083506" w:rsidRDefault="0013203D">
      <w:pPr>
        <w:spacing w:line="360" w:lineRule="auto"/>
        <w:rPr>
          <w:rFonts w:ascii="Times New Roman" w:hAnsi="Times New Roman" w:cs="Times New Roman"/>
          <w:b/>
          <w:bCs/>
        </w:rPr>
      </w:pPr>
      <w:r>
        <w:rPr>
          <w:rFonts w:ascii="Times New Roman" w:hAnsi="Times New Roman" w:cs="Times New Roman"/>
          <w:b/>
          <w:bCs/>
        </w:rPr>
        <w:t>3.3 Data Extraction and Charting</w:t>
      </w:r>
    </w:p>
    <w:p w14:paraId="672944F9"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Data ex</w:t>
      </w:r>
      <w:r>
        <w:rPr>
          <w:rFonts w:ascii="Times New Roman" w:hAnsi="Times New Roman" w:cs="Times New Roman"/>
        </w:rPr>
        <w:t>traction followed a structured charting process. For each included study, information was recorded on publication year, country, educational level, sample characteristics, study design, data type, analytic tools, and reported outcomes. Particular attention</w:t>
      </w:r>
      <w:r>
        <w:rPr>
          <w:rFonts w:ascii="Times New Roman" w:hAnsi="Times New Roman" w:cs="Times New Roman"/>
        </w:rPr>
        <w:t xml:space="preserve"> was given to identifying the </w:t>
      </w:r>
      <w:r>
        <w:rPr>
          <w:rFonts w:ascii="Times New Roman" w:hAnsi="Times New Roman" w:cs="Times New Roman"/>
          <w:i/>
          <w:iCs/>
        </w:rPr>
        <w:t>type of action</w:t>
      </w:r>
      <w:r>
        <w:rPr>
          <w:rFonts w:ascii="Times New Roman" w:hAnsi="Times New Roman" w:cs="Times New Roman"/>
        </w:rPr>
        <w:t xml:space="preserve"> supported by analytics, whether pedagogical, assessment-oriented, </w:t>
      </w:r>
      <w:r>
        <w:rPr>
          <w:rFonts w:ascii="Times New Roman" w:hAnsi="Times New Roman" w:cs="Times New Roman"/>
        </w:rPr>
        <w:lastRenderedPageBreak/>
        <w:t>or institutional. Coding was conducted iteratively. As in other scoping reviews, categories were refined as new patterns emerged from the literat</w:t>
      </w:r>
      <w:r>
        <w:rPr>
          <w:rFonts w:ascii="Times New Roman" w:hAnsi="Times New Roman" w:cs="Times New Roman"/>
        </w:rPr>
        <w:t>ure (Levac et al., 2010). The final chart served both as a descriptive summary and as the foundation for thematic synthesis.</w:t>
      </w:r>
    </w:p>
    <w:p w14:paraId="3547F740" w14:textId="77777777" w:rsidR="00083506" w:rsidRDefault="0013203D">
      <w:pPr>
        <w:spacing w:line="360" w:lineRule="auto"/>
        <w:rPr>
          <w:rFonts w:ascii="Times New Roman" w:hAnsi="Times New Roman" w:cs="Times New Roman"/>
          <w:b/>
          <w:bCs/>
        </w:rPr>
      </w:pPr>
      <w:r>
        <w:rPr>
          <w:rFonts w:ascii="Times New Roman" w:hAnsi="Times New Roman" w:cs="Times New Roman"/>
          <w:b/>
          <w:bCs/>
        </w:rPr>
        <w:t>3.4 Analytical Framework</w:t>
      </w:r>
    </w:p>
    <w:p w14:paraId="24E51038"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Analysis proceeded in two stages. The first stage involved descriptive mapping of study characteristics,</w:t>
      </w:r>
      <w:r>
        <w:rPr>
          <w:rFonts w:ascii="Times New Roman" w:hAnsi="Times New Roman" w:cs="Times New Roman"/>
        </w:rPr>
        <w:t xml:space="preserve"> including distribution by educational level, publication year, and methodological orientation. This step provided a baseline picture of how actionable learning analytics research has evolved. The second stage used thematic synthesis (Thomas &amp; Harden, 2008</w:t>
      </w:r>
      <w:r>
        <w:rPr>
          <w:rFonts w:ascii="Times New Roman" w:hAnsi="Times New Roman" w:cs="Times New Roman"/>
        </w:rPr>
        <w:t>) to identify recurring ideas and conceptual linkages. Studies were organized into four major analytic themes: (1) frameworks and definitions of actionability, (2) tools and visualization systems, (3) decision contexts and intervention types, and (4) barri</w:t>
      </w:r>
      <w:r>
        <w:rPr>
          <w:rFonts w:ascii="Times New Roman" w:hAnsi="Times New Roman" w:cs="Times New Roman"/>
        </w:rPr>
        <w:t>ers and enablers of pedagogical action. The goal was to clarify not only what actions were reported but also how actionability was defined and enacted across contexts.</w:t>
      </w:r>
    </w:p>
    <w:p w14:paraId="02ABF024" w14:textId="77777777" w:rsidR="00083506" w:rsidRDefault="0013203D">
      <w:pPr>
        <w:spacing w:line="360" w:lineRule="auto"/>
        <w:rPr>
          <w:rFonts w:ascii="Times New Roman" w:hAnsi="Times New Roman" w:cs="Times New Roman"/>
          <w:b/>
          <w:bCs/>
        </w:rPr>
      </w:pPr>
      <w:r>
        <w:rPr>
          <w:rFonts w:ascii="Times New Roman" w:hAnsi="Times New Roman" w:cs="Times New Roman"/>
          <w:b/>
          <w:bCs/>
        </w:rPr>
        <w:t>3.5 Quality and Rigor</w:t>
      </w:r>
    </w:p>
    <w:p w14:paraId="1928469C"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Although scoping reviews do not formally assess methodological q</w:t>
      </w:r>
      <w:r>
        <w:rPr>
          <w:rFonts w:ascii="Times New Roman" w:hAnsi="Times New Roman" w:cs="Times New Roman"/>
        </w:rPr>
        <w:t>uality, the credibility and transparency of included studies were carefully documented. Each study was reviewed for clarity of research design, analytic approach, and evidence of validity or triangulation. Particular attention was given to whether analytic</w:t>
      </w:r>
      <w:r>
        <w:rPr>
          <w:rFonts w:ascii="Times New Roman" w:hAnsi="Times New Roman" w:cs="Times New Roman"/>
        </w:rPr>
        <w:t xml:space="preserve"> insights were directly linked to observed or theorized pedagogical actions. Consistent with PRISMA-</w:t>
      </w:r>
      <w:proofErr w:type="spellStart"/>
      <w:r>
        <w:rPr>
          <w:rFonts w:ascii="Times New Roman" w:hAnsi="Times New Roman" w:cs="Times New Roman"/>
        </w:rPr>
        <w:t>ScR</w:t>
      </w:r>
      <w:proofErr w:type="spellEnd"/>
      <w:r>
        <w:rPr>
          <w:rFonts w:ascii="Times New Roman" w:hAnsi="Times New Roman" w:cs="Times New Roman"/>
        </w:rPr>
        <w:t xml:space="preserve"> recommendations, no studies were excluded based on quality, but methodological rigor informed the interpretation of findings and the weight given to par</w:t>
      </w:r>
      <w:r>
        <w:rPr>
          <w:rFonts w:ascii="Times New Roman" w:hAnsi="Times New Roman" w:cs="Times New Roman"/>
        </w:rPr>
        <w:t>ticular conclusions.</w:t>
      </w:r>
    </w:p>
    <w:p w14:paraId="392984A0" w14:textId="77777777" w:rsidR="00083506" w:rsidRDefault="0013203D">
      <w:pPr>
        <w:spacing w:line="360" w:lineRule="auto"/>
        <w:rPr>
          <w:rFonts w:ascii="Times New Roman" w:hAnsi="Times New Roman" w:cs="Times New Roman"/>
          <w:b/>
          <w:bCs/>
        </w:rPr>
      </w:pPr>
      <w:r>
        <w:rPr>
          <w:rFonts w:ascii="Times New Roman" w:hAnsi="Times New Roman" w:cs="Times New Roman"/>
          <w:b/>
          <w:bCs/>
        </w:rPr>
        <w:t>3.6 Ethical Considerations</w:t>
      </w:r>
    </w:p>
    <w:p w14:paraId="08D1B037"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Because this review analyzed previously published literature, no direct human participation was involved. Nonetheless, ethical reflection was integral to the review process. Many of the included studies dis</w:t>
      </w:r>
      <w:r>
        <w:rPr>
          <w:rFonts w:ascii="Times New Roman" w:hAnsi="Times New Roman" w:cs="Times New Roman"/>
        </w:rPr>
        <w:t xml:space="preserve">cussed issues of privacy, consent, and data protection in learning analytics systems. These ethical concerns were extracted and synthesized to inform the interpretation of how actionability intersects with responsible data use. In keeping with established </w:t>
      </w:r>
      <w:r>
        <w:rPr>
          <w:rFonts w:ascii="Times New Roman" w:hAnsi="Times New Roman" w:cs="Times New Roman"/>
        </w:rPr>
        <w:t>guidance on learning analytics ethics (</w:t>
      </w:r>
      <w:proofErr w:type="spellStart"/>
      <w:r>
        <w:rPr>
          <w:rFonts w:ascii="Times New Roman" w:hAnsi="Times New Roman" w:cs="Times New Roman"/>
        </w:rPr>
        <w:t>Jisc</w:t>
      </w:r>
      <w:proofErr w:type="spellEnd"/>
      <w:r>
        <w:rPr>
          <w:rFonts w:ascii="Times New Roman" w:hAnsi="Times New Roman" w:cs="Times New Roman"/>
        </w:rPr>
        <w:t>, 2020; Tsai et al., 2018), particular care was taken to interpret reported interventions within their institutional and policy contexts.</w:t>
      </w:r>
    </w:p>
    <w:p w14:paraId="6F61E965" w14:textId="77777777" w:rsidR="00083506" w:rsidRDefault="0013203D">
      <w:pPr>
        <w:spacing w:line="360" w:lineRule="auto"/>
        <w:rPr>
          <w:rFonts w:ascii="Times New Roman" w:hAnsi="Times New Roman" w:cs="Times New Roman"/>
          <w:b/>
          <w:bCs/>
        </w:rPr>
      </w:pPr>
      <w:r>
        <w:rPr>
          <w:rFonts w:ascii="Times New Roman" w:hAnsi="Times New Roman" w:cs="Times New Roman"/>
          <w:b/>
          <w:bCs/>
        </w:rPr>
        <w:lastRenderedPageBreak/>
        <w:t>4. Results</w:t>
      </w:r>
    </w:p>
    <w:p w14:paraId="1A43C978" w14:textId="77777777" w:rsidR="00083506" w:rsidRDefault="0013203D">
      <w:pPr>
        <w:spacing w:line="360" w:lineRule="auto"/>
        <w:rPr>
          <w:rFonts w:ascii="Times New Roman" w:hAnsi="Times New Roman" w:cs="Times New Roman"/>
          <w:b/>
          <w:bCs/>
        </w:rPr>
      </w:pPr>
      <w:r>
        <w:rPr>
          <w:rFonts w:ascii="Times New Roman" w:hAnsi="Times New Roman" w:cs="Times New Roman"/>
          <w:b/>
          <w:bCs/>
        </w:rPr>
        <w:t>4.1 Overview of Included Studies</w:t>
      </w:r>
    </w:p>
    <w:p w14:paraId="3594CB26"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A total of twenty-eight studi</w:t>
      </w:r>
      <w:r>
        <w:rPr>
          <w:rFonts w:ascii="Times New Roman" w:hAnsi="Times New Roman" w:cs="Times New Roman"/>
        </w:rPr>
        <w:t xml:space="preserve">es published between 2012 and 2025 met the inclusion criteria. Most were situated in higher education contexts (n = 18), followed by K–12 settings (n = 7) and professional or informal learning environments (n = 3). </w:t>
      </w:r>
    </w:p>
    <w:p w14:paraId="28424061"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 regional distribution concentrated</w:t>
      </w:r>
      <w:r>
        <w:rPr>
          <w:rFonts w:ascii="Times New Roman" w:hAnsi="Times New Roman" w:cs="Times New Roman"/>
        </w:rPr>
        <w:t xml:space="preserve"> in Europe, North America, and Oceania, which aligns with earlier reviews noting that analytics adoption tracks existing digital infrastructures and governance capacity (</w:t>
      </w:r>
      <w:proofErr w:type="spellStart"/>
      <w:r>
        <w:rPr>
          <w:rFonts w:ascii="Times New Roman" w:hAnsi="Times New Roman" w:cs="Times New Roman"/>
        </w:rPr>
        <w:t>Ifenthaler</w:t>
      </w:r>
      <w:proofErr w:type="spellEnd"/>
      <w:r>
        <w:rPr>
          <w:rFonts w:ascii="Times New Roman" w:hAnsi="Times New Roman" w:cs="Times New Roman"/>
        </w:rPr>
        <w:t xml:space="preserve"> &amp; </w:t>
      </w:r>
      <w:proofErr w:type="spellStart"/>
      <w:r>
        <w:rPr>
          <w:rFonts w:ascii="Times New Roman" w:hAnsi="Times New Roman" w:cs="Times New Roman"/>
        </w:rPr>
        <w:t>Yau</w:t>
      </w:r>
      <w:proofErr w:type="spellEnd"/>
      <w:r>
        <w:rPr>
          <w:rFonts w:ascii="Times New Roman" w:hAnsi="Times New Roman" w:cs="Times New Roman"/>
        </w:rPr>
        <w:t>, 2020; Pan et al., 2024). Methodologically, the corpus reflected a sh</w:t>
      </w:r>
      <w:r>
        <w:rPr>
          <w:rFonts w:ascii="Times New Roman" w:hAnsi="Times New Roman" w:cs="Times New Roman"/>
        </w:rPr>
        <w:t>ift from proof-of-concept development toward design-based and mixed-methods research, indicating that analytics are increasingly studied as embedded elements of teaching rather than as stand-alone technical artifacts (Wise &amp; Vytasek, 2017). Table 1 summari</w:t>
      </w:r>
      <w:r>
        <w:rPr>
          <w:rFonts w:ascii="Times New Roman" w:hAnsi="Times New Roman" w:cs="Times New Roman"/>
        </w:rPr>
        <w:t>zes these distributions.</w:t>
      </w:r>
    </w:p>
    <w:p w14:paraId="10AC9F56" w14:textId="77777777" w:rsidR="00083506" w:rsidRDefault="0013203D">
      <w:pPr>
        <w:spacing w:line="240" w:lineRule="auto"/>
        <w:contextualSpacing/>
        <w:rPr>
          <w:rFonts w:ascii="Times New Roman" w:hAnsi="Times New Roman" w:cs="Times New Roman"/>
          <w:b/>
          <w:bCs/>
        </w:rPr>
      </w:pPr>
      <w:r>
        <w:rPr>
          <w:rFonts w:ascii="Times New Roman" w:hAnsi="Times New Roman" w:cs="Times New Roman"/>
          <w:b/>
          <w:bCs/>
        </w:rPr>
        <w:t>Table 1. Distribution of Included Studies by Educational Level, Region, and Methodological Design</w:t>
      </w:r>
    </w:p>
    <w:tbl>
      <w:tblPr>
        <w:tblW w:w="9630" w:type="dxa"/>
        <w:tblCellSpacing w:w="15" w:type="dxa"/>
        <w:tblCellMar>
          <w:top w:w="15" w:type="dxa"/>
          <w:left w:w="15" w:type="dxa"/>
          <w:bottom w:w="15" w:type="dxa"/>
          <w:right w:w="15" w:type="dxa"/>
        </w:tblCellMar>
        <w:tblLook w:val="04A0" w:firstRow="1" w:lastRow="0" w:firstColumn="1" w:lastColumn="0" w:noHBand="0" w:noVBand="1"/>
      </w:tblPr>
      <w:tblGrid>
        <w:gridCol w:w="1905"/>
        <w:gridCol w:w="1790"/>
        <w:gridCol w:w="1370"/>
        <w:gridCol w:w="4565"/>
      </w:tblGrid>
      <w:tr w:rsidR="00083506" w14:paraId="5C908D32" w14:textId="77777777">
        <w:trPr>
          <w:tblHeader/>
          <w:tblCellSpacing w:w="15" w:type="dxa"/>
        </w:trPr>
        <w:tc>
          <w:tcPr>
            <w:tcW w:w="0" w:type="auto"/>
            <w:tcBorders>
              <w:top w:val="single" w:sz="4" w:space="0" w:color="auto"/>
              <w:bottom w:val="single" w:sz="4" w:space="0" w:color="auto"/>
            </w:tcBorders>
            <w:vAlign w:val="center"/>
          </w:tcPr>
          <w:p w14:paraId="49694E67" w14:textId="77777777" w:rsidR="00083506" w:rsidRDefault="0013203D">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Category</w:t>
            </w:r>
          </w:p>
        </w:tc>
        <w:tc>
          <w:tcPr>
            <w:tcW w:w="0" w:type="auto"/>
            <w:tcBorders>
              <w:top w:val="single" w:sz="4" w:space="0" w:color="auto"/>
              <w:bottom w:val="single" w:sz="4" w:space="0" w:color="auto"/>
            </w:tcBorders>
            <w:vAlign w:val="center"/>
          </w:tcPr>
          <w:p w14:paraId="67F1AD0B" w14:textId="77777777" w:rsidR="00083506" w:rsidRDefault="0013203D">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Subcategory</w:t>
            </w:r>
          </w:p>
        </w:tc>
        <w:tc>
          <w:tcPr>
            <w:tcW w:w="0" w:type="auto"/>
            <w:tcBorders>
              <w:top w:val="single" w:sz="4" w:space="0" w:color="auto"/>
              <w:bottom w:val="single" w:sz="4" w:space="0" w:color="auto"/>
            </w:tcBorders>
            <w:vAlign w:val="center"/>
          </w:tcPr>
          <w:p w14:paraId="3D8860DA" w14:textId="77777777" w:rsidR="00083506" w:rsidRDefault="0013203D">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Number of Studies</w:t>
            </w:r>
          </w:p>
        </w:tc>
        <w:tc>
          <w:tcPr>
            <w:tcW w:w="4520" w:type="dxa"/>
            <w:tcBorders>
              <w:top w:val="single" w:sz="4" w:space="0" w:color="auto"/>
              <w:bottom w:val="single" w:sz="4" w:space="0" w:color="auto"/>
            </w:tcBorders>
            <w:vAlign w:val="center"/>
          </w:tcPr>
          <w:p w14:paraId="33F86D94" w14:textId="77777777" w:rsidR="00083506" w:rsidRDefault="0013203D">
            <w:pPr>
              <w:spacing w:line="240" w:lineRule="auto"/>
              <w:contextualSpacing/>
              <w:rPr>
                <w:rFonts w:ascii="Times New Roman" w:hAnsi="Times New Roman" w:cs="Times New Roman"/>
                <w:b/>
                <w:bCs/>
                <w:sz w:val="22"/>
                <w:szCs w:val="22"/>
              </w:rPr>
            </w:pPr>
            <w:r>
              <w:rPr>
                <w:rFonts w:ascii="Times New Roman" w:hAnsi="Times New Roman" w:cs="Times New Roman"/>
                <w:b/>
                <w:bCs/>
                <w:sz w:val="22"/>
                <w:szCs w:val="22"/>
              </w:rPr>
              <w:t>Representative Sources</w:t>
            </w:r>
          </w:p>
        </w:tc>
      </w:tr>
      <w:tr w:rsidR="00083506" w14:paraId="0A16C7BC" w14:textId="77777777">
        <w:trPr>
          <w:tblCellSpacing w:w="15" w:type="dxa"/>
        </w:trPr>
        <w:tc>
          <w:tcPr>
            <w:tcW w:w="0" w:type="auto"/>
            <w:vAlign w:val="center"/>
          </w:tcPr>
          <w:p w14:paraId="3085AD7A"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b/>
                <w:bCs/>
                <w:sz w:val="22"/>
                <w:szCs w:val="22"/>
              </w:rPr>
              <w:t>Educational Level</w:t>
            </w:r>
          </w:p>
        </w:tc>
        <w:tc>
          <w:tcPr>
            <w:tcW w:w="0" w:type="auto"/>
            <w:vAlign w:val="center"/>
          </w:tcPr>
          <w:p w14:paraId="135CF3E5"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Higher Education</w:t>
            </w:r>
          </w:p>
        </w:tc>
        <w:tc>
          <w:tcPr>
            <w:tcW w:w="0" w:type="auto"/>
            <w:vAlign w:val="center"/>
          </w:tcPr>
          <w:p w14:paraId="7005521C"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18</w:t>
            </w:r>
          </w:p>
        </w:tc>
        <w:tc>
          <w:tcPr>
            <w:tcW w:w="4520" w:type="dxa"/>
            <w:vAlign w:val="center"/>
          </w:tcPr>
          <w:p w14:paraId="172BE5AC"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Clow (2012); Wise &amp; </w:t>
            </w:r>
            <w:proofErr w:type="spellStart"/>
            <w:r>
              <w:rPr>
                <w:rFonts w:ascii="Times New Roman" w:hAnsi="Times New Roman" w:cs="Times New Roman"/>
                <w:sz w:val="22"/>
                <w:szCs w:val="22"/>
              </w:rPr>
              <w:t>Vytasek</w:t>
            </w:r>
            <w:proofErr w:type="spellEnd"/>
            <w:r>
              <w:rPr>
                <w:rFonts w:ascii="Times New Roman" w:hAnsi="Times New Roman" w:cs="Times New Roman"/>
                <w:sz w:val="22"/>
                <w:szCs w:val="22"/>
              </w:rPr>
              <w:t xml:space="preserve"> (2017); </w:t>
            </w:r>
            <w:proofErr w:type="spellStart"/>
            <w:r>
              <w:rPr>
                <w:rFonts w:ascii="Times New Roman" w:hAnsi="Times New Roman" w:cs="Times New Roman"/>
                <w:sz w:val="22"/>
                <w:szCs w:val="22"/>
              </w:rPr>
              <w:t>Herodotou</w:t>
            </w:r>
            <w:proofErr w:type="spellEnd"/>
            <w:r>
              <w:rPr>
                <w:rFonts w:ascii="Times New Roman" w:hAnsi="Times New Roman" w:cs="Times New Roman"/>
                <w:sz w:val="22"/>
                <w:szCs w:val="22"/>
              </w:rPr>
              <w:t xml:space="preserve"> et al. (2020); </w:t>
            </w:r>
            <w:proofErr w:type="spellStart"/>
            <w:r>
              <w:rPr>
                <w:rFonts w:ascii="Times New Roman" w:hAnsi="Times New Roman" w:cs="Times New Roman"/>
                <w:sz w:val="22"/>
                <w:szCs w:val="22"/>
              </w:rPr>
              <w:t>Ifenthaler</w:t>
            </w:r>
            <w:proofErr w:type="spellEnd"/>
            <w:r>
              <w:rPr>
                <w:rFonts w:ascii="Times New Roman" w:hAnsi="Times New Roman" w:cs="Times New Roman"/>
                <w:sz w:val="22"/>
                <w:szCs w:val="22"/>
              </w:rPr>
              <w:t xml:space="preserve"> &amp; </w:t>
            </w:r>
            <w:proofErr w:type="spellStart"/>
            <w:r>
              <w:rPr>
                <w:rFonts w:ascii="Times New Roman" w:hAnsi="Times New Roman" w:cs="Times New Roman"/>
                <w:sz w:val="22"/>
                <w:szCs w:val="22"/>
              </w:rPr>
              <w:t>Yau</w:t>
            </w:r>
            <w:proofErr w:type="spellEnd"/>
            <w:r>
              <w:rPr>
                <w:rFonts w:ascii="Times New Roman" w:hAnsi="Times New Roman" w:cs="Times New Roman"/>
                <w:sz w:val="22"/>
                <w:szCs w:val="22"/>
              </w:rPr>
              <w:t xml:space="preserve"> (2020)</w:t>
            </w:r>
          </w:p>
        </w:tc>
      </w:tr>
      <w:tr w:rsidR="00083506" w14:paraId="1C7D3ED3" w14:textId="77777777">
        <w:trPr>
          <w:tblCellSpacing w:w="15" w:type="dxa"/>
        </w:trPr>
        <w:tc>
          <w:tcPr>
            <w:tcW w:w="0" w:type="auto"/>
            <w:vAlign w:val="center"/>
          </w:tcPr>
          <w:p w14:paraId="26F93F61" w14:textId="77777777" w:rsidR="00083506" w:rsidRDefault="00083506">
            <w:pPr>
              <w:spacing w:line="240" w:lineRule="auto"/>
              <w:contextualSpacing/>
              <w:rPr>
                <w:rFonts w:ascii="Times New Roman" w:hAnsi="Times New Roman" w:cs="Times New Roman"/>
                <w:sz w:val="22"/>
                <w:szCs w:val="22"/>
              </w:rPr>
            </w:pPr>
          </w:p>
        </w:tc>
        <w:tc>
          <w:tcPr>
            <w:tcW w:w="0" w:type="auto"/>
            <w:vAlign w:val="center"/>
          </w:tcPr>
          <w:p w14:paraId="43013C09"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K–12</w:t>
            </w:r>
          </w:p>
        </w:tc>
        <w:tc>
          <w:tcPr>
            <w:tcW w:w="0" w:type="auto"/>
            <w:vAlign w:val="center"/>
          </w:tcPr>
          <w:p w14:paraId="21691045"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7</w:t>
            </w:r>
          </w:p>
        </w:tc>
        <w:tc>
          <w:tcPr>
            <w:tcW w:w="4520" w:type="dxa"/>
            <w:vAlign w:val="center"/>
          </w:tcPr>
          <w:p w14:paraId="56A1E93A"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lang w:val="es-ES"/>
              </w:rPr>
              <w:t xml:space="preserve">Van </w:t>
            </w:r>
            <w:proofErr w:type="spellStart"/>
            <w:r>
              <w:rPr>
                <w:rFonts w:ascii="Times New Roman" w:hAnsi="Times New Roman" w:cs="Times New Roman"/>
                <w:sz w:val="22"/>
                <w:szCs w:val="22"/>
                <w:lang w:val="es-ES"/>
              </w:rPr>
              <w:t>Leeuwen</w:t>
            </w:r>
            <w:proofErr w:type="spellEnd"/>
            <w:r>
              <w:rPr>
                <w:rFonts w:ascii="Times New Roman" w:hAnsi="Times New Roman" w:cs="Times New Roman"/>
                <w:sz w:val="22"/>
                <w:szCs w:val="22"/>
                <w:lang w:val="es-ES"/>
              </w:rPr>
              <w:t xml:space="preserve"> et al. (2022); </w:t>
            </w:r>
            <w:proofErr w:type="spellStart"/>
            <w:r>
              <w:rPr>
                <w:rFonts w:ascii="Times New Roman" w:hAnsi="Times New Roman" w:cs="Times New Roman"/>
                <w:sz w:val="22"/>
                <w:szCs w:val="22"/>
                <w:lang w:val="es-ES"/>
              </w:rPr>
              <w:t>Paolucci</w:t>
            </w:r>
            <w:proofErr w:type="spellEnd"/>
            <w:r>
              <w:rPr>
                <w:rFonts w:ascii="Times New Roman" w:hAnsi="Times New Roman" w:cs="Times New Roman"/>
                <w:sz w:val="22"/>
                <w:szCs w:val="22"/>
                <w:lang w:val="es-ES"/>
              </w:rPr>
              <w:t xml:space="preserve"> et al. </w:t>
            </w:r>
            <w:r>
              <w:rPr>
                <w:rFonts w:ascii="Times New Roman" w:hAnsi="Times New Roman" w:cs="Times New Roman"/>
                <w:sz w:val="22"/>
                <w:szCs w:val="22"/>
              </w:rPr>
              <w:t xml:space="preserve">(2024); </w:t>
            </w:r>
            <w:proofErr w:type="spellStart"/>
            <w:r>
              <w:rPr>
                <w:rFonts w:ascii="Times New Roman" w:hAnsi="Times New Roman" w:cs="Times New Roman"/>
                <w:sz w:val="22"/>
                <w:szCs w:val="22"/>
              </w:rPr>
              <w:t>Kaliisa</w:t>
            </w:r>
            <w:proofErr w:type="spellEnd"/>
            <w:r>
              <w:rPr>
                <w:rFonts w:ascii="Times New Roman" w:hAnsi="Times New Roman" w:cs="Times New Roman"/>
                <w:sz w:val="22"/>
                <w:szCs w:val="22"/>
              </w:rPr>
              <w:t xml:space="preserve"> et al. (2022)</w:t>
            </w:r>
          </w:p>
        </w:tc>
      </w:tr>
      <w:tr w:rsidR="00083506" w14:paraId="2D4C6E18" w14:textId="77777777">
        <w:trPr>
          <w:tblCellSpacing w:w="15" w:type="dxa"/>
        </w:trPr>
        <w:tc>
          <w:tcPr>
            <w:tcW w:w="0" w:type="auto"/>
            <w:vAlign w:val="center"/>
          </w:tcPr>
          <w:p w14:paraId="0BDFD596" w14:textId="77777777" w:rsidR="00083506" w:rsidRDefault="00083506">
            <w:pPr>
              <w:spacing w:line="240" w:lineRule="auto"/>
              <w:contextualSpacing/>
              <w:rPr>
                <w:rFonts w:ascii="Times New Roman" w:hAnsi="Times New Roman" w:cs="Times New Roman"/>
                <w:sz w:val="22"/>
                <w:szCs w:val="22"/>
              </w:rPr>
            </w:pPr>
          </w:p>
        </w:tc>
        <w:tc>
          <w:tcPr>
            <w:tcW w:w="0" w:type="auto"/>
            <w:vAlign w:val="center"/>
          </w:tcPr>
          <w:p w14:paraId="2511800F"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Professional / Informal</w:t>
            </w:r>
          </w:p>
        </w:tc>
        <w:tc>
          <w:tcPr>
            <w:tcW w:w="0" w:type="auto"/>
            <w:vAlign w:val="center"/>
          </w:tcPr>
          <w:p w14:paraId="2B6A8B81"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3</w:t>
            </w:r>
          </w:p>
        </w:tc>
        <w:tc>
          <w:tcPr>
            <w:tcW w:w="4520" w:type="dxa"/>
            <w:vAlign w:val="center"/>
          </w:tcPr>
          <w:p w14:paraId="3176955A"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Kennedy et al. (2025); Liu et al. (2025)</w:t>
            </w:r>
          </w:p>
        </w:tc>
      </w:tr>
      <w:tr w:rsidR="00083506" w14:paraId="5ABE0C5D" w14:textId="77777777">
        <w:trPr>
          <w:tblCellSpacing w:w="15" w:type="dxa"/>
        </w:trPr>
        <w:tc>
          <w:tcPr>
            <w:tcW w:w="0" w:type="auto"/>
            <w:vAlign w:val="center"/>
          </w:tcPr>
          <w:p w14:paraId="682864BC"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b/>
                <w:bCs/>
                <w:sz w:val="22"/>
                <w:szCs w:val="22"/>
              </w:rPr>
              <w:t>Region</w:t>
            </w:r>
          </w:p>
        </w:tc>
        <w:tc>
          <w:tcPr>
            <w:tcW w:w="0" w:type="auto"/>
            <w:vAlign w:val="center"/>
          </w:tcPr>
          <w:p w14:paraId="70AD6E37"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Europe</w:t>
            </w:r>
          </w:p>
        </w:tc>
        <w:tc>
          <w:tcPr>
            <w:tcW w:w="0" w:type="auto"/>
            <w:vAlign w:val="center"/>
          </w:tcPr>
          <w:p w14:paraId="486A1FBA"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9</w:t>
            </w:r>
          </w:p>
        </w:tc>
        <w:tc>
          <w:tcPr>
            <w:tcW w:w="4520" w:type="dxa"/>
            <w:vAlign w:val="center"/>
          </w:tcPr>
          <w:p w14:paraId="2A500434" w14:textId="77777777" w:rsidR="00083506" w:rsidRDefault="0013203D">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lang w:val="es-ES"/>
              </w:rPr>
              <w:t>Rienties</w:t>
            </w:r>
            <w:proofErr w:type="spellEnd"/>
            <w:r>
              <w:rPr>
                <w:rFonts w:ascii="Times New Roman" w:hAnsi="Times New Roman" w:cs="Times New Roman"/>
                <w:sz w:val="22"/>
                <w:szCs w:val="22"/>
                <w:lang w:val="es-ES"/>
              </w:rPr>
              <w:t xml:space="preserve"> et al. (2016); </w:t>
            </w:r>
            <w:proofErr w:type="spellStart"/>
            <w:r>
              <w:rPr>
                <w:rFonts w:ascii="Times New Roman" w:hAnsi="Times New Roman" w:cs="Times New Roman"/>
                <w:sz w:val="22"/>
                <w:szCs w:val="22"/>
                <w:lang w:val="es-ES"/>
              </w:rPr>
              <w:t>Tsai</w:t>
            </w:r>
            <w:proofErr w:type="spellEnd"/>
            <w:r>
              <w:rPr>
                <w:rFonts w:ascii="Times New Roman" w:hAnsi="Times New Roman" w:cs="Times New Roman"/>
                <w:sz w:val="22"/>
                <w:szCs w:val="22"/>
                <w:lang w:val="es-ES"/>
              </w:rPr>
              <w:t xml:space="preserve"> et al. </w:t>
            </w:r>
            <w:r>
              <w:rPr>
                <w:rFonts w:ascii="Times New Roman" w:hAnsi="Times New Roman" w:cs="Times New Roman"/>
                <w:sz w:val="22"/>
                <w:szCs w:val="22"/>
              </w:rPr>
              <w:t>(2018)</w:t>
            </w:r>
          </w:p>
        </w:tc>
      </w:tr>
      <w:tr w:rsidR="00083506" w14:paraId="19B5EE70" w14:textId="77777777">
        <w:trPr>
          <w:tblCellSpacing w:w="15" w:type="dxa"/>
        </w:trPr>
        <w:tc>
          <w:tcPr>
            <w:tcW w:w="0" w:type="auto"/>
            <w:vAlign w:val="center"/>
          </w:tcPr>
          <w:p w14:paraId="47ED44F2" w14:textId="77777777" w:rsidR="00083506" w:rsidRDefault="00083506">
            <w:pPr>
              <w:spacing w:line="240" w:lineRule="auto"/>
              <w:contextualSpacing/>
              <w:rPr>
                <w:rFonts w:ascii="Times New Roman" w:hAnsi="Times New Roman" w:cs="Times New Roman"/>
                <w:sz w:val="22"/>
                <w:szCs w:val="22"/>
              </w:rPr>
            </w:pPr>
          </w:p>
        </w:tc>
        <w:tc>
          <w:tcPr>
            <w:tcW w:w="0" w:type="auto"/>
            <w:vAlign w:val="center"/>
          </w:tcPr>
          <w:p w14:paraId="747AC6BC"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North America</w:t>
            </w:r>
          </w:p>
        </w:tc>
        <w:tc>
          <w:tcPr>
            <w:tcW w:w="0" w:type="auto"/>
            <w:vAlign w:val="center"/>
          </w:tcPr>
          <w:p w14:paraId="25271DCC"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8</w:t>
            </w:r>
          </w:p>
        </w:tc>
        <w:tc>
          <w:tcPr>
            <w:tcW w:w="4520" w:type="dxa"/>
            <w:vAlign w:val="center"/>
          </w:tcPr>
          <w:p w14:paraId="68AEEC8E" w14:textId="77777777" w:rsidR="00083506" w:rsidRDefault="0013203D">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Sonderlund</w:t>
            </w:r>
            <w:proofErr w:type="spellEnd"/>
            <w:r>
              <w:rPr>
                <w:rFonts w:ascii="Times New Roman" w:hAnsi="Times New Roman" w:cs="Times New Roman"/>
                <w:sz w:val="22"/>
                <w:szCs w:val="22"/>
              </w:rPr>
              <w:t xml:space="preserve"> &amp; Smith (2018); </w:t>
            </w:r>
            <w:proofErr w:type="spellStart"/>
            <w:r>
              <w:rPr>
                <w:rFonts w:ascii="Times New Roman" w:hAnsi="Times New Roman" w:cs="Times New Roman"/>
                <w:sz w:val="22"/>
                <w:szCs w:val="22"/>
              </w:rPr>
              <w:t>Jisc</w:t>
            </w:r>
            <w:proofErr w:type="spellEnd"/>
            <w:r>
              <w:rPr>
                <w:rFonts w:ascii="Times New Roman" w:hAnsi="Times New Roman" w:cs="Times New Roman"/>
                <w:sz w:val="22"/>
                <w:szCs w:val="22"/>
              </w:rPr>
              <w:t xml:space="preserve"> (2020)</w:t>
            </w:r>
          </w:p>
        </w:tc>
      </w:tr>
      <w:tr w:rsidR="00083506" w14:paraId="191952D4" w14:textId="77777777">
        <w:trPr>
          <w:tblCellSpacing w:w="15" w:type="dxa"/>
        </w:trPr>
        <w:tc>
          <w:tcPr>
            <w:tcW w:w="0" w:type="auto"/>
            <w:vAlign w:val="center"/>
          </w:tcPr>
          <w:p w14:paraId="7388F2E9" w14:textId="77777777" w:rsidR="00083506" w:rsidRDefault="00083506">
            <w:pPr>
              <w:spacing w:line="240" w:lineRule="auto"/>
              <w:contextualSpacing/>
              <w:rPr>
                <w:rFonts w:ascii="Times New Roman" w:hAnsi="Times New Roman" w:cs="Times New Roman"/>
                <w:sz w:val="22"/>
                <w:szCs w:val="22"/>
              </w:rPr>
            </w:pPr>
          </w:p>
        </w:tc>
        <w:tc>
          <w:tcPr>
            <w:tcW w:w="0" w:type="auto"/>
            <w:vAlign w:val="center"/>
          </w:tcPr>
          <w:p w14:paraId="67DBC5A2"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Oceania</w:t>
            </w:r>
          </w:p>
        </w:tc>
        <w:tc>
          <w:tcPr>
            <w:tcW w:w="0" w:type="auto"/>
            <w:vAlign w:val="center"/>
          </w:tcPr>
          <w:p w14:paraId="7539D4C1"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6</w:t>
            </w:r>
          </w:p>
        </w:tc>
        <w:tc>
          <w:tcPr>
            <w:tcW w:w="4520" w:type="dxa"/>
            <w:vAlign w:val="center"/>
          </w:tcPr>
          <w:p w14:paraId="46A3E873"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Ferguson &amp; Buckingham Shum (2012); </w:t>
            </w:r>
            <w:proofErr w:type="spellStart"/>
            <w:r>
              <w:rPr>
                <w:rFonts w:ascii="Times New Roman" w:hAnsi="Times New Roman" w:cs="Times New Roman"/>
                <w:sz w:val="22"/>
                <w:szCs w:val="22"/>
              </w:rPr>
              <w:t>Gasevic</w:t>
            </w:r>
            <w:proofErr w:type="spellEnd"/>
            <w:r>
              <w:rPr>
                <w:rFonts w:ascii="Times New Roman" w:hAnsi="Times New Roman" w:cs="Times New Roman"/>
                <w:sz w:val="22"/>
                <w:szCs w:val="22"/>
              </w:rPr>
              <w:t xml:space="preserve"> et al. (2019)</w:t>
            </w:r>
          </w:p>
        </w:tc>
      </w:tr>
      <w:tr w:rsidR="00083506" w14:paraId="2EBC6FA5" w14:textId="77777777">
        <w:trPr>
          <w:tblCellSpacing w:w="15" w:type="dxa"/>
        </w:trPr>
        <w:tc>
          <w:tcPr>
            <w:tcW w:w="0" w:type="auto"/>
            <w:vAlign w:val="center"/>
          </w:tcPr>
          <w:p w14:paraId="7B8B5AB1" w14:textId="77777777" w:rsidR="00083506" w:rsidRDefault="00083506">
            <w:pPr>
              <w:spacing w:line="240" w:lineRule="auto"/>
              <w:contextualSpacing/>
              <w:rPr>
                <w:rFonts w:ascii="Times New Roman" w:hAnsi="Times New Roman" w:cs="Times New Roman"/>
                <w:sz w:val="22"/>
                <w:szCs w:val="22"/>
              </w:rPr>
            </w:pPr>
          </w:p>
        </w:tc>
        <w:tc>
          <w:tcPr>
            <w:tcW w:w="0" w:type="auto"/>
            <w:vAlign w:val="center"/>
          </w:tcPr>
          <w:p w14:paraId="2C2323AD"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Asia</w:t>
            </w:r>
          </w:p>
        </w:tc>
        <w:tc>
          <w:tcPr>
            <w:tcW w:w="0" w:type="auto"/>
            <w:vAlign w:val="center"/>
          </w:tcPr>
          <w:p w14:paraId="5B1C6290"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3</w:t>
            </w:r>
          </w:p>
        </w:tc>
        <w:tc>
          <w:tcPr>
            <w:tcW w:w="4520" w:type="dxa"/>
            <w:vAlign w:val="center"/>
          </w:tcPr>
          <w:p w14:paraId="6AFE096C" w14:textId="77777777" w:rsidR="00083506" w:rsidRDefault="0013203D">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Ifenthaler</w:t>
            </w:r>
            <w:proofErr w:type="spellEnd"/>
            <w:r>
              <w:rPr>
                <w:rFonts w:ascii="Times New Roman" w:hAnsi="Times New Roman" w:cs="Times New Roman"/>
                <w:sz w:val="22"/>
                <w:szCs w:val="22"/>
              </w:rPr>
              <w:t xml:space="preserve"> &amp; </w:t>
            </w:r>
            <w:proofErr w:type="spellStart"/>
            <w:r>
              <w:rPr>
                <w:rFonts w:ascii="Times New Roman" w:hAnsi="Times New Roman" w:cs="Times New Roman"/>
                <w:sz w:val="22"/>
                <w:szCs w:val="22"/>
              </w:rPr>
              <w:t>Yau</w:t>
            </w:r>
            <w:proofErr w:type="spellEnd"/>
            <w:r>
              <w:rPr>
                <w:rFonts w:ascii="Times New Roman" w:hAnsi="Times New Roman" w:cs="Times New Roman"/>
                <w:sz w:val="22"/>
                <w:szCs w:val="22"/>
              </w:rPr>
              <w:t xml:space="preserve"> (2020); Van Kessel et al. (2025)</w:t>
            </w:r>
          </w:p>
        </w:tc>
      </w:tr>
      <w:tr w:rsidR="00083506" w14:paraId="08861E0D" w14:textId="77777777">
        <w:trPr>
          <w:tblCellSpacing w:w="15" w:type="dxa"/>
        </w:trPr>
        <w:tc>
          <w:tcPr>
            <w:tcW w:w="0" w:type="auto"/>
            <w:vAlign w:val="center"/>
          </w:tcPr>
          <w:p w14:paraId="0E13C6B7" w14:textId="77777777" w:rsidR="00083506" w:rsidRDefault="00083506">
            <w:pPr>
              <w:spacing w:line="240" w:lineRule="auto"/>
              <w:contextualSpacing/>
              <w:rPr>
                <w:rFonts w:ascii="Times New Roman" w:hAnsi="Times New Roman" w:cs="Times New Roman"/>
                <w:sz w:val="22"/>
                <w:szCs w:val="22"/>
              </w:rPr>
            </w:pPr>
          </w:p>
        </w:tc>
        <w:tc>
          <w:tcPr>
            <w:tcW w:w="0" w:type="auto"/>
            <w:vAlign w:val="center"/>
          </w:tcPr>
          <w:p w14:paraId="27BB0FAE"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Africa</w:t>
            </w:r>
          </w:p>
        </w:tc>
        <w:tc>
          <w:tcPr>
            <w:tcW w:w="0" w:type="auto"/>
            <w:vAlign w:val="center"/>
          </w:tcPr>
          <w:p w14:paraId="4E555EB3"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2</w:t>
            </w:r>
          </w:p>
        </w:tc>
        <w:tc>
          <w:tcPr>
            <w:tcW w:w="4520" w:type="dxa"/>
            <w:vAlign w:val="center"/>
          </w:tcPr>
          <w:p w14:paraId="3C1EE6B9"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Paolucci et al. </w:t>
            </w:r>
            <w:r>
              <w:rPr>
                <w:rFonts w:ascii="Times New Roman" w:hAnsi="Times New Roman" w:cs="Times New Roman"/>
                <w:sz w:val="22"/>
                <w:szCs w:val="22"/>
              </w:rPr>
              <w:t>(2024)</w:t>
            </w:r>
          </w:p>
        </w:tc>
      </w:tr>
      <w:tr w:rsidR="00083506" w14:paraId="73FAE8DB" w14:textId="77777777">
        <w:trPr>
          <w:tblCellSpacing w:w="15" w:type="dxa"/>
        </w:trPr>
        <w:tc>
          <w:tcPr>
            <w:tcW w:w="0" w:type="auto"/>
            <w:vAlign w:val="center"/>
          </w:tcPr>
          <w:p w14:paraId="1C3BA035"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b/>
                <w:bCs/>
                <w:sz w:val="22"/>
                <w:szCs w:val="22"/>
              </w:rPr>
              <w:t>Methodological Design</w:t>
            </w:r>
          </w:p>
        </w:tc>
        <w:tc>
          <w:tcPr>
            <w:tcW w:w="0" w:type="auto"/>
            <w:vAlign w:val="center"/>
          </w:tcPr>
          <w:p w14:paraId="367DCFAC"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Design-Based</w:t>
            </w:r>
          </w:p>
        </w:tc>
        <w:tc>
          <w:tcPr>
            <w:tcW w:w="0" w:type="auto"/>
            <w:vAlign w:val="center"/>
          </w:tcPr>
          <w:p w14:paraId="1394B8BA"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9</w:t>
            </w:r>
          </w:p>
        </w:tc>
        <w:tc>
          <w:tcPr>
            <w:tcW w:w="4520" w:type="dxa"/>
            <w:vAlign w:val="center"/>
          </w:tcPr>
          <w:p w14:paraId="4B7F76BC"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lang w:val="es-ES"/>
              </w:rPr>
              <w:t xml:space="preserve">Van </w:t>
            </w:r>
            <w:proofErr w:type="spellStart"/>
            <w:r>
              <w:rPr>
                <w:rFonts w:ascii="Times New Roman" w:hAnsi="Times New Roman" w:cs="Times New Roman"/>
                <w:sz w:val="22"/>
                <w:szCs w:val="22"/>
                <w:lang w:val="es-ES"/>
              </w:rPr>
              <w:t>Leeuwen</w:t>
            </w:r>
            <w:proofErr w:type="spellEnd"/>
            <w:r>
              <w:rPr>
                <w:rFonts w:ascii="Times New Roman" w:hAnsi="Times New Roman" w:cs="Times New Roman"/>
                <w:sz w:val="22"/>
                <w:szCs w:val="22"/>
                <w:lang w:val="es-ES"/>
              </w:rPr>
              <w:t xml:space="preserve"> et al. (2022); </w:t>
            </w:r>
            <w:proofErr w:type="spellStart"/>
            <w:r>
              <w:rPr>
                <w:rFonts w:ascii="Times New Roman" w:hAnsi="Times New Roman" w:cs="Times New Roman"/>
                <w:sz w:val="22"/>
                <w:szCs w:val="22"/>
                <w:lang w:val="es-ES"/>
              </w:rPr>
              <w:t>Kaliisa</w:t>
            </w:r>
            <w:proofErr w:type="spellEnd"/>
            <w:r>
              <w:rPr>
                <w:rFonts w:ascii="Times New Roman" w:hAnsi="Times New Roman" w:cs="Times New Roman"/>
                <w:sz w:val="22"/>
                <w:szCs w:val="22"/>
                <w:lang w:val="es-ES"/>
              </w:rPr>
              <w:t xml:space="preserve"> et al. </w:t>
            </w:r>
            <w:r>
              <w:rPr>
                <w:rFonts w:ascii="Times New Roman" w:hAnsi="Times New Roman" w:cs="Times New Roman"/>
                <w:sz w:val="22"/>
                <w:szCs w:val="22"/>
              </w:rPr>
              <w:t>(2022)</w:t>
            </w:r>
          </w:p>
        </w:tc>
      </w:tr>
      <w:tr w:rsidR="00083506" w14:paraId="31B20E9B" w14:textId="77777777">
        <w:trPr>
          <w:tblCellSpacing w:w="15" w:type="dxa"/>
        </w:trPr>
        <w:tc>
          <w:tcPr>
            <w:tcW w:w="0" w:type="auto"/>
            <w:vAlign w:val="center"/>
          </w:tcPr>
          <w:p w14:paraId="7BC3FC3C" w14:textId="77777777" w:rsidR="00083506" w:rsidRDefault="00083506">
            <w:pPr>
              <w:spacing w:line="240" w:lineRule="auto"/>
              <w:contextualSpacing/>
              <w:rPr>
                <w:rFonts w:ascii="Times New Roman" w:hAnsi="Times New Roman" w:cs="Times New Roman"/>
                <w:sz w:val="22"/>
                <w:szCs w:val="22"/>
              </w:rPr>
            </w:pPr>
          </w:p>
        </w:tc>
        <w:tc>
          <w:tcPr>
            <w:tcW w:w="0" w:type="auto"/>
            <w:vAlign w:val="center"/>
          </w:tcPr>
          <w:p w14:paraId="28B0928B"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Mixed Methods</w:t>
            </w:r>
          </w:p>
        </w:tc>
        <w:tc>
          <w:tcPr>
            <w:tcW w:w="0" w:type="auto"/>
            <w:vAlign w:val="center"/>
          </w:tcPr>
          <w:p w14:paraId="18F2A502"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8</w:t>
            </w:r>
          </w:p>
        </w:tc>
        <w:tc>
          <w:tcPr>
            <w:tcW w:w="4520" w:type="dxa"/>
            <w:vAlign w:val="center"/>
          </w:tcPr>
          <w:p w14:paraId="2FB0EE48"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Wise &amp; </w:t>
            </w:r>
            <w:proofErr w:type="spellStart"/>
            <w:r>
              <w:rPr>
                <w:rFonts w:ascii="Times New Roman" w:hAnsi="Times New Roman" w:cs="Times New Roman"/>
                <w:sz w:val="22"/>
                <w:szCs w:val="22"/>
              </w:rPr>
              <w:t>Vytasek</w:t>
            </w:r>
            <w:proofErr w:type="spellEnd"/>
            <w:r>
              <w:rPr>
                <w:rFonts w:ascii="Times New Roman" w:hAnsi="Times New Roman" w:cs="Times New Roman"/>
                <w:sz w:val="22"/>
                <w:szCs w:val="22"/>
              </w:rPr>
              <w:t xml:space="preserve"> (2017); </w:t>
            </w:r>
            <w:proofErr w:type="spellStart"/>
            <w:r>
              <w:rPr>
                <w:rFonts w:ascii="Times New Roman" w:hAnsi="Times New Roman" w:cs="Times New Roman"/>
                <w:sz w:val="22"/>
                <w:szCs w:val="22"/>
              </w:rPr>
              <w:t>Rienties</w:t>
            </w:r>
            <w:proofErr w:type="spellEnd"/>
            <w:r>
              <w:rPr>
                <w:rFonts w:ascii="Times New Roman" w:hAnsi="Times New Roman" w:cs="Times New Roman"/>
                <w:sz w:val="22"/>
                <w:szCs w:val="22"/>
              </w:rPr>
              <w:t xml:space="preserve"> et al. (2016)</w:t>
            </w:r>
          </w:p>
        </w:tc>
      </w:tr>
      <w:tr w:rsidR="00083506" w14:paraId="17EF904D" w14:textId="77777777">
        <w:trPr>
          <w:tblCellSpacing w:w="15" w:type="dxa"/>
        </w:trPr>
        <w:tc>
          <w:tcPr>
            <w:tcW w:w="0" w:type="auto"/>
            <w:vAlign w:val="center"/>
          </w:tcPr>
          <w:p w14:paraId="16E730F8" w14:textId="77777777" w:rsidR="00083506" w:rsidRDefault="00083506">
            <w:pPr>
              <w:spacing w:line="240" w:lineRule="auto"/>
              <w:contextualSpacing/>
              <w:rPr>
                <w:rFonts w:ascii="Times New Roman" w:hAnsi="Times New Roman" w:cs="Times New Roman"/>
                <w:sz w:val="22"/>
                <w:szCs w:val="22"/>
              </w:rPr>
            </w:pPr>
          </w:p>
        </w:tc>
        <w:tc>
          <w:tcPr>
            <w:tcW w:w="0" w:type="auto"/>
            <w:vAlign w:val="center"/>
          </w:tcPr>
          <w:p w14:paraId="3E4E59B5"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Quasi-Experimental</w:t>
            </w:r>
          </w:p>
        </w:tc>
        <w:tc>
          <w:tcPr>
            <w:tcW w:w="0" w:type="auto"/>
            <w:vAlign w:val="center"/>
          </w:tcPr>
          <w:p w14:paraId="5ED456C2"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5</w:t>
            </w:r>
          </w:p>
        </w:tc>
        <w:tc>
          <w:tcPr>
            <w:tcW w:w="4520" w:type="dxa"/>
            <w:vAlign w:val="center"/>
          </w:tcPr>
          <w:p w14:paraId="131140CC" w14:textId="77777777" w:rsidR="00083506" w:rsidRDefault="0013203D">
            <w:pPr>
              <w:spacing w:line="240" w:lineRule="auto"/>
              <w:contextualSpacing/>
              <w:rPr>
                <w:rFonts w:ascii="Times New Roman" w:hAnsi="Times New Roman" w:cs="Times New Roman"/>
                <w:sz w:val="22"/>
                <w:szCs w:val="22"/>
              </w:rPr>
            </w:pPr>
            <w:proofErr w:type="spellStart"/>
            <w:r>
              <w:rPr>
                <w:rFonts w:ascii="Times New Roman" w:hAnsi="Times New Roman" w:cs="Times New Roman"/>
                <w:sz w:val="22"/>
                <w:szCs w:val="22"/>
              </w:rPr>
              <w:t>Herodotou</w:t>
            </w:r>
            <w:proofErr w:type="spellEnd"/>
            <w:r>
              <w:rPr>
                <w:rFonts w:ascii="Times New Roman" w:hAnsi="Times New Roman" w:cs="Times New Roman"/>
                <w:sz w:val="22"/>
                <w:szCs w:val="22"/>
              </w:rPr>
              <w:t xml:space="preserve"> et al. (2020); </w:t>
            </w:r>
            <w:proofErr w:type="spellStart"/>
            <w:r>
              <w:rPr>
                <w:rFonts w:ascii="Times New Roman" w:hAnsi="Times New Roman" w:cs="Times New Roman"/>
                <w:sz w:val="22"/>
                <w:szCs w:val="22"/>
              </w:rPr>
              <w:t>Sonderlund</w:t>
            </w:r>
            <w:proofErr w:type="spellEnd"/>
            <w:r>
              <w:rPr>
                <w:rFonts w:ascii="Times New Roman" w:hAnsi="Times New Roman" w:cs="Times New Roman"/>
                <w:sz w:val="22"/>
                <w:szCs w:val="22"/>
              </w:rPr>
              <w:t xml:space="preserve"> &amp; Smith (2018)</w:t>
            </w:r>
          </w:p>
        </w:tc>
      </w:tr>
      <w:tr w:rsidR="00083506" w14:paraId="3F48287E" w14:textId="77777777">
        <w:trPr>
          <w:tblCellSpacing w:w="15" w:type="dxa"/>
        </w:trPr>
        <w:tc>
          <w:tcPr>
            <w:tcW w:w="0" w:type="auto"/>
            <w:tcBorders>
              <w:bottom w:val="single" w:sz="4" w:space="0" w:color="auto"/>
            </w:tcBorders>
            <w:vAlign w:val="center"/>
          </w:tcPr>
          <w:p w14:paraId="5C7FAAAB" w14:textId="77777777" w:rsidR="00083506" w:rsidRDefault="00083506">
            <w:pPr>
              <w:spacing w:line="240" w:lineRule="auto"/>
              <w:contextualSpacing/>
              <w:rPr>
                <w:rFonts w:ascii="Times New Roman" w:hAnsi="Times New Roman" w:cs="Times New Roman"/>
                <w:sz w:val="22"/>
                <w:szCs w:val="22"/>
              </w:rPr>
            </w:pPr>
          </w:p>
        </w:tc>
        <w:tc>
          <w:tcPr>
            <w:tcW w:w="0" w:type="auto"/>
            <w:tcBorders>
              <w:bottom w:val="single" w:sz="4" w:space="0" w:color="auto"/>
            </w:tcBorders>
            <w:vAlign w:val="center"/>
          </w:tcPr>
          <w:p w14:paraId="28C35404"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Conceptual / Framework</w:t>
            </w:r>
          </w:p>
        </w:tc>
        <w:tc>
          <w:tcPr>
            <w:tcW w:w="0" w:type="auto"/>
            <w:tcBorders>
              <w:bottom w:val="single" w:sz="4" w:space="0" w:color="auto"/>
            </w:tcBorders>
            <w:vAlign w:val="center"/>
          </w:tcPr>
          <w:p w14:paraId="687AD486"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6</w:t>
            </w:r>
          </w:p>
        </w:tc>
        <w:tc>
          <w:tcPr>
            <w:tcW w:w="4520" w:type="dxa"/>
            <w:tcBorders>
              <w:bottom w:val="single" w:sz="4" w:space="0" w:color="auto"/>
            </w:tcBorders>
            <w:vAlign w:val="center"/>
          </w:tcPr>
          <w:p w14:paraId="4B3805ED" w14:textId="77777777" w:rsidR="00083506" w:rsidRDefault="0013203D">
            <w:pPr>
              <w:spacing w:line="240" w:lineRule="auto"/>
              <w:contextualSpacing/>
              <w:rPr>
                <w:rFonts w:ascii="Times New Roman" w:hAnsi="Times New Roman" w:cs="Times New Roman"/>
                <w:sz w:val="22"/>
                <w:szCs w:val="22"/>
              </w:rPr>
            </w:pPr>
            <w:r>
              <w:rPr>
                <w:rFonts w:ascii="Times New Roman" w:hAnsi="Times New Roman" w:cs="Times New Roman"/>
                <w:sz w:val="22"/>
                <w:szCs w:val="22"/>
              </w:rPr>
              <w:t>Clow (2012); Tsai et al. (2018); Jørnø &amp; Gynther (2018)</w:t>
            </w:r>
          </w:p>
        </w:tc>
      </w:tr>
    </w:tbl>
    <w:p w14:paraId="4E4649FB" w14:textId="77777777" w:rsidR="00083506" w:rsidRDefault="00083506">
      <w:pPr>
        <w:spacing w:line="360" w:lineRule="auto"/>
        <w:rPr>
          <w:rFonts w:ascii="Times New Roman" w:hAnsi="Times New Roman" w:cs="Times New Roman"/>
          <w:b/>
          <w:bCs/>
        </w:rPr>
      </w:pPr>
    </w:p>
    <w:p w14:paraId="799104B6" w14:textId="77777777" w:rsidR="00083506" w:rsidRDefault="0013203D">
      <w:pPr>
        <w:spacing w:line="360" w:lineRule="auto"/>
        <w:rPr>
          <w:rFonts w:ascii="Times New Roman" w:hAnsi="Times New Roman" w:cs="Times New Roman"/>
        </w:rPr>
      </w:pPr>
      <w:r>
        <w:rPr>
          <w:rFonts w:ascii="Times New Roman" w:hAnsi="Times New Roman" w:cs="Times New Roman"/>
          <w:b/>
          <w:bCs/>
        </w:rPr>
        <w:lastRenderedPageBreak/>
        <w:t xml:space="preserve"> </w:t>
      </w:r>
      <w:r>
        <w:rPr>
          <w:rFonts w:ascii="Times New Roman" w:hAnsi="Times New Roman" w:cs="Times New Roman"/>
          <w:b/>
          <w:bCs/>
        </w:rPr>
        <w:tab/>
      </w:r>
      <w:r>
        <w:rPr>
          <w:rFonts w:ascii="Times New Roman" w:hAnsi="Times New Roman" w:cs="Times New Roman"/>
        </w:rPr>
        <w:t>The pattern in Table 1 suggests three inclusive teaching implications. First, the preponderance of higher education studies provides detailed models of instructor-facing dashboards and feedback</w:t>
      </w:r>
      <w:r>
        <w:rPr>
          <w:rFonts w:ascii="Times New Roman" w:hAnsi="Times New Roman" w:cs="Times New Roman"/>
        </w:rPr>
        <w:t xml:space="preserve"> loops that can be adapted for K–12 with attention to developmental pace and curricular constraints (Van Leeuwen et al., 2022). Second, the emergence of K–12 cases after 2018 indicates growing feasibility of classroom-level analytics even in resource-const</w:t>
      </w:r>
      <w:r>
        <w:rPr>
          <w:rFonts w:ascii="Times New Roman" w:hAnsi="Times New Roman" w:cs="Times New Roman"/>
        </w:rPr>
        <w:t>rained environments, provided that tools are simple, interpretable, and tied to formative practices (Paolucci et al., 2024). Third, the methodological tilt toward design-based work implies that actionability is realized where educators and researchers co-c</w:t>
      </w:r>
      <w:r>
        <w:rPr>
          <w:rFonts w:ascii="Times New Roman" w:hAnsi="Times New Roman" w:cs="Times New Roman"/>
        </w:rPr>
        <w:t>onstruct indicators and use cycles of testing and reflection to localize analytics to diverse learner needs (</w:t>
      </w:r>
      <w:proofErr w:type="spellStart"/>
      <w:r>
        <w:rPr>
          <w:rFonts w:ascii="Times New Roman" w:hAnsi="Times New Roman" w:cs="Times New Roman"/>
        </w:rPr>
        <w:t>Kaliisa</w:t>
      </w:r>
      <w:proofErr w:type="spellEnd"/>
      <w:r>
        <w:rPr>
          <w:rFonts w:ascii="Times New Roman" w:hAnsi="Times New Roman" w:cs="Times New Roman"/>
        </w:rPr>
        <w:t xml:space="preserve"> et al., 2022).</w:t>
      </w:r>
    </w:p>
    <w:p w14:paraId="4B6EB4D9" w14:textId="77777777" w:rsidR="00083506" w:rsidRDefault="0013203D">
      <w:pPr>
        <w:spacing w:line="360" w:lineRule="auto"/>
        <w:rPr>
          <w:rFonts w:ascii="Times New Roman" w:hAnsi="Times New Roman" w:cs="Times New Roman"/>
          <w:b/>
          <w:bCs/>
        </w:rPr>
      </w:pPr>
      <w:r>
        <w:rPr>
          <w:rFonts w:ascii="Times New Roman" w:hAnsi="Times New Roman" w:cs="Times New Roman"/>
          <w:b/>
          <w:bCs/>
        </w:rPr>
        <w:t>4.2 Frameworks and Definitions of Actionability</w:t>
      </w:r>
    </w:p>
    <w:p w14:paraId="711CD70D"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Definitions of actionability converged on iterative feedback that links da</w:t>
      </w:r>
      <w:r>
        <w:rPr>
          <w:rFonts w:ascii="Times New Roman" w:hAnsi="Times New Roman" w:cs="Times New Roman"/>
        </w:rPr>
        <w:t>ta to instruction in ways teachers can enact. The Learning Analytics Cycle emphasizes closing the loop from data to practice and back (Clow, 2012). Analytics4Action foregrounds evidence-informed redesign with systematic reflection (</w:t>
      </w:r>
      <w:proofErr w:type="spellStart"/>
      <w:r>
        <w:rPr>
          <w:rFonts w:ascii="Times New Roman" w:hAnsi="Times New Roman" w:cs="Times New Roman"/>
        </w:rPr>
        <w:t>Rienties</w:t>
      </w:r>
      <w:proofErr w:type="spellEnd"/>
      <w:r>
        <w:rPr>
          <w:rFonts w:ascii="Times New Roman" w:hAnsi="Times New Roman" w:cs="Times New Roman"/>
        </w:rPr>
        <w:t xml:space="preserve"> et al., 2016). </w:t>
      </w:r>
      <w:r>
        <w:rPr>
          <w:rFonts w:ascii="Times New Roman" w:hAnsi="Times New Roman" w:cs="Times New Roman"/>
        </w:rPr>
        <w:t>SHEILA raises readiness, governance, and stakeholder engagement to policy visibility (Tsai et al., 2018). Alongside these, Pedagogical Interpretability treats teachers as meaning-makers whose professional judgment renders indicators actionable (Jørnø &amp; Gyn</w:t>
      </w:r>
      <w:r>
        <w:rPr>
          <w:rFonts w:ascii="Times New Roman" w:hAnsi="Times New Roman" w:cs="Times New Roman"/>
        </w:rPr>
        <w:t>ther, 2018). Table 2 shows the distribution.</w:t>
      </w:r>
    </w:p>
    <w:p w14:paraId="7A72EEFA" w14:textId="77777777" w:rsidR="00083506" w:rsidRDefault="00083506">
      <w:pPr>
        <w:spacing w:line="360" w:lineRule="auto"/>
        <w:rPr>
          <w:rFonts w:ascii="Times New Roman" w:hAnsi="Times New Roman" w:cs="Times New Roman"/>
          <w:b/>
          <w:bCs/>
        </w:rPr>
      </w:pPr>
    </w:p>
    <w:p w14:paraId="2646E455" w14:textId="77777777" w:rsidR="00083506" w:rsidRDefault="00083506">
      <w:pPr>
        <w:spacing w:line="360" w:lineRule="auto"/>
        <w:rPr>
          <w:rFonts w:ascii="Times New Roman" w:hAnsi="Times New Roman" w:cs="Times New Roman"/>
          <w:b/>
          <w:bCs/>
        </w:rPr>
      </w:pPr>
    </w:p>
    <w:p w14:paraId="08B25FEF" w14:textId="77777777" w:rsidR="00083506" w:rsidRDefault="00083506">
      <w:pPr>
        <w:spacing w:line="360" w:lineRule="auto"/>
        <w:rPr>
          <w:rFonts w:ascii="Times New Roman" w:hAnsi="Times New Roman" w:cs="Times New Roman"/>
          <w:b/>
          <w:bCs/>
        </w:rPr>
      </w:pPr>
    </w:p>
    <w:p w14:paraId="3E16F924" w14:textId="77777777" w:rsidR="00083506" w:rsidRDefault="00083506">
      <w:pPr>
        <w:spacing w:line="360" w:lineRule="auto"/>
        <w:rPr>
          <w:rFonts w:ascii="Times New Roman" w:hAnsi="Times New Roman" w:cs="Times New Roman"/>
          <w:b/>
          <w:bCs/>
        </w:rPr>
      </w:pPr>
    </w:p>
    <w:p w14:paraId="12609F17" w14:textId="77777777" w:rsidR="00083506" w:rsidRDefault="00083506">
      <w:pPr>
        <w:spacing w:line="360" w:lineRule="auto"/>
        <w:rPr>
          <w:rFonts w:ascii="Times New Roman" w:hAnsi="Times New Roman" w:cs="Times New Roman"/>
          <w:b/>
          <w:bCs/>
        </w:rPr>
      </w:pPr>
    </w:p>
    <w:p w14:paraId="1FC3F3FF" w14:textId="77777777" w:rsidR="00083506" w:rsidRDefault="0013203D">
      <w:pPr>
        <w:spacing w:line="240" w:lineRule="auto"/>
        <w:contextualSpacing/>
        <w:rPr>
          <w:rFonts w:ascii="Times New Roman" w:hAnsi="Times New Roman" w:cs="Times New Roman"/>
          <w:b/>
          <w:bCs/>
        </w:rPr>
      </w:pPr>
      <w:r>
        <w:rPr>
          <w:rFonts w:ascii="Times New Roman" w:hAnsi="Times New Roman" w:cs="Times New Roman"/>
          <w:b/>
          <w:bCs/>
        </w:rPr>
        <w:t xml:space="preserve">Table 2 Frameworks and Theoretical Approaches Underpinning Actionable Learning Analytics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7"/>
        <w:gridCol w:w="2695"/>
        <w:gridCol w:w="1288"/>
        <w:gridCol w:w="3000"/>
      </w:tblGrid>
      <w:tr w:rsidR="00083506" w14:paraId="1E04BF21" w14:textId="77777777">
        <w:trPr>
          <w:tblHeader/>
          <w:tblCellSpacing w:w="15" w:type="dxa"/>
        </w:trPr>
        <w:tc>
          <w:tcPr>
            <w:tcW w:w="0" w:type="auto"/>
            <w:tcBorders>
              <w:top w:val="single" w:sz="4" w:space="0" w:color="auto"/>
            </w:tcBorders>
            <w:vAlign w:val="center"/>
          </w:tcPr>
          <w:p w14:paraId="3B7451C8" w14:textId="77777777" w:rsidR="00083506" w:rsidRDefault="0013203D">
            <w:pPr>
              <w:spacing w:line="240" w:lineRule="auto"/>
              <w:contextualSpacing/>
              <w:rPr>
                <w:rFonts w:ascii="Times New Roman" w:hAnsi="Times New Roman" w:cs="Times New Roman"/>
                <w:b/>
                <w:bCs/>
              </w:rPr>
            </w:pPr>
            <w:r>
              <w:rPr>
                <w:rFonts w:ascii="Times New Roman" w:hAnsi="Times New Roman" w:cs="Times New Roman"/>
                <w:b/>
                <w:bCs/>
              </w:rPr>
              <w:t>Framework / Model</w:t>
            </w:r>
          </w:p>
        </w:tc>
        <w:tc>
          <w:tcPr>
            <w:tcW w:w="0" w:type="auto"/>
            <w:tcBorders>
              <w:top w:val="single" w:sz="4" w:space="0" w:color="auto"/>
            </w:tcBorders>
            <w:vAlign w:val="center"/>
          </w:tcPr>
          <w:p w14:paraId="78723ED1" w14:textId="77777777" w:rsidR="00083506" w:rsidRDefault="0013203D">
            <w:pPr>
              <w:spacing w:line="240" w:lineRule="auto"/>
              <w:contextualSpacing/>
              <w:rPr>
                <w:rFonts w:ascii="Times New Roman" w:hAnsi="Times New Roman" w:cs="Times New Roman"/>
                <w:b/>
                <w:bCs/>
              </w:rPr>
            </w:pPr>
            <w:r>
              <w:rPr>
                <w:rFonts w:ascii="Times New Roman" w:hAnsi="Times New Roman" w:cs="Times New Roman"/>
                <w:b/>
                <w:bCs/>
              </w:rPr>
              <w:t>Core Concept</w:t>
            </w:r>
          </w:p>
        </w:tc>
        <w:tc>
          <w:tcPr>
            <w:tcW w:w="0" w:type="auto"/>
            <w:tcBorders>
              <w:top w:val="single" w:sz="4" w:space="0" w:color="auto"/>
            </w:tcBorders>
            <w:vAlign w:val="center"/>
          </w:tcPr>
          <w:p w14:paraId="51E0DDF9" w14:textId="77777777" w:rsidR="00083506" w:rsidRDefault="0013203D">
            <w:pPr>
              <w:spacing w:line="240" w:lineRule="auto"/>
              <w:contextualSpacing/>
              <w:rPr>
                <w:rFonts w:ascii="Times New Roman" w:hAnsi="Times New Roman" w:cs="Times New Roman"/>
                <w:b/>
                <w:bCs/>
              </w:rPr>
            </w:pPr>
            <w:r>
              <w:rPr>
                <w:rFonts w:ascii="Times New Roman" w:hAnsi="Times New Roman" w:cs="Times New Roman"/>
                <w:b/>
                <w:bCs/>
              </w:rPr>
              <w:t>Frequency (n)</w:t>
            </w:r>
          </w:p>
        </w:tc>
        <w:tc>
          <w:tcPr>
            <w:tcW w:w="0" w:type="auto"/>
            <w:tcBorders>
              <w:top w:val="single" w:sz="4" w:space="0" w:color="auto"/>
            </w:tcBorders>
            <w:vAlign w:val="center"/>
          </w:tcPr>
          <w:p w14:paraId="3AB071A6" w14:textId="77777777" w:rsidR="00083506" w:rsidRDefault="0013203D">
            <w:pPr>
              <w:spacing w:line="240" w:lineRule="auto"/>
              <w:contextualSpacing/>
              <w:rPr>
                <w:rFonts w:ascii="Times New Roman" w:hAnsi="Times New Roman" w:cs="Times New Roman"/>
                <w:b/>
                <w:bCs/>
              </w:rPr>
            </w:pPr>
            <w:r>
              <w:rPr>
                <w:rFonts w:ascii="Times New Roman" w:hAnsi="Times New Roman" w:cs="Times New Roman"/>
                <w:b/>
                <w:bCs/>
              </w:rPr>
              <w:t>Representative Studies</w:t>
            </w:r>
          </w:p>
        </w:tc>
      </w:tr>
      <w:tr w:rsidR="00083506" w14:paraId="276F8745" w14:textId="77777777">
        <w:trPr>
          <w:tblCellSpacing w:w="15" w:type="dxa"/>
        </w:trPr>
        <w:tc>
          <w:tcPr>
            <w:tcW w:w="0" w:type="auto"/>
            <w:tcBorders>
              <w:top w:val="single" w:sz="4" w:space="0" w:color="auto"/>
            </w:tcBorders>
            <w:vAlign w:val="center"/>
          </w:tcPr>
          <w:p w14:paraId="372515F4"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Learning Analytics Cycle</w:t>
            </w:r>
          </w:p>
        </w:tc>
        <w:tc>
          <w:tcPr>
            <w:tcW w:w="0" w:type="auto"/>
            <w:tcBorders>
              <w:top w:val="single" w:sz="4" w:space="0" w:color="auto"/>
            </w:tcBorders>
            <w:vAlign w:val="center"/>
          </w:tcPr>
          <w:p w14:paraId="24C7F7A0"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 xml:space="preserve">Continuous loop from </w:t>
            </w:r>
            <w:r>
              <w:rPr>
                <w:rFonts w:ascii="Times New Roman" w:hAnsi="Times New Roman" w:cs="Times New Roman"/>
              </w:rPr>
              <w:t>data to pedagogical action</w:t>
            </w:r>
          </w:p>
        </w:tc>
        <w:tc>
          <w:tcPr>
            <w:tcW w:w="0" w:type="auto"/>
            <w:tcBorders>
              <w:top w:val="single" w:sz="4" w:space="0" w:color="auto"/>
            </w:tcBorders>
            <w:vAlign w:val="center"/>
          </w:tcPr>
          <w:p w14:paraId="267381A1"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9</w:t>
            </w:r>
          </w:p>
        </w:tc>
        <w:tc>
          <w:tcPr>
            <w:tcW w:w="0" w:type="auto"/>
            <w:tcBorders>
              <w:top w:val="single" w:sz="4" w:space="0" w:color="auto"/>
            </w:tcBorders>
            <w:vAlign w:val="center"/>
          </w:tcPr>
          <w:p w14:paraId="3840C26C"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Clow (2012); Ferguson &amp; Buckingham Shum (2012)</w:t>
            </w:r>
          </w:p>
        </w:tc>
      </w:tr>
      <w:tr w:rsidR="00083506" w14:paraId="72694E3E" w14:textId="77777777">
        <w:trPr>
          <w:tblCellSpacing w:w="15" w:type="dxa"/>
        </w:trPr>
        <w:tc>
          <w:tcPr>
            <w:tcW w:w="0" w:type="auto"/>
            <w:vAlign w:val="center"/>
          </w:tcPr>
          <w:p w14:paraId="7CA53A54"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Analytics4Action Model</w:t>
            </w:r>
          </w:p>
        </w:tc>
        <w:tc>
          <w:tcPr>
            <w:tcW w:w="0" w:type="auto"/>
            <w:vAlign w:val="center"/>
          </w:tcPr>
          <w:p w14:paraId="69BBA7AB"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Evidence-based course redesign and reflection</w:t>
            </w:r>
          </w:p>
        </w:tc>
        <w:tc>
          <w:tcPr>
            <w:tcW w:w="0" w:type="auto"/>
            <w:vAlign w:val="center"/>
          </w:tcPr>
          <w:p w14:paraId="5F1C2E66"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5</w:t>
            </w:r>
          </w:p>
        </w:tc>
        <w:tc>
          <w:tcPr>
            <w:tcW w:w="0" w:type="auto"/>
            <w:vAlign w:val="center"/>
          </w:tcPr>
          <w:p w14:paraId="572CF2BE" w14:textId="77777777" w:rsidR="00083506" w:rsidRDefault="0013203D">
            <w:pPr>
              <w:spacing w:line="240" w:lineRule="auto"/>
              <w:contextualSpacing/>
              <w:rPr>
                <w:rFonts w:ascii="Times New Roman" w:hAnsi="Times New Roman" w:cs="Times New Roman"/>
              </w:rPr>
            </w:pPr>
            <w:proofErr w:type="spellStart"/>
            <w:r>
              <w:rPr>
                <w:rFonts w:ascii="Times New Roman" w:hAnsi="Times New Roman" w:cs="Times New Roman"/>
                <w:lang w:val="es-ES"/>
              </w:rPr>
              <w:t>Rienties</w:t>
            </w:r>
            <w:proofErr w:type="spellEnd"/>
            <w:r>
              <w:rPr>
                <w:rFonts w:ascii="Times New Roman" w:hAnsi="Times New Roman" w:cs="Times New Roman"/>
                <w:lang w:val="es-ES"/>
              </w:rPr>
              <w:t xml:space="preserve"> et al. (2016); </w:t>
            </w:r>
            <w:proofErr w:type="spellStart"/>
            <w:r>
              <w:rPr>
                <w:rFonts w:ascii="Times New Roman" w:hAnsi="Times New Roman" w:cs="Times New Roman"/>
                <w:lang w:val="es-ES"/>
              </w:rPr>
              <w:t>Gasevic</w:t>
            </w:r>
            <w:proofErr w:type="spellEnd"/>
            <w:r>
              <w:rPr>
                <w:rFonts w:ascii="Times New Roman" w:hAnsi="Times New Roman" w:cs="Times New Roman"/>
                <w:lang w:val="es-ES"/>
              </w:rPr>
              <w:t xml:space="preserve"> et al. </w:t>
            </w:r>
            <w:r>
              <w:rPr>
                <w:rFonts w:ascii="Times New Roman" w:hAnsi="Times New Roman" w:cs="Times New Roman"/>
              </w:rPr>
              <w:t>(2019)</w:t>
            </w:r>
          </w:p>
        </w:tc>
      </w:tr>
      <w:tr w:rsidR="00083506" w14:paraId="2FF6DC4E" w14:textId="77777777">
        <w:trPr>
          <w:tblCellSpacing w:w="15" w:type="dxa"/>
        </w:trPr>
        <w:tc>
          <w:tcPr>
            <w:tcW w:w="0" w:type="auto"/>
            <w:vAlign w:val="center"/>
          </w:tcPr>
          <w:p w14:paraId="4CEB9DF4"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lastRenderedPageBreak/>
              <w:t>SHEILA Framework</w:t>
            </w:r>
          </w:p>
        </w:tc>
        <w:tc>
          <w:tcPr>
            <w:tcW w:w="0" w:type="auto"/>
            <w:vAlign w:val="center"/>
          </w:tcPr>
          <w:p w14:paraId="0617762E"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 xml:space="preserve">Institutional readiness and ethical </w:t>
            </w:r>
            <w:r>
              <w:rPr>
                <w:rFonts w:ascii="Times New Roman" w:hAnsi="Times New Roman" w:cs="Times New Roman"/>
              </w:rPr>
              <w:t>governance</w:t>
            </w:r>
          </w:p>
        </w:tc>
        <w:tc>
          <w:tcPr>
            <w:tcW w:w="0" w:type="auto"/>
            <w:vAlign w:val="center"/>
          </w:tcPr>
          <w:p w14:paraId="4D1D82B3"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4</w:t>
            </w:r>
          </w:p>
        </w:tc>
        <w:tc>
          <w:tcPr>
            <w:tcW w:w="0" w:type="auto"/>
            <w:vAlign w:val="center"/>
          </w:tcPr>
          <w:p w14:paraId="002BEB84"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 xml:space="preserve">Tsai et al. (2018, 2020); </w:t>
            </w:r>
            <w:proofErr w:type="spellStart"/>
            <w:r>
              <w:rPr>
                <w:rFonts w:ascii="Times New Roman" w:hAnsi="Times New Roman" w:cs="Times New Roman"/>
              </w:rPr>
              <w:t>Jisc</w:t>
            </w:r>
            <w:proofErr w:type="spellEnd"/>
            <w:r>
              <w:rPr>
                <w:rFonts w:ascii="Times New Roman" w:hAnsi="Times New Roman" w:cs="Times New Roman"/>
              </w:rPr>
              <w:t xml:space="preserve"> (2020)</w:t>
            </w:r>
          </w:p>
        </w:tc>
      </w:tr>
      <w:tr w:rsidR="00083506" w14:paraId="7D49A46E" w14:textId="77777777">
        <w:trPr>
          <w:tblCellSpacing w:w="15" w:type="dxa"/>
        </w:trPr>
        <w:tc>
          <w:tcPr>
            <w:tcW w:w="0" w:type="auto"/>
            <w:vAlign w:val="center"/>
          </w:tcPr>
          <w:p w14:paraId="2C6E5C67"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Pedagogical Interpretability</w:t>
            </w:r>
          </w:p>
        </w:tc>
        <w:tc>
          <w:tcPr>
            <w:tcW w:w="0" w:type="auto"/>
            <w:vAlign w:val="center"/>
          </w:tcPr>
          <w:p w14:paraId="20DBA8E5"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Teachers as interpreters of analytics</w:t>
            </w:r>
          </w:p>
        </w:tc>
        <w:tc>
          <w:tcPr>
            <w:tcW w:w="0" w:type="auto"/>
            <w:vAlign w:val="center"/>
          </w:tcPr>
          <w:p w14:paraId="25EB2BFD"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4</w:t>
            </w:r>
          </w:p>
        </w:tc>
        <w:tc>
          <w:tcPr>
            <w:tcW w:w="0" w:type="auto"/>
            <w:vAlign w:val="center"/>
          </w:tcPr>
          <w:p w14:paraId="4A0357BC" w14:textId="77777777" w:rsidR="00083506" w:rsidRDefault="0013203D">
            <w:pPr>
              <w:spacing w:line="240" w:lineRule="auto"/>
              <w:contextualSpacing/>
              <w:rPr>
                <w:rFonts w:ascii="Times New Roman" w:hAnsi="Times New Roman" w:cs="Times New Roman"/>
              </w:rPr>
            </w:pPr>
            <w:proofErr w:type="spellStart"/>
            <w:r>
              <w:rPr>
                <w:rFonts w:ascii="Times New Roman" w:hAnsi="Times New Roman" w:cs="Times New Roman"/>
                <w:lang w:val="es-ES"/>
              </w:rPr>
              <w:t>Jørnø</w:t>
            </w:r>
            <w:proofErr w:type="spellEnd"/>
            <w:r>
              <w:rPr>
                <w:rFonts w:ascii="Times New Roman" w:hAnsi="Times New Roman" w:cs="Times New Roman"/>
                <w:lang w:val="es-ES"/>
              </w:rPr>
              <w:t xml:space="preserve"> &amp; </w:t>
            </w:r>
            <w:proofErr w:type="spellStart"/>
            <w:r>
              <w:rPr>
                <w:rFonts w:ascii="Times New Roman" w:hAnsi="Times New Roman" w:cs="Times New Roman"/>
                <w:lang w:val="es-ES"/>
              </w:rPr>
              <w:t>Gynther</w:t>
            </w:r>
            <w:proofErr w:type="spellEnd"/>
            <w:r>
              <w:rPr>
                <w:rFonts w:ascii="Times New Roman" w:hAnsi="Times New Roman" w:cs="Times New Roman"/>
                <w:lang w:val="es-ES"/>
              </w:rPr>
              <w:t xml:space="preserve"> (2018); Van </w:t>
            </w:r>
            <w:proofErr w:type="spellStart"/>
            <w:r>
              <w:rPr>
                <w:rFonts w:ascii="Times New Roman" w:hAnsi="Times New Roman" w:cs="Times New Roman"/>
                <w:lang w:val="es-ES"/>
              </w:rPr>
              <w:t>Leeuwen</w:t>
            </w:r>
            <w:proofErr w:type="spellEnd"/>
            <w:r>
              <w:rPr>
                <w:rFonts w:ascii="Times New Roman" w:hAnsi="Times New Roman" w:cs="Times New Roman"/>
                <w:lang w:val="es-ES"/>
              </w:rPr>
              <w:t xml:space="preserve"> et al. </w:t>
            </w:r>
            <w:r>
              <w:rPr>
                <w:rFonts w:ascii="Times New Roman" w:hAnsi="Times New Roman" w:cs="Times New Roman"/>
              </w:rPr>
              <w:t>(2022)</w:t>
            </w:r>
          </w:p>
        </w:tc>
      </w:tr>
      <w:tr w:rsidR="00083506" w14:paraId="4DD7B670" w14:textId="77777777">
        <w:trPr>
          <w:tblCellSpacing w:w="15" w:type="dxa"/>
        </w:trPr>
        <w:tc>
          <w:tcPr>
            <w:tcW w:w="0" w:type="auto"/>
            <w:vAlign w:val="center"/>
          </w:tcPr>
          <w:p w14:paraId="0D3607B3"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Formative Assessment Loop</w:t>
            </w:r>
          </w:p>
        </w:tc>
        <w:tc>
          <w:tcPr>
            <w:tcW w:w="0" w:type="auto"/>
            <w:vAlign w:val="center"/>
          </w:tcPr>
          <w:p w14:paraId="6CD21BB1"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Analytics-supported feedback cycles</w:t>
            </w:r>
          </w:p>
        </w:tc>
        <w:tc>
          <w:tcPr>
            <w:tcW w:w="0" w:type="auto"/>
            <w:vAlign w:val="center"/>
          </w:tcPr>
          <w:p w14:paraId="537D41F2"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3</w:t>
            </w:r>
          </w:p>
        </w:tc>
        <w:tc>
          <w:tcPr>
            <w:tcW w:w="0" w:type="auto"/>
            <w:vAlign w:val="center"/>
          </w:tcPr>
          <w:p w14:paraId="0757C971"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 xml:space="preserve">Black &amp; Wiliam </w:t>
            </w:r>
            <w:r>
              <w:rPr>
                <w:rFonts w:ascii="Times New Roman" w:hAnsi="Times New Roman" w:cs="Times New Roman"/>
              </w:rPr>
              <w:t>(2009); Paolucci et al. (2024)</w:t>
            </w:r>
          </w:p>
        </w:tc>
      </w:tr>
      <w:tr w:rsidR="00083506" w14:paraId="3949335E" w14:textId="77777777">
        <w:trPr>
          <w:tblCellSpacing w:w="15" w:type="dxa"/>
        </w:trPr>
        <w:tc>
          <w:tcPr>
            <w:tcW w:w="0" w:type="auto"/>
            <w:tcBorders>
              <w:bottom w:val="single" w:sz="4" w:space="0" w:color="auto"/>
            </w:tcBorders>
            <w:vAlign w:val="center"/>
          </w:tcPr>
          <w:p w14:paraId="677EBDFA"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Co-Design / Participatory Models</w:t>
            </w:r>
          </w:p>
        </w:tc>
        <w:tc>
          <w:tcPr>
            <w:tcW w:w="0" w:type="auto"/>
            <w:tcBorders>
              <w:bottom w:val="single" w:sz="4" w:space="0" w:color="auto"/>
            </w:tcBorders>
            <w:vAlign w:val="center"/>
          </w:tcPr>
          <w:p w14:paraId="044B111E"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Collaborative development of analytics tools</w:t>
            </w:r>
          </w:p>
        </w:tc>
        <w:tc>
          <w:tcPr>
            <w:tcW w:w="0" w:type="auto"/>
            <w:tcBorders>
              <w:bottom w:val="single" w:sz="4" w:space="0" w:color="auto"/>
            </w:tcBorders>
            <w:vAlign w:val="center"/>
          </w:tcPr>
          <w:p w14:paraId="4EDC5196"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3</w:t>
            </w:r>
          </w:p>
        </w:tc>
        <w:tc>
          <w:tcPr>
            <w:tcW w:w="0" w:type="auto"/>
            <w:tcBorders>
              <w:bottom w:val="single" w:sz="4" w:space="0" w:color="auto"/>
            </w:tcBorders>
            <w:vAlign w:val="center"/>
          </w:tcPr>
          <w:p w14:paraId="7532CF57" w14:textId="77777777" w:rsidR="00083506" w:rsidRDefault="0013203D">
            <w:pPr>
              <w:spacing w:line="240" w:lineRule="auto"/>
              <w:contextualSpacing/>
              <w:rPr>
                <w:rFonts w:ascii="Times New Roman" w:hAnsi="Times New Roman" w:cs="Times New Roman"/>
              </w:rPr>
            </w:pPr>
            <w:proofErr w:type="spellStart"/>
            <w:r>
              <w:rPr>
                <w:rFonts w:ascii="Times New Roman" w:hAnsi="Times New Roman" w:cs="Times New Roman"/>
              </w:rPr>
              <w:t>Kaliisa</w:t>
            </w:r>
            <w:proofErr w:type="spellEnd"/>
            <w:r>
              <w:rPr>
                <w:rFonts w:ascii="Times New Roman" w:hAnsi="Times New Roman" w:cs="Times New Roman"/>
              </w:rPr>
              <w:t xml:space="preserve"> et al. (2022); Kennedy et al. (2025)</w:t>
            </w:r>
          </w:p>
        </w:tc>
      </w:tr>
    </w:tbl>
    <w:p w14:paraId="4844733E" w14:textId="77777777" w:rsidR="00083506" w:rsidRDefault="00083506">
      <w:pPr>
        <w:spacing w:line="360" w:lineRule="auto"/>
        <w:rPr>
          <w:rFonts w:ascii="Times New Roman" w:hAnsi="Times New Roman" w:cs="Times New Roman"/>
          <w:b/>
          <w:bCs/>
        </w:rPr>
      </w:pPr>
    </w:p>
    <w:p w14:paraId="0505E00D"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Table 2 above indicates that actionability is both technical and social. Studies that explicitl</w:t>
      </w:r>
      <w:r>
        <w:rPr>
          <w:rFonts w:ascii="Times New Roman" w:hAnsi="Times New Roman" w:cs="Times New Roman"/>
        </w:rPr>
        <w:t>y anchored design in the cycle or Analytics4Action reported clearer connections between indicators and instructional moves because the frameworks require an explicit plan for what teachers will do with the signals they see (</w:t>
      </w:r>
      <w:proofErr w:type="spellStart"/>
      <w:r>
        <w:rPr>
          <w:rFonts w:ascii="Times New Roman" w:hAnsi="Times New Roman" w:cs="Times New Roman"/>
        </w:rPr>
        <w:t>Clow</w:t>
      </w:r>
      <w:proofErr w:type="spellEnd"/>
      <w:r>
        <w:rPr>
          <w:rFonts w:ascii="Times New Roman" w:hAnsi="Times New Roman" w:cs="Times New Roman"/>
        </w:rPr>
        <w:t xml:space="preserve">, 2012; </w:t>
      </w:r>
      <w:proofErr w:type="spellStart"/>
      <w:r>
        <w:rPr>
          <w:rFonts w:ascii="Times New Roman" w:hAnsi="Times New Roman" w:cs="Times New Roman"/>
        </w:rPr>
        <w:t>Rienties</w:t>
      </w:r>
      <w:proofErr w:type="spellEnd"/>
      <w:r>
        <w:rPr>
          <w:rFonts w:ascii="Times New Roman" w:hAnsi="Times New Roman" w:cs="Times New Roman"/>
        </w:rPr>
        <w:t xml:space="preserve"> et al., 201</w:t>
      </w:r>
      <w:r>
        <w:rPr>
          <w:rFonts w:ascii="Times New Roman" w:hAnsi="Times New Roman" w:cs="Times New Roman"/>
        </w:rPr>
        <w:t xml:space="preserve">6). Where interpretability and co-design were foregrounded, teachers were more likely to adapt indicators to heterogeneous learners, including those who engage intermittently or demonstrate progress outside conventional metrics (Jørnø &amp; </w:t>
      </w:r>
      <w:proofErr w:type="spellStart"/>
      <w:r>
        <w:rPr>
          <w:rFonts w:ascii="Times New Roman" w:hAnsi="Times New Roman" w:cs="Times New Roman"/>
        </w:rPr>
        <w:t>Gynther</w:t>
      </w:r>
      <w:proofErr w:type="spellEnd"/>
      <w:r>
        <w:rPr>
          <w:rFonts w:ascii="Times New Roman" w:hAnsi="Times New Roman" w:cs="Times New Roman"/>
        </w:rPr>
        <w:t xml:space="preserve">, 2018; </w:t>
      </w:r>
      <w:proofErr w:type="spellStart"/>
      <w:r>
        <w:rPr>
          <w:rFonts w:ascii="Times New Roman" w:hAnsi="Times New Roman" w:cs="Times New Roman"/>
        </w:rPr>
        <w:t>Kali</w:t>
      </w:r>
      <w:r>
        <w:rPr>
          <w:rFonts w:ascii="Times New Roman" w:hAnsi="Times New Roman" w:cs="Times New Roman"/>
        </w:rPr>
        <w:t>isa</w:t>
      </w:r>
      <w:proofErr w:type="spellEnd"/>
      <w:r>
        <w:rPr>
          <w:rFonts w:ascii="Times New Roman" w:hAnsi="Times New Roman" w:cs="Times New Roman"/>
        </w:rPr>
        <w:t xml:space="preserve"> et al., 2022). SHEILA’s presence signals that policy and ethics are not peripheral. Inclusive use depends on transparency and stakeholder voice to prevent analytics from becoming gatekeeping devices rather than supports for learning (Tsai et al., 2018)</w:t>
      </w:r>
      <w:r>
        <w:rPr>
          <w:rFonts w:ascii="Times New Roman" w:hAnsi="Times New Roman" w:cs="Times New Roman"/>
        </w:rPr>
        <w:t>.</w:t>
      </w:r>
    </w:p>
    <w:p w14:paraId="4D7113FC" w14:textId="77777777" w:rsidR="00083506" w:rsidRDefault="0013203D">
      <w:pPr>
        <w:spacing w:line="360" w:lineRule="auto"/>
        <w:rPr>
          <w:rFonts w:ascii="Times New Roman" w:hAnsi="Times New Roman" w:cs="Times New Roman"/>
          <w:b/>
          <w:bCs/>
        </w:rPr>
      </w:pPr>
      <w:r>
        <w:rPr>
          <w:rFonts w:ascii="Times New Roman" w:hAnsi="Times New Roman" w:cs="Times New Roman"/>
          <w:b/>
          <w:bCs/>
        </w:rPr>
        <w:t>4.3 Decision Contexts and Types of Action</w:t>
      </w:r>
    </w:p>
    <w:p w14:paraId="06188C68"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Three decision domains dominated: pedagogical, assessment, and institutional. Pedagogical uses included adaptive pacing, identification of disengagement, and targeted scaffolding. Assessment uses emphasized </w:t>
      </w:r>
      <w:r>
        <w:rPr>
          <w:rFonts w:ascii="Times New Roman" w:hAnsi="Times New Roman" w:cs="Times New Roman"/>
        </w:rPr>
        <w:t>formative feedback and peer-review analytics. Institutional uses linked predictive risk indicators to advising and outreach. Table 3 summarizes actions and outcomes.</w:t>
      </w:r>
    </w:p>
    <w:p w14:paraId="76CF2DCC" w14:textId="77777777" w:rsidR="00083506" w:rsidRDefault="00083506">
      <w:pPr>
        <w:spacing w:line="360" w:lineRule="auto"/>
        <w:rPr>
          <w:rFonts w:ascii="Times New Roman" w:hAnsi="Times New Roman" w:cs="Times New Roman"/>
          <w:b/>
          <w:bCs/>
        </w:rPr>
      </w:pPr>
    </w:p>
    <w:p w14:paraId="051CD7E9" w14:textId="77777777" w:rsidR="00083506" w:rsidRDefault="0013203D">
      <w:pPr>
        <w:spacing w:line="360" w:lineRule="auto"/>
        <w:rPr>
          <w:rFonts w:ascii="Times New Roman" w:hAnsi="Times New Roman" w:cs="Times New Roman"/>
          <w:b/>
          <w:bCs/>
        </w:rPr>
      </w:pPr>
      <w:r>
        <w:rPr>
          <w:rFonts w:ascii="Times New Roman" w:hAnsi="Times New Roman" w:cs="Times New Roman"/>
          <w:b/>
          <w:bCs/>
        </w:rPr>
        <w:t>Table 3 Decision Contexts and Reported Educational Actions in Actionable Learning Analyti</w:t>
      </w:r>
      <w:r>
        <w:rPr>
          <w:rFonts w:ascii="Times New Roman" w:hAnsi="Times New Roman" w:cs="Times New Roman"/>
          <w:b/>
          <w:bCs/>
        </w:rPr>
        <w:t xml:space="preserve">cs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9"/>
        <w:gridCol w:w="2707"/>
        <w:gridCol w:w="2676"/>
        <w:gridCol w:w="2258"/>
      </w:tblGrid>
      <w:tr w:rsidR="00083506" w14:paraId="56DADD4C" w14:textId="77777777">
        <w:trPr>
          <w:tblHeader/>
          <w:tblCellSpacing w:w="15" w:type="dxa"/>
        </w:trPr>
        <w:tc>
          <w:tcPr>
            <w:tcW w:w="0" w:type="auto"/>
            <w:tcBorders>
              <w:top w:val="single" w:sz="4" w:space="0" w:color="auto"/>
              <w:bottom w:val="single" w:sz="4" w:space="0" w:color="auto"/>
            </w:tcBorders>
            <w:vAlign w:val="center"/>
          </w:tcPr>
          <w:p w14:paraId="3E93AF3B" w14:textId="77777777" w:rsidR="00083506" w:rsidRDefault="0013203D">
            <w:pPr>
              <w:spacing w:line="240" w:lineRule="auto"/>
              <w:contextualSpacing/>
              <w:rPr>
                <w:rFonts w:ascii="Times New Roman" w:hAnsi="Times New Roman" w:cs="Times New Roman"/>
                <w:b/>
                <w:bCs/>
              </w:rPr>
            </w:pPr>
            <w:r>
              <w:rPr>
                <w:rFonts w:ascii="Times New Roman" w:hAnsi="Times New Roman" w:cs="Times New Roman"/>
                <w:b/>
                <w:bCs/>
              </w:rPr>
              <w:lastRenderedPageBreak/>
              <w:t>Decision Context</w:t>
            </w:r>
          </w:p>
        </w:tc>
        <w:tc>
          <w:tcPr>
            <w:tcW w:w="0" w:type="auto"/>
            <w:tcBorders>
              <w:top w:val="single" w:sz="4" w:space="0" w:color="auto"/>
              <w:bottom w:val="single" w:sz="4" w:space="0" w:color="auto"/>
            </w:tcBorders>
            <w:vAlign w:val="center"/>
          </w:tcPr>
          <w:p w14:paraId="42B63D01" w14:textId="77777777" w:rsidR="00083506" w:rsidRDefault="0013203D">
            <w:pPr>
              <w:spacing w:line="240" w:lineRule="auto"/>
              <w:contextualSpacing/>
              <w:rPr>
                <w:rFonts w:ascii="Times New Roman" w:hAnsi="Times New Roman" w:cs="Times New Roman"/>
                <w:b/>
                <w:bCs/>
              </w:rPr>
            </w:pPr>
            <w:r>
              <w:rPr>
                <w:rFonts w:ascii="Times New Roman" w:hAnsi="Times New Roman" w:cs="Times New Roman"/>
                <w:b/>
                <w:bCs/>
              </w:rPr>
              <w:t>Typical Actions</w:t>
            </w:r>
          </w:p>
        </w:tc>
        <w:tc>
          <w:tcPr>
            <w:tcW w:w="0" w:type="auto"/>
            <w:tcBorders>
              <w:top w:val="single" w:sz="4" w:space="0" w:color="auto"/>
              <w:bottom w:val="single" w:sz="4" w:space="0" w:color="auto"/>
            </w:tcBorders>
            <w:vAlign w:val="center"/>
          </w:tcPr>
          <w:p w14:paraId="644F2FA5" w14:textId="77777777" w:rsidR="00083506" w:rsidRDefault="0013203D">
            <w:pPr>
              <w:spacing w:line="240" w:lineRule="auto"/>
              <w:contextualSpacing/>
              <w:rPr>
                <w:rFonts w:ascii="Times New Roman" w:hAnsi="Times New Roman" w:cs="Times New Roman"/>
                <w:b/>
                <w:bCs/>
              </w:rPr>
            </w:pPr>
            <w:r>
              <w:rPr>
                <w:rFonts w:ascii="Times New Roman" w:hAnsi="Times New Roman" w:cs="Times New Roman"/>
                <w:b/>
                <w:bCs/>
              </w:rPr>
              <w:t>Representative Studies</w:t>
            </w:r>
          </w:p>
        </w:tc>
        <w:tc>
          <w:tcPr>
            <w:tcW w:w="0" w:type="auto"/>
            <w:tcBorders>
              <w:top w:val="single" w:sz="4" w:space="0" w:color="auto"/>
              <w:bottom w:val="single" w:sz="4" w:space="0" w:color="auto"/>
            </w:tcBorders>
            <w:vAlign w:val="center"/>
          </w:tcPr>
          <w:p w14:paraId="4CE3B671" w14:textId="77777777" w:rsidR="00083506" w:rsidRDefault="0013203D">
            <w:pPr>
              <w:spacing w:line="240" w:lineRule="auto"/>
              <w:contextualSpacing/>
              <w:rPr>
                <w:rFonts w:ascii="Times New Roman" w:hAnsi="Times New Roman" w:cs="Times New Roman"/>
                <w:b/>
                <w:bCs/>
              </w:rPr>
            </w:pPr>
            <w:r>
              <w:rPr>
                <w:rFonts w:ascii="Times New Roman" w:hAnsi="Times New Roman" w:cs="Times New Roman"/>
                <w:b/>
                <w:bCs/>
              </w:rPr>
              <w:t>Reported Outcomes</w:t>
            </w:r>
          </w:p>
        </w:tc>
      </w:tr>
      <w:tr w:rsidR="00083506" w14:paraId="2769B20F" w14:textId="77777777">
        <w:trPr>
          <w:tblCellSpacing w:w="15" w:type="dxa"/>
        </w:trPr>
        <w:tc>
          <w:tcPr>
            <w:tcW w:w="0" w:type="auto"/>
            <w:vAlign w:val="center"/>
          </w:tcPr>
          <w:p w14:paraId="25689B0E" w14:textId="77777777" w:rsidR="00083506" w:rsidRDefault="0013203D">
            <w:pPr>
              <w:spacing w:line="240" w:lineRule="auto"/>
              <w:contextualSpacing/>
              <w:rPr>
                <w:rFonts w:ascii="Times New Roman" w:hAnsi="Times New Roman" w:cs="Times New Roman"/>
              </w:rPr>
            </w:pPr>
            <w:r>
              <w:rPr>
                <w:rFonts w:ascii="Times New Roman" w:hAnsi="Times New Roman" w:cs="Times New Roman"/>
                <w:b/>
                <w:bCs/>
              </w:rPr>
              <w:t>Pedagogical</w:t>
            </w:r>
          </w:p>
        </w:tc>
        <w:tc>
          <w:tcPr>
            <w:tcW w:w="0" w:type="auto"/>
            <w:vAlign w:val="center"/>
          </w:tcPr>
          <w:p w14:paraId="391137E3"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Adaptive lesson sequencing, identifying disengagement, scaffolding learning</w:t>
            </w:r>
          </w:p>
        </w:tc>
        <w:tc>
          <w:tcPr>
            <w:tcW w:w="0" w:type="auto"/>
            <w:vAlign w:val="center"/>
          </w:tcPr>
          <w:p w14:paraId="6499C419" w14:textId="77777777" w:rsidR="00083506" w:rsidRDefault="0013203D">
            <w:pPr>
              <w:spacing w:line="240" w:lineRule="auto"/>
              <w:contextualSpacing/>
              <w:rPr>
                <w:rFonts w:ascii="Times New Roman" w:hAnsi="Times New Roman" w:cs="Times New Roman"/>
              </w:rPr>
            </w:pPr>
            <w:proofErr w:type="spellStart"/>
            <w:r>
              <w:rPr>
                <w:rFonts w:ascii="Times New Roman" w:hAnsi="Times New Roman" w:cs="Times New Roman"/>
              </w:rPr>
              <w:t>Herodotou</w:t>
            </w:r>
            <w:proofErr w:type="spellEnd"/>
            <w:r>
              <w:rPr>
                <w:rFonts w:ascii="Times New Roman" w:hAnsi="Times New Roman" w:cs="Times New Roman"/>
              </w:rPr>
              <w:t xml:space="preserve"> et al. (2020); Wise &amp; Vytasek (2017); Van Kessel et al. (2025)</w:t>
            </w:r>
          </w:p>
        </w:tc>
        <w:tc>
          <w:tcPr>
            <w:tcW w:w="0" w:type="auto"/>
            <w:vAlign w:val="center"/>
          </w:tcPr>
          <w:p w14:paraId="7A04DB9B"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Enhanced student</w:t>
            </w:r>
            <w:r>
              <w:rPr>
                <w:rFonts w:ascii="Times New Roman" w:hAnsi="Times New Roman" w:cs="Times New Roman"/>
              </w:rPr>
              <w:t xml:space="preserve"> engagement and more responsive instruction.</w:t>
            </w:r>
          </w:p>
        </w:tc>
      </w:tr>
      <w:tr w:rsidR="00083506" w14:paraId="4C8E782D" w14:textId="77777777">
        <w:trPr>
          <w:tblCellSpacing w:w="15" w:type="dxa"/>
        </w:trPr>
        <w:tc>
          <w:tcPr>
            <w:tcW w:w="0" w:type="auto"/>
            <w:vAlign w:val="center"/>
          </w:tcPr>
          <w:p w14:paraId="1CE0C0E5" w14:textId="77777777" w:rsidR="00083506" w:rsidRDefault="0013203D">
            <w:pPr>
              <w:spacing w:line="240" w:lineRule="auto"/>
              <w:contextualSpacing/>
              <w:rPr>
                <w:rFonts w:ascii="Times New Roman" w:hAnsi="Times New Roman" w:cs="Times New Roman"/>
              </w:rPr>
            </w:pPr>
            <w:r>
              <w:rPr>
                <w:rFonts w:ascii="Times New Roman" w:hAnsi="Times New Roman" w:cs="Times New Roman"/>
                <w:b/>
                <w:bCs/>
              </w:rPr>
              <w:t>Assessment</w:t>
            </w:r>
          </w:p>
        </w:tc>
        <w:tc>
          <w:tcPr>
            <w:tcW w:w="0" w:type="auto"/>
            <w:vAlign w:val="center"/>
          </w:tcPr>
          <w:p w14:paraId="7554C3B1"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Real-time feedback, peer review analytics, formative testing</w:t>
            </w:r>
          </w:p>
        </w:tc>
        <w:tc>
          <w:tcPr>
            <w:tcW w:w="0" w:type="auto"/>
            <w:vAlign w:val="center"/>
          </w:tcPr>
          <w:p w14:paraId="4FE44779" w14:textId="77777777" w:rsidR="00083506" w:rsidRDefault="0013203D">
            <w:pPr>
              <w:spacing w:line="240" w:lineRule="auto"/>
              <w:contextualSpacing/>
              <w:rPr>
                <w:rFonts w:ascii="Times New Roman" w:hAnsi="Times New Roman" w:cs="Times New Roman"/>
              </w:rPr>
            </w:pPr>
            <w:r>
              <w:rPr>
                <w:rFonts w:ascii="Times New Roman" w:hAnsi="Times New Roman" w:cs="Times New Roman"/>
                <w:lang w:val="es-ES"/>
              </w:rPr>
              <w:t xml:space="preserve">Van </w:t>
            </w:r>
            <w:proofErr w:type="spellStart"/>
            <w:r>
              <w:rPr>
                <w:rFonts w:ascii="Times New Roman" w:hAnsi="Times New Roman" w:cs="Times New Roman"/>
                <w:lang w:val="es-ES"/>
              </w:rPr>
              <w:t>Leeuwen</w:t>
            </w:r>
            <w:proofErr w:type="spellEnd"/>
            <w:r>
              <w:rPr>
                <w:rFonts w:ascii="Times New Roman" w:hAnsi="Times New Roman" w:cs="Times New Roman"/>
                <w:lang w:val="es-ES"/>
              </w:rPr>
              <w:t xml:space="preserve"> et al. (2022); </w:t>
            </w:r>
            <w:proofErr w:type="spellStart"/>
            <w:r>
              <w:rPr>
                <w:rFonts w:ascii="Times New Roman" w:hAnsi="Times New Roman" w:cs="Times New Roman"/>
                <w:lang w:val="es-ES"/>
              </w:rPr>
              <w:t>Paolucci</w:t>
            </w:r>
            <w:proofErr w:type="spellEnd"/>
            <w:r>
              <w:rPr>
                <w:rFonts w:ascii="Times New Roman" w:hAnsi="Times New Roman" w:cs="Times New Roman"/>
                <w:lang w:val="es-ES"/>
              </w:rPr>
              <w:t xml:space="preserve"> et al. </w:t>
            </w:r>
            <w:r>
              <w:rPr>
                <w:rFonts w:ascii="Times New Roman" w:hAnsi="Times New Roman" w:cs="Times New Roman"/>
              </w:rPr>
              <w:t>(2024); Black &amp; Wiliam (2009)</w:t>
            </w:r>
          </w:p>
        </w:tc>
        <w:tc>
          <w:tcPr>
            <w:tcW w:w="0" w:type="auto"/>
            <w:vAlign w:val="center"/>
          </w:tcPr>
          <w:p w14:paraId="0396D5A3"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Greater feedback timeliness and depth of reflection.</w:t>
            </w:r>
          </w:p>
        </w:tc>
      </w:tr>
      <w:tr w:rsidR="00083506" w14:paraId="111AD0C1" w14:textId="77777777">
        <w:trPr>
          <w:tblCellSpacing w:w="15" w:type="dxa"/>
        </w:trPr>
        <w:tc>
          <w:tcPr>
            <w:tcW w:w="0" w:type="auto"/>
            <w:vAlign w:val="center"/>
          </w:tcPr>
          <w:p w14:paraId="10A52566" w14:textId="77777777" w:rsidR="00083506" w:rsidRDefault="0013203D">
            <w:pPr>
              <w:spacing w:line="240" w:lineRule="auto"/>
              <w:contextualSpacing/>
              <w:rPr>
                <w:rFonts w:ascii="Times New Roman" w:hAnsi="Times New Roman" w:cs="Times New Roman"/>
              </w:rPr>
            </w:pPr>
            <w:r>
              <w:rPr>
                <w:rFonts w:ascii="Times New Roman" w:hAnsi="Times New Roman" w:cs="Times New Roman"/>
                <w:b/>
                <w:bCs/>
              </w:rPr>
              <w:t>Institutional</w:t>
            </w:r>
          </w:p>
        </w:tc>
        <w:tc>
          <w:tcPr>
            <w:tcW w:w="0" w:type="auto"/>
            <w:vAlign w:val="center"/>
          </w:tcPr>
          <w:p w14:paraId="2A9885BC"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Advising, retention alerts, allocation of academic support</w:t>
            </w:r>
          </w:p>
        </w:tc>
        <w:tc>
          <w:tcPr>
            <w:tcW w:w="0" w:type="auto"/>
            <w:vAlign w:val="center"/>
          </w:tcPr>
          <w:p w14:paraId="384F424E" w14:textId="77777777" w:rsidR="00083506" w:rsidRDefault="0013203D">
            <w:pPr>
              <w:spacing w:line="240" w:lineRule="auto"/>
              <w:contextualSpacing/>
              <w:rPr>
                <w:rFonts w:ascii="Times New Roman" w:hAnsi="Times New Roman" w:cs="Times New Roman"/>
              </w:rPr>
            </w:pPr>
            <w:proofErr w:type="spellStart"/>
            <w:r>
              <w:rPr>
                <w:rFonts w:ascii="Times New Roman" w:hAnsi="Times New Roman" w:cs="Times New Roman"/>
              </w:rPr>
              <w:t>Sonderlund</w:t>
            </w:r>
            <w:proofErr w:type="spellEnd"/>
            <w:r>
              <w:rPr>
                <w:rFonts w:ascii="Times New Roman" w:hAnsi="Times New Roman" w:cs="Times New Roman"/>
              </w:rPr>
              <w:t xml:space="preserve"> &amp; Smith (2018); Kennedy et al. (2025); Tsai et al. (2020)</w:t>
            </w:r>
          </w:p>
        </w:tc>
        <w:tc>
          <w:tcPr>
            <w:tcW w:w="0" w:type="auto"/>
            <w:vAlign w:val="center"/>
          </w:tcPr>
          <w:p w14:paraId="53AF8F57"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Moderate retention gains when alerts trigger human outreach.</w:t>
            </w:r>
          </w:p>
        </w:tc>
      </w:tr>
      <w:tr w:rsidR="00083506" w14:paraId="1DD057A8" w14:textId="77777777">
        <w:trPr>
          <w:tblCellSpacing w:w="15" w:type="dxa"/>
        </w:trPr>
        <w:tc>
          <w:tcPr>
            <w:tcW w:w="0" w:type="auto"/>
            <w:tcBorders>
              <w:bottom w:val="single" w:sz="4" w:space="0" w:color="auto"/>
            </w:tcBorders>
            <w:vAlign w:val="center"/>
          </w:tcPr>
          <w:p w14:paraId="4CC72EEA" w14:textId="77777777" w:rsidR="00083506" w:rsidRDefault="0013203D">
            <w:pPr>
              <w:spacing w:line="240" w:lineRule="auto"/>
              <w:contextualSpacing/>
              <w:rPr>
                <w:rFonts w:ascii="Times New Roman" w:hAnsi="Times New Roman" w:cs="Times New Roman"/>
              </w:rPr>
            </w:pPr>
            <w:r>
              <w:rPr>
                <w:rFonts w:ascii="Times New Roman" w:hAnsi="Times New Roman" w:cs="Times New Roman"/>
                <w:b/>
                <w:bCs/>
              </w:rPr>
              <w:t>Collaborative / Co-Design</w:t>
            </w:r>
          </w:p>
        </w:tc>
        <w:tc>
          <w:tcPr>
            <w:tcW w:w="0" w:type="auto"/>
            <w:tcBorders>
              <w:bottom w:val="single" w:sz="4" w:space="0" w:color="auto"/>
            </w:tcBorders>
            <w:vAlign w:val="center"/>
          </w:tcPr>
          <w:p w14:paraId="105FA6B2"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Joint teacher–researcher i</w:t>
            </w:r>
            <w:r>
              <w:rPr>
                <w:rFonts w:ascii="Times New Roman" w:hAnsi="Times New Roman" w:cs="Times New Roman"/>
              </w:rPr>
              <w:t>nterpretation, participatory dashboard development</w:t>
            </w:r>
          </w:p>
        </w:tc>
        <w:tc>
          <w:tcPr>
            <w:tcW w:w="0" w:type="auto"/>
            <w:tcBorders>
              <w:bottom w:val="single" w:sz="4" w:space="0" w:color="auto"/>
            </w:tcBorders>
            <w:vAlign w:val="center"/>
          </w:tcPr>
          <w:p w14:paraId="408AAC6B" w14:textId="77777777" w:rsidR="00083506" w:rsidRDefault="0013203D">
            <w:pPr>
              <w:spacing w:line="240" w:lineRule="auto"/>
              <w:contextualSpacing/>
              <w:rPr>
                <w:rFonts w:ascii="Times New Roman" w:hAnsi="Times New Roman" w:cs="Times New Roman"/>
                <w:lang w:val="es-ES"/>
              </w:rPr>
            </w:pPr>
            <w:proofErr w:type="spellStart"/>
            <w:r>
              <w:rPr>
                <w:rFonts w:ascii="Times New Roman" w:hAnsi="Times New Roman" w:cs="Times New Roman"/>
                <w:lang w:val="es-ES"/>
              </w:rPr>
              <w:t>Kaliisa</w:t>
            </w:r>
            <w:proofErr w:type="spellEnd"/>
            <w:r>
              <w:rPr>
                <w:rFonts w:ascii="Times New Roman" w:hAnsi="Times New Roman" w:cs="Times New Roman"/>
                <w:lang w:val="es-ES"/>
              </w:rPr>
              <w:t xml:space="preserve"> et al. (2022); </w:t>
            </w:r>
            <w:proofErr w:type="spellStart"/>
            <w:r>
              <w:rPr>
                <w:rFonts w:ascii="Times New Roman" w:hAnsi="Times New Roman" w:cs="Times New Roman"/>
                <w:lang w:val="es-ES"/>
              </w:rPr>
              <w:t>Jørnø</w:t>
            </w:r>
            <w:proofErr w:type="spellEnd"/>
            <w:r>
              <w:rPr>
                <w:rFonts w:ascii="Times New Roman" w:hAnsi="Times New Roman" w:cs="Times New Roman"/>
                <w:lang w:val="es-ES"/>
              </w:rPr>
              <w:t xml:space="preserve"> &amp; </w:t>
            </w:r>
            <w:proofErr w:type="spellStart"/>
            <w:r>
              <w:rPr>
                <w:rFonts w:ascii="Times New Roman" w:hAnsi="Times New Roman" w:cs="Times New Roman"/>
                <w:lang w:val="es-ES"/>
              </w:rPr>
              <w:t>Gynther</w:t>
            </w:r>
            <w:proofErr w:type="spellEnd"/>
            <w:r>
              <w:rPr>
                <w:rFonts w:ascii="Times New Roman" w:hAnsi="Times New Roman" w:cs="Times New Roman"/>
                <w:lang w:val="es-ES"/>
              </w:rPr>
              <w:t xml:space="preserve"> (2018)</w:t>
            </w:r>
          </w:p>
        </w:tc>
        <w:tc>
          <w:tcPr>
            <w:tcW w:w="0" w:type="auto"/>
            <w:tcBorders>
              <w:bottom w:val="single" w:sz="4" w:space="0" w:color="auto"/>
            </w:tcBorders>
            <w:vAlign w:val="center"/>
          </w:tcPr>
          <w:p w14:paraId="23054FBA"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Higher teacher agency and better alignment with curriculum goals.</w:t>
            </w:r>
          </w:p>
        </w:tc>
      </w:tr>
    </w:tbl>
    <w:p w14:paraId="5CBF8DA3" w14:textId="77777777" w:rsidR="00083506" w:rsidRDefault="00083506">
      <w:pPr>
        <w:spacing w:line="360" w:lineRule="auto"/>
        <w:rPr>
          <w:rFonts w:ascii="Times New Roman" w:hAnsi="Times New Roman" w:cs="Times New Roman"/>
        </w:rPr>
      </w:pPr>
    </w:p>
    <w:p w14:paraId="3BA99C9A"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Based on table 3,</w:t>
      </w:r>
      <w:r>
        <w:rPr>
          <w:rFonts w:ascii="Times New Roman" w:hAnsi="Times New Roman" w:cs="Times New Roman"/>
          <w:b/>
          <w:bCs/>
        </w:rPr>
        <w:t xml:space="preserve"> </w:t>
      </w:r>
      <w:r>
        <w:rPr>
          <w:rFonts w:ascii="Times New Roman" w:hAnsi="Times New Roman" w:cs="Times New Roman"/>
        </w:rPr>
        <w:t xml:space="preserve">the dominance of pedagogical actions suggests that the most immediate </w:t>
      </w:r>
      <w:r>
        <w:rPr>
          <w:rFonts w:ascii="Times New Roman" w:hAnsi="Times New Roman" w:cs="Times New Roman"/>
        </w:rPr>
        <w:t>value of analytics is realized in the day-to-day orchestration of learning activities rather than in wholesale curricular overhaul. In practice this means teachers use indicators to determine who needs help, what kind of support is most appropriate, and wh</w:t>
      </w:r>
      <w:r>
        <w:rPr>
          <w:rFonts w:ascii="Times New Roman" w:hAnsi="Times New Roman" w:cs="Times New Roman"/>
        </w:rPr>
        <w:t>en to intervene. Studies showed that engagement traces and clickstream visualizations are most actionable when teachers pair them with knowledge of classroom norms and individual trajectories, which helps avoid pathologizing normal variation in participati</w:t>
      </w:r>
      <w:r>
        <w:rPr>
          <w:rFonts w:ascii="Times New Roman" w:hAnsi="Times New Roman" w:cs="Times New Roman"/>
        </w:rPr>
        <w:t>on (Wise &amp; Vytasek, 2017). Assessment-focused work emphasized the inclusionary potential of timely feedback. When learners view their own progress indicators and discuss them with teachers, reflective dialogue expands and quieter students become more visib</w:t>
      </w:r>
      <w:r>
        <w:rPr>
          <w:rFonts w:ascii="Times New Roman" w:hAnsi="Times New Roman" w:cs="Times New Roman"/>
        </w:rPr>
        <w:t>le within the assessment cycle (Van Leeuwen et al., 2022; Paolucci et al., 2024). Institutional systems produced benefits primarily when alerts were coupled with human contact. This pattern underscores that analytics alone rarely shift outcomes, whereas an</w:t>
      </w:r>
      <w:r>
        <w:rPr>
          <w:rFonts w:ascii="Times New Roman" w:hAnsi="Times New Roman" w:cs="Times New Roman"/>
        </w:rPr>
        <w:t>alytics plus relational outreach can scaffold students who would otherwise slip through the cracks (</w:t>
      </w:r>
      <w:proofErr w:type="spellStart"/>
      <w:r>
        <w:rPr>
          <w:rFonts w:ascii="Times New Roman" w:hAnsi="Times New Roman" w:cs="Times New Roman"/>
        </w:rPr>
        <w:t>Sonderlund</w:t>
      </w:r>
      <w:proofErr w:type="spellEnd"/>
      <w:r>
        <w:rPr>
          <w:rFonts w:ascii="Times New Roman" w:hAnsi="Times New Roman" w:cs="Times New Roman"/>
        </w:rPr>
        <w:t xml:space="preserve"> &amp; Smith, 2018).</w:t>
      </w:r>
    </w:p>
    <w:p w14:paraId="74E9997B" w14:textId="77777777" w:rsidR="00083506" w:rsidRDefault="00083506">
      <w:pPr>
        <w:spacing w:line="360" w:lineRule="auto"/>
        <w:rPr>
          <w:rFonts w:ascii="Times New Roman" w:hAnsi="Times New Roman" w:cs="Times New Roman"/>
        </w:rPr>
      </w:pPr>
    </w:p>
    <w:p w14:paraId="40B20635" w14:textId="77777777" w:rsidR="00083506" w:rsidRDefault="0013203D">
      <w:pPr>
        <w:spacing w:line="360" w:lineRule="auto"/>
        <w:rPr>
          <w:rFonts w:ascii="Times New Roman" w:hAnsi="Times New Roman" w:cs="Times New Roman"/>
          <w:b/>
          <w:bCs/>
        </w:rPr>
      </w:pPr>
      <w:r>
        <w:rPr>
          <w:rFonts w:ascii="Times New Roman" w:hAnsi="Times New Roman" w:cs="Times New Roman"/>
          <w:b/>
          <w:bCs/>
        </w:rPr>
        <w:t>4.4 Evidence of Effectiveness</w:t>
      </w:r>
    </w:p>
    <w:p w14:paraId="08A50948" w14:textId="77777777" w:rsidR="00083506" w:rsidRDefault="0013203D">
      <w:pPr>
        <w:spacing w:line="360" w:lineRule="auto"/>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t>Twenty-two empirical studies reported outcomes. Effects were positive overall for engagement and</w:t>
      </w:r>
      <w:r>
        <w:rPr>
          <w:rFonts w:ascii="Times New Roman" w:hAnsi="Times New Roman" w:cs="Times New Roman"/>
        </w:rPr>
        <w:t xml:space="preserve"> feedback quality, mixed for achievement, and contingent for sustained change in teaching practice. Table 4 synthesizes these outcomes.</w:t>
      </w:r>
    </w:p>
    <w:p w14:paraId="3E61C375" w14:textId="77777777" w:rsidR="00083506" w:rsidRDefault="0013203D">
      <w:pPr>
        <w:spacing w:line="360" w:lineRule="auto"/>
        <w:rPr>
          <w:rFonts w:ascii="Times New Roman" w:hAnsi="Times New Roman" w:cs="Times New Roman"/>
          <w:b/>
          <w:bCs/>
        </w:rPr>
      </w:pPr>
      <w:r>
        <w:rPr>
          <w:rFonts w:ascii="Times New Roman" w:hAnsi="Times New Roman" w:cs="Times New Roman"/>
          <w:b/>
          <w:bCs/>
        </w:rPr>
        <w:t>Table 4 Reported Outcomes and Effectiveness of Actionable Learning Analytics (Empirical Studies)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5"/>
        <w:gridCol w:w="1420"/>
        <w:gridCol w:w="2242"/>
        <w:gridCol w:w="4053"/>
      </w:tblGrid>
      <w:tr w:rsidR="00083506" w14:paraId="714CFCF3" w14:textId="77777777">
        <w:trPr>
          <w:tblHeader/>
          <w:tblCellSpacing w:w="15" w:type="dxa"/>
        </w:trPr>
        <w:tc>
          <w:tcPr>
            <w:tcW w:w="0" w:type="auto"/>
            <w:tcBorders>
              <w:top w:val="single" w:sz="4" w:space="0" w:color="auto"/>
            </w:tcBorders>
            <w:vAlign w:val="center"/>
          </w:tcPr>
          <w:p w14:paraId="4794311A" w14:textId="77777777" w:rsidR="00083506" w:rsidRDefault="0013203D">
            <w:pPr>
              <w:spacing w:line="240" w:lineRule="auto"/>
              <w:contextualSpacing/>
              <w:rPr>
                <w:rFonts w:ascii="Times New Roman" w:hAnsi="Times New Roman" w:cs="Times New Roman"/>
                <w:b/>
                <w:bCs/>
              </w:rPr>
            </w:pPr>
            <w:r>
              <w:rPr>
                <w:rFonts w:ascii="Times New Roman" w:hAnsi="Times New Roman" w:cs="Times New Roman"/>
                <w:b/>
                <w:bCs/>
              </w:rPr>
              <w:t>Outcome Domain</w:t>
            </w:r>
          </w:p>
        </w:tc>
        <w:tc>
          <w:tcPr>
            <w:tcW w:w="0" w:type="auto"/>
            <w:tcBorders>
              <w:top w:val="single" w:sz="4" w:space="0" w:color="auto"/>
            </w:tcBorders>
            <w:vAlign w:val="center"/>
          </w:tcPr>
          <w:p w14:paraId="1B2C84DE" w14:textId="77777777" w:rsidR="00083506" w:rsidRDefault="0013203D">
            <w:pPr>
              <w:spacing w:line="240" w:lineRule="auto"/>
              <w:contextualSpacing/>
              <w:rPr>
                <w:rFonts w:ascii="Times New Roman" w:hAnsi="Times New Roman" w:cs="Times New Roman"/>
                <w:b/>
                <w:bCs/>
              </w:rPr>
            </w:pPr>
            <w:r>
              <w:rPr>
                <w:rFonts w:ascii="Times New Roman" w:hAnsi="Times New Roman" w:cs="Times New Roman"/>
                <w:b/>
                <w:bCs/>
              </w:rPr>
              <w:t>Directio</w:t>
            </w:r>
            <w:r>
              <w:rPr>
                <w:rFonts w:ascii="Times New Roman" w:hAnsi="Times New Roman" w:cs="Times New Roman"/>
                <w:b/>
                <w:bCs/>
              </w:rPr>
              <w:t>n of Effect</w:t>
            </w:r>
          </w:p>
        </w:tc>
        <w:tc>
          <w:tcPr>
            <w:tcW w:w="0" w:type="auto"/>
            <w:tcBorders>
              <w:top w:val="single" w:sz="4" w:space="0" w:color="auto"/>
            </w:tcBorders>
            <w:vAlign w:val="center"/>
          </w:tcPr>
          <w:p w14:paraId="15F20AFF" w14:textId="77777777" w:rsidR="00083506" w:rsidRDefault="0013203D">
            <w:pPr>
              <w:spacing w:line="240" w:lineRule="auto"/>
              <w:contextualSpacing/>
              <w:rPr>
                <w:rFonts w:ascii="Times New Roman" w:hAnsi="Times New Roman" w:cs="Times New Roman"/>
                <w:b/>
                <w:bCs/>
              </w:rPr>
            </w:pPr>
            <w:r>
              <w:rPr>
                <w:rFonts w:ascii="Times New Roman" w:hAnsi="Times New Roman" w:cs="Times New Roman"/>
                <w:b/>
                <w:bCs/>
              </w:rPr>
              <w:t>Representative Studies</w:t>
            </w:r>
          </w:p>
        </w:tc>
        <w:tc>
          <w:tcPr>
            <w:tcW w:w="0" w:type="auto"/>
            <w:tcBorders>
              <w:top w:val="single" w:sz="4" w:space="0" w:color="auto"/>
            </w:tcBorders>
            <w:vAlign w:val="center"/>
          </w:tcPr>
          <w:p w14:paraId="019CA405" w14:textId="77777777" w:rsidR="00083506" w:rsidRDefault="0013203D">
            <w:pPr>
              <w:spacing w:line="240" w:lineRule="auto"/>
              <w:contextualSpacing/>
              <w:rPr>
                <w:rFonts w:ascii="Times New Roman" w:hAnsi="Times New Roman" w:cs="Times New Roman"/>
                <w:b/>
                <w:bCs/>
              </w:rPr>
            </w:pPr>
            <w:r>
              <w:rPr>
                <w:rFonts w:ascii="Times New Roman" w:hAnsi="Times New Roman" w:cs="Times New Roman"/>
                <w:b/>
                <w:bCs/>
              </w:rPr>
              <w:t>Interpretive Summary</w:t>
            </w:r>
          </w:p>
        </w:tc>
      </w:tr>
      <w:tr w:rsidR="00083506" w14:paraId="47C8F7A6" w14:textId="77777777">
        <w:trPr>
          <w:tblCellSpacing w:w="15" w:type="dxa"/>
        </w:trPr>
        <w:tc>
          <w:tcPr>
            <w:tcW w:w="0" w:type="auto"/>
            <w:tcBorders>
              <w:top w:val="single" w:sz="4" w:space="0" w:color="auto"/>
            </w:tcBorders>
            <w:vAlign w:val="center"/>
          </w:tcPr>
          <w:p w14:paraId="3190EBC4" w14:textId="77777777" w:rsidR="00083506" w:rsidRDefault="0013203D">
            <w:pPr>
              <w:spacing w:line="240" w:lineRule="auto"/>
              <w:contextualSpacing/>
              <w:rPr>
                <w:rFonts w:ascii="Times New Roman" w:hAnsi="Times New Roman" w:cs="Times New Roman"/>
              </w:rPr>
            </w:pPr>
            <w:r>
              <w:rPr>
                <w:rFonts w:ascii="Times New Roman" w:hAnsi="Times New Roman" w:cs="Times New Roman"/>
                <w:b/>
                <w:bCs/>
              </w:rPr>
              <w:t>Student Engagement</w:t>
            </w:r>
          </w:p>
        </w:tc>
        <w:tc>
          <w:tcPr>
            <w:tcW w:w="0" w:type="auto"/>
            <w:tcBorders>
              <w:top w:val="single" w:sz="4" w:space="0" w:color="auto"/>
            </w:tcBorders>
            <w:vAlign w:val="center"/>
          </w:tcPr>
          <w:p w14:paraId="1FB19C64"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Positive</w:t>
            </w:r>
          </w:p>
        </w:tc>
        <w:tc>
          <w:tcPr>
            <w:tcW w:w="0" w:type="auto"/>
            <w:tcBorders>
              <w:top w:val="single" w:sz="4" w:space="0" w:color="auto"/>
            </w:tcBorders>
            <w:vAlign w:val="center"/>
          </w:tcPr>
          <w:p w14:paraId="7BC9682A" w14:textId="77777777" w:rsidR="00083506" w:rsidRDefault="0013203D">
            <w:pPr>
              <w:spacing w:line="240" w:lineRule="auto"/>
              <w:contextualSpacing/>
              <w:rPr>
                <w:rFonts w:ascii="Times New Roman" w:hAnsi="Times New Roman" w:cs="Times New Roman"/>
              </w:rPr>
            </w:pPr>
            <w:proofErr w:type="spellStart"/>
            <w:r>
              <w:rPr>
                <w:rFonts w:ascii="Times New Roman" w:hAnsi="Times New Roman" w:cs="Times New Roman"/>
                <w:lang w:val="es-ES"/>
              </w:rPr>
              <w:t>Herodotou</w:t>
            </w:r>
            <w:proofErr w:type="spellEnd"/>
            <w:r>
              <w:rPr>
                <w:rFonts w:ascii="Times New Roman" w:hAnsi="Times New Roman" w:cs="Times New Roman"/>
                <w:lang w:val="es-ES"/>
              </w:rPr>
              <w:t xml:space="preserve"> et al. (2020); Liu et al. </w:t>
            </w:r>
            <w:r>
              <w:rPr>
                <w:rFonts w:ascii="Times New Roman" w:hAnsi="Times New Roman" w:cs="Times New Roman"/>
              </w:rPr>
              <w:t>(2025)</w:t>
            </w:r>
          </w:p>
        </w:tc>
        <w:tc>
          <w:tcPr>
            <w:tcW w:w="0" w:type="auto"/>
            <w:tcBorders>
              <w:top w:val="single" w:sz="4" w:space="0" w:color="auto"/>
            </w:tcBorders>
            <w:vAlign w:val="center"/>
          </w:tcPr>
          <w:p w14:paraId="78AE0A2A"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 xml:space="preserve">Motivational messages and progress visualizations increased participation and persistence, especially when instructors </w:t>
            </w:r>
            <w:r>
              <w:rPr>
                <w:rFonts w:ascii="Times New Roman" w:hAnsi="Times New Roman" w:cs="Times New Roman"/>
              </w:rPr>
              <w:t>contextualized indicators.</w:t>
            </w:r>
          </w:p>
        </w:tc>
      </w:tr>
      <w:tr w:rsidR="00083506" w14:paraId="39EAD5E4" w14:textId="77777777">
        <w:trPr>
          <w:tblCellSpacing w:w="15" w:type="dxa"/>
        </w:trPr>
        <w:tc>
          <w:tcPr>
            <w:tcW w:w="0" w:type="auto"/>
            <w:vAlign w:val="center"/>
          </w:tcPr>
          <w:p w14:paraId="03D18808" w14:textId="77777777" w:rsidR="00083506" w:rsidRDefault="0013203D">
            <w:pPr>
              <w:spacing w:line="240" w:lineRule="auto"/>
              <w:contextualSpacing/>
              <w:rPr>
                <w:rFonts w:ascii="Times New Roman" w:hAnsi="Times New Roman" w:cs="Times New Roman"/>
              </w:rPr>
            </w:pPr>
            <w:r>
              <w:rPr>
                <w:rFonts w:ascii="Times New Roman" w:hAnsi="Times New Roman" w:cs="Times New Roman"/>
                <w:b/>
                <w:bCs/>
              </w:rPr>
              <w:t>Academic Performance</w:t>
            </w:r>
          </w:p>
        </w:tc>
        <w:tc>
          <w:tcPr>
            <w:tcW w:w="0" w:type="auto"/>
            <w:vAlign w:val="center"/>
          </w:tcPr>
          <w:p w14:paraId="185C3D87"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Mixed to positive</w:t>
            </w:r>
          </w:p>
        </w:tc>
        <w:tc>
          <w:tcPr>
            <w:tcW w:w="0" w:type="auto"/>
            <w:vAlign w:val="center"/>
          </w:tcPr>
          <w:p w14:paraId="25B11460" w14:textId="77777777" w:rsidR="00083506" w:rsidRDefault="0013203D">
            <w:pPr>
              <w:spacing w:line="240" w:lineRule="auto"/>
              <w:contextualSpacing/>
              <w:rPr>
                <w:rFonts w:ascii="Times New Roman" w:hAnsi="Times New Roman" w:cs="Times New Roman"/>
              </w:rPr>
            </w:pPr>
            <w:proofErr w:type="spellStart"/>
            <w:r>
              <w:rPr>
                <w:rFonts w:ascii="Times New Roman" w:hAnsi="Times New Roman" w:cs="Times New Roman"/>
              </w:rPr>
              <w:t>Sonderlund</w:t>
            </w:r>
            <w:proofErr w:type="spellEnd"/>
            <w:r>
              <w:rPr>
                <w:rFonts w:ascii="Times New Roman" w:hAnsi="Times New Roman" w:cs="Times New Roman"/>
              </w:rPr>
              <w:t xml:space="preserve"> &amp; Smith (2018); Kennedy et al. (2025)</w:t>
            </w:r>
          </w:p>
        </w:tc>
        <w:tc>
          <w:tcPr>
            <w:tcW w:w="0" w:type="auto"/>
            <w:vAlign w:val="center"/>
          </w:tcPr>
          <w:p w14:paraId="1567606C"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Modest gains emerged when analytics informed targeted support. Effects were strongest where students received timely follow-up.</w:t>
            </w:r>
          </w:p>
        </w:tc>
      </w:tr>
      <w:tr w:rsidR="00083506" w14:paraId="585E93C2" w14:textId="77777777">
        <w:trPr>
          <w:tblCellSpacing w:w="15" w:type="dxa"/>
        </w:trPr>
        <w:tc>
          <w:tcPr>
            <w:tcW w:w="0" w:type="auto"/>
            <w:vAlign w:val="center"/>
          </w:tcPr>
          <w:p w14:paraId="011C70B0" w14:textId="77777777" w:rsidR="00083506" w:rsidRDefault="0013203D">
            <w:pPr>
              <w:spacing w:line="240" w:lineRule="auto"/>
              <w:contextualSpacing/>
              <w:rPr>
                <w:rFonts w:ascii="Times New Roman" w:hAnsi="Times New Roman" w:cs="Times New Roman"/>
              </w:rPr>
            </w:pPr>
            <w:r>
              <w:rPr>
                <w:rFonts w:ascii="Times New Roman" w:hAnsi="Times New Roman" w:cs="Times New Roman"/>
                <w:b/>
                <w:bCs/>
              </w:rPr>
              <w:t>Teacher Pra</w:t>
            </w:r>
            <w:r>
              <w:rPr>
                <w:rFonts w:ascii="Times New Roman" w:hAnsi="Times New Roman" w:cs="Times New Roman"/>
                <w:b/>
                <w:bCs/>
              </w:rPr>
              <w:t>ctice Change</w:t>
            </w:r>
          </w:p>
        </w:tc>
        <w:tc>
          <w:tcPr>
            <w:tcW w:w="0" w:type="auto"/>
            <w:vAlign w:val="center"/>
          </w:tcPr>
          <w:p w14:paraId="3B1BAFC8"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Variable</w:t>
            </w:r>
          </w:p>
        </w:tc>
        <w:tc>
          <w:tcPr>
            <w:tcW w:w="0" w:type="auto"/>
            <w:vAlign w:val="center"/>
          </w:tcPr>
          <w:p w14:paraId="30336D11" w14:textId="77777777" w:rsidR="00083506" w:rsidRDefault="0013203D">
            <w:pPr>
              <w:spacing w:line="240" w:lineRule="auto"/>
              <w:contextualSpacing/>
              <w:rPr>
                <w:rFonts w:ascii="Times New Roman" w:hAnsi="Times New Roman" w:cs="Times New Roman"/>
              </w:rPr>
            </w:pPr>
            <w:proofErr w:type="spellStart"/>
            <w:r>
              <w:rPr>
                <w:rFonts w:ascii="Times New Roman" w:hAnsi="Times New Roman" w:cs="Times New Roman"/>
                <w:lang w:val="es-ES"/>
              </w:rPr>
              <w:t>Wise</w:t>
            </w:r>
            <w:proofErr w:type="spellEnd"/>
            <w:r>
              <w:rPr>
                <w:rFonts w:ascii="Times New Roman" w:hAnsi="Times New Roman" w:cs="Times New Roman"/>
                <w:lang w:val="es-ES"/>
              </w:rPr>
              <w:t xml:space="preserve"> &amp; </w:t>
            </w:r>
            <w:proofErr w:type="spellStart"/>
            <w:r>
              <w:rPr>
                <w:rFonts w:ascii="Times New Roman" w:hAnsi="Times New Roman" w:cs="Times New Roman"/>
                <w:lang w:val="es-ES"/>
              </w:rPr>
              <w:t>Vytasek</w:t>
            </w:r>
            <w:proofErr w:type="spellEnd"/>
            <w:r>
              <w:rPr>
                <w:rFonts w:ascii="Times New Roman" w:hAnsi="Times New Roman" w:cs="Times New Roman"/>
                <w:lang w:val="es-ES"/>
              </w:rPr>
              <w:t xml:space="preserve"> (2017); Van </w:t>
            </w:r>
            <w:proofErr w:type="spellStart"/>
            <w:r>
              <w:rPr>
                <w:rFonts w:ascii="Times New Roman" w:hAnsi="Times New Roman" w:cs="Times New Roman"/>
                <w:lang w:val="es-ES"/>
              </w:rPr>
              <w:t>Leeuwen</w:t>
            </w:r>
            <w:proofErr w:type="spellEnd"/>
            <w:r>
              <w:rPr>
                <w:rFonts w:ascii="Times New Roman" w:hAnsi="Times New Roman" w:cs="Times New Roman"/>
                <w:lang w:val="es-ES"/>
              </w:rPr>
              <w:t xml:space="preserve"> et al. </w:t>
            </w:r>
            <w:r>
              <w:rPr>
                <w:rFonts w:ascii="Times New Roman" w:hAnsi="Times New Roman" w:cs="Times New Roman"/>
              </w:rPr>
              <w:t>(2022)</w:t>
            </w:r>
          </w:p>
        </w:tc>
        <w:tc>
          <w:tcPr>
            <w:tcW w:w="0" w:type="auto"/>
            <w:vAlign w:val="center"/>
          </w:tcPr>
          <w:p w14:paraId="3FEBE936"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Teachers reported heightened awareness but often used dashboards to confirm existing intuitions. Transformative changes required coaching and time.</w:t>
            </w:r>
          </w:p>
        </w:tc>
      </w:tr>
      <w:tr w:rsidR="00083506" w14:paraId="6D8FC2C3" w14:textId="77777777">
        <w:trPr>
          <w:tblCellSpacing w:w="15" w:type="dxa"/>
        </w:trPr>
        <w:tc>
          <w:tcPr>
            <w:tcW w:w="0" w:type="auto"/>
            <w:vAlign w:val="center"/>
          </w:tcPr>
          <w:p w14:paraId="3F575CD5" w14:textId="77777777" w:rsidR="00083506" w:rsidRDefault="0013203D">
            <w:pPr>
              <w:spacing w:line="240" w:lineRule="auto"/>
              <w:contextualSpacing/>
              <w:rPr>
                <w:rFonts w:ascii="Times New Roman" w:hAnsi="Times New Roman" w:cs="Times New Roman"/>
              </w:rPr>
            </w:pPr>
            <w:r>
              <w:rPr>
                <w:rFonts w:ascii="Times New Roman" w:hAnsi="Times New Roman" w:cs="Times New Roman"/>
                <w:b/>
                <w:bCs/>
              </w:rPr>
              <w:t>Feedback Quality</w:t>
            </w:r>
          </w:p>
        </w:tc>
        <w:tc>
          <w:tcPr>
            <w:tcW w:w="0" w:type="auto"/>
            <w:vAlign w:val="center"/>
          </w:tcPr>
          <w:p w14:paraId="15912BAD"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 xml:space="preserve">Consistently </w:t>
            </w:r>
            <w:r>
              <w:rPr>
                <w:rFonts w:ascii="Times New Roman" w:hAnsi="Times New Roman" w:cs="Times New Roman"/>
              </w:rPr>
              <w:t>positive</w:t>
            </w:r>
          </w:p>
        </w:tc>
        <w:tc>
          <w:tcPr>
            <w:tcW w:w="0" w:type="auto"/>
            <w:vAlign w:val="center"/>
          </w:tcPr>
          <w:p w14:paraId="7D454C95"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Paolucci et al. (2024); Black &amp; Wiliam (2009)</w:t>
            </w:r>
          </w:p>
        </w:tc>
        <w:tc>
          <w:tcPr>
            <w:tcW w:w="0" w:type="auto"/>
            <w:vAlign w:val="center"/>
          </w:tcPr>
          <w:p w14:paraId="6697EDEE"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Analytics accelerated feedback cycles and improved specificity in large or online classes, supporting inclusion by reducing response delays.</w:t>
            </w:r>
          </w:p>
        </w:tc>
      </w:tr>
      <w:tr w:rsidR="00083506" w14:paraId="287E6EEB" w14:textId="77777777">
        <w:trPr>
          <w:tblCellSpacing w:w="15" w:type="dxa"/>
        </w:trPr>
        <w:tc>
          <w:tcPr>
            <w:tcW w:w="0" w:type="auto"/>
            <w:tcBorders>
              <w:bottom w:val="single" w:sz="4" w:space="0" w:color="auto"/>
            </w:tcBorders>
            <w:vAlign w:val="center"/>
          </w:tcPr>
          <w:p w14:paraId="3F2FA3FB" w14:textId="77777777" w:rsidR="00083506" w:rsidRDefault="0013203D">
            <w:pPr>
              <w:spacing w:line="240" w:lineRule="auto"/>
              <w:contextualSpacing/>
              <w:rPr>
                <w:rFonts w:ascii="Times New Roman" w:hAnsi="Times New Roman" w:cs="Times New Roman"/>
              </w:rPr>
            </w:pPr>
            <w:r>
              <w:rPr>
                <w:rFonts w:ascii="Times New Roman" w:hAnsi="Times New Roman" w:cs="Times New Roman"/>
                <w:b/>
                <w:bCs/>
              </w:rPr>
              <w:t>Institutional Impact</w:t>
            </w:r>
          </w:p>
        </w:tc>
        <w:tc>
          <w:tcPr>
            <w:tcW w:w="0" w:type="auto"/>
            <w:tcBorders>
              <w:bottom w:val="single" w:sz="4" w:space="0" w:color="auto"/>
            </w:tcBorders>
            <w:vAlign w:val="center"/>
          </w:tcPr>
          <w:p w14:paraId="21B2B8D1"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Context-dependent</w:t>
            </w:r>
          </w:p>
        </w:tc>
        <w:tc>
          <w:tcPr>
            <w:tcW w:w="0" w:type="auto"/>
            <w:tcBorders>
              <w:bottom w:val="single" w:sz="4" w:space="0" w:color="auto"/>
            </w:tcBorders>
            <w:vAlign w:val="center"/>
          </w:tcPr>
          <w:p w14:paraId="6068DB3A" w14:textId="77777777" w:rsidR="00083506" w:rsidRDefault="0013203D">
            <w:pPr>
              <w:spacing w:line="240" w:lineRule="auto"/>
              <w:contextualSpacing/>
              <w:rPr>
                <w:rFonts w:ascii="Times New Roman" w:hAnsi="Times New Roman" w:cs="Times New Roman"/>
              </w:rPr>
            </w:pPr>
            <w:proofErr w:type="spellStart"/>
            <w:r>
              <w:rPr>
                <w:rFonts w:ascii="Times New Roman" w:hAnsi="Times New Roman" w:cs="Times New Roman"/>
                <w:lang w:val="es-ES"/>
              </w:rPr>
              <w:t>Tsai</w:t>
            </w:r>
            <w:proofErr w:type="spellEnd"/>
            <w:r>
              <w:rPr>
                <w:rFonts w:ascii="Times New Roman" w:hAnsi="Times New Roman" w:cs="Times New Roman"/>
                <w:lang w:val="es-ES"/>
              </w:rPr>
              <w:t xml:space="preserve"> et al. (2020); </w:t>
            </w:r>
            <w:proofErr w:type="spellStart"/>
            <w:r>
              <w:rPr>
                <w:rFonts w:ascii="Times New Roman" w:hAnsi="Times New Roman" w:cs="Times New Roman"/>
                <w:lang w:val="es-ES"/>
              </w:rPr>
              <w:t>Rienties</w:t>
            </w:r>
            <w:proofErr w:type="spellEnd"/>
            <w:r>
              <w:rPr>
                <w:rFonts w:ascii="Times New Roman" w:hAnsi="Times New Roman" w:cs="Times New Roman"/>
                <w:lang w:val="es-ES"/>
              </w:rPr>
              <w:t xml:space="preserve"> et al. </w:t>
            </w:r>
            <w:r>
              <w:rPr>
                <w:rFonts w:ascii="Times New Roman" w:hAnsi="Times New Roman" w:cs="Times New Roman"/>
              </w:rPr>
              <w:t>(2016)</w:t>
            </w:r>
          </w:p>
        </w:tc>
        <w:tc>
          <w:tcPr>
            <w:tcW w:w="0" w:type="auto"/>
            <w:tcBorders>
              <w:bottom w:val="single" w:sz="4" w:space="0" w:color="auto"/>
            </w:tcBorders>
            <w:vAlign w:val="center"/>
          </w:tcPr>
          <w:p w14:paraId="31AF2DD7" w14:textId="77777777" w:rsidR="00083506" w:rsidRDefault="0013203D">
            <w:pPr>
              <w:spacing w:line="240" w:lineRule="auto"/>
              <w:contextualSpacing/>
              <w:rPr>
                <w:rFonts w:ascii="Times New Roman" w:hAnsi="Times New Roman" w:cs="Times New Roman"/>
              </w:rPr>
            </w:pPr>
            <w:r>
              <w:rPr>
                <w:rFonts w:ascii="Times New Roman" w:hAnsi="Times New Roman" w:cs="Times New Roman"/>
              </w:rPr>
              <w:t>Retention effects appeared when analytics were embedded in policy and supported by staff development. Stand-alone alerts were insufficient.</w:t>
            </w:r>
          </w:p>
        </w:tc>
      </w:tr>
    </w:tbl>
    <w:p w14:paraId="1571F0BC" w14:textId="77777777" w:rsidR="00083506" w:rsidRDefault="0013203D">
      <w:pPr>
        <w:spacing w:line="360" w:lineRule="auto"/>
        <w:rPr>
          <w:rFonts w:ascii="Times New Roman" w:hAnsi="Times New Roman" w:cs="Times New Roman"/>
          <w:b/>
          <w:bCs/>
        </w:rPr>
      </w:pPr>
      <w:r>
        <w:rPr>
          <w:rFonts w:ascii="Times New Roman" w:hAnsi="Times New Roman" w:cs="Times New Roman"/>
          <w:b/>
          <w:bCs/>
        </w:rPr>
        <w:t xml:space="preserve"> </w:t>
      </w:r>
    </w:p>
    <w:p w14:paraId="4F2D1B16" w14:textId="77777777" w:rsidR="00083506" w:rsidRDefault="0013203D">
      <w:pPr>
        <w:spacing w:line="360" w:lineRule="auto"/>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rPr>
        <w:t>From the table 4, three cross-cutting mechanisms appear to underlie positive outcomes. F</w:t>
      </w:r>
      <w:r>
        <w:rPr>
          <w:rFonts w:ascii="Times New Roman" w:hAnsi="Times New Roman" w:cs="Times New Roman"/>
        </w:rPr>
        <w:t>irst, visibility: making progress visible to teachers and learners enabled earlier, more equitable interventions. Second, timing: the nearer analytics were to the learning moment, the more likely instructors could act in ways students perceived as supporti</w:t>
      </w:r>
      <w:r>
        <w:rPr>
          <w:rFonts w:ascii="Times New Roman" w:hAnsi="Times New Roman" w:cs="Times New Roman"/>
        </w:rPr>
        <w:t>ve. Third, explanation: when teachers explained the meaning and limits of indicators, learners engaged with feedback non-defensively, which is central to inclusive assessment cultures. Null or mixed effects typically involved limited professional developme</w:t>
      </w:r>
      <w:r>
        <w:rPr>
          <w:rFonts w:ascii="Times New Roman" w:hAnsi="Times New Roman" w:cs="Times New Roman"/>
        </w:rPr>
        <w:t>nt, misalignment between indicators and learning outcomes, or reliance on predictive scores without a well-specified response protocol.</w:t>
      </w:r>
    </w:p>
    <w:p w14:paraId="1074FD14" w14:textId="77777777" w:rsidR="00083506" w:rsidRDefault="0013203D">
      <w:pPr>
        <w:spacing w:line="360" w:lineRule="auto"/>
        <w:rPr>
          <w:rFonts w:ascii="Times New Roman" w:hAnsi="Times New Roman" w:cs="Times New Roman"/>
          <w:b/>
          <w:bCs/>
        </w:rPr>
      </w:pPr>
      <w:r>
        <w:rPr>
          <w:rFonts w:ascii="Times New Roman" w:hAnsi="Times New Roman" w:cs="Times New Roman"/>
          <w:b/>
          <w:bCs/>
        </w:rPr>
        <w:lastRenderedPageBreak/>
        <w:t>4.5 Barriers and Enablers of Actionability</w:t>
      </w:r>
    </w:p>
    <w:p w14:paraId="731D92D2" w14:textId="77777777" w:rsidR="00083506" w:rsidRDefault="0013203D">
      <w:pPr>
        <w:spacing w:line="360" w:lineRule="auto"/>
        <w:ind w:firstLine="720"/>
        <w:rPr>
          <w:rFonts w:ascii="Times New Roman" w:hAnsi="Times New Roman" w:cs="Times New Roman"/>
        </w:rPr>
      </w:pPr>
      <w:r>
        <w:rPr>
          <w:rFonts w:ascii="Times New Roman" w:hAnsi="Times New Roman" w:cs="Times New Roman"/>
        </w:rPr>
        <w:t xml:space="preserve">Barriers and enablers clustered into data literacy, institutional readiness, </w:t>
      </w:r>
      <w:r>
        <w:rPr>
          <w:rFonts w:ascii="Times New Roman" w:hAnsi="Times New Roman" w:cs="Times New Roman"/>
        </w:rPr>
        <w:t>and ethical transparency. Teachers consistently reported uncertainty about how to interpret complex indicators and how to prioritize responses within limited time (</w:t>
      </w:r>
      <w:proofErr w:type="spellStart"/>
      <w:r>
        <w:rPr>
          <w:rFonts w:ascii="Times New Roman" w:hAnsi="Times New Roman" w:cs="Times New Roman"/>
        </w:rPr>
        <w:t>Ifenthaler</w:t>
      </w:r>
      <w:proofErr w:type="spellEnd"/>
      <w:r>
        <w:rPr>
          <w:rFonts w:ascii="Times New Roman" w:hAnsi="Times New Roman" w:cs="Times New Roman"/>
        </w:rPr>
        <w:t xml:space="preserve"> &amp; </w:t>
      </w:r>
      <w:proofErr w:type="spellStart"/>
      <w:r>
        <w:rPr>
          <w:rFonts w:ascii="Times New Roman" w:hAnsi="Times New Roman" w:cs="Times New Roman"/>
        </w:rPr>
        <w:t>Yau</w:t>
      </w:r>
      <w:proofErr w:type="spellEnd"/>
      <w:r>
        <w:rPr>
          <w:rFonts w:ascii="Times New Roman" w:hAnsi="Times New Roman" w:cs="Times New Roman"/>
        </w:rPr>
        <w:t>, 2020). Institutions that provided structured professional learning and pro</w:t>
      </w:r>
      <w:r>
        <w:rPr>
          <w:rFonts w:ascii="Times New Roman" w:hAnsi="Times New Roman" w:cs="Times New Roman"/>
        </w:rPr>
        <w:t>tected time for reflection saw stronger, more durable uptake (Tsai et al., 2020). Ethical clarity shaped willingness to act. When policies specified what data were collected, who could see it, and how inferences would be used, both teachers and students re</w:t>
      </w:r>
      <w:r>
        <w:rPr>
          <w:rFonts w:ascii="Times New Roman" w:hAnsi="Times New Roman" w:cs="Times New Roman"/>
        </w:rPr>
        <w:t>ported greater trust and engagement (</w:t>
      </w:r>
      <w:proofErr w:type="spellStart"/>
      <w:r>
        <w:rPr>
          <w:rFonts w:ascii="Times New Roman" w:hAnsi="Times New Roman" w:cs="Times New Roman"/>
        </w:rPr>
        <w:t>Jisc</w:t>
      </w:r>
      <w:proofErr w:type="spellEnd"/>
      <w:r>
        <w:rPr>
          <w:rFonts w:ascii="Times New Roman" w:hAnsi="Times New Roman" w:cs="Times New Roman"/>
        </w:rPr>
        <w:t xml:space="preserve">, 2020). Co-design stood out as a pragmatic enabler. When teachers helped define indicators and trial them iteratively, analytics aligned more closely with curricular aims and supported diverse learners rather than </w:t>
      </w:r>
      <w:r>
        <w:rPr>
          <w:rFonts w:ascii="Times New Roman" w:hAnsi="Times New Roman" w:cs="Times New Roman"/>
        </w:rPr>
        <w:t>privileging those already advantaged by conventional metrics (</w:t>
      </w:r>
      <w:proofErr w:type="spellStart"/>
      <w:r>
        <w:rPr>
          <w:rFonts w:ascii="Times New Roman" w:hAnsi="Times New Roman" w:cs="Times New Roman"/>
        </w:rPr>
        <w:t>Kaliisa</w:t>
      </w:r>
      <w:proofErr w:type="spellEnd"/>
      <w:r>
        <w:rPr>
          <w:rFonts w:ascii="Times New Roman" w:hAnsi="Times New Roman" w:cs="Times New Roman"/>
        </w:rPr>
        <w:t xml:space="preserve"> et al., 2022; Van Leeuwen et al., 2022). </w:t>
      </w:r>
      <w:proofErr w:type="gramStart"/>
      <w:r>
        <w:rPr>
          <w:rFonts w:ascii="Times New Roman" w:hAnsi="Times New Roman" w:cs="Times New Roman"/>
        </w:rPr>
        <w:t>Additionally,  these</w:t>
      </w:r>
      <w:proofErr w:type="gramEnd"/>
      <w:r>
        <w:rPr>
          <w:rFonts w:ascii="Times New Roman" w:hAnsi="Times New Roman" w:cs="Times New Roman"/>
        </w:rPr>
        <w:t xml:space="preserve"> patterns imply that actionability is not an attribute of a dashboard but a property of a sociotechnical arrangement that inc</w:t>
      </w:r>
      <w:r>
        <w:rPr>
          <w:rFonts w:ascii="Times New Roman" w:hAnsi="Times New Roman" w:cs="Times New Roman"/>
        </w:rPr>
        <w:t>ludes teachers’ interpretive resources, institutional routines, and students’ understanding of how data inform feedback. Inclusive use depends on redistributing analytic expertise through professional learning and on embedding analytics within feedback cul</w:t>
      </w:r>
      <w:r>
        <w:rPr>
          <w:rFonts w:ascii="Times New Roman" w:hAnsi="Times New Roman" w:cs="Times New Roman"/>
        </w:rPr>
        <w:t>tures that value dialogue and repair rather than surveillance.</w:t>
      </w:r>
    </w:p>
    <w:p w14:paraId="50968916" w14:textId="77777777" w:rsidR="00083506" w:rsidRDefault="0013203D">
      <w:pPr>
        <w:spacing w:line="360" w:lineRule="auto"/>
        <w:rPr>
          <w:rFonts w:ascii="Times New Roman" w:hAnsi="Times New Roman" w:cs="Times New Roman"/>
          <w:b/>
          <w:bCs/>
        </w:rPr>
      </w:pPr>
      <w:r>
        <w:rPr>
          <w:rFonts w:ascii="Times New Roman" w:hAnsi="Times New Roman" w:cs="Times New Roman"/>
          <w:b/>
          <w:bCs/>
        </w:rPr>
        <w:t>5. Discussion</w:t>
      </w:r>
    </w:p>
    <w:p w14:paraId="3A15E224"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 synthesis of twenty-eight studies demonstrates that actionable learning analytics have evolved from descriptive tools for monitoring digital traces into instruments that can</w:t>
      </w:r>
      <w:r>
        <w:rPr>
          <w:rFonts w:ascii="Times New Roman" w:hAnsi="Times New Roman" w:cs="Times New Roman"/>
        </w:rPr>
        <w:t xml:space="preserve"> inform inclusive pedagogy and assessment. Across contexts, the evidence shows that analytics systems provide teachers with new ways of visualizing participation, progress, and engagement, allowing them to identify learners who might otherwise remain unnot</w:t>
      </w:r>
      <w:r>
        <w:rPr>
          <w:rFonts w:ascii="Times New Roman" w:hAnsi="Times New Roman" w:cs="Times New Roman"/>
        </w:rPr>
        <w:t xml:space="preserve">iced. Clow (2012) and Wise and Vytasek (2017) emphasize that the visibility enabled by analytics can democratize classroom attention by highlighting both active and peripheral learners. However, visibility alone does not guarantee pedagogical improvement. </w:t>
      </w:r>
      <w:r>
        <w:rPr>
          <w:rFonts w:ascii="Times New Roman" w:hAnsi="Times New Roman" w:cs="Times New Roman"/>
        </w:rPr>
        <w:t>The effectiveness of analytics depends on how teachers interpret and respond to data. Educators who integrated analytics into reflective teaching cycles by discussing data with students, adjusting instructional pacing, or redesigning feedback were more lik</w:t>
      </w:r>
      <w:r>
        <w:rPr>
          <w:rFonts w:ascii="Times New Roman" w:hAnsi="Times New Roman" w:cs="Times New Roman"/>
        </w:rPr>
        <w:t>ely to achieve inclusive outcomes. These findings position analytics not as automatic decision-makers but as interpretive tools that extend the teacher’s professional judgment.</w:t>
      </w:r>
    </w:p>
    <w:p w14:paraId="74914E0D" w14:textId="77777777" w:rsidR="00083506" w:rsidRDefault="0013203D">
      <w:pPr>
        <w:spacing w:line="360" w:lineRule="auto"/>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t xml:space="preserve">A key insight emerging from the review is that actionable learning analytics </w:t>
      </w:r>
      <w:r>
        <w:rPr>
          <w:rFonts w:ascii="Times New Roman" w:hAnsi="Times New Roman" w:cs="Times New Roman"/>
        </w:rPr>
        <w:t>promote inclusivity when they support differentiated instruction and adaptive feedback. Studies conducted in higher education and K–12 settings consistently show that teachers use dashboards to identify variations in engagement and comprehension, which ena</w:t>
      </w:r>
      <w:r>
        <w:rPr>
          <w:rFonts w:ascii="Times New Roman" w:hAnsi="Times New Roman" w:cs="Times New Roman"/>
        </w:rPr>
        <w:t>bles more targeted interventions (</w:t>
      </w:r>
      <w:proofErr w:type="spellStart"/>
      <w:r>
        <w:rPr>
          <w:rFonts w:ascii="Times New Roman" w:hAnsi="Times New Roman" w:cs="Times New Roman"/>
        </w:rPr>
        <w:t>Herodotou</w:t>
      </w:r>
      <w:proofErr w:type="spellEnd"/>
      <w:r>
        <w:rPr>
          <w:rFonts w:ascii="Times New Roman" w:hAnsi="Times New Roman" w:cs="Times New Roman"/>
        </w:rPr>
        <w:t xml:space="preserve"> et al., 2020; Van Kessel et al., 2025). In formative assessment contexts, real-time feedback systems have helped teachers deliver personalized comments that maintain learner motivation and prevent widening achiev</w:t>
      </w:r>
      <w:r>
        <w:rPr>
          <w:rFonts w:ascii="Times New Roman" w:hAnsi="Times New Roman" w:cs="Times New Roman"/>
        </w:rPr>
        <w:t>ement gaps (Van Leeuwen et al., 2022; Paolucci et al., 2024). These findings align with the foundational principles of formative assessment articulated by Black and Wiliam (2009), which emphasize the importance of continuous feedback that informs, rather t</w:t>
      </w:r>
      <w:r>
        <w:rPr>
          <w:rFonts w:ascii="Times New Roman" w:hAnsi="Times New Roman" w:cs="Times New Roman"/>
        </w:rPr>
        <w:t>han merely evaluates, student learning. Moreover, inclusivity extended beyond remediation. Analytics were used to diversify participation by integrating multiple modes of engagement, such as combining digital activity traces with in-person discussion, ensu</w:t>
      </w:r>
      <w:r>
        <w:rPr>
          <w:rFonts w:ascii="Times New Roman" w:hAnsi="Times New Roman" w:cs="Times New Roman"/>
        </w:rPr>
        <w:t>ring that different learning preferences and communication styles were recognized in the feedback process.</w:t>
      </w:r>
    </w:p>
    <w:p w14:paraId="056C33CD"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While most studies reported positive outcomes, the magnitude of improvement varied depending on teacher agency and interpretive capacity. Teachers </w:t>
      </w:r>
      <w:r>
        <w:rPr>
          <w:rFonts w:ascii="Times New Roman" w:hAnsi="Times New Roman" w:cs="Times New Roman"/>
        </w:rPr>
        <w:t>who regarded analytics as rigid prescriptions tended to reproduce existing teaching patterns rather than innovate new ones. Wise and Vytasek (2017) and Van Leeuwen et al. (2022) observed that educators often used dashboards to confirm rather than challenge</w:t>
      </w:r>
      <w:r>
        <w:rPr>
          <w:rFonts w:ascii="Times New Roman" w:hAnsi="Times New Roman" w:cs="Times New Roman"/>
        </w:rPr>
        <w:t xml:space="preserve"> their pedagogical intuitions. This tendency suggests that actionability depends on maintaining an interpretive balance between human judgment and technological input. Jørnø and Gynther (2018) argue that teachers must be positioned as active sense-makers o</w:t>
      </w:r>
      <w:r>
        <w:rPr>
          <w:rFonts w:ascii="Times New Roman" w:hAnsi="Times New Roman" w:cs="Times New Roman"/>
        </w:rPr>
        <w:t>f analytics, not passive recipients of algorithmic guidance. The findings of this review affirm that analytics can enrich inclusive practice only when educators are confident in their interpretive role. Overreliance on predictive metrics risks narrowing le</w:t>
      </w:r>
      <w:r>
        <w:rPr>
          <w:rFonts w:ascii="Times New Roman" w:hAnsi="Times New Roman" w:cs="Times New Roman"/>
        </w:rPr>
        <w:t>arning opportunities by privileging what can be measured over what matters most in the learning process.</w:t>
      </w:r>
    </w:p>
    <w:p w14:paraId="230BE251"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Differences in implementation contexts also reveal that inclusivity depends on infrastructural and institutional conditions. In higher education, whe</w:t>
      </w:r>
      <w:r>
        <w:rPr>
          <w:rFonts w:ascii="Times New Roman" w:hAnsi="Times New Roman" w:cs="Times New Roman"/>
        </w:rPr>
        <w:t>re learning management systems and technical support are widely available, analytics were more often embedded in teaching design and policy initiatives (</w:t>
      </w:r>
      <w:proofErr w:type="spellStart"/>
      <w:r>
        <w:rPr>
          <w:rFonts w:ascii="Times New Roman" w:hAnsi="Times New Roman" w:cs="Times New Roman"/>
        </w:rPr>
        <w:t>Rienties</w:t>
      </w:r>
      <w:proofErr w:type="spellEnd"/>
      <w:r>
        <w:rPr>
          <w:rFonts w:ascii="Times New Roman" w:hAnsi="Times New Roman" w:cs="Times New Roman"/>
        </w:rPr>
        <w:t xml:space="preserve"> et al., 2016; Tsai et al., 2018). In contrast, studies from K–12 and Global South settings dem</w:t>
      </w:r>
      <w:r>
        <w:rPr>
          <w:rFonts w:ascii="Times New Roman" w:hAnsi="Times New Roman" w:cs="Times New Roman"/>
        </w:rPr>
        <w:t xml:space="preserve">onstrated that even minimal data infrastructures could </w:t>
      </w:r>
      <w:r>
        <w:rPr>
          <w:rFonts w:ascii="Times New Roman" w:hAnsi="Times New Roman" w:cs="Times New Roman"/>
        </w:rPr>
        <w:lastRenderedPageBreak/>
        <w:t>yield pedagogical benefits when teachers were given agency to adapt tools to local realities (</w:t>
      </w:r>
      <w:proofErr w:type="spellStart"/>
      <w:r>
        <w:rPr>
          <w:rFonts w:ascii="Times New Roman" w:hAnsi="Times New Roman" w:cs="Times New Roman"/>
        </w:rPr>
        <w:t>Kaliisa</w:t>
      </w:r>
      <w:proofErr w:type="spellEnd"/>
      <w:r>
        <w:rPr>
          <w:rFonts w:ascii="Times New Roman" w:hAnsi="Times New Roman" w:cs="Times New Roman"/>
        </w:rPr>
        <w:t xml:space="preserve"> et al., 2022; Paolucci et al., 2024). These findings underscore that inclusivity is not defined by </w:t>
      </w:r>
      <w:r>
        <w:rPr>
          <w:rFonts w:ascii="Times New Roman" w:hAnsi="Times New Roman" w:cs="Times New Roman"/>
        </w:rPr>
        <w:t>the sophistication of technology but by its alignment with the teacher’s context and the learner’s needs. The capacity to interpret data in culturally and institutionally relevant ways appears to be the strongest predictor of sustainable impact.</w:t>
      </w:r>
    </w:p>
    <w:p w14:paraId="19F602AA"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Actionab</w:t>
      </w:r>
      <w:r>
        <w:rPr>
          <w:rFonts w:ascii="Times New Roman" w:hAnsi="Times New Roman" w:cs="Times New Roman"/>
        </w:rPr>
        <w:t>le learning analytics also reconfigure the dynamics of feedback and student engagement. When learners were able to visualize their own data, they became more proactive in setting goals, monitoring progress, and seeking assistance (</w:t>
      </w:r>
      <w:proofErr w:type="spellStart"/>
      <w:r>
        <w:rPr>
          <w:rFonts w:ascii="Times New Roman" w:hAnsi="Times New Roman" w:cs="Times New Roman"/>
        </w:rPr>
        <w:t>Herodotou</w:t>
      </w:r>
      <w:proofErr w:type="spellEnd"/>
      <w:r>
        <w:rPr>
          <w:rFonts w:ascii="Times New Roman" w:hAnsi="Times New Roman" w:cs="Times New Roman"/>
        </w:rPr>
        <w:t xml:space="preserve"> et al., 2020; L</w:t>
      </w:r>
      <w:r>
        <w:rPr>
          <w:rFonts w:ascii="Times New Roman" w:hAnsi="Times New Roman" w:cs="Times New Roman"/>
        </w:rPr>
        <w:t xml:space="preserve">iu et al., 2025). Such feedback visibility nurtures self-regulation and peer collaboration, which are critical components of equitable learning environments. However, the pedagogical benefits of data transparency are realized only when students understand </w:t>
      </w:r>
      <w:r>
        <w:rPr>
          <w:rFonts w:ascii="Times New Roman" w:hAnsi="Times New Roman" w:cs="Times New Roman"/>
        </w:rPr>
        <w:t xml:space="preserve">how information is generated and used. </w:t>
      </w:r>
      <w:proofErr w:type="spellStart"/>
      <w:r>
        <w:rPr>
          <w:rFonts w:ascii="Times New Roman" w:hAnsi="Times New Roman" w:cs="Times New Roman"/>
        </w:rPr>
        <w:t>Jisc</w:t>
      </w:r>
      <w:proofErr w:type="spellEnd"/>
      <w:r>
        <w:rPr>
          <w:rFonts w:ascii="Times New Roman" w:hAnsi="Times New Roman" w:cs="Times New Roman"/>
        </w:rPr>
        <w:t xml:space="preserve"> (2020) and Tsai et al. (2020) show that clear communication about data purpose and privacy enhances trust and participation, particularly among learners who might otherwise perceive analytics as surveillance. Thu</w:t>
      </w:r>
      <w:r>
        <w:rPr>
          <w:rFonts w:ascii="Times New Roman" w:hAnsi="Times New Roman" w:cs="Times New Roman"/>
        </w:rPr>
        <w:t>s, analytics support inclusion most effectively when embedded in a culture of mutual trust and open dialogue about learning evidence.</w:t>
      </w:r>
    </w:p>
    <w:p w14:paraId="0DD0E0F1"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At the institutional level, analytics systems contribute to inclusivity by facilitating early identification of students</w:t>
      </w:r>
      <w:r>
        <w:rPr>
          <w:rFonts w:ascii="Times New Roman" w:hAnsi="Times New Roman" w:cs="Times New Roman"/>
        </w:rPr>
        <w:t xml:space="preserve"> at risk of withdrawal or disengagement. However, the review reveals that predictive alerts alone have limited impact unless they are connected to relational forms of support. Studies by </w:t>
      </w:r>
      <w:proofErr w:type="spellStart"/>
      <w:r>
        <w:rPr>
          <w:rFonts w:ascii="Times New Roman" w:hAnsi="Times New Roman" w:cs="Times New Roman"/>
        </w:rPr>
        <w:t>Sonderlund</w:t>
      </w:r>
      <w:proofErr w:type="spellEnd"/>
      <w:r>
        <w:rPr>
          <w:rFonts w:ascii="Times New Roman" w:hAnsi="Times New Roman" w:cs="Times New Roman"/>
        </w:rPr>
        <w:t xml:space="preserve"> and Smith (2018) and Kennedy et al. (2025) illustrate that</w:t>
      </w:r>
      <w:r>
        <w:rPr>
          <w:rFonts w:ascii="Times New Roman" w:hAnsi="Times New Roman" w:cs="Times New Roman"/>
        </w:rPr>
        <w:t xml:space="preserve"> analytics-based advising programs improve retention only when they trigger timely personal contact between staff and students. Institutional frameworks like SHEILA (Tsai et al., 2018) demonstrate that sustainability depends on policy integration and profe</w:t>
      </w:r>
      <w:r>
        <w:rPr>
          <w:rFonts w:ascii="Times New Roman" w:hAnsi="Times New Roman" w:cs="Times New Roman"/>
        </w:rPr>
        <w:t>ssional development. Inclusivity at scale thus requires an institutional culture where analytics complement, rather than substitute, human care and mentorship. In essence, the reviewed evidence points toward a paradigm shift from technical innovation to pe</w:t>
      </w:r>
      <w:r>
        <w:rPr>
          <w:rFonts w:ascii="Times New Roman" w:hAnsi="Times New Roman" w:cs="Times New Roman"/>
        </w:rPr>
        <w:t>dagogical reflection. Analytics become truly actionable when they enable educators to notice and respond to learner diversity with empathy and evidence. Inclusivity is achieved not by the volume of data collected but by how teachers use data to recognize i</w:t>
      </w:r>
      <w:r>
        <w:rPr>
          <w:rFonts w:ascii="Times New Roman" w:hAnsi="Times New Roman" w:cs="Times New Roman"/>
        </w:rPr>
        <w:t>ndividual trajectories and tailor support. The findings reinforce that technology alone cannot produce equitable education; it is the interpretive, dialogic, and ethical use of analytics that determines whether data serve as a bridge or a barrier to inclus</w:t>
      </w:r>
      <w:r>
        <w:rPr>
          <w:rFonts w:ascii="Times New Roman" w:hAnsi="Times New Roman" w:cs="Times New Roman"/>
        </w:rPr>
        <w:t xml:space="preserve">ive learning. As the </w:t>
      </w:r>
      <w:r>
        <w:rPr>
          <w:rFonts w:ascii="Times New Roman" w:hAnsi="Times New Roman" w:cs="Times New Roman"/>
        </w:rPr>
        <w:lastRenderedPageBreak/>
        <w:t>field advances, fostering teacher literacy, collaborative design, and transparent communication will be essential to realizing the full pedagogical potential of actionable learning analytics.</w:t>
      </w:r>
    </w:p>
    <w:p w14:paraId="21524556" w14:textId="77777777" w:rsidR="00083506" w:rsidRDefault="0013203D">
      <w:pPr>
        <w:spacing w:line="360" w:lineRule="auto"/>
        <w:rPr>
          <w:rFonts w:ascii="Times New Roman" w:hAnsi="Times New Roman" w:cs="Times New Roman"/>
          <w:b/>
          <w:bCs/>
        </w:rPr>
      </w:pPr>
      <w:r>
        <w:rPr>
          <w:rFonts w:ascii="Times New Roman" w:hAnsi="Times New Roman" w:cs="Times New Roman"/>
          <w:b/>
          <w:bCs/>
        </w:rPr>
        <w:t>6. Conclusion and Implications</w:t>
      </w:r>
    </w:p>
    <w:p w14:paraId="6C3AA82A"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This scopi</w:t>
      </w:r>
      <w:r>
        <w:rPr>
          <w:rFonts w:ascii="Times New Roman" w:hAnsi="Times New Roman" w:cs="Times New Roman"/>
        </w:rPr>
        <w:t>ng review examined how actionable learning analytics have been conceptualized and applied across educational settings, with particular attention to their pedagogical and inclusive potential. The twenty-eight studies reviewed collectively show that analytic</w:t>
      </w:r>
      <w:r>
        <w:rPr>
          <w:rFonts w:ascii="Times New Roman" w:hAnsi="Times New Roman" w:cs="Times New Roman"/>
        </w:rPr>
        <w:t>s are most effective when they extend teachers’ interpretive capacity rather than automate decision-making. The transition from data to pedagogical action depends on how teachers understand, contextualize, and use analytics to address learners’ diverse nee</w:t>
      </w:r>
      <w:r>
        <w:rPr>
          <w:rFonts w:ascii="Times New Roman" w:hAnsi="Times New Roman" w:cs="Times New Roman"/>
        </w:rPr>
        <w:t>ds. Frameworks such as the Learning Analytics Cycle (Clow, 2012) and Analytics4Action (</w:t>
      </w:r>
      <w:proofErr w:type="spellStart"/>
      <w:r>
        <w:rPr>
          <w:rFonts w:ascii="Times New Roman" w:hAnsi="Times New Roman" w:cs="Times New Roman"/>
        </w:rPr>
        <w:t>Rienties</w:t>
      </w:r>
      <w:proofErr w:type="spellEnd"/>
      <w:r>
        <w:rPr>
          <w:rFonts w:ascii="Times New Roman" w:hAnsi="Times New Roman" w:cs="Times New Roman"/>
        </w:rPr>
        <w:t xml:space="preserve"> et al., 2016) have provided foundational models for closing the loop between data and practice, while more recent contributions like the SHEILA framework (Tsai </w:t>
      </w:r>
      <w:r>
        <w:rPr>
          <w:rFonts w:ascii="Times New Roman" w:hAnsi="Times New Roman" w:cs="Times New Roman"/>
        </w:rPr>
        <w:t>et al., 2018) and co-design approaches (</w:t>
      </w:r>
      <w:proofErr w:type="spellStart"/>
      <w:r>
        <w:rPr>
          <w:rFonts w:ascii="Times New Roman" w:hAnsi="Times New Roman" w:cs="Times New Roman"/>
        </w:rPr>
        <w:t>Kaliisa</w:t>
      </w:r>
      <w:proofErr w:type="spellEnd"/>
      <w:r>
        <w:rPr>
          <w:rFonts w:ascii="Times New Roman" w:hAnsi="Times New Roman" w:cs="Times New Roman"/>
        </w:rPr>
        <w:t xml:space="preserve"> et al., 2022; Van Leeuwen et al., 2022) highlight the importance of institutional readiness, ethical governance, and participatory design.</w:t>
      </w:r>
    </w:p>
    <w:p w14:paraId="21524EBE"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 review underlines that inclusivity in learning analytics is ach</w:t>
      </w:r>
      <w:r>
        <w:rPr>
          <w:rFonts w:ascii="Times New Roman" w:hAnsi="Times New Roman" w:cs="Times New Roman"/>
        </w:rPr>
        <w:t>ieved through reflection, dialogue, and adaptation rather than through the mere accumulation of digital traces. Teachers who used analytics as tools for formative feedback and differentiated instruction were able to make learning more responsive and equita</w:t>
      </w:r>
      <w:r>
        <w:rPr>
          <w:rFonts w:ascii="Times New Roman" w:hAnsi="Times New Roman" w:cs="Times New Roman"/>
        </w:rPr>
        <w:t>ble. In classrooms where dashboards facilitated student self-assessment and goal-setting, learners demonstrated stronger motivation and engagement, reinforcing that transparency and collaboration are central to effective feedback cultures. However, these b</w:t>
      </w:r>
      <w:r>
        <w:rPr>
          <w:rFonts w:ascii="Times New Roman" w:hAnsi="Times New Roman" w:cs="Times New Roman"/>
        </w:rPr>
        <w:t>enefits were not universal. The evidence suggests that the pedagogical gains of analytics are moderated by teachers’ data literacy, access to professional development, and the institutional contexts in which analytics are implemented. Without adequate trai</w:t>
      </w:r>
      <w:r>
        <w:rPr>
          <w:rFonts w:ascii="Times New Roman" w:hAnsi="Times New Roman" w:cs="Times New Roman"/>
        </w:rPr>
        <w:t>ning and ethical clarity, analytics risk reinforcing existing inequities by privileging measurable forms of achievement over less visible dimensions of learning such as creativity, critical thinking, and collaboration.</w:t>
      </w:r>
    </w:p>
    <w:p w14:paraId="6DA38FAF" w14:textId="77777777" w:rsidR="00083506" w:rsidRDefault="0013203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For practitioners, the findings emp</w:t>
      </w:r>
      <w:r>
        <w:rPr>
          <w:rFonts w:ascii="Times New Roman" w:hAnsi="Times New Roman" w:cs="Times New Roman"/>
        </w:rPr>
        <w:t>hasize that analytics should be approached as pedagogical instruments rather than administrative tools. Educators can use analytics to identify learners who need additional support, to adjust instructional pacing, and to provide feedback that reflects indi</w:t>
      </w:r>
      <w:r>
        <w:rPr>
          <w:rFonts w:ascii="Times New Roman" w:hAnsi="Times New Roman" w:cs="Times New Roman"/>
        </w:rPr>
        <w:t xml:space="preserve">vidual trajectories. To maximize inclusivity, institutions should invest in teacher </w:t>
      </w:r>
      <w:r>
        <w:rPr>
          <w:rFonts w:ascii="Times New Roman" w:hAnsi="Times New Roman" w:cs="Times New Roman"/>
        </w:rPr>
        <w:lastRenderedPageBreak/>
        <w:t>capacity-building, collaborative design processes, and policies that guarantee transparency and learner participation. Embedding analytics within reflective teaching cycles</w:t>
      </w:r>
      <w:r>
        <w:rPr>
          <w:rFonts w:ascii="Times New Roman" w:hAnsi="Times New Roman" w:cs="Times New Roman"/>
        </w:rPr>
        <w:t>; where data are interpreted through conversation rather than compliance creates conditions for more equitable learning environments. For researchers, the field would benefit from longitudinal studies that track how analytics-informed teaching evolves over</w:t>
      </w:r>
      <w:r>
        <w:rPr>
          <w:rFonts w:ascii="Times New Roman" w:hAnsi="Times New Roman" w:cs="Times New Roman"/>
        </w:rPr>
        <w:t xml:space="preserve"> time and across diverse educational systems. Future investigations should also explore how analytics can capture qualitative dimensions of learning, including emotional engagement and peer interaction, which remain underrepresented in current designs. Com</w:t>
      </w:r>
      <w:r>
        <w:rPr>
          <w:rFonts w:ascii="Times New Roman" w:hAnsi="Times New Roman" w:cs="Times New Roman"/>
        </w:rPr>
        <w:t>parative studies across geographic and socioeconomic contexts would help clarify how local infrastructures and cultural norms shape the actionability of analytics.</w:t>
      </w:r>
    </w:p>
    <w:p w14:paraId="3205E9C5" w14:textId="77777777" w:rsidR="00556933" w:rsidRDefault="00556933">
      <w:pPr>
        <w:spacing w:line="360" w:lineRule="auto"/>
        <w:rPr>
          <w:rFonts w:ascii="Times New Roman" w:hAnsi="Times New Roman" w:cs="Times New Roman"/>
        </w:rPr>
      </w:pPr>
    </w:p>
    <w:p w14:paraId="6DB21332" w14:textId="77777777" w:rsidR="00556933" w:rsidRPr="00556933" w:rsidRDefault="00556933" w:rsidP="00556933">
      <w:pPr>
        <w:spacing w:line="360" w:lineRule="auto"/>
        <w:rPr>
          <w:rFonts w:ascii="Times New Roman" w:hAnsi="Times New Roman" w:cs="Times New Roman"/>
        </w:rPr>
      </w:pPr>
      <w:r w:rsidRPr="00556933">
        <w:rPr>
          <w:rFonts w:ascii="Times New Roman" w:hAnsi="Times New Roman" w:cs="Times New Roman"/>
        </w:rPr>
        <w:t>COMPETING INTERESTS DISCLAIMER:</w:t>
      </w:r>
    </w:p>
    <w:p w14:paraId="3B94DA5D" w14:textId="63974538" w:rsidR="00556933" w:rsidRDefault="00556933" w:rsidP="00556933">
      <w:pPr>
        <w:spacing w:line="360" w:lineRule="auto"/>
        <w:rPr>
          <w:rFonts w:ascii="Times New Roman" w:hAnsi="Times New Roman" w:cs="Times New Roman"/>
        </w:rPr>
      </w:pPr>
      <w:r w:rsidRPr="00556933">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3E95B12C" w14:textId="77777777" w:rsidR="00556933" w:rsidRDefault="00556933">
      <w:pPr>
        <w:spacing w:line="360" w:lineRule="auto"/>
        <w:rPr>
          <w:rFonts w:ascii="Times New Roman" w:hAnsi="Times New Roman" w:cs="Times New Roman"/>
        </w:rPr>
      </w:pPr>
    </w:p>
    <w:p w14:paraId="36CC2369" w14:textId="77777777" w:rsidR="00083506" w:rsidRDefault="0013203D">
      <w:pPr>
        <w:spacing w:line="360" w:lineRule="auto"/>
        <w:rPr>
          <w:rFonts w:ascii="Times New Roman" w:hAnsi="Times New Roman" w:cs="Times New Roman"/>
          <w:b/>
          <w:bCs/>
        </w:rPr>
      </w:pPr>
      <w:r>
        <w:rPr>
          <w:rFonts w:ascii="Times New Roman" w:hAnsi="Times New Roman" w:cs="Times New Roman"/>
          <w:b/>
          <w:bCs/>
        </w:rPr>
        <w:t>References</w:t>
      </w:r>
    </w:p>
    <w:p w14:paraId="50775048" w14:textId="77777777" w:rsidR="00083506" w:rsidRDefault="0013203D">
      <w:pPr>
        <w:spacing w:line="360" w:lineRule="auto"/>
        <w:ind w:left="900" w:hanging="810"/>
        <w:rPr>
          <w:rFonts w:ascii="Times New Roman" w:hAnsi="Times New Roman" w:cs="Times New Roman"/>
        </w:rPr>
      </w:pPr>
      <w:r>
        <w:rPr>
          <w:rFonts w:ascii="Times New Roman" w:hAnsi="Times New Roman" w:cs="Times New Roman"/>
        </w:rPr>
        <w:t xml:space="preserve">Arksey, H., &amp; O’Malley, L. (2005). Scoping studies: Towards a methodological framework. </w:t>
      </w:r>
      <w:r>
        <w:rPr>
          <w:rFonts w:ascii="Times New Roman" w:hAnsi="Times New Roman" w:cs="Times New Roman"/>
          <w:i/>
          <w:iCs/>
        </w:rPr>
        <w:t>International J</w:t>
      </w:r>
      <w:r>
        <w:rPr>
          <w:rFonts w:ascii="Times New Roman" w:hAnsi="Times New Roman" w:cs="Times New Roman"/>
          <w:i/>
          <w:iCs/>
        </w:rPr>
        <w:t>ournal of Social Research Methodology, 8</w:t>
      </w:r>
      <w:r>
        <w:rPr>
          <w:rFonts w:ascii="Times New Roman" w:hAnsi="Times New Roman" w:cs="Times New Roman"/>
        </w:rPr>
        <w:t xml:space="preserve">(1), 19–32. </w:t>
      </w:r>
      <w:hyperlink r:id="rId7" w:history="1">
        <w:r w:rsidR="00083506">
          <w:rPr>
            <w:rStyle w:val="Hyperlink"/>
            <w:rFonts w:ascii="Times New Roman" w:hAnsi="Times New Roman" w:cs="Times New Roman"/>
          </w:rPr>
          <w:t>https://doi.org/10.1080/1364557032000119616</w:t>
        </w:r>
      </w:hyperlink>
      <w:r>
        <w:rPr>
          <w:rFonts w:ascii="Times New Roman" w:hAnsi="Times New Roman" w:cs="Times New Roman"/>
        </w:rPr>
        <w:t xml:space="preserve"> </w:t>
      </w:r>
    </w:p>
    <w:p w14:paraId="0C4FAB88" w14:textId="77777777" w:rsidR="00083506" w:rsidRDefault="0013203D">
      <w:pPr>
        <w:spacing w:line="360" w:lineRule="auto"/>
        <w:ind w:left="900" w:hanging="810"/>
        <w:rPr>
          <w:rFonts w:ascii="Times New Roman" w:hAnsi="Times New Roman" w:cs="Times New Roman"/>
        </w:rPr>
      </w:pPr>
      <w:r>
        <w:rPr>
          <w:rFonts w:ascii="Times New Roman" w:hAnsi="Times New Roman" w:cs="Times New Roman"/>
        </w:rPr>
        <w:t xml:space="preserve">Black, P., &amp; Wiliam, D. (2009). Developing the theory of formative assessment. </w:t>
      </w:r>
      <w:r>
        <w:rPr>
          <w:rFonts w:ascii="Times New Roman" w:hAnsi="Times New Roman" w:cs="Times New Roman"/>
          <w:i/>
          <w:iCs/>
        </w:rPr>
        <w:t>Educational Assessme</w:t>
      </w:r>
      <w:r>
        <w:rPr>
          <w:rFonts w:ascii="Times New Roman" w:hAnsi="Times New Roman" w:cs="Times New Roman"/>
          <w:i/>
          <w:iCs/>
        </w:rPr>
        <w:t>nt, Evaluation and Accountability, 21</w:t>
      </w:r>
      <w:r>
        <w:rPr>
          <w:rFonts w:ascii="Times New Roman" w:hAnsi="Times New Roman" w:cs="Times New Roman"/>
        </w:rPr>
        <w:t xml:space="preserve">(1), 5–31. https://doi.org/10.1007/s11092-008-9068-5 </w:t>
      </w:r>
    </w:p>
    <w:p w14:paraId="67743DEC" w14:textId="77777777" w:rsidR="00083506" w:rsidRDefault="0013203D">
      <w:pPr>
        <w:spacing w:line="360" w:lineRule="auto"/>
        <w:ind w:left="900" w:hanging="810"/>
        <w:rPr>
          <w:rFonts w:ascii="Times New Roman" w:hAnsi="Times New Roman" w:cs="Times New Roman"/>
        </w:rPr>
      </w:pPr>
      <w:proofErr w:type="spellStart"/>
      <w:r>
        <w:rPr>
          <w:rFonts w:ascii="Times New Roman" w:hAnsi="Times New Roman" w:cs="Times New Roman"/>
        </w:rPr>
        <w:t>Banihashem</w:t>
      </w:r>
      <w:proofErr w:type="spellEnd"/>
      <w:r>
        <w:rPr>
          <w:rFonts w:ascii="Times New Roman" w:hAnsi="Times New Roman" w:cs="Times New Roman"/>
        </w:rPr>
        <w:t xml:space="preserve">, S. K., Fialho, P., Verbert, K., &amp; Ochoa, X. (2022). The effects of learning analytics dashboards on student success: A systematic review. </w:t>
      </w:r>
      <w:r>
        <w:rPr>
          <w:rFonts w:ascii="Times New Roman" w:hAnsi="Times New Roman" w:cs="Times New Roman"/>
          <w:i/>
          <w:iCs/>
        </w:rPr>
        <w:t>Journal of Lear</w:t>
      </w:r>
      <w:r>
        <w:rPr>
          <w:rFonts w:ascii="Times New Roman" w:hAnsi="Times New Roman" w:cs="Times New Roman"/>
          <w:i/>
          <w:iCs/>
        </w:rPr>
        <w:t>ning Analytics, 9</w:t>
      </w:r>
      <w:r>
        <w:rPr>
          <w:rFonts w:ascii="Times New Roman" w:hAnsi="Times New Roman" w:cs="Times New Roman"/>
        </w:rPr>
        <w:t xml:space="preserve">(3), 85–106. </w:t>
      </w:r>
      <w:hyperlink r:id="rId8" w:history="1">
        <w:r w:rsidR="00083506">
          <w:rPr>
            <w:rStyle w:val="Hyperlink"/>
            <w:rFonts w:ascii="Times New Roman" w:hAnsi="Times New Roman" w:cs="Times New Roman"/>
          </w:rPr>
          <w:t>https://doi.org/10.18608/jla.2022.7613</w:t>
        </w:r>
      </w:hyperlink>
      <w:r>
        <w:rPr>
          <w:rFonts w:ascii="Times New Roman" w:hAnsi="Times New Roman" w:cs="Times New Roman"/>
        </w:rPr>
        <w:t xml:space="preserve"> </w:t>
      </w:r>
    </w:p>
    <w:p w14:paraId="71786571" w14:textId="77777777" w:rsidR="00083506" w:rsidRDefault="0013203D">
      <w:pPr>
        <w:spacing w:line="360" w:lineRule="auto"/>
        <w:ind w:left="900" w:hanging="810"/>
        <w:rPr>
          <w:rFonts w:ascii="Times New Roman" w:hAnsi="Times New Roman" w:cs="Times New Roman"/>
        </w:rPr>
      </w:pPr>
      <w:r>
        <w:rPr>
          <w:rFonts w:ascii="Times New Roman" w:hAnsi="Times New Roman" w:cs="Times New Roman"/>
        </w:rPr>
        <w:t>Buckingham Shum, S., Ferguson, R., &amp; Martinez-Maldonado, R. (2019). Human-</w:t>
      </w:r>
      <w:proofErr w:type="spellStart"/>
      <w:r>
        <w:rPr>
          <w:rFonts w:ascii="Times New Roman" w:hAnsi="Times New Roman" w:cs="Times New Roman"/>
        </w:rPr>
        <w:t>centred</w:t>
      </w:r>
      <w:proofErr w:type="spellEnd"/>
      <w:r>
        <w:rPr>
          <w:rFonts w:ascii="Times New Roman" w:hAnsi="Times New Roman" w:cs="Times New Roman"/>
        </w:rPr>
        <w:t xml:space="preserve"> learning analytics. </w:t>
      </w:r>
      <w:r>
        <w:rPr>
          <w:rFonts w:ascii="Times New Roman" w:hAnsi="Times New Roman" w:cs="Times New Roman"/>
          <w:i/>
          <w:iCs/>
        </w:rPr>
        <w:t>Journal of Learning Analytics</w:t>
      </w:r>
      <w:r>
        <w:rPr>
          <w:rFonts w:ascii="Times New Roman" w:hAnsi="Times New Roman" w:cs="Times New Roman"/>
          <w:i/>
          <w:iCs/>
        </w:rPr>
        <w:t>, 6</w:t>
      </w:r>
      <w:r>
        <w:rPr>
          <w:rFonts w:ascii="Times New Roman" w:hAnsi="Times New Roman" w:cs="Times New Roman"/>
        </w:rPr>
        <w:t xml:space="preserve">(2), 1–9. </w:t>
      </w:r>
      <w:hyperlink r:id="rId9" w:history="1">
        <w:r w:rsidR="00083506">
          <w:rPr>
            <w:rStyle w:val="Hyperlink"/>
            <w:rFonts w:ascii="Times New Roman" w:hAnsi="Times New Roman" w:cs="Times New Roman"/>
          </w:rPr>
          <w:t>https://doi.org/10.18608/jla.2019.62.1</w:t>
        </w:r>
      </w:hyperlink>
      <w:r>
        <w:rPr>
          <w:rFonts w:ascii="Times New Roman" w:hAnsi="Times New Roman" w:cs="Times New Roman"/>
        </w:rPr>
        <w:t xml:space="preserve"> </w:t>
      </w:r>
    </w:p>
    <w:p w14:paraId="32D890AB" w14:textId="77777777" w:rsidR="00083506" w:rsidRDefault="0013203D">
      <w:pPr>
        <w:spacing w:line="360" w:lineRule="auto"/>
        <w:ind w:left="900" w:hanging="810"/>
        <w:rPr>
          <w:rFonts w:ascii="Times New Roman" w:hAnsi="Times New Roman" w:cs="Times New Roman"/>
        </w:rPr>
      </w:pPr>
      <w:r>
        <w:rPr>
          <w:rFonts w:ascii="Times New Roman" w:hAnsi="Times New Roman" w:cs="Times New Roman"/>
        </w:rPr>
        <w:lastRenderedPageBreak/>
        <w:t xml:space="preserve">Buckingham Shum, S., &amp; Ferguson, R. (2012). Social learning analytics. </w:t>
      </w:r>
      <w:r>
        <w:rPr>
          <w:rFonts w:ascii="Times New Roman" w:hAnsi="Times New Roman" w:cs="Times New Roman"/>
          <w:i/>
          <w:iCs/>
        </w:rPr>
        <w:t>Educational Technology &amp; Society, 15</w:t>
      </w:r>
      <w:r>
        <w:rPr>
          <w:rFonts w:ascii="Times New Roman" w:hAnsi="Times New Roman" w:cs="Times New Roman"/>
        </w:rPr>
        <w:t>(3), 3–26. https://www.jstor.org/stable/j</w:t>
      </w:r>
      <w:r>
        <w:rPr>
          <w:rFonts w:ascii="Times New Roman" w:hAnsi="Times New Roman" w:cs="Times New Roman"/>
        </w:rPr>
        <w:t xml:space="preserve">eductechsoci.15.3.3 </w:t>
      </w:r>
    </w:p>
    <w:p w14:paraId="3932CA43" w14:textId="77777777" w:rsidR="00083506" w:rsidRDefault="00083506">
      <w:pPr>
        <w:spacing w:line="360" w:lineRule="auto"/>
        <w:ind w:left="900" w:hanging="810"/>
        <w:rPr>
          <w:rFonts w:ascii="Times New Roman" w:hAnsi="Times New Roman" w:cs="Times New Roman"/>
        </w:rPr>
      </w:pPr>
    </w:p>
    <w:p w14:paraId="6C863385" w14:textId="77777777" w:rsidR="00083506" w:rsidRDefault="00083506">
      <w:pPr>
        <w:spacing w:line="360" w:lineRule="auto"/>
        <w:ind w:left="900" w:hanging="810"/>
        <w:rPr>
          <w:rFonts w:ascii="Times New Roman" w:hAnsi="Times New Roman" w:cs="Times New Roman"/>
        </w:rPr>
      </w:pPr>
    </w:p>
    <w:p w14:paraId="73736495" w14:textId="77777777" w:rsidR="00083506" w:rsidRDefault="0013203D">
      <w:pPr>
        <w:spacing w:line="360" w:lineRule="auto"/>
        <w:ind w:left="900" w:hanging="810"/>
        <w:rPr>
          <w:rFonts w:ascii="Times New Roman" w:hAnsi="Times New Roman" w:cs="Times New Roman"/>
        </w:rPr>
      </w:pPr>
      <w:r>
        <w:rPr>
          <w:rFonts w:ascii="Times New Roman" w:hAnsi="Times New Roman" w:cs="Times New Roman"/>
        </w:rPr>
        <w:t xml:space="preserve">Chen, B., </w:t>
      </w:r>
      <w:proofErr w:type="spellStart"/>
      <w:r>
        <w:rPr>
          <w:rFonts w:ascii="Times New Roman" w:hAnsi="Times New Roman" w:cs="Times New Roman"/>
        </w:rPr>
        <w:t>Krummheuer</w:t>
      </w:r>
      <w:proofErr w:type="spellEnd"/>
      <w:r>
        <w:rPr>
          <w:rFonts w:ascii="Times New Roman" w:hAnsi="Times New Roman" w:cs="Times New Roman"/>
        </w:rPr>
        <w:t xml:space="preserve">, A., &amp; Hodges, C. (2024). Where theory, methodology, and practice intersect: Current directions for learning analytics research. </w:t>
      </w:r>
      <w:r>
        <w:rPr>
          <w:rFonts w:ascii="Times New Roman" w:hAnsi="Times New Roman" w:cs="Times New Roman"/>
          <w:i/>
          <w:iCs/>
        </w:rPr>
        <w:t>Journal of Learning Analytics, 11</w:t>
      </w:r>
      <w:r>
        <w:rPr>
          <w:rFonts w:ascii="Times New Roman" w:hAnsi="Times New Roman" w:cs="Times New Roman"/>
        </w:rPr>
        <w:t xml:space="preserve">(1), 1–9. </w:t>
      </w:r>
      <w:hyperlink r:id="rId10" w:history="1">
        <w:r w:rsidR="00083506">
          <w:rPr>
            <w:rStyle w:val="Hyperlink"/>
            <w:rFonts w:ascii="Times New Roman" w:hAnsi="Times New Roman" w:cs="Times New Roman"/>
          </w:rPr>
          <w:t>https://doi.org/10.18608/jla.2024.1101.1</w:t>
        </w:r>
      </w:hyperlink>
      <w:r>
        <w:rPr>
          <w:rFonts w:ascii="Times New Roman" w:hAnsi="Times New Roman" w:cs="Times New Roman"/>
        </w:rPr>
        <w:t xml:space="preserve"> </w:t>
      </w:r>
    </w:p>
    <w:p w14:paraId="2CE69E4B" w14:textId="77777777" w:rsidR="00083506" w:rsidRDefault="0013203D">
      <w:pPr>
        <w:spacing w:line="360" w:lineRule="auto"/>
        <w:ind w:left="900" w:hanging="810"/>
        <w:rPr>
          <w:rFonts w:ascii="Times New Roman" w:hAnsi="Times New Roman" w:cs="Times New Roman"/>
        </w:rPr>
      </w:pPr>
      <w:r>
        <w:rPr>
          <w:rFonts w:ascii="Times New Roman" w:hAnsi="Times New Roman" w:cs="Times New Roman"/>
        </w:rPr>
        <w:t xml:space="preserve">Clow, D. (2012). The learning analytics cycle: Closing the loop effectively. In </w:t>
      </w:r>
      <w:r>
        <w:rPr>
          <w:rFonts w:ascii="Times New Roman" w:hAnsi="Times New Roman" w:cs="Times New Roman"/>
          <w:i/>
          <w:iCs/>
        </w:rPr>
        <w:t xml:space="preserve">Proceedings of the 2nd International Conference on Learning Analytics and </w:t>
      </w:r>
      <w:r>
        <w:rPr>
          <w:rFonts w:ascii="Times New Roman" w:hAnsi="Times New Roman" w:cs="Times New Roman"/>
          <w:i/>
          <w:iCs/>
        </w:rPr>
        <w:t>Knowledge (LAK’12)</w:t>
      </w:r>
      <w:r>
        <w:rPr>
          <w:rFonts w:ascii="Times New Roman" w:hAnsi="Times New Roman" w:cs="Times New Roman"/>
        </w:rPr>
        <w:t xml:space="preserve"> (pp. 134–138). ACM. </w:t>
      </w:r>
      <w:hyperlink r:id="rId11" w:history="1">
        <w:r w:rsidR="00083506">
          <w:rPr>
            <w:rStyle w:val="Hyperlink"/>
            <w:rFonts w:ascii="Times New Roman" w:hAnsi="Times New Roman" w:cs="Times New Roman"/>
          </w:rPr>
          <w:t>https://doi.org/10.1145/2330601.2330666</w:t>
        </w:r>
      </w:hyperlink>
      <w:r>
        <w:rPr>
          <w:rFonts w:ascii="Times New Roman" w:hAnsi="Times New Roman" w:cs="Times New Roman"/>
        </w:rPr>
        <w:t xml:space="preserve"> </w:t>
      </w:r>
    </w:p>
    <w:p w14:paraId="265367F5" w14:textId="77777777" w:rsidR="00083506" w:rsidRDefault="0013203D">
      <w:pPr>
        <w:spacing w:line="360" w:lineRule="auto"/>
        <w:ind w:left="900" w:hanging="810"/>
        <w:rPr>
          <w:rFonts w:ascii="Times New Roman" w:hAnsi="Times New Roman" w:cs="Times New Roman"/>
        </w:rPr>
      </w:pPr>
      <w:r>
        <w:rPr>
          <w:rFonts w:ascii="Times New Roman" w:hAnsi="Times New Roman" w:cs="Times New Roman"/>
        </w:rPr>
        <w:t xml:space="preserve">Ferguson, R., &amp; Buckingham Shum, S. (2012). Social learning analytics: Five approaches. In </w:t>
      </w:r>
      <w:r>
        <w:rPr>
          <w:rFonts w:ascii="Times New Roman" w:hAnsi="Times New Roman" w:cs="Times New Roman"/>
          <w:i/>
          <w:iCs/>
        </w:rPr>
        <w:t>Proceedings of the 2nd Intern</w:t>
      </w:r>
      <w:r>
        <w:rPr>
          <w:rFonts w:ascii="Times New Roman" w:hAnsi="Times New Roman" w:cs="Times New Roman"/>
          <w:i/>
          <w:iCs/>
        </w:rPr>
        <w:t>ational Conference on Learning Analytics and Knowledge (LAK’12)</w:t>
      </w:r>
      <w:r>
        <w:rPr>
          <w:rFonts w:ascii="Times New Roman" w:hAnsi="Times New Roman" w:cs="Times New Roman"/>
        </w:rPr>
        <w:t xml:space="preserve"> (pp. 23–33). ACM. </w:t>
      </w:r>
      <w:hyperlink r:id="rId12" w:history="1">
        <w:r w:rsidR="00083506">
          <w:rPr>
            <w:rStyle w:val="Hyperlink"/>
            <w:rFonts w:ascii="Times New Roman" w:hAnsi="Times New Roman" w:cs="Times New Roman"/>
          </w:rPr>
          <w:t>https://doi.org/10.1145/2330601.2330616</w:t>
        </w:r>
      </w:hyperlink>
      <w:r>
        <w:rPr>
          <w:rFonts w:ascii="Times New Roman" w:hAnsi="Times New Roman" w:cs="Times New Roman"/>
        </w:rPr>
        <w:t xml:space="preserve"> </w:t>
      </w:r>
    </w:p>
    <w:p w14:paraId="68C7EB22" w14:textId="77777777" w:rsidR="00083506" w:rsidRDefault="0013203D">
      <w:pPr>
        <w:spacing w:line="360" w:lineRule="auto"/>
        <w:ind w:left="900" w:hanging="810"/>
        <w:rPr>
          <w:rFonts w:ascii="Times New Roman" w:hAnsi="Times New Roman" w:cs="Times New Roman"/>
        </w:rPr>
      </w:pPr>
      <w:r>
        <w:rPr>
          <w:rFonts w:ascii="Times New Roman" w:hAnsi="Times New Roman" w:cs="Times New Roman"/>
        </w:rPr>
        <w:t>Ferguson, R. (2012). Learning analytics: Drivers, developments and challenges</w:t>
      </w:r>
      <w:r>
        <w:rPr>
          <w:rFonts w:ascii="Times New Roman" w:hAnsi="Times New Roman" w:cs="Times New Roman"/>
        </w:rPr>
        <w:t xml:space="preserve">. </w:t>
      </w:r>
      <w:r>
        <w:rPr>
          <w:rFonts w:ascii="Times New Roman" w:hAnsi="Times New Roman" w:cs="Times New Roman"/>
          <w:i/>
          <w:iCs/>
        </w:rPr>
        <w:t>International Journal of Technology Enhanced Learning, 4</w:t>
      </w:r>
      <w:r>
        <w:rPr>
          <w:rFonts w:ascii="Times New Roman" w:hAnsi="Times New Roman" w:cs="Times New Roman"/>
        </w:rPr>
        <w:t xml:space="preserve">(5/6), 304–317. </w:t>
      </w:r>
      <w:hyperlink r:id="rId13" w:history="1">
        <w:r w:rsidR="00083506">
          <w:rPr>
            <w:rStyle w:val="Hyperlink"/>
            <w:rFonts w:ascii="Times New Roman" w:hAnsi="Times New Roman" w:cs="Times New Roman"/>
          </w:rPr>
          <w:t>https://doi.org/10.1504/IJTEL.2012.051816</w:t>
        </w:r>
      </w:hyperlink>
      <w:r>
        <w:rPr>
          <w:rFonts w:ascii="Times New Roman" w:hAnsi="Times New Roman" w:cs="Times New Roman"/>
        </w:rPr>
        <w:t xml:space="preserve"> </w:t>
      </w:r>
    </w:p>
    <w:p w14:paraId="58945BFB" w14:textId="77777777" w:rsidR="00083506" w:rsidRDefault="0013203D">
      <w:pPr>
        <w:spacing w:line="360" w:lineRule="auto"/>
        <w:ind w:left="900" w:hanging="810"/>
        <w:rPr>
          <w:rFonts w:ascii="Times New Roman" w:hAnsi="Times New Roman" w:cs="Times New Roman"/>
        </w:rPr>
      </w:pPr>
      <w:proofErr w:type="spellStart"/>
      <w:r>
        <w:rPr>
          <w:rFonts w:ascii="Times New Roman" w:hAnsi="Times New Roman" w:cs="Times New Roman"/>
          <w:lang w:val="es-ES"/>
        </w:rPr>
        <w:t>Gašević</w:t>
      </w:r>
      <w:proofErr w:type="spellEnd"/>
      <w:r>
        <w:rPr>
          <w:rFonts w:ascii="Times New Roman" w:hAnsi="Times New Roman" w:cs="Times New Roman"/>
          <w:lang w:val="es-ES"/>
        </w:rPr>
        <w:t xml:space="preserve">, D., Dawson, S., &amp; Siemens, G. (2019). </w:t>
      </w:r>
      <w:r>
        <w:rPr>
          <w:rFonts w:ascii="Times New Roman" w:hAnsi="Times New Roman" w:cs="Times New Roman"/>
        </w:rPr>
        <w:t>Let’s not forget: Learning analyti</w:t>
      </w:r>
      <w:r>
        <w:rPr>
          <w:rFonts w:ascii="Times New Roman" w:hAnsi="Times New Roman" w:cs="Times New Roman"/>
        </w:rPr>
        <w:t xml:space="preserve">cs are about learning. </w:t>
      </w:r>
      <w:proofErr w:type="spellStart"/>
      <w:r>
        <w:rPr>
          <w:rFonts w:ascii="Times New Roman" w:hAnsi="Times New Roman" w:cs="Times New Roman"/>
          <w:i/>
          <w:iCs/>
        </w:rPr>
        <w:t>TechTrends</w:t>
      </w:r>
      <w:proofErr w:type="spellEnd"/>
      <w:r>
        <w:rPr>
          <w:rFonts w:ascii="Times New Roman" w:hAnsi="Times New Roman" w:cs="Times New Roman"/>
          <w:i/>
          <w:iCs/>
        </w:rPr>
        <w:t>, 63</w:t>
      </w:r>
      <w:r>
        <w:rPr>
          <w:rFonts w:ascii="Times New Roman" w:hAnsi="Times New Roman" w:cs="Times New Roman"/>
        </w:rPr>
        <w:t xml:space="preserve">(1), 64–71. </w:t>
      </w:r>
      <w:hyperlink r:id="rId14" w:history="1">
        <w:r w:rsidR="00083506">
          <w:rPr>
            <w:rStyle w:val="Hyperlink"/>
            <w:rFonts w:ascii="Times New Roman" w:hAnsi="Times New Roman" w:cs="Times New Roman"/>
          </w:rPr>
          <w:t>https://doi.org/10.1007/s11528-018-0358-3</w:t>
        </w:r>
      </w:hyperlink>
      <w:r>
        <w:rPr>
          <w:rFonts w:ascii="Times New Roman" w:hAnsi="Times New Roman" w:cs="Times New Roman"/>
        </w:rPr>
        <w:t xml:space="preserve"> </w:t>
      </w:r>
    </w:p>
    <w:p w14:paraId="4E9983D9" w14:textId="77777777" w:rsidR="00083506" w:rsidRDefault="0013203D">
      <w:pPr>
        <w:spacing w:line="360" w:lineRule="auto"/>
        <w:ind w:left="900" w:hanging="810"/>
        <w:rPr>
          <w:rFonts w:ascii="Times New Roman" w:hAnsi="Times New Roman" w:cs="Times New Roman"/>
        </w:rPr>
      </w:pPr>
      <w:proofErr w:type="spellStart"/>
      <w:r>
        <w:rPr>
          <w:rFonts w:ascii="Times New Roman" w:hAnsi="Times New Roman" w:cs="Times New Roman"/>
        </w:rPr>
        <w:t>Herodotou</w:t>
      </w:r>
      <w:proofErr w:type="spellEnd"/>
      <w:r>
        <w:rPr>
          <w:rFonts w:ascii="Times New Roman" w:hAnsi="Times New Roman" w:cs="Times New Roman"/>
        </w:rPr>
        <w:t xml:space="preserve">, C., </w:t>
      </w:r>
      <w:proofErr w:type="spellStart"/>
      <w:r>
        <w:rPr>
          <w:rFonts w:ascii="Times New Roman" w:hAnsi="Times New Roman" w:cs="Times New Roman"/>
        </w:rPr>
        <w:t>Rienties</w:t>
      </w:r>
      <w:proofErr w:type="spellEnd"/>
      <w:r>
        <w:rPr>
          <w:rFonts w:ascii="Times New Roman" w:hAnsi="Times New Roman" w:cs="Times New Roman"/>
        </w:rPr>
        <w:t xml:space="preserve">, B., </w:t>
      </w:r>
      <w:proofErr w:type="spellStart"/>
      <w:r>
        <w:rPr>
          <w:rFonts w:ascii="Times New Roman" w:hAnsi="Times New Roman" w:cs="Times New Roman"/>
        </w:rPr>
        <w:t>Boroowa</w:t>
      </w:r>
      <w:proofErr w:type="spellEnd"/>
      <w:r>
        <w:rPr>
          <w:rFonts w:ascii="Times New Roman" w:hAnsi="Times New Roman" w:cs="Times New Roman"/>
        </w:rPr>
        <w:t xml:space="preserve">, A., </w:t>
      </w:r>
      <w:proofErr w:type="spellStart"/>
      <w:r>
        <w:rPr>
          <w:rFonts w:ascii="Times New Roman" w:hAnsi="Times New Roman" w:cs="Times New Roman"/>
        </w:rPr>
        <w:t>Zdrahal</w:t>
      </w:r>
      <w:proofErr w:type="spellEnd"/>
      <w:r>
        <w:rPr>
          <w:rFonts w:ascii="Times New Roman" w:hAnsi="Times New Roman" w:cs="Times New Roman"/>
        </w:rPr>
        <w:t xml:space="preserve">, Z., &amp; </w:t>
      </w:r>
      <w:proofErr w:type="spellStart"/>
      <w:r>
        <w:rPr>
          <w:rFonts w:ascii="Times New Roman" w:hAnsi="Times New Roman" w:cs="Times New Roman"/>
        </w:rPr>
        <w:t>Hlosta</w:t>
      </w:r>
      <w:proofErr w:type="spellEnd"/>
      <w:r>
        <w:rPr>
          <w:rFonts w:ascii="Times New Roman" w:hAnsi="Times New Roman" w:cs="Times New Roman"/>
        </w:rPr>
        <w:t>, M. (2020). Implementing predictive learni</w:t>
      </w:r>
      <w:r>
        <w:rPr>
          <w:rFonts w:ascii="Times New Roman" w:hAnsi="Times New Roman" w:cs="Times New Roman"/>
        </w:rPr>
        <w:t xml:space="preserve">ng analytics on a large scale: The teachers’ perspective. </w:t>
      </w:r>
      <w:r>
        <w:rPr>
          <w:rFonts w:ascii="Times New Roman" w:hAnsi="Times New Roman" w:cs="Times New Roman"/>
          <w:i/>
          <w:iCs/>
        </w:rPr>
        <w:t>Computers &amp; Education, 146</w:t>
      </w:r>
      <w:r>
        <w:rPr>
          <w:rFonts w:ascii="Times New Roman" w:hAnsi="Times New Roman" w:cs="Times New Roman"/>
        </w:rPr>
        <w:t xml:space="preserve">, 103752. </w:t>
      </w:r>
      <w:hyperlink r:id="rId15" w:history="1">
        <w:r w:rsidR="00083506">
          <w:rPr>
            <w:rStyle w:val="Hyperlink"/>
            <w:rFonts w:ascii="Times New Roman" w:hAnsi="Times New Roman" w:cs="Times New Roman"/>
          </w:rPr>
          <w:t>https://doi.org/10.1016/j.compedu.2019.103752</w:t>
        </w:r>
      </w:hyperlink>
      <w:r>
        <w:rPr>
          <w:rFonts w:ascii="Times New Roman" w:hAnsi="Times New Roman" w:cs="Times New Roman"/>
        </w:rPr>
        <w:t xml:space="preserve"> </w:t>
      </w:r>
    </w:p>
    <w:p w14:paraId="72640999" w14:textId="77777777" w:rsidR="00083506" w:rsidRDefault="0013203D">
      <w:pPr>
        <w:spacing w:line="360" w:lineRule="auto"/>
        <w:ind w:left="900" w:hanging="810"/>
        <w:rPr>
          <w:rFonts w:ascii="Times New Roman" w:hAnsi="Times New Roman" w:cs="Times New Roman"/>
        </w:rPr>
      </w:pPr>
      <w:proofErr w:type="spellStart"/>
      <w:r>
        <w:rPr>
          <w:rFonts w:ascii="Times New Roman" w:hAnsi="Times New Roman" w:cs="Times New Roman"/>
        </w:rPr>
        <w:t>Ifenthaler</w:t>
      </w:r>
      <w:proofErr w:type="spellEnd"/>
      <w:r>
        <w:rPr>
          <w:rFonts w:ascii="Times New Roman" w:hAnsi="Times New Roman" w:cs="Times New Roman"/>
        </w:rPr>
        <w:t xml:space="preserve">, D., &amp; Yau, J. Y.-K. (2020). </w:t>
      </w:r>
      <w:proofErr w:type="spellStart"/>
      <w:r>
        <w:rPr>
          <w:rFonts w:ascii="Times New Roman" w:hAnsi="Times New Roman" w:cs="Times New Roman"/>
        </w:rPr>
        <w:t>Utilising</w:t>
      </w:r>
      <w:proofErr w:type="spellEnd"/>
      <w:r>
        <w:rPr>
          <w:rFonts w:ascii="Times New Roman" w:hAnsi="Times New Roman" w:cs="Times New Roman"/>
        </w:rPr>
        <w:t xml:space="preserve"> lea</w:t>
      </w:r>
      <w:r>
        <w:rPr>
          <w:rFonts w:ascii="Times New Roman" w:hAnsi="Times New Roman" w:cs="Times New Roman"/>
        </w:rPr>
        <w:t xml:space="preserve">rning analytics for study success: Reflections on current empirical findings. </w:t>
      </w:r>
      <w:r>
        <w:rPr>
          <w:rFonts w:ascii="Times New Roman" w:hAnsi="Times New Roman" w:cs="Times New Roman"/>
          <w:i/>
          <w:iCs/>
        </w:rPr>
        <w:t>International Journal of Learning Analytics and Artificial Intelligence for Education (</w:t>
      </w:r>
      <w:proofErr w:type="spellStart"/>
      <w:r>
        <w:rPr>
          <w:rFonts w:ascii="Times New Roman" w:hAnsi="Times New Roman" w:cs="Times New Roman"/>
          <w:i/>
          <w:iCs/>
        </w:rPr>
        <w:t>iJAI</w:t>
      </w:r>
      <w:proofErr w:type="spellEnd"/>
      <w:r>
        <w:rPr>
          <w:rFonts w:ascii="Times New Roman" w:hAnsi="Times New Roman" w:cs="Times New Roman"/>
          <w:i/>
          <w:iCs/>
        </w:rPr>
        <w:t>), 2</w:t>
      </w:r>
      <w:r>
        <w:rPr>
          <w:rFonts w:ascii="Times New Roman" w:hAnsi="Times New Roman" w:cs="Times New Roman"/>
        </w:rPr>
        <w:t xml:space="preserve">(1), 4–19. </w:t>
      </w:r>
      <w:hyperlink r:id="rId16" w:history="1">
        <w:r w:rsidR="00083506">
          <w:rPr>
            <w:rStyle w:val="Hyperlink"/>
            <w:rFonts w:ascii="Times New Roman" w:hAnsi="Times New Roman" w:cs="Times New Roman"/>
          </w:rPr>
          <w:t>https://doi.org/10.3991/ijai.v2i1.13439</w:t>
        </w:r>
      </w:hyperlink>
      <w:r>
        <w:rPr>
          <w:rFonts w:ascii="Times New Roman" w:hAnsi="Times New Roman" w:cs="Times New Roman"/>
        </w:rPr>
        <w:t xml:space="preserve"> </w:t>
      </w:r>
    </w:p>
    <w:p w14:paraId="02D136C2" w14:textId="77777777" w:rsidR="00083506" w:rsidRDefault="0013203D">
      <w:pPr>
        <w:spacing w:line="360" w:lineRule="auto"/>
        <w:ind w:left="900" w:hanging="810"/>
        <w:rPr>
          <w:rFonts w:ascii="Times New Roman" w:hAnsi="Times New Roman" w:cs="Times New Roman"/>
        </w:rPr>
      </w:pPr>
      <w:proofErr w:type="spellStart"/>
      <w:r>
        <w:rPr>
          <w:rFonts w:ascii="Times New Roman" w:hAnsi="Times New Roman" w:cs="Times New Roman"/>
        </w:rPr>
        <w:t>Jisc</w:t>
      </w:r>
      <w:proofErr w:type="spellEnd"/>
      <w:r>
        <w:rPr>
          <w:rFonts w:ascii="Times New Roman" w:hAnsi="Times New Roman" w:cs="Times New Roman"/>
        </w:rPr>
        <w:t xml:space="preserve">. (2020). </w:t>
      </w:r>
      <w:r>
        <w:rPr>
          <w:rFonts w:ascii="Times New Roman" w:hAnsi="Times New Roman" w:cs="Times New Roman"/>
          <w:i/>
          <w:iCs/>
        </w:rPr>
        <w:t>Principles of good assessment and feedback for learning</w:t>
      </w:r>
      <w:r>
        <w:rPr>
          <w:rFonts w:ascii="Times New Roman" w:hAnsi="Times New Roman" w:cs="Times New Roman"/>
        </w:rPr>
        <w:t xml:space="preserve">. </w:t>
      </w:r>
      <w:hyperlink r:id="rId17" w:tgtFrame="_new" w:history="1">
        <w:r w:rsidR="00083506">
          <w:rPr>
            <w:rStyle w:val="Hyperlink"/>
            <w:rFonts w:ascii="Times New Roman" w:hAnsi="Times New Roman" w:cs="Times New Roman"/>
          </w:rPr>
          <w:t>https://www.jisc.ac.uk/guides/principles-of-good-assessment-and-feedback</w:t>
        </w:r>
      </w:hyperlink>
      <w:r>
        <w:rPr>
          <w:rFonts w:ascii="Times New Roman" w:hAnsi="Times New Roman" w:cs="Times New Roman"/>
        </w:rPr>
        <w:t xml:space="preserve"> </w:t>
      </w:r>
    </w:p>
    <w:p w14:paraId="2F2E73D7" w14:textId="77777777" w:rsidR="00083506" w:rsidRDefault="0013203D">
      <w:pPr>
        <w:spacing w:line="360" w:lineRule="auto"/>
        <w:ind w:left="900" w:hanging="810"/>
        <w:rPr>
          <w:rFonts w:ascii="Times New Roman" w:hAnsi="Times New Roman" w:cs="Times New Roman"/>
        </w:rPr>
      </w:pPr>
      <w:r>
        <w:rPr>
          <w:rFonts w:ascii="Times New Roman" w:hAnsi="Times New Roman" w:cs="Times New Roman"/>
        </w:rPr>
        <w:lastRenderedPageBreak/>
        <w:t xml:space="preserve">Jørnø, R. L., &amp; Gynther, K. (2018). Designing for learning analytics: </w:t>
      </w:r>
      <w:proofErr w:type="spellStart"/>
      <w:r>
        <w:rPr>
          <w:rFonts w:ascii="Times New Roman" w:hAnsi="Times New Roman" w:cs="Times New Roman"/>
        </w:rPr>
        <w:t>Conceptualising</w:t>
      </w:r>
      <w:proofErr w:type="spellEnd"/>
      <w:r>
        <w:rPr>
          <w:rFonts w:ascii="Times New Roman" w:hAnsi="Times New Roman" w:cs="Times New Roman"/>
        </w:rPr>
        <w:t xml:space="preserve"> pedagogical interpretability to support teacher agency. </w:t>
      </w:r>
      <w:r>
        <w:rPr>
          <w:rFonts w:ascii="Times New Roman" w:hAnsi="Times New Roman" w:cs="Times New Roman"/>
          <w:i/>
          <w:iCs/>
        </w:rPr>
        <w:t>British Journal of Educational Technology, 49</w:t>
      </w:r>
      <w:r>
        <w:rPr>
          <w:rFonts w:ascii="Times New Roman" w:hAnsi="Times New Roman" w:cs="Times New Roman"/>
        </w:rPr>
        <w:t>(4), 894–905. https://doi.org/10.</w:t>
      </w:r>
      <w:r>
        <w:rPr>
          <w:rFonts w:ascii="Times New Roman" w:hAnsi="Times New Roman" w:cs="Times New Roman"/>
        </w:rPr>
        <w:t>1111/bjet.12647</w:t>
      </w:r>
    </w:p>
    <w:p w14:paraId="241EBDE6" w14:textId="77777777" w:rsidR="00083506" w:rsidRDefault="0013203D">
      <w:pPr>
        <w:spacing w:line="360" w:lineRule="auto"/>
        <w:ind w:left="900" w:hanging="810"/>
        <w:rPr>
          <w:rFonts w:ascii="Times New Roman" w:hAnsi="Times New Roman" w:cs="Times New Roman"/>
        </w:rPr>
      </w:pPr>
      <w:proofErr w:type="spellStart"/>
      <w:r>
        <w:rPr>
          <w:rFonts w:ascii="Times New Roman" w:hAnsi="Times New Roman" w:cs="Times New Roman"/>
        </w:rPr>
        <w:t>Kaliisa</w:t>
      </w:r>
      <w:proofErr w:type="spellEnd"/>
      <w:r>
        <w:rPr>
          <w:rFonts w:ascii="Times New Roman" w:hAnsi="Times New Roman" w:cs="Times New Roman"/>
        </w:rPr>
        <w:t xml:space="preserve">, R., </w:t>
      </w:r>
      <w:proofErr w:type="spellStart"/>
      <w:r>
        <w:rPr>
          <w:rFonts w:ascii="Times New Roman" w:hAnsi="Times New Roman" w:cs="Times New Roman"/>
        </w:rPr>
        <w:t>Rienties</w:t>
      </w:r>
      <w:proofErr w:type="spellEnd"/>
      <w:r>
        <w:rPr>
          <w:rFonts w:ascii="Times New Roman" w:hAnsi="Times New Roman" w:cs="Times New Roman"/>
        </w:rPr>
        <w:t xml:space="preserve">, B., Mørch, A. I., &amp; Kluge, A. (2022). Social learning analytics in computer-supported collaborative learning environments: A systematic review of empirical studies. </w:t>
      </w:r>
      <w:r>
        <w:rPr>
          <w:rFonts w:ascii="Times New Roman" w:hAnsi="Times New Roman" w:cs="Times New Roman"/>
          <w:i/>
          <w:iCs/>
        </w:rPr>
        <w:t>Computers &amp; Education Open, 3</w:t>
      </w:r>
      <w:r>
        <w:rPr>
          <w:rFonts w:ascii="Times New Roman" w:hAnsi="Times New Roman" w:cs="Times New Roman"/>
        </w:rPr>
        <w:t xml:space="preserve">, 100073. </w:t>
      </w:r>
      <w:hyperlink r:id="rId18" w:history="1">
        <w:r w:rsidR="00083506">
          <w:rPr>
            <w:rStyle w:val="Hyperlink"/>
            <w:rFonts w:ascii="Times New Roman" w:hAnsi="Times New Roman" w:cs="Times New Roman"/>
          </w:rPr>
          <w:t>https://doi.org/10.1016/j.caeo.2022.100073</w:t>
        </w:r>
      </w:hyperlink>
      <w:r>
        <w:rPr>
          <w:rFonts w:ascii="Times New Roman" w:hAnsi="Times New Roman" w:cs="Times New Roman"/>
        </w:rPr>
        <w:t xml:space="preserve"> </w:t>
      </w:r>
    </w:p>
    <w:p w14:paraId="4A67F346" w14:textId="77777777" w:rsidR="00083506" w:rsidRDefault="0013203D">
      <w:pPr>
        <w:spacing w:line="360" w:lineRule="auto"/>
        <w:ind w:left="900" w:hanging="810"/>
        <w:rPr>
          <w:rFonts w:ascii="Times New Roman" w:hAnsi="Times New Roman" w:cs="Times New Roman"/>
        </w:rPr>
      </w:pPr>
      <w:r>
        <w:rPr>
          <w:rFonts w:ascii="Times New Roman" w:hAnsi="Times New Roman" w:cs="Times New Roman"/>
        </w:rPr>
        <w:t xml:space="preserve">Kennedy, G., Corrin, L., de Barba, P., Lockyer, L., </w:t>
      </w:r>
      <w:proofErr w:type="spellStart"/>
      <w:r>
        <w:rPr>
          <w:rFonts w:ascii="Times New Roman" w:hAnsi="Times New Roman" w:cs="Times New Roman"/>
        </w:rPr>
        <w:t>Gašević</w:t>
      </w:r>
      <w:proofErr w:type="spellEnd"/>
      <w:r>
        <w:rPr>
          <w:rFonts w:ascii="Times New Roman" w:hAnsi="Times New Roman" w:cs="Times New Roman"/>
        </w:rPr>
        <w:t xml:space="preserve">, D., Williams, D., … </w:t>
      </w:r>
      <w:proofErr w:type="spellStart"/>
      <w:r>
        <w:rPr>
          <w:rFonts w:ascii="Times New Roman" w:hAnsi="Times New Roman" w:cs="Times New Roman"/>
        </w:rPr>
        <w:t>Bakharia</w:t>
      </w:r>
      <w:proofErr w:type="spellEnd"/>
      <w:r>
        <w:rPr>
          <w:rFonts w:ascii="Times New Roman" w:hAnsi="Times New Roman" w:cs="Times New Roman"/>
        </w:rPr>
        <w:t xml:space="preserve">, A. (2016). </w:t>
      </w:r>
      <w:r>
        <w:rPr>
          <w:rFonts w:ascii="Times New Roman" w:hAnsi="Times New Roman" w:cs="Times New Roman"/>
          <w:i/>
          <w:iCs/>
        </w:rPr>
        <w:t xml:space="preserve">Completing the loop: Returning meaningful learning analytics </w:t>
      </w:r>
      <w:r>
        <w:rPr>
          <w:rFonts w:ascii="Times New Roman" w:hAnsi="Times New Roman" w:cs="Times New Roman"/>
          <w:i/>
          <w:iCs/>
        </w:rPr>
        <w:t>data to teachers.</w:t>
      </w:r>
      <w:r>
        <w:rPr>
          <w:rFonts w:ascii="Times New Roman" w:hAnsi="Times New Roman" w:cs="Times New Roman"/>
        </w:rPr>
        <w:t xml:space="preserve"> Australian Government Office for Learning and Teaching. ISBN 978-0-7340-5300-8 (available online at </w:t>
      </w:r>
      <w:hyperlink r:id="rId19" w:history="1">
        <w:r w:rsidR="00083506">
          <w:rPr>
            <w:rStyle w:val="Hyperlink"/>
            <w:rFonts w:ascii="Times New Roman" w:hAnsi="Times New Roman" w:cs="Times New Roman"/>
          </w:rPr>
          <w:t>https://melbourne-cs.github.io/learning-analytics-handbook/</w:t>
        </w:r>
      </w:hyperlink>
      <w:r>
        <w:rPr>
          <w:rFonts w:ascii="Times New Roman" w:hAnsi="Times New Roman" w:cs="Times New Roman"/>
        </w:rPr>
        <w:t xml:space="preserve"> </w:t>
      </w:r>
    </w:p>
    <w:p w14:paraId="10ECB2A7" w14:textId="77777777" w:rsidR="00083506" w:rsidRDefault="0013203D">
      <w:pPr>
        <w:spacing w:line="360" w:lineRule="auto"/>
        <w:ind w:left="900" w:hanging="810"/>
        <w:rPr>
          <w:rFonts w:ascii="Times New Roman" w:hAnsi="Times New Roman" w:cs="Times New Roman"/>
        </w:rPr>
      </w:pPr>
      <w:r>
        <w:rPr>
          <w:rFonts w:ascii="Times New Roman" w:hAnsi="Times New Roman" w:cs="Times New Roman"/>
        </w:rPr>
        <w:t>L</w:t>
      </w:r>
      <w:r>
        <w:rPr>
          <w:rFonts w:ascii="Times New Roman" w:hAnsi="Times New Roman" w:cs="Times New Roman"/>
        </w:rPr>
        <w:t xml:space="preserve">evac, D., Colquhoun, H., &amp; O’Brien, K. K. (2010). Scoping studies: Advancing the methodology. </w:t>
      </w:r>
      <w:r>
        <w:rPr>
          <w:rFonts w:ascii="Times New Roman" w:hAnsi="Times New Roman" w:cs="Times New Roman"/>
          <w:i/>
          <w:iCs/>
        </w:rPr>
        <w:t>Implementation Science, 5</w:t>
      </w:r>
      <w:r>
        <w:rPr>
          <w:rFonts w:ascii="Times New Roman" w:hAnsi="Times New Roman" w:cs="Times New Roman"/>
        </w:rPr>
        <w:t xml:space="preserve">, 69. </w:t>
      </w:r>
      <w:hyperlink r:id="rId20" w:history="1">
        <w:r w:rsidR="00083506">
          <w:rPr>
            <w:rStyle w:val="Hyperlink"/>
            <w:rFonts w:ascii="Times New Roman" w:hAnsi="Times New Roman" w:cs="Times New Roman"/>
          </w:rPr>
          <w:t>https://doi.org/10.1186/1748-5908-5-69</w:t>
        </w:r>
      </w:hyperlink>
      <w:r>
        <w:rPr>
          <w:rFonts w:ascii="Times New Roman" w:hAnsi="Times New Roman" w:cs="Times New Roman"/>
        </w:rPr>
        <w:t xml:space="preserve"> </w:t>
      </w:r>
    </w:p>
    <w:p w14:paraId="638E6B8F" w14:textId="77777777" w:rsidR="00083506" w:rsidRDefault="0013203D">
      <w:pPr>
        <w:spacing w:line="360" w:lineRule="auto"/>
        <w:ind w:left="900" w:hanging="810"/>
        <w:rPr>
          <w:rFonts w:ascii="Times New Roman" w:hAnsi="Times New Roman" w:cs="Times New Roman"/>
        </w:rPr>
      </w:pPr>
      <w:r>
        <w:rPr>
          <w:rFonts w:ascii="Times New Roman" w:hAnsi="Times New Roman" w:cs="Times New Roman"/>
        </w:rPr>
        <w:t xml:space="preserve">Liu, Q., Shen, W., &amp; Li, X. (2023). </w:t>
      </w:r>
      <w:r>
        <w:rPr>
          <w:rFonts w:ascii="Times New Roman" w:hAnsi="Times New Roman" w:cs="Times New Roman"/>
        </w:rPr>
        <w:t xml:space="preserve">Analytics-informed design: Exploring visualization of learning data to support learning design practice. </w:t>
      </w:r>
      <w:r>
        <w:rPr>
          <w:rFonts w:ascii="Times New Roman" w:hAnsi="Times New Roman" w:cs="Times New Roman"/>
          <w:i/>
          <w:iCs/>
        </w:rPr>
        <w:t>SAGE Open.</w:t>
      </w:r>
      <w:r>
        <w:rPr>
          <w:rFonts w:ascii="Times New Roman" w:hAnsi="Times New Roman" w:cs="Times New Roman"/>
        </w:rPr>
        <w:t xml:space="preserve"> </w:t>
      </w:r>
      <w:hyperlink r:id="rId21" w:history="1">
        <w:r w:rsidR="00083506">
          <w:rPr>
            <w:rStyle w:val="Hyperlink"/>
            <w:rFonts w:ascii="Times New Roman" w:hAnsi="Times New Roman" w:cs="Times New Roman"/>
          </w:rPr>
          <w:t>https://doi.org/10.1177/21582440231193590</w:t>
        </w:r>
      </w:hyperlink>
      <w:r>
        <w:rPr>
          <w:rFonts w:ascii="Times New Roman" w:hAnsi="Times New Roman" w:cs="Times New Roman"/>
        </w:rPr>
        <w:t xml:space="preserve"> </w:t>
      </w:r>
    </w:p>
    <w:p w14:paraId="69C1444F" w14:textId="77777777" w:rsidR="00083506" w:rsidRDefault="0013203D">
      <w:pPr>
        <w:spacing w:line="360" w:lineRule="auto"/>
        <w:ind w:left="900" w:hanging="810"/>
        <w:rPr>
          <w:rFonts w:ascii="Times New Roman" w:hAnsi="Times New Roman" w:cs="Times New Roman"/>
        </w:rPr>
      </w:pPr>
      <w:r>
        <w:rPr>
          <w:rFonts w:ascii="Times New Roman" w:hAnsi="Times New Roman" w:cs="Times New Roman"/>
        </w:rPr>
        <w:t xml:space="preserve">Pan, Z., Hu, Y., &amp; </w:t>
      </w:r>
      <w:proofErr w:type="spellStart"/>
      <w:r>
        <w:rPr>
          <w:rFonts w:ascii="Times New Roman" w:hAnsi="Times New Roman" w:cs="Times New Roman"/>
        </w:rPr>
        <w:t>Ifenthaler</w:t>
      </w:r>
      <w:proofErr w:type="spellEnd"/>
      <w:r>
        <w:rPr>
          <w:rFonts w:ascii="Times New Roman" w:hAnsi="Times New Roman" w:cs="Times New Roman"/>
        </w:rPr>
        <w:t>, D. (2024</w:t>
      </w:r>
      <w:r>
        <w:rPr>
          <w:rFonts w:ascii="Times New Roman" w:hAnsi="Times New Roman" w:cs="Times New Roman"/>
        </w:rPr>
        <w:t xml:space="preserve">). Learning analytics in higher education: A systematic review of implementation frameworks and institutional readiness. </w:t>
      </w:r>
      <w:r>
        <w:rPr>
          <w:rFonts w:ascii="Times New Roman" w:hAnsi="Times New Roman" w:cs="Times New Roman"/>
          <w:i/>
          <w:iCs/>
        </w:rPr>
        <w:t>Journal of Computing in Higher Education, 36</w:t>
      </w:r>
      <w:r>
        <w:rPr>
          <w:rFonts w:ascii="Times New Roman" w:hAnsi="Times New Roman" w:cs="Times New Roman"/>
        </w:rPr>
        <w:t xml:space="preserve">(2), 345–374. </w:t>
      </w:r>
      <w:hyperlink r:id="rId22" w:history="1">
        <w:r w:rsidR="00083506">
          <w:rPr>
            <w:rStyle w:val="Hyperlink"/>
            <w:rFonts w:ascii="Times New Roman" w:hAnsi="Times New Roman" w:cs="Times New Roman"/>
          </w:rPr>
          <w:t>https://doi.org/10.1007/s12528-024-09353-3</w:t>
        </w:r>
      </w:hyperlink>
      <w:r>
        <w:rPr>
          <w:rFonts w:ascii="Times New Roman" w:hAnsi="Times New Roman" w:cs="Times New Roman"/>
        </w:rPr>
        <w:t xml:space="preserve"> </w:t>
      </w:r>
    </w:p>
    <w:p w14:paraId="3666721A" w14:textId="77777777" w:rsidR="00083506" w:rsidRDefault="0013203D">
      <w:pPr>
        <w:spacing w:line="360" w:lineRule="auto"/>
        <w:ind w:left="900" w:hanging="810"/>
        <w:rPr>
          <w:rFonts w:ascii="Times New Roman" w:hAnsi="Times New Roman" w:cs="Times New Roman"/>
        </w:rPr>
      </w:pPr>
      <w:proofErr w:type="spellStart"/>
      <w:r>
        <w:rPr>
          <w:rFonts w:ascii="Times New Roman" w:hAnsi="Times New Roman" w:cs="Times New Roman"/>
          <w:lang w:val="es-ES"/>
        </w:rPr>
        <w:t>Paolucci</w:t>
      </w:r>
      <w:proofErr w:type="spellEnd"/>
      <w:r>
        <w:rPr>
          <w:rFonts w:ascii="Times New Roman" w:hAnsi="Times New Roman" w:cs="Times New Roman"/>
          <w:lang w:val="es-ES"/>
        </w:rPr>
        <w:t xml:space="preserve">, C., </w:t>
      </w:r>
      <w:proofErr w:type="spellStart"/>
      <w:r>
        <w:rPr>
          <w:rFonts w:ascii="Times New Roman" w:hAnsi="Times New Roman" w:cs="Times New Roman"/>
          <w:lang w:val="es-ES"/>
        </w:rPr>
        <w:t>Vancini</w:t>
      </w:r>
      <w:proofErr w:type="spellEnd"/>
      <w:r>
        <w:rPr>
          <w:rFonts w:ascii="Times New Roman" w:hAnsi="Times New Roman" w:cs="Times New Roman"/>
          <w:lang w:val="es-ES"/>
        </w:rPr>
        <w:t xml:space="preserve">, S., </w:t>
      </w:r>
      <w:proofErr w:type="spellStart"/>
      <w:r>
        <w:rPr>
          <w:rFonts w:ascii="Times New Roman" w:hAnsi="Times New Roman" w:cs="Times New Roman"/>
          <w:lang w:val="es-ES"/>
        </w:rPr>
        <w:t>Bex</w:t>
      </w:r>
      <w:proofErr w:type="spellEnd"/>
      <w:r>
        <w:rPr>
          <w:rFonts w:ascii="Times New Roman" w:hAnsi="Times New Roman" w:cs="Times New Roman"/>
          <w:lang w:val="es-ES"/>
        </w:rPr>
        <w:t xml:space="preserve">, R., de Araujo, Z., &amp; Nguyen, D. (2024). </w:t>
      </w:r>
      <w:r>
        <w:rPr>
          <w:rFonts w:ascii="Times New Roman" w:hAnsi="Times New Roman" w:cs="Times New Roman"/>
        </w:rPr>
        <w:t xml:space="preserve">A review of learning analytics opportunities and challenges for K–12 education. </w:t>
      </w:r>
      <w:proofErr w:type="spellStart"/>
      <w:r>
        <w:rPr>
          <w:rFonts w:ascii="Times New Roman" w:hAnsi="Times New Roman" w:cs="Times New Roman"/>
          <w:i/>
          <w:iCs/>
        </w:rPr>
        <w:t>Heliyon</w:t>
      </w:r>
      <w:proofErr w:type="spellEnd"/>
      <w:r>
        <w:rPr>
          <w:rFonts w:ascii="Times New Roman" w:hAnsi="Times New Roman" w:cs="Times New Roman"/>
          <w:i/>
          <w:iCs/>
        </w:rPr>
        <w:t>, 10</w:t>
      </w:r>
      <w:r>
        <w:rPr>
          <w:rFonts w:ascii="Times New Roman" w:hAnsi="Times New Roman" w:cs="Times New Roman"/>
        </w:rPr>
        <w:t>(4), e25767. https://doi.org/10.1016/j.heliyon.2024.e25767</w:t>
      </w:r>
    </w:p>
    <w:p w14:paraId="13341C66" w14:textId="77777777" w:rsidR="00083506" w:rsidRDefault="0013203D">
      <w:pPr>
        <w:spacing w:line="360" w:lineRule="auto"/>
        <w:ind w:left="900" w:hanging="810"/>
        <w:rPr>
          <w:rFonts w:ascii="Times New Roman" w:hAnsi="Times New Roman" w:cs="Times New Roman"/>
        </w:rPr>
      </w:pPr>
      <w:proofErr w:type="spellStart"/>
      <w:r>
        <w:rPr>
          <w:rFonts w:ascii="Times New Roman" w:hAnsi="Times New Roman" w:cs="Times New Roman"/>
        </w:rPr>
        <w:t>Rienties</w:t>
      </w:r>
      <w:proofErr w:type="spellEnd"/>
      <w:r>
        <w:rPr>
          <w:rFonts w:ascii="Times New Roman" w:hAnsi="Times New Roman" w:cs="Times New Roman"/>
        </w:rPr>
        <w:t xml:space="preserve">, B., </w:t>
      </w:r>
      <w:proofErr w:type="spellStart"/>
      <w:r>
        <w:rPr>
          <w:rFonts w:ascii="Times New Roman" w:hAnsi="Times New Roman" w:cs="Times New Roman"/>
        </w:rPr>
        <w:t>Boroowa</w:t>
      </w:r>
      <w:proofErr w:type="spellEnd"/>
      <w:r>
        <w:rPr>
          <w:rFonts w:ascii="Times New Roman" w:hAnsi="Times New Roman" w:cs="Times New Roman"/>
        </w:rPr>
        <w:t xml:space="preserve">, A., Cross, S., Kubiak, C., Mayles, K., &amp; Murphy, S. (2016). Analytics4Action Evaluation Framework: A review of evidence-based learning analytics interventions at the Open University UK. </w:t>
      </w:r>
      <w:r>
        <w:rPr>
          <w:rFonts w:ascii="Times New Roman" w:hAnsi="Times New Roman" w:cs="Times New Roman"/>
          <w:i/>
          <w:iCs/>
        </w:rPr>
        <w:t>Journal of Interactive Media in Education, 2016</w:t>
      </w:r>
      <w:r>
        <w:rPr>
          <w:rFonts w:ascii="Times New Roman" w:hAnsi="Times New Roman" w:cs="Times New Roman"/>
        </w:rPr>
        <w:t>(1), Art</w:t>
      </w:r>
      <w:r>
        <w:rPr>
          <w:rFonts w:ascii="Times New Roman" w:hAnsi="Times New Roman" w:cs="Times New Roman"/>
        </w:rPr>
        <w:t xml:space="preserve">icle 2. https://doi.org/10.5334/jime.394 </w:t>
      </w:r>
      <w:hyperlink r:id="rId23" w:tgtFrame="_blank" w:history="1"/>
    </w:p>
    <w:p w14:paraId="51323D6F" w14:textId="77777777" w:rsidR="00083506" w:rsidRDefault="0013203D">
      <w:pPr>
        <w:spacing w:line="360" w:lineRule="auto"/>
        <w:ind w:left="900" w:hanging="810"/>
        <w:rPr>
          <w:rFonts w:ascii="Times New Roman" w:hAnsi="Times New Roman" w:cs="Times New Roman"/>
        </w:rPr>
      </w:pPr>
      <w:r>
        <w:rPr>
          <w:rFonts w:ascii="Times New Roman" w:hAnsi="Times New Roman" w:cs="Times New Roman"/>
        </w:rPr>
        <w:lastRenderedPageBreak/>
        <w:t xml:space="preserve">Siemens, G. (2013). Learning analytics: The emergence of a discipline. </w:t>
      </w:r>
      <w:r>
        <w:rPr>
          <w:rFonts w:ascii="Times New Roman" w:hAnsi="Times New Roman" w:cs="Times New Roman"/>
          <w:i/>
          <w:iCs/>
        </w:rPr>
        <w:t>American Behavioral Scientist, 57</w:t>
      </w:r>
      <w:r>
        <w:rPr>
          <w:rFonts w:ascii="Times New Roman" w:hAnsi="Times New Roman" w:cs="Times New Roman"/>
        </w:rPr>
        <w:t>(10), 138</w:t>
      </w:r>
      <w:r>
        <w:rPr>
          <w:rFonts w:ascii="Times New Roman" w:hAnsi="Times New Roman" w:cs="Times New Roman"/>
        </w:rPr>
        <w:t xml:space="preserve">0–1400. </w:t>
      </w:r>
      <w:hyperlink r:id="rId24" w:history="1">
        <w:r w:rsidR="00083506">
          <w:rPr>
            <w:rStyle w:val="Hyperlink"/>
            <w:rFonts w:ascii="Times New Roman" w:hAnsi="Times New Roman" w:cs="Times New Roman"/>
          </w:rPr>
          <w:t>https://doi.org/10.1177/0002764213498851</w:t>
        </w:r>
      </w:hyperlink>
      <w:r>
        <w:rPr>
          <w:rFonts w:ascii="Times New Roman" w:hAnsi="Times New Roman" w:cs="Times New Roman"/>
        </w:rPr>
        <w:t xml:space="preserve"> </w:t>
      </w:r>
    </w:p>
    <w:p w14:paraId="0F6BB700" w14:textId="77777777" w:rsidR="00083506" w:rsidRDefault="0013203D">
      <w:pPr>
        <w:spacing w:line="360" w:lineRule="auto"/>
        <w:ind w:left="900" w:hanging="810"/>
        <w:rPr>
          <w:rFonts w:ascii="Times New Roman" w:hAnsi="Times New Roman" w:cs="Times New Roman"/>
        </w:rPr>
      </w:pPr>
      <w:proofErr w:type="spellStart"/>
      <w:r>
        <w:rPr>
          <w:rFonts w:ascii="Times New Roman" w:hAnsi="Times New Roman" w:cs="Times New Roman"/>
        </w:rPr>
        <w:t>Sonderlund</w:t>
      </w:r>
      <w:proofErr w:type="spellEnd"/>
      <w:r>
        <w:rPr>
          <w:rFonts w:ascii="Times New Roman" w:hAnsi="Times New Roman" w:cs="Times New Roman"/>
        </w:rPr>
        <w:t>, A. L., &amp; Smith, J. (2017). Student support interventions: A systematic review of learning analytics-based early alert systems in higher e</w:t>
      </w:r>
      <w:r>
        <w:rPr>
          <w:rFonts w:ascii="Times New Roman" w:hAnsi="Times New Roman" w:cs="Times New Roman"/>
        </w:rPr>
        <w:t xml:space="preserve">ducation. </w:t>
      </w:r>
      <w:r>
        <w:rPr>
          <w:rFonts w:ascii="Times New Roman" w:hAnsi="Times New Roman" w:cs="Times New Roman"/>
          <w:i/>
          <w:iCs/>
        </w:rPr>
        <w:t>Assessment &amp; Evaluation in Higher Education, 42</w:t>
      </w:r>
      <w:r>
        <w:rPr>
          <w:rFonts w:ascii="Times New Roman" w:hAnsi="Times New Roman" w:cs="Times New Roman"/>
        </w:rPr>
        <w:t xml:space="preserve">(7), 1030–1045. </w:t>
      </w:r>
      <w:hyperlink r:id="rId25" w:history="1">
        <w:r w:rsidR="00083506">
          <w:rPr>
            <w:rStyle w:val="Hyperlink"/>
            <w:rFonts w:ascii="Times New Roman" w:hAnsi="Times New Roman" w:cs="Times New Roman"/>
          </w:rPr>
          <w:t>https://doi.org/10.1080/02602938.2016.1237900</w:t>
        </w:r>
      </w:hyperlink>
      <w:r>
        <w:rPr>
          <w:rFonts w:ascii="Times New Roman" w:hAnsi="Times New Roman" w:cs="Times New Roman"/>
        </w:rPr>
        <w:t xml:space="preserve"> </w:t>
      </w:r>
    </w:p>
    <w:p w14:paraId="32582F27" w14:textId="77777777" w:rsidR="00083506" w:rsidRDefault="0013203D">
      <w:pPr>
        <w:spacing w:line="360" w:lineRule="auto"/>
        <w:ind w:left="900" w:hanging="810"/>
        <w:rPr>
          <w:rFonts w:ascii="Times New Roman" w:hAnsi="Times New Roman" w:cs="Times New Roman"/>
        </w:rPr>
      </w:pPr>
      <w:r>
        <w:rPr>
          <w:rFonts w:ascii="Times New Roman" w:hAnsi="Times New Roman" w:cs="Times New Roman"/>
        </w:rPr>
        <w:t>Thomas, J., &amp; Harden, A. (2008). Methods for the thematic synthesis of qua</w:t>
      </w:r>
      <w:r>
        <w:rPr>
          <w:rFonts w:ascii="Times New Roman" w:hAnsi="Times New Roman" w:cs="Times New Roman"/>
        </w:rPr>
        <w:t xml:space="preserve">litative research in systematic reviews. </w:t>
      </w:r>
      <w:r>
        <w:rPr>
          <w:rFonts w:ascii="Times New Roman" w:hAnsi="Times New Roman" w:cs="Times New Roman"/>
          <w:i/>
          <w:iCs/>
        </w:rPr>
        <w:t>BMC Medical Research Methodology, 8</w:t>
      </w:r>
      <w:r>
        <w:rPr>
          <w:rFonts w:ascii="Times New Roman" w:hAnsi="Times New Roman" w:cs="Times New Roman"/>
        </w:rPr>
        <w:t xml:space="preserve">, 45. </w:t>
      </w:r>
      <w:hyperlink r:id="rId26" w:history="1">
        <w:r w:rsidR="00083506">
          <w:rPr>
            <w:rStyle w:val="Hyperlink"/>
            <w:rFonts w:ascii="Times New Roman" w:hAnsi="Times New Roman" w:cs="Times New Roman"/>
          </w:rPr>
          <w:t>https://doi.org/10.1186/1471-2288-8-45</w:t>
        </w:r>
      </w:hyperlink>
      <w:r>
        <w:rPr>
          <w:rFonts w:ascii="Times New Roman" w:hAnsi="Times New Roman" w:cs="Times New Roman"/>
        </w:rPr>
        <w:t xml:space="preserve"> </w:t>
      </w:r>
    </w:p>
    <w:p w14:paraId="7C15AED3" w14:textId="77777777" w:rsidR="00083506" w:rsidRDefault="0013203D">
      <w:pPr>
        <w:spacing w:line="360" w:lineRule="auto"/>
        <w:ind w:left="900" w:hanging="810"/>
        <w:rPr>
          <w:rFonts w:ascii="Times New Roman" w:hAnsi="Times New Roman" w:cs="Times New Roman"/>
        </w:rPr>
      </w:pPr>
      <w:proofErr w:type="spellStart"/>
      <w:r>
        <w:rPr>
          <w:rFonts w:ascii="Times New Roman" w:hAnsi="Times New Roman" w:cs="Times New Roman"/>
        </w:rPr>
        <w:t>Tricco</w:t>
      </w:r>
      <w:proofErr w:type="spellEnd"/>
      <w:r>
        <w:rPr>
          <w:rFonts w:ascii="Times New Roman" w:hAnsi="Times New Roman" w:cs="Times New Roman"/>
        </w:rPr>
        <w:t>, A. C., Lillie, E., Zarin, W., O’Brien, K. K., Colquhoun, H., Levac, D.,</w:t>
      </w:r>
      <w:r>
        <w:rPr>
          <w:rFonts w:ascii="Times New Roman" w:hAnsi="Times New Roman" w:cs="Times New Roman"/>
        </w:rPr>
        <w:t xml:space="preserve"> ... Straus, S. E. (2018). PRISMA extension for scoping reviews (PRISMA-</w:t>
      </w:r>
      <w:proofErr w:type="spellStart"/>
      <w:r>
        <w:rPr>
          <w:rFonts w:ascii="Times New Roman" w:hAnsi="Times New Roman" w:cs="Times New Roman"/>
        </w:rPr>
        <w:t>ScR</w:t>
      </w:r>
      <w:proofErr w:type="spellEnd"/>
      <w:r>
        <w:rPr>
          <w:rFonts w:ascii="Times New Roman" w:hAnsi="Times New Roman" w:cs="Times New Roman"/>
        </w:rPr>
        <w:t xml:space="preserve">): Checklist and explanation. </w:t>
      </w:r>
      <w:r>
        <w:rPr>
          <w:rFonts w:ascii="Times New Roman" w:hAnsi="Times New Roman" w:cs="Times New Roman"/>
          <w:i/>
          <w:iCs/>
        </w:rPr>
        <w:t>Annals of Internal Medicine, 169</w:t>
      </w:r>
      <w:r>
        <w:rPr>
          <w:rFonts w:ascii="Times New Roman" w:hAnsi="Times New Roman" w:cs="Times New Roman"/>
        </w:rPr>
        <w:t xml:space="preserve">(7), 467–473. </w:t>
      </w:r>
      <w:hyperlink r:id="rId27" w:history="1">
        <w:r w:rsidR="00083506">
          <w:rPr>
            <w:rStyle w:val="Hyperlink"/>
            <w:rFonts w:ascii="Times New Roman" w:hAnsi="Times New Roman" w:cs="Times New Roman"/>
          </w:rPr>
          <w:t>https://doi.org/10.7326/M18-0850</w:t>
        </w:r>
      </w:hyperlink>
      <w:r>
        <w:rPr>
          <w:rFonts w:ascii="Times New Roman" w:hAnsi="Times New Roman" w:cs="Times New Roman"/>
        </w:rPr>
        <w:t xml:space="preserve"> </w:t>
      </w:r>
    </w:p>
    <w:p w14:paraId="66E0D5AD" w14:textId="77777777" w:rsidR="00083506" w:rsidRDefault="0013203D">
      <w:pPr>
        <w:spacing w:line="360" w:lineRule="auto"/>
        <w:ind w:left="900" w:hanging="810"/>
        <w:rPr>
          <w:rFonts w:ascii="Times New Roman" w:hAnsi="Times New Roman" w:cs="Times New Roman"/>
        </w:rPr>
      </w:pPr>
      <w:r>
        <w:rPr>
          <w:rFonts w:ascii="Times New Roman" w:hAnsi="Times New Roman" w:cs="Times New Roman"/>
        </w:rPr>
        <w:t xml:space="preserve">Tsai, Y.-S., </w:t>
      </w:r>
      <w:proofErr w:type="spellStart"/>
      <w:r>
        <w:rPr>
          <w:rFonts w:ascii="Times New Roman" w:hAnsi="Times New Roman" w:cs="Times New Roman"/>
        </w:rPr>
        <w:t>Gašević</w:t>
      </w:r>
      <w:proofErr w:type="spellEnd"/>
      <w:r>
        <w:rPr>
          <w:rFonts w:ascii="Times New Roman" w:hAnsi="Times New Roman" w:cs="Times New Roman"/>
        </w:rPr>
        <w:t xml:space="preserve">, D., Whitelock-Wainwright, A., Muñoz-Merino, P. J., Moreno-Marcos, P. M., … </w:t>
      </w:r>
      <w:proofErr w:type="spellStart"/>
      <w:r>
        <w:rPr>
          <w:rFonts w:ascii="Times New Roman" w:hAnsi="Times New Roman" w:cs="Times New Roman"/>
        </w:rPr>
        <w:t>Drachsler</w:t>
      </w:r>
      <w:proofErr w:type="spellEnd"/>
      <w:r>
        <w:rPr>
          <w:rFonts w:ascii="Times New Roman" w:hAnsi="Times New Roman" w:cs="Times New Roman"/>
        </w:rPr>
        <w:t xml:space="preserve">, H. (2018). The SHEILA Framework: Informing institutional strategies and policy processes of learning analytics. </w:t>
      </w:r>
      <w:r>
        <w:rPr>
          <w:rFonts w:ascii="Times New Roman" w:hAnsi="Times New Roman" w:cs="Times New Roman"/>
          <w:i/>
          <w:iCs/>
        </w:rPr>
        <w:t>Journal of Learning Analytics, 5</w:t>
      </w:r>
      <w:r>
        <w:rPr>
          <w:rFonts w:ascii="Times New Roman" w:hAnsi="Times New Roman" w:cs="Times New Roman"/>
        </w:rPr>
        <w:t xml:space="preserve">(3), 5–20. </w:t>
      </w:r>
      <w:hyperlink r:id="rId28" w:history="1">
        <w:r w:rsidR="00083506">
          <w:rPr>
            <w:rStyle w:val="Hyperlink"/>
            <w:rFonts w:ascii="Times New Roman" w:hAnsi="Times New Roman" w:cs="Times New Roman"/>
          </w:rPr>
          <w:t>https://doi.org/10.18608/jla.2018.53.2</w:t>
        </w:r>
      </w:hyperlink>
    </w:p>
    <w:p w14:paraId="5A7245F5" w14:textId="77777777" w:rsidR="00083506" w:rsidRDefault="0013203D">
      <w:pPr>
        <w:spacing w:line="360" w:lineRule="auto"/>
        <w:ind w:left="900" w:hanging="810"/>
        <w:rPr>
          <w:rFonts w:ascii="Times New Roman" w:hAnsi="Times New Roman" w:cs="Times New Roman"/>
        </w:rPr>
      </w:pPr>
      <w:r>
        <w:rPr>
          <w:rFonts w:ascii="Times New Roman" w:hAnsi="Times New Roman" w:cs="Times New Roman"/>
        </w:rPr>
        <w:t xml:space="preserve">Tsai, Y.-S., Whitelock-Wainwright, A., </w:t>
      </w:r>
      <w:proofErr w:type="spellStart"/>
      <w:r>
        <w:rPr>
          <w:rFonts w:ascii="Times New Roman" w:hAnsi="Times New Roman" w:cs="Times New Roman"/>
        </w:rPr>
        <w:t>Gašević</w:t>
      </w:r>
      <w:proofErr w:type="spellEnd"/>
      <w:r>
        <w:rPr>
          <w:rFonts w:ascii="Times New Roman" w:hAnsi="Times New Roman" w:cs="Times New Roman"/>
        </w:rPr>
        <w:t xml:space="preserve">, D., Muñoz-Merino, P. J., &amp; </w:t>
      </w:r>
      <w:proofErr w:type="spellStart"/>
      <w:r>
        <w:rPr>
          <w:rFonts w:ascii="Times New Roman" w:hAnsi="Times New Roman" w:cs="Times New Roman"/>
        </w:rPr>
        <w:t>Drachsler</w:t>
      </w:r>
      <w:proofErr w:type="spellEnd"/>
      <w:r>
        <w:rPr>
          <w:rFonts w:ascii="Times New Roman" w:hAnsi="Times New Roman" w:cs="Times New Roman"/>
        </w:rPr>
        <w:t xml:space="preserve">, H. (2020). A review of the implementation of institutional learning analytics policies. </w:t>
      </w:r>
      <w:r>
        <w:rPr>
          <w:rFonts w:ascii="Times New Roman" w:hAnsi="Times New Roman" w:cs="Times New Roman"/>
          <w:i/>
          <w:iCs/>
        </w:rPr>
        <w:t>B</w:t>
      </w:r>
      <w:r>
        <w:rPr>
          <w:rFonts w:ascii="Times New Roman" w:hAnsi="Times New Roman" w:cs="Times New Roman"/>
          <w:i/>
          <w:iCs/>
        </w:rPr>
        <w:t>ritish Journal of Educational Technology, 51</w:t>
      </w:r>
      <w:r>
        <w:rPr>
          <w:rFonts w:ascii="Times New Roman" w:hAnsi="Times New Roman" w:cs="Times New Roman"/>
        </w:rPr>
        <w:t xml:space="preserve">(4), 1075–1090. </w:t>
      </w:r>
      <w:hyperlink r:id="rId29" w:history="1">
        <w:r w:rsidR="00083506">
          <w:rPr>
            <w:rStyle w:val="Hyperlink"/>
            <w:rFonts w:ascii="Times New Roman" w:hAnsi="Times New Roman" w:cs="Times New Roman"/>
          </w:rPr>
          <w:t>https://doi.org/10.1111/bjet.12940</w:t>
        </w:r>
      </w:hyperlink>
      <w:r>
        <w:rPr>
          <w:rFonts w:ascii="Times New Roman" w:hAnsi="Times New Roman" w:cs="Times New Roman"/>
        </w:rPr>
        <w:t xml:space="preserve"> </w:t>
      </w:r>
    </w:p>
    <w:p w14:paraId="6CF2A85C" w14:textId="77777777" w:rsidR="00083506" w:rsidRDefault="0013203D">
      <w:pPr>
        <w:spacing w:line="360" w:lineRule="auto"/>
        <w:ind w:left="900" w:hanging="810"/>
        <w:rPr>
          <w:rFonts w:ascii="Times New Roman" w:hAnsi="Times New Roman" w:cs="Times New Roman"/>
        </w:rPr>
      </w:pPr>
      <w:r>
        <w:rPr>
          <w:rFonts w:ascii="Times New Roman" w:hAnsi="Times New Roman" w:cs="Times New Roman"/>
          <w:lang w:val="es-ES"/>
        </w:rPr>
        <w:t xml:space="preserve">Van </w:t>
      </w:r>
      <w:proofErr w:type="spellStart"/>
      <w:r>
        <w:rPr>
          <w:rFonts w:ascii="Times New Roman" w:hAnsi="Times New Roman" w:cs="Times New Roman"/>
          <w:lang w:val="es-ES"/>
        </w:rPr>
        <w:t>Leeuwen</w:t>
      </w:r>
      <w:proofErr w:type="spellEnd"/>
      <w:r>
        <w:rPr>
          <w:rFonts w:ascii="Times New Roman" w:hAnsi="Times New Roman" w:cs="Times New Roman"/>
          <w:lang w:val="es-ES"/>
        </w:rPr>
        <w:t xml:space="preserve">, A., </w:t>
      </w:r>
      <w:proofErr w:type="spellStart"/>
      <w:r>
        <w:rPr>
          <w:rFonts w:ascii="Times New Roman" w:hAnsi="Times New Roman" w:cs="Times New Roman"/>
          <w:lang w:val="es-ES"/>
        </w:rPr>
        <w:t>Rummel</w:t>
      </w:r>
      <w:proofErr w:type="spellEnd"/>
      <w:r>
        <w:rPr>
          <w:rFonts w:ascii="Times New Roman" w:hAnsi="Times New Roman" w:cs="Times New Roman"/>
          <w:lang w:val="es-ES"/>
        </w:rPr>
        <w:t xml:space="preserve">, N., &amp; van Gog, T. (2019). </w:t>
      </w:r>
      <w:r>
        <w:rPr>
          <w:rFonts w:ascii="Times New Roman" w:hAnsi="Times New Roman" w:cs="Times New Roman"/>
        </w:rPr>
        <w:t>What information do teachers need to teach successfully wi</w:t>
      </w:r>
      <w:r>
        <w:rPr>
          <w:rFonts w:ascii="Times New Roman" w:hAnsi="Times New Roman" w:cs="Times New Roman"/>
        </w:rPr>
        <w:t xml:space="preserve">th learning analytics? </w:t>
      </w:r>
      <w:r>
        <w:rPr>
          <w:rFonts w:ascii="Times New Roman" w:hAnsi="Times New Roman" w:cs="Times New Roman"/>
          <w:i/>
          <w:iCs/>
        </w:rPr>
        <w:t>Educational Technology Research and Development, 67</w:t>
      </w:r>
      <w:r>
        <w:rPr>
          <w:rFonts w:ascii="Times New Roman" w:hAnsi="Times New Roman" w:cs="Times New Roman"/>
        </w:rPr>
        <w:t xml:space="preserve">(5), 1043–1064. </w:t>
      </w:r>
      <w:hyperlink r:id="rId30" w:history="1">
        <w:r w:rsidR="00083506">
          <w:rPr>
            <w:rStyle w:val="Hyperlink"/>
            <w:rFonts w:ascii="Times New Roman" w:hAnsi="Times New Roman" w:cs="Times New Roman"/>
          </w:rPr>
          <w:t>https://doi.org/10.1007/s11423-018-09639-y</w:t>
        </w:r>
      </w:hyperlink>
      <w:r>
        <w:rPr>
          <w:rFonts w:ascii="Times New Roman" w:hAnsi="Times New Roman" w:cs="Times New Roman"/>
        </w:rPr>
        <w:t xml:space="preserve"> </w:t>
      </w:r>
    </w:p>
    <w:p w14:paraId="3431C1E4" w14:textId="77777777" w:rsidR="00083506" w:rsidRDefault="0013203D">
      <w:pPr>
        <w:spacing w:line="360" w:lineRule="auto"/>
        <w:ind w:left="900" w:hanging="810"/>
        <w:rPr>
          <w:rFonts w:ascii="Times New Roman" w:hAnsi="Times New Roman" w:cs="Times New Roman"/>
        </w:rPr>
      </w:pPr>
      <w:r>
        <w:rPr>
          <w:rFonts w:ascii="Times New Roman" w:hAnsi="Times New Roman" w:cs="Times New Roman"/>
          <w:lang w:val="es-ES"/>
        </w:rPr>
        <w:t xml:space="preserve">Van </w:t>
      </w:r>
      <w:proofErr w:type="spellStart"/>
      <w:r>
        <w:rPr>
          <w:rFonts w:ascii="Times New Roman" w:hAnsi="Times New Roman" w:cs="Times New Roman"/>
          <w:lang w:val="es-ES"/>
        </w:rPr>
        <w:t>Leeuwen</w:t>
      </w:r>
      <w:proofErr w:type="spellEnd"/>
      <w:r>
        <w:rPr>
          <w:rFonts w:ascii="Times New Roman" w:hAnsi="Times New Roman" w:cs="Times New Roman"/>
          <w:lang w:val="es-ES"/>
        </w:rPr>
        <w:t xml:space="preserve">, A., &amp; </w:t>
      </w:r>
      <w:proofErr w:type="spellStart"/>
      <w:r>
        <w:rPr>
          <w:rFonts w:ascii="Times New Roman" w:hAnsi="Times New Roman" w:cs="Times New Roman"/>
          <w:lang w:val="es-ES"/>
        </w:rPr>
        <w:t>Rummel</w:t>
      </w:r>
      <w:proofErr w:type="spellEnd"/>
      <w:r>
        <w:rPr>
          <w:rFonts w:ascii="Times New Roman" w:hAnsi="Times New Roman" w:cs="Times New Roman"/>
          <w:lang w:val="es-ES"/>
        </w:rPr>
        <w:t xml:space="preserve">, N. (2022). </w:t>
      </w:r>
      <w:r>
        <w:rPr>
          <w:rFonts w:ascii="Times New Roman" w:hAnsi="Times New Roman" w:cs="Times New Roman"/>
        </w:rPr>
        <w:t>Teacher dashboards to sup</w:t>
      </w:r>
      <w:r>
        <w:rPr>
          <w:rFonts w:ascii="Times New Roman" w:hAnsi="Times New Roman" w:cs="Times New Roman"/>
        </w:rPr>
        <w:t xml:space="preserve">port regulation of learning: A review of design requirements and empirical evidence. </w:t>
      </w:r>
      <w:r>
        <w:rPr>
          <w:rFonts w:ascii="Times New Roman" w:hAnsi="Times New Roman" w:cs="Times New Roman"/>
          <w:i/>
          <w:iCs/>
        </w:rPr>
        <w:t>British Journal of Educational Technology, 53</w:t>
      </w:r>
      <w:r>
        <w:rPr>
          <w:rFonts w:ascii="Times New Roman" w:hAnsi="Times New Roman" w:cs="Times New Roman"/>
        </w:rPr>
        <w:t xml:space="preserve">(4), 981–1000. </w:t>
      </w:r>
      <w:hyperlink r:id="rId31" w:history="1">
        <w:r w:rsidR="00083506">
          <w:rPr>
            <w:rStyle w:val="Hyperlink"/>
            <w:rFonts w:ascii="Times New Roman" w:hAnsi="Times New Roman" w:cs="Times New Roman"/>
          </w:rPr>
          <w:t>https://doi.org/10.1111/bjet.13195</w:t>
        </w:r>
      </w:hyperlink>
      <w:r>
        <w:rPr>
          <w:rFonts w:ascii="Times New Roman" w:hAnsi="Times New Roman" w:cs="Times New Roman"/>
        </w:rPr>
        <w:t xml:space="preserve"> </w:t>
      </w:r>
    </w:p>
    <w:p w14:paraId="73E81407" w14:textId="77777777" w:rsidR="00083506" w:rsidRDefault="0013203D">
      <w:pPr>
        <w:spacing w:line="360" w:lineRule="auto"/>
        <w:ind w:left="900" w:hanging="810"/>
        <w:rPr>
          <w:rFonts w:ascii="Times New Roman" w:hAnsi="Times New Roman" w:cs="Times New Roman"/>
        </w:rPr>
      </w:pPr>
      <w:r>
        <w:rPr>
          <w:rFonts w:ascii="Times New Roman" w:hAnsi="Times New Roman" w:cs="Times New Roman"/>
        </w:rPr>
        <w:lastRenderedPageBreak/>
        <w:t>van Kessel, M., Tuns, A.</w:t>
      </w:r>
      <w:r>
        <w:rPr>
          <w:rFonts w:ascii="Times New Roman" w:hAnsi="Times New Roman" w:cs="Times New Roman"/>
        </w:rPr>
        <w:t xml:space="preserve">, &amp; </w:t>
      </w:r>
      <w:proofErr w:type="spellStart"/>
      <w:r>
        <w:rPr>
          <w:rFonts w:ascii="Times New Roman" w:hAnsi="Times New Roman" w:cs="Times New Roman"/>
        </w:rPr>
        <w:t>Westera</w:t>
      </w:r>
      <w:proofErr w:type="spellEnd"/>
      <w:r>
        <w:rPr>
          <w:rFonts w:ascii="Times New Roman" w:hAnsi="Times New Roman" w:cs="Times New Roman"/>
        </w:rPr>
        <w:t xml:space="preserve">, W. (2025). Primary school teacher perspectives on effective learning analytics dashboard use. </w:t>
      </w:r>
      <w:r>
        <w:rPr>
          <w:rFonts w:ascii="Times New Roman" w:hAnsi="Times New Roman" w:cs="Times New Roman"/>
          <w:i/>
          <w:iCs/>
        </w:rPr>
        <w:t>Journal of Learning Analytics, 12</w:t>
      </w:r>
      <w:r>
        <w:rPr>
          <w:rFonts w:ascii="Times New Roman" w:hAnsi="Times New Roman" w:cs="Times New Roman"/>
        </w:rPr>
        <w:t xml:space="preserve">(2), 279–292. </w:t>
      </w:r>
      <w:hyperlink r:id="rId32" w:history="1">
        <w:r w:rsidR="00083506">
          <w:rPr>
            <w:rStyle w:val="Hyperlink"/>
            <w:rFonts w:ascii="Times New Roman" w:hAnsi="Times New Roman" w:cs="Times New Roman"/>
          </w:rPr>
          <w:t>https://doi.org/10.18608/jla.2025.8493</w:t>
        </w:r>
      </w:hyperlink>
      <w:r>
        <w:rPr>
          <w:rFonts w:ascii="Times New Roman" w:hAnsi="Times New Roman" w:cs="Times New Roman"/>
        </w:rPr>
        <w:t xml:space="preserve"> </w:t>
      </w:r>
    </w:p>
    <w:p w14:paraId="29554655" w14:textId="77777777" w:rsidR="00083506" w:rsidRDefault="0013203D">
      <w:pPr>
        <w:spacing w:line="360" w:lineRule="auto"/>
        <w:ind w:left="900" w:hanging="810"/>
        <w:rPr>
          <w:rFonts w:ascii="Times New Roman" w:hAnsi="Times New Roman" w:cs="Times New Roman"/>
        </w:rPr>
      </w:pPr>
      <w:r>
        <w:rPr>
          <w:rFonts w:ascii="Times New Roman" w:hAnsi="Times New Roman" w:cs="Times New Roman"/>
        </w:rPr>
        <w:t>Wise, A</w:t>
      </w:r>
      <w:r>
        <w:rPr>
          <w:rFonts w:ascii="Times New Roman" w:hAnsi="Times New Roman" w:cs="Times New Roman"/>
        </w:rPr>
        <w:t xml:space="preserve">. F., &amp; Vytasek, J. M. (2017). Learning analytics for learning design: A sensemaking perspective. </w:t>
      </w:r>
      <w:r>
        <w:rPr>
          <w:rFonts w:ascii="Times New Roman" w:hAnsi="Times New Roman" w:cs="Times New Roman"/>
          <w:i/>
          <w:iCs/>
        </w:rPr>
        <w:t>Teaching &amp; Learning Inquiry, 5</w:t>
      </w:r>
      <w:r>
        <w:rPr>
          <w:rFonts w:ascii="Times New Roman" w:hAnsi="Times New Roman" w:cs="Times New Roman"/>
        </w:rPr>
        <w:t xml:space="preserve">(2), 90–105. </w:t>
      </w:r>
      <w:hyperlink r:id="rId33" w:history="1">
        <w:r w:rsidR="00083506">
          <w:rPr>
            <w:rStyle w:val="Hyperlink"/>
            <w:rFonts w:ascii="Times New Roman" w:hAnsi="Times New Roman" w:cs="Times New Roman"/>
          </w:rPr>
          <w:t>https://doi.org/10.20343/teachlearninqu.5.2.7</w:t>
        </w:r>
      </w:hyperlink>
      <w:r>
        <w:rPr>
          <w:rFonts w:ascii="Times New Roman" w:hAnsi="Times New Roman" w:cs="Times New Roman"/>
        </w:rPr>
        <w:t xml:space="preserve"> </w:t>
      </w:r>
    </w:p>
    <w:p w14:paraId="4777F309" w14:textId="77777777" w:rsidR="00083506" w:rsidRDefault="00083506">
      <w:pPr>
        <w:spacing w:line="360" w:lineRule="auto"/>
        <w:ind w:left="900" w:hanging="810"/>
        <w:rPr>
          <w:rFonts w:ascii="Times New Roman" w:hAnsi="Times New Roman" w:cs="Times New Roman"/>
        </w:rPr>
      </w:pPr>
    </w:p>
    <w:p w14:paraId="5FB37709" w14:textId="77777777" w:rsidR="00083506" w:rsidRDefault="00083506">
      <w:pPr>
        <w:spacing w:line="360" w:lineRule="auto"/>
        <w:rPr>
          <w:rFonts w:ascii="Times New Roman" w:hAnsi="Times New Roman" w:cs="Times New Roman"/>
        </w:rPr>
      </w:pPr>
    </w:p>
    <w:p w14:paraId="02EA7B26" w14:textId="77777777" w:rsidR="00083506" w:rsidRDefault="00083506">
      <w:pPr>
        <w:spacing w:line="360" w:lineRule="auto"/>
        <w:rPr>
          <w:rFonts w:ascii="Times New Roman" w:hAnsi="Times New Roman" w:cs="Times New Roman"/>
        </w:rPr>
      </w:pPr>
    </w:p>
    <w:sectPr w:rsidR="00083506">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E77A5" w14:textId="77777777" w:rsidR="0013203D" w:rsidRDefault="0013203D">
      <w:pPr>
        <w:spacing w:line="240" w:lineRule="auto"/>
      </w:pPr>
      <w:r>
        <w:separator/>
      </w:r>
    </w:p>
  </w:endnote>
  <w:endnote w:type="continuationSeparator" w:id="0">
    <w:p w14:paraId="2D368478" w14:textId="77777777" w:rsidR="0013203D" w:rsidRDefault="001320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D6257" w14:textId="77777777" w:rsidR="00283FD2" w:rsidRDefault="00283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2055912"/>
      <w:docPartObj>
        <w:docPartGallery w:val="AutoText"/>
      </w:docPartObj>
    </w:sdtPr>
    <w:sdtEndPr/>
    <w:sdtContent>
      <w:p w14:paraId="2846E87B" w14:textId="77777777" w:rsidR="00083506" w:rsidRDefault="0013203D">
        <w:pPr>
          <w:pStyle w:val="Footer"/>
          <w:jc w:val="center"/>
        </w:pPr>
        <w:r>
          <w:fldChar w:fldCharType="begin"/>
        </w:r>
        <w:r>
          <w:instrText xml:space="preserve"> PAGE   \* MERGEFORMAT </w:instrText>
        </w:r>
        <w:r>
          <w:fldChar w:fldCharType="separate"/>
        </w:r>
        <w:r>
          <w:t>2</w:t>
        </w:r>
        <w:r>
          <w:fldChar w:fldCharType="end"/>
        </w:r>
      </w:p>
    </w:sdtContent>
  </w:sdt>
  <w:p w14:paraId="435180F0" w14:textId="77777777" w:rsidR="00083506" w:rsidRDefault="00083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B17DC" w14:textId="77777777" w:rsidR="00283FD2" w:rsidRDefault="00283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D0ED0" w14:textId="77777777" w:rsidR="0013203D" w:rsidRDefault="0013203D">
      <w:pPr>
        <w:spacing w:after="0"/>
      </w:pPr>
      <w:r>
        <w:separator/>
      </w:r>
    </w:p>
  </w:footnote>
  <w:footnote w:type="continuationSeparator" w:id="0">
    <w:p w14:paraId="0EA20801" w14:textId="77777777" w:rsidR="0013203D" w:rsidRDefault="001320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C14B9" w14:textId="65A22C55" w:rsidR="00283FD2" w:rsidRDefault="00283FD2">
    <w:pPr>
      <w:pStyle w:val="Header"/>
    </w:pPr>
    <w:r>
      <w:rPr>
        <w:noProof/>
      </w:rPr>
      <w:pict w14:anchorId="5635B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5384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7D82F" w14:textId="1FAF94A9" w:rsidR="00283FD2" w:rsidRDefault="00283FD2">
    <w:pPr>
      <w:pStyle w:val="Header"/>
    </w:pPr>
    <w:r>
      <w:rPr>
        <w:noProof/>
      </w:rPr>
      <w:pict w14:anchorId="75D8F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5384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53D5A" w14:textId="53B77527" w:rsidR="00283FD2" w:rsidRDefault="00283FD2">
    <w:pPr>
      <w:pStyle w:val="Header"/>
    </w:pPr>
    <w:r>
      <w:rPr>
        <w:noProof/>
      </w:rPr>
      <w:pict w14:anchorId="3DB49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5384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E39"/>
    <w:rsid w:val="00083506"/>
    <w:rsid w:val="000E3AD3"/>
    <w:rsid w:val="0013203D"/>
    <w:rsid w:val="001C5CA8"/>
    <w:rsid w:val="00283FD2"/>
    <w:rsid w:val="002B0AD2"/>
    <w:rsid w:val="002D1EF1"/>
    <w:rsid w:val="00540E39"/>
    <w:rsid w:val="00556933"/>
    <w:rsid w:val="006939AD"/>
    <w:rsid w:val="006A42A7"/>
    <w:rsid w:val="006D6EBA"/>
    <w:rsid w:val="008A2CEB"/>
    <w:rsid w:val="008D3BAA"/>
    <w:rsid w:val="00975173"/>
    <w:rsid w:val="00A33B18"/>
    <w:rsid w:val="00B03D3E"/>
    <w:rsid w:val="00B201AC"/>
    <w:rsid w:val="00C121CB"/>
    <w:rsid w:val="00C73A00"/>
    <w:rsid w:val="00C83F5D"/>
    <w:rsid w:val="00D0638C"/>
    <w:rsid w:val="00DF03D5"/>
    <w:rsid w:val="00EA5E0F"/>
    <w:rsid w:val="45F303D0"/>
    <w:rsid w:val="4ECA5BE1"/>
    <w:rsid w:val="65447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223958"/>
  <w15:docId w15:val="{373AEAE0-1ADD-46A9-896E-8723594D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8A2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504/IJTEL.2012.051816" TargetMode="External"/><Relationship Id="rId18" Type="http://schemas.openxmlformats.org/officeDocument/2006/relationships/hyperlink" Target="https://doi.org/10.1016/j.caeo.2022.100073" TargetMode="External"/><Relationship Id="rId26" Type="http://schemas.openxmlformats.org/officeDocument/2006/relationships/hyperlink" Target="https://doi.org/10.1186/1471-2288-8-45" TargetMode="External"/><Relationship Id="rId39" Type="http://schemas.openxmlformats.org/officeDocument/2006/relationships/footer" Target="footer3.xml"/><Relationship Id="rId21" Type="http://schemas.openxmlformats.org/officeDocument/2006/relationships/hyperlink" Target="https://doi.org/10.1177/21582440231193590" TargetMode="External"/><Relationship Id="rId34" Type="http://schemas.openxmlformats.org/officeDocument/2006/relationships/header" Target="header1.xml"/><Relationship Id="rId7" Type="http://schemas.openxmlformats.org/officeDocument/2006/relationships/hyperlink" Target="https://doi.org/10.1080/1364557032000119616" TargetMode="External"/><Relationship Id="rId2" Type="http://schemas.openxmlformats.org/officeDocument/2006/relationships/settings" Target="settings.xml"/><Relationship Id="rId16" Type="http://schemas.openxmlformats.org/officeDocument/2006/relationships/hyperlink" Target="https://doi.org/10.3991/ijai.v2i1.13439" TargetMode="External"/><Relationship Id="rId20" Type="http://schemas.openxmlformats.org/officeDocument/2006/relationships/hyperlink" Target="https://doi.org/10.1186/1748-5908-5-69" TargetMode="External"/><Relationship Id="rId29" Type="http://schemas.openxmlformats.org/officeDocument/2006/relationships/hyperlink" Target="https://doi.org/10.1111/bjet.12940"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145/2330601.2330666" TargetMode="External"/><Relationship Id="rId24" Type="http://schemas.openxmlformats.org/officeDocument/2006/relationships/hyperlink" Target="https://doi.org/10.1177/0002764213498851" TargetMode="External"/><Relationship Id="rId32" Type="http://schemas.openxmlformats.org/officeDocument/2006/relationships/hyperlink" Target="https://doi.org/10.18608/jla.2025.8493"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016/j.compedu.2019.103752" TargetMode="External"/><Relationship Id="rId23" Type="http://schemas.openxmlformats.org/officeDocument/2006/relationships/hyperlink" Target="https://jime.open.ac.uk/articles/10.5334/jime.394?utm_source=chatgpt.com" TargetMode="External"/><Relationship Id="rId28" Type="http://schemas.openxmlformats.org/officeDocument/2006/relationships/hyperlink" Target="https://doi.org/10.18608/jla.2018.53.2" TargetMode="External"/><Relationship Id="rId36" Type="http://schemas.openxmlformats.org/officeDocument/2006/relationships/footer" Target="footer1.xml"/><Relationship Id="rId10" Type="http://schemas.openxmlformats.org/officeDocument/2006/relationships/hyperlink" Target="https://doi.org/10.18608/jla.2024.1101.1" TargetMode="External"/><Relationship Id="rId19" Type="http://schemas.openxmlformats.org/officeDocument/2006/relationships/hyperlink" Target="https://melbourne-cs.github.io/learning-analytics-handbook/" TargetMode="External"/><Relationship Id="rId31" Type="http://schemas.openxmlformats.org/officeDocument/2006/relationships/hyperlink" Target="https://doi.org/10.1111/bjet.13195" TargetMode="External"/><Relationship Id="rId4" Type="http://schemas.openxmlformats.org/officeDocument/2006/relationships/footnotes" Target="footnotes.xml"/><Relationship Id="rId9" Type="http://schemas.openxmlformats.org/officeDocument/2006/relationships/hyperlink" Target="https://doi.org/10.18608/jla.2019.62.1" TargetMode="External"/><Relationship Id="rId14" Type="http://schemas.openxmlformats.org/officeDocument/2006/relationships/hyperlink" Target="https://doi.org/10.1007/s11528-018-0358-3" TargetMode="External"/><Relationship Id="rId22" Type="http://schemas.openxmlformats.org/officeDocument/2006/relationships/hyperlink" Target="https://doi.org/10.1007/s12528-024-09353-3" TargetMode="External"/><Relationship Id="rId27" Type="http://schemas.openxmlformats.org/officeDocument/2006/relationships/hyperlink" Target="https://doi.org/10.7326/M18-0850" TargetMode="External"/><Relationship Id="rId30" Type="http://schemas.openxmlformats.org/officeDocument/2006/relationships/hyperlink" Target="https://doi.org/10.1007/s11423-018-09639-y" TargetMode="External"/><Relationship Id="rId35" Type="http://schemas.openxmlformats.org/officeDocument/2006/relationships/header" Target="header2.xml"/><Relationship Id="rId8" Type="http://schemas.openxmlformats.org/officeDocument/2006/relationships/hyperlink" Target="https://doi.org/10.18608/jla.2022.7613" TargetMode="External"/><Relationship Id="rId3" Type="http://schemas.openxmlformats.org/officeDocument/2006/relationships/webSettings" Target="webSettings.xml"/><Relationship Id="rId12" Type="http://schemas.openxmlformats.org/officeDocument/2006/relationships/hyperlink" Target="https://doi.org/10.1145/2330601.2330616" TargetMode="External"/><Relationship Id="rId17" Type="http://schemas.openxmlformats.org/officeDocument/2006/relationships/hyperlink" Target="https://www.jisc.ac.uk/guides/principles-of-good-assessment-and-feedback?utm_source=chatgpt.com" TargetMode="External"/><Relationship Id="rId25" Type="http://schemas.openxmlformats.org/officeDocument/2006/relationships/hyperlink" Target="https://doi.org/10.1080/02602938.2016.1237900" TargetMode="External"/><Relationship Id="rId33" Type="http://schemas.openxmlformats.org/officeDocument/2006/relationships/hyperlink" Target="https://doi.org/10.20343/teachlearninqu.5.2.7"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23</Pages>
  <Words>7528</Words>
  <Characters>42911</Characters>
  <Application>Microsoft Office Word</Application>
  <DocSecurity>0</DocSecurity>
  <Lines>357</Lines>
  <Paragraphs>100</Paragraphs>
  <ScaleCrop>false</ScaleCrop>
  <Company/>
  <LinksUpToDate>false</LinksUpToDate>
  <CharactersWithSpaces>50339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Sunkanmi Folorunsho</dc:creator>
  <cp:lastModifiedBy>SDI 1084</cp:lastModifiedBy>
  <cp:revision>5</cp:revision>
  <dcterms:created xsi:type="dcterms:W3CDTF">2025-10-27T15:55:00Z</dcterms:created>
  <dcterms:modified xsi:type="dcterms:W3CDTF">2025-11-01T09:59:00Z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D1BD2F51590D4C9D90241B5F1D942882_12</vt:lpwstr>
  </property>
</Properties>
</file>