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6D478" w14:textId="77777777" w:rsidR="00754C9A" w:rsidRPr="00D93C6F" w:rsidRDefault="00D93C6F" w:rsidP="00441B6F">
      <w:pPr>
        <w:pStyle w:val="Title"/>
        <w:spacing w:after="0"/>
        <w:jc w:val="both"/>
        <w:rPr>
          <w:rFonts w:ascii="Arial" w:hAnsi="Arial" w:cs="Arial"/>
          <w:u w:val="single"/>
        </w:rPr>
      </w:pPr>
      <w:r w:rsidRPr="00D93C6F">
        <w:rPr>
          <w:rFonts w:ascii="Arial" w:hAnsi="Arial" w:cs="Arial"/>
          <w:u w:val="single"/>
        </w:rPr>
        <w:t>Short Research Article</w:t>
      </w:r>
    </w:p>
    <w:p w14:paraId="5E11F54E" w14:textId="77777777" w:rsidR="00D93C6F" w:rsidRDefault="00D93C6F" w:rsidP="00441B6F">
      <w:pPr>
        <w:pStyle w:val="Title"/>
        <w:spacing w:after="0"/>
        <w:jc w:val="both"/>
        <w:rPr>
          <w:rFonts w:ascii="Arial" w:hAnsi="Arial" w:cs="Arial"/>
        </w:rPr>
      </w:pPr>
    </w:p>
    <w:p w14:paraId="71FC98E2" w14:textId="77777777" w:rsidR="00163BC4" w:rsidRPr="00163BC4" w:rsidRDefault="0056091D" w:rsidP="00403BFD">
      <w:pPr>
        <w:pStyle w:val="Author"/>
        <w:spacing w:line="240" w:lineRule="auto"/>
        <w:rPr>
          <w:rFonts w:ascii="Arial" w:hAnsi="Arial" w:cs="Arial"/>
          <w:bCs/>
          <w:iCs/>
          <w:kern w:val="28"/>
          <w:sz w:val="36"/>
        </w:rPr>
      </w:pPr>
      <w:r w:rsidRPr="0056091D">
        <w:rPr>
          <w:rFonts w:ascii="Arial" w:hAnsi="Arial" w:cs="Arial"/>
          <w:bCs/>
          <w:iCs/>
          <w:kern w:val="28"/>
          <w:sz w:val="36"/>
        </w:rPr>
        <w:t>The Role of Peer Support System in Enhancing the Sewing Skills among Garments Technology Students: A Case Study from a Higher Education Institution</w:t>
      </w:r>
    </w:p>
    <w:p w14:paraId="27CC760C" w14:textId="77777777" w:rsidR="0056091D" w:rsidRPr="00403BFD" w:rsidRDefault="0056091D" w:rsidP="00403BFD">
      <w:pPr>
        <w:pStyle w:val="Affiliation"/>
        <w:spacing w:after="0" w:line="240" w:lineRule="auto"/>
        <w:rPr>
          <w:rFonts w:ascii="Arial" w:hAnsi="Arial" w:cs="Arial"/>
          <w:i/>
        </w:rPr>
      </w:pPr>
    </w:p>
    <w:p w14:paraId="69D95FB5" w14:textId="77777777" w:rsidR="002C57D2" w:rsidRPr="00FB3A86" w:rsidRDefault="002C57D2" w:rsidP="00441B6F">
      <w:pPr>
        <w:pStyle w:val="Affiliation"/>
        <w:spacing w:after="0" w:line="240" w:lineRule="auto"/>
        <w:jc w:val="both"/>
        <w:rPr>
          <w:rFonts w:ascii="Arial" w:hAnsi="Arial" w:cs="Arial"/>
        </w:rPr>
      </w:pPr>
    </w:p>
    <w:p w14:paraId="5339892E" w14:textId="77777777" w:rsidR="00B01FCD" w:rsidRPr="00FB3A86" w:rsidRDefault="00155768" w:rsidP="00441B6F">
      <w:pPr>
        <w:pStyle w:val="Copyright"/>
        <w:spacing w:after="0" w:line="240" w:lineRule="auto"/>
        <w:jc w:val="both"/>
        <w:rPr>
          <w:rFonts w:ascii="Arial" w:hAnsi="Arial" w:cs="Arial"/>
        </w:rPr>
        <w:sectPr w:rsidR="00B01FCD" w:rsidRPr="00FB3A86" w:rsidSect="009366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74C28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508F2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A9115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B7FD601" w14:textId="77777777" w:rsidTr="001E44FE">
        <w:tc>
          <w:tcPr>
            <w:tcW w:w="9576" w:type="dxa"/>
            <w:shd w:val="clear" w:color="auto" w:fill="F2F2F2"/>
          </w:tcPr>
          <w:p w14:paraId="5B000CA2" w14:textId="77777777" w:rsidR="00A0648D" w:rsidRDefault="00A0648D" w:rsidP="00A0648D">
            <w:pPr>
              <w:pStyle w:val="Body"/>
              <w:spacing w:after="0"/>
              <w:rPr>
                <w:rFonts w:ascii="Arial" w:eastAsia="Calibri" w:hAnsi="Arial" w:cs="Arial"/>
                <w:szCs w:val="22"/>
              </w:rPr>
            </w:pPr>
          </w:p>
          <w:p w14:paraId="2BF184C9" w14:textId="77777777" w:rsidR="00A0648D" w:rsidRPr="00BA1B01" w:rsidRDefault="00A0648D" w:rsidP="00A0648D">
            <w:pPr>
              <w:pStyle w:val="Body"/>
              <w:rPr>
                <w:rFonts w:ascii="Arial" w:eastAsia="Calibri" w:hAnsi="Arial" w:cs="Arial"/>
                <w:szCs w:val="22"/>
              </w:rPr>
            </w:pPr>
            <w:r w:rsidRPr="00A0648D">
              <w:rPr>
                <w:rFonts w:ascii="Arial" w:eastAsia="Calibri" w:hAnsi="Arial" w:cs="Arial"/>
                <w:szCs w:val="22"/>
              </w:rPr>
              <w:t>This study aimed to examine the role of the peer support system in enhancing the sewing skills of Garments Technology students, focusing on four key dimensions—emotional, informational, instrume</w:t>
            </w:r>
            <w:r>
              <w:rPr>
                <w:rFonts w:ascii="Arial" w:eastAsia="Calibri" w:hAnsi="Arial" w:cs="Arial"/>
                <w:szCs w:val="22"/>
              </w:rPr>
              <w:t xml:space="preserve">ntal, and motivational support. </w:t>
            </w:r>
            <w:r w:rsidRPr="00A0648D">
              <w:rPr>
                <w:rFonts w:ascii="Arial" w:eastAsia="Calibri" w:hAnsi="Arial" w:cs="Arial"/>
                <w:szCs w:val="22"/>
              </w:rPr>
              <w:t>A descriptive research design was utilized, combining quantitative and qualitative approaches to capture students’ perceptions and lived experie</w:t>
            </w:r>
            <w:r>
              <w:rPr>
                <w:rFonts w:ascii="Arial" w:eastAsia="Calibri" w:hAnsi="Arial" w:cs="Arial"/>
                <w:szCs w:val="22"/>
              </w:rPr>
              <w:t xml:space="preserve">nces in peer-assisted learning. </w:t>
            </w:r>
            <w:r w:rsidRPr="00A0648D">
              <w:rPr>
                <w:rFonts w:ascii="Arial" w:eastAsia="Calibri" w:hAnsi="Arial" w:cs="Arial"/>
                <w:szCs w:val="22"/>
              </w:rPr>
              <w:t>The study was conducted in a higher education institution in the Philippines offering a Garments Technology program duri</w:t>
            </w:r>
            <w:r>
              <w:rPr>
                <w:rFonts w:ascii="Arial" w:eastAsia="Calibri" w:hAnsi="Arial" w:cs="Arial"/>
                <w:szCs w:val="22"/>
              </w:rPr>
              <w:t xml:space="preserve">ng the academic year 2024–2025. </w:t>
            </w:r>
            <w:r w:rsidRPr="00A0648D">
              <w:rPr>
                <w:rFonts w:ascii="Arial" w:eastAsia="Calibri" w:hAnsi="Arial" w:cs="Arial"/>
                <w:szCs w:val="22"/>
              </w:rPr>
              <w:t>Thirty (30) Garments Technology students enrolled in sewing laboratory classes were selec</w:t>
            </w:r>
            <w:r>
              <w:rPr>
                <w:rFonts w:ascii="Arial" w:eastAsia="Calibri" w:hAnsi="Arial" w:cs="Arial"/>
                <w:szCs w:val="22"/>
              </w:rPr>
              <w:t xml:space="preserve">ted through purposive sampling. </w:t>
            </w:r>
            <w:r w:rsidRPr="00A0648D">
              <w:rPr>
                <w:rFonts w:ascii="Arial" w:eastAsia="Calibri" w:hAnsi="Arial" w:cs="Arial"/>
                <w:szCs w:val="22"/>
              </w:rPr>
              <w:t>Data were gathered using a researcher-made survey questionnaire and supported by interviews. Weighted mean was used to interpret quantitative data, while thematic analysis was employed for quali</w:t>
            </w:r>
            <w:r>
              <w:rPr>
                <w:rFonts w:ascii="Arial" w:eastAsia="Calibri" w:hAnsi="Arial" w:cs="Arial"/>
                <w:szCs w:val="22"/>
              </w:rPr>
              <w:t xml:space="preserve">tative insights. </w:t>
            </w:r>
            <w:r w:rsidRPr="00A0648D">
              <w:rPr>
                <w:rFonts w:ascii="Arial" w:eastAsia="Calibri" w:hAnsi="Arial" w:cs="Arial"/>
                <w:szCs w:val="22"/>
              </w:rPr>
              <w:t>Findings revealed that the overall perception of peer support was positive (M=3.08, Agree). Among the four dimensions, informational support (M=3.26) ranked highest, indicating that students highly valued knowledge sharing, peer demonstrations, and advice exchange. Emotional, instrumental, and motivational supports also contributed meaningfully by reducing anxiety, sustaining engagement, and strengthening self-efficacy. The synthesis underscored that peer collaboration not only enhanced technical sewing competence but also fostered teamwork, confidence, and persistence—key traits for vocational readiness.</w:t>
            </w:r>
            <w:r>
              <w:rPr>
                <w:rFonts w:ascii="Arial" w:eastAsia="Calibri" w:hAnsi="Arial" w:cs="Arial"/>
                <w:szCs w:val="22"/>
              </w:rPr>
              <w:t xml:space="preserve"> </w:t>
            </w:r>
            <w:r w:rsidRPr="00A0648D">
              <w:rPr>
                <w:rFonts w:ascii="Arial" w:eastAsia="Calibri" w:hAnsi="Arial" w:cs="Arial"/>
                <w:szCs w:val="22"/>
              </w:rPr>
              <w:t>Peer support significantly enhances sewing skill development among Garments Technology students. Structured peer support systems are recommended in technical-vocational education to promote collaborative learning, motivation, and improved skill mastery.</w:t>
            </w:r>
          </w:p>
        </w:tc>
      </w:tr>
    </w:tbl>
    <w:p w14:paraId="2241CD0A" w14:textId="77777777" w:rsidR="00636EB2" w:rsidRDefault="00636EB2" w:rsidP="00441B6F">
      <w:pPr>
        <w:pStyle w:val="Body"/>
        <w:spacing w:after="0"/>
        <w:rPr>
          <w:rFonts w:ascii="Arial" w:hAnsi="Arial" w:cs="Arial"/>
          <w:i/>
        </w:rPr>
      </w:pPr>
    </w:p>
    <w:p w14:paraId="5163C908" w14:textId="77777777" w:rsidR="00A24E7E" w:rsidRDefault="00A24E7E" w:rsidP="00441B6F">
      <w:pPr>
        <w:pStyle w:val="Body"/>
        <w:spacing w:after="0"/>
        <w:rPr>
          <w:rFonts w:ascii="Arial" w:hAnsi="Arial" w:cs="Arial"/>
          <w:i/>
        </w:rPr>
      </w:pPr>
      <w:r>
        <w:rPr>
          <w:rFonts w:ascii="Arial" w:hAnsi="Arial" w:cs="Arial"/>
          <w:i/>
        </w:rPr>
        <w:t xml:space="preserve">Keywords: </w:t>
      </w:r>
      <w:r w:rsidR="00A0648D" w:rsidRPr="00A0648D">
        <w:rPr>
          <w:rFonts w:ascii="Arial" w:hAnsi="Arial" w:cs="Arial"/>
          <w:i/>
        </w:rPr>
        <w:t>peer support system, sewing skills, Garments Technology, case study, higher education institution</w:t>
      </w:r>
    </w:p>
    <w:p w14:paraId="7C240DEC" w14:textId="77777777" w:rsidR="00505F06" w:rsidRPr="00A24E7E" w:rsidRDefault="00505F06" w:rsidP="00441B6F">
      <w:pPr>
        <w:pStyle w:val="Body"/>
        <w:spacing w:after="0"/>
        <w:rPr>
          <w:rFonts w:ascii="Arial" w:hAnsi="Arial" w:cs="Arial"/>
          <w:i/>
        </w:rPr>
      </w:pPr>
    </w:p>
    <w:p w14:paraId="0E3704A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FBA667D" w14:textId="77777777" w:rsidR="00790ADA" w:rsidRPr="00FB3A86" w:rsidRDefault="00790ADA" w:rsidP="00441B6F">
      <w:pPr>
        <w:pStyle w:val="AbstHead"/>
        <w:spacing w:after="0"/>
        <w:jc w:val="both"/>
        <w:rPr>
          <w:rFonts w:ascii="Arial" w:hAnsi="Arial" w:cs="Arial"/>
        </w:rPr>
      </w:pPr>
    </w:p>
    <w:p w14:paraId="5CFAB1DC" w14:textId="77777777" w:rsidR="00A0648D" w:rsidRPr="00A0648D" w:rsidRDefault="00A0648D" w:rsidP="00A0648D">
      <w:pPr>
        <w:pStyle w:val="Body"/>
        <w:rPr>
          <w:rFonts w:ascii="Arial" w:hAnsi="Arial" w:cs="Arial"/>
        </w:rPr>
      </w:pPr>
      <w:r w:rsidRPr="00A0648D">
        <w:rPr>
          <w:rFonts w:ascii="Arial" w:hAnsi="Arial" w:cs="Arial"/>
        </w:rPr>
        <w:t>Technical and vocational education and training (TVET) is a critical lever for economic development and poverty alleviation in the Philippines. TVET provides pathways for learners especially those from marginalized sectors to acquire practical skills and transition into employment or entrepreneurship (Mag-</w:t>
      </w:r>
      <w:proofErr w:type="spellStart"/>
      <w:r w:rsidRPr="00A0648D">
        <w:rPr>
          <w:rFonts w:ascii="Arial" w:hAnsi="Arial" w:cs="Arial"/>
        </w:rPr>
        <w:t>aso</w:t>
      </w:r>
      <w:proofErr w:type="spellEnd"/>
      <w:r w:rsidRPr="00A0648D">
        <w:rPr>
          <w:rFonts w:ascii="Arial" w:hAnsi="Arial" w:cs="Arial"/>
        </w:rPr>
        <w:t xml:space="preserve"> et al., 2024). Within TVET, garments technology courses emphasize sewing as a foundational skill, demanding both procedural knowledge (e.g., pattern making, fabric handling) and psychomotor finesse (e.g., controlling stitching, machine operation). Yet many students struggle to develop proficiency in sewing tasks given limited instructor time, equipment constraints, and the fine motor challenges inherent in textile manipulation.</w:t>
      </w:r>
    </w:p>
    <w:p w14:paraId="188626DB" w14:textId="77777777" w:rsidR="00A0648D" w:rsidRPr="00A0648D" w:rsidRDefault="00A0648D" w:rsidP="00A0648D">
      <w:pPr>
        <w:pStyle w:val="Body"/>
        <w:rPr>
          <w:rFonts w:ascii="Arial" w:hAnsi="Arial" w:cs="Arial"/>
        </w:rPr>
      </w:pPr>
      <w:r w:rsidRPr="00A0648D">
        <w:rPr>
          <w:rFonts w:ascii="Arial" w:hAnsi="Arial" w:cs="Arial"/>
        </w:rPr>
        <w:lastRenderedPageBreak/>
        <w:t xml:space="preserve">To address gaps in mastery, curricular and instructional innovations in Philippine garment programs often lean on remedial materials or supplemental instructional media. For instance, </w:t>
      </w:r>
      <w:proofErr w:type="spellStart"/>
      <w:r w:rsidRPr="00A0648D">
        <w:rPr>
          <w:rFonts w:ascii="Arial" w:hAnsi="Arial" w:cs="Arial"/>
        </w:rPr>
        <w:t>Calaranan</w:t>
      </w:r>
      <w:proofErr w:type="spellEnd"/>
      <w:r w:rsidRPr="00A0648D">
        <w:rPr>
          <w:rFonts w:ascii="Arial" w:hAnsi="Arial" w:cs="Arial"/>
        </w:rPr>
        <w:t xml:space="preserve"> and </w:t>
      </w:r>
      <w:proofErr w:type="spellStart"/>
      <w:r w:rsidRPr="00A0648D">
        <w:rPr>
          <w:rFonts w:ascii="Arial" w:hAnsi="Arial" w:cs="Arial"/>
        </w:rPr>
        <w:t>Corpuz</w:t>
      </w:r>
      <w:proofErr w:type="spellEnd"/>
      <w:r w:rsidRPr="00A0648D">
        <w:rPr>
          <w:rFonts w:ascii="Arial" w:hAnsi="Arial" w:cs="Arial"/>
        </w:rPr>
        <w:t xml:space="preserve"> (2023) developed Strategic Intervention Materials (SIMs) specifically targeting the least mastered competencies in garments trade such as sewing machine operation, preparation of materials, and garment assembly at a Philippine technical institute. The SIMs were validated by technical experts and deemed useful to support students in closing skill gaps.</w:t>
      </w:r>
    </w:p>
    <w:p w14:paraId="6D8D628B" w14:textId="77777777" w:rsidR="00A0648D" w:rsidRPr="00A0648D" w:rsidRDefault="00A0648D" w:rsidP="00A0648D">
      <w:pPr>
        <w:pStyle w:val="Body"/>
        <w:rPr>
          <w:rFonts w:ascii="Arial" w:hAnsi="Arial" w:cs="Arial"/>
        </w:rPr>
      </w:pPr>
      <w:r w:rsidRPr="00A0648D">
        <w:rPr>
          <w:rFonts w:ascii="Arial" w:hAnsi="Arial" w:cs="Arial"/>
        </w:rPr>
        <w:t>Similarly, studies in sewing education more broadly show that instructional tools like videos can significantly improve learners’ sewing performance compared to lecture–demonstration approaches (</w:t>
      </w:r>
      <w:proofErr w:type="spellStart"/>
      <w:r w:rsidRPr="00A0648D">
        <w:rPr>
          <w:rFonts w:ascii="Arial" w:hAnsi="Arial" w:cs="Arial"/>
        </w:rPr>
        <w:t>Ereje</w:t>
      </w:r>
      <w:proofErr w:type="spellEnd"/>
      <w:r w:rsidRPr="00A0648D">
        <w:rPr>
          <w:rFonts w:ascii="Arial" w:hAnsi="Arial" w:cs="Arial"/>
        </w:rPr>
        <w:t>, 2020). However, these interventions often treat the learner as a passive recipient rather than as an active collaborator in peer networks of learning.</w:t>
      </w:r>
    </w:p>
    <w:p w14:paraId="640A572B" w14:textId="77777777" w:rsidR="00A0648D" w:rsidRPr="00A0648D" w:rsidRDefault="00A0648D" w:rsidP="00A0648D">
      <w:pPr>
        <w:pStyle w:val="Body"/>
        <w:rPr>
          <w:rFonts w:ascii="Arial" w:hAnsi="Arial" w:cs="Arial"/>
        </w:rPr>
      </w:pPr>
      <w:r w:rsidRPr="00A0648D">
        <w:rPr>
          <w:rFonts w:ascii="Arial" w:hAnsi="Arial" w:cs="Arial"/>
        </w:rPr>
        <w:t xml:space="preserve">According to Aliano and Chang (2024), collaboration and teamwork through peer interaction play a vital role in classroom skill development. They highlighted that peer collaboration fosters active learning and creativity, while also building confidence and teamwork skills. </w:t>
      </w:r>
      <w:proofErr w:type="spellStart"/>
      <w:r w:rsidRPr="00A0648D">
        <w:rPr>
          <w:rFonts w:ascii="Arial" w:hAnsi="Arial" w:cs="Arial"/>
        </w:rPr>
        <w:t>Seenan</w:t>
      </w:r>
      <w:proofErr w:type="spellEnd"/>
      <w:r w:rsidRPr="00A0648D">
        <w:rPr>
          <w:rFonts w:ascii="Arial" w:hAnsi="Arial" w:cs="Arial"/>
        </w:rPr>
        <w:t xml:space="preserve"> et al. (2022), further noted that group peer teaching enhances both learning outcomes and interpersonal competencies, helping students become more effective learners and future professionals.</w:t>
      </w:r>
    </w:p>
    <w:p w14:paraId="7BBF0361" w14:textId="77777777" w:rsidR="00A0648D" w:rsidRPr="00A0648D" w:rsidRDefault="00A0648D" w:rsidP="00A0648D">
      <w:pPr>
        <w:pStyle w:val="Body"/>
        <w:rPr>
          <w:rFonts w:ascii="Arial" w:hAnsi="Arial" w:cs="Arial"/>
        </w:rPr>
      </w:pPr>
      <w:r w:rsidRPr="00A0648D">
        <w:rPr>
          <w:rFonts w:ascii="Arial" w:hAnsi="Arial" w:cs="Arial"/>
        </w:rPr>
        <w:t xml:space="preserve">Similarly, </w:t>
      </w:r>
      <w:proofErr w:type="spellStart"/>
      <w:r w:rsidRPr="00A0648D">
        <w:rPr>
          <w:rFonts w:ascii="Arial" w:hAnsi="Arial" w:cs="Arial"/>
        </w:rPr>
        <w:t>Suliyanthini</w:t>
      </w:r>
      <w:proofErr w:type="spellEnd"/>
      <w:r w:rsidRPr="00A0648D">
        <w:rPr>
          <w:rFonts w:ascii="Arial" w:hAnsi="Arial" w:cs="Arial"/>
        </w:rPr>
        <w:t xml:space="preserve"> (2018) found that cooperative learning in technical-vocational training improves tailoring skills, showing the value of shared learning experiences. In the context of sewing, peer collaboration provides opportunities for students to exchange ideas, refine techniques, and support one another in mastering practical tasks.</w:t>
      </w:r>
    </w:p>
    <w:p w14:paraId="69F19C9E" w14:textId="77777777" w:rsidR="00A0648D" w:rsidRPr="00A0648D" w:rsidRDefault="00A0648D" w:rsidP="00A0648D">
      <w:pPr>
        <w:pStyle w:val="Body"/>
        <w:rPr>
          <w:rFonts w:ascii="Arial" w:hAnsi="Arial" w:cs="Arial"/>
        </w:rPr>
      </w:pPr>
      <w:r w:rsidRPr="00A0648D">
        <w:rPr>
          <w:rFonts w:ascii="Arial" w:hAnsi="Arial" w:cs="Arial"/>
        </w:rPr>
        <w:t>In the Philippine context, cooperative and collaborative learning approaches have been applied in garments and dressmaking classes. A study on cooperative learning in garments technology among junior high students in Cebu reported generally favorable perceptions across dimensions such as positive interdependence, promotive interaction, group processing, and individual accountability, concluding that cooperative methods positively affect student performance and participation (Cooperative Learning in Garments Technology, n.d.).</w:t>
      </w:r>
    </w:p>
    <w:p w14:paraId="75124751" w14:textId="77777777" w:rsidR="00A0648D" w:rsidRPr="00A0648D" w:rsidRDefault="00A0648D" w:rsidP="00A0648D">
      <w:pPr>
        <w:pStyle w:val="Body"/>
        <w:rPr>
          <w:rFonts w:ascii="Arial" w:hAnsi="Arial" w:cs="Arial"/>
        </w:rPr>
      </w:pPr>
      <w:r w:rsidRPr="00A0648D">
        <w:rPr>
          <w:rFonts w:ascii="Arial" w:hAnsi="Arial" w:cs="Arial"/>
        </w:rPr>
        <w:t>The specific role of peer support systems, the mechanisms by which students aid each other emotionally, informationally, instrumentally, and motivationally remains underexplored in Philippine garment technology programs. Peer support is distinct from teacher-led cooperation in that it emerges more organically among learners, often in real time during lab work, troubleshooting, and practice. Internationally, peer support has been shown to help reduce learner anxiety, promote persistence, encourage knowledge sharing, and foster collaborative learning communities. In the Philippines, for instance, peer support has been linked with literacy improvement and collaborative engagement among elementary learners (Gonzales &amp; Valencia, 2024).</w:t>
      </w:r>
    </w:p>
    <w:p w14:paraId="5946DA2C" w14:textId="77777777" w:rsidR="00A0648D" w:rsidRPr="00A0648D" w:rsidRDefault="00A0648D" w:rsidP="00A0648D">
      <w:pPr>
        <w:pStyle w:val="Body"/>
        <w:rPr>
          <w:rFonts w:ascii="Arial" w:hAnsi="Arial" w:cs="Arial"/>
        </w:rPr>
      </w:pPr>
      <w:r w:rsidRPr="00A0648D">
        <w:rPr>
          <w:rFonts w:ascii="Arial" w:hAnsi="Arial" w:cs="Arial"/>
        </w:rPr>
        <w:t>Moreover, garment and sewing education frequently experience a “skill mismatch” between classroom competencies and workplace expectations in the Philippines (Asuncion et al., 2023). The presence of a supportive peer network in laboratory classes may thus help students internalize tacit skills and reduce the gap between formal instruction and hands-on proficiency.</w:t>
      </w:r>
    </w:p>
    <w:p w14:paraId="0E2CAB9F" w14:textId="77777777" w:rsidR="00A0648D" w:rsidRPr="00A0648D" w:rsidRDefault="00A0648D" w:rsidP="00A0648D">
      <w:pPr>
        <w:pStyle w:val="Body"/>
        <w:rPr>
          <w:rFonts w:ascii="Arial" w:hAnsi="Arial" w:cs="Arial"/>
        </w:rPr>
      </w:pPr>
      <w:r w:rsidRPr="00A0648D">
        <w:rPr>
          <w:rFonts w:ascii="Arial" w:hAnsi="Arial" w:cs="Arial"/>
        </w:rPr>
        <w:t xml:space="preserve">Given the high stakes for TVET graduates in employment and livelihood, and the resource constraints often experienced in Philippine vocational institutions (limited instructor time, equipment per student, class sizes), understanding how peer support influences students’ sewing skill development is both timely and practical. Thus, this study seeks to examine how </w:t>
      </w:r>
      <w:r w:rsidRPr="00A0648D">
        <w:rPr>
          <w:rFonts w:ascii="Arial" w:hAnsi="Arial" w:cs="Arial"/>
        </w:rPr>
        <w:lastRenderedPageBreak/>
        <w:t>Garments Technology students perceive the role of peer support across emotional, informational, instrumental, and motivational dimensions in enhancing their sewing skills. The insights can inform how instructors, program designers, and school administrators structure peer support systems to complement formal instruction and improve learning outcomes in garment workshops.</w:t>
      </w:r>
    </w:p>
    <w:p w14:paraId="62C099DF" w14:textId="77777777" w:rsidR="00B01FCD" w:rsidRDefault="00A0648D" w:rsidP="00A0648D">
      <w:pPr>
        <w:pStyle w:val="Body"/>
        <w:spacing w:after="0"/>
        <w:rPr>
          <w:rFonts w:ascii="Arial" w:hAnsi="Arial" w:cs="Arial"/>
        </w:rPr>
      </w:pPr>
      <w:r w:rsidRPr="00A0648D">
        <w:rPr>
          <w:rFonts w:ascii="Arial" w:hAnsi="Arial" w:cs="Arial"/>
        </w:rPr>
        <w:t xml:space="preserve">The study aims to explore the role of peer support system in enhancing the sewing skills among garments technology students in a higher education institution offering Garments technology </w:t>
      </w:r>
      <w:proofErr w:type="gramStart"/>
      <w:r w:rsidRPr="00A0648D">
        <w:rPr>
          <w:rFonts w:ascii="Arial" w:hAnsi="Arial" w:cs="Arial"/>
        </w:rPr>
        <w:t>program.</w:t>
      </w:r>
      <w:r w:rsidR="00403BFD" w:rsidRPr="00403BFD">
        <w:rPr>
          <w:rFonts w:ascii="Arial" w:hAnsi="Arial" w:cs="Arial"/>
        </w:rPr>
        <w:t>.</w:t>
      </w:r>
      <w:proofErr w:type="gramEnd"/>
    </w:p>
    <w:p w14:paraId="11DBF92D" w14:textId="77777777" w:rsidR="00790ADA" w:rsidRPr="00FB3A86" w:rsidRDefault="00790ADA" w:rsidP="00441B6F">
      <w:pPr>
        <w:pStyle w:val="Body"/>
        <w:spacing w:after="0"/>
        <w:rPr>
          <w:rFonts w:ascii="Arial" w:hAnsi="Arial" w:cs="Arial"/>
        </w:rPr>
      </w:pPr>
    </w:p>
    <w:p w14:paraId="3EF2DBCF" w14:textId="77777777" w:rsidR="007F7B32" w:rsidRDefault="00403BFD"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5E77157" w14:textId="77777777" w:rsidR="00790ADA" w:rsidRPr="00FB3A86" w:rsidRDefault="00790ADA" w:rsidP="00441B6F">
      <w:pPr>
        <w:pStyle w:val="AbstHead"/>
        <w:spacing w:after="0"/>
        <w:jc w:val="both"/>
        <w:rPr>
          <w:rFonts w:ascii="Arial" w:hAnsi="Arial" w:cs="Arial"/>
        </w:rPr>
      </w:pPr>
    </w:p>
    <w:p w14:paraId="1AF3C19E" w14:textId="77777777" w:rsidR="00A0648D" w:rsidRPr="00A0648D" w:rsidRDefault="00A0648D" w:rsidP="00A0648D">
      <w:pPr>
        <w:pStyle w:val="Body"/>
        <w:rPr>
          <w:rFonts w:ascii="Arial" w:hAnsi="Arial" w:cs="Arial"/>
        </w:rPr>
      </w:pPr>
      <w:r w:rsidRPr="00A0648D">
        <w:rPr>
          <w:rFonts w:ascii="Arial" w:hAnsi="Arial" w:cs="Arial"/>
        </w:rPr>
        <w:t>This study employed a descriptive research design. The quantitative component involved a survey to assess students’ perceptions of peer support in enhancing sewing skills, while the qualitative component involved interviews to gain deeper insights into collaborative learning experiences.</w:t>
      </w:r>
    </w:p>
    <w:p w14:paraId="145787EB" w14:textId="77777777" w:rsidR="00A0648D" w:rsidRPr="00A0648D" w:rsidRDefault="00A0648D" w:rsidP="00A0648D">
      <w:pPr>
        <w:pStyle w:val="Body"/>
        <w:rPr>
          <w:rFonts w:ascii="Arial" w:hAnsi="Arial" w:cs="Arial"/>
        </w:rPr>
      </w:pPr>
      <w:r w:rsidRPr="00A0648D">
        <w:rPr>
          <w:rFonts w:ascii="Arial" w:hAnsi="Arial" w:cs="Arial"/>
        </w:rPr>
        <w:t>The respondents consisted of 30 Garments Technology students enrolled in sewing laboratory classes during the school year 2024–2025. Participants were selected through purposive sampling, focusing on those actively engaged in peer-based sewing activities. Their participation was voluntary, and informed consent was obtained prior to data collection.</w:t>
      </w:r>
    </w:p>
    <w:p w14:paraId="7D05FAB7" w14:textId="77777777" w:rsidR="00A0648D" w:rsidRDefault="00A0648D" w:rsidP="00A0648D">
      <w:pPr>
        <w:pStyle w:val="Body"/>
        <w:rPr>
          <w:rFonts w:ascii="Arial" w:hAnsi="Arial" w:cs="Arial"/>
        </w:rPr>
      </w:pPr>
      <w:r w:rsidRPr="00A0648D">
        <w:rPr>
          <w:rFonts w:ascii="Arial" w:hAnsi="Arial" w:cs="Arial"/>
        </w:rPr>
        <w:t>The primary data-gathering instrument was a researcher-made survey questionnaire titled “Survey on the Perceived Role of Peer Support System in Enhancing Sewing Skills among Garments Technology Students.” The instrument contained four sections corresponding to the dimensions of peer support—emotional, informational, instrumental, and motivational—rated on a 4-point Likert scale (4 = Strongly Agree, 3 = Agree, 2 = Di</w:t>
      </w:r>
      <w:r>
        <w:rPr>
          <w:rFonts w:ascii="Arial" w:hAnsi="Arial" w:cs="Arial"/>
        </w:rPr>
        <w:t>sagree, 1 = Strongly Disagree).</w:t>
      </w:r>
    </w:p>
    <w:p w14:paraId="69702F18" w14:textId="05CE4DCF" w:rsidR="00A0648D" w:rsidRDefault="008945C3" w:rsidP="00A0648D">
      <w:pPr>
        <w:pStyle w:val="Body"/>
        <w:rPr>
          <w:rFonts w:ascii="Arial" w:hAnsi="Arial" w:cs="Arial"/>
        </w:rPr>
      </w:pPr>
      <w:r>
        <w:rPr>
          <w:rFonts w:ascii="Arial" w:hAnsi="Arial" w:cs="Arial"/>
        </w:rPr>
        <w:t xml:space="preserve">Chart 1. </w:t>
      </w:r>
      <w:r w:rsidR="00A0648D" w:rsidRPr="00A0648D">
        <w:rPr>
          <w:rFonts w:ascii="Arial" w:hAnsi="Arial" w:cs="Arial"/>
        </w:rPr>
        <w:t xml:space="preserve">To interpret the results, the following range of means were used: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A0648D" w:rsidRPr="008F04E5" w14:paraId="34D96CBC" w14:textId="77777777" w:rsidTr="00A80229">
        <w:trPr>
          <w:trHeight w:val="263"/>
          <w:jc w:val="center"/>
        </w:trPr>
        <w:tc>
          <w:tcPr>
            <w:tcW w:w="2341" w:type="dxa"/>
            <w:tcBorders>
              <w:top w:val="single" w:sz="4" w:space="0" w:color="auto"/>
              <w:bottom w:val="single" w:sz="4" w:space="0" w:color="auto"/>
            </w:tcBorders>
          </w:tcPr>
          <w:p w14:paraId="0FCBAC39" w14:textId="77777777" w:rsidR="00A0648D" w:rsidRPr="008F04E5" w:rsidRDefault="00A0648D" w:rsidP="00A80229">
            <w:pPr>
              <w:pStyle w:val="Body"/>
              <w:spacing w:after="0"/>
              <w:rPr>
                <w:rFonts w:ascii="Arial" w:hAnsi="Arial" w:cs="Arial"/>
                <w:b/>
                <w:bCs/>
                <w:i/>
                <w:iCs/>
                <w:sz w:val="20"/>
                <w:szCs w:val="20"/>
              </w:rPr>
            </w:pPr>
            <w:r w:rsidRPr="008F04E5">
              <w:rPr>
                <w:rFonts w:ascii="Arial" w:hAnsi="Arial" w:cs="Arial"/>
                <w:b/>
                <w:bCs/>
                <w:i/>
                <w:iCs/>
                <w:sz w:val="20"/>
                <w:szCs w:val="20"/>
              </w:rPr>
              <w:t>Range of Means</w:t>
            </w:r>
          </w:p>
        </w:tc>
        <w:tc>
          <w:tcPr>
            <w:tcW w:w="3169" w:type="dxa"/>
            <w:tcBorders>
              <w:top w:val="single" w:sz="4" w:space="0" w:color="auto"/>
              <w:bottom w:val="single" w:sz="4" w:space="0" w:color="auto"/>
            </w:tcBorders>
          </w:tcPr>
          <w:p w14:paraId="139ACDE4" w14:textId="77777777" w:rsidR="00A0648D" w:rsidRPr="008F04E5" w:rsidRDefault="00A0648D" w:rsidP="00A80229">
            <w:pPr>
              <w:pStyle w:val="Body"/>
              <w:spacing w:after="0"/>
              <w:rPr>
                <w:rFonts w:ascii="Arial" w:hAnsi="Arial" w:cs="Arial"/>
                <w:b/>
                <w:bCs/>
                <w:i/>
                <w:iCs/>
                <w:sz w:val="20"/>
                <w:szCs w:val="20"/>
              </w:rPr>
            </w:pPr>
            <w:r w:rsidRPr="008F04E5">
              <w:rPr>
                <w:rFonts w:ascii="Arial" w:hAnsi="Arial" w:cs="Arial"/>
                <w:b/>
                <w:bCs/>
                <w:i/>
                <w:iCs/>
                <w:sz w:val="20"/>
                <w:szCs w:val="20"/>
              </w:rPr>
              <w:t>Descriptive Interpretation (DI)</w:t>
            </w:r>
          </w:p>
        </w:tc>
      </w:tr>
      <w:tr w:rsidR="00A0648D" w:rsidRPr="008F04E5" w14:paraId="772C7A1D" w14:textId="77777777" w:rsidTr="00A80229">
        <w:trPr>
          <w:trHeight w:val="248"/>
          <w:jc w:val="center"/>
        </w:trPr>
        <w:tc>
          <w:tcPr>
            <w:tcW w:w="2341" w:type="dxa"/>
            <w:tcBorders>
              <w:top w:val="single" w:sz="4" w:space="0" w:color="auto"/>
            </w:tcBorders>
          </w:tcPr>
          <w:p w14:paraId="142D3806" w14:textId="77777777" w:rsidR="00A0648D" w:rsidRPr="008F04E5" w:rsidRDefault="00A0648D" w:rsidP="00A80229">
            <w:pPr>
              <w:pStyle w:val="Body"/>
              <w:spacing w:after="0"/>
              <w:rPr>
                <w:rFonts w:ascii="Arial" w:hAnsi="Arial" w:cs="Arial"/>
                <w:sz w:val="20"/>
                <w:szCs w:val="20"/>
              </w:rPr>
            </w:pPr>
            <w:r w:rsidRPr="008F04E5">
              <w:rPr>
                <w:rFonts w:ascii="Arial" w:hAnsi="Arial" w:cs="Arial"/>
                <w:sz w:val="20"/>
                <w:szCs w:val="20"/>
              </w:rPr>
              <w:t>3.26-4.00</w:t>
            </w:r>
          </w:p>
        </w:tc>
        <w:tc>
          <w:tcPr>
            <w:tcW w:w="3169" w:type="dxa"/>
            <w:tcBorders>
              <w:top w:val="single" w:sz="4" w:space="0" w:color="auto"/>
            </w:tcBorders>
          </w:tcPr>
          <w:p w14:paraId="25CAFBD9" w14:textId="77777777" w:rsidR="00A0648D" w:rsidRPr="008F04E5" w:rsidRDefault="008F04E5" w:rsidP="00A80229">
            <w:pPr>
              <w:pStyle w:val="Body"/>
              <w:spacing w:after="0"/>
              <w:rPr>
                <w:rFonts w:ascii="Arial" w:hAnsi="Arial" w:cs="Arial"/>
                <w:sz w:val="20"/>
                <w:szCs w:val="20"/>
              </w:rPr>
            </w:pPr>
            <w:r w:rsidRPr="008F04E5">
              <w:rPr>
                <w:rFonts w:ascii="Arial" w:hAnsi="Arial" w:cs="Arial"/>
                <w:sz w:val="20"/>
                <w:szCs w:val="20"/>
              </w:rPr>
              <w:t>Strongly Agree (SA</w:t>
            </w:r>
            <w:r w:rsidR="00A0648D" w:rsidRPr="008F04E5">
              <w:rPr>
                <w:rFonts w:ascii="Arial" w:hAnsi="Arial" w:cs="Arial"/>
                <w:sz w:val="20"/>
                <w:szCs w:val="20"/>
              </w:rPr>
              <w:t>)</w:t>
            </w:r>
          </w:p>
        </w:tc>
      </w:tr>
      <w:tr w:rsidR="00A0648D" w:rsidRPr="008F04E5" w14:paraId="70B37AE8" w14:textId="77777777" w:rsidTr="00A80229">
        <w:trPr>
          <w:trHeight w:val="263"/>
          <w:jc w:val="center"/>
        </w:trPr>
        <w:tc>
          <w:tcPr>
            <w:tcW w:w="2341" w:type="dxa"/>
          </w:tcPr>
          <w:p w14:paraId="005592EA" w14:textId="77777777" w:rsidR="00A0648D" w:rsidRPr="008F04E5" w:rsidRDefault="00A0648D" w:rsidP="00A80229">
            <w:pPr>
              <w:pStyle w:val="Body"/>
              <w:spacing w:after="0"/>
              <w:rPr>
                <w:rFonts w:ascii="Arial" w:hAnsi="Arial" w:cs="Arial"/>
                <w:sz w:val="20"/>
                <w:szCs w:val="20"/>
              </w:rPr>
            </w:pPr>
            <w:r w:rsidRPr="008F04E5">
              <w:rPr>
                <w:rFonts w:ascii="Arial" w:hAnsi="Arial" w:cs="Arial"/>
                <w:sz w:val="20"/>
                <w:szCs w:val="20"/>
              </w:rPr>
              <w:t>2.51-3.25</w:t>
            </w:r>
          </w:p>
        </w:tc>
        <w:tc>
          <w:tcPr>
            <w:tcW w:w="3169" w:type="dxa"/>
          </w:tcPr>
          <w:p w14:paraId="6DF1CF88" w14:textId="77777777" w:rsidR="00A0648D" w:rsidRPr="008F04E5" w:rsidRDefault="008F04E5" w:rsidP="00A80229">
            <w:pPr>
              <w:pStyle w:val="Body"/>
              <w:spacing w:after="0"/>
              <w:rPr>
                <w:rFonts w:ascii="Arial" w:hAnsi="Arial" w:cs="Arial"/>
                <w:sz w:val="20"/>
                <w:szCs w:val="20"/>
              </w:rPr>
            </w:pPr>
            <w:r w:rsidRPr="008F04E5">
              <w:rPr>
                <w:rFonts w:ascii="Arial" w:hAnsi="Arial" w:cs="Arial"/>
                <w:sz w:val="20"/>
                <w:szCs w:val="20"/>
              </w:rPr>
              <w:t>Agree (A</w:t>
            </w:r>
            <w:r w:rsidR="00A0648D" w:rsidRPr="008F04E5">
              <w:rPr>
                <w:rFonts w:ascii="Arial" w:hAnsi="Arial" w:cs="Arial"/>
                <w:sz w:val="20"/>
                <w:szCs w:val="20"/>
              </w:rPr>
              <w:t>)</w:t>
            </w:r>
          </w:p>
        </w:tc>
      </w:tr>
      <w:tr w:rsidR="00A0648D" w:rsidRPr="008F04E5" w14:paraId="6BEFD7F9" w14:textId="77777777" w:rsidTr="00A80229">
        <w:trPr>
          <w:trHeight w:val="248"/>
          <w:jc w:val="center"/>
        </w:trPr>
        <w:tc>
          <w:tcPr>
            <w:tcW w:w="2341" w:type="dxa"/>
          </w:tcPr>
          <w:p w14:paraId="307F1117" w14:textId="77777777" w:rsidR="00A0648D" w:rsidRPr="008F04E5" w:rsidRDefault="00A0648D" w:rsidP="00A80229">
            <w:pPr>
              <w:pStyle w:val="Body"/>
              <w:spacing w:after="0"/>
              <w:rPr>
                <w:rFonts w:ascii="Arial" w:hAnsi="Arial" w:cs="Arial"/>
                <w:sz w:val="20"/>
                <w:szCs w:val="20"/>
              </w:rPr>
            </w:pPr>
            <w:r w:rsidRPr="008F04E5">
              <w:rPr>
                <w:rFonts w:ascii="Arial" w:hAnsi="Arial" w:cs="Arial"/>
                <w:sz w:val="20"/>
                <w:szCs w:val="20"/>
              </w:rPr>
              <w:t>1.76-2.50</w:t>
            </w:r>
          </w:p>
        </w:tc>
        <w:tc>
          <w:tcPr>
            <w:tcW w:w="3169" w:type="dxa"/>
          </w:tcPr>
          <w:p w14:paraId="15BF6E1C" w14:textId="77777777" w:rsidR="00A0648D" w:rsidRPr="008F04E5" w:rsidRDefault="008F04E5" w:rsidP="00A80229">
            <w:pPr>
              <w:pStyle w:val="Body"/>
              <w:spacing w:after="0"/>
              <w:rPr>
                <w:rFonts w:ascii="Arial" w:hAnsi="Arial" w:cs="Arial"/>
                <w:sz w:val="20"/>
                <w:szCs w:val="20"/>
              </w:rPr>
            </w:pPr>
            <w:r w:rsidRPr="008F04E5">
              <w:rPr>
                <w:rFonts w:ascii="Arial" w:hAnsi="Arial" w:cs="Arial"/>
                <w:sz w:val="20"/>
                <w:szCs w:val="20"/>
              </w:rPr>
              <w:t>Disagree (DA)</w:t>
            </w:r>
          </w:p>
        </w:tc>
      </w:tr>
      <w:tr w:rsidR="00A0648D" w:rsidRPr="008F04E5" w14:paraId="05AFBBDB" w14:textId="77777777" w:rsidTr="00A80229">
        <w:trPr>
          <w:trHeight w:val="248"/>
          <w:jc w:val="center"/>
        </w:trPr>
        <w:tc>
          <w:tcPr>
            <w:tcW w:w="2341" w:type="dxa"/>
            <w:tcBorders>
              <w:bottom w:val="single" w:sz="4" w:space="0" w:color="auto"/>
            </w:tcBorders>
          </w:tcPr>
          <w:p w14:paraId="6B3D6750" w14:textId="77777777" w:rsidR="00A0648D" w:rsidRPr="008F04E5" w:rsidRDefault="00A0648D" w:rsidP="00A80229">
            <w:pPr>
              <w:pStyle w:val="Body"/>
              <w:spacing w:after="0"/>
              <w:rPr>
                <w:rFonts w:ascii="Arial" w:hAnsi="Arial" w:cs="Arial"/>
                <w:sz w:val="20"/>
                <w:szCs w:val="20"/>
              </w:rPr>
            </w:pPr>
            <w:r w:rsidRPr="008F04E5">
              <w:rPr>
                <w:rFonts w:ascii="Arial" w:hAnsi="Arial" w:cs="Arial"/>
                <w:sz w:val="20"/>
                <w:szCs w:val="20"/>
              </w:rPr>
              <w:t>1.00-1.75</w:t>
            </w:r>
          </w:p>
        </w:tc>
        <w:tc>
          <w:tcPr>
            <w:tcW w:w="3169" w:type="dxa"/>
            <w:tcBorders>
              <w:bottom w:val="single" w:sz="4" w:space="0" w:color="auto"/>
            </w:tcBorders>
          </w:tcPr>
          <w:p w14:paraId="2DB14BA5" w14:textId="77777777" w:rsidR="00A0648D" w:rsidRPr="008F04E5" w:rsidRDefault="008F04E5" w:rsidP="00A80229">
            <w:pPr>
              <w:pStyle w:val="Body"/>
              <w:spacing w:after="0"/>
              <w:rPr>
                <w:rFonts w:ascii="Arial" w:hAnsi="Arial" w:cs="Arial"/>
                <w:sz w:val="20"/>
                <w:szCs w:val="20"/>
              </w:rPr>
            </w:pPr>
            <w:r w:rsidRPr="008F04E5">
              <w:rPr>
                <w:rFonts w:ascii="Arial" w:hAnsi="Arial" w:cs="Arial"/>
                <w:sz w:val="20"/>
                <w:szCs w:val="20"/>
              </w:rPr>
              <w:t>Strongly Disagree (SDA)</w:t>
            </w:r>
          </w:p>
        </w:tc>
      </w:tr>
    </w:tbl>
    <w:p w14:paraId="41C67BE7" w14:textId="77777777" w:rsidR="00A0648D" w:rsidRDefault="00A0648D" w:rsidP="00A0648D">
      <w:pPr>
        <w:pStyle w:val="Body"/>
        <w:rPr>
          <w:rFonts w:ascii="Arial" w:hAnsi="Arial" w:cs="Arial"/>
        </w:rPr>
      </w:pPr>
    </w:p>
    <w:p w14:paraId="768C215C" w14:textId="77777777" w:rsidR="00A0648D" w:rsidRPr="00A0648D" w:rsidRDefault="00A0648D" w:rsidP="00A0648D">
      <w:pPr>
        <w:pStyle w:val="Body"/>
        <w:rPr>
          <w:rFonts w:ascii="Arial" w:hAnsi="Arial" w:cs="Arial"/>
        </w:rPr>
      </w:pPr>
      <w:r w:rsidRPr="00A0648D">
        <w:rPr>
          <w:rFonts w:ascii="Arial" w:hAnsi="Arial" w:cs="Arial"/>
        </w:rPr>
        <w:t>A structured interview guide was also used to collect a</w:t>
      </w:r>
      <w:r w:rsidR="008F04E5">
        <w:rPr>
          <w:rFonts w:ascii="Arial" w:hAnsi="Arial" w:cs="Arial"/>
        </w:rPr>
        <w:t xml:space="preserve">dditional qualitative feedback. </w:t>
      </w:r>
      <w:r w:rsidRPr="00A0648D">
        <w:rPr>
          <w:rFonts w:ascii="Arial" w:hAnsi="Arial" w:cs="Arial"/>
        </w:rPr>
        <w:t>The researchers personally administered the questionnaires during laboratory classes, ensuring that respondents were fully informed of the study’s purpose and confidentiality measures. Completed questionnaires were retrieved immediately after completion to maintain response integrity.</w:t>
      </w:r>
    </w:p>
    <w:p w14:paraId="78E8BB75" w14:textId="77777777" w:rsidR="00403BFD" w:rsidRDefault="00A0648D" w:rsidP="00A0648D">
      <w:pPr>
        <w:pStyle w:val="Body"/>
        <w:rPr>
          <w:rFonts w:ascii="Arial" w:hAnsi="Arial" w:cs="Arial"/>
        </w:rPr>
      </w:pPr>
      <w:r w:rsidRPr="00A0648D">
        <w:rPr>
          <w:rFonts w:ascii="Arial" w:hAnsi="Arial" w:cs="Arial"/>
        </w:rPr>
        <w:t>The data gathered were tabulated and analyzed using descriptive statistics, particularly the weighted mean, to interpret the level of perceived peer support in each dimension. Qualitative responses were subjected to thematic analysis to support and explain the quantitative findings</w:t>
      </w:r>
    </w:p>
    <w:p w14:paraId="136C6D38" w14:textId="77777777" w:rsidR="00790ADA" w:rsidRPr="00FB3A86" w:rsidRDefault="00790ADA" w:rsidP="00441B6F">
      <w:pPr>
        <w:pStyle w:val="Body"/>
        <w:spacing w:after="0"/>
        <w:rPr>
          <w:rFonts w:ascii="Arial" w:hAnsi="Arial" w:cs="Arial"/>
        </w:rPr>
      </w:pPr>
    </w:p>
    <w:p w14:paraId="41A6BE9B" w14:textId="77777777" w:rsidR="00347591" w:rsidRDefault="00000F8F" w:rsidP="00347591">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4EB222A" w14:textId="77777777" w:rsidR="00347591" w:rsidRPr="00347591" w:rsidRDefault="00347591" w:rsidP="00347591">
      <w:pPr>
        <w:pStyle w:val="Head1"/>
        <w:spacing w:after="0"/>
        <w:jc w:val="both"/>
        <w:rPr>
          <w:rFonts w:ascii="Arial" w:hAnsi="Arial" w:cs="Arial"/>
        </w:rPr>
      </w:pPr>
    </w:p>
    <w:p w14:paraId="3B8A87A4" w14:textId="77777777" w:rsidR="008F04E5" w:rsidRDefault="008F04E5" w:rsidP="008F04E5">
      <w:pPr>
        <w:spacing w:after="240"/>
        <w:contextualSpacing/>
        <w:jc w:val="both"/>
        <w:rPr>
          <w:rFonts w:ascii="Arial" w:eastAsia="Aptos" w:hAnsi="Arial" w:cs="Arial"/>
          <w:kern w:val="2"/>
          <w:lang w:val="en-PH"/>
        </w:rPr>
      </w:pPr>
      <w:r w:rsidRPr="008F04E5">
        <w:rPr>
          <w:rFonts w:ascii="Arial" w:eastAsia="Aptos" w:hAnsi="Arial" w:cs="Arial"/>
          <w:kern w:val="2"/>
          <w:lang w:val="en-PH"/>
        </w:rPr>
        <w:t>This segment discusses the outcomes and discussions regarding the peer support system function in developing students' sewing competence. The research investigated the involvement of various forms of peer support—emotional, informational, instrumental, and motivational—toward developing students' skills. Through the analysis of the responses of 30 participants, the research offers insights into the impact of peer interaction, advice, and motivation on learning results. The findings indicate which kinds of support students highly appreciate and how these interactions lead to the learning of hands-on sewing skills, ultimately providing a thorough explanation of how peer support affects skill improvement in Garments Technology.</w:t>
      </w:r>
    </w:p>
    <w:p w14:paraId="4C826503" w14:textId="77777777" w:rsidR="008F04E5" w:rsidRPr="008F04E5" w:rsidRDefault="008F04E5" w:rsidP="008F04E5">
      <w:pPr>
        <w:spacing w:after="240"/>
        <w:contextualSpacing/>
        <w:jc w:val="both"/>
        <w:rPr>
          <w:rFonts w:ascii="Arial" w:eastAsia="Aptos" w:hAnsi="Arial" w:cs="Arial"/>
          <w:kern w:val="2"/>
          <w:lang w:val="en-PH"/>
        </w:rPr>
      </w:pPr>
    </w:p>
    <w:p w14:paraId="4169F40A" w14:textId="77777777" w:rsidR="008F04E5" w:rsidRPr="008F04E5" w:rsidRDefault="008F04E5" w:rsidP="008F04E5">
      <w:pPr>
        <w:jc w:val="both"/>
        <w:rPr>
          <w:rFonts w:ascii="Arial" w:eastAsia="Aptos" w:hAnsi="Arial" w:cs="Arial"/>
          <w:b/>
          <w:bCs/>
          <w:kern w:val="2"/>
          <w:lang w:val="en-PH"/>
        </w:rPr>
      </w:pPr>
      <w:r w:rsidRPr="008F04E5">
        <w:rPr>
          <w:rFonts w:ascii="Arial" w:eastAsia="Aptos" w:hAnsi="Arial" w:cs="Arial"/>
          <w:b/>
          <w:bCs/>
          <w:kern w:val="2"/>
          <w:lang w:val="en-PH"/>
        </w:rPr>
        <w:t>Table 1. Descriptive Results on the Role of Peer Support System in Enhancing Garments Technology Students’ Sewing Skills (N=30)</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1998"/>
        <w:gridCol w:w="2835"/>
      </w:tblGrid>
      <w:tr w:rsidR="008F04E5" w:rsidRPr="008F04E5" w14:paraId="46D8534C" w14:textId="77777777" w:rsidTr="00A80229">
        <w:tc>
          <w:tcPr>
            <w:tcW w:w="3690" w:type="dxa"/>
            <w:tcBorders>
              <w:top w:val="single" w:sz="4" w:space="0" w:color="auto"/>
              <w:bottom w:val="single" w:sz="4" w:space="0" w:color="auto"/>
            </w:tcBorders>
            <w:vAlign w:val="center"/>
          </w:tcPr>
          <w:p w14:paraId="18C3F635" w14:textId="77777777" w:rsidR="008F04E5" w:rsidRPr="008F04E5" w:rsidRDefault="008F04E5" w:rsidP="008F04E5">
            <w:pPr>
              <w:jc w:val="center"/>
              <w:rPr>
                <w:rFonts w:ascii="Arial" w:hAnsi="Arial" w:cs="Arial"/>
                <w:bCs/>
                <w:sz w:val="20"/>
                <w:szCs w:val="20"/>
              </w:rPr>
            </w:pPr>
            <w:r w:rsidRPr="008F04E5">
              <w:rPr>
                <w:rFonts w:ascii="Arial" w:hAnsi="Arial" w:cs="Arial"/>
                <w:bCs/>
                <w:sz w:val="20"/>
                <w:szCs w:val="20"/>
              </w:rPr>
              <w:t>Dimensions of Peer Support</w:t>
            </w:r>
          </w:p>
        </w:tc>
        <w:tc>
          <w:tcPr>
            <w:tcW w:w="2040" w:type="dxa"/>
            <w:tcBorders>
              <w:top w:val="single" w:sz="4" w:space="0" w:color="auto"/>
              <w:bottom w:val="single" w:sz="4" w:space="0" w:color="auto"/>
            </w:tcBorders>
            <w:vAlign w:val="center"/>
          </w:tcPr>
          <w:p w14:paraId="30C9092D" w14:textId="77777777" w:rsidR="008F04E5" w:rsidRPr="008F04E5" w:rsidRDefault="008F04E5" w:rsidP="008F04E5">
            <w:pPr>
              <w:jc w:val="center"/>
              <w:rPr>
                <w:rFonts w:ascii="Arial" w:hAnsi="Arial" w:cs="Arial"/>
                <w:bCs/>
                <w:sz w:val="20"/>
                <w:szCs w:val="20"/>
              </w:rPr>
            </w:pPr>
            <w:r w:rsidRPr="008F04E5">
              <w:rPr>
                <w:rFonts w:ascii="Arial" w:hAnsi="Arial" w:cs="Arial"/>
                <w:bCs/>
                <w:sz w:val="20"/>
                <w:szCs w:val="20"/>
              </w:rPr>
              <w:t>Weighted Mean</w:t>
            </w:r>
          </w:p>
        </w:tc>
        <w:tc>
          <w:tcPr>
            <w:tcW w:w="2900" w:type="dxa"/>
            <w:tcBorders>
              <w:top w:val="single" w:sz="4" w:space="0" w:color="auto"/>
              <w:bottom w:val="single" w:sz="4" w:space="0" w:color="auto"/>
            </w:tcBorders>
            <w:vAlign w:val="center"/>
          </w:tcPr>
          <w:p w14:paraId="2B71C67C" w14:textId="77777777" w:rsidR="008F04E5" w:rsidRPr="008F04E5" w:rsidRDefault="008F04E5" w:rsidP="008F04E5">
            <w:pPr>
              <w:jc w:val="center"/>
              <w:rPr>
                <w:rFonts w:ascii="Arial" w:hAnsi="Arial" w:cs="Arial"/>
                <w:bCs/>
                <w:sz w:val="20"/>
                <w:szCs w:val="20"/>
              </w:rPr>
            </w:pPr>
            <w:r w:rsidRPr="008F04E5">
              <w:rPr>
                <w:rFonts w:ascii="Arial" w:hAnsi="Arial" w:cs="Arial"/>
                <w:bCs/>
                <w:sz w:val="20"/>
                <w:szCs w:val="20"/>
              </w:rPr>
              <w:t>Verbal Interpretation</w:t>
            </w:r>
          </w:p>
        </w:tc>
      </w:tr>
      <w:tr w:rsidR="008F04E5" w:rsidRPr="008F04E5" w14:paraId="09CEA9AA" w14:textId="77777777" w:rsidTr="00A80229">
        <w:tc>
          <w:tcPr>
            <w:tcW w:w="3690" w:type="dxa"/>
            <w:tcBorders>
              <w:top w:val="single" w:sz="4" w:space="0" w:color="auto"/>
            </w:tcBorders>
          </w:tcPr>
          <w:p w14:paraId="740052B0" w14:textId="77777777" w:rsidR="008F04E5" w:rsidRPr="008F04E5" w:rsidRDefault="008F04E5" w:rsidP="008F04E5">
            <w:pPr>
              <w:rPr>
                <w:rFonts w:ascii="Arial" w:hAnsi="Arial" w:cs="Arial"/>
                <w:sz w:val="20"/>
                <w:szCs w:val="20"/>
              </w:rPr>
            </w:pPr>
            <w:r w:rsidRPr="008F04E5">
              <w:rPr>
                <w:rFonts w:ascii="Arial" w:hAnsi="Arial" w:cs="Arial"/>
                <w:sz w:val="20"/>
                <w:szCs w:val="20"/>
              </w:rPr>
              <w:t>1. Emotional Support</w:t>
            </w:r>
          </w:p>
        </w:tc>
        <w:tc>
          <w:tcPr>
            <w:tcW w:w="2040" w:type="dxa"/>
            <w:tcBorders>
              <w:top w:val="single" w:sz="4" w:space="0" w:color="auto"/>
            </w:tcBorders>
          </w:tcPr>
          <w:p w14:paraId="4B712019"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3.04</w:t>
            </w:r>
          </w:p>
        </w:tc>
        <w:tc>
          <w:tcPr>
            <w:tcW w:w="2900" w:type="dxa"/>
            <w:tcBorders>
              <w:top w:val="single" w:sz="4" w:space="0" w:color="auto"/>
            </w:tcBorders>
          </w:tcPr>
          <w:p w14:paraId="4DE94A27"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Agree</w:t>
            </w:r>
          </w:p>
        </w:tc>
      </w:tr>
      <w:tr w:rsidR="008F04E5" w:rsidRPr="008F04E5" w14:paraId="6C5B13F8" w14:textId="77777777" w:rsidTr="00A80229">
        <w:tc>
          <w:tcPr>
            <w:tcW w:w="3690" w:type="dxa"/>
          </w:tcPr>
          <w:p w14:paraId="584F9D06" w14:textId="77777777" w:rsidR="008F04E5" w:rsidRPr="008F04E5" w:rsidRDefault="008F04E5" w:rsidP="008F04E5">
            <w:pPr>
              <w:rPr>
                <w:rFonts w:ascii="Arial" w:hAnsi="Arial" w:cs="Arial"/>
                <w:sz w:val="20"/>
                <w:szCs w:val="20"/>
              </w:rPr>
            </w:pPr>
            <w:r w:rsidRPr="008F04E5">
              <w:rPr>
                <w:rFonts w:ascii="Arial" w:hAnsi="Arial" w:cs="Arial"/>
                <w:sz w:val="20"/>
                <w:szCs w:val="20"/>
              </w:rPr>
              <w:t>2. Informational Support</w:t>
            </w:r>
          </w:p>
        </w:tc>
        <w:tc>
          <w:tcPr>
            <w:tcW w:w="2040" w:type="dxa"/>
          </w:tcPr>
          <w:p w14:paraId="0147C6DA"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3.26</w:t>
            </w:r>
          </w:p>
        </w:tc>
        <w:tc>
          <w:tcPr>
            <w:tcW w:w="2900" w:type="dxa"/>
          </w:tcPr>
          <w:p w14:paraId="39A43A3D"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Strongly Agree</w:t>
            </w:r>
          </w:p>
        </w:tc>
      </w:tr>
      <w:tr w:rsidR="008F04E5" w:rsidRPr="008F04E5" w14:paraId="1207C427" w14:textId="77777777" w:rsidTr="00A80229">
        <w:tc>
          <w:tcPr>
            <w:tcW w:w="3690" w:type="dxa"/>
          </w:tcPr>
          <w:p w14:paraId="7D1A0647" w14:textId="77777777" w:rsidR="008F04E5" w:rsidRPr="008F04E5" w:rsidRDefault="008F04E5" w:rsidP="008F04E5">
            <w:pPr>
              <w:rPr>
                <w:rFonts w:ascii="Arial" w:hAnsi="Arial" w:cs="Arial"/>
                <w:sz w:val="20"/>
                <w:szCs w:val="20"/>
              </w:rPr>
            </w:pPr>
            <w:r w:rsidRPr="008F04E5">
              <w:rPr>
                <w:rFonts w:ascii="Arial" w:hAnsi="Arial" w:cs="Arial"/>
                <w:sz w:val="20"/>
                <w:szCs w:val="20"/>
              </w:rPr>
              <w:t>3. Instrumental Support</w:t>
            </w:r>
          </w:p>
        </w:tc>
        <w:tc>
          <w:tcPr>
            <w:tcW w:w="2040" w:type="dxa"/>
          </w:tcPr>
          <w:p w14:paraId="6A6FD54A"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3.00</w:t>
            </w:r>
          </w:p>
        </w:tc>
        <w:tc>
          <w:tcPr>
            <w:tcW w:w="2900" w:type="dxa"/>
          </w:tcPr>
          <w:p w14:paraId="5F566FB1"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Agree</w:t>
            </w:r>
          </w:p>
        </w:tc>
      </w:tr>
      <w:tr w:rsidR="008F04E5" w:rsidRPr="008F04E5" w14:paraId="28D003DA" w14:textId="77777777" w:rsidTr="008F04E5">
        <w:trPr>
          <w:trHeight w:val="342"/>
        </w:trPr>
        <w:tc>
          <w:tcPr>
            <w:tcW w:w="3690" w:type="dxa"/>
            <w:tcBorders>
              <w:bottom w:val="nil"/>
            </w:tcBorders>
          </w:tcPr>
          <w:p w14:paraId="4EFCC064" w14:textId="77777777" w:rsidR="008F04E5" w:rsidRPr="008F04E5" w:rsidRDefault="008F04E5" w:rsidP="008F04E5">
            <w:pPr>
              <w:rPr>
                <w:rFonts w:ascii="Arial" w:hAnsi="Arial" w:cs="Arial"/>
                <w:sz w:val="20"/>
                <w:szCs w:val="20"/>
              </w:rPr>
            </w:pPr>
            <w:r w:rsidRPr="008F04E5">
              <w:rPr>
                <w:rFonts w:ascii="Arial" w:hAnsi="Arial" w:cs="Arial"/>
                <w:sz w:val="20"/>
                <w:szCs w:val="20"/>
              </w:rPr>
              <w:t>4. Motivational Support</w:t>
            </w:r>
          </w:p>
        </w:tc>
        <w:tc>
          <w:tcPr>
            <w:tcW w:w="2040" w:type="dxa"/>
            <w:tcBorders>
              <w:bottom w:val="nil"/>
            </w:tcBorders>
          </w:tcPr>
          <w:p w14:paraId="516DAD52"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3.00</w:t>
            </w:r>
          </w:p>
        </w:tc>
        <w:tc>
          <w:tcPr>
            <w:tcW w:w="2900" w:type="dxa"/>
            <w:tcBorders>
              <w:bottom w:val="nil"/>
            </w:tcBorders>
          </w:tcPr>
          <w:p w14:paraId="779EF954"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Agree</w:t>
            </w:r>
          </w:p>
        </w:tc>
      </w:tr>
      <w:tr w:rsidR="008F04E5" w:rsidRPr="008F04E5" w14:paraId="08853295" w14:textId="77777777" w:rsidTr="008F04E5">
        <w:tc>
          <w:tcPr>
            <w:tcW w:w="3690" w:type="dxa"/>
            <w:tcBorders>
              <w:top w:val="nil"/>
              <w:bottom w:val="single" w:sz="4" w:space="0" w:color="auto"/>
            </w:tcBorders>
          </w:tcPr>
          <w:p w14:paraId="4F30913E" w14:textId="77777777" w:rsidR="008F04E5" w:rsidRPr="008F04E5" w:rsidRDefault="008F04E5" w:rsidP="008F04E5">
            <w:pPr>
              <w:jc w:val="center"/>
              <w:rPr>
                <w:rFonts w:ascii="Arial" w:hAnsi="Arial" w:cs="Arial"/>
                <w:bCs/>
                <w:sz w:val="20"/>
                <w:szCs w:val="20"/>
              </w:rPr>
            </w:pPr>
            <w:r w:rsidRPr="008F04E5">
              <w:rPr>
                <w:rFonts w:ascii="Arial" w:hAnsi="Arial" w:cs="Arial"/>
                <w:bCs/>
                <w:sz w:val="20"/>
                <w:szCs w:val="20"/>
              </w:rPr>
              <w:t>Overall Peer Support</w:t>
            </w:r>
          </w:p>
        </w:tc>
        <w:tc>
          <w:tcPr>
            <w:tcW w:w="2040" w:type="dxa"/>
            <w:tcBorders>
              <w:top w:val="nil"/>
              <w:bottom w:val="single" w:sz="4" w:space="0" w:color="auto"/>
            </w:tcBorders>
          </w:tcPr>
          <w:p w14:paraId="1540E991" w14:textId="77777777" w:rsidR="008F04E5" w:rsidRPr="008F04E5" w:rsidRDefault="008F04E5" w:rsidP="008F04E5">
            <w:pPr>
              <w:jc w:val="center"/>
              <w:rPr>
                <w:rFonts w:ascii="Arial" w:hAnsi="Arial" w:cs="Arial"/>
                <w:bCs/>
                <w:sz w:val="20"/>
                <w:szCs w:val="20"/>
              </w:rPr>
            </w:pPr>
            <w:r w:rsidRPr="008F04E5">
              <w:rPr>
                <w:rFonts w:ascii="Arial" w:hAnsi="Arial" w:cs="Arial"/>
                <w:bCs/>
                <w:sz w:val="20"/>
                <w:szCs w:val="20"/>
              </w:rPr>
              <w:t>3.08</w:t>
            </w:r>
          </w:p>
        </w:tc>
        <w:tc>
          <w:tcPr>
            <w:tcW w:w="2900" w:type="dxa"/>
            <w:tcBorders>
              <w:top w:val="nil"/>
              <w:bottom w:val="single" w:sz="4" w:space="0" w:color="auto"/>
            </w:tcBorders>
          </w:tcPr>
          <w:p w14:paraId="764D24AF" w14:textId="77777777" w:rsidR="008F04E5" w:rsidRPr="008F04E5" w:rsidRDefault="008F04E5" w:rsidP="008F04E5">
            <w:pPr>
              <w:jc w:val="center"/>
              <w:rPr>
                <w:rFonts w:ascii="Arial" w:hAnsi="Arial" w:cs="Arial"/>
                <w:bCs/>
                <w:sz w:val="20"/>
                <w:szCs w:val="20"/>
              </w:rPr>
            </w:pPr>
            <w:r w:rsidRPr="008F04E5">
              <w:rPr>
                <w:rFonts w:ascii="Arial" w:hAnsi="Arial" w:cs="Arial"/>
                <w:bCs/>
                <w:sz w:val="20"/>
                <w:szCs w:val="20"/>
              </w:rPr>
              <w:t>Agree</w:t>
            </w:r>
          </w:p>
        </w:tc>
      </w:tr>
    </w:tbl>
    <w:p w14:paraId="78F22BE8" w14:textId="77777777" w:rsidR="008F04E5" w:rsidRPr="008F04E5" w:rsidRDefault="008F04E5" w:rsidP="008F04E5">
      <w:pPr>
        <w:rPr>
          <w:rFonts w:ascii="Arial" w:eastAsia="Aptos" w:hAnsi="Arial" w:cs="Arial"/>
          <w:i/>
          <w:kern w:val="2"/>
          <w:lang w:val="en-PH"/>
        </w:rPr>
      </w:pPr>
      <w:r w:rsidRPr="008F04E5">
        <w:rPr>
          <w:rFonts w:ascii="Arial" w:eastAsia="Aptos" w:hAnsi="Arial" w:cs="Arial"/>
          <w:i/>
          <w:kern w:val="2"/>
          <w:lang w:val="en-PH"/>
        </w:rPr>
        <w:t>Legend:</w:t>
      </w:r>
      <w:r w:rsidRPr="008F04E5">
        <w:rPr>
          <w:rFonts w:ascii="Arial" w:eastAsia="Aptos" w:hAnsi="Arial" w:cs="Arial"/>
          <w:i/>
          <w:kern w:val="2"/>
          <w:lang w:val="en-PH"/>
        </w:rPr>
        <w:tab/>
        <w:t>3.26-4.00 (Strongly Agree)</w:t>
      </w:r>
    </w:p>
    <w:p w14:paraId="7D8B62CE" w14:textId="77777777" w:rsidR="008F04E5" w:rsidRPr="008F04E5" w:rsidRDefault="008F04E5" w:rsidP="008F04E5">
      <w:pPr>
        <w:ind w:firstLine="720"/>
        <w:rPr>
          <w:rFonts w:ascii="Arial" w:eastAsia="Aptos" w:hAnsi="Arial" w:cs="Arial"/>
          <w:i/>
          <w:kern w:val="2"/>
          <w:lang w:val="en-PH"/>
        </w:rPr>
      </w:pPr>
      <w:r w:rsidRPr="008F04E5">
        <w:rPr>
          <w:rFonts w:ascii="Arial" w:eastAsia="Aptos" w:hAnsi="Arial" w:cs="Arial"/>
          <w:i/>
          <w:kern w:val="2"/>
          <w:lang w:val="en-PH"/>
        </w:rPr>
        <w:t xml:space="preserve"> </w:t>
      </w:r>
      <w:r w:rsidRPr="008F04E5">
        <w:rPr>
          <w:rFonts w:ascii="Arial" w:eastAsia="Aptos" w:hAnsi="Arial" w:cs="Arial"/>
          <w:i/>
          <w:kern w:val="2"/>
          <w:lang w:val="en-PH"/>
        </w:rPr>
        <w:tab/>
        <w:t>2.51-3.25 (Agree)</w:t>
      </w:r>
    </w:p>
    <w:p w14:paraId="675A7F08" w14:textId="77777777" w:rsidR="008F04E5" w:rsidRPr="008F04E5" w:rsidRDefault="008F04E5" w:rsidP="008F04E5">
      <w:pPr>
        <w:ind w:left="720" w:firstLine="720"/>
        <w:rPr>
          <w:rFonts w:ascii="Arial" w:eastAsia="Aptos" w:hAnsi="Arial" w:cs="Arial"/>
          <w:i/>
          <w:kern w:val="2"/>
          <w:lang w:val="en-PH"/>
        </w:rPr>
      </w:pPr>
      <w:r w:rsidRPr="008F04E5">
        <w:rPr>
          <w:rFonts w:ascii="Arial" w:eastAsia="Aptos" w:hAnsi="Arial" w:cs="Arial"/>
          <w:i/>
          <w:kern w:val="2"/>
          <w:lang w:val="en-PH"/>
        </w:rPr>
        <w:t>1.76-2.50 (Disagree)</w:t>
      </w:r>
    </w:p>
    <w:p w14:paraId="15C83C09" w14:textId="77777777" w:rsidR="008F04E5" w:rsidRPr="008F04E5" w:rsidRDefault="008F04E5" w:rsidP="008F04E5">
      <w:pPr>
        <w:ind w:left="720" w:firstLine="720"/>
        <w:rPr>
          <w:rFonts w:ascii="Arial" w:eastAsia="Aptos" w:hAnsi="Arial" w:cs="Arial"/>
          <w:i/>
          <w:kern w:val="2"/>
          <w:lang w:val="en-PH"/>
        </w:rPr>
      </w:pPr>
      <w:r w:rsidRPr="008F04E5">
        <w:rPr>
          <w:rFonts w:ascii="Arial" w:eastAsia="Aptos" w:hAnsi="Arial" w:cs="Arial"/>
          <w:i/>
          <w:kern w:val="2"/>
          <w:lang w:val="en-PH"/>
        </w:rPr>
        <w:t>1.00-1.75 (Strongly Disagree)</w:t>
      </w:r>
    </w:p>
    <w:p w14:paraId="3DB3EED9" w14:textId="77777777" w:rsidR="008F04E5" w:rsidRPr="008F04E5" w:rsidRDefault="008F04E5" w:rsidP="008F04E5">
      <w:pPr>
        <w:rPr>
          <w:rFonts w:ascii="Arial" w:eastAsia="Aptos" w:hAnsi="Arial" w:cs="Arial"/>
          <w:kern w:val="2"/>
          <w:lang w:val="en-PH"/>
        </w:rPr>
      </w:pPr>
    </w:p>
    <w:p w14:paraId="3ADEE2E8" w14:textId="77777777" w:rsidR="008F04E5" w:rsidRPr="008F04E5" w:rsidRDefault="008F04E5" w:rsidP="008F04E5">
      <w:pPr>
        <w:spacing w:line="360" w:lineRule="auto"/>
        <w:rPr>
          <w:rFonts w:ascii="Arial" w:eastAsia="Aptos" w:hAnsi="Arial" w:cs="Arial"/>
          <w:b/>
          <w:bCs/>
          <w:kern w:val="2"/>
          <w:sz w:val="22"/>
          <w:lang w:val="en-PH"/>
        </w:rPr>
      </w:pPr>
      <w:r w:rsidRPr="008F04E5">
        <w:rPr>
          <w:rFonts w:ascii="Arial" w:eastAsia="Aptos" w:hAnsi="Arial" w:cs="Arial"/>
          <w:b/>
          <w:bCs/>
          <w:kern w:val="2"/>
          <w:sz w:val="22"/>
          <w:lang w:val="en-PH"/>
        </w:rPr>
        <w:t>3.1 Dimension I: Informational Support</w:t>
      </w:r>
    </w:p>
    <w:p w14:paraId="13B3C396"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As shown in Table 1, respondents generally agreed that peer support played a significant role in enhancing their sewing skills. Among the four dimensions, Informational Support obtained the highest mean (M=3.26), indicating that students most strongly valued the exchange of information, tips, and techniques among peers. This suggests that knowledge sharing and peer demonstrations were the most influential forms of support in improving sewing performance.</w:t>
      </w:r>
    </w:p>
    <w:p w14:paraId="72631B25"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 xml:space="preserve">In support to the findings of this study, a research conducted by </w:t>
      </w:r>
      <w:proofErr w:type="spellStart"/>
      <w:r w:rsidRPr="008F04E5">
        <w:rPr>
          <w:rFonts w:ascii="Arial" w:eastAsia="Aptos" w:hAnsi="Arial" w:cs="Arial"/>
          <w:lang w:val="en-PH"/>
        </w:rPr>
        <w:t>Shodeinde</w:t>
      </w:r>
      <w:proofErr w:type="spellEnd"/>
      <w:r w:rsidRPr="008F04E5">
        <w:rPr>
          <w:rFonts w:ascii="Arial" w:eastAsia="Aptos" w:hAnsi="Arial" w:cs="Arial"/>
          <w:lang w:val="en-PH"/>
        </w:rPr>
        <w:t xml:space="preserve"> and </w:t>
      </w:r>
      <w:proofErr w:type="spellStart"/>
      <w:r w:rsidRPr="008F04E5">
        <w:rPr>
          <w:rFonts w:ascii="Arial" w:eastAsia="Aptos" w:hAnsi="Arial" w:cs="Arial"/>
          <w:lang w:val="en-PH"/>
        </w:rPr>
        <w:t>Bolatito</w:t>
      </w:r>
      <w:proofErr w:type="spellEnd"/>
      <w:r w:rsidRPr="008F04E5">
        <w:rPr>
          <w:rFonts w:ascii="Arial" w:eastAsia="Aptos" w:hAnsi="Arial" w:cs="Arial"/>
          <w:lang w:val="en-PH"/>
        </w:rPr>
        <w:t xml:space="preserve"> (2023) established that self-efficacy had a positive impact on learning behavior among electrical and electronics technology education students, which underlines the importance of peer support in boosting motivation and engagement. By analogy, Maulana and </w:t>
      </w:r>
      <w:proofErr w:type="spellStart"/>
      <w:r w:rsidRPr="008F04E5">
        <w:rPr>
          <w:rFonts w:ascii="Arial" w:eastAsia="Aptos" w:hAnsi="Arial" w:cs="Arial"/>
          <w:lang w:val="en-PH"/>
        </w:rPr>
        <w:t>Wrahatnolo</w:t>
      </w:r>
      <w:proofErr w:type="spellEnd"/>
      <w:r w:rsidRPr="008F04E5">
        <w:rPr>
          <w:rFonts w:ascii="Arial" w:eastAsia="Aptos" w:hAnsi="Arial" w:cs="Arial"/>
          <w:lang w:val="en-PH"/>
        </w:rPr>
        <w:t xml:space="preserve"> (2024) underscored the importance of industrial internship experience and self-efficacy in shaping work readiness among industrial electrical engineering students, which indicates that peer support may help develop skills and readiness for professional demands.</w:t>
      </w:r>
    </w:p>
    <w:p w14:paraId="5F15497C"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In addition, Nabilah and Ulya (2025) illustrated that self-efficacy had a significant influence on work readiness among students in vocational high schools, with a coefficient of determination being 0.598, implying that self-efficacy accounted for 59.8% of work readiness. The implication is that self-efficacy, most likely boosted by peer support, plays a crucial factor in the preparation of students to work in technical sectors.</w:t>
      </w:r>
    </w:p>
    <w:p w14:paraId="4EB0FB61"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Taken together, these studies underscore the complex function of peer support in preparing students' competence and confidence for professional tasks. Through a supportive peer network, learning programs are able to influence significantly students' motivation, self-efficacy, and competence development.</w:t>
      </w:r>
    </w:p>
    <w:p w14:paraId="76A89033" w14:textId="77777777" w:rsidR="008F04E5" w:rsidRPr="008F04E5" w:rsidRDefault="008F04E5" w:rsidP="008F04E5">
      <w:pPr>
        <w:spacing w:line="360" w:lineRule="auto"/>
        <w:rPr>
          <w:rFonts w:ascii="Arial" w:eastAsia="Aptos" w:hAnsi="Arial" w:cs="Arial"/>
          <w:b/>
          <w:bCs/>
          <w:kern w:val="2"/>
          <w:sz w:val="22"/>
          <w:lang w:val="en-PH"/>
        </w:rPr>
      </w:pPr>
      <w:r w:rsidRPr="008F04E5">
        <w:rPr>
          <w:rFonts w:ascii="Arial" w:eastAsia="Aptos" w:hAnsi="Arial" w:cs="Arial"/>
          <w:b/>
          <w:bCs/>
          <w:kern w:val="2"/>
          <w:sz w:val="22"/>
          <w:lang w:val="en-PH"/>
        </w:rPr>
        <w:lastRenderedPageBreak/>
        <w:t>3.2 Dimension II: Emotional Support</w:t>
      </w:r>
    </w:p>
    <w:p w14:paraId="3BB0FE2C"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Emotional Support followed with a mean of 3.04, showing that students felt emotionally encouraged by their peers, which helped reduce anxiety and promote persistence during sewing tasks. In relation to the findings of this study, one of the few longitudinal studies of U.S. college students (N = 251), participants were found to have higher academic competence later when they had greater felt support from peers at a starting measurement point. Whereas peer support was not a strong predictor of future anxiety in that sample, the positive relationship with competence is interesting—one that implies that emotional and peer support could contribute to students' perceptions of their abilities in academic matters (academic self-efficacy), which in turn can affect persistence (Feng &amp; Zhang, 2022). This confirms the finding by illustrating how a feeling of support from peers (including emotional support) can support students' confidence and sustained participation (which is a kind of persistence) in their assignments.</w:t>
      </w:r>
    </w:p>
    <w:p w14:paraId="1013AB63"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Similarly, a study in Hong Kong during the COVID-19 pandemic (N=255) revealed that perceived peer support was negatively correlated with depressive symptoms, and this correlation was mediated by emotional-well-being measures (loneliness, positive affect, hope). That is, when students believed they had emotional support from peers, their emotional health enhanced and adverse effects like depression or anxiety reduced. This corresponds with your understanding that peer emotional support reduces anxiety in learning environments such as sewing (IJERPH, 2020).</w:t>
      </w:r>
    </w:p>
    <w:p w14:paraId="5DA2C0CA"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Another research on upper-secondary students investigated the ways in which peer study support (which encompasses emotional support) helped yield sense of relatedness and study engagement. The results showed that students reported higher study activity and a sense of belonging when they felt supported by peers (SPE, 2024). Although this study does not tackle anxiety per se, the connection from peer support to engagement (persistence) is on point. This study’s conclusive findings that emotional support from peers promotes persistence in sewing activity is thus validated by this general evidence.</w:t>
      </w:r>
    </w:p>
    <w:p w14:paraId="47CAFEB1" w14:textId="77777777" w:rsidR="008F04E5" w:rsidRPr="008F04E5" w:rsidRDefault="008F04E5" w:rsidP="008F04E5">
      <w:pPr>
        <w:spacing w:line="360" w:lineRule="auto"/>
        <w:rPr>
          <w:rFonts w:ascii="Arial" w:eastAsia="Aptos" w:hAnsi="Arial" w:cs="Arial"/>
          <w:b/>
          <w:bCs/>
          <w:kern w:val="2"/>
          <w:sz w:val="22"/>
          <w:lang w:val="en-PH"/>
        </w:rPr>
      </w:pPr>
      <w:r w:rsidRPr="008F04E5">
        <w:rPr>
          <w:rFonts w:ascii="Arial" w:eastAsia="Aptos" w:hAnsi="Arial" w:cs="Arial"/>
          <w:b/>
          <w:bCs/>
          <w:kern w:val="2"/>
          <w:sz w:val="22"/>
          <w:lang w:val="en-PH"/>
        </w:rPr>
        <w:t>3.3 Dimension III: Instrumental Support</w:t>
      </w:r>
    </w:p>
    <w:p w14:paraId="5199A910"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Instrumental support also received mean score of 3.00, signifying that respondents also acknowledge that practical and motivational assistance of their classmates during sewing activities could be of help in elevating their skills in the field.</w:t>
      </w:r>
    </w:p>
    <w:p w14:paraId="0EF79FB6"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In a study in corroboration with the findings of this study on Chinese higher vocational college students, The Relationship Between Perceived Peer Support and Academic Adjustment among Higher Vocational College Students (Zhu et al., 2025) discovered that instrumental types of peer support—like the provision of methods of working, help with academic procedures, and delivering hands-on, practical assistance—were significantly associated with better academic adjustment. The authors observe that for vocational students, "instrumental peer support (e.g., academic guidance and experience sharing)" played a pivotal role in their academic progress (p. 15). This confirms your finding that peers' functional help contributes significantly to skill building within a vocational environment.</w:t>
      </w:r>
    </w:p>
    <w:p w14:paraId="4CB6B4E0"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Another research, Peer</w:t>
      </w:r>
      <w:r w:rsidRPr="008F04E5">
        <w:rPr>
          <w:rFonts w:ascii="Cambria Math" w:eastAsia="Aptos" w:hAnsi="Cambria Math" w:cs="Cambria Math"/>
          <w:lang w:val="en-PH"/>
        </w:rPr>
        <w:t>‑</w:t>
      </w:r>
      <w:r w:rsidRPr="008F04E5">
        <w:rPr>
          <w:rFonts w:ascii="Arial" w:eastAsia="Aptos" w:hAnsi="Arial" w:cs="Arial"/>
          <w:lang w:val="en-PH"/>
        </w:rPr>
        <w:t>Based Collaboration Learning in Vocational Apprenticeships among Students of Civil Engineering Program in Indonesia (</w:t>
      </w:r>
      <w:proofErr w:type="spellStart"/>
      <w:r w:rsidRPr="008F04E5">
        <w:rPr>
          <w:rFonts w:ascii="Arial" w:eastAsia="Aptos" w:hAnsi="Arial" w:cs="Arial"/>
          <w:lang w:val="en-PH"/>
        </w:rPr>
        <w:t>Prameswari</w:t>
      </w:r>
      <w:proofErr w:type="spellEnd"/>
      <w:r w:rsidRPr="008F04E5">
        <w:rPr>
          <w:rFonts w:ascii="Arial" w:eastAsia="Aptos" w:hAnsi="Arial" w:cs="Arial"/>
          <w:lang w:val="en-PH"/>
        </w:rPr>
        <w:t xml:space="preserve"> et al., 2025) examined vocational-apprenticeship environments and explained how collaborative students passed tools around, showed each other techniques, and provided peer-based task support. Such instrumental peer support not just enhanced technical proficiency, but also fostered </w:t>
      </w:r>
      <w:r w:rsidRPr="008F04E5">
        <w:rPr>
          <w:rFonts w:ascii="Arial" w:eastAsia="Aptos" w:hAnsi="Arial" w:cs="Arial"/>
          <w:lang w:val="en-PH"/>
        </w:rPr>
        <w:lastRenderedPageBreak/>
        <w:t>increased persistence and self-confidence in practical learning environments, which corresponds to your framing of the sewing skills situation.</w:t>
      </w:r>
    </w:p>
    <w:p w14:paraId="1845D237"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In addition, a research Feedback Methods in Vocational Education and Training for Supporting Students with Learning Disabilities/Difficulties (</w:t>
      </w:r>
      <w:proofErr w:type="spellStart"/>
      <w:r w:rsidRPr="008F04E5">
        <w:rPr>
          <w:rFonts w:ascii="Arial" w:eastAsia="Aptos" w:hAnsi="Arial" w:cs="Arial"/>
          <w:lang w:val="en-PH"/>
        </w:rPr>
        <w:t>Karkkulainen</w:t>
      </w:r>
      <w:proofErr w:type="spellEnd"/>
      <w:r w:rsidRPr="008F04E5">
        <w:rPr>
          <w:rFonts w:ascii="Arial" w:eastAsia="Aptos" w:hAnsi="Arial" w:cs="Arial"/>
          <w:lang w:val="en-PH"/>
        </w:rPr>
        <w:t xml:space="preserve"> et al., 2023) indicated that action aid—peer and teacher support in workshops, labs, and hands-on activities—was seen by students as helpful, encouraging, and leading to enhanced performance. Though the subject of this research was students with learning problems, the idea that concrete support (instrumental assistance) increases participation and performance is generalizable to vocational skills environments such as sewing.</w:t>
      </w:r>
    </w:p>
    <w:p w14:paraId="499E3D7B" w14:textId="77777777" w:rsidR="008F04E5" w:rsidRPr="008F04E5" w:rsidRDefault="008F04E5" w:rsidP="008F04E5">
      <w:pPr>
        <w:spacing w:line="360" w:lineRule="auto"/>
        <w:rPr>
          <w:rFonts w:ascii="Arial" w:eastAsia="Aptos" w:hAnsi="Arial" w:cs="Arial"/>
          <w:b/>
          <w:bCs/>
          <w:kern w:val="2"/>
          <w:sz w:val="22"/>
          <w:lang w:val="en-PH"/>
        </w:rPr>
      </w:pPr>
      <w:r w:rsidRPr="008F04E5">
        <w:rPr>
          <w:rFonts w:ascii="Arial" w:eastAsia="Aptos" w:hAnsi="Arial" w:cs="Arial"/>
          <w:b/>
          <w:bCs/>
          <w:kern w:val="2"/>
          <w:sz w:val="22"/>
          <w:lang w:val="en-PH"/>
        </w:rPr>
        <w:t>3.4 Dimension IV: Motivational Support</w:t>
      </w:r>
    </w:p>
    <w:p w14:paraId="56A965AF"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Lastly, motivational support also received a mean score of 3.00 which means that students agree that the level of motivation their peers give to their fellow peers make them feel at ease in accomplishing tasks at hand.</w:t>
      </w:r>
    </w:p>
    <w:p w14:paraId="3BAEC7C9"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In a research titled "Peer Social Support Enhances a Student's Motivation to Engage in Studying" by Hayati, Zukri and Ismail (2022), Indonesian ninth-grade students were asked questions regarding the relationship of peer social support with motivation to learn. The researchers established a strong positive correlation: as students indicated greater levels of peer support, their motivation to participate in learning activities was greater. This substantiates the theory that motivational support from fellow students—like fellow students providing positive feedback, support, and revealing their own goals—is significant in developing student motivation, including in the higher education.</w:t>
      </w:r>
    </w:p>
    <w:p w14:paraId="3B33425C"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 xml:space="preserve">Another applicable study, "The Relationship Between Peer Support, Academic Self-Efficacy and Motivation to Learn Mathematics" by </w:t>
      </w:r>
      <w:proofErr w:type="spellStart"/>
      <w:r w:rsidRPr="008F04E5">
        <w:rPr>
          <w:rFonts w:ascii="Arial" w:eastAsia="Aptos" w:hAnsi="Arial" w:cs="Arial"/>
          <w:lang w:val="en-PH"/>
        </w:rPr>
        <w:t>Waliyati</w:t>
      </w:r>
      <w:proofErr w:type="spellEnd"/>
      <w:r w:rsidRPr="008F04E5">
        <w:rPr>
          <w:rFonts w:ascii="Arial" w:eastAsia="Aptos" w:hAnsi="Arial" w:cs="Arial"/>
          <w:lang w:val="en-PH"/>
        </w:rPr>
        <w:t xml:space="preserve"> (2022), investigated high school students' peer social support and self-efficacy. They discovered peer support directly and positively influences students' motivation to learn. While the study is in a math rather than vocational/trade skill situation, the mechanism is similar: peer support and encouragement raise the motivation of students to continue working in a subject matter, similar to college students as per findings of this study.</w:t>
      </w:r>
    </w:p>
    <w:p w14:paraId="3885A32E"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In addition, an extensive vocational student study in China, "The Relationship Between Perceived Peer Support and Academic Adjustment Among Higher Vocational College Students", discovered perceived peer support, including motivational support, played a role in academic adjustment by promoting students' hope, professional identity, and motivation. This emphasizes peer motivation support in enhancing motivation for students to continue learning tasks and overcoming obstacles, which your interpretation coincides with on sewing tasks.</w:t>
      </w:r>
    </w:p>
    <w:p w14:paraId="79D1FACB" w14:textId="77777777" w:rsidR="008F04E5" w:rsidRPr="008F04E5" w:rsidRDefault="008F04E5" w:rsidP="008F04E5">
      <w:pPr>
        <w:spacing w:after="160" w:line="259" w:lineRule="auto"/>
        <w:jc w:val="both"/>
        <w:rPr>
          <w:rFonts w:ascii="Arial" w:eastAsia="Aptos" w:hAnsi="Arial" w:cs="Arial"/>
          <w:lang w:val="en-PH"/>
        </w:rPr>
      </w:pPr>
      <w:r w:rsidRPr="008F04E5">
        <w:rPr>
          <w:rFonts w:ascii="Arial" w:eastAsia="Aptos" w:hAnsi="Arial" w:cs="Arial"/>
          <w:lang w:val="en-PH"/>
        </w:rPr>
        <w:t>The overall mean of 3.08 falls within the Agree range, implying that the respondents perceived a generally positive and functional peer support system in their sewing laboratory classes. This indicates that peer relationships within the laboratory setting contribute favorably to both technical learning and emotional well-being among Garments Technology students.</w:t>
      </w:r>
    </w:p>
    <w:p w14:paraId="078F2AD8" w14:textId="77777777" w:rsidR="008F04E5" w:rsidRPr="008F04E5" w:rsidRDefault="008F04E5" w:rsidP="008F04E5">
      <w:pPr>
        <w:spacing w:after="240" w:line="259" w:lineRule="auto"/>
        <w:jc w:val="both"/>
        <w:rPr>
          <w:rFonts w:ascii="Arial" w:hAnsi="Arial" w:cs="Arial"/>
        </w:rPr>
      </w:pPr>
      <w:r w:rsidRPr="008F04E5">
        <w:rPr>
          <w:rFonts w:ascii="Arial" w:hAnsi="Arial" w:cs="Arial"/>
        </w:rPr>
        <w:t xml:space="preserve">Peer support plays a crucial role in improving sewing skills among Garments Technology students by facilitating skill improvement through shared learning and practice, offering motivation and emotional support to sustain engagement, improving collaboration, communication, and peer feedback within laboratory settings, encouraging observational </w:t>
      </w:r>
      <w:r w:rsidRPr="008F04E5">
        <w:rPr>
          <w:rFonts w:ascii="Arial" w:hAnsi="Arial" w:cs="Arial"/>
        </w:rPr>
        <w:lastRenderedPageBreak/>
        <w:t xml:space="preserve">and experiential learning that speeds up skill acquisition, and fostering social bonds and a supportive learning environment that boosts confidence and lowers anxiety, according to the overall impact of having a peer support system. </w:t>
      </w:r>
    </w:p>
    <w:p w14:paraId="1A6B65EE" w14:textId="77777777" w:rsidR="008F04E5" w:rsidRPr="008F04E5" w:rsidRDefault="008F04E5" w:rsidP="008F04E5">
      <w:pPr>
        <w:jc w:val="both"/>
        <w:rPr>
          <w:rFonts w:ascii="Arial" w:eastAsia="Aptos" w:hAnsi="Arial" w:cs="Arial"/>
          <w:kern w:val="2"/>
          <w:lang w:val="en-PH"/>
        </w:rPr>
      </w:pPr>
      <w:r w:rsidRPr="008F04E5">
        <w:rPr>
          <w:rFonts w:ascii="Arial" w:eastAsia="Aptos" w:hAnsi="Arial" w:cs="Arial"/>
          <w:kern w:val="2"/>
          <w:lang w:val="en-PH"/>
        </w:rPr>
        <w:t xml:space="preserve">These findings are strongly supported by existing research: for example, </w:t>
      </w:r>
      <w:proofErr w:type="spellStart"/>
      <w:r w:rsidRPr="008F04E5">
        <w:rPr>
          <w:rFonts w:ascii="Arial" w:eastAsia="Aptos" w:hAnsi="Arial" w:cs="Arial"/>
          <w:kern w:val="2"/>
          <w:lang w:val="en-PH"/>
        </w:rPr>
        <w:t>Irmawan</w:t>
      </w:r>
      <w:proofErr w:type="spellEnd"/>
      <w:r w:rsidRPr="008F04E5">
        <w:rPr>
          <w:rFonts w:ascii="Arial" w:eastAsia="Aptos" w:hAnsi="Arial" w:cs="Arial"/>
          <w:kern w:val="2"/>
          <w:lang w:val="en-PH"/>
        </w:rPr>
        <w:t xml:space="preserve"> (2023) found that peer-tutoring in a vocational school significantly improved students’ knowledge and skills outcomes. In vocational contexts, peer interaction has been shown to contribute to employability via enhanced self-efficacy (</w:t>
      </w:r>
      <w:proofErr w:type="spellStart"/>
      <w:r w:rsidRPr="008F04E5">
        <w:rPr>
          <w:rFonts w:ascii="Arial" w:eastAsia="Aptos" w:hAnsi="Arial" w:cs="Arial"/>
          <w:kern w:val="2"/>
          <w:lang w:val="en-PH"/>
        </w:rPr>
        <w:t>Tentama</w:t>
      </w:r>
      <w:proofErr w:type="spellEnd"/>
      <w:r w:rsidRPr="008F04E5">
        <w:rPr>
          <w:rFonts w:ascii="Arial" w:eastAsia="Aptos" w:hAnsi="Arial" w:cs="Arial"/>
          <w:kern w:val="2"/>
          <w:lang w:val="en-PH"/>
        </w:rPr>
        <w:t xml:space="preserve"> &amp; Nur, 2021). Among higher vocational college students, perceived peer support has been found to directly predict academic adjustment, via pathways of academic hope and professional identity, underscoring the emotional, motivational and identity-forming functions of peer systems (Zhu et al., 2025).</w:t>
      </w:r>
    </w:p>
    <w:p w14:paraId="25321D8D" w14:textId="77777777" w:rsidR="008F04E5" w:rsidRPr="008F04E5" w:rsidRDefault="008F04E5" w:rsidP="008F04E5">
      <w:pPr>
        <w:jc w:val="both"/>
        <w:rPr>
          <w:rFonts w:ascii="Arial" w:eastAsia="Aptos" w:hAnsi="Arial" w:cs="Arial"/>
          <w:kern w:val="2"/>
          <w:lang w:val="en-PH"/>
        </w:rPr>
      </w:pPr>
      <w:r w:rsidRPr="008F04E5">
        <w:rPr>
          <w:rFonts w:ascii="Arial" w:eastAsia="Aptos" w:hAnsi="Arial" w:cs="Arial"/>
          <w:kern w:val="2"/>
          <w:lang w:val="en-PH"/>
        </w:rPr>
        <w:t xml:space="preserve"> </w:t>
      </w:r>
    </w:p>
    <w:p w14:paraId="0EA465A5" w14:textId="77777777" w:rsidR="00502516" w:rsidRPr="008F04E5" w:rsidRDefault="008F04E5" w:rsidP="008F04E5">
      <w:pPr>
        <w:pStyle w:val="Body"/>
        <w:spacing w:after="0"/>
        <w:rPr>
          <w:rFonts w:ascii="Arial" w:hAnsi="Arial" w:cs="Arial"/>
        </w:rPr>
      </w:pPr>
      <w:r w:rsidRPr="008F04E5">
        <w:rPr>
          <w:rFonts w:ascii="Arial" w:hAnsi="Arial" w:cs="Arial"/>
        </w:rPr>
        <w:t>Furthermore, structured peer contact improves knowledge acquisition and teamwork skills, according to research on collaborative learning and joint reflection in vocational students (2019 study). Lastly, a study conducted in 2025 found that peer support helps students in Generation Z feel less anxious and more motivated. Thus, the data from this study provide credence to the idea that a structured peer support system is a crucial element of successful skill development in the sewing lab setting, offering Garments Technology students both cognitive and emotional advantages.</w:t>
      </w:r>
    </w:p>
    <w:p w14:paraId="53DC1FFD" w14:textId="77777777" w:rsidR="00790ADA" w:rsidRPr="00347591" w:rsidRDefault="00790ADA" w:rsidP="00441B6F">
      <w:pPr>
        <w:pStyle w:val="Body"/>
        <w:spacing w:after="0"/>
        <w:rPr>
          <w:rFonts w:ascii="Arial" w:hAnsi="Arial" w:cs="Arial"/>
        </w:rPr>
      </w:pPr>
    </w:p>
    <w:p w14:paraId="3EC41DD4" w14:textId="77777777" w:rsidR="00347591" w:rsidRDefault="00347591" w:rsidP="00441B6F">
      <w:pPr>
        <w:pStyle w:val="ConcHead"/>
        <w:spacing w:after="0"/>
        <w:jc w:val="both"/>
        <w:rPr>
          <w:rFonts w:ascii="Arial" w:hAnsi="Arial" w:cs="Arial"/>
        </w:rPr>
      </w:pPr>
    </w:p>
    <w:p w14:paraId="04B91D9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B0FFF3" w14:textId="77777777" w:rsidR="00790ADA" w:rsidRPr="00FB3A86" w:rsidRDefault="00790ADA" w:rsidP="00441B6F">
      <w:pPr>
        <w:pStyle w:val="ConcHead"/>
        <w:spacing w:after="0"/>
        <w:jc w:val="both"/>
        <w:rPr>
          <w:rFonts w:ascii="Arial" w:hAnsi="Arial" w:cs="Arial"/>
        </w:rPr>
      </w:pPr>
    </w:p>
    <w:p w14:paraId="3D57DBCD" w14:textId="77777777" w:rsidR="008F04E5" w:rsidRPr="008F04E5" w:rsidRDefault="008F04E5" w:rsidP="008F04E5">
      <w:pPr>
        <w:pStyle w:val="Body"/>
        <w:rPr>
          <w:rFonts w:ascii="Arial" w:hAnsi="Arial" w:cs="Arial"/>
        </w:rPr>
      </w:pPr>
      <w:r w:rsidRPr="008F04E5">
        <w:rPr>
          <w:rFonts w:ascii="Arial" w:hAnsi="Arial" w:cs="Arial"/>
        </w:rPr>
        <w:t>The findings of this study reveal that the peer support system plays a vital role in enhancing the sewing competence of Garments Technology students. Among the four dimensions examined, informational support emerged as the most influential factor, highlighting the importance of peer-to-peer knowledge exchange, demonstration, and collaborative problem-solving in skill development. Emotional, instrumental, and motivational supports likewise contributed significantly by fostering confidence, persistence, and engagement during hands-on learning tasks.</w:t>
      </w:r>
    </w:p>
    <w:p w14:paraId="6E982F19" w14:textId="77777777" w:rsidR="008F04E5" w:rsidRPr="008F04E5" w:rsidRDefault="008F04E5" w:rsidP="008F04E5">
      <w:pPr>
        <w:pStyle w:val="Body"/>
        <w:rPr>
          <w:rFonts w:ascii="Arial" w:hAnsi="Arial" w:cs="Arial"/>
        </w:rPr>
      </w:pPr>
      <w:r w:rsidRPr="008F04E5">
        <w:rPr>
          <w:rFonts w:ascii="Arial" w:hAnsi="Arial" w:cs="Arial"/>
        </w:rPr>
        <w:t>Overall, the positive perception of peer support (M=3.08) underscores that a cooperative learning environment enriches both technical proficiency and emotional well-being. Peer interactions not only facilitate skill acquisition but also cultivate self-efficacy, motivation, and a sense of belonging—factors essential to sustained learning and professional readiness in vocational contexts.</w:t>
      </w:r>
    </w:p>
    <w:p w14:paraId="5F53B3F0" w14:textId="77777777" w:rsidR="00B01FCD" w:rsidRDefault="008F04E5" w:rsidP="008F04E5">
      <w:pPr>
        <w:pStyle w:val="Body"/>
        <w:spacing w:after="0"/>
        <w:rPr>
          <w:rFonts w:ascii="Arial" w:hAnsi="Arial" w:cs="Arial"/>
        </w:rPr>
      </w:pPr>
      <w:r w:rsidRPr="008F04E5">
        <w:rPr>
          <w:rFonts w:ascii="Arial" w:hAnsi="Arial" w:cs="Arial"/>
        </w:rPr>
        <w:t>These results affirm the value of structured peer support mechanisms within technical and vocational education programs. Integrating such systems into instructional design may further enhance students’ competence, collaboration, and readiness for real-world garment production tasks. Future studies may explore longitudinal effects of peer support or extend this inquiry to other areas of vocational training to strengthen evidence for peer-based pedagogies</w:t>
      </w:r>
      <w:r w:rsidR="00347591">
        <w:rPr>
          <w:rFonts w:ascii="Arial" w:hAnsi="Arial" w:cs="Arial"/>
        </w:rPr>
        <w:t>.</w:t>
      </w:r>
    </w:p>
    <w:p w14:paraId="292AE0B8" w14:textId="77777777" w:rsidR="00790ADA" w:rsidRPr="00FB3A86" w:rsidRDefault="00790ADA" w:rsidP="00441B6F">
      <w:pPr>
        <w:pStyle w:val="Body"/>
        <w:spacing w:after="0"/>
        <w:rPr>
          <w:rFonts w:ascii="Arial" w:hAnsi="Arial" w:cs="Arial"/>
        </w:rPr>
      </w:pPr>
    </w:p>
    <w:p w14:paraId="267DF417" w14:textId="77777777" w:rsidR="008F04E5" w:rsidRPr="002C1C0D" w:rsidRDefault="008F04E5" w:rsidP="002C1C0D">
      <w:pPr>
        <w:pStyle w:val="Body"/>
        <w:spacing w:after="0"/>
        <w:rPr>
          <w:rFonts w:ascii="Arial" w:hAnsi="Arial" w:cs="Arial"/>
        </w:rPr>
      </w:pPr>
    </w:p>
    <w:p w14:paraId="67A0D1F5" w14:textId="77777777" w:rsidR="002B685A" w:rsidRDefault="002B685A" w:rsidP="00441B6F">
      <w:pPr>
        <w:pStyle w:val="ReferHead"/>
        <w:spacing w:after="0"/>
        <w:jc w:val="both"/>
        <w:rPr>
          <w:rFonts w:ascii="Arial" w:hAnsi="Arial" w:cs="Arial"/>
          <w:b w:val="0"/>
          <w:caps w:val="0"/>
          <w:sz w:val="20"/>
        </w:rPr>
      </w:pPr>
    </w:p>
    <w:p w14:paraId="1FA38BEF"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603C00D3" w14:textId="77777777" w:rsidR="002B685A" w:rsidRPr="002B685A" w:rsidRDefault="002B685A" w:rsidP="00441B6F">
      <w:pPr>
        <w:pStyle w:val="ReferHead"/>
        <w:spacing w:after="0"/>
        <w:jc w:val="both"/>
        <w:rPr>
          <w:rFonts w:ascii="Arial" w:hAnsi="Arial" w:cs="Arial"/>
          <w:bCs/>
        </w:rPr>
      </w:pPr>
    </w:p>
    <w:p w14:paraId="78F896E9" w14:textId="77777777" w:rsidR="005C784C" w:rsidRDefault="008F04E5" w:rsidP="00441B6F">
      <w:pPr>
        <w:pStyle w:val="ReferHead"/>
        <w:spacing w:after="0"/>
        <w:jc w:val="both"/>
        <w:rPr>
          <w:rFonts w:ascii="Arial" w:hAnsi="Arial" w:cs="Arial"/>
          <w:b w:val="0"/>
          <w:caps w:val="0"/>
          <w:sz w:val="20"/>
        </w:rPr>
      </w:pPr>
      <w:r w:rsidRPr="008F04E5">
        <w:rPr>
          <w:rFonts w:ascii="Arial" w:hAnsi="Arial" w:cs="Arial"/>
          <w:b w:val="0"/>
          <w:caps w:val="0"/>
          <w:sz w:val="20"/>
        </w:rPr>
        <w:t>The authors confirm that written informed consent was obtained from all respondents prior to their participation in the study. All procedures adhered to the university’s ethical guidelines and the international standards for Free, Prior, and Informed Consent (FPIC).</w:t>
      </w:r>
    </w:p>
    <w:p w14:paraId="73C256F0" w14:textId="77777777" w:rsidR="008F04E5" w:rsidRDefault="008F04E5" w:rsidP="00441B6F">
      <w:pPr>
        <w:pStyle w:val="ReferHead"/>
        <w:spacing w:after="0"/>
        <w:jc w:val="both"/>
        <w:rPr>
          <w:rFonts w:ascii="Arial" w:hAnsi="Arial" w:cs="Arial"/>
          <w:b w:val="0"/>
          <w:caps w:val="0"/>
          <w:sz w:val="20"/>
        </w:rPr>
      </w:pPr>
    </w:p>
    <w:p w14:paraId="018E1D6B" w14:textId="77777777" w:rsidR="005C784C" w:rsidRDefault="002C1C0D" w:rsidP="00441B6F">
      <w:pPr>
        <w:pStyle w:val="ReferHead"/>
        <w:spacing w:after="0"/>
        <w:jc w:val="both"/>
        <w:rPr>
          <w:rFonts w:ascii="Arial" w:hAnsi="Arial" w:cs="Arial"/>
          <w:bCs/>
        </w:rPr>
      </w:pPr>
      <w:r>
        <w:rPr>
          <w:rFonts w:ascii="Arial" w:hAnsi="Arial" w:cs="Arial"/>
          <w:bCs/>
        </w:rPr>
        <w:t>Ethical approval</w:t>
      </w:r>
    </w:p>
    <w:p w14:paraId="440B3876" w14:textId="77777777" w:rsidR="005C784C" w:rsidRPr="002B685A" w:rsidRDefault="005C784C" w:rsidP="00441B6F">
      <w:pPr>
        <w:pStyle w:val="ReferHead"/>
        <w:spacing w:after="0"/>
        <w:jc w:val="both"/>
        <w:rPr>
          <w:rFonts w:ascii="Arial" w:hAnsi="Arial" w:cs="Arial"/>
          <w:bCs/>
        </w:rPr>
      </w:pPr>
    </w:p>
    <w:p w14:paraId="7D81CF3F" w14:textId="77777777" w:rsidR="0041027F" w:rsidRDefault="00EA03EF" w:rsidP="00441B6F">
      <w:pPr>
        <w:pStyle w:val="ReferHead"/>
        <w:spacing w:after="0"/>
        <w:jc w:val="both"/>
        <w:rPr>
          <w:rFonts w:ascii="Arial" w:hAnsi="Arial" w:cs="Arial"/>
          <w:b w:val="0"/>
          <w:caps w:val="0"/>
          <w:sz w:val="20"/>
        </w:rPr>
      </w:pPr>
      <w:r w:rsidRPr="00EA03EF">
        <w:rPr>
          <w:rFonts w:ascii="Arial" w:hAnsi="Arial" w:cs="Arial"/>
          <w:b w:val="0"/>
          <w:caps w:val="0"/>
          <w:sz w:val="20"/>
        </w:rPr>
        <w:t>This study obtained ethical clearance from a reputable university prior to its commencement. The authors affirm that the research was conducted in accordance with the ethical standards outlined in the 1964 Declaration of Helsinki and its subsequent amendments.</w:t>
      </w:r>
    </w:p>
    <w:p w14:paraId="715987F1" w14:textId="77777777" w:rsidR="008945C3" w:rsidRDefault="008945C3" w:rsidP="00441B6F">
      <w:pPr>
        <w:pStyle w:val="ReferHead"/>
        <w:spacing w:after="0"/>
        <w:jc w:val="both"/>
        <w:rPr>
          <w:rFonts w:ascii="Arial" w:hAnsi="Arial" w:cs="Arial"/>
          <w:b w:val="0"/>
          <w:caps w:val="0"/>
          <w:sz w:val="20"/>
        </w:rPr>
      </w:pPr>
    </w:p>
    <w:p w14:paraId="4D0B0B8B" w14:textId="77777777" w:rsidR="008945C3" w:rsidRPr="008945C3" w:rsidRDefault="008945C3" w:rsidP="008945C3">
      <w:pPr>
        <w:pStyle w:val="ReferHead"/>
        <w:jc w:val="both"/>
        <w:rPr>
          <w:rFonts w:ascii="Arial" w:hAnsi="Arial" w:cs="Arial"/>
          <w:b w:val="0"/>
          <w:caps w:val="0"/>
          <w:sz w:val="20"/>
        </w:rPr>
      </w:pPr>
      <w:r w:rsidRPr="008945C3">
        <w:rPr>
          <w:rFonts w:ascii="Arial" w:hAnsi="Arial" w:cs="Arial"/>
          <w:b w:val="0"/>
          <w:caps w:val="0"/>
          <w:sz w:val="20"/>
        </w:rPr>
        <w:t>COMPETING INTERESTS DISCLAIMER:</w:t>
      </w:r>
    </w:p>
    <w:p w14:paraId="2FC78FE8" w14:textId="3BC6AC36" w:rsidR="008945C3" w:rsidRPr="002C1C0D" w:rsidRDefault="008945C3" w:rsidP="008945C3">
      <w:pPr>
        <w:pStyle w:val="ReferHead"/>
        <w:spacing w:after="0"/>
        <w:jc w:val="both"/>
        <w:rPr>
          <w:rFonts w:ascii="Arial" w:hAnsi="Arial" w:cs="Arial"/>
          <w:b w:val="0"/>
          <w:caps w:val="0"/>
          <w:sz w:val="20"/>
        </w:rPr>
      </w:pPr>
      <w:r w:rsidRPr="008945C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7F89B05" w14:textId="77777777" w:rsidR="00860000" w:rsidRDefault="00860000" w:rsidP="00441B6F">
      <w:pPr>
        <w:pStyle w:val="ReferHead"/>
        <w:spacing w:after="0"/>
        <w:jc w:val="both"/>
        <w:rPr>
          <w:rFonts w:ascii="Arial" w:hAnsi="Arial" w:cs="Arial"/>
        </w:rPr>
      </w:pPr>
    </w:p>
    <w:p w14:paraId="176007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1910FA" w14:textId="77777777" w:rsidR="00790ADA" w:rsidRPr="00FB3A86" w:rsidRDefault="00790ADA" w:rsidP="00441B6F">
      <w:pPr>
        <w:pStyle w:val="ReferHead"/>
        <w:spacing w:after="0"/>
        <w:jc w:val="both"/>
        <w:rPr>
          <w:rFonts w:ascii="Arial" w:hAnsi="Arial" w:cs="Arial"/>
        </w:rPr>
      </w:pPr>
    </w:p>
    <w:p w14:paraId="0EAD332C"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Asuncion, J. M., Velasco, R. M., &amp; Dela Cruz, C. (2023). Skill mismatch and employability in the Philippine technical-vocational education sector. </w:t>
      </w:r>
      <w:proofErr w:type="spellStart"/>
      <w:r w:rsidRPr="00EA03EF">
        <w:rPr>
          <w:rFonts w:ascii="Arial" w:eastAsia="Aptos" w:hAnsi="Arial" w:cs="Arial"/>
          <w:kern w:val="2"/>
          <w:lang w:val="en-PH"/>
        </w:rPr>
        <w:t>Heliyon</w:t>
      </w:r>
      <w:proofErr w:type="spellEnd"/>
      <w:r w:rsidRPr="00EA03EF">
        <w:rPr>
          <w:rFonts w:ascii="Arial" w:eastAsia="Aptos" w:hAnsi="Arial" w:cs="Arial"/>
          <w:kern w:val="2"/>
          <w:lang w:val="en-PH"/>
        </w:rPr>
        <w:t>, 9(12), e20641. https://doi.org/10.1016/j.heliyon.2023.e20641</w:t>
      </w:r>
    </w:p>
    <w:p w14:paraId="2590C520"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Baliclic</w:t>
      </w:r>
      <w:proofErr w:type="spellEnd"/>
      <w:r w:rsidRPr="00EA03EF">
        <w:rPr>
          <w:rFonts w:ascii="Arial" w:eastAsia="Aptos" w:hAnsi="Arial" w:cs="Arial"/>
          <w:kern w:val="2"/>
          <w:lang w:val="en-PH"/>
        </w:rPr>
        <w:t xml:space="preserve">, R., </w:t>
      </w:r>
      <w:proofErr w:type="spellStart"/>
      <w:r w:rsidRPr="00EA03EF">
        <w:rPr>
          <w:rFonts w:ascii="Arial" w:eastAsia="Aptos" w:hAnsi="Arial" w:cs="Arial"/>
          <w:kern w:val="2"/>
          <w:lang w:val="en-PH"/>
        </w:rPr>
        <w:t>Calaranan</w:t>
      </w:r>
      <w:proofErr w:type="spellEnd"/>
      <w:r w:rsidRPr="00EA03EF">
        <w:rPr>
          <w:rFonts w:ascii="Arial" w:eastAsia="Aptos" w:hAnsi="Arial" w:cs="Arial"/>
          <w:kern w:val="2"/>
          <w:lang w:val="en-PH"/>
        </w:rPr>
        <w:t>, J. E., &amp; Rabago, A. M. (2024). Collaborative learning strategies in garments technology and their impact on student performance. Journal of Education and Training, 11(2), 45–58. https://doi.org/10.5296/jet.v11i2.22520</w:t>
      </w:r>
    </w:p>
    <w:p w14:paraId="3DE7218F"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Calaranan</w:t>
      </w:r>
      <w:proofErr w:type="spellEnd"/>
      <w:r w:rsidRPr="00EA03EF">
        <w:rPr>
          <w:rFonts w:ascii="Arial" w:eastAsia="Aptos" w:hAnsi="Arial" w:cs="Arial"/>
          <w:kern w:val="2"/>
          <w:lang w:val="en-PH"/>
        </w:rPr>
        <w:t>, J. E., &amp; Corpuz, A. (2023). Enhancing learning outcomes in garments trade: A needs-based development of Strategic Intervention Materials (SIMs). Asian Journal of Education and Social Studies, 11(3), 23–35. https://scispace.com/pdf/enhancing-learning-outcomes-in-garments-trade-a-needs-based-3j334bij.pdf</w:t>
      </w:r>
    </w:p>
    <w:p w14:paraId="66FF48FB"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Cooperative Learning in Garments Technology – Dressmaking for Junior High School. (n.d.). ResearchGate. https://www.researchgate.net/publication/387543691_Cooperative_Learning_in_Garments_Technology-Dressmaking_for_Junior_High_School</w:t>
      </w:r>
    </w:p>
    <w:p w14:paraId="6A9FC3CF"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Ereje</w:t>
      </w:r>
      <w:proofErr w:type="spellEnd"/>
      <w:r w:rsidRPr="00EA03EF">
        <w:rPr>
          <w:rFonts w:ascii="Arial" w:eastAsia="Aptos" w:hAnsi="Arial" w:cs="Arial"/>
          <w:kern w:val="2"/>
          <w:lang w:val="en-PH"/>
        </w:rPr>
        <w:t>, R. (2020). Effect of instructional video on the teaching of basic sewing skills among students in vocational education. Globus Journal of Progressive Education, 10(1), 49–58. https://www.globusedujournal.in/wp-content/uploads/2020/05/Raynor-Ereje-GJEJJ20-PP-49-58.pdf</w:t>
      </w:r>
    </w:p>
    <w:p w14:paraId="0E27DB5B"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Feng, F., &amp; Zhang, J. (2022). Perceived teacher support, peer relationship, and university students’ mental health: The mediation of reality and internet altruistic behaviors. Frontiers in Psychology. </w:t>
      </w:r>
    </w:p>
    <w:p w14:paraId="2A16EEE7" w14:textId="77777777" w:rsid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Gonzales, L., &amp; Valencia, M. (2024). Understanding the role of peer support in literacy development in Philippine elementary schools. Philippine Journal of Education Studies, 18(1), 55–68. </w:t>
      </w:r>
      <w:r w:rsidRPr="00EA03EF">
        <w:rPr>
          <w:rFonts w:ascii="Arial" w:eastAsia="Aptos" w:hAnsi="Arial" w:cs="Arial"/>
          <w:kern w:val="2"/>
          <w:lang w:val="en-PH"/>
        </w:rPr>
        <w:lastRenderedPageBreak/>
        <w:t>https://www.researchgate.net/publication/388682354_Understanding_the_Role_of_Peer_Support_in_Literacy_Development_in_Philippine_Elementary_Schools</w:t>
      </w:r>
    </w:p>
    <w:p w14:paraId="4CD7DA46" w14:textId="77777777" w:rsid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Hayati, N., Ismail, M., &amp; Zukri, P. (2022). Peer Social Support Enhances a Student’s Motivation to Engage in Studying. Global Perspectives in Education Journal, 1(1). https://doi.org/10.64008/GPEJ.v1i1.7</w:t>
      </w:r>
    </w:p>
    <w:p w14:paraId="0FDD9EC7" w14:textId="77777777" w:rsid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Improving the quality of vocational students’ collaboration and knowledge acquisition through instruction and joint reflection. (2019). International Journal of Computer-Supported Collaborative Learning, 14, 53–76.</w:t>
      </w:r>
    </w:p>
    <w:p w14:paraId="4420E89F"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Irmawan</w:t>
      </w:r>
      <w:proofErr w:type="spellEnd"/>
      <w:r w:rsidRPr="00EA03EF">
        <w:rPr>
          <w:rFonts w:ascii="Arial" w:eastAsia="Aptos" w:hAnsi="Arial" w:cs="Arial"/>
          <w:kern w:val="2"/>
          <w:lang w:val="en-PH"/>
        </w:rPr>
        <w:t>, F. (2024). Application of peer tutoring to improve the learning outcomes of vocational high school students. Journal of Mechanical Engineering and Vocational Education (JOMEVE), 7(1), 34–42. https://jurnal.uns.ac.id/jomeve/article/view/28674</w:t>
      </w:r>
    </w:p>
    <w:p w14:paraId="3D88FBAC" w14:textId="77777777" w:rsid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Irmawan</w:t>
      </w:r>
      <w:proofErr w:type="spellEnd"/>
      <w:r w:rsidRPr="00EA03EF">
        <w:rPr>
          <w:rFonts w:ascii="Arial" w:eastAsia="Aptos" w:hAnsi="Arial" w:cs="Arial"/>
          <w:kern w:val="2"/>
          <w:lang w:val="en-PH"/>
        </w:rPr>
        <w:t>, S. (2023). Application of peer tutoring learning methods in vocational school students. Journal of Mechanical Engineering and Vocational Education (</w:t>
      </w:r>
      <w:proofErr w:type="spellStart"/>
      <w:r w:rsidRPr="00EA03EF">
        <w:rPr>
          <w:rFonts w:ascii="Arial" w:eastAsia="Aptos" w:hAnsi="Arial" w:cs="Arial"/>
          <w:kern w:val="2"/>
          <w:lang w:val="en-PH"/>
        </w:rPr>
        <w:t>JoMEVE</w:t>
      </w:r>
      <w:proofErr w:type="spellEnd"/>
      <w:r w:rsidRPr="00EA03EF">
        <w:rPr>
          <w:rFonts w:ascii="Arial" w:eastAsia="Aptos" w:hAnsi="Arial" w:cs="Arial"/>
          <w:kern w:val="2"/>
          <w:lang w:val="en-PH"/>
        </w:rPr>
        <w:t>).</w:t>
      </w:r>
    </w:p>
    <w:p w14:paraId="4B2BBC24"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Karkkulainen</w:t>
      </w:r>
      <w:proofErr w:type="spellEnd"/>
      <w:r w:rsidRPr="00EA03EF">
        <w:rPr>
          <w:rFonts w:ascii="Arial" w:eastAsia="Aptos" w:hAnsi="Arial" w:cs="Arial"/>
          <w:kern w:val="2"/>
          <w:lang w:val="en-PH"/>
        </w:rPr>
        <w:t xml:space="preserve">, E., </w:t>
      </w:r>
      <w:proofErr w:type="spellStart"/>
      <w:r w:rsidRPr="00EA03EF">
        <w:rPr>
          <w:rFonts w:ascii="Arial" w:eastAsia="Aptos" w:hAnsi="Arial" w:cs="Arial"/>
          <w:kern w:val="2"/>
          <w:lang w:val="en-PH"/>
        </w:rPr>
        <w:t>Pihlainen</w:t>
      </w:r>
      <w:proofErr w:type="spellEnd"/>
      <w:r w:rsidRPr="00EA03EF">
        <w:rPr>
          <w:rFonts w:ascii="Arial" w:eastAsia="Aptos" w:hAnsi="Arial" w:cs="Arial"/>
          <w:kern w:val="2"/>
          <w:lang w:val="en-PH"/>
        </w:rPr>
        <w:t>, K., &amp; Kärnä, E. (2023). Feedback methods in vocational education and training for supporting students with learning disabilities/difficulties in learning. European Journal of Special Education Research, 9(3), 1-14.</w:t>
      </w:r>
    </w:p>
    <w:p w14:paraId="67DD95EE" w14:textId="77777777" w:rsid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Mag-</w:t>
      </w:r>
      <w:proofErr w:type="spellStart"/>
      <w:r w:rsidRPr="00EA03EF">
        <w:rPr>
          <w:rFonts w:ascii="Arial" w:eastAsia="Aptos" w:hAnsi="Arial" w:cs="Arial"/>
          <w:kern w:val="2"/>
          <w:lang w:val="en-PH"/>
        </w:rPr>
        <w:t>aso</w:t>
      </w:r>
      <w:proofErr w:type="spellEnd"/>
      <w:r w:rsidRPr="00EA03EF">
        <w:rPr>
          <w:rFonts w:ascii="Arial" w:eastAsia="Aptos" w:hAnsi="Arial" w:cs="Arial"/>
          <w:kern w:val="2"/>
          <w:lang w:val="en-PH"/>
        </w:rPr>
        <w:t>, M. R., de Vera, J., &amp; San Juan, L. (2024). Technical and vocational education in the Philippines for sustainable development. Journal of Southeast Asian Education Studies, 9(2), 57–70. https://sea-vet.net/images/seb/e-library/doc_file/1499/57-70technicalvocationaleducationinthephilippinesforsustainabledevelopment-1.pdf</w:t>
      </w:r>
    </w:p>
    <w:p w14:paraId="3ACDB808"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Maulana, M., &amp; </w:t>
      </w:r>
      <w:proofErr w:type="spellStart"/>
      <w:r w:rsidRPr="00EA03EF">
        <w:rPr>
          <w:rFonts w:ascii="Arial" w:eastAsia="Aptos" w:hAnsi="Arial" w:cs="Arial"/>
          <w:kern w:val="2"/>
          <w:lang w:val="en-PH"/>
        </w:rPr>
        <w:t>Wrahatnolo</w:t>
      </w:r>
      <w:proofErr w:type="spellEnd"/>
      <w:r w:rsidRPr="00EA03EF">
        <w:rPr>
          <w:rFonts w:ascii="Arial" w:eastAsia="Aptos" w:hAnsi="Arial" w:cs="Arial"/>
          <w:kern w:val="2"/>
          <w:lang w:val="en-PH"/>
        </w:rPr>
        <w:t>, T. (2024). Influence of industrial internship experience and self-efficacy towards work readiness of industrial electrical engineering students. Journal of Educational Technology Studies and Applied Research. https://doi.org/10.70125/jetsar.v1i1y2024a9</w:t>
      </w:r>
    </w:p>
    <w:p w14:paraId="0119EC51" w14:textId="77777777" w:rsidR="00EA03EF" w:rsidRPr="00EA03EF" w:rsidRDefault="00EA03EF" w:rsidP="00EA03EF">
      <w:pPr>
        <w:spacing w:after="160" w:line="276" w:lineRule="auto"/>
        <w:ind w:left="851" w:hanging="851"/>
        <w:jc w:val="both"/>
        <w:rPr>
          <w:rFonts w:ascii="Arial" w:eastAsia="Aptos" w:hAnsi="Arial" w:cs="Arial"/>
          <w:kern w:val="2"/>
          <w:lang w:val="en-PH"/>
        </w:rPr>
      </w:pPr>
    </w:p>
    <w:p w14:paraId="5A8B97FF" w14:textId="77777777" w:rsid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Nabilah, S., &amp; Ulya, L.L. (2025). Self-efficacy as a predictor of work readiness among vocational high school students. </w:t>
      </w:r>
      <w:proofErr w:type="spellStart"/>
      <w:r w:rsidRPr="00EA03EF">
        <w:rPr>
          <w:rFonts w:ascii="Arial" w:eastAsia="Aptos" w:hAnsi="Arial" w:cs="Arial"/>
          <w:kern w:val="2"/>
          <w:lang w:val="en-PH"/>
        </w:rPr>
        <w:t>Edukasi</w:t>
      </w:r>
      <w:proofErr w:type="spellEnd"/>
      <w:r w:rsidRPr="00EA03EF">
        <w:rPr>
          <w:rFonts w:ascii="Arial" w:eastAsia="Aptos" w:hAnsi="Arial" w:cs="Arial"/>
          <w:kern w:val="2"/>
          <w:lang w:val="en-PH"/>
        </w:rPr>
        <w:t>, 19(1). https://doi.org/10.15294/edukasi.v19i1.29898</w:t>
      </w:r>
    </w:p>
    <w:p w14:paraId="3852F0CC" w14:textId="77777777" w:rsid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Peer support and learning outcomes in “Study </w:t>
      </w:r>
      <w:proofErr w:type="gramStart"/>
      <w:r w:rsidRPr="00EA03EF">
        <w:rPr>
          <w:rFonts w:ascii="Arial" w:eastAsia="Aptos" w:hAnsi="Arial" w:cs="Arial"/>
          <w:kern w:val="2"/>
          <w:lang w:val="en-PH"/>
        </w:rPr>
        <w:t>With</w:t>
      </w:r>
      <w:proofErr w:type="gramEnd"/>
      <w:r w:rsidRPr="00EA03EF">
        <w:rPr>
          <w:rFonts w:ascii="Arial" w:eastAsia="Aptos" w:hAnsi="Arial" w:cs="Arial"/>
          <w:kern w:val="2"/>
          <w:lang w:val="en-PH"/>
        </w:rPr>
        <w:t xml:space="preserve"> Me” among Generation Z college students: mediating roles of motivation, test anxiety, and self-efficacy. (2025). Frontiers in Psychology.</w:t>
      </w:r>
    </w:p>
    <w:p w14:paraId="60EC9B46"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“Peer relationships and study well-being: Upper secondary students’ experiences.” (2024). Social Psychology of Education. </w:t>
      </w:r>
    </w:p>
    <w:p w14:paraId="700DAC1C"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Prameswari</w:t>
      </w:r>
      <w:proofErr w:type="spellEnd"/>
      <w:r w:rsidRPr="00EA03EF">
        <w:rPr>
          <w:rFonts w:ascii="Arial" w:eastAsia="Aptos" w:hAnsi="Arial" w:cs="Arial"/>
          <w:kern w:val="2"/>
          <w:lang w:val="en-PH"/>
        </w:rPr>
        <w:t xml:space="preserve">, R., </w:t>
      </w:r>
      <w:proofErr w:type="spellStart"/>
      <w:r w:rsidRPr="00EA03EF">
        <w:rPr>
          <w:rFonts w:ascii="Arial" w:eastAsia="Aptos" w:hAnsi="Arial" w:cs="Arial"/>
          <w:kern w:val="2"/>
          <w:lang w:val="en-PH"/>
        </w:rPr>
        <w:t>Nadiar</w:t>
      </w:r>
      <w:proofErr w:type="spellEnd"/>
      <w:r w:rsidRPr="00EA03EF">
        <w:rPr>
          <w:rFonts w:ascii="Arial" w:eastAsia="Aptos" w:hAnsi="Arial" w:cs="Arial"/>
          <w:kern w:val="2"/>
          <w:lang w:val="en-PH"/>
        </w:rPr>
        <w:t xml:space="preserve">, F., </w:t>
      </w:r>
      <w:proofErr w:type="spellStart"/>
      <w:r w:rsidRPr="00EA03EF">
        <w:rPr>
          <w:rFonts w:ascii="Arial" w:eastAsia="Aptos" w:hAnsi="Arial" w:cs="Arial"/>
          <w:kern w:val="2"/>
          <w:lang w:val="en-PH"/>
        </w:rPr>
        <w:t>Prasetyono</w:t>
      </w:r>
      <w:proofErr w:type="spellEnd"/>
      <w:r w:rsidRPr="00EA03EF">
        <w:rPr>
          <w:rFonts w:ascii="Arial" w:eastAsia="Aptos" w:hAnsi="Arial" w:cs="Arial"/>
          <w:kern w:val="2"/>
          <w:lang w:val="en-PH"/>
        </w:rPr>
        <w:t xml:space="preserve">, P. N., Dani, H., Zega, B. C., Ikko G., &amp; </w:t>
      </w:r>
      <w:proofErr w:type="spellStart"/>
      <w:r w:rsidRPr="00EA03EF">
        <w:rPr>
          <w:rFonts w:ascii="Arial" w:eastAsia="Aptos" w:hAnsi="Arial" w:cs="Arial"/>
          <w:kern w:val="2"/>
          <w:lang w:val="en-PH"/>
        </w:rPr>
        <w:t>Gustianto</w:t>
      </w:r>
      <w:proofErr w:type="spellEnd"/>
      <w:r w:rsidRPr="00EA03EF">
        <w:rPr>
          <w:rFonts w:ascii="Arial" w:eastAsia="Aptos" w:hAnsi="Arial" w:cs="Arial"/>
          <w:kern w:val="2"/>
          <w:lang w:val="en-PH"/>
        </w:rPr>
        <w:t xml:space="preserve">, F. I. (2025). Peer-based collaboration learning in vocational apprenticeships among students of civil engineering </w:t>
      </w:r>
      <w:proofErr w:type="spellStart"/>
      <w:r w:rsidRPr="00EA03EF">
        <w:rPr>
          <w:rFonts w:ascii="Arial" w:eastAsia="Aptos" w:hAnsi="Arial" w:cs="Arial"/>
          <w:kern w:val="2"/>
          <w:lang w:val="en-PH"/>
        </w:rPr>
        <w:t>programme</w:t>
      </w:r>
      <w:proofErr w:type="spellEnd"/>
      <w:r w:rsidRPr="00EA03EF">
        <w:rPr>
          <w:rFonts w:ascii="Arial" w:eastAsia="Aptos" w:hAnsi="Arial" w:cs="Arial"/>
          <w:kern w:val="2"/>
          <w:lang w:val="en-PH"/>
        </w:rPr>
        <w:t xml:space="preserve"> in Indonesia. Proceedings of the International Joint Conference on Arts and Humanities 2024, Advances in Social Science, Education and Humanities Research 879, 1-8.</w:t>
      </w:r>
    </w:p>
    <w:p w14:paraId="5790ACA6"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lastRenderedPageBreak/>
        <w:t>Selvaretnam</w:t>
      </w:r>
      <w:proofErr w:type="spellEnd"/>
      <w:r w:rsidRPr="00EA03EF">
        <w:rPr>
          <w:rFonts w:ascii="Arial" w:eastAsia="Aptos" w:hAnsi="Arial" w:cs="Arial"/>
          <w:kern w:val="2"/>
          <w:lang w:val="en-PH"/>
        </w:rPr>
        <w:t>, T., Teo, S., &amp; Mulyono, R. (2024). The impact of peer learning on skill development in higher education: A systematic review. Administrative Sciences, 14(9), 231. https://doi.org/10.3390/admsci14090231</w:t>
      </w:r>
    </w:p>
    <w:p w14:paraId="643C4D85"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“Sense of relatedness and study engagement as mediators between students’ peer support and life satisfaction.” (2024). European Journal of Psychology of Education.</w:t>
      </w:r>
    </w:p>
    <w:p w14:paraId="7876D2C3"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Shodeinde</w:t>
      </w:r>
      <w:proofErr w:type="spellEnd"/>
      <w:r w:rsidRPr="00EA03EF">
        <w:rPr>
          <w:rFonts w:ascii="Arial" w:eastAsia="Aptos" w:hAnsi="Arial" w:cs="Arial"/>
          <w:kern w:val="2"/>
          <w:lang w:val="en-PH"/>
        </w:rPr>
        <w:t xml:space="preserve">, A.O., &amp; </w:t>
      </w:r>
      <w:proofErr w:type="spellStart"/>
      <w:r w:rsidRPr="00EA03EF">
        <w:rPr>
          <w:rFonts w:ascii="Arial" w:eastAsia="Aptos" w:hAnsi="Arial" w:cs="Arial"/>
          <w:kern w:val="2"/>
          <w:lang w:val="en-PH"/>
        </w:rPr>
        <w:t>Bolatito</w:t>
      </w:r>
      <w:proofErr w:type="spellEnd"/>
      <w:r w:rsidRPr="00EA03EF">
        <w:rPr>
          <w:rFonts w:ascii="Arial" w:eastAsia="Aptos" w:hAnsi="Arial" w:cs="Arial"/>
          <w:kern w:val="2"/>
          <w:lang w:val="en-PH"/>
        </w:rPr>
        <w:t xml:space="preserve">, M.O. (2023). Influence of self-efficacy on learning </w:t>
      </w:r>
      <w:proofErr w:type="spellStart"/>
      <w:r w:rsidRPr="00EA03EF">
        <w:rPr>
          <w:rFonts w:ascii="Arial" w:eastAsia="Aptos" w:hAnsi="Arial" w:cs="Arial"/>
          <w:kern w:val="2"/>
          <w:lang w:val="en-PH"/>
        </w:rPr>
        <w:t>behaviour</w:t>
      </w:r>
      <w:proofErr w:type="spellEnd"/>
      <w:r w:rsidRPr="00EA03EF">
        <w:rPr>
          <w:rFonts w:ascii="Arial" w:eastAsia="Aptos" w:hAnsi="Arial" w:cs="Arial"/>
          <w:kern w:val="2"/>
          <w:lang w:val="en-PH"/>
        </w:rPr>
        <w:t xml:space="preserve"> of electrical and electronics technology education students. Studies in Education. Retrieved from https://www.sie.com.ng/index.php/journal/article/view/104</w:t>
      </w:r>
    </w:p>
    <w:p w14:paraId="01806ED1"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Tentama</w:t>
      </w:r>
      <w:proofErr w:type="spellEnd"/>
      <w:r w:rsidRPr="00EA03EF">
        <w:rPr>
          <w:rFonts w:ascii="Arial" w:eastAsia="Aptos" w:hAnsi="Arial" w:cs="Arial"/>
          <w:kern w:val="2"/>
          <w:lang w:val="en-PH"/>
        </w:rPr>
        <w:t>, F., &amp; Nur, M. Z. (2021). The correlation between self-efficacy and peer interaction towards students’ employability in vocational high school. International Journal of Evaluation and Research in Education, 10(1), 8–15. https://doi.org/10.11591/ijere.v10i1.20573</w:t>
      </w:r>
    </w:p>
    <w:p w14:paraId="3727F1A9"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“University students’ perceived peer support and experienced depressive symptoms during the COVID-19 pandemic: The mediating role of emotional well-being.” (2020). International Journal of Environmental Research and Public Health, 17(24), 9308. </w:t>
      </w:r>
    </w:p>
    <w:p w14:paraId="126EC0E8"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van der Meulen, K., Granizo, L., &amp; del Barrio, C. (2021). Emotional peer support interventions for students with specific educational needs and disabilities (SEND): A systematic review. Frontiers in Psychology, 12, 797913.</w:t>
      </w:r>
    </w:p>
    <w:p w14:paraId="3DEB416C"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Waliyati</w:t>
      </w:r>
      <w:proofErr w:type="spellEnd"/>
      <w:r w:rsidRPr="00EA03EF">
        <w:rPr>
          <w:rFonts w:ascii="Arial" w:eastAsia="Aptos" w:hAnsi="Arial" w:cs="Arial"/>
          <w:kern w:val="2"/>
          <w:lang w:val="en-PH"/>
        </w:rPr>
        <w:t xml:space="preserve">, Y. C., </w:t>
      </w:r>
      <w:proofErr w:type="spellStart"/>
      <w:r w:rsidRPr="00EA03EF">
        <w:rPr>
          <w:rFonts w:ascii="Arial" w:eastAsia="Aptos" w:hAnsi="Arial" w:cs="Arial"/>
          <w:kern w:val="2"/>
          <w:lang w:val="en-PH"/>
        </w:rPr>
        <w:t>Lestary</w:t>
      </w:r>
      <w:proofErr w:type="spellEnd"/>
      <w:r w:rsidRPr="00EA03EF">
        <w:rPr>
          <w:rFonts w:ascii="Arial" w:eastAsia="Aptos" w:hAnsi="Arial" w:cs="Arial"/>
          <w:kern w:val="2"/>
          <w:lang w:val="en-PH"/>
        </w:rPr>
        <w:t xml:space="preserve">, I., Amira, J., </w:t>
      </w:r>
      <w:proofErr w:type="spellStart"/>
      <w:r w:rsidRPr="00EA03EF">
        <w:rPr>
          <w:rFonts w:ascii="Arial" w:eastAsia="Aptos" w:hAnsi="Arial" w:cs="Arial"/>
          <w:kern w:val="2"/>
          <w:lang w:val="en-PH"/>
        </w:rPr>
        <w:t>Sugiarti</w:t>
      </w:r>
      <w:proofErr w:type="spellEnd"/>
      <w:r w:rsidRPr="00EA03EF">
        <w:rPr>
          <w:rFonts w:ascii="Arial" w:eastAsia="Aptos" w:hAnsi="Arial" w:cs="Arial"/>
          <w:kern w:val="2"/>
          <w:lang w:val="en-PH"/>
        </w:rPr>
        <w:t xml:space="preserve">, L. R., &amp; </w:t>
      </w:r>
      <w:proofErr w:type="spellStart"/>
      <w:r w:rsidRPr="00EA03EF">
        <w:rPr>
          <w:rFonts w:ascii="Arial" w:eastAsia="Aptos" w:hAnsi="Arial" w:cs="Arial"/>
          <w:kern w:val="2"/>
          <w:lang w:val="en-PH"/>
        </w:rPr>
        <w:t>Suhariadi</w:t>
      </w:r>
      <w:proofErr w:type="spellEnd"/>
      <w:r w:rsidRPr="00EA03EF">
        <w:rPr>
          <w:rFonts w:ascii="Arial" w:eastAsia="Aptos" w:hAnsi="Arial" w:cs="Arial"/>
          <w:kern w:val="2"/>
          <w:lang w:val="en-PH"/>
        </w:rPr>
        <w:t xml:space="preserve">, F. (2022). Influence of self-efficacy and peer social support on high school students’ motivation to learn mathematics. </w:t>
      </w:r>
      <w:proofErr w:type="spellStart"/>
      <w:r w:rsidRPr="00EA03EF">
        <w:rPr>
          <w:rFonts w:ascii="Arial" w:eastAsia="Aptos" w:hAnsi="Arial" w:cs="Arial"/>
          <w:kern w:val="2"/>
          <w:lang w:val="en-PH"/>
        </w:rPr>
        <w:t>Cendikia</w:t>
      </w:r>
      <w:proofErr w:type="spellEnd"/>
      <w:r w:rsidRPr="00EA03EF">
        <w:rPr>
          <w:rFonts w:ascii="Arial" w:eastAsia="Aptos" w:hAnsi="Arial" w:cs="Arial"/>
          <w:kern w:val="2"/>
          <w:lang w:val="en-PH"/>
        </w:rPr>
        <w:t xml:space="preserve">: Media </w:t>
      </w:r>
      <w:proofErr w:type="spellStart"/>
      <w:r w:rsidRPr="00EA03EF">
        <w:rPr>
          <w:rFonts w:ascii="Arial" w:eastAsia="Aptos" w:hAnsi="Arial" w:cs="Arial"/>
          <w:kern w:val="2"/>
          <w:lang w:val="en-PH"/>
        </w:rPr>
        <w:t>Jurnal</w:t>
      </w:r>
      <w:proofErr w:type="spellEnd"/>
      <w:r w:rsidRPr="00EA03EF">
        <w:rPr>
          <w:rFonts w:ascii="Arial" w:eastAsia="Aptos" w:hAnsi="Arial" w:cs="Arial"/>
          <w:kern w:val="2"/>
          <w:lang w:val="en-PH"/>
        </w:rPr>
        <w:t xml:space="preserve"> </w:t>
      </w:r>
      <w:proofErr w:type="spellStart"/>
      <w:r w:rsidRPr="00EA03EF">
        <w:rPr>
          <w:rFonts w:ascii="Arial" w:eastAsia="Aptos" w:hAnsi="Arial" w:cs="Arial"/>
          <w:kern w:val="2"/>
          <w:lang w:val="en-PH"/>
        </w:rPr>
        <w:t>Ilmiah</w:t>
      </w:r>
      <w:proofErr w:type="spellEnd"/>
      <w:r w:rsidRPr="00EA03EF">
        <w:rPr>
          <w:rFonts w:ascii="Arial" w:eastAsia="Aptos" w:hAnsi="Arial" w:cs="Arial"/>
          <w:kern w:val="2"/>
          <w:lang w:val="en-PH"/>
        </w:rPr>
        <w:t xml:space="preserve"> Pendidikan, 15(6). https://doi.org/10.35335/cendikia.v15i6.6396</w:t>
      </w:r>
    </w:p>
    <w:p w14:paraId="0539AE78"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Wang, C., Li, X-y., &amp; Lin, X-y. (2025). Peer support as a buffer: Reducing math anxiety through psychological resilience in left-behind rural students. Palgrave Communications, 12(1), 1-10.</w:t>
      </w:r>
    </w:p>
    <w:p w14:paraId="10E6EA18" w14:textId="77777777" w:rsidR="004D4277" w:rsidRPr="00EA03EF" w:rsidRDefault="00EA03EF" w:rsidP="00EA03EF">
      <w:pPr>
        <w:spacing w:after="160" w:line="276" w:lineRule="auto"/>
        <w:ind w:left="851" w:hanging="851"/>
        <w:jc w:val="both"/>
        <w:rPr>
          <w:rFonts w:ascii="Arial" w:eastAsia="Aptos" w:hAnsi="Arial" w:cs="Arial"/>
          <w:kern w:val="2"/>
          <w:lang w:val="en-PH"/>
        </w:rPr>
        <w:sectPr w:rsidR="004D4277" w:rsidRPr="00EA03EF" w:rsidSect="009366E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EA03EF">
        <w:rPr>
          <w:rFonts w:ascii="Arial" w:eastAsia="Aptos" w:hAnsi="Arial" w:cs="Arial"/>
          <w:kern w:val="2"/>
          <w:lang w:val="en-PH"/>
        </w:rPr>
        <w:t>Zhu, L., Lu, X., Wang, L., Ma, H., &amp; Xu, J. (2025). The relationship between perceived peer support and academic adjustment among higher vocational college students: The chain-mediating effect of academic hope and professional identity. Frontiers in Psychology. https://doi.org/10.3389/fpsyg.2025.1534883</w:t>
      </w:r>
      <w:r w:rsidR="002C1C0D" w:rsidRPr="002C1C0D">
        <w:rPr>
          <w:rFonts w:ascii="Arial" w:eastAsia="Aptos" w:hAnsi="Arial" w:cs="Arial"/>
          <w:kern w:val="2"/>
          <w:lang w:val="en-PH"/>
        </w:rPr>
        <w:t>6</w:t>
      </w:r>
    </w:p>
    <w:p w14:paraId="05AF4C8D" w14:textId="77777777" w:rsidR="00B01FCD" w:rsidRPr="00FB3A86" w:rsidRDefault="00B01FCD" w:rsidP="00441B6F">
      <w:pPr>
        <w:pStyle w:val="Appendix"/>
        <w:spacing w:after="0"/>
        <w:jc w:val="both"/>
        <w:rPr>
          <w:rFonts w:ascii="Arial" w:hAnsi="Arial" w:cs="Arial"/>
          <w:b w:val="0"/>
        </w:rPr>
      </w:pPr>
    </w:p>
    <w:sectPr w:rsidR="00B01FCD" w:rsidRPr="00FB3A86" w:rsidSect="009366E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89280" w14:textId="77777777" w:rsidR="00155768" w:rsidRDefault="00155768" w:rsidP="00C37E61">
      <w:r>
        <w:separator/>
      </w:r>
    </w:p>
  </w:endnote>
  <w:endnote w:type="continuationSeparator" w:id="0">
    <w:p w14:paraId="28151EB3" w14:textId="77777777" w:rsidR="00155768" w:rsidRDefault="001557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D3B02" w14:textId="77777777" w:rsidR="009366E7" w:rsidRDefault="00936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127F" w14:textId="00F6CCE7" w:rsidR="002C1C0D" w:rsidRPr="00997D74" w:rsidRDefault="002C1C0D" w:rsidP="00997D74">
    <w:pPr>
      <w:pStyle w:val="Footer"/>
    </w:pPr>
    <w:r w:rsidRPr="00997D7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FA0B" w14:textId="64605BA6" w:rsidR="002C1C0D" w:rsidRPr="009366E7" w:rsidRDefault="002C1C0D" w:rsidP="009366E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60F7" w14:textId="77777777" w:rsidR="002C1C0D" w:rsidRPr="00C37E61" w:rsidRDefault="002C1C0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E3712" w14:textId="77777777" w:rsidR="00155768" w:rsidRDefault="00155768" w:rsidP="00C37E61">
      <w:r>
        <w:separator/>
      </w:r>
    </w:p>
  </w:footnote>
  <w:footnote w:type="continuationSeparator" w:id="0">
    <w:p w14:paraId="14DFE8B0" w14:textId="77777777" w:rsidR="00155768" w:rsidRDefault="001557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0AD0" w14:textId="43A44046" w:rsidR="009366E7" w:rsidRDefault="009366E7">
    <w:pPr>
      <w:pStyle w:val="Header"/>
    </w:pPr>
    <w:r>
      <w:rPr>
        <w:noProof/>
      </w:rPr>
      <w:pict w14:anchorId="2467F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3EF8" w14:textId="2331BB88" w:rsidR="009366E7" w:rsidRDefault="009366E7">
    <w:pPr>
      <w:pStyle w:val="Header"/>
    </w:pPr>
    <w:r>
      <w:rPr>
        <w:noProof/>
      </w:rPr>
      <w:pict w14:anchorId="34DD2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AC6FD" w14:textId="4BCF59EA" w:rsidR="002C1C0D" w:rsidRPr="00296529" w:rsidRDefault="009366E7" w:rsidP="00296529">
    <w:pPr>
      <w:ind w:left="2160"/>
      <w:jc w:val="center"/>
      <w:rPr>
        <w:rFonts w:ascii="Times New Roman" w:eastAsia="Calibri" w:hAnsi="Times New Roman"/>
        <w:i/>
        <w:sz w:val="18"/>
        <w:szCs w:val="22"/>
      </w:rPr>
    </w:pPr>
    <w:r>
      <w:rPr>
        <w:noProof/>
      </w:rPr>
      <w:pict w14:anchorId="0176F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220CDD9" w14:textId="77777777" w:rsidR="002C1C0D" w:rsidRPr="00296529" w:rsidRDefault="002C1C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85D3EC" w14:textId="77777777" w:rsidR="002C1C0D" w:rsidRPr="00296529" w:rsidRDefault="002C1C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1FF99F" w14:textId="77777777" w:rsidR="002C1C0D" w:rsidRPr="00296529" w:rsidRDefault="002C1C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B83064" w14:textId="77777777" w:rsidR="002C1C0D" w:rsidRDefault="002C1C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2527D3" w14:textId="77777777" w:rsidR="002C1C0D" w:rsidRDefault="002C1C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7585AC" w14:textId="77777777" w:rsidR="002C1C0D" w:rsidRDefault="002C1C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3D34" w14:textId="701DE987" w:rsidR="009366E7" w:rsidRDefault="009366E7">
    <w:pPr>
      <w:pStyle w:val="Header"/>
    </w:pPr>
    <w:r>
      <w:rPr>
        <w:noProof/>
      </w:rPr>
      <w:pict w14:anchorId="06DD3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FED3D" w14:textId="7EDFA240" w:rsidR="009366E7" w:rsidRDefault="009366E7">
    <w:pPr>
      <w:pStyle w:val="Header"/>
    </w:pPr>
    <w:r>
      <w:rPr>
        <w:noProof/>
      </w:rPr>
      <w:pict w14:anchorId="03160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496B" w14:textId="25C60531" w:rsidR="009366E7" w:rsidRDefault="009366E7">
    <w:pPr>
      <w:pStyle w:val="Header"/>
    </w:pPr>
    <w:r>
      <w:rPr>
        <w:noProof/>
      </w:rPr>
      <w:pict w14:anchorId="131EF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4DD2"/>
    <w:rsid w:val="000A47FA"/>
    <w:rsid w:val="000A65D3"/>
    <w:rsid w:val="000B1E33"/>
    <w:rsid w:val="000B32E5"/>
    <w:rsid w:val="000D689F"/>
    <w:rsid w:val="000E7B7B"/>
    <w:rsid w:val="000E7D62"/>
    <w:rsid w:val="00103357"/>
    <w:rsid w:val="00123C9F"/>
    <w:rsid w:val="00126190"/>
    <w:rsid w:val="00130F17"/>
    <w:rsid w:val="001320BF"/>
    <w:rsid w:val="00155768"/>
    <w:rsid w:val="00163BC4"/>
    <w:rsid w:val="0017732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3A30"/>
    <w:rsid w:val="00284C4C"/>
    <w:rsid w:val="00287E68"/>
    <w:rsid w:val="00296529"/>
    <w:rsid w:val="002B27FB"/>
    <w:rsid w:val="002B685A"/>
    <w:rsid w:val="002C1C0D"/>
    <w:rsid w:val="002C57D2"/>
    <w:rsid w:val="002E0D56"/>
    <w:rsid w:val="00315186"/>
    <w:rsid w:val="0033343E"/>
    <w:rsid w:val="00347591"/>
    <w:rsid w:val="003512C2"/>
    <w:rsid w:val="00371FB6"/>
    <w:rsid w:val="003763C1"/>
    <w:rsid w:val="00376BBE"/>
    <w:rsid w:val="0039224F"/>
    <w:rsid w:val="003A43A4"/>
    <w:rsid w:val="003A7E18"/>
    <w:rsid w:val="003C4C86"/>
    <w:rsid w:val="003C6258"/>
    <w:rsid w:val="003E2904"/>
    <w:rsid w:val="00401927"/>
    <w:rsid w:val="00403BFD"/>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2553"/>
    <w:rsid w:val="0053056E"/>
    <w:rsid w:val="00554FDA"/>
    <w:rsid w:val="0056091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06B62"/>
    <w:rsid w:val="0081431A"/>
    <w:rsid w:val="0083216F"/>
    <w:rsid w:val="00860000"/>
    <w:rsid w:val="00863BD3"/>
    <w:rsid w:val="008641ED"/>
    <w:rsid w:val="00866D66"/>
    <w:rsid w:val="008671C6"/>
    <w:rsid w:val="00875803"/>
    <w:rsid w:val="008945C3"/>
    <w:rsid w:val="008B459E"/>
    <w:rsid w:val="008E13AE"/>
    <w:rsid w:val="008E1506"/>
    <w:rsid w:val="008E710C"/>
    <w:rsid w:val="008F04E5"/>
    <w:rsid w:val="008F69D6"/>
    <w:rsid w:val="00902823"/>
    <w:rsid w:val="009055DF"/>
    <w:rsid w:val="0090580B"/>
    <w:rsid w:val="00915CA6"/>
    <w:rsid w:val="00927834"/>
    <w:rsid w:val="009366E7"/>
    <w:rsid w:val="009500A6"/>
    <w:rsid w:val="00957C18"/>
    <w:rsid w:val="009659BA"/>
    <w:rsid w:val="00983040"/>
    <w:rsid w:val="00997D74"/>
    <w:rsid w:val="009B3FB9"/>
    <w:rsid w:val="009C2465"/>
    <w:rsid w:val="009D35A0"/>
    <w:rsid w:val="009D7EB7"/>
    <w:rsid w:val="009E048A"/>
    <w:rsid w:val="009E08E9"/>
    <w:rsid w:val="009E3DB9"/>
    <w:rsid w:val="009E6E35"/>
    <w:rsid w:val="009F0EDA"/>
    <w:rsid w:val="00A03B96"/>
    <w:rsid w:val="00A05B19"/>
    <w:rsid w:val="00A0648D"/>
    <w:rsid w:val="00A1134E"/>
    <w:rsid w:val="00A24E7E"/>
    <w:rsid w:val="00A258C3"/>
    <w:rsid w:val="00A347C0"/>
    <w:rsid w:val="00A51431"/>
    <w:rsid w:val="00A539AD"/>
    <w:rsid w:val="00A66EAB"/>
    <w:rsid w:val="00A94063"/>
    <w:rsid w:val="00AA6219"/>
    <w:rsid w:val="00AA74E0"/>
    <w:rsid w:val="00AB703F"/>
    <w:rsid w:val="00AC6BB8"/>
    <w:rsid w:val="00AE008F"/>
    <w:rsid w:val="00AF07F3"/>
    <w:rsid w:val="00B01FCD"/>
    <w:rsid w:val="00B1776C"/>
    <w:rsid w:val="00B52583"/>
    <w:rsid w:val="00B52896"/>
    <w:rsid w:val="00B87DD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38DF"/>
    <w:rsid w:val="00D74CB0"/>
    <w:rsid w:val="00D8295D"/>
    <w:rsid w:val="00D93C6F"/>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03EF"/>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C73D5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F04E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F04E5"/>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8F04E5"/>
    <w:rPr>
      <w:rFonts w:ascii="Aptos" w:eastAsia="Aptos" w:hAnsi="Aptos"/>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38DF"/>
    <w:rPr>
      <w:color w:val="605E5C"/>
      <w:shd w:val="clear" w:color="auto" w:fill="E1DFDD"/>
    </w:rPr>
  </w:style>
  <w:style w:type="paragraph" w:styleId="ListParagraph">
    <w:name w:val="List Paragraph"/>
    <w:basedOn w:val="Normal"/>
    <w:uiPriority w:val="34"/>
    <w:qFormat/>
    <w:rsid w:val="00B87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09014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621148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4262D-3A9C-45BE-A242-9C275494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10</Pages>
  <Words>4429</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29621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2025-10-31T10:02:00Z</dcterms:modified>
</cp:coreProperties>
</file>